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drawings/drawing1.xml" ContentType="application/vnd.openxmlformats-officedocument.drawingml.chartshapes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drawings/drawing2.xml" ContentType="application/vnd.openxmlformats-officedocument.drawingml.chartshapes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3584E7" w14:textId="76313E0F" w:rsidR="00C87804" w:rsidRDefault="00C87804" w:rsidP="0063561E">
      <w:pPr>
        <w:rPr>
          <w:b/>
          <w:color w:val="C00000"/>
          <w:sz w:val="40"/>
          <w:szCs w:val="40"/>
        </w:rPr>
      </w:pPr>
    </w:p>
    <w:p w14:paraId="25354BEB" w14:textId="766CC103" w:rsidR="00C87804" w:rsidRDefault="00C87804" w:rsidP="00C87804">
      <w:pPr>
        <w:jc w:val="center"/>
        <w:rPr>
          <w:b/>
          <w:color w:val="C00000"/>
          <w:sz w:val="40"/>
          <w:szCs w:val="40"/>
        </w:rPr>
      </w:pPr>
      <w:r w:rsidRPr="00DD3D11">
        <w:rPr>
          <w:b/>
          <w:color w:val="C00000"/>
          <w:sz w:val="40"/>
          <w:szCs w:val="40"/>
        </w:rPr>
        <w:t xml:space="preserve">Studenti a absolventi </w:t>
      </w:r>
    </w:p>
    <w:p w14:paraId="08AE4D11" w14:textId="0E1F0168" w:rsidR="00C87804" w:rsidRPr="00DD3D11" w:rsidRDefault="00C9561A" w:rsidP="00C87804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vysokých škol v České republice</w:t>
      </w:r>
      <w:r w:rsidR="00C87804" w:rsidRPr="00DD3D11">
        <w:rPr>
          <w:b/>
          <w:color w:val="C00000"/>
          <w:sz w:val="40"/>
          <w:szCs w:val="40"/>
        </w:rPr>
        <w:t xml:space="preserve"> 2022</w:t>
      </w:r>
    </w:p>
    <w:p w14:paraId="21CF3EB9" w14:textId="77777777" w:rsidR="00C87804" w:rsidRPr="00DD3D11" w:rsidRDefault="00C87804" w:rsidP="00C87804">
      <w:pPr>
        <w:jc w:val="center"/>
        <w:rPr>
          <w:b/>
          <w:color w:val="C00000"/>
          <w:sz w:val="40"/>
          <w:szCs w:val="40"/>
        </w:rPr>
      </w:pPr>
      <w:r w:rsidRPr="00DD3D11">
        <w:rPr>
          <w:b/>
          <w:color w:val="C00000"/>
          <w:sz w:val="40"/>
          <w:szCs w:val="40"/>
        </w:rPr>
        <w:t>Analytická část</w:t>
      </w:r>
    </w:p>
    <w:p w14:paraId="26A605DE" w14:textId="77777777" w:rsidR="00C87804" w:rsidRDefault="00C87804" w:rsidP="00C87804">
      <w:pPr>
        <w:pStyle w:val="Nadpis1"/>
        <w:spacing w:before="120" w:after="240"/>
        <w:rPr>
          <w:b w:val="0"/>
        </w:rPr>
      </w:pPr>
    </w:p>
    <w:p w14:paraId="4A3BD423" w14:textId="77777777" w:rsidR="00C87804" w:rsidRPr="00DD3D11" w:rsidRDefault="00C87804" w:rsidP="00C87804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51981343"/>
        <w:docPartObj>
          <w:docPartGallery w:val="Table of Contents"/>
          <w:docPartUnique/>
        </w:docPartObj>
      </w:sdtPr>
      <w:sdtEndPr>
        <w:rPr>
          <w:rFonts w:ascii="Arial" w:eastAsia="Times New Roman" w:hAnsi="Arial" w:cs="Times New Roman"/>
          <w:b/>
          <w:bCs/>
          <w:sz w:val="20"/>
          <w:szCs w:val="24"/>
          <w:lang w:eastAsia="cs-CZ"/>
        </w:rPr>
      </w:sdtEndPr>
      <w:sdtContent>
        <w:p w14:paraId="74462F48" w14:textId="78A3745C" w:rsidR="00C87804" w:rsidRDefault="00C87804" w:rsidP="00C87804">
          <w:pPr>
            <w:pStyle w:val="Nadpisobsahu"/>
            <w:rPr>
              <w:b/>
            </w:rPr>
          </w:pPr>
          <w:r w:rsidRPr="00C21FA9">
            <w:rPr>
              <w:b/>
            </w:rPr>
            <w:t>Obsah</w:t>
          </w:r>
        </w:p>
        <w:p w14:paraId="31B3F318" w14:textId="77777777" w:rsidR="0063561E" w:rsidRPr="0063561E" w:rsidRDefault="0063561E" w:rsidP="0063561E"/>
        <w:p w14:paraId="0D6B1E51" w14:textId="68FB0ADA" w:rsidR="00815CB8" w:rsidRDefault="00C87804" w:rsidP="00815CB8">
          <w:pPr>
            <w:pStyle w:val="Obsah1"/>
            <w:tabs>
              <w:tab w:val="left" w:pos="400"/>
            </w:tabs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224478" w:history="1">
            <w:r w:rsidR="00815CB8" w:rsidRPr="000D30DA">
              <w:rPr>
                <w:rStyle w:val="Hypertextovodkaz"/>
                <w:noProof/>
              </w:rPr>
              <w:t>1.</w:t>
            </w:r>
            <w:r w:rsidR="00815CB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5CB8" w:rsidRPr="000D30DA">
              <w:rPr>
                <w:rStyle w:val="Hypertextovodkaz"/>
                <w:noProof/>
              </w:rPr>
              <w:t>Studenti vysokých škol</w:t>
            </w:r>
            <w:r w:rsidR="00815CB8">
              <w:rPr>
                <w:noProof/>
                <w:webHidden/>
              </w:rPr>
              <w:tab/>
            </w:r>
            <w:r w:rsidR="00815CB8">
              <w:rPr>
                <w:noProof/>
                <w:webHidden/>
              </w:rPr>
              <w:fldChar w:fldCharType="begin"/>
            </w:r>
            <w:r w:rsidR="00815CB8">
              <w:rPr>
                <w:noProof/>
                <w:webHidden/>
              </w:rPr>
              <w:instrText xml:space="preserve"> PAGEREF _Toc135224478 \h </w:instrText>
            </w:r>
            <w:r w:rsidR="00815CB8">
              <w:rPr>
                <w:noProof/>
                <w:webHidden/>
              </w:rPr>
            </w:r>
            <w:r w:rsidR="00815CB8">
              <w:rPr>
                <w:noProof/>
                <w:webHidden/>
              </w:rPr>
              <w:fldChar w:fldCharType="separate"/>
            </w:r>
            <w:r w:rsidR="00E658A4">
              <w:rPr>
                <w:noProof/>
                <w:webHidden/>
              </w:rPr>
              <w:t>2</w:t>
            </w:r>
            <w:r w:rsidR="00815CB8">
              <w:rPr>
                <w:noProof/>
                <w:webHidden/>
              </w:rPr>
              <w:fldChar w:fldCharType="end"/>
            </w:r>
          </w:hyperlink>
        </w:p>
        <w:p w14:paraId="6176D2EE" w14:textId="24C02ABA" w:rsidR="00815CB8" w:rsidRDefault="00E658A4" w:rsidP="00815CB8">
          <w:pPr>
            <w:pStyle w:val="Obsah1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5224479" w:history="1">
            <w:r w:rsidR="00815CB8" w:rsidRPr="000D30DA">
              <w:rPr>
                <w:rStyle w:val="Hypertextovodkaz"/>
                <w:noProof/>
              </w:rPr>
              <w:t>Shrnutí</w:t>
            </w:r>
            <w:r w:rsidR="00815CB8">
              <w:rPr>
                <w:noProof/>
                <w:webHidden/>
              </w:rPr>
              <w:tab/>
            </w:r>
            <w:r w:rsidR="00815CB8">
              <w:rPr>
                <w:noProof/>
                <w:webHidden/>
              </w:rPr>
              <w:fldChar w:fldCharType="begin"/>
            </w:r>
            <w:r w:rsidR="00815CB8">
              <w:rPr>
                <w:noProof/>
                <w:webHidden/>
              </w:rPr>
              <w:instrText xml:space="preserve"> PAGEREF _Toc135224479 \h </w:instrText>
            </w:r>
            <w:r w:rsidR="00815CB8">
              <w:rPr>
                <w:noProof/>
                <w:webHidden/>
              </w:rPr>
            </w:r>
            <w:r w:rsidR="00815C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815CB8">
              <w:rPr>
                <w:noProof/>
                <w:webHidden/>
              </w:rPr>
              <w:fldChar w:fldCharType="end"/>
            </w:r>
          </w:hyperlink>
        </w:p>
        <w:p w14:paraId="2686D592" w14:textId="10B185D1" w:rsidR="00815CB8" w:rsidRDefault="00E658A4" w:rsidP="00815CB8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5224480" w:history="1">
            <w:r w:rsidR="00815CB8" w:rsidRPr="000D30DA">
              <w:rPr>
                <w:rStyle w:val="Hypertextovodkaz"/>
                <w:noProof/>
              </w:rPr>
              <w:t>1.1 Celkový přehled</w:t>
            </w:r>
            <w:r w:rsidR="00815CB8">
              <w:rPr>
                <w:noProof/>
                <w:webHidden/>
              </w:rPr>
              <w:tab/>
            </w:r>
            <w:r w:rsidR="00815CB8">
              <w:rPr>
                <w:noProof/>
                <w:webHidden/>
              </w:rPr>
              <w:fldChar w:fldCharType="begin"/>
            </w:r>
            <w:r w:rsidR="00815CB8">
              <w:rPr>
                <w:noProof/>
                <w:webHidden/>
              </w:rPr>
              <w:instrText xml:space="preserve"> PAGEREF _Toc135224480 \h </w:instrText>
            </w:r>
            <w:r w:rsidR="00815CB8">
              <w:rPr>
                <w:noProof/>
                <w:webHidden/>
              </w:rPr>
            </w:r>
            <w:r w:rsidR="00815C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815CB8">
              <w:rPr>
                <w:noProof/>
                <w:webHidden/>
              </w:rPr>
              <w:fldChar w:fldCharType="end"/>
            </w:r>
          </w:hyperlink>
        </w:p>
        <w:p w14:paraId="1DBC051A" w14:textId="68A9BC3E" w:rsidR="00815CB8" w:rsidRDefault="00E658A4" w:rsidP="00815CB8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5224481" w:history="1">
            <w:r w:rsidR="00815CB8" w:rsidRPr="000D30DA">
              <w:rPr>
                <w:rStyle w:val="Hypertextovodkaz"/>
                <w:noProof/>
              </w:rPr>
              <w:t>1.2 Rozdíly mezi studenty (muži) a studentkami (ženami)</w:t>
            </w:r>
            <w:r w:rsidR="00815CB8">
              <w:rPr>
                <w:noProof/>
                <w:webHidden/>
              </w:rPr>
              <w:tab/>
            </w:r>
            <w:r w:rsidR="00815CB8">
              <w:rPr>
                <w:noProof/>
                <w:webHidden/>
              </w:rPr>
              <w:fldChar w:fldCharType="begin"/>
            </w:r>
            <w:r w:rsidR="00815CB8">
              <w:rPr>
                <w:noProof/>
                <w:webHidden/>
              </w:rPr>
              <w:instrText xml:space="preserve"> PAGEREF _Toc135224481 \h </w:instrText>
            </w:r>
            <w:r w:rsidR="00815CB8">
              <w:rPr>
                <w:noProof/>
                <w:webHidden/>
              </w:rPr>
            </w:r>
            <w:r w:rsidR="00815C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815CB8">
              <w:rPr>
                <w:noProof/>
                <w:webHidden/>
              </w:rPr>
              <w:fldChar w:fldCharType="end"/>
            </w:r>
          </w:hyperlink>
        </w:p>
        <w:p w14:paraId="511C7FB9" w14:textId="00264814" w:rsidR="00815CB8" w:rsidRDefault="00E658A4" w:rsidP="00815CB8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5224482" w:history="1">
            <w:r w:rsidR="00815CB8" w:rsidRPr="000D30DA">
              <w:rPr>
                <w:rStyle w:val="Hypertextovodkaz"/>
                <w:noProof/>
              </w:rPr>
              <w:t>1.3 Rozdíly mezi studenty české a cizí státní příslušnosti</w:t>
            </w:r>
            <w:r w:rsidR="00815CB8">
              <w:rPr>
                <w:noProof/>
                <w:webHidden/>
              </w:rPr>
              <w:tab/>
            </w:r>
            <w:r w:rsidR="00815CB8">
              <w:rPr>
                <w:noProof/>
                <w:webHidden/>
              </w:rPr>
              <w:fldChar w:fldCharType="begin"/>
            </w:r>
            <w:r w:rsidR="00815CB8">
              <w:rPr>
                <w:noProof/>
                <w:webHidden/>
              </w:rPr>
              <w:instrText xml:space="preserve"> PAGEREF _Toc135224482 \h </w:instrText>
            </w:r>
            <w:r w:rsidR="00815CB8">
              <w:rPr>
                <w:noProof/>
                <w:webHidden/>
              </w:rPr>
            </w:r>
            <w:r w:rsidR="00815C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815CB8">
              <w:rPr>
                <w:noProof/>
                <w:webHidden/>
              </w:rPr>
              <w:fldChar w:fldCharType="end"/>
            </w:r>
          </w:hyperlink>
        </w:p>
        <w:p w14:paraId="4D5CCEC6" w14:textId="5B46564D" w:rsidR="00815CB8" w:rsidRDefault="00E658A4" w:rsidP="00815CB8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5224483" w:history="1">
            <w:r w:rsidR="00815CB8" w:rsidRPr="000D30DA">
              <w:rPr>
                <w:rStyle w:val="Hypertextovodkaz"/>
                <w:noProof/>
              </w:rPr>
              <w:t>1.4 Rozdíly mezi studenty veřejných a soukromých VŠ</w:t>
            </w:r>
            <w:r w:rsidR="00815CB8">
              <w:rPr>
                <w:noProof/>
                <w:webHidden/>
              </w:rPr>
              <w:tab/>
            </w:r>
            <w:r w:rsidR="00815CB8">
              <w:rPr>
                <w:noProof/>
                <w:webHidden/>
              </w:rPr>
              <w:fldChar w:fldCharType="begin"/>
            </w:r>
            <w:r w:rsidR="00815CB8">
              <w:rPr>
                <w:noProof/>
                <w:webHidden/>
              </w:rPr>
              <w:instrText xml:space="preserve"> PAGEREF _Toc135224483 \h </w:instrText>
            </w:r>
            <w:r w:rsidR="00815CB8">
              <w:rPr>
                <w:noProof/>
                <w:webHidden/>
              </w:rPr>
            </w:r>
            <w:r w:rsidR="00815C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815CB8">
              <w:rPr>
                <w:noProof/>
                <w:webHidden/>
              </w:rPr>
              <w:fldChar w:fldCharType="end"/>
            </w:r>
          </w:hyperlink>
        </w:p>
        <w:p w14:paraId="7C75515A" w14:textId="5714D055" w:rsidR="00815CB8" w:rsidRDefault="00E658A4" w:rsidP="00815CB8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5224484" w:history="1">
            <w:r w:rsidR="00815CB8" w:rsidRPr="000D30DA">
              <w:rPr>
                <w:rStyle w:val="Hypertextovodkaz"/>
                <w:noProof/>
              </w:rPr>
              <w:t>1.5 Rozdíly mezi studenty jednotlivých skupin oborů vzdělávání</w:t>
            </w:r>
            <w:r w:rsidR="00815CB8">
              <w:rPr>
                <w:noProof/>
                <w:webHidden/>
              </w:rPr>
              <w:tab/>
            </w:r>
            <w:r w:rsidR="00815CB8">
              <w:rPr>
                <w:noProof/>
                <w:webHidden/>
              </w:rPr>
              <w:fldChar w:fldCharType="begin"/>
            </w:r>
            <w:r w:rsidR="00815CB8">
              <w:rPr>
                <w:noProof/>
                <w:webHidden/>
              </w:rPr>
              <w:instrText xml:space="preserve"> PAGEREF _Toc135224484 \h </w:instrText>
            </w:r>
            <w:r w:rsidR="00815CB8">
              <w:rPr>
                <w:noProof/>
                <w:webHidden/>
              </w:rPr>
            </w:r>
            <w:r w:rsidR="00815C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815CB8">
              <w:rPr>
                <w:noProof/>
                <w:webHidden/>
              </w:rPr>
              <w:fldChar w:fldCharType="end"/>
            </w:r>
          </w:hyperlink>
        </w:p>
        <w:p w14:paraId="3BBED837" w14:textId="2DAD665C" w:rsidR="00815CB8" w:rsidRDefault="00E658A4" w:rsidP="00815CB8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5224485" w:history="1">
            <w:r w:rsidR="00815CB8" w:rsidRPr="000D30DA">
              <w:rPr>
                <w:rStyle w:val="Hypertextovodkaz"/>
                <w:noProof/>
              </w:rPr>
              <w:t>1.6 Rozdíly mezi studenty dle kraje trvalého bydliště</w:t>
            </w:r>
            <w:r w:rsidR="00815CB8">
              <w:rPr>
                <w:noProof/>
                <w:webHidden/>
              </w:rPr>
              <w:tab/>
            </w:r>
            <w:r w:rsidR="00815CB8">
              <w:rPr>
                <w:noProof/>
                <w:webHidden/>
              </w:rPr>
              <w:fldChar w:fldCharType="begin"/>
            </w:r>
            <w:r w:rsidR="00815CB8">
              <w:rPr>
                <w:noProof/>
                <w:webHidden/>
              </w:rPr>
              <w:instrText xml:space="preserve"> PAGEREF _Toc135224485 \h </w:instrText>
            </w:r>
            <w:r w:rsidR="00815CB8">
              <w:rPr>
                <w:noProof/>
                <w:webHidden/>
              </w:rPr>
            </w:r>
            <w:r w:rsidR="00815C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815CB8">
              <w:rPr>
                <w:noProof/>
                <w:webHidden/>
              </w:rPr>
              <w:fldChar w:fldCharType="end"/>
            </w:r>
          </w:hyperlink>
        </w:p>
        <w:p w14:paraId="23798CD3" w14:textId="62C83041" w:rsidR="00815CB8" w:rsidRDefault="00E658A4" w:rsidP="00815CB8">
          <w:pPr>
            <w:pStyle w:val="Obsah1"/>
            <w:tabs>
              <w:tab w:val="left" w:pos="400"/>
            </w:tabs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5224486" w:history="1">
            <w:r w:rsidR="00815CB8" w:rsidRPr="000D30DA">
              <w:rPr>
                <w:rStyle w:val="Hypertextovodkaz"/>
                <w:noProof/>
              </w:rPr>
              <w:t>2.</w:t>
            </w:r>
            <w:r w:rsidR="00815CB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5CB8" w:rsidRPr="000D30DA">
              <w:rPr>
                <w:rStyle w:val="Hypertextovodkaz"/>
                <w:noProof/>
              </w:rPr>
              <w:t>Studenti poprvé zapsaní do studia a absolventi</w:t>
            </w:r>
            <w:r w:rsidR="00815CB8">
              <w:rPr>
                <w:noProof/>
                <w:webHidden/>
              </w:rPr>
              <w:tab/>
            </w:r>
            <w:r w:rsidR="00815CB8">
              <w:rPr>
                <w:noProof/>
                <w:webHidden/>
              </w:rPr>
              <w:fldChar w:fldCharType="begin"/>
            </w:r>
            <w:r w:rsidR="00815CB8">
              <w:rPr>
                <w:noProof/>
                <w:webHidden/>
              </w:rPr>
              <w:instrText xml:space="preserve"> PAGEREF _Toc135224486 \h </w:instrText>
            </w:r>
            <w:r w:rsidR="00815CB8">
              <w:rPr>
                <w:noProof/>
                <w:webHidden/>
              </w:rPr>
            </w:r>
            <w:r w:rsidR="00815C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815CB8">
              <w:rPr>
                <w:noProof/>
                <w:webHidden/>
              </w:rPr>
              <w:fldChar w:fldCharType="end"/>
            </w:r>
          </w:hyperlink>
        </w:p>
        <w:p w14:paraId="091C4223" w14:textId="77663E4B" w:rsidR="00815CB8" w:rsidRDefault="00E658A4" w:rsidP="00815CB8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5224487" w:history="1">
            <w:r w:rsidR="00815CB8" w:rsidRPr="000D30DA">
              <w:rPr>
                <w:rStyle w:val="Hypertextovodkaz"/>
                <w:noProof/>
              </w:rPr>
              <w:t>Shrnutí</w:t>
            </w:r>
            <w:r w:rsidR="00815CB8">
              <w:rPr>
                <w:noProof/>
                <w:webHidden/>
              </w:rPr>
              <w:tab/>
            </w:r>
            <w:r w:rsidR="00815CB8">
              <w:rPr>
                <w:noProof/>
                <w:webHidden/>
              </w:rPr>
              <w:fldChar w:fldCharType="begin"/>
            </w:r>
            <w:r w:rsidR="00815CB8">
              <w:rPr>
                <w:noProof/>
                <w:webHidden/>
              </w:rPr>
              <w:instrText xml:space="preserve"> PAGEREF _Toc135224487 \h </w:instrText>
            </w:r>
            <w:r w:rsidR="00815CB8">
              <w:rPr>
                <w:noProof/>
                <w:webHidden/>
              </w:rPr>
            </w:r>
            <w:r w:rsidR="00815C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815CB8">
              <w:rPr>
                <w:noProof/>
                <w:webHidden/>
              </w:rPr>
              <w:fldChar w:fldCharType="end"/>
            </w:r>
          </w:hyperlink>
        </w:p>
        <w:p w14:paraId="1C21F722" w14:textId="067D41C1" w:rsidR="00815CB8" w:rsidRDefault="00E658A4" w:rsidP="00815CB8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5224488" w:history="1">
            <w:r w:rsidR="00815CB8" w:rsidRPr="000D30DA">
              <w:rPr>
                <w:rStyle w:val="Hypertextovodkaz"/>
                <w:noProof/>
              </w:rPr>
              <w:t>2.1 Vývoj počtu poprvé zapsaných studentů a absolventů</w:t>
            </w:r>
            <w:r w:rsidR="00815CB8">
              <w:rPr>
                <w:noProof/>
                <w:webHidden/>
              </w:rPr>
              <w:tab/>
            </w:r>
            <w:r w:rsidR="00815CB8">
              <w:rPr>
                <w:noProof/>
                <w:webHidden/>
              </w:rPr>
              <w:fldChar w:fldCharType="begin"/>
            </w:r>
            <w:r w:rsidR="00815CB8">
              <w:rPr>
                <w:noProof/>
                <w:webHidden/>
              </w:rPr>
              <w:instrText xml:space="preserve"> PAGEREF _Toc135224488 \h </w:instrText>
            </w:r>
            <w:r w:rsidR="00815CB8">
              <w:rPr>
                <w:noProof/>
                <w:webHidden/>
              </w:rPr>
            </w:r>
            <w:r w:rsidR="00815C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815CB8">
              <w:rPr>
                <w:noProof/>
                <w:webHidden/>
              </w:rPr>
              <w:fldChar w:fldCharType="end"/>
            </w:r>
          </w:hyperlink>
        </w:p>
        <w:p w14:paraId="5E129297" w14:textId="39C380EA" w:rsidR="00815CB8" w:rsidRDefault="00E658A4" w:rsidP="00815CB8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5224489" w:history="1">
            <w:r w:rsidR="00815CB8" w:rsidRPr="000D30DA">
              <w:rPr>
                <w:rStyle w:val="Hypertextovodkaz"/>
                <w:noProof/>
              </w:rPr>
              <w:t>2.2 Vývoj počtu poprvé zapsaných studentů dle skupin oborů</w:t>
            </w:r>
            <w:r w:rsidR="00815CB8">
              <w:rPr>
                <w:noProof/>
                <w:webHidden/>
              </w:rPr>
              <w:tab/>
            </w:r>
            <w:r w:rsidR="00815CB8">
              <w:rPr>
                <w:noProof/>
                <w:webHidden/>
              </w:rPr>
              <w:fldChar w:fldCharType="begin"/>
            </w:r>
            <w:r w:rsidR="00815CB8">
              <w:rPr>
                <w:noProof/>
                <w:webHidden/>
              </w:rPr>
              <w:instrText xml:space="preserve"> PAGEREF _Toc135224489 \h </w:instrText>
            </w:r>
            <w:r w:rsidR="00815CB8">
              <w:rPr>
                <w:noProof/>
                <w:webHidden/>
              </w:rPr>
            </w:r>
            <w:r w:rsidR="00815C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815CB8">
              <w:rPr>
                <w:noProof/>
                <w:webHidden/>
              </w:rPr>
              <w:fldChar w:fldCharType="end"/>
            </w:r>
          </w:hyperlink>
        </w:p>
        <w:p w14:paraId="098E9063" w14:textId="44CD20FC" w:rsidR="00815CB8" w:rsidRDefault="00E658A4" w:rsidP="00815CB8">
          <w:pPr>
            <w:pStyle w:val="Obsah2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5224490" w:history="1">
            <w:r w:rsidR="00815CB8" w:rsidRPr="000D30DA">
              <w:rPr>
                <w:rStyle w:val="Hypertextovodkaz"/>
                <w:noProof/>
              </w:rPr>
              <w:t>2.3 Vývoj počtu absolventů dle skupin oborů</w:t>
            </w:r>
            <w:r w:rsidR="00815CB8">
              <w:rPr>
                <w:noProof/>
                <w:webHidden/>
              </w:rPr>
              <w:tab/>
            </w:r>
            <w:r w:rsidR="00815CB8">
              <w:rPr>
                <w:noProof/>
                <w:webHidden/>
              </w:rPr>
              <w:fldChar w:fldCharType="begin"/>
            </w:r>
            <w:r w:rsidR="00815CB8">
              <w:rPr>
                <w:noProof/>
                <w:webHidden/>
              </w:rPr>
              <w:instrText xml:space="preserve"> PAGEREF _Toc135224490 \h </w:instrText>
            </w:r>
            <w:r w:rsidR="00815CB8">
              <w:rPr>
                <w:noProof/>
                <w:webHidden/>
              </w:rPr>
            </w:r>
            <w:r w:rsidR="00815C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815CB8">
              <w:rPr>
                <w:noProof/>
                <w:webHidden/>
              </w:rPr>
              <w:fldChar w:fldCharType="end"/>
            </w:r>
          </w:hyperlink>
        </w:p>
        <w:p w14:paraId="2050F330" w14:textId="76895412" w:rsidR="00C87804" w:rsidRDefault="00C87804" w:rsidP="00815CB8">
          <w:pPr>
            <w:spacing w:after="120"/>
          </w:pPr>
          <w:r>
            <w:rPr>
              <w:b/>
              <w:bCs/>
            </w:rPr>
            <w:fldChar w:fldCharType="end"/>
          </w:r>
        </w:p>
      </w:sdtContent>
    </w:sdt>
    <w:p w14:paraId="5C8E44DD" w14:textId="77777777" w:rsidR="00C87804" w:rsidRDefault="00C87804" w:rsidP="00C87804">
      <w:pPr>
        <w:pStyle w:val="Nadpis1"/>
        <w:spacing w:before="120" w:after="240"/>
        <w:rPr>
          <w:b w:val="0"/>
        </w:rPr>
      </w:pPr>
    </w:p>
    <w:p w14:paraId="3F0E8731" w14:textId="77777777" w:rsidR="00C87804" w:rsidRDefault="00C87804" w:rsidP="00C87804">
      <w:pPr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</w:rPr>
      </w:pPr>
      <w:r>
        <w:rPr>
          <w:b/>
        </w:rPr>
        <w:br w:type="page"/>
      </w:r>
    </w:p>
    <w:p w14:paraId="41659854" w14:textId="543983CC" w:rsidR="009C1D00" w:rsidRDefault="00C87804" w:rsidP="009C1D00">
      <w:pPr>
        <w:pStyle w:val="Nadpis1"/>
        <w:numPr>
          <w:ilvl w:val="0"/>
          <w:numId w:val="19"/>
        </w:numPr>
      </w:pPr>
      <w:bookmarkStart w:id="0" w:name="_Toc135224478"/>
      <w:r w:rsidRPr="00BE41DD">
        <w:lastRenderedPageBreak/>
        <w:t xml:space="preserve">Studenti </w:t>
      </w:r>
      <w:r w:rsidR="00777562" w:rsidRPr="00BE41DD">
        <w:t>vysokých škol</w:t>
      </w:r>
      <w:bookmarkEnd w:id="0"/>
    </w:p>
    <w:p w14:paraId="3D820F9D" w14:textId="77777777" w:rsidR="00C55023" w:rsidRPr="00C55023" w:rsidRDefault="00C55023" w:rsidP="00C55023">
      <w:pPr>
        <w:spacing w:after="0" w:line="240" w:lineRule="auto"/>
      </w:pPr>
    </w:p>
    <w:p w14:paraId="6E07A342" w14:textId="77777777" w:rsidR="000A388F" w:rsidRPr="00BE41DD" w:rsidRDefault="000A388F" w:rsidP="000A388F">
      <w:pPr>
        <w:pStyle w:val="Nadpis1"/>
      </w:pPr>
      <w:bookmarkStart w:id="1" w:name="_Toc135224479"/>
      <w:r w:rsidRPr="00BE41DD">
        <w:t>Shrnutí</w:t>
      </w:r>
      <w:bookmarkEnd w:id="1"/>
    </w:p>
    <w:p w14:paraId="360F1316" w14:textId="7BAB514E" w:rsidR="000A388F" w:rsidRPr="005E0AD5" w:rsidRDefault="000A388F" w:rsidP="000A388F">
      <w:pPr>
        <w:spacing w:after="120"/>
        <w:jc w:val="both"/>
        <w:rPr>
          <w:rFonts w:cs="Arial"/>
          <w:szCs w:val="20"/>
        </w:rPr>
      </w:pPr>
      <w:r w:rsidRPr="005E0AD5">
        <w:rPr>
          <w:rFonts w:cs="Arial"/>
          <w:szCs w:val="20"/>
        </w:rPr>
        <w:t xml:space="preserve">V letech 2001 až 2010 postupně a výrazně </w:t>
      </w:r>
      <w:r w:rsidRPr="005E0AD5">
        <w:rPr>
          <w:rFonts w:cs="Arial"/>
          <w:b/>
          <w:szCs w:val="20"/>
        </w:rPr>
        <w:t>stoupal celkový počet studentů vysokých škol</w:t>
      </w:r>
      <w:r>
        <w:rPr>
          <w:rFonts w:cs="Arial"/>
          <w:szCs w:val="20"/>
        </w:rPr>
        <w:t xml:space="preserve"> v České republice</w:t>
      </w:r>
      <w:r w:rsidRPr="005E0AD5">
        <w:rPr>
          <w:rFonts w:cs="Arial"/>
          <w:szCs w:val="20"/>
        </w:rPr>
        <w:t xml:space="preserve"> a </w:t>
      </w:r>
      <w:r>
        <w:rPr>
          <w:rFonts w:cs="Arial"/>
          <w:szCs w:val="20"/>
        </w:rPr>
        <w:t>celkově se</w:t>
      </w:r>
      <w:r w:rsidRPr="005E0AD5">
        <w:rPr>
          <w:rFonts w:cs="Arial"/>
          <w:szCs w:val="20"/>
        </w:rPr>
        <w:t xml:space="preserve"> téměř zdvojnásobil. </w:t>
      </w:r>
      <w:r>
        <w:rPr>
          <w:rFonts w:cs="Arial"/>
          <w:szCs w:val="20"/>
        </w:rPr>
        <w:t>Mezi lety 2010 a 2019 naopak poklesl o 27</w:t>
      </w:r>
      <w:r w:rsidR="00A74C22">
        <w:rPr>
          <w:rFonts w:cs="Arial"/>
          <w:szCs w:val="20"/>
        </w:rPr>
        <w:t>,1</w:t>
      </w:r>
      <w:r>
        <w:rPr>
          <w:rFonts w:cs="Arial"/>
          <w:szCs w:val="20"/>
        </w:rPr>
        <w:t xml:space="preserve"> % a v</w:t>
      </w:r>
      <w:r w:rsidR="00A74C22">
        <w:rPr>
          <w:rFonts w:cs="Arial"/>
          <w:szCs w:val="20"/>
        </w:rPr>
        <w:t> </w:t>
      </w:r>
      <w:r w:rsidRPr="005E0AD5">
        <w:rPr>
          <w:rFonts w:cs="Arial"/>
          <w:szCs w:val="20"/>
        </w:rPr>
        <w:t>posledních třech letech pak zaznamenal opět mírný růst</w:t>
      </w:r>
      <w:r>
        <w:rPr>
          <w:rFonts w:cs="Arial"/>
          <w:szCs w:val="20"/>
        </w:rPr>
        <w:t xml:space="preserve"> (celkově o 5,5 %)</w:t>
      </w:r>
      <w:r w:rsidRPr="005E0AD5">
        <w:rPr>
          <w:rFonts w:cs="Arial"/>
          <w:szCs w:val="20"/>
        </w:rPr>
        <w:t>.</w:t>
      </w:r>
    </w:p>
    <w:p w14:paraId="16620DAC" w14:textId="16783BB3" w:rsidR="000A388F" w:rsidRDefault="000A388F" w:rsidP="000A388F">
      <w:pPr>
        <w:spacing w:after="120"/>
        <w:jc w:val="both"/>
        <w:rPr>
          <w:rFonts w:cs="Arial"/>
          <w:szCs w:val="20"/>
        </w:rPr>
      </w:pPr>
      <w:r w:rsidRPr="005E0AD5">
        <w:rPr>
          <w:rFonts w:cs="Arial"/>
          <w:szCs w:val="20"/>
        </w:rPr>
        <w:t xml:space="preserve">V celém sledovaném období se postupně zvyšoval podíl </w:t>
      </w:r>
      <w:r w:rsidRPr="005E0AD5">
        <w:rPr>
          <w:rFonts w:cs="Arial"/>
          <w:b/>
          <w:szCs w:val="20"/>
        </w:rPr>
        <w:t>studentů cizí státní příslušnosti</w:t>
      </w:r>
      <w:r w:rsidRPr="005E0AD5">
        <w:rPr>
          <w:rFonts w:cs="Arial"/>
          <w:szCs w:val="20"/>
        </w:rPr>
        <w:t xml:space="preserve">, a sice ze 4,3 % v roce 2001 na 18 % v roce 2022. </w:t>
      </w:r>
      <w:r>
        <w:rPr>
          <w:rFonts w:cs="Arial"/>
          <w:szCs w:val="20"/>
        </w:rPr>
        <w:t xml:space="preserve">Nejčetnější skupinou </w:t>
      </w:r>
      <w:r w:rsidR="00395F5D">
        <w:rPr>
          <w:rFonts w:cs="Arial"/>
          <w:szCs w:val="20"/>
        </w:rPr>
        <w:t xml:space="preserve">cizinců </w:t>
      </w:r>
      <w:r>
        <w:rPr>
          <w:rFonts w:cs="Arial"/>
          <w:szCs w:val="20"/>
        </w:rPr>
        <w:t xml:space="preserve">jsou dlouhodobě Slováci, kteří v roce 2022 tvořili </w:t>
      </w:r>
      <w:r w:rsidRPr="005E0AD5">
        <w:rPr>
          <w:rFonts w:cs="Arial"/>
          <w:szCs w:val="20"/>
        </w:rPr>
        <w:t>38,2 % ze všech cizinců. S odstupem pak následovali studenti z Ruské federace (14 %), Ukrajiny (11,4 %) a Kazachstánu (5</w:t>
      </w:r>
      <w:r w:rsidR="0030153B">
        <w:rPr>
          <w:rFonts w:cs="Arial"/>
          <w:szCs w:val="20"/>
        </w:rPr>
        <w:t>,0</w:t>
      </w:r>
      <w:r w:rsidRPr="005E0AD5">
        <w:rPr>
          <w:rFonts w:cs="Arial"/>
          <w:szCs w:val="20"/>
        </w:rPr>
        <w:t> %)</w:t>
      </w:r>
      <w:r>
        <w:rPr>
          <w:rFonts w:cs="Arial"/>
          <w:szCs w:val="20"/>
        </w:rPr>
        <w:t>. Mezi roky 2021 a 2022</w:t>
      </w:r>
      <w:r w:rsidRPr="005E0AD5">
        <w:rPr>
          <w:rFonts w:cs="Arial"/>
          <w:szCs w:val="20"/>
        </w:rPr>
        <w:t xml:space="preserve"> poměrně výrazn</w:t>
      </w:r>
      <w:r>
        <w:rPr>
          <w:rFonts w:cs="Arial"/>
          <w:szCs w:val="20"/>
        </w:rPr>
        <w:t>ě narostl počet</w:t>
      </w:r>
      <w:r w:rsidRPr="005E0AD5">
        <w:rPr>
          <w:rFonts w:cs="Arial"/>
          <w:szCs w:val="20"/>
        </w:rPr>
        <w:t xml:space="preserve"> studentů z</w:t>
      </w:r>
      <w:r>
        <w:rPr>
          <w:rFonts w:cs="Arial"/>
          <w:szCs w:val="20"/>
        </w:rPr>
        <w:t> </w:t>
      </w:r>
      <w:r w:rsidRPr="00454216">
        <w:rPr>
          <w:rFonts w:cs="Arial"/>
          <w:b/>
          <w:i/>
          <w:szCs w:val="20"/>
        </w:rPr>
        <w:t>Ukrajiny</w:t>
      </w:r>
      <w:r>
        <w:rPr>
          <w:rFonts w:cs="Arial"/>
          <w:szCs w:val="20"/>
        </w:rPr>
        <w:t xml:space="preserve">. </w:t>
      </w:r>
      <w:r w:rsidRPr="005E0AD5">
        <w:rPr>
          <w:rFonts w:cs="Arial"/>
          <w:szCs w:val="20"/>
        </w:rPr>
        <w:t>V absolutním vyjádření se zvýšil o 1 847 studentů, což je o 42,2 %.</w:t>
      </w:r>
      <w:r w:rsidR="005D5E41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Mezi studenty cizí státní příslušnosti bylo 10,3 % </w:t>
      </w:r>
      <w:r w:rsidRPr="00454216">
        <w:rPr>
          <w:rFonts w:cs="Arial"/>
          <w:b/>
          <w:i/>
          <w:szCs w:val="20"/>
        </w:rPr>
        <w:t>doktorandů</w:t>
      </w:r>
      <w:r>
        <w:rPr>
          <w:rFonts w:cs="Arial"/>
          <w:szCs w:val="20"/>
        </w:rPr>
        <w:t>, což je o poznání vyšší podíl než mezi českými studenty (6</w:t>
      </w:r>
      <w:r w:rsidR="00B57AEA">
        <w:rPr>
          <w:rFonts w:cs="Arial"/>
          <w:szCs w:val="20"/>
        </w:rPr>
        <w:t>,0</w:t>
      </w:r>
      <w:r>
        <w:rPr>
          <w:rFonts w:cs="Arial"/>
          <w:szCs w:val="20"/>
        </w:rPr>
        <w:t> %). Část cizinců však odchází do ČR studovat až po dosažení bakalářského či magisterského stupně vzdělání v jiné zemi.</w:t>
      </w:r>
    </w:p>
    <w:p w14:paraId="7E6AF390" w14:textId="77777777" w:rsidR="005D5E41" w:rsidRDefault="000A388F" w:rsidP="000A388F">
      <w:pPr>
        <w:spacing w:after="120"/>
        <w:jc w:val="both"/>
        <w:rPr>
          <w:rFonts w:cs="Arial"/>
          <w:szCs w:val="18"/>
        </w:rPr>
      </w:pPr>
      <w:r w:rsidRPr="00A2172E">
        <w:rPr>
          <w:rFonts w:cs="Arial"/>
          <w:b/>
          <w:szCs w:val="20"/>
        </w:rPr>
        <w:t>Podíl mužů</w:t>
      </w:r>
      <w:r w:rsidRPr="005E0AD5">
        <w:rPr>
          <w:rFonts w:cs="Arial"/>
          <w:szCs w:val="20"/>
        </w:rPr>
        <w:t xml:space="preserve"> mezi studenty vysokých škol byl v roce 2001 celkem 51,7 %, poté začal klesat. V průběhu roku 2004 se tak podíl mužů a žen vyrovnal</w:t>
      </w:r>
      <w:r w:rsidR="007E4FB6">
        <w:rPr>
          <w:rFonts w:cs="Arial"/>
          <w:szCs w:val="20"/>
        </w:rPr>
        <w:t>, přičemž dále klesal</w:t>
      </w:r>
      <w:r w:rsidRPr="005E0AD5">
        <w:rPr>
          <w:rFonts w:cs="Arial"/>
          <w:szCs w:val="20"/>
        </w:rPr>
        <w:t xml:space="preserve"> a od roku 2009 činí cca 44 %. </w:t>
      </w:r>
      <w:r w:rsidR="005D5E41">
        <w:rPr>
          <w:rFonts w:cs="Arial"/>
          <w:szCs w:val="18"/>
        </w:rPr>
        <w:t>V roce 2022 bylo žen mezi studenty o</w:t>
      </w:r>
      <w:r w:rsidR="005D5E41" w:rsidRPr="007E7244">
        <w:rPr>
          <w:rFonts w:cs="Arial"/>
          <w:szCs w:val="18"/>
        </w:rPr>
        <w:t xml:space="preserve"> čtvrtinu (34 tisíc) více</w:t>
      </w:r>
      <w:r w:rsidR="005D5E41">
        <w:rPr>
          <w:rFonts w:cs="Arial"/>
          <w:szCs w:val="18"/>
        </w:rPr>
        <w:t xml:space="preserve"> než mužů. Ze žen ve věku 20-29 let majících trvalý pobyt v České republice studovalo vysokou školu 21 %, u mužů činil tento podíl 16 %. </w:t>
      </w:r>
    </w:p>
    <w:p w14:paraId="5AD03558" w14:textId="46B3E527" w:rsidR="000A388F" w:rsidRPr="005D5E41" w:rsidRDefault="005D5E41" w:rsidP="000A388F">
      <w:pPr>
        <w:spacing w:after="120"/>
        <w:jc w:val="both"/>
        <w:rPr>
          <w:rFonts w:cs="Arial"/>
          <w:szCs w:val="18"/>
        </w:rPr>
      </w:pPr>
      <w:r>
        <w:rPr>
          <w:rFonts w:cs="Arial"/>
          <w:szCs w:val="20"/>
        </w:rPr>
        <w:t>Z</w:t>
      </w:r>
      <w:r w:rsidRPr="005E0AD5">
        <w:rPr>
          <w:rFonts w:cs="Arial"/>
          <w:szCs w:val="20"/>
        </w:rPr>
        <w:t>atímco mužů studovalo v roce 2022 o</w:t>
      </w:r>
      <w:r>
        <w:rPr>
          <w:rFonts w:cs="Arial"/>
          <w:szCs w:val="20"/>
        </w:rPr>
        <w:t xml:space="preserve"> 28,8 % více než v roce 2001, u </w:t>
      </w:r>
      <w:r w:rsidRPr="005E0AD5">
        <w:rPr>
          <w:rFonts w:cs="Arial"/>
          <w:szCs w:val="20"/>
        </w:rPr>
        <w:t>žen se jednalo o nárůst o 72</w:t>
      </w:r>
      <w:r>
        <w:rPr>
          <w:rFonts w:cs="Arial"/>
          <w:szCs w:val="20"/>
        </w:rPr>
        <w:t>,0 </w:t>
      </w:r>
      <w:r w:rsidRPr="005E0AD5">
        <w:rPr>
          <w:rFonts w:cs="Arial"/>
          <w:szCs w:val="20"/>
        </w:rPr>
        <w:t>%.</w:t>
      </w:r>
      <w:r>
        <w:rPr>
          <w:rFonts w:cs="Arial"/>
          <w:szCs w:val="20"/>
        </w:rPr>
        <w:t xml:space="preserve"> </w:t>
      </w:r>
      <w:r w:rsidR="000A388F">
        <w:rPr>
          <w:rFonts w:cs="Arial"/>
          <w:szCs w:val="20"/>
        </w:rPr>
        <w:t>M</w:t>
      </w:r>
      <w:r w:rsidR="000A388F" w:rsidRPr="005E0AD5">
        <w:rPr>
          <w:rFonts w:cs="Arial"/>
          <w:szCs w:val="20"/>
        </w:rPr>
        <w:t>užů doktorandů přibylo od roku 2001 o 8</w:t>
      </w:r>
      <w:r w:rsidR="00CA4112">
        <w:rPr>
          <w:rFonts w:cs="Arial"/>
          <w:szCs w:val="20"/>
        </w:rPr>
        <w:t>,0</w:t>
      </w:r>
      <w:r w:rsidR="000A388F" w:rsidRPr="005E0AD5">
        <w:rPr>
          <w:rFonts w:cs="Arial"/>
          <w:szCs w:val="20"/>
        </w:rPr>
        <w:t xml:space="preserve"> %, u žen doktorandek se jedná o nárůst o 52,8 %.  Přesto však v roce 2022 stále mezi doktorandy převažovali muži (tvořili 55,2 %).</w:t>
      </w:r>
    </w:p>
    <w:p w14:paraId="009B57D9" w14:textId="337680B9" w:rsidR="000A388F" w:rsidRPr="005E0AD5" w:rsidRDefault="000A388F" w:rsidP="000A388F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Od roku 2010, kdy začal celkový počet studentů klesat (viz výše), došlo do roku 2022 k úbytku studentů</w:t>
      </w:r>
      <w:r w:rsidRPr="005E0AD5">
        <w:rPr>
          <w:rFonts w:cs="Arial"/>
          <w:szCs w:val="20"/>
        </w:rPr>
        <w:t xml:space="preserve"> téměř ve všech </w:t>
      </w:r>
      <w:r w:rsidRPr="00A2172E">
        <w:rPr>
          <w:rFonts w:cs="Arial"/>
          <w:b/>
          <w:szCs w:val="20"/>
        </w:rPr>
        <w:t>oborech</w:t>
      </w:r>
      <w:r w:rsidRPr="005E0AD5">
        <w:rPr>
          <w:rFonts w:cs="Arial"/>
          <w:szCs w:val="20"/>
        </w:rPr>
        <w:t xml:space="preserve">, s výjimkou skupiny oborů </w:t>
      </w:r>
      <w:r w:rsidR="00454216">
        <w:rPr>
          <w:rFonts w:cs="Arial"/>
          <w:b/>
          <w:i/>
          <w:szCs w:val="20"/>
        </w:rPr>
        <w:t>Zdravotní a sociální péče</w:t>
      </w:r>
      <w:r>
        <w:rPr>
          <w:rFonts w:cs="Arial"/>
          <w:szCs w:val="20"/>
        </w:rPr>
        <w:t>, ve které</w:t>
      </w:r>
      <w:r w:rsidRPr="005E0AD5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počet studentů narostl</w:t>
      </w:r>
      <w:r w:rsidRPr="005E0AD5">
        <w:rPr>
          <w:rFonts w:cs="Arial"/>
          <w:szCs w:val="20"/>
        </w:rPr>
        <w:t xml:space="preserve"> o 14,3 %, a skupiny oborů </w:t>
      </w:r>
      <w:r w:rsidRPr="005E0AD5">
        <w:rPr>
          <w:rFonts w:cs="Arial"/>
          <w:b/>
          <w:i/>
          <w:szCs w:val="20"/>
        </w:rPr>
        <w:t>Přírodní vědy, matematika a statistika</w:t>
      </w:r>
      <w:r w:rsidRPr="005E0AD5">
        <w:rPr>
          <w:rFonts w:cs="Arial"/>
          <w:szCs w:val="20"/>
        </w:rPr>
        <w:t>, ve které se počet studentů zvýšil o 7</w:t>
      </w:r>
      <w:r w:rsidR="00AD2510">
        <w:rPr>
          <w:rFonts w:cs="Arial"/>
          <w:szCs w:val="20"/>
        </w:rPr>
        <w:t>,0</w:t>
      </w:r>
      <w:r w:rsidRPr="005E0AD5">
        <w:rPr>
          <w:rFonts w:cs="Arial"/>
          <w:szCs w:val="20"/>
        </w:rPr>
        <w:t xml:space="preserve"> %. Největší pokles studentů zaznamenala skupina oborů z oblasti </w:t>
      </w:r>
      <w:r w:rsidRPr="005E0AD5">
        <w:rPr>
          <w:rFonts w:cs="Arial"/>
          <w:b/>
          <w:i/>
          <w:szCs w:val="20"/>
        </w:rPr>
        <w:t>Technických věd, výroby a stavebnictví</w:t>
      </w:r>
      <w:r w:rsidRPr="005E0AD5">
        <w:rPr>
          <w:rFonts w:cs="Arial"/>
          <w:szCs w:val="20"/>
        </w:rPr>
        <w:t xml:space="preserve">, a sice o 42,9 %, o více než třetinu se snížil také počet studentů z oblasti </w:t>
      </w:r>
      <w:r w:rsidRPr="005E0AD5">
        <w:rPr>
          <w:rFonts w:cs="Arial"/>
          <w:b/>
          <w:i/>
          <w:szCs w:val="20"/>
        </w:rPr>
        <w:t>Společenských věd, žurnalistiky a informačních věd</w:t>
      </w:r>
      <w:r w:rsidRPr="005E0AD5">
        <w:rPr>
          <w:rFonts w:cs="Arial"/>
          <w:szCs w:val="20"/>
        </w:rPr>
        <w:t xml:space="preserve"> a </w:t>
      </w:r>
      <w:r w:rsidRPr="005E0AD5">
        <w:rPr>
          <w:rFonts w:cs="Arial"/>
          <w:b/>
          <w:i/>
          <w:szCs w:val="20"/>
        </w:rPr>
        <w:t>Obchodu, administrativy a práva</w:t>
      </w:r>
      <w:r w:rsidRPr="005E0AD5">
        <w:rPr>
          <w:rFonts w:cs="Arial"/>
          <w:szCs w:val="20"/>
        </w:rPr>
        <w:t xml:space="preserve">. </w:t>
      </w:r>
    </w:p>
    <w:p w14:paraId="6285E25E" w14:textId="36645E2E" w:rsidR="000A388F" w:rsidRPr="005E0AD5" w:rsidRDefault="000A388F" w:rsidP="000A388F">
      <w:pPr>
        <w:spacing w:after="120"/>
        <w:jc w:val="both"/>
        <w:rPr>
          <w:rFonts w:cs="Arial"/>
          <w:szCs w:val="20"/>
        </w:rPr>
      </w:pPr>
      <w:r w:rsidRPr="005E0AD5">
        <w:rPr>
          <w:rFonts w:cs="Arial"/>
          <w:szCs w:val="20"/>
        </w:rPr>
        <w:t xml:space="preserve">V roce 2021 zaznamenaly poprvé za 20 let </w:t>
      </w:r>
      <w:r w:rsidRPr="005E0AD5">
        <w:rPr>
          <w:rFonts w:cs="Arial"/>
          <w:b/>
          <w:i/>
          <w:szCs w:val="20"/>
        </w:rPr>
        <w:t>technické obory</w:t>
      </w:r>
      <w:r w:rsidRPr="005E0AD5">
        <w:rPr>
          <w:rFonts w:cs="Arial"/>
          <w:szCs w:val="20"/>
        </w:rPr>
        <w:t xml:space="preserve"> o něco nižší počet studentů (38 543) než obory ze skupiny </w:t>
      </w:r>
      <w:r w:rsidRPr="005E0AD5">
        <w:rPr>
          <w:rFonts w:cs="Arial"/>
          <w:b/>
          <w:i/>
          <w:szCs w:val="20"/>
        </w:rPr>
        <w:t>Zdravotní a sociální péče, péče o příznivé životní podmínky</w:t>
      </w:r>
      <w:r w:rsidR="00954C17">
        <w:rPr>
          <w:rFonts w:cs="Arial"/>
          <w:szCs w:val="20"/>
        </w:rPr>
        <w:t xml:space="preserve"> (39 365</w:t>
      </w:r>
      <w:r w:rsidRPr="005E0AD5">
        <w:rPr>
          <w:rFonts w:cs="Arial"/>
          <w:szCs w:val="20"/>
        </w:rPr>
        <w:t>) a v roce 2022 se tento rozdíl ještě zvýšil (36 993 oproti 40 253 studentů</w:t>
      </w:r>
      <w:r>
        <w:rPr>
          <w:rFonts w:cs="Arial"/>
          <w:szCs w:val="20"/>
        </w:rPr>
        <w:t>m</w:t>
      </w:r>
      <w:r w:rsidRPr="005E0AD5">
        <w:rPr>
          <w:rFonts w:cs="Arial"/>
          <w:szCs w:val="20"/>
        </w:rPr>
        <w:t xml:space="preserve">). V roce 2022 zároveň poprvé převýšil počet studentů </w:t>
      </w:r>
      <w:r w:rsidRPr="005E0AD5">
        <w:rPr>
          <w:rFonts w:cs="Arial"/>
          <w:b/>
          <w:i/>
          <w:szCs w:val="20"/>
        </w:rPr>
        <w:t>vzdělávacích oborů</w:t>
      </w:r>
      <w:r w:rsidRPr="005E0AD5">
        <w:rPr>
          <w:rFonts w:cs="Arial"/>
          <w:szCs w:val="20"/>
        </w:rPr>
        <w:t xml:space="preserve"> počet studentů technických oborů, a sice o 540 studentů.  V roce 2001 byl přitom počet studentů technických oborů oproti skupině oborů zdravotnických téměř trojnásobný a o 62,6 % vyšší než počet studentů vzdělávacích oborů.</w:t>
      </w:r>
    </w:p>
    <w:p w14:paraId="454A1561" w14:textId="79751AB5" w:rsidR="000A388F" w:rsidRDefault="000A388F" w:rsidP="000A388F">
      <w:pPr>
        <w:spacing w:after="120"/>
        <w:jc w:val="both"/>
        <w:rPr>
          <w:rFonts w:cs="Arial"/>
          <w:szCs w:val="20"/>
        </w:rPr>
      </w:pPr>
      <w:r w:rsidRPr="005E0AD5">
        <w:rPr>
          <w:rFonts w:cs="Arial"/>
          <w:szCs w:val="20"/>
        </w:rPr>
        <w:t xml:space="preserve">Zároveň lze konstatovat, že celkově za posledních </w:t>
      </w:r>
      <w:r w:rsidRPr="005E0AD5">
        <w:rPr>
          <w:rFonts w:cs="Arial"/>
          <w:b/>
          <w:szCs w:val="20"/>
        </w:rPr>
        <w:t>pět let</w:t>
      </w:r>
      <w:r w:rsidRPr="005E0AD5">
        <w:rPr>
          <w:rFonts w:cs="Arial"/>
          <w:szCs w:val="20"/>
        </w:rPr>
        <w:t xml:space="preserve"> o 23,4 % přibylo studentů oborů </w:t>
      </w:r>
      <w:r w:rsidRPr="005E0AD5">
        <w:rPr>
          <w:rFonts w:cs="Arial"/>
          <w:b/>
          <w:i/>
          <w:szCs w:val="20"/>
        </w:rPr>
        <w:t>přírodních věd, matematiky a statistiky</w:t>
      </w:r>
      <w:r w:rsidRPr="005E0AD5">
        <w:rPr>
          <w:rFonts w:cs="Arial"/>
          <w:szCs w:val="20"/>
        </w:rPr>
        <w:t xml:space="preserve"> a o 23</w:t>
      </w:r>
      <w:r w:rsidR="00B81881">
        <w:rPr>
          <w:rFonts w:cs="Arial"/>
          <w:szCs w:val="20"/>
        </w:rPr>
        <w:t>,0</w:t>
      </w:r>
      <w:r w:rsidRPr="005E0AD5">
        <w:rPr>
          <w:rFonts w:cs="Arial"/>
          <w:szCs w:val="20"/>
        </w:rPr>
        <w:t xml:space="preserve"> % ubylo studentů </w:t>
      </w:r>
      <w:r w:rsidRPr="005E0AD5">
        <w:rPr>
          <w:rFonts w:cs="Arial"/>
          <w:b/>
          <w:i/>
          <w:szCs w:val="20"/>
        </w:rPr>
        <w:t>technických věd, výroby a stavebnictví</w:t>
      </w:r>
      <w:r w:rsidRPr="005E0AD5">
        <w:rPr>
          <w:rFonts w:cs="Arial"/>
          <w:szCs w:val="20"/>
        </w:rPr>
        <w:t>. V roce 2001 bylo studentů technických věd, výroby a stavebnictví 4,5krát více než studentů přírodovědných oborů. V roce 2022 bylo studentů technických oborů již jen o 58,5 % více.</w:t>
      </w:r>
    </w:p>
    <w:p w14:paraId="4622F863" w14:textId="0E9F8EC2" w:rsidR="000A388F" w:rsidRPr="005E0AD5" w:rsidRDefault="000A388F" w:rsidP="000A388F">
      <w:pPr>
        <w:spacing w:after="120"/>
        <w:jc w:val="both"/>
        <w:rPr>
          <w:rFonts w:cs="Arial"/>
          <w:szCs w:val="20"/>
        </w:rPr>
      </w:pPr>
      <w:r>
        <w:t xml:space="preserve">Pokud studenty rozdělíme </w:t>
      </w:r>
      <w:r w:rsidRPr="007019C1">
        <w:rPr>
          <w:b/>
        </w:rPr>
        <w:t>dle státní příslušnosti</w:t>
      </w:r>
      <w:r>
        <w:t xml:space="preserve">, lze říci, že cca pětina studentů </w:t>
      </w:r>
      <w:r w:rsidRPr="000D0E71">
        <w:t>Čechů</w:t>
      </w:r>
      <w:r>
        <w:t xml:space="preserve"> (20</w:t>
      </w:r>
      <w:r w:rsidR="00E23503">
        <w:t>,0</w:t>
      </w:r>
      <w:r>
        <w:t xml:space="preserve"> %) i studentů cizí státní příslušnosti (21,5 %) studovala v roce 2022 obory z oblasti </w:t>
      </w:r>
      <w:r w:rsidRPr="000D0E71">
        <w:rPr>
          <w:b/>
          <w:i/>
        </w:rPr>
        <w:t>Obchod, administrativa a právo</w:t>
      </w:r>
      <w:r>
        <w:t>. U </w:t>
      </w:r>
      <w:r w:rsidRPr="000D0E71">
        <w:rPr>
          <w:b/>
        </w:rPr>
        <w:t xml:space="preserve">Čechů </w:t>
      </w:r>
      <w:r>
        <w:t xml:space="preserve">se však na druhém místě umístily </w:t>
      </w:r>
      <w:r w:rsidRPr="000D0E71">
        <w:rPr>
          <w:b/>
          <w:i/>
        </w:rPr>
        <w:t>vzdělávací obory</w:t>
      </w:r>
      <w:r>
        <w:t xml:space="preserve"> (14,7 %; mezi cizinci nejméně často studované) a na třetím a čtvrtém shodně </w:t>
      </w:r>
      <w:r w:rsidRPr="000D0E71">
        <w:rPr>
          <w:b/>
          <w:i/>
        </w:rPr>
        <w:t>technické</w:t>
      </w:r>
      <w:r>
        <w:t xml:space="preserve"> a </w:t>
      </w:r>
      <w:r w:rsidRPr="000D0E71">
        <w:rPr>
          <w:b/>
          <w:i/>
        </w:rPr>
        <w:t>zdravotnické</w:t>
      </w:r>
      <w:r>
        <w:t xml:space="preserve"> obory (obojí 12,5 %). Přitom před 10 lety byl počet českých studentů technických oborů téměř dvakrát vyšší než počet studentů zdravotnických oborů. </w:t>
      </w:r>
      <w:r w:rsidRPr="007019C1">
        <w:rPr>
          <w:rFonts w:cs="Arial"/>
          <w:szCs w:val="20"/>
        </w:rPr>
        <w:t xml:space="preserve">Vzdělávací </w:t>
      </w:r>
      <w:r w:rsidRPr="005E0AD5">
        <w:rPr>
          <w:rFonts w:cs="Arial"/>
          <w:szCs w:val="20"/>
        </w:rPr>
        <w:t xml:space="preserve">obory se až do roku 2020 držely na třetí příčce, od roku 2021 však zaujaly druhé místo a v roce 2022 si již získaly nad obory zdravotnickými a technickými náskok o více než pět tisíc </w:t>
      </w:r>
      <w:r>
        <w:rPr>
          <w:rFonts w:cs="Arial"/>
          <w:szCs w:val="20"/>
        </w:rPr>
        <w:t xml:space="preserve">českých </w:t>
      </w:r>
      <w:r w:rsidRPr="005E0AD5">
        <w:rPr>
          <w:rFonts w:cs="Arial"/>
          <w:szCs w:val="20"/>
        </w:rPr>
        <w:t xml:space="preserve">studentů. </w:t>
      </w:r>
      <w:r>
        <w:t xml:space="preserve">Na rozdíl od toho u </w:t>
      </w:r>
      <w:r w:rsidRPr="000D0E71">
        <w:rPr>
          <w:b/>
        </w:rPr>
        <w:t xml:space="preserve">cizinců </w:t>
      </w:r>
      <w:r>
        <w:t xml:space="preserve">obsadily v roce 2022 druhé místo </w:t>
      </w:r>
      <w:r w:rsidRPr="000D0E71">
        <w:rPr>
          <w:b/>
          <w:i/>
        </w:rPr>
        <w:t>zdravotnické obory</w:t>
      </w:r>
      <w:r>
        <w:t xml:space="preserve"> (16,7 %) a třetí místo obory z oblasti </w:t>
      </w:r>
      <w:r w:rsidRPr="000D0E71">
        <w:rPr>
          <w:b/>
          <w:i/>
        </w:rPr>
        <w:t>informační</w:t>
      </w:r>
      <w:r>
        <w:rPr>
          <w:b/>
          <w:i/>
        </w:rPr>
        <w:t>ch</w:t>
      </w:r>
      <w:r w:rsidRPr="000D0E71">
        <w:rPr>
          <w:b/>
          <w:i/>
        </w:rPr>
        <w:t xml:space="preserve"> a komunikační</w:t>
      </w:r>
      <w:r>
        <w:rPr>
          <w:b/>
          <w:i/>
        </w:rPr>
        <w:t xml:space="preserve">ch </w:t>
      </w:r>
      <w:r>
        <w:rPr>
          <w:b/>
          <w:i/>
        </w:rPr>
        <w:lastRenderedPageBreak/>
        <w:t>technologií</w:t>
      </w:r>
      <w:r>
        <w:t xml:space="preserve"> (13,9 %), které se u Čechů umístily na třetí příčce od konce</w:t>
      </w:r>
      <w:r w:rsidR="00E23503">
        <w:t xml:space="preserve"> (s 6,1 %)</w:t>
      </w:r>
      <w:r>
        <w:t xml:space="preserve">. </w:t>
      </w:r>
      <w:r>
        <w:rPr>
          <w:rFonts w:cs="Arial"/>
          <w:szCs w:val="20"/>
        </w:rPr>
        <w:t>Ve skupině českých studentů tak nad obory z oblasti ICT převažoval zájem o </w:t>
      </w:r>
      <w:r w:rsidRPr="005E0AD5">
        <w:rPr>
          <w:rFonts w:cs="Arial"/>
          <w:szCs w:val="20"/>
        </w:rPr>
        <w:t>přírodní v</w:t>
      </w:r>
      <w:r>
        <w:rPr>
          <w:rFonts w:cs="Arial"/>
          <w:szCs w:val="20"/>
        </w:rPr>
        <w:t>ědy, matematiku a statistiku (o 2 191 studentů, tj. o 13,8 %), ač celkově za všechny studenty byl zájem o tyto dvě skupiny oborů vyrovnaný.</w:t>
      </w:r>
      <w:r w:rsidRPr="005E0AD5">
        <w:rPr>
          <w:rFonts w:cs="Arial"/>
          <w:szCs w:val="20"/>
        </w:rPr>
        <w:t xml:space="preserve"> </w:t>
      </w:r>
    </w:p>
    <w:p w14:paraId="469FD91D" w14:textId="213460B0" w:rsidR="000A388F" w:rsidRDefault="000A388F" w:rsidP="000A388F">
      <w:pPr>
        <w:spacing w:after="120"/>
        <w:jc w:val="both"/>
        <w:rPr>
          <w:rFonts w:cs="Arial"/>
          <w:szCs w:val="20"/>
        </w:rPr>
      </w:pPr>
      <w:r w:rsidRPr="005E0AD5">
        <w:rPr>
          <w:rFonts w:cs="Arial"/>
          <w:szCs w:val="20"/>
        </w:rPr>
        <w:t xml:space="preserve">Mezi studujícími muži i ženami byla v roce 2022 pětina studentů, resp. studentek oborů ze skupiny </w:t>
      </w:r>
      <w:r w:rsidRPr="005E0AD5">
        <w:rPr>
          <w:rFonts w:cs="Arial"/>
          <w:b/>
          <w:i/>
          <w:szCs w:val="20"/>
        </w:rPr>
        <w:t>Obchod, administrativa a právo</w:t>
      </w:r>
      <w:r w:rsidR="005026F7">
        <w:rPr>
          <w:rFonts w:cs="Arial"/>
          <w:szCs w:val="20"/>
        </w:rPr>
        <w:t xml:space="preserve"> (20,3 %, resp. 20,2</w:t>
      </w:r>
      <w:r w:rsidRPr="005E0AD5">
        <w:rPr>
          <w:rFonts w:cs="Arial"/>
          <w:szCs w:val="20"/>
        </w:rPr>
        <w:t xml:space="preserve"> %). Zatímco však druhou a třetí příčku u žen obsadily obory </w:t>
      </w:r>
      <w:r w:rsidRPr="005E0AD5">
        <w:rPr>
          <w:rFonts w:cs="Arial"/>
          <w:b/>
          <w:i/>
          <w:szCs w:val="20"/>
        </w:rPr>
        <w:t>zdravotnické</w:t>
      </w:r>
      <w:r w:rsidRPr="005E0AD5">
        <w:rPr>
          <w:rFonts w:cs="Arial"/>
          <w:szCs w:val="20"/>
        </w:rPr>
        <w:t xml:space="preserve"> (17,5 % studentek) a </w:t>
      </w:r>
      <w:r w:rsidRPr="005E0AD5">
        <w:rPr>
          <w:rFonts w:cs="Arial"/>
          <w:b/>
          <w:i/>
          <w:szCs w:val="20"/>
        </w:rPr>
        <w:t xml:space="preserve">vzdělávací </w:t>
      </w:r>
      <w:r w:rsidRPr="005E0AD5">
        <w:rPr>
          <w:rFonts w:cs="Arial"/>
          <w:szCs w:val="20"/>
        </w:rPr>
        <w:t xml:space="preserve">(17,1 %), mezi muži to byly skupiny oborů </w:t>
      </w:r>
      <w:r w:rsidRPr="005E0AD5">
        <w:rPr>
          <w:rFonts w:cs="Arial"/>
          <w:b/>
          <w:i/>
          <w:szCs w:val="20"/>
        </w:rPr>
        <w:t>technika, výroba a stavebnictví</w:t>
      </w:r>
      <w:r w:rsidRPr="005E0AD5">
        <w:rPr>
          <w:rFonts w:cs="Arial"/>
          <w:szCs w:val="20"/>
        </w:rPr>
        <w:t xml:space="preserve"> (19,6 %) a </w:t>
      </w:r>
      <w:r w:rsidRPr="005E0AD5">
        <w:rPr>
          <w:rFonts w:cs="Arial"/>
          <w:b/>
          <w:i/>
          <w:szCs w:val="20"/>
        </w:rPr>
        <w:t>informační a komunikační technologie</w:t>
      </w:r>
      <w:r w:rsidRPr="005E0AD5">
        <w:rPr>
          <w:rFonts w:cs="Arial"/>
          <w:szCs w:val="20"/>
        </w:rPr>
        <w:t xml:space="preserve"> (14,3 %). </w:t>
      </w:r>
    </w:p>
    <w:p w14:paraId="7D58FDA1" w14:textId="77777777" w:rsidR="000A388F" w:rsidRPr="005E0AD5" w:rsidRDefault="000A388F" w:rsidP="000A388F">
      <w:pPr>
        <w:spacing w:after="120"/>
        <w:jc w:val="both"/>
        <w:rPr>
          <w:rFonts w:cs="Arial"/>
          <w:szCs w:val="20"/>
        </w:rPr>
      </w:pPr>
      <w:r w:rsidRPr="005E0AD5">
        <w:rPr>
          <w:rFonts w:cs="Arial"/>
          <w:szCs w:val="20"/>
        </w:rPr>
        <w:t xml:space="preserve">Oproti situaci </w:t>
      </w:r>
      <w:r w:rsidRPr="005E0AD5">
        <w:rPr>
          <w:rFonts w:cs="Arial"/>
          <w:b/>
          <w:szCs w:val="20"/>
        </w:rPr>
        <w:t>před pěti lety</w:t>
      </w:r>
      <w:r w:rsidRPr="005E0AD5">
        <w:rPr>
          <w:rFonts w:cs="Arial"/>
          <w:szCs w:val="20"/>
        </w:rPr>
        <w:t xml:space="preserve"> se o 51,2 % zvýšil počet </w:t>
      </w:r>
      <w:r w:rsidRPr="005E0AD5">
        <w:rPr>
          <w:rFonts w:cs="Arial"/>
          <w:b/>
          <w:szCs w:val="20"/>
        </w:rPr>
        <w:t>studentů - mužů</w:t>
      </w:r>
      <w:r w:rsidRPr="005E0AD5">
        <w:rPr>
          <w:rFonts w:cs="Arial"/>
          <w:szCs w:val="20"/>
        </w:rPr>
        <w:t xml:space="preserve"> v oborech zaměřených na </w:t>
      </w:r>
      <w:r w:rsidRPr="005E0AD5">
        <w:rPr>
          <w:rFonts w:cs="Arial"/>
          <w:b/>
          <w:i/>
          <w:szCs w:val="20"/>
        </w:rPr>
        <w:t>vzdělávání a výchovu</w:t>
      </w:r>
      <w:r w:rsidRPr="005E0AD5">
        <w:rPr>
          <w:rFonts w:cs="Arial"/>
          <w:szCs w:val="20"/>
        </w:rPr>
        <w:t xml:space="preserve">, o 29,4 % v </w:t>
      </w:r>
      <w:r w:rsidRPr="005E0AD5">
        <w:rPr>
          <w:rFonts w:cs="Arial"/>
          <w:b/>
          <w:i/>
          <w:szCs w:val="20"/>
        </w:rPr>
        <w:t xml:space="preserve">přírodovědných </w:t>
      </w:r>
      <w:r w:rsidRPr="005E0AD5">
        <w:rPr>
          <w:rFonts w:cs="Arial"/>
          <w:szCs w:val="20"/>
        </w:rPr>
        <w:t xml:space="preserve">oborech, o 14,7 % v oborech z oblasti </w:t>
      </w:r>
      <w:r w:rsidRPr="005E0AD5">
        <w:rPr>
          <w:rFonts w:cs="Arial"/>
          <w:b/>
          <w:i/>
          <w:szCs w:val="20"/>
        </w:rPr>
        <w:t>informačních a komunikačních technologií</w:t>
      </w:r>
      <w:r w:rsidRPr="005E0AD5">
        <w:rPr>
          <w:rFonts w:cs="Arial"/>
          <w:szCs w:val="20"/>
        </w:rPr>
        <w:t xml:space="preserve"> a o 13,7 % v oborech </w:t>
      </w:r>
      <w:r w:rsidRPr="005E0AD5">
        <w:rPr>
          <w:rFonts w:cs="Arial"/>
          <w:b/>
          <w:i/>
          <w:szCs w:val="20"/>
        </w:rPr>
        <w:t>zdravotnických</w:t>
      </w:r>
      <w:r w:rsidRPr="005E0AD5">
        <w:rPr>
          <w:rFonts w:cs="Arial"/>
          <w:szCs w:val="20"/>
        </w:rPr>
        <w:t>. Naopak nej</w:t>
      </w:r>
      <w:r>
        <w:rPr>
          <w:rFonts w:cs="Arial"/>
          <w:szCs w:val="20"/>
        </w:rPr>
        <w:t>výraznější propad zaznamenala oblast</w:t>
      </w:r>
      <w:r w:rsidRPr="005E0AD5">
        <w:rPr>
          <w:rFonts w:cs="Arial"/>
          <w:szCs w:val="20"/>
        </w:rPr>
        <w:t xml:space="preserve"> </w:t>
      </w:r>
      <w:r w:rsidRPr="005E0AD5">
        <w:rPr>
          <w:rFonts w:cs="Arial"/>
          <w:b/>
          <w:i/>
          <w:szCs w:val="20"/>
        </w:rPr>
        <w:t>techniky, výroby a stavebnictví</w:t>
      </w:r>
      <w:r w:rsidRPr="005E0AD5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ve které studentů</w:t>
      </w:r>
      <w:r w:rsidRPr="005E0AD5">
        <w:rPr>
          <w:rFonts w:cs="Arial"/>
          <w:szCs w:val="20"/>
        </w:rPr>
        <w:t xml:space="preserve"> ubylo bezmála o pětinu (o 18,1 %). </w:t>
      </w:r>
      <w:r>
        <w:rPr>
          <w:rFonts w:cs="Arial"/>
          <w:szCs w:val="20"/>
        </w:rPr>
        <w:t>O 7,2 % ubylo dále</w:t>
      </w:r>
      <w:r w:rsidRPr="005E0AD5">
        <w:rPr>
          <w:rFonts w:cs="Arial"/>
          <w:szCs w:val="20"/>
        </w:rPr>
        <w:t xml:space="preserve"> studentů ve </w:t>
      </w:r>
      <w:r w:rsidRPr="005E0AD5">
        <w:rPr>
          <w:rFonts w:cs="Arial"/>
          <w:b/>
          <w:i/>
          <w:szCs w:val="20"/>
        </w:rPr>
        <w:t>společenskovědních</w:t>
      </w:r>
      <w:r w:rsidRPr="005E0AD5">
        <w:rPr>
          <w:rFonts w:cs="Arial"/>
          <w:szCs w:val="20"/>
        </w:rPr>
        <w:t xml:space="preserve"> oborech. </w:t>
      </w:r>
    </w:p>
    <w:p w14:paraId="5A07105C" w14:textId="71179B44" w:rsidR="000A388F" w:rsidRDefault="000A388F" w:rsidP="000A388F">
      <w:pPr>
        <w:spacing w:after="120"/>
        <w:jc w:val="both"/>
        <w:rPr>
          <w:rFonts w:cs="Arial"/>
          <w:szCs w:val="20"/>
        </w:rPr>
      </w:pPr>
      <w:r w:rsidRPr="005E0AD5">
        <w:rPr>
          <w:rFonts w:cs="Arial"/>
          <w:szCs w:val="20"/>
        </w:rPr>
        <w:t xml:space="preserve">Pokud se jedná o </w:t>
      </w:r>
      <w:r w:rsidRPr="005E0AD5">
        <w:rPr>
          <w:rFonts w:cs="Arial"/>
          <w:b/>
          <w:szCs w:val="20"/>
        </w:rPr>
        <w:t>ženy</w:t>
      </w:r>
      <w:r w:rsidRPr="005E0AD5">
        <w:rPr>
          <w:rFonts w:cs="Arial"/>
          <w:szCs w:val="20"/>
        </w:rPr>
        <w:t xml:space="preserve">, byl v posledních </w:t>
      </w:r>
      <w:r w:rsidRPr="005E0AD5">
        <w:rPr>
          <w:rFonts w:cs="Arial"/>
          <w:b/>
          <w:szCs w:val="20"/>
        </w:rPr>
        <w:t>pěti letech</w:t>
      </w:r>
      <w:r w:rsidRPr="005E0AD5">
        <w:rPr>
          <w:rFonts w:cs="Arial"/>
          <w:szCs w:val="20"/>
        </w:rPr>
        <w:t xml:space="preserve"> zaznamenán především </w:t>
      </w:r>
      <w:r w:rsidR="005026F7">
        <w:rPr>
          <w:rFonts w:cs="Arial"/>
          <w:szCs w:val="20"/>
        </w:rPr>
        <w:t>nárůst počtu studentek v oborech</w:t>
      </w:r>
      <w:r w:rsidRPr="005E0AD5">
        <w:rPr>
          <w:rFonts w:cs="Arial"/>
          <w:szCs w:val="20"/>
        </w:rPr>
        <w:t xml:space="preserve"> z oblasti </w:t>
      </w:r>
      <w:r w:rsidRPr="005E0AD5">
        <w:rPr>
          <w:rFonts w:cs="Arial"/>
          <w:b/>
          <w:i/>
          <w:szCs w:val="20"/>
        </w:rPr>
        <w:t>informačních a komunikačních technologií</w:t>
      </w:r>
      <w:r w:rsidR="005026F7">
        <w:rPr>
          <w:rFonts w:cs="Arial"/>
          <w:szCs w:val="20"/>
        </w:rPr>
        <w:t xml:space="preserve"> (o 32,6 %), dále v</w:t>
      </w:r>
      <w:r w:rsidRPr="005E0AD5">
        <w:rPr>
          <w:rFonts w:cs="Arial"/>
          <w:szCs w:val="20"/>
        </w:rPr>
        <w:t xml:space="preserve"> </w:t>
      </w:r>
      <w:r w:rsidR="005026F7">
        <w:rPr>
          <w:rFonts w:cs="Arial"/>
          <w:b/>
          <w:i/>
          <w:szCs w:val="20"/>
        </w:rPr>
        <w:t>přírodovědných</w:t>
      </w:r>
      <w:r w:rsidR="005026F7">
        <w:rPr>
          <w:rFonts w:cs="Arial"/>
          <w:szCs w:val="20"/>
        </w:rPr>
        <w:t xml:space="preserve"> oborech (19,1 %), v oborech zaměřených</w:t>
      </w:r>
      <w:r w:rsidRPr="005E0AD5">
        <w:rPr>
          <w:rFonts w:cs="Arial"/>
          <w:szCs w:val="20"/>
        </w:rPr>
        <w:t xml:space="preserve"> na </w:t>
      </w:r>
      <w:r w:rsidRPr="005E0AD5">
        <w:rPr>
          <w:rFonts w:cs="Arial"/>
          <w:b/>
          <w:i/>
          <w:szCs w:val="20"/>
        </w:rPr>
        <w:t>vzdělávání a výchovu</w:t>
      </w:r>
      <w:r w:rsidR="005026F7">
        <w:rPr>
          <w:rFonts w:cs="Arial"/>
          <w:szCs w:val="20"/>
        </w:rPr>
        <w:t xml:space="preserve"> (14,6 %) a v</w:t>
      </w:r>
      <w:r w:rsidR="006D488A">
        <w:rPr>
          <w:rFonts w:cs="Arial"/>
          <w:szCs w:val="20"/>
        </w:rPr>
        <w:t xml:space="preserve"> oborech</w:t>
      </w:r>
      <w:r w:rsidRPr="005E0AD5">
        <w:rPr>
          <w:rFonts w:cs="Arial"/>
          <w:szCs w:val="20"/>
        </w:rPr>
        <w:t xml:space="preserve"> </w:t>
      </w:r>
      <w:r w:rsidR="006D488A">
        <w:rPr>
          <w:rFonts w:cs="Arial"/>
          <w:b/>
          <w:i/>
          <w:szCs w:val="20"/>
        </w:rPr>
        <w:t>zdravotnických</w:t>
      </w:r>
      <w:r w:rsidRPr="005E0AD5">
        <w:rPr>
          <w:rFonts w:cs="Arial"/>
          <w:szCs w:val="20"/>
        </w:rPr>
        <w:t xml:space="preserve"> (13,3 %). </w:t>
      </w:r>
      <w:r w:rsidR="006D488A">
        <w:rPr>
          <w:rFonts w:cs="Arial"/>
          <w:szCs w:val="20"/>
        </w:rPr>
        <w:t>Shodně s muži</w:t>
      </w:r>
      <w:r w:rsidRPr="005E0AD5">
        <w:rPr>
          <w:rFonts w:cs="Arial"/>
          <w:szCs w:val="20"/>
        </w:rPr>
        <w:t xml:space="preserve"> i u žen </w:t>
      </w:r>
      <w:r w:rsidR="006D488A">
        <w:rPr>
          <w:rFonts w:cs="Arial"/>
          <w:szCs w:val="20"/>
        </w:rPr>
        <w:t>došlo k největšímu propadu počtu studentek v </w:t>
      </w:r>
      <w:r w:rsidRPr="005E0AD5">
        <w:rPr>
          <w:rFonts w:cs="Arial"/>
          <w:szCs w:val="20"/>
        </w:rPr>
        <w:t xml:space="preserve">oblasti </w:t>
      </w:r>
      <w:r w:rsidRPr="005E0AD5">
        <w:rPr>
          <w:rFonts w:cs="Arial"/>
          <w:b/>
          <w:i/>
          <w:szCs w:val="20"/>
        </w:rPr>
        <w:t>techniky, výroby a stavebnictví</w:t>
      </w:r>
      <w:r w:rsidR="006D488A">
        <w:rPr>
          <w:rFonts w:cs="Arial"/>
          <w:szCs w:val="20"/>
        </w:rPr>
        <w:t xml:space="preserve"> (o 33,1 %</w:t>
      </w:r>
      <w:r w:rsidRPr="005E0AD5">
        <w:rPr>
          <w:rFonts w:cs="Arial"/>
          <w:szCs w:val="20"/>
        </w:rPr>
        <w:t xml:space="preserve">) a dále ve </w:t>
      </w:r>
      <w:r w:rsidRPr="005E0AD5">
        <w:rPr>
          <w:rFonts w:cs="Arial"/>
          <w:b/>
          <w:i/>
          <w:szCs w:val="20"/>
        </w:rPr>
        <w:t>společenskovědních</w:t>
      </w:r>
      <w:r w:rsidRPr="005E0AD5">
        <w:rPr>
          <w:rFonts w:cs="Arial"/>
          <w:szCs w:val="20"/>
        </w:rPr>
        <w:t xml:space="preserve"> oborech (o 12,3 %).</w:t>
      </w:r>
    </w:p>
    <w:p w14:paraId="5C0B7176" w14:textId="77777777" w:rsidR="000A388F" w:rsidRPr="005E0AD5" w:rsidRDefault="000A388F" w:rsidP="000A388F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V</w:t>
      </w:r>
      <w:r w:rsidRPr="005E0AD5">
        <w:rPr>
          <w:rFonts w:cs="Arial"/>
          <w:szCs w:val="20"/>
        </w:rPr>
        <w:t xml:space="preserve">e skupině oborů </w:t>
      </w:r>
      <w:r w:rsidRPr="005E0AD5">
        <w:rPr>
          <w:rFonts w:cs="Arial"/>
          <w:b/>
          <w:i/>
          <w:szCs w:val="20"/>
        </w:rPr>
        <w:t>Vzdělávání a výchova</w:t>
      </w:r>
      <w:r>
        <w:rPr>
          <w:rFonts w:cs="Arial"/>
          <w:b/>
          <w:i/>
          <w:szCs w:val="20"/>
        </w:rPr>
        <w:t xml:space="preserve"> </w:t>
      </w:r>
      <w:r w:rsidRPr="00516B9E">
        <w:rPr>
          <w:rFonts w:cs="Arial"/>
          <w:szCs w:val="20"/>
        </w:rPr>
        <w:t>tak byla nejen nejvýraznější převaha studentů české státní příslušnosti (97,5 %), ale také</w:t>
      </w:r>
      <w:r>
        <w:rPr>
          <w:rFonts w:cs="Arial"/>
          <w:b/>
          <w:i/>
          <w:szCs w:val="20"/>
        </w:rPr>
        <w:t xml:space="preserve"> </w:t>
      </w:r>
      <w:r w:rsidRPr="005E0AD5">
        <w:rPr>
          <w:rFonts w:cs="Arial"/>
          <w:szCs w:val="20"/>
        </w:rPr>
        <w:t>nejvyšší podíl žen</w:t>
      </w:r>
      <w:r>
        <w:rPr>
          <w:rFonts w:cs="Arial"/>
          <w:szCs w:val="20"/>
        </w:rPr>
        <w:t xml:space="preserve"> (77,1 %)</w:t>
      </w:r>
      <w:r w:rsidRPr="005E0AD5">
        <w:rPr>
          <w:rFonts w:cs="Arial"/>
          <w:szCs w:val="20"/>
        </w:rPr>
        <w:t>. Typickým studentem byla tedy ž</w:t>
      </w:r>
      <w:r>
        <w:rPr>
          <w:rFonts w:cs="Arial"/>
          <w:szCs w:val="20"/>
        </w:rPr>
        <w:t xml:space="preserve">ena české státní příslušnosti. </w:t>
      </w:r>
      <w:r w:rsidRPr="005E0AD5">
        <w:rPr>
          <w:rFonts w:cs="Arial"/>
          <w:szCs w:val="20"/>
        </w:rPr>
        <w:t>Naopak nejvyšší podíl cizinců (</w:t>
      </w:r>
      <w:r>
        <w:rPr>
          <w:rFonts w:cs="Arial"/>
          <w:szCs w:val="20"/>
        </w:rPr>
        <w:t>32,4 %</w:t>
      </w:r>
      <w:r w:rsidRPr="005E0AD5">
        <w:rPr>
          <w:rFonts w:cs="Arial"/>
          <w:szCs w:val="20"/>
        </w:rPr>
        <w:t xml:space="preserve">) byl ve skupině oborů </w:t>
      </w:r>
      <w:r w:rsidRPr="005E0AD5">
        <w:rPr>
          <w:rFonts w:cs="Arial"/>
          <w:b/>
          <w:i/>
          <w:szCs w:val="20"/>
        </w:rPr>
        <w:t>informačních a komunikačních technologií</w:t>
      </w:r>
      <w:r w:rsidRPr="005E0AD5">
        <w:rPr>
          <w:rFonts w:cs="Arial"/>
          <w:szCs w:val="20"/>
        </w:rPr>
        <w:t>, která zaz</w:t>
      </w:r>
      <w:r>
        <w:rPr>
          <w:rFonts w:cs="Arial"/>
          <w:szCs w:val="20"/>
        </w:rPr>
        <w:t xml:space="preserve">namenala nejvyšší podíl mužů (82,2 %).   </w:t>
      </w:r>
    </w:p>
    <w:p w14:paraId="3E0CA61E" w14:textId="2F483B28" w:rsidR="000A388F" w:rsidRDefault="004104A8" w:rsidP="000A388F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N</w:t>
      </w:r>
      <w:r w:rsidR="000A388F" w:rsidRPr="005E0AD5">
        <w:rPr>
          <w:rFonts w:cs="Arial"/>
          <w:szCs w:val="20"/>
        </w:rPr>
        <w:t xml:space="preserve">ejvyšší zastoupení studentů </w:t>
      </w:r>
      <w:r w:rsidR="000A388F" w:rsidRPr="005E0AD5">
        <w:rPr>
          <w:rFonts w:cs="Arial"/>
          <w:b/>
          <w:szCs w:val="20"/>
        </w:rPr>
        <w:t>prezenčního</w:t>
      </w:r>
      <w:r w:rsidR="000A388F" w:rsidRPr="005E0AD5">
        <w:rPr>
          <w:rFonts w:cs="Arial"/>
          <w:szCs w:val="20"/>
        </w:rPr>
        <w:t xml:space="preserve"> studia měla skupina oborů </w:t>
      </w:r>
      <w:r w:rsidR="000A388F" w:rsidRPr="005E0AD5">
        <w:rPr>
          <w:rFonts w:cs="Arial"/>
          <w:b/>
          <w:i/>
          <w:szCs w:val="20"/>
        </w:rPr>
        <w:t>Přírodní vědy, matematika a statistika</w:t>
      </w:r>
      <w:r w:rsidR="000A388F" w:rsidRPr="005E0AD5">
        <w:rPr>
          <w:rFonts w:cs="Arial"/>
          <w:szCs w:val="20"/>
        </w:rPr>
        <w:t xml:space="preserve"> (91,8 %), která zároveň zaznamenala nejvyšší podíl doktorandů (pětinu). Na druhé straně nejvyšší podíl studentů </w:t>
      </w:r>
      <w:r w:rsidR="000A388F" w:rsidRPr="005E0AD5">
        <w:rPr>
          <w:rFonts w:cs="Arial"/>
          <w:b/>
          <w:szCs w:val="20"/>
        </w:rPr>
        <w:t>distančního či kombinovaného</w:t>
      </w:r>
      <w:r w:rsidR="000A388F" w:rsidRPr="005E0AD5">
        <w:rPr>
          <w:rFonts w:cs="Arial"/>
          <w:szCs w:val="20"/>
        </w:rPr>
        <w:t xml:space="preserve"> studia byl ve skupině oborů </w:t>
      </w:r>
      <w:r w:rsidR="000A388F" w:rsidRPr="005E0AD5">
        <w:rPr>
          <w:rFonts w:cs="Arial"/>
          <w:b/>
          <w:i/>
          <w:szCs w:val="20"/>
        </w:rPr>
        <w:t>Služby</w:t>
      </w:r>
      <w:r w:rsidR="000A388F" w:rsidRPr="005E0AD5">
        <w:rPr>
          <w:rFonts w:cs="Arial"/>
          <w:szCs w:val="20"/>
        </w:rPr>
        <w:t xml:space="preserve"> (38,6 %) a </w:t>
      </w:r>
      <w:r w:rsidR="000A388F" w:rsidRPr="005E0AD5">
        <w:rPr>
          <w:rFonts w:cs="Arial"/>
          <w:b/>
          <w:i/>
          <w:szCs w:val="20"/>
        </w:rPr>
        <w:t>Vzdělávání a výchova</w:t>
      </w:r>
      <w:r w:rsidR="00E8577E">
        <w:rPr>
          <w:rFonts w:cs="Arial"/>
          <w:szCs w:val="20"/>
        </w:rPr>
        <w:t xml:space="preserve"> (32,8 %), které patřily mezi tři skupiny oborů</w:t>
      </w:r>
      <w:r w:rsidR="000A388F" w:rsidRPr="005E0AD5">
        <w:rPr>
          <w:rFonts w:cs="Arial"/>
          <w:szCs w:val="20"/>
        </w:rPr>
        <w:t xml:space="preserve"> s nejmenším podílem doktorandů (</w:t>
      </w:r>
      <w:r w:rsidR="00E8577E">
        <w:rPr>
          <w:rFonts w:cs="Arial"/>
          <w:szCs w:val="20"/>
        </w:rPr>
        <w:t xml:space="preserve">doktorandi zde tvořili </w:t>
      </w:r>
      <w:r w:rsidR="000A388F" w:rsidRPr="005E0AD5">
        <w:rPr>
          <w:rFonts w:cs="Arial"/>
          <w:szCs w:val="20"/>
        </w:rPr>
        <w:t>2,4 %, resp. 1,8 %</w:t>
      </w:r>
      <w:r w:rsidR="00E8577E">
        <w:rPr>
          <w:rFonts w:cs="Arial"/>
          <w:szCs w:val="20"/>
        </w:rPr>
        <w:t xml:space="preserve"> všech studentů</w:t>
      </w:r>
      <w:r w:rsidR="000A388F" w:rsidRPr="005E0AD5">
        <w:rPr>
          <w:rFonts w:cs="Arial"/>
          <w:szCs w:val="20"/>
        </w:rPr>
        <w:t>).</w:t>
      </w:r>
    </w:p>
    <w:p w14:paraId="064D961B" w14:textId="6ADB32EB" w:rsidR="000A388F" w:rsidRPr="005E0AD5" w:rsidRDefault="000A388F" w:rsidP="000A388F">
      <w:pPr>
        <w:spacing w:after="120"/>
        <w:jc w:val="both"/>
        <w:rPr>
          <w:rFonts w:cs="Arial"/>
          <w:szCs w:val="20"/>
        </w:rPr>
      </w:pPr>
      <w:r w:rsidRPr="005E0AD5">
        <w:rPr>
          <w:rFonts w:cs="Arial"/>
          <w:szCs w:val="20"/>
        </w:rPr>
        <w:t xml:space="preserve">V posledních pěti letech se </w:t>
      </w:r>
      <w:r w:rsidR="000E3CF7">
        <w:rPr>
          <w:rFonts w:cs="Arial"/>
          <w:szCs w:val="20"/>
        </w:rPr>
        <w:t xml:space="preserve">postupně </w:t>
      </w:r>
      <w:r w:rsidRPr="005E0AD5">
        <w:rPr>
          <w:rFonts w:cs="Arial"/>
          <w:szCs w:val="20"/>
        </w:rPr>
        <w:t>sn</w:t>
      </w:r>
      <w:r w:rsidR="000D32DF">
        <w:rPr>
          <w:rFonts w:cs="Arial"/>
          <w:szCs w:val="20"/>
        </w:rPr>
        <w:t>ižoval</w:t>
      </w:r>
      <w:r w:rsidRPr="005E0AD5">
        <w:rPr>
          <w:rFonts w:cs="Arial"/>
          <w:szCs w:val="20"/>
        </w:rPr>
        <w:t xml:space="preserve"> podíl studentů </w:t>
      </w:r>
      <w:r w:rsidRPr="00A2172E">
        <w:rPr>
          <w:rFonts w:cs="Arial"/>
          <w:b/>
          <w:szCs w:val="20"/>
        </w:rPr>
        <w:t>ve věku 25</w:t>
      </w:r>
      <w:r>
        <w:rPr>
          <w:rFonts w:cs="Arial"/>
          <w:b/>
          <w:szCs w:val="20"/>
        </w:rPr>
        <w:t xml:space="preserve"> let</w:t>
      </w:r>
      <w:r w:rsidRPr="00A2172E">
        <w:rPr>
          <w:rFonts w:cs="Arial"/>
          <w:b/>
          <w:szCs w:val="20"/>
        </w:rPr>
        <w:t xml:space="preserve"> a více</w:t>
      </w:r>
      <w:r w:rsidRPr="005E0AD5">
        <w:rPr>
          <w:rFonts w:cs="Arial"/>
          <w:szCs w:val="20"/>
        </w:rPr>
        <w:t xml:space="preserve"> z 34,4 % na 30,4 % a podíl studentů </w:t>
      </w:r>
      <w:r w:rsidRPr="00A2172E">
        <w:rPr>
          <w:rFonts w:cs="Arial"/>
          <w:b/>
          <w:szCs w:val="20"/>
        </w:rPr>
        <w:t>v jiném než denním studiu</w:t>
      </w:r>
      <w:r w:rsidRPr="005E0AD5">
        <w:rPr>
          <w:rFonts w:cs="Arial"/>
          <w:szCs w:val="20"/>
        </w:rPr>
        <w:t xml:space="preserve"> z 24,</w:t>
      </w:r>
      <w:r>
        <w:rPr>
          <w:rFonts w:cs="Arial"/>
          <w:szCs w:val="20"/>
        </w:rPr>
        <w:t>6</w:t>
      </w:r>
      <w:r w:rsidRPr="005E0AD5">
        <w:rPr>
          <w:rFonts w:cs="Arial"/>
          <w:szCs w:val="20"/>
        </w:rPr>
        <w:t> % na 19,8 %.</w:t>
      </w:r>
      <w:r>
        <w:rPr>
          <w:rFonts w:cs="Arial"/>
          <w:szCs w:val="20"/>
        </w:rPr>
        <w:t xml:space="preserve"> Zároveň se za posledních pět let snížil </w:t>
      </w:r>
      <w:r w:rsidRPr="00467D79">
        <w:rPr>
          <w:rFonts w:cs="Arial"/>
          <w:szCs w:val="20"/>
        </w:rPr>
        <w:t>podíl</w:t>
      </w:r>
      <w:r w:rsidRPr="00467D79">
        <w:rPr>
          <w:rFonts w:cs="Arial"/>
          <w:b/>
          <w:szCs w:val="20"/>
        </w:rPr>
        <w:t xml:space="preserve"> doktorandů</w:t>
      </w:r>
      <w:r>
        <w:rPr>
          <w:rFonts w:cs="Arial"/>
          <w:szCs w:val="20"/>
        </w:rPr>
        <w:t xml:space="preserve"> mezi studenty ze 7,4 % na 6,7 % a naopak podíl studentů bakalářských oborů se zvýšil z 57,6 % na 60,4 %. Změny v čase jsou však v těchto ukazatelích </w:t>
      </w:r>
      <w:r w:rsidRPr="00DB0C44">
        <w:rPr>
          <w:rFonts w:cs="Arial"/>
          <w:szCs w:val="20"/>
        </w:rPr>
        <w:t>ovliv</w:t>
      </w:r>
      <w:r>
        <w:rPr>
          <w:rFonts w:cs="Arial"/>
          <w:szCs w:val="20"/>
        </w:rPr>
        <w:t xml:space="preserve">něné také demografickým vývojem a politickými opatřeními, resp. změnami v požadavcích na vzdělání  určitých profesí a s tím spojenou potřebou pracovníků doplnit si ve stanoveném termínu svou kvalifikaci. </w:t>
      </w:r>
    </w:p>
    <w:p w14:paraId="69844F0A" w14:textId="2001F74F" w:rsidR="000A388F" w:rsidRPr="005E0AD5" w:rsidRDefault="00815CB8" w:rsidP="000A388F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Nejvyšší </w:t>
      </w:r>
      <w:r w:rsidR="000A388F" w:rsidRPr="00A2172E">
        <w:rPr>
          <w:rFonts w:cs="Arial"/>
          <w:b/>
          <w:szCs w:val="20"/>
        </w:rPr>
        <w:t>podíl studentů ve věku 30 a více let</w:t>
      </w:r>
      <w:r w:rsidR="000A388F" w:rsidRPr="005E0AD5">
        <w:rPr>
          <w:rFonts w:cs="Arial"/>
          <w:szCs w:val="20"/>
        </w:rPr>
        <w:t xml:space="preserve"> </w:t>
      </w:r>
      <w:r w:rsidR="00EF7EC9">
        <w:rPr>
          <w:rFonts w:cs="Arial"/>
          <w:szCs w:val="20"/>
        </w:rPr>
        <w:t xml:space="preserve">ze všech studentů </w:t>
      </w:r>
      <w:r w:rsidR="000A388F" w:rsidRPr="005E0AD5">
        <w:rPr>
          <w:rFonts w:cs="Arial"/>
          <w:szCs w:val="20"/>
        </w:rPr>
        <w:t>byl mezi</w:t>
      </w:r>
      <w:r>
        <w:rPr>
          <w:rFonts w:cs="Arial"/>
          <w:szCs w:val="20"/>
        </w:rPr>
        <w:t xml:space="preserve"> těmi s trvalým pobytem v Praze </w:t>
      </w:r>
      <w:r w:rsidR="000A388F" w:rsidRPr="005E0AD5">
        <w:rPr>
          <w:rFonts w:cs="Arial"/>
          <w:szCs w:val="20"/>
        </w:rPr>
        <w:t>(20,6 %), následuje kraj Ústecký (16,1 %), Karlovarský (15,7 %) a Středočeský (15,3 %). Naopak ze studentů s trvalým pobytem na Vysočině tvořili studenti ve vě</w:t>
      </w:r>
      <w:r>
        <w:rPr>
          <w:rFonts w:cs="Arial"/>
          <w:szCs w:val="20"/>
        </w:rPr>
        <w:t xml:space="preserve">ku 30 let a více jen desetinu. </w:t>
      </w:r>
      <w:r w:rsidR="000A388F" w:rsidRPr="005E0AD5">
        <w:rPr>
          <w:rFonts w:cs="Arial"/>
          <w:szCs w:val="20"/>
        </w:rPr>
        <w:t>Za zmínku také stojí, že mezi studenty bydlícími v zahraničí byl druhý nejnižší podíl studentů ve věku 30 a více let (10,7 % spolu s krajem Zlínským</w:t>
      </w:r>
      <w:r w:rsidR="000A388F">
        <w:rPr>
          <w:rFonts w:cs="Arial"/>
          <w:szCs w:val="20"/>
        </w:rPr>
        <w:t>, na Vysočině to bylo 10 %</w:t>
      </w:r>
      <w:r w:rsidR="000A388F" w:rsidRPr="005E0AD5">
        <w:rPr>
          <w:rFonts w:cs="Arial"/>
          <w:szCs w:val="20"/>
        </w:rPr>
        <w:t>) a jednoznačně nejvyšší podíl studentů mladších 20 let (15 %). Druhý nejvyšší podíl studentů mladších 20 let byl na Vysočině (9,3 %).</w:t>
      </w:r>
    </w:p>
    <w:p w14:paraId="408E7D23" w14:textId="2E9A5D33" w:rsidR="000A388F" w:rsidRPr="0090765E" w:rsidRDefault="000A388F" w:rsidP="0090765E">
      <w:pPr>
        <w:spacing w:after="120"/>
        <w:jc w:val="both"/>
        <w:rPr>
          <w:rFonts w:cs="Arial"/>
          <w:szCs w:val="20"/>
        </w:rPr>
      </w:pPr>
      <w:r w:rsidRPr="005E0AD5">
        <w:rPr>
          <w:rFonts w:cs="Arial"/>
          <w:szCs w:val="20"/>
        </w:rPr>
        <w:t xml:space="preserve">Podíl </w:t>
      </w:r>
      <w:r w:rsidRPr="00A2172E">
        <w:rPr>
          <w:rFonts w:cs="Arial"/>
          <w:b/>
          <w:szCs w:val="20"/>
        </w:rPr>
        <w:t>doktorských studentů</w:t>
      </w:r>
      <w:r w:rsidRPr="005E0AD5">
        <w:rPr>
          <w:rFonts w:cs="Arial"/>
          <w:szCs w:val="20"/>
        </w:rPr>
        <w:t xml:space="preserve"> ze všech studentů zaznamenal nejvýraznější vývoj v čase u skupiny bydlící </w:t>
      </w:r>
      <w:r w:rsidRPr="00572657">
        <w:rPr>
          <w:rFonts w:cs="Arial"/>
          <w:b/>
          <w:i/>
          <w:szCs w:val="20"/>
        </w:rPr>
        <w:t>v zahraničí</w:t>
      </w:r>
      <w:r w:rsidRPr="005E0AD5">
        <w:rPr>
          <w:rFonts w:cs="Arial"/>
          <w:szCs w:val="20"/>
        </w:rPr>
        <w:t xml:space="preserve">. Zatímco v roce 2002 činil pouze 3,3 %, v roce 2012 to již bylo 8,2 % a v roce </w:t>
      </w:r>
      <w:r>
        <w:rPr>
          <w:rFonts w:cs="Arial"/>
          <w:szCs w:val="20"/>
        </w:rPr>
        <w:t xml:space="preserve">2022 více než desetina (10,3 %). </w:t>
      </w:r>
      <w:r w:rsidRPr="00572657">
        <w:rPr>
          <w:rFonts w:cs="Arial"/>
          <w:b/>
          <w:i/>
          <w:szCs w:val="20"/>
        </w:rPr>
        <w:t>Z krajů ČR</w:t>
      </w:r>
      <w:r>
        <w:rPr>
          <w:rFonts w:cs="Arial"/>
          <w:szCs w:val="20"/>
        </w:rPr>
        <w:t xml:space="preserve"> bylo v roce 2022 doktorandů nejvíce mezi vysokoškolskými studenty s trvalým pobytem v Praze</w:t>
      </w:r>
      <w:r w:rsidRPr="005E0AD5">
        <w:rPr>
          <w:rFonts w:cs="Arial"/>
          <w:szCs w:val="20"/>
        </w:rPr>
        <w:t xml:space="preserve"> (9,6 %). </w:t>
      </w:r>
      <w:r w:rsidR="0090765E">
        <w:rPr>
          <w:rFonts w:cs="Arial"/>
          <w:szCs w:val="20"/>
        </w:rPr>
        <w:t>N</w:t>
      </w:r>
      <w:r w:rsidRPr="005E0AD5">
        <w:rPr>
          <w:rFonts w:cs="Arial"/>
          <w:szCs w:val="20"/>
        </w:rPr>
        <w:t xml:space="preserve">adprůměrný podíl doktorandů ze všech studentů </w:t>
      </w:r>
      <w:r w:rsidR="0090765E">
        <w:rPr>
          <w:rFonts w:cs="Arial"/>
          <w:szCs w:val="20"/>
        </w:rPr>
        <w:t xml:space="preserve">v rámci ČR zaznamenal </w:t>
      </w:r>
      <w:r w:rsidRPr="005E0AD5">
        <w:rPr>
          <w:rFonts w:cs="Arial"/>
          <w:szCs w:val="20"/>
        </w:rPr>
        <w:t>také kraj Jihomoravský (7,4 %) a Plzeňský (6,3 %). Průměrného výsledku dosáhl kraj Olomoucký (6 %). Naopak méně než 5% byl tento p</w:t>
      </w:r>
      <w:r>
        <w:rPr>
          <w:rFonts w:cs="Arial"/>
          <w:szCs w:val="20"/>
        </w:rPr>
        <w:t>odíl v kraji Ústeckém, Karlovarském</w:t>
      </w:r>
      <w:r w:rsidRPr="005E0AD5">
        <w:rPr>
          <w:rFonts w:cs="Arial"/>
          <w:szCs w:val="20"/>
        </w:rPr>
        <w:t>, na Vysočině</w:t>
      </w:r>
      <w:r>
        <w:rPr>
          <w:rFonts w:cs="Arial"/>
          <w:szCs w:val="20"/>
        </w:rPr>
        <w:t xml:space="preserve">, </w:t>
      </w:r>
      <w:r w:rsidRPr="005E0AD5">
        <w:rPr>
          <w:rFonts w:cs="Arial"/>
          <w:szCs w:val="20"/>
        </w:rPr>
        <w:t>v kraji Pa</w:t>
      </w:r>
      <w:r>
        <w:rPr>
          <w:rFonts w:cs="Arial"/>
          <w:szCs w:val="20"/>
        </w:rPr>
        <w:t>rdubickém, Středočeském a Jihočeském</w:t>
      </w:r>
      <w:r w:rsidRPr="005E0AD5">
        <w:rPr>
          <w:rFonts w:cs="Arial"/>
          <w:szCs w:val="20"/>
        </w:rPr>
        <w:t xml:space="preserve">. Vzestup podílu doktorských studentů mezi studenty bydlícími v zahraničí v čase zároveň kontrastuje se situací v jednotlivých krajích v ČR. Ve všech krajích ČR došlo mezi lety 2002 a 2022 do jisté míry naopak ke snížení tohoto podílu. </w:t>
      </w:r>
    </w:p>
    <w:p w14:paraId="2B653AB1" w14:textId="09370C5B" w:rsidR="00C87804" w:rsidRPr="009C1D00" w:rsidRDefault="009C1D00" w:rsidP="009C1D00">
      <w:pPr>
        <w:pStyle w:val="Nadpis2"/>
        <w:spacing w:after="120"/>
      </w:pPr>
      <w:bookmarkStart w:id="2" w:name="_Toc135224480"/>
      <w:r w:rsidRPr="009C1D00">
        <w:lastRenderedPageBreak/>
        <w:t>1.</w:t>
      </w:r>
      <w:r w:rsidR="00815CB8">
        <w:t>1</w:t>
      </w:r>
      <w:r w:rsidRPr="009C1D00">
        <w:t xml:space="preserve"> C</w:t>
      </w:r>
      <w:r w:rsidR="00C87804" w:rsidRPr="009C1D00">
        <w:t>elkový přehled</w:t>
      </w:r>
      <w:bookmarkEnd w:id="2"/>
    </w:p>
    <w:p w14:paraId="6589749C" w14:textId="68D8093A" w:rsidR="00C87804" w:rsidRDefault="00C87804" w:rsidP="00C87804">
      <w:pPr>
        <w:spacing w:after="120"/>
        <w:ind w:firstLine="284"/>
        <w:jc w:val="both"/>
      </w:pPr>
      <w:r>
        <w:t xml:space="preserve">V letech 2001 až 2010 postupně a výrazně stoupal </w:t>
      </w:r>
      <w:r w:rsidR="00DC7DE7">
        <w:t xml:space="preserve">celkový </w:t>
      </w:r>
      <w:r w:rsidRPr="00662604">
        <w:t>počet</w:t>
      </w:r>
      <w:r w:rsidRPr="00662604">
        <w:rPr>
          <w:b/>
        </w:rPr>
        <w:t xml:space="preserve"> </w:t>
      </w:r>
      <w:r>
        <w:rPr>
          <w:b/>
        </w:rPr>
        <w:t xml:space="preserve">studentů </w:t>
      </w:r>
      <w:r w:rsidRPr="005A21B5">
        <w:t>vysokých škol</w:t>
      </w:r>
      <w:r>
        <w:t xml:space="preserve"> </w:t>
      </w:r>
      <w:r w:rsidR="00076378">
        <w:t xml:space="preserve">v České republice, a sice z 203 </w:t>
      </w:r>
      <w:r>
        <w:t>4</w:t>
      </w:r>
      <w:r w:rsidR="00076378">
        <w:t>48 v roce 2001 na 395 984</w:t>
      </w:r>
      <w:r>
        <w:t xml:space="preserve"> v roce 2010. Celkově se tedy téměř zdvojnásobil. Poté začal </w:t>
      </w:r>
      <w:r w:rsidRPr="008172AD">
        <w:t xml:space="preserve">klesat až na </w:t>
      </w:r>
      <w:r w:rsidR="00076378">
        <w:t>288 577</w:t>
      </w:r>
      <w:r>
        <w:t xml:space="preserve"> v roce 2019; mezi lety 2010 a 2019 tak poklesl o 27 %. V posledních třech letech pak zaznamenal opět mí</w:t>
      </w:r>
      <w:r w:rsidR="00076378">
        <w:t>rný růst a v roce 2022 čítal 304 </w:t>
      </w:r>
      <w:r>
        <w:t>5</w:t>
      </w:r>
      <w:r w:rsidR="00076378">
        <w:t>18</w:t>
      </w:r>
      <w:r>
        <w:t xml:space="preserve"> studentů – viz graf č. 1</w:t>
      </w:r>
      <w:r w:rsidR="00D17EE5">
        <w:t>.1</w:t>
      </w:r>
      <w:r>
        <w:t xml:space="preserve">. </w:t>
      </w:r>
    </w:p>
    <w:p w14:paraId="654B7C7B" w14:textId="29FD2122" w:rsidR="00C87804" w:rsidRPr="002831AD" w:rsidRDefault="00C87804" w:rsidP="00C87804">
      <w:pPr>
        <w:keepNext/>
        <w:spacing w:after="120"/>
        <w:jc w:val="both"/>
        <w:rPr>
          <w:b/>
        </w:rPr>
      </w:pPr>
      <w:r>
        <w:rPr>
          <w:b/>
        </w:rPr>
        <w:t>Graf č. 1</w:t>
      </w:r>
      <w:r w:rsidR="00D54930">
        <w:rPr>
          <w:b/>
        </w:rPr>
        <w:t>.1</w:t>
      </w:r>
      <w:r w:rsidRPr="00455F81">
        <w:rPr>
          <w:b/>
        </w:rPr>
        <w:t xml:space="preserve"> </w:t>
      </w:r>
      <w:r w:rsidR="00D54930">
        <w:rPr>
          <w:b/>
        </w:rPr>
        <w:t>C</w:t>
      </w:r>
      <w:r>
        <w:rPr>
          <w:b/>
        </w:rPr>
        <w:t xml:space="preserve">elkový počet </w:t>
      </w:r>
      <w:r w:rsidRPr="002831AD">
        <w:rPr>
          <w:b/>
        </w:rPr>
        <w:t>a podíl studentů mezi obyvateli ČR ve věku 20–29 let</w:t>
      </w:r>
    </w:p>
    <w:p w14:paraId="1BF36589" w14:textId="0A95A0B5" w:rsidR="00C87804" w:rsidRDefault="00C87804" w:rsidP="00C87804">
      <w:pPr>
        <w:keepNext/>
        <w:spacing w:after="120"/>
        <w:jc w:val="both"/>
        <w:rPr>
          <w:b/>
        </w:rPr>
      </w:pPr>
      <w:r w:rsidRPr="00F46C78">
        <w:rPr>
          <w:noProof/>
          <w:color w:val="000000" w:themeColor="text1"/>
        </w:rPr>
        <w:drawing>
          <wp:inline distT="0" distB="0" distL="0" distR="0" wp14:anchorId="0C462B09" wp14:editId="6B2BED2E">
            <wp:extent cx="5819775" cy="2047875"/>
            <wp:effectExtent l="0" t="0" r="9525" b="9525"/>
            <wp:docPr id="46" name="Graf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38AECFE" w14:textId="77777777" w:rsidR="00C87804" w:rsidRPr="007457B0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63B2BD43" w14:textId="67EDDCDA" w:rsidR="00C87804" w:rsidRDefault="00C87804" w:rsidP="00C87804">
      <w:pPr>
        <w:spacing w:after="120"/>
        <w:ind w:firstLine="284"/>
        <w:jc w:val="both"/>
      </w:pPr>
      <w:r>
        <w:t>V uvedených letech se rovněž měnil počet obyvatel České republiky. Graf č. 1</w:t>
      </w:r>
      <w:r w:rsidR="00C549C2">
        <w:t>.1</w:t>
      </w:r>
      <w:r>
        <w:t xml:space="preserve"> proto také ukazuje, jaký podíl obyvatel ČR ve věku 20–29 let, tedy ve věku obvyklém pro studium vysoké školy, v posledních 20 letech studoval na některé z vysokých škol v České republice. </w:t>
      </w:r>
    </w:p>
    <w:p w14:paraId="5B13B03E" w14:textId="56C5CB3B" w:rsidR="00C87804" w:rsidRDefault="00C87804" w:rsidP="00C87804">
      <w:pPr>
        <w:spacing w:after="120"/>
        <w:ind w:firstLine="284"/>
        <w:jc w:val="both"/>
      </w:pPr>
      <w:r>
        <w:t>Aby bylo zřejmé, jak velkou skupinu studentů vysokých škol v ČR zahrnujeme do tohoto ukazatele, jsou v tabulce č. 1</w:t>
      </w:r>
      <w:r w:rsidR="00FE54B3">
        <w:t>.1</w:t>
      </w:r>
      <w:r>
        <w:t xml:space="preserve"> podíly studentů, kteří v uvedených letech bydleli v ČR a byli ve věku 20–29 let, ze všech studentů (tj. včetně studentů bydlících v zahraničí, studentů mladších než 20 let a starších než 29 let):</w:t>
      </w:r>
    </w:p>
    <w:p w14:paraId="1D5D32DC" w14:textId="13B5EE82" w:rsidR="00C87804" w:rsidRDefault="00C87804" w:rsidP="00C87804">
      <w:pPr>
        <w:keepNext/>
        <w:spacing w:after="120"/>
        <w:jc w:val="both"/>
        <w:rPr>
          <w:b/>
        </w:rPr>
      </w:pPr>
      <w:r w:rsidRPr="00D8678C">
        <w:rPr>
          <w:b/>
        </w:rPr>
        <w:t>Tabulka č. 1</w:t>
      </w:r>
      <w:r w:rsidR="00D54930">
        <w:rPr>
          <w:b/>
        </w:rPr>
        <w:t>.1</w:t>
      </w:r>
      <w:r>
        <w:t xml:space="preserve"> </w:t>
      </w:r>
      <w:r w:rsidR="00D54930">
        <w:rPr>
          <w:b/>
        </w:rPr>
        <w:t>P</w:t>
      </w:r>
      <w:r w:rsidRPr="00D8678C">
        <w:rPr>
          <w:b/>
        </w:rPr>
        <w:t xml:space="preserve">odíl </w:t>
      </w:r>
      <w:r>
        <w:rPr>
          <w:b/>
        </w:rPr>
        <w:t xml:space="preserve">studentů </w:t>
      </w:r>
      <w:r w:rsidRPr="00D8678C">
        <w:rPr>
          <w:b/>
        </w:rPr>
        <w:t>ve věku 2</w:t>
      </w:r>
      <w:r>
        <w:rPr>
          <w:b/>
        </w:rPr>
        <w:t>0–</w:t>
      </w:r>
      <w:r w:rsidRPr="00D8678C">
        <w:rPr>
          <w:b/>
        </w:rPr>
        <w:t xml:space="preserve">29 let </w:t>
      </w:r>
      <w:r>
        <w:rPr>
          <w:b/>
        </w:rPr>
        <w:t>s trvalým bydlištěm</w:t>
      </w:r>
      <w:r w:rsidRPr="00D8678C">
        <w:rPr>
          <w:b/>
        </w:rPr>
        <w:t xml:space="preserve"> v ČR </w:t>
      </w:r>
      <w:r>
        <w:rPr>
          <w:b/>
        </w:rPr>
        <w:t xml:space="preserve">z celku (v %) </w:t>
      </w:r>
    </w:p>
    <w:tbl>
      <w:tblPr>
        <w:tblW w:w="910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0"/>
        <w:gridCol w:w="910"/>
        <w:gridCol w:w="910"/>
        <w:gridCol w:w="910"/>
        <w:gridCol w:w="910"/>
        <w:gridCol w:w="910"/>
        <w:gridCol w:w="910"/>
        <w:gridCol w:w="910"/>
        <w:gridCol w:w="910"/>
        <w:gridCol w:w="910"/>
      </w:tblGrid>
      <w:tr w:rsidR="00C87804" w:rsidRPr="00813C58" w14:paraId="0514B86B" w14:textId="77777777" w:rsidTr="009C1D00">
        <w:trPr>
          <w:trHeight w:val="284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1B74F0D3" w14:textId="77777777" w:rsidR="00C87804" w:rsidRPr="00813C58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813C58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70478C64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813C58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2002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03E1CBF2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813C58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2007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0859C0E2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813C58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2012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764959E4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813C58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2017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770A7E14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813C58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2018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6893C803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813C58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2019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086D19F2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813C58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2020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5C89203F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813C58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2021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1849B"/>
            <w:noWrap/>
            <w:vAlign w:val="center"/>
            <w:hideMark/>
          </w:tcPr>
          <w:p w14:paraId="13A6E7BB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813C58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2022</w:t>
            </w:r>
          </w:p>
        </w:tc>
      </w:tr>
      <w:tr w:rsidR="00C87804" w:rsidRPr="00813C58" w14:paraId="71A5E18B" w14:textId="77777777" w:rsidTr="009C1D00">
        <w:trPr>
          <w:trHeight w:val="284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39F4A" w14:textId="77777777" w:rsidR="00C87804" w:rsidRPr="00813C58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2991F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75,8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91FC9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71,0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566F2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69,9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B0E62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67,5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38F7B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43F45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65,7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C0EE2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65,0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3E59F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64,8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CBF5B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64,7</w:t>
            </w:r>
          </w:p>
        </w:tc>
      </w:tr>
      <w:tr w:rsidR="00C87804" w:rsidRPr="00813C58" w14:paraId="2B0A5EA6" w14:textId="77777777" w:rsidTr="009C1D00">
        <w:trPr>
          <w:trHeight w:val="284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A8963" w14:textId="77777777" w:rsidR="00C87804" w:rsidRPr="00813C58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ženy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5400F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74,9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72F8E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71,0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82597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69,5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6E4E1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67,7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7491B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67,1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C6196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66,0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863A0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65,3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2CA70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65,1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D184F" w14:textId="77777777" w:rsidR="00C87804" w:rsidRPr="00813C58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65,1</w:t>
            </w:r>
          </w:p>
        </w:tc>
      </w:tr>
      <w:tr w:rsidR="00C87804" w:rsidRPr="00813C58" w14:paraId="20EA9F6C" w14:textId="77777777" w:rsidTr="009C1D00">
        <w:trPr>
          <w:trHeight w:val="284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DD8E0" w14:textId="77777777" w:rsidR="00C87804" w:rsidRPr="00813C58" w:rsidRDefault="00C87804" w:rsidP="00C437AE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muži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5E9A9" w14:textId="77777777" w:rsidR="00C87804" w:rsidRPr="00813C58" w:rsidRDefault="00C87804" w:rsidP="00C437A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76,7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1BB88" w14:textId="77777777" w:rsidR="00C87804" w:rsidRPr="00813C58" w:rsidRDefault="00C87804" w:rsidP="00C437A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70,9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420A7" w14:textId="77777777" w:rsidR="00C87804" w:rsidRPr="00813C58" w:rsidRDefault="00C87804" w:rsidP="00C437A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70,4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5951D" w14:textId="77777777" w:rsidR="00C87804" w:rsidRPr="00813C58" w:rsidRDefault="00C87804" w:rsidP="00C437A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67,1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64956" w14:textId="77777777" w:rsidR="00C87804" w:rsidRPr="00813C58" w:rsidRDefault="00C87804" w:rsidP="00C437A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66,1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82CE0" w14:textId="77777777" w:rsidR="00C87804" w:rsidRPr="00813C58" w:rsidRDefault="00C87804" w:rsidP="00C437A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65,3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E75E6" w14:textId="77777777" w:rsidR="00C87804" w:rsidRPr="00813C58" w:rsidRDefault="00C87804" w:rsidP="00C437A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64,5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DE14F" w14:textId="77777777" w:rsidR="00C87804" w:rsidRPr="00813C58" w:rsidRDefault="00C87804" w:rsidP="00C437A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64,3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944A0" w14:textId="77777777" w:rsidR="00C87804" w:rsidRPr="00813C58" w:rsidRDefault="00C87804" w:rsidP="00C437A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13C58">
              <w:rPr>
                <w:rFonts w:ascii="Calibri" w:hAnsi="Calibri" w:cs="Calibri"/>
                <w:color w:val="000000"/>
                <w:sz w:val="18"/>
                <w:szCs w:val="18"/>
              </w:rPr>
              <w:t>64,2</w:t>
            </w:r>
          </w:p>
        </w:tc>
      </w:tr>
    </w:tbl>
    <w:p w14:paraId="63F2AEED" w14:textId="77777777" w:rsidR="00C87804" w:rsidRPr="007457B0" w:rsidRDefault="00C87804" w:rsidP="007457B0">
      <w:pPr>
        <w:spacing w:before="120" w:after="120" w:line="240" w:lineRule="auto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702D98E1" w14:textId="77091525" w:rsidR="00C87804" w:rsidRDefault="00C87804" w:rsidP="00C87804">
      <w:pPr>
        <w:spacing w:after="120"/>
        <w:ind w:firstLine="284"/>
        <w:jc w:val="both"/>
      </w:pPr>
      <w:r>
        <w:t xml:space="preserve">Tabulka ukazuje, že v roce 2022 bylo studentů ve věku 20-29 let ze všech studentů </w:t>
      </w:r>
      <w:r w:rsidR="009C6803">
        <w:t xml:space="preserve">s trvalým pobytem v ČR </w:t>
      </w:r>
      <w:r>
        <w:t>64,7 % a že v čase podíl těchto mladších studentů klesá.</w:t>
      </w:r>
      <w:r w:rsidR="00DC7DE7" w:rsidRPr="00DC7DE7">
        <w:t xml:space="preserve"> Zde lze poznamenat, že do věkového složení studentů se promítá více faktorů. Základní škola byla v letech 1979 až 1989 zkrácena na osm let, pak byla opět devítiletá, čímž se posunul možný nástup na vysokou školu o rok. O rok až dva roky se také může prodlužit věk při ukončení základní školy žákům s odkladem. Po roce 2001 byly dále zavedeny bakalářské studijní programy, což až do roku 2010 mělo za následek postupné zvyšování podílu studentů bak</w:t>
      </w:r>
      <w:r w:rsidR="000641D0">
        <w:t>alářských oborů z 21,1 % až na 6</w:t>
      </w:r>
      <w:r w:rsidR="00DC7DE7" w:rsidRPr="00DC7DE7">
        <w:t>2,6 %. Z těchto programů lze přitom přejít přímo na trh práce, což některé studenty může motivovat k přerušení studia a doplnění magisterského vzdělání později, příp. k pomalejšímu tempu studia vedle zaměstnání. Svou roli mohla sehrát i větší flexibilita zaměstnavatelů, příp. jejich větší podpora vzdělávání zaměstnanců, jakož i nové požadavky na kvalifikaci (např. pro učitele či zdravotní sestry), které motivují k doplnění vzdělání potřebného/užitečného pro vykonávání své profese v průběhu zaměstnání.</w:t>
      </w:r>
    </w:p>
    <w:p w14:paraId="204EE753" w14:textId="20451320" w:rsidR="00C87804" w:rsidRPr="00886A47" w:rsidRDefault="00C87804" w:rsidP="004D202E">
      <w:pPr>
        <w:spacing w:after="120"/>
        <w:ind w:firstLine="284"/>
        <w:jc w:val="both"/>
        <w:rPr>
          <w:b/>
        </w:rPr>
      </w:pPr>
      <w:r>
        <w:lastRenderedPageBreak/>
        <w:t>Přitom</w:t>
      </w:r>
      <w:r w:rsidRPr="00ED74FD">
        <w:t xml:space="preserve"> je možné poznamenat, že spolu s růstem </w:t>
      </w:r>
      <w:r w:rsidR="00DC7DE7">
        <w:t xml:space="preserve">celkového </w:t>
      </w:r>
      <w:r w:rsidRPr="00ED74FD">
        <w:t xml:space="preserve">počtu studentů vysokých škol v první dekádě 21. století rostl též podíl studentů vysokých </w:t>
      </w:r>
      <w:r w:rsidRPr="002831AD">
        <w:rPr>
          <w:color w:val="000000" w:themeColor="text1"/>
        </w:rPr>
        <w:t xml:space="preserve">škol ve věku 20–29 let bydlících v České republice z celkového počtu obyvatel ČR ve věku 20–29 let, a </w:t>
      </w:r>
      <w:r w:rsidRPr="002831AD">
        <w:t>sice z 9 % v roce 2001 na 19,5 % v r</w:t>
      </w:r>
      <w:r w:rsidRPr="002831AD">
        <w:rPr>
          <w:color w:val="000000" w:themeColor="text1"/>
        </w:rPr>
        <w:t xml:space="preserve">oce 2011. Poté se do roku 2018 tento podíl mírně snížil </w:t>
      </w:r>
      <w:r w:rsidR="002831AD" w:rsidRPr="002831AD">
        <w:t>na 16,5 % a do roku 2021</w:t>
      </w:r>
      <w:r w:rsidRPr="007A5134">
        <w:t xml:space="preserve"> </w:t>
      </w:r>
      <w:r w:rsidRPr="002831AD">
        <w:t xml:space="preserve">naopak zvýšil na </w:t>
      </w:r>
      <w:r w:rsidR="002831AD" w:rsidRPr="002831AD">
        <w:t>18,7</w:t>
      </w:r>
      <w:r w:rsidRPr="002831AD">
        <w:t> %</w:t>
      </w:r>
      <w:r w:rsidR="002831AD" w:rsidRPr="002831AD">
        <w:t>. V roce 2022 pak činil 18,3 %</w:t>
      </w:r>
      <w:r w:rsidRPr="002831AD">
        <w:t xml:space="preserve"> - viz graf č. 1</w:t>
      </w:r>
      <w:r w:rsidR="001D78EE" w:rsidRPr="002831AD">
        <w:t>.1</w:t>
      </w:r>
      <w:r w:rsidRPr="002831AD">
        <w:t>. Poznamenejme ještě, že úbytek absolutního počtu studentů vysokých škol v</w:t>
      </w:r>
      <w:r w:rsidR="00247C5E">
        <w:t>e</w:t>
      </w:r>
      <w:r w:rsidRPr="002831AD">
        <w:t xml:space="preserve"> druhé dekádě 21. století měl mj. na svědomí zejména celkový úbytek obyvatel </w:t>
      </w:r>
      <w:r w:rsidRPr="007A5134">
        <w:t>ČR v</w:t>
      </w:r>
      <w:r>
        <w:t>e věku 20–29 let. Mezi lety 2010 a 2020 poklesl téměř o čtvrtinu (tj. o 23</w:t>
      </w:r>
      <w:r w:rsidRPr="007A5134">
        <w:t xml:space="preserve">,6 </w:t>
      </w:r>
      <w:r w:rsidRPr="00886A47">
        <w:t xml:space="preserve">%). </w:t>
      </w:r>
      <w:r w:rsidR="008A529B" w:rsidRPr="00886A47">
        <w:t>Naopak v roce 2022 se poprvé od roku 2001</w:t>
      </w:r>
      <w:r w:rsidRPr="00886A47">
        <w:t xml:space="preserve"> </w:t>
      </w:r>
      <w:r w:rsidR="008A529B" w:rsidRPr="00886A47">
        <w:t xml:space="preserve">počet obyvatel České republiky ve věku 20-29 let zvýšil, a sice </w:t>
      </w:r>
      <w:r w:rsidR="00EC3186" w:rsidRPr="00886A47">
        <w:t xml:space="preserve">meziročně </w:t>
      </w:r>
      <w:r w:rsidR="008A529B" w:rsidRPr="00886A47">
        <w:t>o 2,5 %</w:t>
      </w:r>
      <w:r w:rsidR="00247C5E">
        <w:t xml:space="preserve"> (u žen</w:t>
      </w:r>
      <w:r w:rsidR="00044493" w:rsidRPr="00886A47">
        <w:t xml:space="preserve"> o 4,1 %, u mužů o 0,9 %)</w:t>
      </w:r>
      <w:r w:rsidR="008A529B" w:rsidRPr="00886A47">
        <w:t>. Zde mohla sehrát roli válka na Ukrajině a příliv Ukrajinců</w:t>
      </w:r>
      <w:r w:rsidR="00886A47" w:rsidRPr="00886A47">
        <w:t xml:space="preserve"> (s převahou žen)</w:t>
      </w:r>
      <w:r w:rsidR="008A529B" w:rsidRPr="00886A47">
        <w:t xml:space="preserve">, kteří se </w:t>
      </w:r>
      <w:r w:rsidR="00886A47" w:rsidRPr="00886A47">
        <w:t>u nás</w:t>
      </w:r>
      <w:r w:rsidR="008A529B" w:rsidRPr="00886A47">
        <w:t xml:space="preserve"> usídlili, ovšem nebyli hned připravení začít studovat vysokou školu. </w:t>
      </w:r>
      <w:r w:rsidR="00886A47" w:rsidRPr="00886A47">
        <w:t>M</w:t>
      </w:r>
      <w:r w:rsidR="008A529B" w:rsidRPr="00886A47">
        <w:t>írný pokles podílu studujících obyvatel ČR ve věku 20-29 let</w:t>
      </w:r>
      <w:r w:rsidR="00886A47" w:rsidRPr="00886A47">
        <w:t xml:space="preserve"> </w:t>
      </w:r>
      <w:r w:rsidR="00247C5E">
        <w:t xml:space="preserve">za těchto okolností </w:t>
      </w:r>
      <w:r w:rsidR="00886A47" w:rsidRPr="00886A47">
        <w:t>proto není překvapivý</w:t>
      </w:r>
      <w:r w:rsidR="008A529B" w:rsidRPr="00886A47">
        <w:t xml:space="preserve">. </w:t>
      </w:r>
    </w:p>
    <w:p w14:paraId="0E0D3119" w14:textId="54A750FA" w:rsidR="00C87804" w:rsidRPr="00545767" w:rsidRDefault="00C87804" w:rsidP="00C87804">
      <w:pPr>
        <w:spacing w:after="120"/>
        <w:ind w:firstLine="284"/>
        <w:jc w:val="both"/>
      </w:pPr>
      <w:r w:rsidRPr="00886A47">
        <w:t>Tabulka č.</w:t>
      </w:r>
      <w:r w:rsidR="001D78EE" w:rsidRPr="00886A47">
        <w:t> </w:t>
      </w:r>
      <w:r w:rsidRPr="00886A47">
        <w:t>1</w:t>
      </w:r>
      <w:r w:rsidR="001D78EE" w:rsidRPr="00886A47">
        <w:t>.1</w:t>
      </w:r>
      <w:r w:rsidRPr="00886A47">
        <w:t xml:space="preserve"> také ukazuje podíl žen, resp. mužů </w:t>
      </w:r>
      <w:r w:rsidR="00552F4C" w:rsidRPr="00886A47">
        <w:t>ve věku 20–29 let s trvalým bydlištěm v</w:t>
      </w:r>
      <w:r w:rsidR="00552F4C" w:rsidRPr="00552F4C">
        <w:t xml:space="preserve"> ČR</w:t>
      </w:r>
      <w:r>
        <w:t xml:space="preserve"> ze všech žen, resp. mužů studujících vysokou školu</w:t>
      </w:r>
      <w:r w:rsidRPr="001D78EE">
        <w:t xml:space="preserve">. Mezi ženami </w:t>
      </w:r>
      <w:r w:rsidR="001D78EE" w:rsidRPr="001D78EE">
        <w:t>byl</w:t>
      </w:r>
      <w:r w:rsidRPr="001D78EE">
        <w:t xml:space="preserve"> v roce 2022 tento podíl </w:t>
      </w:r>
      <w:r w:rsidR="001D78EE" w:rsidRPr="001D78EE">
        <w:t xml:space="preserve">o </w:t>
      </w:r>
      <w:r w:rsidR="001D78EE">
        <w:t>necelý procentní bod</w:t>
      </w:r>
      <w:r w:rsidR="001D78EE" w:rsidRPr="001D78EE">
        <w:t xml:space="preserve"> vyšší (65,1 %) než</w:t>
      </w:r>
      <w:r w:rsidRPr="001D78EE">
        <w:t xml:space="preserve"> u mužů </w:t>
      </w:r>
      <w:r w:rsidR="001D78EE" w:rsidRPr="001D78EE">
        <w:t>(64,2</w:t>
      </w:r>
      <w:r w:rsidRPr="001D78EE">
        <w:t> %</w:t>
      </w:r>
      <w:r w:rsidR="001D78EE" w:rsidRPr="001D78EE">
        <w:t>)</w:t>
      </w:r>
      <w:r w:rsidRPr="001D78EE">
        <w:t xml:space="preserve">. </w:t>
      </w:r>
      <w:r w:rsidR="001D78EE">
        <w:t xml:space="preserve">Podstatně více se lišil podíl studujících mužů ze všech mužů ve věku 20-29 let </w:t>
      </w:r>
      <w:r w:rsidR="000E3574" w:rsidRPr="00552F4C">
        <w:t xml:space="preserve">s trvalým </w:t>
      </w:r>
      <w:r w:rsidR="000E3574" w:rsidRPr="00DE55C8">
        <w:t xml:space="preserve">bydlištěm v ČR </w:t>
      </w:r>
      <w:r w:rsidR="001D78EE" w:rsidRPr="00DE55C8">
        <w:t>(</w:t>
      </w:r>
      <w:r w:rsidR="00DE55C8" w:rsidRPr="00DE55C8">
        <w:t>15,9</w:t>
      </w:r>
      <w:r w:rsidR="001D78EE" w:rsidRPr="00DE55C8">
        <w:t xml:space="preserve"> %) a podíl studujících žen že všech žen ve věku 20-29 let </w:t>
      </w:r>
      <w:r w:rsidR="000E3574" w:rsidRPr="00DE55C8">
        <w:t xml:space="preserve">s trvalým bydlištěm v ČR </w:t>
      </w:r>
      <w:r w:rsidR="001D78EE" w:rsidRPr="00DE55C8">
        <w:t>(</w:t>
      </w:r>
      <w:r w:rsidR="00DE55C8" w:rsidRPr="00DE55C8">
        <w:t>20,8</w:t>
      </w:r>
      <w:r w:rsidR="001D78EE" w:rsidRPr="00DE55C8">
        <w:t xml:space="preserve"> %). </w:t>
      </w:r>
      <w:r w:rsidRPr="00DE55C8">
        <w:t xml:space="preserve">Přitom </w:t>
      </w:r>
      <w:r>
        <w:t xml:space="preserve">v roce 2003 se muži a ženy v tomto </w:t>
      </w:r>
      <w:r w:rsidRPr="00545767">
        <w:t xml:space="preserve">podílu nelišili (11,1 %) a v předchozích letech byl dokonce nepatrně vyšší u mužů (v roce 2001 tvořil 9,2 % oproti 8,8 %). </w:t>
      </w:r>
      <w:r>
        <w:t>Maximální</w:t>
      </w:r>
      <w:r w:rsidR="009D40E9">
        <w:t>ch hodnot pak dosáhly</w:t>
      </w:r>
      <w:r>
        <w:t xml:space="preserve"> p</w:t>
      </w:r>
      <w:r w:rsidRPr="001E13FC">
        <w:t>odíl</w:t>
      </w:r>
      <w:r w:rsidR="009D40E9">
        <w:t>y</w:t>
      </w:r>
      <w:r>
        <w:t xml:space="preserve"> žen, resp. mužů</w:t>
      </w:r>
      <w:r w:rsidRPr="001E13FC">
        <w:t xml:space="preserve"> ve věku 20-29 </w:t>
      </w:r>
      <w:r w:rsidR="009D40E9">
        <w:t>let studujících vysokou školu v </w:t>
      </w:r>
      <w:r w:rsidRPr="001E13FC">
        <w:t>ČR ze všech žen</w:t>
      </w:r>
      <w:r>
        <w:t>, resp. mužů</w:t>
      </w:r>
      <w:r w:rsidRPr="001E13FC">
        <w:t xml:space="preserve"> ve věku 20-29 let </w:t>
      </w:r>
      <w:r>
        <w:t xml:space="preserve">v roce </w:t>
      </w:r>
      <w:r w:rsidRPr="00545767">
        <w:t xml:space="preserve">2011 (22,4 % u žen, resp. 16,8 % </w:t>
      </w:r>
      <w:r>
        <w:t xml:space="preserve">u mužů). Více viz graf č. </w:t>
      </w:r>
      <w:r w:rsidR="00344BB5">
        <w:t>1.</w:t>
      </w:r>
      <w:r>
        <w:t>2.</w:t>
      </w:r>
    </w:p>
    <w:p w14:paraId="2B214CAC" w14:textId="4BFCEC10" w:rsidR="00C87804" w:rsidRPr="00DE55C8" w:rsidRDefault="00C87804" w:rsidP="00C87804">
      <w:pPr>
        <w:keepNext/>
        <w:spacing w:after="120"/>
        <w:jc w:val="both"/>
        <w:rPr>
          <w:b/>
        </w:rPr>
      </w:pPr>
      <w:r>
        <w:rPr>
          <w:b/>
        </w:rPr>
        <w:t xml:space="preserve">Graf č. </w:t>
      </w:r>
      <w:r w:rsidR="00D54930">
        <w:rPr>
          <w:b/>
        </w:rPr>
        <w:t>1.</w:t>
      </w:r>
      <w:r>
        <w:rPr>
          <w:b/>
        </w:rPr>
        <w:t xml:space="preserve">2 </w:t>
      </w:r>
      <w:r w:rsidR="00D54930">
        <w:rPr>
          <w:b/>
        </w:rPr>
        <w:t>P</w:t>
      </w:r>
      <w:r>
        <w:rPr>
          <w:b/>
        </w:rPr>
        <w:t xml:space="preserve">očet </w:t>
      </w:r>
      <w:r w:rsidRPr="00DE55C8">
        <w:rPr>
          <w:b/>
        </w:rPr>
        <w:t>studentů a jejich podíl mezi obyvateli ČR věku 20–29 let</w:t>
      </w:r>
    </w:p>
    <w:p w14:paraId="37872BFD" w14:textId="77777777" w:rsidR="00C87804" w:rsidRPr="004C1BFB" w:rsidRDefault="00C87804" w:rsidP="00C87804">
      <w:pPr>
        <w:keepNext/>
        <w:spacing w:after="120"/>
        <w:jc w:val="both"/>
        <w:rPr>
          <w:b/>
          <w:color w:val="FF0000"/>
        </w:rPr>
      </w:pPr>
      <w:r>
        <w:rPr>
          <w:noProof/>
        </w:rPr>
        <w:drawing>
          <wp:inline distT="0" distB="0" distL="0" distR="0" wp14:anchorId="2623196E" wp14:editId="40B8D888">
            <wp:extent cx="5760720" cy="4457700"/>
            <wp:effectExtent l="0" t="0" r="11430" b="0"/>
            <wp:docPr id="52" name="Graf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7AF6A04" w14:textId="77777777" w:rsidR="00C87804" w:rsidRPr="007457B0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646C405A" w14:textId="08B50DF5" w:rsidR="0012153D" w:rsidRDefault="00100245" w:rsidP="00C87804">
      <w:pPr>
        <w:ind w:firstLine="284"/>
        <w:jc w:val="both"/>
      </w:pPr>
      <w:r w:rsidRPr="00886A47">
        <w:lastRenderedPageBreak/>
        <w:t xml:space="preserve">Výše bylo uvedeno, že mezi roky 2021 a 2022 se podíl studujících vysokou školu mezi obyvateli ČR ve věku 20-29 let snížil z 18,7 % na 18,3 %. </w:t>
      </w:r>
      <w:r w:rsidR="0012153D" w:rsidRPr="00886A47">
        <w:t>V</w:t>
      </w:r>
      <w:r w:rsidRPr="00886A47">
        <w:t> </w:t>
      </w:r>
      <w:r w:rsidR="0012153D" w:rsidRPr="00886A47">
        <w:t>grafu</w:t>
      </w:r>
      <w:r w:rsidRPr="00886A47">
        <w:t xml:space="preserve"> 1.2</w:t>
      </w:r>
      <w:r w:rsidR="0012153D" w:rsidRPr="00886A47">
        <w:t xml:space="preserve"> si lze </w:t>
      </w:r>
      <w:r w:rsidRPr="00886A47">
        <w:t xml:space="preserve">přitom </w:t>
      </w:r>
      <w:r w:rsidR="0012153D" w:rsidRPr="00886A47">
        <w:t>všimnout, že podíl studujících žen se snížil výrazně</w:t>
      </w:r>
      <w:r w:rsidR="001A090A">
        <w:t>ji než podíl studujících mužů. Jak již bylo výše naznačeno, z</w:t>
      </w:r>
      <w:r w:rsidR="0012153D" w:rsidRPr="00886A47">
        <w:t xml:space="preserve">de mohla hrát roli skutečnost, že mezi prchajícími před válkou na Ukrajině ve věku 20-29 let bylo větší množství žen než mužů </w:t>
      </w:r>
      <w:r w:rsidR="00886A47">
        <w:t xml:space="preserve">(viz informaci o přírůstku žen a mužů mezi obyvateli ČR daného věku výše) </w:t>
      </w:r>
      <w:r w:rsidR="0012153D" w:rsidRPr="00886A47">
        <w:t>a tito noví obyvatelé České republiky se z jazykových a jiných důvodů nemuseli hned zapojovat do studia na vysoké škole.</w:t>
      </w:r>
      <w:r w:rsidR="0012153D">
        <w:t xml:space="preserve">   </w:t>
      </w:r>
    </w:p>
    <w:p w14:paraId="7F8304E0" w14:textId="7A7E9021" w:rsidR="00C87804" w:rsidRDefault="00C87804" w:rsidP="00C87804">
      <w:pPr>
        <w:ind w:firstLine="284"/>
        <w:jc w:val="both"/>
      </w:pPr>
      <w:r>
        <w:t>V</w:t>
      </w:r>
      <w:r w:rsidRPr="00ED5C31">
        <w:t xml:space="preserve"> celém sledo</w:t>
      </w:r>
      <w:r>
        <w:t>vaném období</w:t>
      </w:r>
      <w:r w:rsidR="00DC7DE7">
        <w:t xml:space="preserve"> se</w:t>
      </w:r>
      <w:r>
        <w:t xml:space="preserve"> postupně zvyšoval p</w:t>
      </w:r>
      <w:r w:rsidRPr="00662604">
        <w:t xml:space="preserve">odíl </w:t>
      </w:r>
      <w:r w:rsidRPr="00662604">
        <w:rPr>
          <w:b/>
        </w:rPr>
        <w:t>studentů cizí státní příslušnosti</w:t>
      </w:r>
      <w:r>
        <w:t>, a sice ze 4,3 % v roce 2001 na 18 % v roce 2022. Naopak podíl Čechů mezi studenty zaznamenal od roku 2001 setrvalý pokles</w:t>
      </w:r>
      <w:r w:rsidR="00C85EBE">
        <w:t>. Navíc si lze všimnout, že na rozdíl od cizinců se absolutní počet studentů české státní příslušnosti mezi posledními dvěma roky mírně snížil (poklesl o 0,8 % oproti 5,8% nárůstu počtu cizinců). V</w:t>
      </w:r>
      <w:r>
        <w:t>iz graf č. </w:t>
      </w:r>
      <w:r w:rsidR="00D54930">
        <w:t>1.3</w:t>
      </w:r>
      <w:r>
        <w:t xml:space="preserve">. </w:t>
      </w:r>
    </w:p>
    <w:p w14:paraId="605EF504" w14:textId="7CD0D334" w:rsidR="00C87804" w:rsidRPr="00ED5C31" w:rsidRDefault="00D54930" w:rsidP="00C040D7">
      <w:pPr>
        <w:keepNext/>
        <w:jc w:val="both"/>
        <w:rPr>
          <w:b/>
        </w:rPr>
      </w:pPr>
      <w:r>
        <w:rPr>
          <w:b/>
        </w:rPr>
        <w:t>Graf č. 1.3 Studenti vysokých škol</w:t>
      </w:r>
      <w:r w:rsidR="00C87804" w:rsidRPr="00ED5C31">
        <w:rPr>
          <w:b/>
        </w:rPr>
        <w:t xml:space="preserve"> </w:t>
      </w:r>
      <w:r>
        <w:rPr>
          <w:b/>
        </w:rPr>
        <w:t>v</w:t>
      </w:r>
      <w:r w:rsidR="00424F71">
        <w:rPr>
          <w:b/>
        </w:rPr>
        <w:t> </w:t>
      </w:r>
      <w:r>
        <w:rPr>
          <w:b/>
        </w:rPr>
        <w:t>České</w:t>
      </w:r>
      <w:r w:rsidR="00424F71">
        <w:rPr>
          <w:b/>
        </w:rPr>
        <w:t xml:space="preserve"> </w:t>
      </w:r>
      <w:r>
        <w:rPr>
          <w:b/>
        </w:rPr>
        <w:t>republice</w:t>
      </w:r>
      <w:r w:rsidR="00C87804" w:rsidRPr="00ED5C31">
        <w:rPr>
          <w:b/>
        </w:rPr>
        <w:t xml:space="preserve"> </w:t>
      </w:r>
      <w:r w:rsidR="00C87804">
        <w:rPr>
          <w:b/>
        </w:rPr>
        <w:t xml:space="preserve">české a </w:t>
      </w:r>
      <w:r w:rsidR="00C87804" w:rsidRPr="00ED5C31">
        <w:rPr>
          <w:b/>
        </w:rPr>
        <w:t xml:space="preserve">cizí státní příslušnosti </w:t>
      </w:r>
    </w:p>
    <w:p w14:paraId="35EA8D2B" w14:textId="2FFC37EA" w:rsidR="00C87804" w:rsidRDefault="00C87804" w:rsidP="00C87804">
      <w:pPr>
        <w:jc w:val="both"/>
      </w:pPr>
      <w:r>
        <w:rPr>
          <w:noProof/>
        </w:rPr>
        <w:drawing>
          <wp:inline distT="0" distB="0" distL="0" distR="0" wp14:anchorId="4D4D7BFF" wp14:editId="34313577">
            <wp:extent cx="5886450" cy="2981325"/>
            <wp:effectExtent l="0" t="0" r="0" b="9525"/>
            <wp:docPr id="55" name="Graf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23687FC" w14:textId="170FD1BD" w:rsidR="00C87804" w:rsidRDefault="009D40E9" w:rsidP="00C87804">
      <w:pPr>
        <w:jc w:val="both"/>
      </w:pPr>
      <w:r>
        <w:rPr>
          <w:noProof/>
        </w:rPr>
        <w:drawing>
          <wp:inline distT="0" distB="0" distL="0" distR="0" wp14:anchorId="0EF2F110" wp14:editId="26C684A1">
            <wp:extent cx="5760720" cy="2698115"/>
            <wp:effectExtent l="0" t="0" r="11430" b="6985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10B8E77" w14:textId="2DBB68B7" w:rsidR="00C87804" w:rsidRPr="007457B0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33651C63" w14:textId="694DD68D" w:rsidR="00C87804" w:rsidRPr="00573E61" w:rsidRDefault="00C87804" w:rsidP="00B27A0B">
      <w:pPr>
        <w:spacing w:after="120"/>
        <w:ind w:firstLine="284"/>
        <w:jc w:val="both"/>
      </w:pPr>
      <w:r>
        <w:lastRenderedPageBreak/>
        <w:t>Celkem studovalo v roce 2022</w:t>
      </w:r>
      <w:r w:rsidRPr="00E739D8">
        <w:t xml:space="preserve"> </w:t>
      </w:r>
      <w:r>
        <w:t xml:space="preserve">na </w:t>
      </w:r>
      <w:r w:rsidRPr="00E739D8">
        <w:t>někter</w:t>
      </w:r>
      <w:r>
        <w:t>é</w:t>
      </w:r>
      <w:r w:rsidRPr="00E739D8">
        <w:t xml:space="preserve"> z  vy</w:t>
      </w:r>
      <w:r>
        <w:t>sokých škol v České republice 54 770</w:t>
      </w:r>
      <w:r w:rsidRPr="00E739D8">
        <w:t xml:space="preserve"> cizinců majících </w:t>
      </w:r>
      <w:r>
        <w:t xml:space="preserve">166 různých státních občanství. Nejvyšší podíl tvoří </w:t>
      </w:r>
      <w:r w:rsidRPr="00856905">
        <w:t>dlouhodobě Slováci</w:t>
      </w:r>
      <w:r w:rsidRPr="00E739D8">
        <w:t>.</w:t>
      </w:r>
      <w:r w:rsidR="00FE1902">
        <w:t xml:space="preserve"> V roce 2022 jich u </w:t>
      </w:r>
      <w:r>
        <w:t>nás st</w:t>
      </w:r>
      <w:r w:rsidR="00424F71">
        <w:t>udovalo celkem 20 920, což činilo</w:t>
      </w:r>
      <w:r>
        <w:t xml:space="preserve"> 38,2 % ze všech cizinců.</w:t>
      </w:r>
      <w:r w:rsidRPr="00E739D8">
        <w:t xml:space="preserve"> S odstupem pak následovali studenti z Ruské federace</w:t>
      </w:r>
      <w:r w:rsidR="00313F89">
        <w:t xml:space="preserve"> (1</w:t>
      </w:r>
      <w:r>
        <w:t>4 % z celku)</w:t>
      </w:r>
      <w:r w:rsidRPr="00E739D8">
        <w:t>, Ukrajiny</w:t>
      </w:r>
      <w:r>
        <w:t xml:space="preserve"> (11,4 % z celku)</w:t>
      </w:r>
      <w:r w:rsidRPr="00E739D8">
        <w:t xml:space="preserve"> </w:t>
      </w:r>
      <w:r>
        <w:t xml:space="preserve">a Kazachstánu (5 % z celku) – viz tabulku č. </w:t>
      </w:r>
      <w:r w:rsidR="00D54930">
        <w:t>1.</w:t>
      </w:r>
      <w:r>
        <w:t xml:space="preserve">2. </w:t>
      </w:r>
    </w:p>
    <w:p w14:paraId="48FED26F" w14:textId="61CDF494" w:rsidR="00C87804" w:rsidRDefault="00C87804" w:rsidP="00C87804">
      <w:pPr>
        <w:keepNext/>
        <w:spacing w:after="120"/>
        <w:jc w:val="both"/>
        <w:rPr>
          <w:b/>
        </w:rPr>
      </w:pPr>
      <w:r>
        <w:rPr>
          <w:b/>
        </w:rPr>
        <w:t xml:space="preserve">Tabulka č. </w:t>
      </w:r>
      <w:r w:rsidR="00D54930">
        <w:rPr>
          <w:b/>
        </w:rPr>
        <w:t>1.</w:t>
      </w:r>
      <w:r>
        <w:rPr>
          <w:b/>
        </w:rPr>
        <w:t>2</w:t>
      </w:r>
      <w:r w:rsidRPr="00E01021">
        <w:rPr>
          <w:b/>
        </w:rPr>
        <w:t xml:space="preserve"> </w:t>
      </w:r>
      <w:r w:rsidR="00D54930">
        <w:rPr>
          <w:b/>
        </w:rPr>
        <w:t>P</w:t>
      </w:r>
      <w:r>
        <w:rPr>
          <w:b/>
        </w:rPr>
        <w:t>očet studentů cizí státní příslušnosti celkem, dle země a dle studijního programu (2022)</w:t>
      </w:r>
    </w:p>
    <w:tbl>
      <w:tblPr>
        <w:tblW w:w="909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1276"/>
        <w:gridCol w:w="1276"/>
        <w:gridCol w:w="1134"/>
        <w:gridCol w:w="1417"/>
        <w:gridCol w:w="1161"/>
      </w:tblGrid>
      <w:tr w:rsidR="00C87804" w:rsidRPr="00646353" w14:paraId="5CA49200" w14:textId="77777777" w:rsidTr="00C437AE">
        <w:trPr>
          <w:trHeight w:val="468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72DBB62A" w14:textId="77777777" w:rsidR="00C87804" w:rsidRPr="00646353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646353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státní příslušnost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71E85680" w14:textId="77777777" w:rsidR="00C87804" w:rsidRPr="00646353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646353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počet studentů celkem</w:t>
            </w:r>
          </w:p>
        </w:tc>
        <w:tc>
          <w:tcPr>
            <w:tcW w:w="49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794B6668" w14:textId="77777777" w:rsidR="00C87804" w:rsidRPr="00646353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646353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z toho studující program (v %)</w:t>
            </w:r>
          </w:p>
        </w:tc>
      </w:tr>
      <w:tr w:rsidR="00C87804" w:rsidRPr="00646353" w14:paraId="76E0041E" w14:textId="77777777" w:rsidTr="008A529B">
        <w:trPr>
          <w:trHeight w:val="649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1EB55" w14:textId="77777777" w:rsidR="00C87804" w:rsidRPr="00646353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DF3D9" w14:textId="77777777" w:rsidR="00C87804" w:rsidRPr="00646353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14F088C0" w14:textId="77777777" w:rsidR="00C87804" w:rsidRPr="00646353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646353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bakalářský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6ABAFB13" w14:textId="77777777" w:rsidR="00C87804" w:rsidRPr="00646353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646353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magisterský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223F0A21" w14:textId="77777777" w:rsidR="00C87804" w:rsidRPr="00646353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646353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navazující magisterský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8D9A"/>
            <w:vAlign w:val="center"/>
            <w:hideMark/>
          </w:tcPr>
          <w:p w14:paraId="677461FD" w14:textId="77777777" w:rsidR="00C87804" w:rsidRPr="00646353" w:rsidRDefault="00C87804" w:rsidP="00C437A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646353">
              <w:rPr>
                <w:rFonts w:ascii="Calibri" w:hAnsi="Calibri" w:cs="Arial"/>
                <w:b/>
                <w:bCs/>
                <w:color w:val="FFFFFF"/>
                <w:sz w:val="18"/>
                <w:szCs w:val="18"/>
              </w:rPr>
              <w:t>doktorský</w:t>
            </w:r>
          </w:p>
        </w:tc>
      </w:tr>
      <w:tr w:rsidR="008101F3" w:rsidRPr="00646353" w14:paraId="54B325AD" w14:textId="77777777" w:rsidTr="008A529B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AF19B" w14:textId="77777777" w:rsidR="008101F3" w:rsidRPr="00646353" w:rsidRDefault="008101F3" w:rsidP="008101F3">
            <w:pPr>
              <w:keepNext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t>Cizinci celkem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80C7" w14:textId="77777777" w:rsidR="008101F3" w:rsidRPr="00646353" w:rsidRDefault="008101F3" w:rsidP="008101F3">
            <w:pPr>
              <w:keepNext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54 770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3858" w14:textId="6D403E56" w:rsidR="008101F3" w:rsidRPr="008101F3" w:rsidRDefault="008101F3" w:rsidP="008101F3">
            <w:pPr>
              <w:keepNext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101F3">
              <w:rPr>
                <w:sz w:val="16"/>
                <w:szCs w:val="16"/>
              </w:rPr>
              <w:t>52,6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70F1" w14:textId="4273CBE7" w:rsidR="008101F3" w:rsidRPr="008101F3" w:rsidRDefault="008101F3" w:rsidP="008101F3">
            <w:pPr>
              <w:keepNext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101F3">
              <w:rPr>
                <w:sz w:val="16"/>
                <w:szCs w:val="16"/>
              </w:rPr>
              <w:t>14,5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B9BF" w14:textId="25996520" w:rsidR="008101F3" w:rsidRPr="008101F3" w:rsidRDefault="008101F3" w:rsidP="008101F3">
            <w:pPr>
              <w:keepNext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101F3">
              <w:rPr>
                <w:sz w:val="16"/>
                <w:szCs w:val="16"/>
              </w:rPr>
              <w:t>23,0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B950" w14:textId="2BED8899" w:rsidR="008101F3" w:rsidRPr="008101F3" w:rsidRDefault="008101F3" w:rsidP="008101F3">
            <w:pPr>
              <w:keepNext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101F3">
              <w:rPr>
                <w:sz w:val="16"/>
                <w:szCs w:val="16"/>
              </w:rPr>
              <w:t>10,3</w:t>
            </w:r>
          </w:p>
        </w:tc>
      </w:tr>
      <w:tr w:rsidR="00C87804" w:rsidRPr="00646353" w14:paraId="1929BAA3" w14:textId="77777777" w:rsidTr="008A529B">
        <w:trPr>
          <w:trHeight w:val="340"/>
        </w:trPr>
        <w:tc>
          <w:tcPr>
            <w:tcW w:w="90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4219" w14:textId="77777777" w:rsidR="00C87804" w:rsidRPr="00646353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   z toho země s více než 500 studenty v ČR:</w:t>
            </w:r>
          </w:p>
        </w:tc>
      </w:tr>
      <w:tr w:rsidR="00C87804" w:rsidRPr="00646353" w14:paraId="6238D02A" w14:textId="77777777" w:rsidTr="008A529B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B4F0" w14:textId="77777777" w:rsidR="00C87804" w:rsidRPr="00646353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Slovenská republika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3E18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20 920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EF91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50,3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6725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A545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24,7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360F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9,0</w:t>
            </w:r>
          </w:p>
        </w:tc>
      </w:tr>
      <w:tr w:rsidR="00C87804" w:rsidRPr="00646353" w14:paraId="407B4EF2" w14:textId="77777777" w:rsidTr="008A529B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6B89F" w14:textId="77777777" w:rsidR="00C87804" w:rsidRPr="00646353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Ruská federace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6BAE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7 645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0A35D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75,2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069F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2C174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17,1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441C1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4,5</w:t>
            </w:r>
          </w:p>
        </w:tc>
      </w:tr>
      <w:tr w:rsidR="00C87804" w:rsidRPr="00646353" w14:paraId="7C3F3CF3" w14:textId="77777777" w:rsidTr="008A529B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07ED7" w14:textId="77777777" w:rsidR="00C87804" w:rsidRPr="00646353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Ukrajina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F1A6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6 224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243B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76,6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A461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1F8E0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88D6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4,1</w:t>
            </w:r>
          </w:p>
        </w:tc>
      </w:tr>
      <w:tr w:rsidR="00C87804" w:rsidRPr="00646353" w14:paraId="30EF04DA" w14:textId="77777777" w:rsidTr="008A529B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33DC" w14:textId="77777777" w:rsidR="00C87804" w:rsidRPr="00646353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Republika Kazachstán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42E2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2 747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EA847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A6CE7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0D434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12,1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9327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1,5</w:t>
            </w:r>
          </w:p>
        </w:tc>
      </w:tr>
      <w:tr w:rsidR="00C87804" w:rsidRPr="00646353" w14:paraId="19CC2442" w14:textId="77777777" w:rsidTr="008A529B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9F630" w14:textId="77777777" w:rsidR="00C87804" w:rsidRPr="00646353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Indická republika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64DC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1 815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0218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53913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20,7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4606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41,6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2FE4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23,3</w:t>
            </w:r>
          </w:p>
        </w:tc>
      </w:tr>
      <w:tr w:rsidR="00C87804" w:rsidRPr="00646353" w14:paraId="68DCFE8A" w14:textId="77777777" w:rsidTr="008A529B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B724" w14:textId="77777777" w:rsidR="00C87804" w:rsidRPr="00646353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Běloruská republika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BEA4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1 074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55E5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73,2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3147E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31F7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7A4E1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4,7</w:t>
            </w:r>
          </w:p>
        </w:tc>
      </w:tr>
      <w:tr w:rsidR="00C87804" w:rsidRPr="00646353" w14:paraId="6CFA9109" w14:textId="77777777" w:rsidTr="008A529B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D3D2" w14:textId="77777777" w:rsidR="00C87804" w:rsidRPr="00646353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Spolková republika Německo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D10A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871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5DD9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844E5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43,5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D0B9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17,5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F0047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24,6</w:t>
            </w:r>
          </w:p>
        </w:tc>
      </w:tr>
      <w:tr w:rsidR="00C87804" w:rsidRPr="00646353" w14:paraId="1383AFC3" w14:textId="77777777" w:rsidTr="008A529B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0007" w14:textId="77777777" w:rsidR="00C87804" w:rsidRPr="00646353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Italská republika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ECD3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785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4427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37,6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15C6B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23,9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3CF3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14,3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62C71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24,2</w:t>
            </w:r>
          </w:p>
        </w:tc>
      </w:tr>
      <w:tr w:rsidR="00C87804" w:rsidRPr="00646353" w14:paraId="52839DAF" w14:textId="77777777" w:rsidTr="008A529B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94F8" w14:textId="77777777" w:rsidR="00C87804" w:rsidRPr="00646353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Čínská lidová republika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1D2B9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DADF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46,8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28AC8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F88B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32,1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B6D4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19,7</w:t>
            </w:r>
          </w:p>
        </w:tc>
      </w:tr>
      <w:tr w:rsidR="00C87804" w:rsidRPr="00646353" w14:paraId="3B53AA40" w14:textId="77777777" w:rsidTr="008A529B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2508" w14:textId="77777777" w:rsidR="00C87804" w:rsidRPr="00646353" w:rsidRDefault="00C87804" w:rsidP="00C437AE">
            <w:pPr>
              <w:keepNext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Íránská islámská republika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A714E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573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AF86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FA0FD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47,5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E6BF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093F" w14:textId="77777777" w:rsidR="00C87804" w:rsidRPr="00646353" w:rsidRDefault="00C87804" w:rsidP="00C437AE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31,1</w:t>
            </w:r>
          </w:p>
        </w:tc>
      </w:tr>
      <w:tr w:rsidR="00C87804" w:rsidRPr="00646353" w14:paraId="7A6B1CD8" w14:textId="77777777" w:rsidTr="008A529B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3677" w14:textId="77777777" w:rsidR="00C87804" w:rsidRPr="00646353" w:rsidRDefault="00C87804" w:rsidP="00C437AE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Turecká republika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2534" w14:textId="77777777" w:rsidR="00C87804" w:rsidRPr="00646353" w:rsidRDefault="00C87804" w:rsidP="00C437AE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4204" w14:textId="77777777" w:rsidR="00C87804" w:rsidRPr="00646353" w:rsidRDefault="00C87804" w:rsidP="00C437AE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4C53" w14:textId="77777777" w:rsidR="00C87804" w:rsidRPr="00646353" w:rsidRDefault="00C87804" w:rsidP="00C437AE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E0D3" w14:textId="77777777" w:rsidR="00C87804" w:rsidRPr="00646353" w:rsidRDefault="00C87804" w:rsidP="00C437AE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44,0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3BBDE" w14:textId="77777777" w:rsidR="00C87804" w:rsidRPr="00646353" w:rsidRDefault="00C87804" w:rsidP="00C437AE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46353">
              <w:rPr>
                <w:rFonts w:ascii="Calibri" w:hAnsi="Calibri" w:cs="Calibri"/>
                <w:color w:val="000000"/>
                <w:sz w:val="18"/>
                <w:szCs w:val="18"/>
              </w:rPr>
              <w:t>16,6</w:t>
            </w:r>
          </w:p>
        </w:tc>
      </w:tr>
    </w:tbl>
    <w:p w14:paraId="092F4B6F" w14:textId="77777777" w:rsidR="004D7D44" w:rsidRDefault="004D7D44" w:rsidP="004D7D44">
      <w:pPr>
        <w:spacing w:after="0" w:line="240" w:lineRule="auto"/>
        <w:jc w:val="right"/>
        <w:rPr>
          <w:szCs w:val="20"/>
        </w:rPr>
      </w:pPr>
    </w:p>
    <w:p w14:paraId="7A3E8B91" w14:textId="2DD8F940" w:rsidR="00C87804" w:rsidRPr="007457B0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7813F300" w14:textId="77777777" w:rsidR="008A529B" w:rsidRDefault="008A529B" w:rsidP="00B27A0B">
      <w:pPr>
        <w:spacing w:after="120" w:line="240" w:lineRule="auto"/>
        <w:ind w:firstLine="284"/>
        <w:jc w:val="both"/>
      </w:pPr>
    </w:p>
    <w:p w14:paraId="40032891" w14:textId="529A28AD" w:rsidR="008A529B" w:rsidRDefault="00E20E22" w:rsidP="00E20E22">
      <w:pPr>
        <w:ind w:firstLine="284"/>
        <w:jc w:val="both"/>
      </w:pPr>
      <w:r>
        <w:t>Z tabulky je také patrné, že jen malé množství studentů ze zemí, které v minulosti patřily do Sovětského svazu (tj. z Ruské federace, Ukrajiny, Kazachstánu a Běloruska)</w:t>
      </w:r>
      <w:r w:rsidR="00CD0CEF">
        <w:t>,</w:t>
      </w:r>
      <w:bookmarkStart w:id="3" w:name="_GoBack"/>
      <w:bookmarkEnd w:id="3"/>
      <w:r>
        <w:t xml:space="preserve"> studovalo v roce 2022 doktorský studijní program (1,5 až 4,7 %). Oproti tomu mezi studenty z Indie, Německa a Itálie studovala doktorský program čtvrtina a mezi studenty z Íránské islámské republiky dokonce 31,1 %.</w:t>
      </w:r>
    </w:p>
    <w:p w14:paraId="3F6D7CFD" w14:textId="1C7558A6" w:rsidR="008A529B" w:rsidRDefault="00D54930" w:rsidP="008A529B">
      <w:pPr>
        <w:spacing w:after="120"/>
        <w:ind w:firstLine="284"/>
        <w:jc w:val="both"/>
      </w:pPr>
      <w:r>
        <w:t>Graf č. 1.4</w:t>
      </w:r>
      <w:r w:rsidR="00C87804" w:rsidRPr="00410789">
        <w:t xml:space="preserve"> ještě ukazuje vý</w:t>
      </w:r>
      <w:r w:rsidR="00C87804">
        <w:t xml:space="preserve">voj podílu studentů nejčastějších čtyř </w:t>
      </w:r>
      <w:r w:rsidR="00C87804" w:rsidRPr="00410789">
        <w:t>cizích státních příslušností z celkového počtu studentů vysokých škol</w:t>
      </w:r>
      <w:r w:rsidR="00C87804">
        <w:t xml:space="preserve"> (tj. cizinců i Čechů)</w:t>
      </w:r>
      <w:r w:rsidR="00C87804" w:rsidRPr="00410789">
        <w:t xml:space="preserve">. </w:t>
      </w:r>
      <w:r w:rsidR="008A529B" w:rsidRPr="00410789">
        <w:t>Zde je zejména patrné, že po soustavném růstu podílu studentů z </w:t>
      </w:r>
      <w:r w:rsidR="008A529B" w:rsidRPr="00C44DB8">
        <w:rPr>
          <w:b/>
        </w:rPr>
        <w:t>Ruské federace</w:t>
      </w:r>
      <w:r w:rsidR="008A529B" w:rsidRPr="00410789">
        <w:t xml:space="preserve"> jejich podíl mezi roky 2021 a 2022 poklesl a v absolutním vyjádření se snížil o 426 studentů, což je o 5,3 %. Naopak </w:t>
      </w:r>
      <w:r w:rsidR="008A529B">
        <w:t xml:space="preserve">meziročně </w:t>
      </w:r>
      <w:r w:rsidR="008A529B" w:rsidRPr="00410789">
        <w:t>poměrně výrazně narostl podíl studentů z </w:t>
      </w:r>
      <w:r w:rsidR="008A529B" w:rsidRPr="00C44DB8">
        <w:rPr>
          <w:b/>
        </w:rPr>
        <w:t>Ukrajiny</w:t>
      </w:r>
      <w:r w:rsidR="00EC36D0">
        <w:t xml:space="preserve">, a sice z 1,4 % na 2 %. </w:t>
      </w:r>
      <w:r w:rsidR="008A529B">
        <w:t>V </w:t>
      </w:r>
      <w:r w:rsidR="008A529B" w:rsidRPr="00410789">
        <w:t>a</w:t>
      </w:r>
      <w:r w:rsidR="008A529B">
        <w:t>bsolutním vyjádření se zvýšil o </w:t>
      </w:r>
      <w:r w:rsidR="008A529B" w:rsidRPr="00410789">
        <w:t xml:space="preserve">1 847 studentů, což je o 42,2 %. Počet studentů ze Slovenska </w:t>
      </w:r>
      <w:r w:rsidR="008A529B">
        <w:t>se mezi roky 2021 a 2022 zvýšil jen zcela ne</w:t>
      </w:r>
      <w:r w:rsidR="008A529B" w:rsidRPr="00410789">
        <w:t>patrně (o 0,3 %), k výraznějšímu zvýšení do</w:t>
      </w:r>
      <w:r w:rsidR="008A529B">
        <w:t>šlo u studentů z Kazachstánu (o </w:t>
      </w:r>
      <w:r w:rsidR="008A529B" w:rsidRPr="00410789">
        <w:t xml:space="preserve">7,1 %). </w:t>
      </w:r>
    </w:p>
    <w:p w14:paraId="0E4F4E5B" w14:textId="77777777" w:rsidR="008A529B" w:rsidRPr="00410789" w:rsidRDefault="008A529B" w:rsidP="00B27A0B">
      <w:pPr>
        <w:spacing w:after="120" w:line="240" w:lineRule="auto"/>
        <w:ind w:firstLine="284"/>
        <w:jc w:val="both"/>
      </w:pPr>
    </w:p>
    <w:p w14:paraId="7AF4408D" w14:textId="5519921B" w:rsidR="00C87804" w:rsidRPr="00D54930" w:rsidRDefault="00D54930" w:rsidP="00C87804">
      <w:pPr>
        <w:keepNext/>
        <w:spacing w:after="120" w:line="240" w:lineRule="auto"/>
        <w:rPr>
          <w:b/>
          <w:szCs w:val="20"/>
        </w:rPr>
      </w:pPr>
      <w:r>
        <w:rPr>
          <w:b/>
        </w:rPr>
        <w:lastRenderedPageBreak/>
        <w:t>Graf č. 1.4</w:t>
      </w:r>
      <w:r w:rsidR="00C87804" w:rsidRPr="00D54930">
        <w:rPr>
          <w:b/>
        </w:rPr>
        <w:t xml:space="preserve"> </w:t>
      </w:r>
      <w:r w:rsidRPr="00D54930">
        <w:rPr>
          <w:b/>
        </w:rPr>
        <w:t>P</w:t>
      </w:r>
      <w:r w:rsidR="00C87804" w:rsidRPr="00D54930">
        <w:rPr>
          <w:b/>
        </w:rPr>
        <w:t>odíl studentů uvedených cizích státních příslušností ze všech studentů</w:t>
      </w:r>
    </w:p>
    <w:p w14:paraId="075D5D28" w14:textId="77777777" w:rsidR="00C87804" w:rsidRDefault="00C87804" w:rsidP="00C87804">
      <w:pPr>
        <w:spacing w:after="120" w:line="240" w:lineRule="auto"/>
        <w:rPr>
          <w:szCs w:val="20"/>
        </w:rPr>
      </w:pPr>
      <w:r>
        <w:rPr>
          <w:noProof/>
        </w:rPr>
        <w:drawing>
          <wp:inline distT="0" distB="0" distL="0" distR="0" wp14:anchorId="77CDAD67" wp14:editId="723D6992">
            <wp:extent cx="5905500" cy="4752975"/>
            <wp:effectExtent l="0" t="0" r="0" b="9525"/>
            <wp:docPr id="21" name="Graf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3CB8BCB" w14:textId="77777777" w:rsidR="00C87804" w:rsidRDefault="00C87804" w:rsidP="00C87804">
      <w:pPr>
        <w:spacing w:before="120" w:after="0" w:line="240" w:lineRule="auto"/>
        <w:jc w:val="right"/>
        <w:rPr>
          <w:szCs w:val="20"/>
        </w:rPr>
      </w:pPr>
      <w:r w:rsidRPr="007457B0">
        <w:rPr>
          <w:sz w:val="18"/>
          <w:szCs w:val="18"/>
        </w:rPr>
        <w:t>Zdroj dat: MŠ</w:t>
      </w:r>
      <w:r w:rsidRPr="004C1BFB">
        <w:rPr>
          <w:szCs w:val="20"/>
        </w:rPr>
        <w:t>MT</w:t>
      </w:r>
    </w:p>
    <w:p w14:paraId="52BEB06E" w14:textId="77777777" w:rsidR="00C87804" w:rsidRPr="009B118E" w:rsidRDefault="00C87804" w:rsidP="00C87804">
      <w:pPr>
        <w:spacing w:after="0" w:line="240" w:lineRule="auto"/>
        <w:jc w:val="right"/>
        <w:rPr>
          <w:szCs w:val="20"/>
        </w:rPr>
      </w:pPr>
    </w:p>
    <w:p w14:paraId="5EAC600F" w14:textId="3F6C44D1" w:rsidR="00C87804" w:rsidRPr="00410789" w:rsidRDefault="00C87804" w:rsidP="00B27A0B">
      <w:pPr>
        <w:spacing w:after="120"/>
        <w:ind w:firstLine="284"/>
        <w:jc w:val="both"/>
      </w:pPr>
      <w:r>
        <w:t>Z</w:t>
      </w:r>
      <w:r w:rsidR="00283DE8">
        <w:t> </w:t>
      </w:r>
      <w:r>
        <w:t>grafu</w:t>
      </w:r>
      <w:r w:rsidR="00283DE8">
        <w:t xml:space="preserve"> č. 1.4</w:t>
      </w:r>
      <w:r>
        <w:t xml:space="preserve"> lze také vyčíst, že se v posledních dvou letech výrazněji než v letech předchozích zvýšil podíl studentů z „ostatních“ států než jsou ty nejčastější v grafu vyjmenované. V absolutním vyjádření se </w:t>
      </w:r>
      <w:r w:rsidR="00D7668B">
        <w:t xml:space="preserve">z těchto států </w:t>
      </w:r>
      <w:r>
        <w:t xml:space="preserve">nejvýrazněji zvýšil počet studentů z Indie, a sice o 343 studentů </w:t>
      </w:r>
      <w:r w:rsidR="00283DE8">
        <w:t xml:space="preserve">(tj. o 23,3 %) </w:t>
      </w:r>
      <w:r>
        <w:t>a tímto nárůstem</w:t>
      </w:r>
      <w:r w:rsidR="00884ECD">
        <w:t xml:space="preserve"> </w:t>
      </w:r>
      <w:r w:rsidR="00D7668B">
        <w:t xml:space="preserve">v absolutním vyjádření </w:t>
      </w:r>
      <w:r w:rsidR="00884ECD">
        <w:t>se Indie</w:t>
      </w:r>
      <w:r>
        <w:t xml:space="preserve"> zařadila na druhé místo hned </w:t>
      </w:r>
      <w:r w:rsidR="00283DE8">
        <w:t>po Ukrajině. Vyšší nárůst než o </w:t>
      </w:r>
      <w:r>
        <w:t xml:space="preserve">60 studentů u nás zaznamenaly také tyto státy: </w:t>
      </w:r>
      <w:r w:rsidR="00640FC7">
        <w:t xml:space="preserve">Kazachstán (o 182 studentů, tj. o 7,1 %), </w:t>
      </w:r>
      <w:r>
        <w:t>Bangladéš (o 134 studentů, neboli o 57 %), Nigerijská federativní republika (o 109 stude</w:t>
      </w:r>
      <w:r w:rsidR="00283DE8">
        <w:t>ntů, neboli 44 %), Itálie (o 100</w:t>
      </w:r>
      <w:r>
        <w:t xml:space="preserve"> studen</w:t>
      </w:r>
      <w:r w:rsidR="00D7668B">
        <w:t>tů, neboli 14,6 %), Pákistán (o </w:t>
      </w:r>
      <w:r w:rsidR="00640FC7">
        <w:t>98 studentů, neboli 42,8 %),</w:t>
      </w:r>
      <w:r>
        <w:t xml:space="preserve"> Tur</w:t>
      </w:r>
      <w:r w:rsidR="00283DE8">
        <w:t>ecko (o 88 studentů, neboli 20,8</w:t>
      </w:r>
      <w:r>
        <w:t> %)</w:t>
      </w:r>
      <w:r w:rsidR="00640FC7">
        <w:t xml:space="preserve"> a Bulharsko (o 69 studentů, neboli o 150 %)</w:t>
      </w:r>
      <w:r>
        <w:t>.</w:t>
      </w:r>
    </w:p>
    <w:p w14:paraId="15EDFBFD" w14:textId="6AB476DD" w:rsidR="00C87804" w:rsidRDefault="00C87804" w:rsidP="00B27A0B">
      <w:pPr>
        <w:ind w:firstLine="284"/>
        <w:jc w:val="both"/>
      </w:pPr>
      <w:r>
        <w:t xml:space="preserve">Na vysokých školách je možné </w:t>
      </w:r>
      <w:r w:rsidRPr="002F77CC">
        <w:rPr>
          <w:b/>
        </w:rPr>
        <w:t>studovat bakalářský, magisterský, navazující magisterský a doktorský studijní program</w:t>
      </w:r>
      <w:r>
        <w:t>. V tomto ohledu lze konstatovat, že v roce 2022 studovaly tři pětiny studentů vysokých škol v ČR bakalářské studijní programy (60,4 %), desetina dlouhé magisterské programy (10,9 %), necelá čtvrtina magisterské navazující programy (22,7 %) a 7 % do</w:t>
      </w:r>
      <w:r w:rsidR="00D54930">
        <w:t>ktorské programy – viz graf č. 1.5</w:t>
      </w:r>
      <w:r>
        <w:t xml:space="preserve">. Oproti rokům 2001 a 2006 se výrazně snížil podíl studentů magisterských nenavazujících programů ve prospěch zejména studentů bakalářského a magisterského navazujícího programu. To souvisí s proměnou nabídky studijních programů (viz metodickou část výše v této zprávě). Podíl </w:t>
      </w:r>
      <w:r w:rsidRPr="00662604">
        <w:rPr>
          <w:b/>
        </w:rPr>
        <w:t>studentů</w:t>
      </w:r>
      <w:r>
        <w:t xml:space="preserve"> </w:t>
      </w:r>
      <w:r w:rsidRPr="00662604">
        <w:rPr>
          <w:b/>
        </w:rPr>
        <w:t>doktorského studia</w:t>
      </w:r>
      <w:r>
        <w:t xml:space="preserve"> se od počátku druhého tisíciletí příliš neměnil. Měl mírně kolísavou tendenci a pohyboval se mezi 6,5 % (v letech 2010 až 2012) a 8,2 % (v letech 2002 a 2003). </w:t>
      </w:r>
    </w:p>
    <w:p w14:paraId="65E8D8E6" w14:textId="1AA783F7" w:rsidR="00C87804" w:rsidRPr="002F77CC" w:rsidRDefault="00D54930" w:rsidP="00C87804">
      <w:pPr>
        <w:keepNext/>
        <w:jc w:val="both"/>
        <w:rPr>
          <w:b/>
        </w:rPr>
      </w:pPr>
      <w:r>
        <w:rPr>
          <w:b/>
        </w:rPr>
        <w:lastRenderedPageBreak/>
        <w:t>Graf č. 1.5 Studenti vysokých škol v</w:t>
      </w:r>
      <w:r w:rsidR="00D9568D">
        <w:rPr>
          <w:b/>
        </w:rPr>
        <w:t> </w:t>
      </w:r>
      <w:r>
        <w:rPr>
          <w:b/>
        </w:rPr>
        <w:t>České</w:t>
      </w:r>
      <w:r w:rsidR="00D9568D">
        <w:rPr>
          <w:b/>
        </w:rPr>
        <w:t xml:space="preserve"> </w:t>
      </w:r>
      <w:r>
        <w:rPr>
          <w:b/>
        </w:rPr>
        <w:t>republice</w:t>
      </w:r>
      <w:r w:rsidR="00C87804" w:rsidRPr="00ED5C31">
        <w:rPr>
          <w:b/>
        </w:rPr>
        <w:t xml:space="preserve"> </w:t>
      </w:r>
      <w:r w:rsidR="00C87804">
        <w:rPr>
          <w:b/>
        </w:rPr>
        <w:t>dle studijního programu</w:t>
      </w:r>
    </w:p>
    <w:p w14:paraId="6145CB7E" w14:textId="737B0052" w:rsidR="004D7D44" w:rsidRDefault="00C87804" w:rsidP="00385BB3">
      <w:pPr>
        <w:spacing w:before="120" w:after="0" w:line="240" w:lineRule="auto"/>
        <w:jc w:val="right"/>
        <w:rPr>
          <w:szCs w:val="20"/>
        </w:rPr>
      </w:pPr>
      <w:r w:rsidRPr="00A55B8A">
        <w:rPr>
          <w:rFonts w:cs="Arial"/>
          <w:noProof/>
          <w:sz w:val="16"/>
          <w:szCs w:val="16"/>
        </w:rPr>
        <w:drawing>
          <wp:inline distT="0" distB="0" distL="0" distR="0" wp14:anchorId="29D545C0" wp14:editId="59A336BC">
            <wp:extent cx="5760720" cy="4486275"/>
            <wp:effectExtent l="0" t="0" r="11430" b="9525"/>
            <wp:docPr id="60" name="Graf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54E3159" w14:textId="5A643EF8" w:rsidR="00C87804" w:rsidRPr="007457B0" w:rsidRDefault="00C87804" w:rsidP="00C87804">
      <w:pPr>
        <w:spacing w:before="120" w:after="0" w:line="240" w:lineRule="auto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52D09D0A" w14:textId="77777777" w:rsidR="004D7D44" w:rsidRPr="002F77CC" w:rsidRDefault="004D7D44" w:rsidP="004D7D44">
      <w:pPr>
        <w:spacing w:after="0" w:line="240" w:lineRule="auto"/>
        <w:jc w:val="right"/>
        <w:rPr>
          <w:szCs w:val="20"/>
        </w:rPr>
      </w:pPr>
    </w:p>
    <w:p w14:paraId="5C76EA3A" w14:textId="03C8A8D3" w:rsidR="00385BB3" w:rsidRDefault="00C87804" w:rsidP="00CC22C9">
      <w:pPr>
        <w:spacing w:after="120"/>
        <w:jc w:val="both"/>
      </w:pPr>
      <w:r>
        <w:rPr>
          <w:rFonts w:cs="Arial"/>
          <w:sz w:val="18"/>
          <w:szCs w:val="18"/>
        </w:rPr>
        <w:t xml:space="preserve">Pozn.: Součet podílů studentů </w:t>
      </w:r>
      <w:r w:rsidRPr="008A4219">
        <w:rPr>
          <w:rFonts w:cs="Arial"/>
          <w:sz w:val="18"/>
          <w:szCs w:val="18"/>
        </w:rPr>
        <w:t xml:space="preserve">navštěvujících jednotlivé studijní programy v jednom roce může být mírně vyšší než 100 %, protože jeden student může navštěvovat více studijních programů. </w:t>
      </w:r>
    </w:p>
    <w:p w14:paraId="44015FE6" w14:textId="77777777" w:rsidR="00CC22C9" w:rsidRDefault="00CC22C9" w:rsidP="00CC22C9">
      <w:pPr>
        <w:spacing w:after="120" w:line="240" w:lineRule="auto"/>
        <w:jc w:val="both"/>
      </w:pPr>
    </w:p>
    <w:p w14:paraId="566B7F25" w14:textId="58CFFBD5" w:rsidR="00C87804" w:rsidRDefault="00D9568D" w:rsidP="00C87804">
      <w:pPr>
        <w:ind w:firstLine="284"/>
        <w:jc w:val="both"/>
      </w:pPr>
      <w:r>
        <w:t xml:space="preserve">Pokud se jedná o </w:t>
      </w:r>
      <w:r w:rsidRPr="00B726AA">
        <w:rPr>
          <w:b/>
        </w:rPr>
        <w:t>věkové složení</w:t>
      </w:r>
      <w:r>
        <w:t>, m</w:t>
      </w:r>
      <w:r w:rsidR="00C87804" w:rsidRPr="00B63590">
        <w:t>ezi lety 2001 a 2009</w:t>
      </w:r>
      <w:r w:rsidR="00C87804" w:rsidRPr="002F77CC">
        <w:t xml:space="preserve"> </w:t>
      </w:r>
      <w:r w:rsidR="00C87804">
        <w:t>se postupně zvyšoval p</w:t>
      </w:r>
      <w:r w:rsidR="00C87804" w:rsidRPr="002F77CC">
        <w:t xml:space="preserve">odíl studentů ve věku 25 let a více </w:t>
      </w:r>
      <w:r w:rsidR="00B1734C">
        <w:t xml:space="preserve">ze všech studentů </w:t>
      </w:r>
      <w:r w:rsidR="00C87804">
        <w:t xml:space="preserve">a celkově </w:t>
      </w:r>
      <w:r w:rsidR="00C87804" w:rsidRPr="002F77CC">
        <w:t>stoupl</w:t>
      </w:r>
      <w:r w:rsidR="00C87804" w:rsidRPr="00B63590">
        <w:t xml:space="preserve"> z 24,6 % na 35,7 %</w:t>
      </w:r>
      <w:r w:rsidR="00627F4A">
        <w:t>.</w:t>
      </w:r>
      <w:r w:rsidR="00C87804">
        <w:t xml:space="preserve"> V</w:t>
      </w:r>
      <w:r w:rsidR="00C87804" w:rsidRPr="00B63590">
        <w:t xml:space="preserve"> dalších letech </w:t>
      </w:r>
      <w:r w:rsidR="00C87804">
        <w:t>osciloval kolem jedné třetiny a</w:t>
      </w:r>
      <w:r w:rsidR="00C87804" w:rsidRPr="00B63590">
        <w:t xml:space="preserve"> od roku 2017</w:t>
      </w:r>
      <w:r w:rsidR="00C87804">
        <w:t xml:space="preserve"> pomalu klesal ze 34,4 % na 30,4</w:t>
      </w:r>
      <w:r w:rsidR="00C87804" w:rsidRPr="00B63590">
        <w:t xml:space="preserve"> % v </w:t>
      </w:r>
      <w:r w:rsidR="00C87804">
        <w:t>roce 2022</w:t>
      </w:r>
      <w:r w:rsidR="00C87804" w:rsidRPr="00B63590">
        <w:t>.</w:t>
      </w:r>
      <w:r w:rsidR="00FA1FD0">
        <w:rPr>
          <w:rStyle w:val="Znakapoznpodarou"/>
        </w:rPr>
        <w:footnoteReference w:id="1"/>
      </w:r>
      <w:r w:rsidR="00C87804" w:rsidRPr="00B63590">
        <w:t xml:space="preserve"> </w:t>
      </w:r>
      <w:r w:rsidR="00C87804">
        <w:t xml:space="preserve">Podíl studentů ve věku 30 a více let činí již pátý rok za sebou </w:t>
      </w:r>
      <w:r w:rsidR="003C2E4C">
        <w:t xml:space="preserve">cca </w:t>
      </w:r>
      <w:r w:rsidR="00C87804">
        <w:t xml:space="preserve">14 %. </w:t>
      </w:r>
      <w:r w:rsidR="00BD10A2">
        <w:t>Naopak bylo</w:t>
      </w:r>
      <w:r w:rsidR="00BD10A2" w:rsidRPr="00BD10A2">
        <w:t xml:space="preserve"> </w:t>
      </w:r>
      <w:r w:rsidR="00BD10A2">
        <w:t xml:space="preserve">v posledních osmi letech zaznamenáno </w:t>
      </w:r>
      <w:r w:rsidR="00C87804">
        <w:t>mírné navýšení podílu studentů ve věku do 19 let, a sice z 6,5 % na 9,3 %</w:t>
      </w:r>
      <w:r w:rsidR="00C87804">
        <w:rPr>
          <w:rStyle w:val="Znakapoznpodarou"/>
          <w:rFonts w:eastAsia="MS Gothic"/>
        </w:rPr>
        <w:footnoteReference w:id="2"/>
      </w:r>
      <w:r w:rsidR="00C87804">
        <w:t xml:space="preserve">. V absolutním vyjádření počet studentů </w:t>
      </w:r>
      <w:r w:rsidR="00BD10A2">
        <w:t xml:space="preserve">mladších 20 let </w:t>
      </w:r>
      <w:r w:rsidR="00C87804">
        <w:t xml:space="preserve">postupně rostl mezi lety 2017 a 2022, celkově z 21 516 studentů na 28 367 studentů. </w:t>
      </w:r>
    </w:p>
    <w:p w14:paraId="74F9862E" w14:textId="252685AF" w:rsidR="00C87804" w:rsidRPr="00D54930" w:rsidRDefault="00D54930" w:rsidP="00BD10A2">
      <w:pPr>
        <w:keepNext/>
        <w:spacing w:after="120"/>
        <w:jc w:val="both"/>
        <w:rPr>
          <w:b/>
        </w:rPr>
      </w:pPr>
      <w:r w:rsidRPr="00D54930">
        <w:rPr>
          <w:b/>
        </w:rPr>
        <w:lastRenderedPageBreak/>
        <w:t>Graf č. 1.6</w:t>
      </w:r>
      <w:r w:rsidR="00C87804">
        <w:t xml:space="preserve"> </w:t>
      </w:r>
      <w:r w:rsidR="000D5182">
        <w:rPr>
          <w:b/>
        </w:rPr>
        <w:t>Věkové složení</w:t>
      </w:r>
      <w:r>
        <w:rPr>
          <w:b/>
        </w:rPr>
        <w:t xml:space="preserve"> studentů vysokých škol v České republice</w:t>
      </w:r>
      <w:r w:rsidR="00C83611">
        <w:rPr>
          <w:b/>
        </w:rPr>
        <w:t xml:space="preserve"> (v %)</w:t>
      </w:r>
    </w:p>
    <w:p w14:paraId="239D8774" w14:textId="77777777" w:rsidR="00C87804" w:rsidRDefault="00C87804" w:rsidP="00C87804">
      <w:pPr>
        <w:jc w:val="both"/>
      </w:pPr>
      <w:r w:rsidRPr="00320938">
        <w:rPr>
          <w:rFonts w:cs="Arial"/>
          <w:b/>
          <w:noProof/>
          <w:color w:val="FFFFFF" w:themeColor="background1"/>
          <w:sz w:val="16"/>
          <w:szCs w:val="16"/>
        </w:rPr>
        <w:drawing>
          <wp:inline distT="0" distB="0" distL="0" distR="0" wp14:anchorId="6CAB14C3" wp14:editId="511165DF">
            <wp:extent cx="5760720" cy="5800725"/>
            <wp:effectExtent l="0" t="0" r="11430" b="9525"/>
            <wp:docPr id="61" name="Graf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D62209D" w14:textId="77777777" w:rsidR="00C87804" w:rsidRPr="007457B0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688A1F11" w14:textId="66473843" w:rsidR="00C87804" w:rsidRDefault="00C87804" w:rsidP="00C87804">
      <w:pPr>
        <w:ind w:firstLine="284"/>
        <w:jc w:val="both"/>
      </w:pPr>
      <w:r w:rsidRPr="00B63590">
        <w:t>Obdobně</w:t>
      </w:r>
      <w:r>
        <w:t xml:space="preserve"> podíl </w:t>
      </w:r>
      <w:r w:rsidRPr="00662604">
        <w:rPr>
          <w:b/>
        </w:rPr>
        <w:t xml:space="preserve">studentů </w:t>
      </w:r>
      <w:r>
        <w:rPr>
          <w:b/>
        </w:rPr>
        <w:t>v jiném než denním studiu</w:t>
      </w:r>
      <w:r>
        <w:t xml:space="preserve"> stoupal mezi lety 2001 a 2009, konkrétně z 18 </w:t>
      </w:r>
      <w:r w:rsidR="0003467E">
        <w:t>% na 29,9 %, a poté do roku 2022</w:t>
      </w:r>
      <w:r w:rsidR="000D5182">
        <w:t xml:space="preserve"> klesl na 19,8 %. </w:t>
      </w:r>
      <w:r>
        <w:t xml:space="preserve">Podíl studentů v denním studiu naopak po výrazném poklesu mezi roky 2001 a 2009 (z 82,6 % na 71,2 %) začal stoupat až na 80,9 % v roce 2022. </w:t>
      </w:r>
      <w:r w:rsidR="005C5FD7">
        <w:t>Zde je třeba vzít v úvahu, že věkové složení studentů, jakož i míra denního a dálkového studia, je ovlivněná též politickými opatřeními. Česká republika zaznamenala období, kdy si úpravou zákona museli zaměstnanci konkrétních profesí doplňovat vzdělání (např. o</w:t>
      </w:r>
      <w:r w:rsidR="005C5FD7" w:rsidRPr="005C5FD7">
        <w:t xml:space="preserve">d ledna 2015 </w:t>
      </w:r>
      <w:r w:rsidR="005C5FD7">
        <w:t>začaly platit</w:t>
      </w:r>
      <w:r w:rsidR="005C5FD7" w:rsidRPr="005C5FD7">
        <w:t xml:space="preserve"> nové podmínky š</w:t>
      </w:r>
      <w:r w:rsidR="005C5FD7">
        <w:t>kolského zákona, které zpřísnily</w:t>
      </w:r>
      <w:r w:rsidR="005C5FD7" w:rsidRPr="005C5FD7">
        <w:t xml:space="preserve"> požadavky na kvalifikaci pedagogických pracovníků</w:t>
      </w:r>
      <w:r w:rsidR="005C5FD7">
        <w:t xml:space="preserve">, </w:t>
      </w:r>
      <w:r w:rsidR="00587B2D">
        <w:t>což přivedlo spoustu učitelů s praxí v oboru zpět do vzdělávacího procesu)</w:t>
      </w:r>
      <w:r w:rsidR="005C5FD7">
        <w:t xml:space="preserve">. </w:t>
      </w:r>
    </w:p>
    <w:p w14:paraId="15D6CF15" w14:textId="29058BD1" w:rsidR="00C87804" w:rsidRDefault="00D54930" w:rsidP="001F7D9B">
      <w:pPr>
        <w:keepNext/>
        <w:spacing w:after="120"/>
        <w:jc w:val="both"/>
      </w:pPr>
      <w:r>
        <w:rPr>
          <w:b/>
        </w:rPr>
        <w:lastRenderedPageBreak/>
        <w:t>Graf č. 1.7 Počet a podíl studentů vysokých škol v České republice</w:t>
      </w:r>
      <w:r w:rsidR="00C87804">
        <w:t xml:space="preserve"> </w:t>
      </w:r>
      <w:r w:rsidR="00C87804" w:rsidRPr="00D54930">
        <w:rPr>
          <w:b/>
        </w:rPr>
        <w:t>dle formy vzdělávání</w:t>
      </w:r>
      <w:r w:rsidR="00C87804">
        <w:t xml:space="preserve"> </w:t>
      </w:r>
    </w:p>
    <w:p w14:paraId="60302692" w14:textId="77777777" w:rsidR="007457B0" w:rsidRDefault="00C87804" w:rsidP="007457B0">
      <w:pPr>
        <w:spacing w:before="120" w:after="120"/>
        <w:jc w:val="right"/>
        <w:rPr>
          <w:sz w:val="18"/>
          <w:szCs w:val="18"/>
        </w:rPr>
      </w:pPr>
      <w:r w:rsidRPr="00D962A3">
        <w:rPr>
          <w:noProof/>
        </w:rPr>
        <w:drawing>
          <wp:inline distT="0" distB="0" distL="0" distR="0" wp14:anchorId="44FB59E8" wp14:editId="57B5AF5D">
            <wp:extent cx="5760720" cy="3114675"/>
            <wp:effectExtent l="0" t="0" r="11430" b="9525"/>
            <wp:docPr id="62" name="Graf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CD30E6D" w14:textId="5137AE8D" w:rsidR="00C87804" w:rsidRPr="008F20B1" w:rsidRDefault="00C87804" w:rsidP="007457B0">
      <w:pPr>
        <w:spacing w:before="120" w:after="120"/>
        <w:jc w:val="right"/>
        <w:rPr>
          <w:szCs w:val="20"/>
        </w:rPr>
      </w:pPr>
      <w:r w:rsidRPr="007457B0">
        <w:rPr>
          <w:sz w:val="18"/>
          <w:szCs w:val="18"/>
        </w:rPr>
        <w:t>Zdroj dat: MŠMT</w:t>
      </w:r>
    </w:p>
    <w:p w14:paraId="77DD5578" w14:textId="2F788E29" w:rsidR="00C87804" w:rsidRDefault="00C87804" w:rsidP="00C659A6">
      <w:pPr>
        <w:spacing w:after="120"/>
        <w:ind w:firstLine="709"/>
        <w:jc w:val="both"/>
      </w:pPr>
      <w:r>
        <w:t xml:space="preserve">Dále můžeme porovnat počty a podíly studentů </w:t>
      </w:r>
      <w:r w:rsidRPr="001F7D9B">
        <w:rPr>
          <w:b/>
        </w:rPr>
        <w:t>dle druhu zřizovatele škol</w:t>
      </w:r>
      <w:r>
        <w:t>, které navštěvují. Podíl studentů studujících veřejnou vysokou školu ze všech studentů veřejných a soukromých vysoký</w:t>
      </w:r>
      <w:r w:rsidR="003C2E4C">
        <w:t>ch škol činí od roku 2020 cca</w:t>
      </w:r>
      <w:r>
        <w:t xml:space="preserve"> 91 % a podíl studentů soukromých škol činí v posledních třec</w:t>
      </w:r>
      <w:r w:rsidR="002027A1">
        <w:t xml:space="preserve">h letech 9,2 % </w:t>
      </w:r>
      <w:r>
        <w:t xml:space="preserve">až 9,3 %. Přitom mezi roky 2001 a 2009 docházelo k poklesu podílu studentů navštěvujících veřejné vysoké školy a nárůstu těch navštěvujících školy soukromé. Po roce 2009 se tendence obrátila a podíl studentů navštěvujících veřejné vysoké školy začal stoupat a podíl studentů v soukromých vysokých školách naopak klesat, a to až do </w:t>
      </w:r>
      <w:r w:rsidR="001F7D9B">
        <w:t xml:space="preserve">výše </w:t>
      </w:r>
      <w:r>
        <w:t xml:space="preserve">zmíněného roku 2020. Nejmenší podíl studentů soukromých vysokých škol tak byl v roce 2001 (2,4 %) a nejvyšší v roce 2009 a 2010 (14,5 %). </w:t>
      </w:r>
    </w:p>
    <w:p w14:paraId="0124CFC3" w14:textId="2900B6AF" w:rsidR="00C87804" w:rsidRPr="00D54930" w:rsidRDefault="00D54930" w:rsidP="001F7D9B">
      <w:pPr>
        <w:keepNext/>
        <w:spacing w:after="120"/>
        <w:jc w:val="both"/>
        <w:rPr>
          <w:b/>
        </w:rPr>
      </w:pPr>
      <w:r>
        <w:rPr>
          <w:b/>
        </w:rPr>
        <w:t>Graf č. 1.8</w:t>
      </w:r>
      <w:r w:rsidR="00C87804" w:rsidRPr="00011407">
        <w:rPr>
          <w:b/>
        </w:rPr>
        <w:t xml:space="preserve"> </w:t>
      </w:r>
      <w:r w:rsidRPr="00D54930">
        <w:rPr>
          <w:b/>
        </w:rPr>
        <w:t>P</w:t>
      </w:r>
      <w:r w:rsidR="00C87804" w:rsidRPr="00D54930">
        <w:rPr>
          <w:b/>
        </w:rPr>
        <w:t xml:space="preserve">očet a podíl studentů </w:t>
      </w:r>
      <w:r w:rsidRPr="00D54930">
        <w:rPr>
          <w:b/>
        </w:rPr>
        <w:t xml:space="preserve">vysokých škol </w:t>
      </w:r>
      <w:r w:rsidR="00C87804" w:rsidRPr="00D54930">
        <w:rPr>
          <w:b/>
        </w:rPr>
        <w:t xml:space="preserve">dle </w:t>
      </w:r>
      <w:r w:rsidR="000D5182">
        <w:rPr>
          <w:b/>
        </w:rPr>
        <w:t>druhu zřizovatele školy</w:t>
      </w:r>
    </w:p>
    <w:p w14:paraId="618DEC53" w14:textId="77777777" w:rsidR="007457B0" w:rsidRDefault="00C87804" w:rsidP="007457B0">
      <w:pPr>
        <w:spacing w:before="120" w:after="120"/>
        <w:jc w:val="right"/>
        <w:rPr>
          <w:szCs w:val="20"/>
        </w:rPr>
      </w:pPr>
      <w:r>
        <w:rPr>
          <w:noProof/>
        </w:rPr>
        <w:drawing>
          <wp:inline distT="0" distB="0" distL="0" distR="0" wp14:anchorId="2BE014F5" wp14:editId="371984AF">
            <wp:extent cx="5760720" cy="3190875"/>
            <wp:effectExtent l="0" t="0" r="11430" b="9525"/>
            <wp:docPr id="63" name="Graf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C43265B" w14:textId="3E586E58" w:rsidR="00C87804" w:rsidRPr="007457B0" w:rsidRDefault="00C87804" w:rsidP="007457B0">
      <w:pPr>
        <w:spacing w:before="120" w:after="120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4FE52AA6" w14:textId="6475D029" w:rsidR="00F149DD" w:rsidRDefault="00F149DD" w:rsidP="00C87804">
      <w:pPr>
        <w:spacing w:after="120"/>
        <w:ind w:firstLine="284"/>
        <w:jc w:val="both"/>
      </w:pPr>
      <w:r>
        <w:lastRenderedPageBreak/>
        <w:t>S</w:t>
      </w:r>
      <w:r w:rsidR="005115AD">
        <w:t>rovnáme</w:t>
      </w:r>
      <w:r>
        <w:t xml:space="preserve">-li </w:t>
      </w:r>
      <w:r w:rsidR="005115AD">
        <w:t xml:space="preserve">vývoj podílu studentů soukromých </w:t>
      </w:r>
      <w:r w:rsidR="002027A1">
        <w:t xml:space="preserve">vysokých </w:t>
      </w:r>
      <w:r w:rsidR="005115AD">
        <w:t xml:space="preserve">škol s celkovým vývojem počtu studentů (viz graf 1.1), je patrné, že mezi studenty populačně silných ročníků je vyšší podíl těch v soukromých školách. Někteří studenti tak mohou ke studiu na soukromé </w:t>
      </w:r>
      <w:r w:rsidR="002027A1">
        <w:t xml:space="preserve">vysoké </w:t>
      </w:r>
      <w:r w:rsidR="005115AD">
        <w:t xml:space="preserve">škole přistoupit v případě, že </w:t>
      </w:r>
      <w:r w:rsidR="002027A1">
        <w:t>nejsou přijati</w:t>
      </w:r>
      <w:r w:rsidR="005115AD">
        <w:t xml:space="preserve"> na </w:t>
      </w:r>
      <w:r w:rsidR="002027A1">
        <w:t xml:space="preserve">vysokou </w:t>
      </w:r>
      <w:r w:rsidR="005115AD">
        <w:t>školu veřejnou.</w:t>
      </w:r>
    </w:p>
    <w:p w14:paraId="37236BF1" w14:textId="41FDB495" w:rsidR="00C87804" w:rsidRDefault="00C87804" w:rsidP="00C87804">
      <w:pPr>
        <w:spacing w:after="120"/>
        <w:ind w:firstLine="284"/>
        <w:jc w:val="both"/>
      </w:pPr>
      <w:r>
        <w:t xml:space="preserve">Na vysokých školách je možné studovat </w:t>
      </w:r>
      <w:r w:rsidRPr="0090693C">
        <w:rPr>
          <w:b/>
        </w:rPr>
        <w:t>různé obory</w:t>
      </w:r>
      <w:r>
        <w:t>, které se v rámci klasifikace ISCED F-2013 řad</w:t>
      </w:r>
      <w:r w:rsidR="00BE67EF">
        <w:t xml:space="preserve">í do deseti skupin. </w:t>
      </w:r>
      <w:r>
        <w:t xml:space="preserve">V tomto ohledu lze konstatovat, že v roce 2022 byl nejvyšší počet studentů zapsaný do </w:t>
      </w:r>
      <w:r w:rsidRPr="007C1321">
        <w:t>skupiny oborů</w:t>
      </w:r>
      <w:r>
        <w:t xml:space="preserve"> </w:t>
      </w:r>
      <w:r w:rsidRPr="00190A2A">
        <w:rPr>
          <w:b/>
          <w:i/>
        </w:rPr>
        <w:t>Obchod, administrativa a právo</w:t>
      </w:r>
      <w:r>
        <w:t xml:space="preserve"> (</w:t>
      </w:r>
      <w:r w:rsidRPr="00641774">
        <w:t>61</w:t>
      </w:r>
      <w:r>
        <w:t> </w:t>
      </w:r>
      <w:r w:rsidRPr="00641774">
        <w:t>681</w:t>
      </w:r>
      <w:r>
        <w:t xml:space="preserve">) a nejnižší naopak do skupiny oborů </w:t>
      </w:r>
      <w:r w:rsidRPr="00190A2A">
        <w:rPr>
          <w:b/>
          <w:i/>
        </w:rPr>
        <w:t>Zemědělství, lesnictví, rybářství a veterinářství</w:t>
      </w:r>
      <w:r>
        <w:t xml:space="preserve"> (</w:t>
      </w:r>
      <w:r w:rsidRPr="00641774">
        <w:t>11</w:t>
      </w:r>
      <w:r>
        <w:t xml:space="preserve"> </w:t>
      </w:r>
      <w:r w:rsidRPr="00641774">
        <w:t>535</w:t>
      </w:r>
      <w:r>
        <w:t>)</w:t>
      </w:r>
      <w:r w:rsidR="00190A2A">
        <w:t>, viz graf č. 1.9</w:t>
      </w:r>
      <w:r>
        <w:t xml:space="preserve">. </w:t>
      </w:r>
    </w:p>
    <w:p w14:paraId="64F0DDBB" w14:textId="04CAC75F" w:rsidR="00C87804" w:rsidRPr="00D54930" w:rsidRDefault="00D54930" w:rsidP="00C87804">
      <w:pPr>
        <w:jc w:val="both"/>
        <w:rPr>
          <w:b/>
        </w:rPr>
      </w:pPr>
      <w:r>
        <w:rPr>
          <w:b/>
        </w:rPr>
        <w:t xml:space="preserve">Graf č. 1.9 </w:t>
      </w:r>
      <w:r w:rsidRPr="00D54930">
        <w:rPr>
          <w:b/>
        </w:rPr>
        <w:t>P</w:t>
      </w:r>
      <w:r w:rsidR="00C87804" w:rsidRPr="00D54930">
        <w:rPr>
          <w:b/>
        </w:rPr>
        <w:t xml:space="preserve">očet studentů </w:t>
      </w:r>
      <w:r w:rsidRPr="00D54930">
        <w:rPr>
          <w:b/>
        </w:rPr>
        <w:t xml:space="preserve">vysokých škol </w:t>
      </w:r>
      <w:r w:rsidR="00C87804" w:rsidRPr="00D54930">
        <w:rPr>
          <w:b/>
        </w:rPr>
        <w:t>dle skupiny oborů vzdělávání (2022)</w:t>
      </w:r>
    </w:p>
    <w:p w14:paraId="07773F54" w14:textId="77777777" w:rsidR="00C87804" w:rsidRPr="00B96884" w:rsidRDefault="00C87804" w:rsidP="00C87804">
      <w:pPr>
        <w:spacing w:after="120"/>
        <w:jc w:val="right"/>
        <w:rPr>
          <w:szCs w:val="20"/>
        </w:rPr>
      </w:pPr>
      <w:r>
        <w:rPr>
          <w:noProof/>
        </w:rPr>
        <w:drawing>
          <wp:inline distT="0" distB="0" distL="0" distR="0" wp14:anchorId="20236F1E" wp14:editId="583FDDF5">
            <wp:extent cx="5760720" cy="2514600"/>
            <wp:effectExtent l="0" t="0" r="11430" b="0"/>
            <wp:docPr id="64" name="Graf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7457B0">
        <w:rPr>
          <w:sz w:val="18"/>
          <w:szCs w:val="18"/>
        </w:rPr>
        <w:t>Zdroj dat: MŠMT</w:t>
      </w:r>
    </w:p>
    <w:p w14:paraId="04C53EAE" w14:textId="1DE7ED53" w:rsidR="00C87804" w:rsidRDefault="00C87804" w:rsidP="00C87804">
      <w:pPr>
        <w:spacing w:after="120"/>
        <w:ind w:firstLine="284"/>
        <w:jc w:val="both"/>
      </w:pPr>
      <w:r>
        <w:t xml:space="preserve">V relativním vyjádření se </w:t>
      </w:r>
      <w:r w:rsidRPr="0051324C">
        <w:rPr>
          <w:b/>
        </w:rPr>
        <w:t>od roku 2001 do roku 2022</w:t>
      </w:r>
      <w:r>
        <w:t xml:space="preserve"> zvýšil nejvýrazněji počet studentů ve skupině oborů </w:t>
      </w:r>
      <w:r w:rsidRPr="00D72ECD">
        <w:rPr>
          <w:b/>
          <w:i/>
        </w:rPr>
        <w:t>Informační a komunikační technologie</w:t>
      </w:r>
      <w:r w:rsidR="00B61991">
        <w:t xml:space="preserve"> </w:t>
      </w:r>
      <w:r>
        <w:t xml:space="preserve">a dále ve skupině oborů </w:t>
      </w:r>
      <w:r w:rsidRPr="00D72ECD">
        <w:rPr>
          <w:b/>
          <w:i/>
        </w:rPr>
        <w:t>Služeb</w:t>
      </w:r>
      <w:r>
        <w:t xml:space="preserve"> (</w:t>
      </w:r>
      <w:r w:rsidR="00B61991">
        <w:t>počet studentů těchto dvou skupin oborů se ztrojnásobil</w:t>
      </w:r>
      <w:r>
        <w:t xml:space="preserve">). Více než zdvojnásobil se také počet studentů </w:t>
      </w:r>
      <w:r w:rsidRPr="00D72ECD">
        <w:rPr>
          <w:b/>
          <w:i/>
        </w:rPr>
        <w:t>zdravotních</w:t>
      </w:r>
      <w:r w:rsidR="00B61991">
        <w:rPr>
          <w:b/>
          <w:i/>
        </w:rPr>
        <w:t xml:space="preserve"> oborů </w:t>
      </w:r>
      <w:r w:rsidR="00B61991" w:rsidRPr="00B61991">
        <w:t>(zvýšil se 2,3krát)</w:t>
      </w:r>
      <w:r>
        <w:t xml:space="preserve"> a</w:t>
      </w:r>
      <w:r w:rsidR="00B61991">
        <w:t xml:space="preserve"> dvojnásobný počet zaznamenaly obory</w:t>
      </w:r>
      <w:r>
        <w:t xml:space="preserve"> </w:t>
      </w:r>
      <w:r w:rsidR="00B61991">
        <w:rPr>
          <w:b/>
          <w:i/>
        </w:rPr>
        <w:t>přírodovědné</w:t>
      </w:r>
      <w:r>
        <w:t xml:space="preserve">. </w:t>
      </w:r>
    </w:p>
    <w:p w14:paraId="1E023F6D" w14:textId="77777777" w:rsidR="00C87804" w:rsidRDefault="00C87804" w:rsidP="00C87804">
      <w:pPr>
        <w:spacing w:after="120"/>
        <w:ind w:firstLine="284"/>
        <w:jc w:val="both"/>
      </w:pPr>
      <w:r>
        <w:t xml:space="preserve">V absolutním vyjádření pak došlo k nejvýraznějšímu nárůstu ve skupině oborů </w:t>
      </w:r>
      <w:r w:rsidRPr="00D72ECD">
        <w:rPr>
          <w:b/>
          <w:i/>
        </w:rPr>
        <w:t>zdravotnických</w:t>
      </w:r>
      <w:r>
        <w:t xml:space="preserve"> (o 22 523 studentů) a studentů z oborů ve skupině </w:t>
      </w:r>
      <w:r w:rsidRPr="00D72ECD">
        <w:rPr>
          <w:b/>
          <w:i/>
        </w:rPr>
        <w:t>Obchod, administrativa a právo</w:t>
      </w:r>
      <w:r>
        <w:t xml:space="preserve"> (o 22 047 studentů). Zvýšení počtu studentů zaznamenaly všechny skupiny oborů dle klasifikace ISCED F 2013, kromě oborů z oblasti </w:t>
      </w:r>
      <w:r w:rsidRPr="00D72ECD">
        <w:rPr>
          <w:b/>
          <w:i/>
        </w:rPr>
        <w:t>Technických věd, výroby a stavebnictví</w:t>
      </w:r>
      <w:r>
        <w:t xml:space="preserve">, které v roce 2022 studovalo o 28,2 % méně studentů než v roce 2001. </w:t>
      </w:r>
    </w:p>
    <w:p w14:paraId="57480480" w14:textId="4409F526" w:rsidR="00C87804" w:rsidRDefault="00C87804" w:rsidP="00C87804">
      <w:pPr>
        <w:spacing w:after="120"/>
        <w:ind w:firstLine="284"/>
        <w:jc w:val="both"/>
      </w:pPr>
      <w:r>
        <w:t xml:space="preserve">Zde je dobré poznamenat, že k tomuto nárůstu došlo zejména v první sledované dekádě, mezi roky </w:t>
      </w:r>
      <w:r w:rsidRPr="0051324C">
        <w:rPr>
          <w:b/>
        </w:rPr>
        <w:t>2010 a 2022</w:t>
      </w:r>
      <w:r>
        <w:t xml:space="preserve"> naopak počet studentů téměř ve všech oborech poklesl, s výjimkou skupiny oborů </w:t>
      </w:r>
      <w:r w:rsidRPr="00D72ECD">
        <w:rPr>
          <w:b/>
          <w:i/>
        </w:rPr>
        <w:t>Zdravotní a sociální péče, péče o příznivé životní podmínky</w:t>
      </w:r>
      <w:r>
        <w:t xml:space="preserve">, kde došlo k nárůstu o 14,3 %, a skupiny oborů </w:t>
      </w:r>
      <w:r w:rsidRPr="00D72ECD">
        <w:rPr>
          <w:b/>
          <w:i/>
        </w:rPr>
        <w:t>Přírodní vědy, matematika a statistika</w:t>
      </w:r>
      <w:r>
        <w:t xml:space="preserve">, ve které se počet studentů zvýšil o 7 %. Největší pokles studentů i za toto sledované období zaznamenala skupina oborů </w:t>
      </w:r>
      <w:r w:rsidRPr="00FC6CB5">
        <w:t xml:space="preserve">z oblasti </w:t>
      </w:r>
      <w:r w:rsidRPr="00D72ECD">
        <w:rPr>
          <w:b/>
          <w:i/>
        </w:rPr>
        <w:t>Technických věd, výroby a stavebnictví</w:t>
      </w:r>
      <w:r>
        <w:t xml:space="preserve">, a sice o 42,9 %, o více než třetinu se snížil také počet studentů z oblasti </w:t>
      </w:r>
      <w:r w:rsidRPr="00D72ECD">
        <w:rPr>
          <w:b/>
          <w:i/>
        </w:rPr>
        <w:t>Společenských věd, žurnalistiky a informačních věd</w:t>
      </w:r>
      <w:r>
        <w:t xml:space="preserve"> (o 38,2 %) a </w:t>
      </w:r>
      <w:r w:rsidRPr="00D72ECD">
        <w:rPr>
          <w:b/>
          <w:i/>
        </w:rPr>
        <w:t>Obchodu, administrativy a práva</w:t>
      </w:r>
      <w:r>
        <w:t xml:space="preserve"> (o 33,8 %). V ostatních </w:t>
      </w:r>
      <w:r w:rsidR="00997DB8">
        <w:t>skupinách oborů</w:t>
      </w:r>
      <w:r>
        <w:t xml:space="preserve"> již byl úbytek o poznání méně výrazný.</w:t>
      </w:r>
    </w:p>
    <w:p w14:paraId="00E17C6B" w14:textId="1A43567E" w:rsidR="00C87804" w:rsidRDefault="00C87804" w:rsidP="00C87804">
      <w:pPr>
        <w:ind w:firstLine="284"/>
        <w:jc w:val="both"/>
      </w:pPr>
      <w:r w:rsidRPr="0051324C">
        <w:t>Podrobný vývoj počtu studentů jednotlivých skupin oborů</w:t>
      </w:r>
      <w:r>
        <w:t xml:space="preserve"> znázorňuje graf č. </w:t>
      </w:r>
      <w:r w:rsidR="00114FD6">
        <w:t>1.10</w:t>
      </w:r>
      <w:r w:rsidRPr="00D32346">
        <w:t xml:space="preserve">. Jak je patrné, nejvýraznější </w:t>
      </w:r>
      <w:r>
        <w:t>změny od počátku tisíciletí</w:t>
      </w:r>
      <w:r w:rsidRPr="00D32346">
        <w:t xml:space="preserve"> zaznamenala skupina oborů </w:t>
      </w:r>
      <w:r w:rsidRPr="00D72ECD">
        <w:rPr>
          <w:b/>
          <w:i/>
        </w:rPr>
        <w:t>Obchod, administrativa a právo</w:t>
      </w:r>
      <w:r>
        <w:t xml:space="preserve">, poměrně výrazné byly též u skupiny oborů </w:t>
      </w:r>
      <w:r w:rsidRPr="00D72ECD">
        <w:rPr>
          <w:b/>
          <w:i/>
        </w:rPr>
        <w:t>Společenské vědy, žurnalistika a informační vědy</w:t>
      </w:r>
      <w:r w:rsidRPr="00D32346">
        <w:t>.</w:t>
      </w:r>
      <w:r>
        <w:t xml:space="preserve"> U těchto dvou skupin oborů byl v první dekádě 21. století zaznamenán výrazný růst počtu studentů následovaný poměrně výrazným propadem. Mezi lety 2018 a 2021 se pak počet studentů skupiny oborů </w:t>
      </w:r>
      <w:r w:rsidRPr="00D32346">
        <w:t xml:space="preserve">Společenské vědy, žurnalistika a informační vědy </w:t>
      </w:r>
      <w:r w:rsidR="00445B2B">
        <w:t xml:space="preserve">víceméně </w:t>
      </w:r>
      <w:r>
        <w:t>ustálil</w:t>
      </w:r>
      <w:r w:rsidR="00445B2B">
        <w:t xml:space="preserve"> (kolísal)</w:t>
      </w:r>
      <w:r>
        <w:t xml:space="preserve"> a počet studentů</w:t>
      </w:r>
      <w:r w:rsidRPr="00D32346">
        <w:t xml:space="preserve"> oborů</w:t>
      </w:r>
      <w:r>
        <w:t xml:space="preserve"> ze </w:t>
      </w:r>
      <w:r>
        <w:lastRenderedPageBreak/>
        <w:t>skupiny</w:t>
      </w:r>
      <w:r w:rsidRPr="00D32346">
        <w:t xml:space="preserve"> Obchod, administrativa a právo</w:t>
      </w:r>
      <w:r>
        <w:t xml:space="preserve"> dokonce začal růst. Mezi posledními dvěma roky však zaznamenaly tyto dvě skupiny oborů úbytek počtu studentů.</w:t>
      </w:r>
    </w:p>
    <w:p w14:paraId="656EC725" w14:textId="04A494B1" w:rsidR="00C87804" w:rsidRPr="00D54930" w:rsidRDefault="00D54930" w:rsidP="00E41E41">
      <w:pPr>
        <w:keepNext/>
        <w:spacing w:after="120"/>
        <w:jc w:val="both"/>
        <w:rPr>
          <w:b/>
        </w:rPr>
      </w:pPr>
      <w:r>
        <w:rPr>
          <w:b/>
        </w:rPr>
        <w:t>Graf č. 1.10</w:t>
      </w:r>
      <w:r w:rsidR="00C87804" w:rsidRPr="00854061">
        <w:rPr>
          <w:b/>
        </w:rPr>
        <w:t xml:space="preserve"> </w:t>
      </w:r>
      <w:r w:rsidRPr="00D54930">
        <w:rPr>
          <w:b/>
        </w:rPr>
        <w:t>P</w:t>
      </w:r>
      <w:r w:rsidR="00C87804" w:rsidRPr="00D54930">
        <w:rPr>
          <w:b/>
        </w:rPr>
        <w:t>očet studentů</w:t>
      </w:r>
      <w:r w:rsidRPr="00D54930">
        <w:rPr>
          <w:b/>
        </w:rPr>
        <w:t xml:space="preserve"> vysokých škol</w:t>
      </w:r>
      <w:r w:rsidR="00275C79">
        <w:rPr>
          <w:b/>
        </w:rPr>
        <w:t xml:space="preserve"> (v tis.) dle skupin</w:t>
      </w:r>
      <w:r w:rsidR="00C87804" w:rsidRPr="00D54930">
        <w:rPr>
          <w:b/>
        </w:rPr>
        <w:t xml:space="preserve"> oborů vzdělávání (2001 až 2022)</w:t>
      </w:r>
    </w:p>
    <w:p w14:paraId="65DAD213" w14:textId="77777777" w:rsidR="00C87804" w:rsidRDefault="00C87804" w:rsidP="004D7D44">
      <w:pPr>
        <w:spacing w:after="120"/>
      </w:pPr>
      <w:r w:rsidRPr="00492667">
        <w:rPr>
          <w:noProof/>
          <w:color w:val="4D4D4D"/>
        </w:rPr>
        <w:drawing>
          <wp:inline distT="0" distB="0" distL="0" distR="0" wp14:anchorId="3363475C" wp14:editId="29ED129C">
            <wp:extent cx="5760720" cy="5295900"/>
            <wp:effectExtent l="0" t="0" r="11430" b="0"/>
            <wp:docPr id="65" name="Graf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6B9FCF8" w14:textId="77777777" w:rsidR="00C87804" w:rsidRPr="007457B0" w:rsidRDefault="00C87804" w:rsidP="00C87804">
      <w:pPr>
        <w:spacing w:after="120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782A764E" w14:textId="2E4891D8" w:rsidR="00C87804" w:rsidRDefault="00C87804" w:rsidP="000A0D45">
      <w:pPr>
        <w:spacing w:after="120"/>
        <w:ind w:firstLine="284"/>
        <w:jc w:val="both"/>
      </w:pPr>
      <w:r>
        <w:t xml:space="preserve">K úbytku počtu studentů mezi posledními dvěma roky došlo i ve skupině oborů </w:t>
      </w:r>
      <w:r w:rsidRPr="00D72ECD">
        <w:rPr>
          <w:b/>
          <w:i/>
        </w:rPr>
        <w:t>Technika, výroba a stavebnictví</w:t>
      </w:r>
      <w:r>
        <w:t>, v ostatních skupinách oborů se naopak počet studentů zvýšil. Zde lze poznamenat, že ve skupině oborů Technika, výroba a stavebnictví klesá počet studentů již od roku 2009 a to poměr</w:t>
      </w:r>
      <w:r w:rsidR="00492667">
        <w:t xml:space="preserve">ně setrvalým a rychlým tempem. </w:t>
      </w:r>
      <w:r>
        <w:t xml:space="preserve">V roce 2009 tak činil počet studentů v této skupině oborů </w:t>
      </w:r>
      <w:r w:rsidRPr="00BB3FA4">
        <w:t>64</w:t>
      </w:r>
      <w:r>
        <w:t> </w:t>
      </w:r>
      <w:r w:rsidRPr="00BB3FA4">
        <w:t>850</w:t>
      </w:r>
      <w:r>
        <w:t xml:space="preserve"> (16,7 % všech studentů), zatímco v roce 2022 již jen 36 993 (12,1 % všech studentů). V roce 2021 tak poprvé za 20 let zaznamenaly </w:t>
      </w:r>
      <w:r w:rsidRPr="00D72ECD">
        <w:rPr>
          <w:b/>
          <w:i/>
        </w:rPr>
        <w:t>technické obory</w:t>
      </w:r>
      <w:r>
        <w:t xml:space="preserve"> o něco nižší počet studentů (38 543) než obory ze skupiny </w:t>
      </w:r>
      <w:r w:rsidRPr="00D72ECD">
        <w:rPr>
          <w:b/>
          <w:i/>
        </w:rPr>
        <w:t>Zdravotní a sociální péče, péče o příznivé životní podmínky</w:t>
      </w:r>
      <w:r w:rsidR="0027570E">
        <w:t xml:space="preserve"> (39 365</w:t>
      </w:r>
      <w:r>
        <w:t>) a v roce 2022 se tento rozdíl ještě zvýšil (</w:t>
      </w:r>
      <w:r w:rsidRPr="001937B0">
        <w:t>36</w:t>
      </w:r>
      <w:r>
        <w:t> </w:t>
      </w:r>
      <w:r w:rsidRPr="001937B0">
        <w:t>993</w:t>
      </w:r>
      <w:r w:rsidR="00100A2E">
        <w:t xml:space="preserve"> oproti 40 </w:t>
      </w:r>
      <w:r>
        <w:t>253 studentů</w:t>
      </w:r>
      <w:r w:rsidR="00100A2E">
        <w:t>m</w:t>
      </w:r>
      <w:r>
        <w:t xml:space="preserve">). V roce 2022 zároveň poprvé převýšil počet studentů </w:t>
      </w:r>
      <w:r w:rsidRPr="00D72ECD">
        <w:rPr>
          <w:b/>
          <w:i/>
        </w:rPr>
        <w:t>vzdělávacích oborů</w:t>
      </w:r>
      <w:r>
        <w:t xml:space="preserve"> počet studentů technických oborů, a sice o 540 studentů.  </w:t>
      </w:r>
      <w:r w:rsidRPr="00D32346">
        <w:t>V roce 2001 byl přito</w:t>
      </w:r>
      <w:r>
        <w:t>m počet studentů</w:t>
      </w:r>
      <w:r w:rsidRPr="00D32346">
        <w:t xml:space="preserve"> </w:t>
      </w:r>
      <w:r>
        <w:t>technických oborů</w:t>
      </w:r>
      <w:r w:rsidRPr="00D32346">
        <w:t xml:space="preserve"> oproti skupině oborů </w:t>
      </w:r>
      <w:r>
        <w:t>zdravotnických téměř</w:t>
      </w:r>
      <w:r w:rsidRPr="00D32346">
        <w:t xml:space="preserve"> trojnásobný</w:t>
      </w:r>
      <w:r>
        <w:t xml:space="preserve"> a o 62,6 % vyšší než počet studentů vzdělávacích oborů.</w:t>
      </w:r>
      <w:r w:rsidR="00492667">
        <w:t xml:space="preserve"> </w:t>
      </w:r>
      <w:r w:rsidR="00AB48C7">
        <w:t>Až do roku 2005 bylo ve skupině</w:t>
      </w:r>
      <w:r w:rsidR="00492667">
        <w:t xml:space="preserve"> technických oborů </w:t>
      </w:r>
      <w:r w:rsidR="00AB48C7">
        <w:t xml:space="preserve">ze všech </w:t>
      </w:r>
      <w:r w:rsidR="006C213D">
        <w:t>skupin oborů nejvíce studentů. Poté se do roku 2022</w:t>
      </w:r>
      <w:r w:rsidR="00AB48C7">
        <w:t xml:space="preserve"> propadla na čtvrté místo.</w:t>
      </w:r>
    </w:p>
    <w:p w14:paraId="100981BB" w14:textId="77777777" w:rsidR="00C87804" w:rsidRDefault="00C87804" w:rsidP="00B27A0B">
      <w:pPr>
        <w:ind w:firstLine="284"/>
        <w:jc w:val="both"/>
      </w:pPr>
      <w:r>
        <w:t xml:space="preserve">Zároveň lze konstatovat, že celkově za posledních </w:t>
      </w:r>
      <w:r w:rsidRPr="00235915">
        <w:rPr>
          <w:b/>
        </w:rPr>
        <w:t>pět let</w:t>
      </w:r>
      <w:r>
        <w:t xml:space="preserve"> o 23,4 % přibylo studentů oborů </w:t>
      </w:r>
      <w:r w:rsidRPr="00D72ECD">
        <w:rPr>
          <w:b/>
          <w:i/>
        </w:rPr>
        <w:t>přírodních věd, matematiky a statistiky</w:t>
      </w:r>
      <w:r>
        <w:t xml:space="preserve"> a o 23 % ubylo studentů </w:t>
      </w:r>
      <w:r w:rsidRPr="00D72ECD">
        <w:rPr>
          <w:b/>
          <w:i/>
        </w:rPr>
        <w:t xml:space="preserve">technických věd, výroby a </w:t>
      </w:r>
      <w:r w:rsidRPr="00D72ECD">
        <w:rPr>
          <w:b/>
          <w:i/>
        </w:rPr>
        <w:lastRenderedPageBreak/>
        <w:t>stavebnictví</w:t>
      </w:r>
      <w:r>
        <w:t>.</w:t>
      </w:r>
      <w:r w:rsidRPr="003268FA">
        <w:t xml:space="preserve"> </w:t>
      </w:r>
      <w:r>
        <w:t>V roce 2001 bylo studentů technických věd, výroby a stavebnictví 4,5krát více než studentů přírodovědných oborů. V roce 2022 bylo studentů technických oborů již jen o 58,5 % více.</w:t>
      </w:r>
    </w:p>
    <w:p w14:paraId="57C28BEB" w14:textId="10742E5A" w:rsidR="00C87804" w:rsidRPr="00503D07" w:rsidRDefault="00C87804" w:rsidP="00B27A0B">
      <w:pPr>
        <w:spacing w:after="120"/>
        <w:ind w:firstLine="284"/>
        <w:jc w:val="both"/>
      </w:pPr>
      <w:r>
        <w:t xml:space="preserve">Výše uvedené platí pro všechny studenty ve vzdělávací soustavě ČR. Pokud z nich vyčleníme pouze ty </w:t>
      </w:r>
      <w:r w:rsidRPr="002C3AEA">
        <w:rPr>
          <w:b/>
        </w:rPr>
        <w:t>s českým státním občanstvím</w:t>
      </w:r>
      <w:r>
        <w:t xml:space="preserve">, pak můžeme konstatovat, že </w:t>
      </w:r>
      <w:r w:rsidR="006C213D">
        <w:t xml:space="preserve">v </w:t>
      </w:r>
      <w:r>
        <w:t xml:space="preserve">roce </w:t>
      </w:r>
      <w:r w:rsidR="00623298">
        <w:t xml:space="preserve">2022 </w:t>
      </w:r>
      <w:r>
        <w:t xml:space="preserve">došlo téměř k vyrovnání počtu studentů </w:t>
      </w:r>
      <w:r w:rsidRPr="00D72ECD">
        <w:rPr>
          <w:b/>
          <w:i/>
        </w:rPr>
        <w:t>technických</w:t>
      </w:r>
      <w:r>
        <w:t xml:space="preserve"> oborů (31,2 tisíce) a </w:t>
      </w:r>
      <w:r w:rsidRPr="00D72ECD">
        <w:rPr>
          <w:b/>
          <w:i/>
        </w:rPr>
        <w:t>zdravotnických</w:t>
      </w:r>
      <w:r>
        <w:t xml:space="preserve"> oborů (31,1 tisíce). Také si lze </w:t>
      </w:r>
      <w:r w:rsidR="00262C60">
        <w:t>v grafu č. 1.11</w:t>
      </w:r>
      <w:r>
        <w:t xml:space="preserve"> všimnout, že </w:t>
      </w:r>
      <w:r w:rsidRPr="00D72ECD">
        <w:rPr>
          <w:b/>
          <w:i/>
        </w:rPr>
        <w:t>vzdělávací</w:t>
      </w:r>
      <w:r>
        <w:t xml:space="preserve"> obory se až do roku 2020 držely na třetí příčce, od roku 2021 však zaujaly druhé místo a v roce 2022 si již získaly nad obory zdravotnickými a technickými náskok o</w:t>
      </w:r>
      <w:r w:rsidR="00262C60">
        <w:t> </w:t>
      </w:r>
      <w:r w:rsidR="00B35AAF">
        <w:t xml:space="preserve">více než </w:t>
      </w:r>
      <w:r w:rsidR="00B5362A">
        <w:t>pět</w:t>
      </w:r>
      <w:r>
        <w:t xml:space="preserve"> </w:t>
      </w:r>
      <w:r w:rsidR="00B5362A">
        <w:t>tisíc studentů</w:t>
      </w:r>
      <w:r>
        <w:t xml:space="preserve">. Výše bylo také uvedeno, že celkově za všechny studenty byl </w:t>
      </w:r>
      <w:r w:rsidR="00262C60">
        <w:t xml:space="preserve">v roce 2022 </w:t>
      </w:r>
      <w:r>
        <w:t xml:space="preserve">zaznamenán téměř totožný počet studentů </w:t>
      </w:r>
      <w:r w:rsidRPr="00CE2853">
        <w:rPr>
          <w:b/>
          <w:i/>
        </w:rPr>
        <w:t>přírodních věd, matematiky a statistiky</w:t>
      </w:r>
      <w:r>
        <w:t xml:space="preserve"> a počet studentů</w:t>
      </w:r>
      <w:r w:rsidR="00B35AAF">
        <w:t xml:space="preserve"> oborů z oblasti</w:t>
      </w:r>
      <w:r>
        <w:t xml:space="preserve"> </w:t>
      </w:r>
      <w:r w:rsidR="00B35AAF">
        <w:rPr>
          <w:b/>
          <w:i/>
        </w:rPr>
        <w:t>informačních a komunikačních technologií</w:t>
      </w:r>
      <w:r>
        <w:t xml:space="preserve">. Ve skupině českých studentů </w:t>
      </w:r>
      <w:r w:rsidR="00262C60">
        <w:t xml:space="preserve">však </w:t>
      </w:r>
      <w:r>
        <w:t xml:space="preserve">převažuje zájem o přírodní </w:t>
      </w:r>
      <w:r w:rsidRPr="00503D07">
        <w:t xml:space="preserve">vědy, matematiku a statistiku. </w:t>
      </w:r>
    </w:p>
    <w:p w14:paraId="5D7E9DEC" w14:textId="4941B83F" w:rsidR="00C87804" w:rsidRDefault="00C87804" w:rsidP="00385BB3">
      <w:pPr>
        <w:keepNext/>
        <w:spacing w:after="120"/>
        <w:jc w:val="both"/>
      </w:pPr>
      <w:r w:rsidRPr="00503D07">
        <w:rPr>
          <w:b/>
        </w:rPr>
        <w:t xml:space="preserve">Graf č. </w:t>
      </w:r>
      <w:r w:rsidR="00D54930">
        <w:rPr>
          <w:b/>
        </w:rPr>
        <w:t>1.11</w:t>
      </w:r>
      <w:r w:rsidRPr="00503D07">
        <w:rPr>
          <w:b/>
        </w:rPr>
        <w:t xml:space="preserve"> </w:t>
      </w:r>
      <w:r w:rsidR="00D54930" w:rsidRPr="00D54930">
        <w:rPr>
          <w:b/>
        </w:rPr>
        <w:t>P</w:t>
      </w:r>
      <w:r w:rsidRPr="00D54930">
        <w:rPr>
          <w:b/>
        </w:rPr>
        <w:t>očet stu</w:t>
      </w:r>
      <w:r w:rsidR="00275C79">
        <w:rPr>
          <w:b/>
        </w:rPr>
        <w:t>dentů Čechů (v tis.) dle skupin</w:t>
      </w:r>
      <w:r w:rsidRPr="00D54930">
        <w:rPr>
          <w:b/>
        </w:rPr>
        <w:t xml:space="preserve"> oborů vzdělávání (2001 až 2022)</w:t>
      </w:r>
    </w:p>
    <w:p w14:paraId="5D7D419F" w14:textId="77777777" w:rsidR="00C87804" w:rsidRDefault="00C87804" w:rsidP="004D7D44">
      <w:pPr>
        <w:spacing w:after="120"/>
      </w:pPr>
      <w:r w:rsidRPr="007F5E63">
        <w:rPr>
          <w:noProof/>
          <w:color w:val="FF2994"/>
        </w:rPr>
        <w:drawing>
          <wp:inline distT="0" distB="0" distL="0" distR="0" wp14:anchorId="026873A4" wp14:editId="0EFDF309">
            <wp:extent cx="5848350" cy="5819775"/>
            <wp:effectExtent l="0" t="0" r="0" b="9525"/>
            <wp:docPr id="66" name="Graf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94B5744" w14:textId="77777777" w:rsidR="00C87804" w:rsidRPr="007457B0" w:rsidRDefault="00C87804" w:rsidP="00C87804">
      <w:pPr>
        <w:spacing w:after="120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4A5F91C3" w14:textId="5FA7FBBB" w:rsidR="00C87804" w:rsidRDefault="00C87804" w:rsidP="00B27A0B">
      <w:pPr>
        <w:ind w:firstLine="284"/>
        <w:jc w:val="both"/>
      </w:pPr>
      <w:r>
        <w:lastRenderedPageBreak/>
        <w:t xml:space="preserve">Pokud se jedná o </w:t>
      </w:r>
      <w:r w:rsidRPr="005B4C01">
        <w:rPr>
          <w:b/>
        </w:rPr>
        <w:t>místo studia</w:t>
      </w:r>
      <w:r>
        <w:t>, v čase se stabilně dvě pětiny studentů vzdělávají v Praze a další pětina v Brně</w:t>
      </w:r>
      <w:r w:rsidR="00890AF5">
        <w:t>. Více než 5 % všech studentů</w:t>
      </w:r>
      <w:r>
        <w:t xml:space="preserve"> </w:t>
      </w:r>
      <w:r w:rsidR="00B27A0B">
        <w:t>dále</w:t>
      </w:r>
      <w:r w:rsidR="00890AF5">
        <w:t xml:space="preserve"> navštěvuje školy</w:t>
      </w:r>
      <w:r w:rsidR="00B27A0B">
        <w:t xml:space="preserve"> v Olomouci, jakož i </w:t>
      </w:r>
      <w:r>
        <w:t>v</w:t>
      </w:r>
      <w:r w:rsidR="00647259">
        <w:t> </w:t>
      </w:r>
      <w:r>
        <w:t>Ostravě. Na další příčce se v roce 2022 umístily Plzeň (4,3 %) a České Budějovice (3,8 %).  Jeden student se přitom může vzdělávat na více místech České republiky. Podobnější přehled viz tabulku č. </w:t>
      </w:r>
      <w:r w:rsidR="00026755">
        <w:t>1.</w:t>
      </w:r>
      <w:r>
        <w:t>3.</w:t>
      </w:r>
    </w:p>
    <w:p w14:paraId="4F67B94F" w14:textId="53EDAA21" w:rsidR="00C87804" w:rsidRDefault="00C87804" w:rsidP="004D7D44">
      <w:pPr>
        <w:spacing w:after="120"/>
      </w:pPr>
      <w:r>
        <w:rPr>
          <w:b/>
        </w:rPr>
        <w:t xml:space="preserve">Tabulka č. </w:t>
      </w:r>
      <w:r w:rsidR="00192AD0">
        <w:rPr>
          <w:b/>
        </w:rPr>
        <w:t>1.</w:t>
      </w:r>
      <w:r>
        <w:rPr>
          <w:b/>
        </w:rPr>
        <w:t>3</w:t>
      </w:r>
      <w:r w:rsidRPr="00854061">
        <w:rPr>
          <w:b/>
        </w:rPr>
        <w:t xml:space="preserve"> </w:t>
      </w:r>
      <w:r w:rsidR="00D54930">
        <w:rPr>
          <w:b/>
        </w:rPr>
        <w:t>P</w:t>
      </w:r>
      <w:r>
        <w:rPr>
          <w:b/>
        </w:rPr>
        <w:t xml:space="preserve">odíly </w:t>
      </w:r>
      <w:r w:rsidR="00D54930">
        <w:rPr>
          <w:b/>
        </w:rPr>
        <w:t xml:space="preserve">ze všech </w:t>
      </w:r>
      <w:r>
        <w:rPr>
          <w:b/>
        </w:rPr>
        <w:t xml:space="preserve">studentů </w:t>
      </w:r>
      <w:r w:rsidR="00D54930">
        <w:rPr>
          <w:b/>
        </w:rPr>
        <w:t xml:space="preserve">vysokých škol </w:t>
      </w:r>
      <w:r>
        <w:rPr>
          <w:b/>
        </w:rPr>
        <w:t>v nejčastěji využívaných místech studia</w:t>
      </w:r>
    </w:p>
    <w:tbl>
      <w:tblPr>
        <w:tblW w:w="90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1"/>
        <w:gridCol w:w="871"/>
        <w:gridCol w:w="871"/>
        <w:gridCol w:w="870"/>
        <w:gridCol w:w="870"/>
        <w:gridCol w:w="870"/>
        <w:gridCol w:w="870"/>
        <w:gridCol w:w="870"/>
        <w:gridCol w:w="870"/>
        <w:gridCol w:w="870"/>
      </w:tblGrid>
      <w:tr w:rsidR="00C87804" w:rsidRPr="007A6BC4" w14:paraId="798E8093" w14:textId="77777777" w:rsidTr="00C437AE">
        <w:trPr>
          <w:trHeight w:val="302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B8F5"/>
            <w:noWrap/>
            <w:vAlign w:val="center"/>
            <w:hideMark/>
          </w:tcPr>
          <w:p w14:paraId="593CF2E0" w14:textId="77777777" w:rsidR="00C87804" w:rsidRPr="007A6BC4" w:rsidRDefault="00C87804" w:rsidP="00C437AE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A6BC4">
              <w:rPr>
                <w:rFonts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FB8F5"/>
            <w:noWrap/>
            <w:vAlign w:val="center"/>
            <w:hideMark/>
          </w:tcPr>
          <w:p w14:paraId="123E59CA" w14:textId="77777777" w:rsidR="00C87804" w:rsidRPr="007A6BC4" w:rsidRDefault="00C87804" w:rsidP="00C437AE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A6BC4">
              <w:rPr>
                <w:rFonts w:cs="Arial"/>
                <w:b/>
                <w:bCs/>
                <w:sz w:val="16"/>
                <w:szCs w:val="16"/>
              </w:rPr>
              <w:t>2002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FB8F5"/>
            <w:noWrap/>
            <w:vAlign w:val="center"/>
            <w:hideMark/>
          </w:tcPr>
          <w:p w14:paraId="7D0748C3" w14:textId="77777777" w:rsidR="00C87804" w:rsidRPr="007A6BC4" w:rsidRDefault="00C87804" w:rsidP="00C437AE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A6BC4">
              <w:rPr>
                <w:rFonts w:cs="Arial"/>
                <w:b/>
                <w:bCs/>
                <w:sz w:val="16"/>
                <w:szCs w:val="16"/>
              </w:rPr>
              <w:t>2007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FB8F5"/>
            <w:noWrap/>
            <w:vAlign w:val="center"/>
            <w:hideMark/>
          </w:tcPr>
          <w:p w14:paraId="1B7F4B64" w14:textId="77777777" w:rsidR="00C87804" w:rsidRPr="007A6BC4" w:rsidRDefault="00C87804" w:rsidP="00C437AE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A6BC4">
              <w:rPr>
                <w:rFonts w:cs="Arial"/>
                <w:b/>
                <w:bCs/>
                <w:sz w:val="16"/>
                <w:szCs w:val="16"/>
              </w:rPr>
              <w:t>2012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FB8F5"/>
            <w:noWrap/>
            <w:vAlign w:val="center"/>
            <w:hideMark/>
          </w:tcPr>
          <w:p w14:paraId="7D7BFA31" w14:textId="77777777" w:rsidR="00C87804" w:rsidRPr="007A6BC4" w:rsidRDefault="00C87804" w:rsidP="00C437AE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A6BC4">
              <w:rPr>
                <w:rFonts w:cs="Arial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FB8F5"/>
            <w:noWrap/>
            <w:vAlign w:val="center"/>
            <w:hideMark/>
          </w:tcPr>
          <w:p w14:paraId="183A12DA" w14:textId="77777777" w:rsidR="00C87804" w:rsidRPr="007A6BC4" w:rsidRDefault="00C87804" w:rsidP="00C437AE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A6BC4">
              <w:rPr>
                <w:rFonts w:cs="Arial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FB8F5"/>
            <w:noWrap/>
            <w:vAlign w:val="center"/>
            <w:hideMark/>
          </w:tcPr>
          <w:p w14:paraId="06F20227" w14:textId="77777777" w:rsidR="00C87804" w:rsidRPr="007A6BC4" w:rsidRDefault="00C87804" w:rsidP="00C437AE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A6BC4">
              <w:rPr>
                <w:rFonts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FB8F5"/>
            <w:noWrap/>
            <w:vAlign w:val="center"/>
            <w:hideMark/>
          </w:tcPr>
          <w:p w14:paraId="0D493430" w14:textId="77777777" w:rsidR="00C87804" w:rsidRPr="007A6BC4" w:rsidRDefault="00C87804" w:rsidP="00C437AE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A6BC4">
              <w:rPr>
                <w:rFonts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FB8F5"/>
            <w:noWrap/>
            <w:vAlign w:val="center"/>
            <w:hideMark/>
          </w:tcPr>
          <w:p w14:paraId="4C63DABF" w14:textId="77777777" w:rsidR="00C87804" w:rsidRPr="007A6BC4" w:rsidRDefault="00C87804" w:rsidP="00C437AE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A6BC4">
              <w:rPr>
                <w:rFonts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FB8F5"/>
            <w:noWrap/>
            <w:vAlign w:val="center"/>
            <w:hideMark/>
          </w:tcPr>
          <w:p w14:paraId="2DCBABE7" w14:textId="77777777" w:rsidR="00C87804" w:rsidRPr="007A6BC4" w:rsidRDefault="00C87804" w:rsidP="00C437AE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A6BC4">
              <w:rPr>
                <w:rFonts w:cs="Arial"/>
                <w:b/>
                <w:bCs/>
                <w:sz w:val="16"/>
                <w:szCs w:val="16"/>
              </w:rPr>
              <w:t>2022</w:t>
            </w:r>
          </w:p>
        </w:tc>
      </w:tr>
      <w:tr w:rsidR="00C87804" w:rsidRPr="007A6BC4" w14:paraId="5BA35C3A" w14:textId="77777777" w:rsidTr="00C437AE">
        <w:trPr>
          <w:trHeight w:val="302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886D" w14:textId="77777777" w:rsidR="00C87804" w:rsidRPr="007A6BC4" w:rsidRDefault="00C87804" w:rsidP="00C437AE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 xml:space="preserve">Praha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B5B5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38,5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C130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36,6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1F82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36,8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AC99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38,6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7326A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38,8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D544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38,8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537E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39,1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6CEAF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39,6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D51B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40,0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</w:tr>
      <w:tr w:rsidR="00C87804" w:rsidRPr="007A6BC4" w14:paraId="0BCACFBA" w14:textId="77777777" w:rsidTr="00C437AE">
        <w:trPr>
          <w:trHeight w:val="302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5FACF" w14:textId="77777777" w:rsidR="00C87804" w:rsidRPr="007A6BC4" w:rsidRDefault="00C87804" w:rsidP="00C437AE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Brno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9397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20,7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F121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20,4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C60B2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20,6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611C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20,8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3DDA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21,1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7D09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20,9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7586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21,0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5272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20,7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C52B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20,6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</w:tr>
      <w:tr w:rsidR="00C87804" w:rsidRPr="007A6BC4" w14:paraId="1AB82545" w14:textId="77777777" w:rsidTr="00C437AE">
        <w:trPr>
          <w:trHeight w:val="302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C285" w14:textId="77777777" w:rsidR="00C87804" w:rsidRPr="007A6BC4" w:rsidRDefault="00C87804" w:rsidP="00C437AE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Olomouc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6721B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6,3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47783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5,7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A040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5,8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91E9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6,7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8F9A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6,9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0FFBB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7,1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7B48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7,4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94488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7,6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0B45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7,6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</w:tr>
      <w:tr w:rsidR="00C87804" w:rsidRPr="007A6BC4" w14:paraId="47AB7D3C" w14:textId="77777777" w:rsidTr="00C437AE">
        <w:trPr>
          <w:trHeight w:val="302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7B52" w14:textId="77777777" w:rsidR="00C87804" w:rsidRPr="007A6BC4" w:rsidRDefault="00C87804" w:rsidP="00C437AE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Ostrava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9B58E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9,2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EE57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8,6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4CB6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7,8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9213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6,9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19FF7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6,6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C85B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6,5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2E30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6,4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CD30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6,4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9DE8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6,6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</w:tr>
      <w:tr w:rsidR="00C87804" w:rsidRPr="007A6BC4" w14:paraId="23FFE75A" w14:textId="77777777" w:rsidTr="00C437AE">
        <w:trPr>
          <w:trHeight w:val="302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4A3B" w14:textId="77777777" w:rsidR="00C87804" w:rsidRPr="007A6BC4" w:rsidRDefault="00C87804" w:rsidP="00C437AE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Plzeň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6E55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6,1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95DC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5,4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F0BE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4,4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65801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4,3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F3EE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4,3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DBEF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4,5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3DEE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4,4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D90F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4,3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5E931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4,3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</w:tr>
      <w:tr w:rsidR="00C87804" w:rsidRPr="007A6BC4" w14:paraId="7C690CD0" w14:textId="77777777" w:rsidTr="00C437AE">
        <w:trPr>
          <w:trHeight w:val="302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2690" w14:textId="77777777" w:rsidR="00C87804" w:rsidRPr="007A6BC4" w:rsidRDefault="00C87804" w:rsidP="00C437AE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České Budějovice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24FF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3DCD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2C248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4,3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11B5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4,4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2686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4,2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8705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4,3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A854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4,1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6C5E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3,9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216D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3,8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</w:tr>
      <w:tr w:rsidR="00C87804" w:rsidRPr="007A6BC4" w14:paraId="151C6D8B" w14:textId="77777777" w:rsidTr="00C437AE">
        <w:trPr>
          <w:trHeight w:val="302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8CEF" w14:textId="77777777" w:rsidR="00C87804" w:rsidRPr="007A6BC4" w:rsidRDefault="00C87804" w:rsidP="00C437AE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Hradec Králové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492F4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6438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A06B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3,5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0E2D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9E01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0550B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682E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876D0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3,2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FC0E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3,1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</w:tr>
      <w:tr w:rsidR="00C87804" w:rsidRPr="007A6BC4" w14:paraId="007126CD" w14:textId="77777777" w:rsidTr="00C437AE">
        <w:trPr>
          <w:trHeight w:val="302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39C5" w14:textId="77777777" w:rsidR="00C87804" w:rsidRPr="007A6BC4" w:rsidRDefault="00C87804" w:rsidP="00C437AE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Zlín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C3752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1,8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2F43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FB73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4A04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29C3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DDB0E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9149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7842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548B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</w:tr>
      <w:tr w:rsidR="00C87804" w:rsidRPr="007A6BC4" w14:paraId="232EDAF8" w14:textId="77777777" w:rsidTr="00C437AE">
        <w:trPr>
          <w:trHeight w:val="302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32D5" w14:textId="77777777" w:rsidR="00C87804" w:rsidRPr="007A6BC4" w:rsidRDefault="00C87804" w:rsidP="00C437AE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Ústí nad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 xml:space="preserve"> Labem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DD3D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338E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6AE3C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6F54A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C1EC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2A63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F05E3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9AD9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E5851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</w:tr>
      <w:tr w:rsidR="00C87804" w:rsidRPr="007A6BC4" w14:paraId="6FA1D3D1" w14:textId="77777777" w:rsidTr="00C437AE">
        <w:trPr>
          <w:trHeight w:val="302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310C4" w14:textId="77777777" w:rsidR="00C87804" w:rsidRPr="007A6BC4" w:rsidRDefault="00C87804" w:rsidP="00C437AE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Pardubice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723A4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2EC3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9CB2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38CD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C5AD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2FF9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95127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1C03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2,2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E6692" w14:textId="77777777" w:rsidR="00C87804" w:rsidRPr="007A6BC4" w:rsidRDefault="00C87804" w:rsidP="00C437AE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</w:tr>
      <w:tr w:rsidR="00C87804" w:rsidRPr="007A6BC4" w14:paraId="56A7368F" w14:textId="77777777" w:rsidTr="00C437AE">
        <w:trPr>
          <w:trHeight w:val="302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7DE88" w14:textId="77777777" w:rsidR="00C87804" w:rsidRPr="007A6BC4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Liberec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0C693" w14:textId="77777777" w:rsidR="00C87804" w:rsidRPr="007A6BC4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AD99" w14:textId="77777777" w:rsidR="00C87804" w:rsidRPr="007A6BC4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A943" w14:textId="77777777" w:rsidR="00C87804" w:rsidRPr="007A6BC4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51A4" w14:textId="77777777" w:rsidR="00C87804" w:rsidRPr="007A6BC4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0CC4" w14:textId="77777777" w:rsidR="00C87804" w:rsidRPr="007A6BC4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B5B6" w14:textId="77777777" w:rsidR="00C87804" w:rsidRPr="007A6BC4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E049" w14:textId="77777777" w:rsidR="00C87804" w:rsidRPr="007A6BC4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09D8" w14:textId="77777777" w:rsidR="00C87804" w:rsidRPr="007A6BC4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5539" w14:textId="77777777" w:rsidR="00C87804" w:rsidRPr="007A6BC4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A6BC4">
              <w:rPr>
                <w:rFonts w:cs="Arial"/>
                <w:color w:val="000000"/>
                <w:sz w:val="16"/>
                <w:szCs w:val="16"/>
              </w:rPr>
              <w:t>2,0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A6BC4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</w:tr>
    </w:tbl>
    <w:p w14:paraId="67E4F765" w14:textId="77777777" w:rsidR="00C87804" w:rsidRPr="007457B0" w:rsidRDefault="00C87804" w:rsidP="004D7D44">
      <w:pPr>
        <w:spacing w:before="120" w:after="120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55F3C9A9" w14:textId="77777777" w:rsidR="00C87804" w:rsidRDefault="00C87804" w:rsidP="00C87804">
      <w:pPr>
        <w:spacing w:after="120"/>
        <w:ind w:firstLine="284"/>
        <w:jc w:val="both"/>
      </w:pPr>
      <w:r w:rsidRPr="00C17D0E">
        <w:t xml:space="preserve">Podíváme-li se na členění studentů </w:t>
      </w:r>
      <w:r w:rsidRPr="00C17D0E">
        <w:rPr>
          <w:b/>
        </w:rPr>
        <w:t>dle kraje trvalého bydliště</w:t>
      </w:r>
      <w:r w:rsidRPr="00C17D0E">
        <w:t>, nejvyšší počet studentů veřejných a soukromých vysokých šk</w:t>
      </w:r>
      <w:r>
        <w:t>ol v ČR pocházel v roce 2022 z h</w:t>
      </w:r>
      <w:r w:rsidRPr="00C17D0E">
        <w:t>lavního města Prahy (</w:t>
      </w:r>
      <w:r>
        <w:t>36 220</w:t>
      </w:r>
      <w:r w:rsidRPr="00C17D0E">
        <w:t>), z kraje Středočeského (</w:t>
      </w:r>
      <w:r>
        <w:t>33 080), Moravskoslezského (30 357) a Jihomoravského (</w:t>
      </w:r>
      <w:r w:rsidRPr="005C416B">
        <w:t>27</w:t>
      </w:r>
      <w:r>
        <w:t> </w:t>
      </w:r>
      <w:r w:rsidRPr="005C416B">
        <w:t>868</w:t>
      </w:r>
      <w:r w:rsidRPr="00C17D0E">
        <w:t>). V ostatních krajích již činil méně než 20 tisíc osob, nejméně v kraji K</w:t>
      </w:r>
      <w:r>
        <w:t>arlovarském (5 072)</w:t>
      </w:r>
      <w:r w:rsidRPr="00C17D0E">
        <w:t xml:space="preserve">. </w:t>
      </w:r>
    </w:p>
    <w:p w14:paraId="048C4EC9" w14:textId="0D28515B" w:rsidR="00C87804" w:rsidRDefault="00C87804" w:rsidP="008A529B">
      <w:pPr>
        <w:spacing w:after="120"/>
        <w:ind w:firstLine="284"/>
        <w:jc w:val="both"/>
      </w:pPr>
      <w:r w:rsidRPr="00CC5292">
        <w:t xml:space="preserve">Je nutné si uvědomit, že jednotlivé kraje se liší svou lidnatostí, jakož i věkovou strukturou. Podíváme-li se tedy na podíl studentů ve věku 20–29 let, tj. ve věku obvyklém pro studium VŠ, ze všech obyvatel s trvalým bydlištěm v daném kraji ve věku 20–29 let, pak nejvyšší hodnoty dosáhl </w:t>
      </w:r>
      <w:r w:rsidR="008A529B" w:rsidRPr="00CC5292">
        <w:t>v roce 2022</w:t>
      </w:r>
      <w:r w:rsidRPr="00CC5292">
        <w:t xml:space="preserve"> </w:t>
      </w:r>
      <w:r w:rsidR="008A529B" w:rsidRPr="00CC5292">
        <w:t>kraj Zlínský (22</w:t>
      </w:r>
      <w:r w:rsidRPr="00CC5292">
        <w:t> %) a nejmen</w:t>
      </w:r>
      <w:r w:rsidR="008A529B" w:rsidRPr="00CC5292">
        <w:t>ší naopak kraj Karlovarský (13,1 %) a Ústecký (14,2</w:t>
      </w:r>
      <w:r w:rsidRPr="00CC5292">
        <w:t xml:space="preserve"> %). </w:t>
      </w:r>
    </w:p>
    <w:p w14:paraId="5DE1789F" w14:textId="77777777" w:rsidR="00BA098D" w:rsidRDefault="00CC5292" w:rsidP="008A529B">
      <w:pPr>
        <w:spacing w:after="120"/>
        <w:ind w:firstLine="284"/>
        <w:jc w:val="both"/>
      </w:pPr>
      <w:r>
        <w:t xml:space="preserve">Graf č. 1.12 ukazuje vývoj podílu studentů vysokých škol ze všech obyvatel daného kraje ve věku 20-29 let v čase. </w:t>
      </w:r>
      <w:r w:rsidRPr="009630FF">
        <w:t>Jak je</w:t>
      </w:r>
      <w:r w:rsidR="00251F33">
        <w:t xml:space="preserve"> patrné, až do roku 2006</w:t>
      </w:r>
      <w:r w:rsidRPr="009630FF">
        <w:t xml:space="preserve"> byl nejvyšší podíl studujících mezi obyvateli ve věku 20-29 </w:t>
      </w:r>
      <w:r w:rsidR="00251F33">
        <w:t xml:space="preserve">let s trvalým pobytem v Praze. V roce 2007 Prahu dohnal kraj Zlínský, který ji v roce 2008 předehnal a </w:t>
      </w:r>
      <w:r w:rsidRPr="009630FF">
        <w:t xml:space="preserve">až </w:t>
      </w:r>
      <w:r w:rsidRPr="000A7127">
        <w:t>do roku 2022 si</w:t>
      </w:r>
      <w:r w:rsidRPr="009630FF">
        <w:t xml:space="preserve"> udržel v podílu studujících mezi obyvateli ve věku 20-29 let náskok </w:t>
      </w:r>
      <w:r>
        <w:t>nad ostatními kraji. V roce 2022</w:t>
      </w:r>
      <w:r w:rsidRPr="009630FF">
        <w:t xml:space="preserve"> zde čini</w:t>
      </w:r>
      <w:r>
        <w:t>l tento podíl 22 %, což je cca o dva</w:t>
      </w:r>
      <w:r w:rsidRPr="009630FF">
        <w:t xml:space="preserve"> procentní body více než v</w:t>
      </w:r>
      <w:r>
        <w:t xml:space="preserve"> kraji Moravskoslezském, Olomouckém, Jihočeském a na </w:t>
      </w:r>
      <w:r w:rsidRPr="009630FF">
        <w:t xml:space="preserve">Vysočině. </w:t>
      </w:r>
    </w:p>
    <w:p w14:paraId="5EC5B72B" w14:textId="5DB06BF0" w:rsidR="00CC5292" w:rsidRPr="00CC5292" w:rsidRDefault="00CC5292" w:rsidP="008A529B">
      <w:pPr>
        <w:spacing w:after="120"/>
        <w:ind w:firstLine="284"/>
        <w:jc w:val="both"/>
      </w:pPr>
      <w:r w:rsidRPr="009630FF">
        <w:t xml:space="preserve">Na opačném konci žebříčku se v roce </w:t>
      </w:r>
      <w:r>
        <w:t xml:space="preserve">2001 umístily </w:t>
      </w:r>
      <w:r w:rsidRPr="009630FF">
        <w:t xml:space="preserve">kraje Středočeský, Ústecký a Karlovarský kraj s cca 6 % studujících veřejnou či soukromou vysokou školu mezi obyvateli ve věku 20-29 let. Kraje Ústecký a Karlovarský se udržely na spodních příčkách žebříčku až do roku </w:t>
      </w:r>
      <w:r w:rsidRPr="000A0AA3">
        <w:t>2022,</w:t>
      </w:r>
      <w:r w:rsidRPr="009630FF">
        <w:t xml:space="preserve"> zatímco Středočeský kraj v první dekádě tohoto století předh</w:t>
      </w:r>
      <w:r>
        <w:t>onil Liberecký a Plzeňský kraj,</w:t>
      </w:r>
      <w:r w:rsidRPr="009630FF">
        <w:t xml:space="preserve"> do </w:t>
      </w:r>
      <w:r w:rsidRPr="000A0AA3">
        <w:t>roku 2021 i</w:t>
      </w:r>
      <w:r w:rsidRPr="009630FF">
        <w:t xml:space="preserve"> kraj Pardubický</w:t>
      </w:r>
      <w:r>
        <w:t xml:space="preserve"> a v roce 2022 i Prahu a kraj Jihomoravský. S 18,7 % studujících mezi obyvateli tohoto kraje ve věku 20-29 let se umístil na šestém </w:t>
      </w:r>
      <w:r w:rsidR="00623298">
        <w:t>místě</w:t>
      </w:r>
      <w:r w:rsidRPr="00B1734C">
        <w:t xml:space="preserve">. Zde je třeba poznamenat, že v roce 2022 se poprvé od roku 2001 počet obyvatel České republiky ve věku 20-29 let zvýšil, a sice o 2,5 %, v předchozích letech docházelo naopak k postupnému úbytku. Toto navýšení mohlo být dáno přílivem uprchlíků z Ukrajiny, kterých v jednotlivých krajích přibývalo nerovnoměrně </w:t>
      </w:r>
      <w:r w:rsidR="00FB4008">
        <w:t>(</w:t>
      </w:r>
      <w:r w:rsidR="00BE4C7D">
        <w:t xml:space="preserve">zdaleka nejvýrazněji </w:t>
      </w:r>
      <w:r w:rsidR="00FB4008">
        <w:t xml:space="preserve">v Praze) </w:t>
      </w:r>
      <w:r w:rsidRPr="00B1734C">
        <w:t>a kteří mohli mít nejen z důvodu jazykové bariéry problém začít se studiem na vysoké škole.</w:t>
      </w:r>
    </w:p>
    <w:p w14:paraId="14307407" w14:textId="53A20186" w:rsidR="00C87804" w:rsidRDefault="00C87804" w:rsidP="004D7D44">
      <w:pPr>
        <w:keepNext/>
        <w:spacing w:after="120"/>
        <w:jc w:val="both"/>
        <w:rPr>
          <w:b/>
        </w:rPr>
      </w:pPr>
      <w:r>
        <w:rPr>
          <w:b/>
        </w:rPr>
        <w:lastRenderedPageBreak/>
        <w:t xml:space="preserve">Graf č. </w:t>
      </w:r>
      <w:r w:rsidR="003F37BA">
        <w:rPr>
          <w:b/>
        </w:rPr>
        <w:t>1.12</w:t>
      </w:r>
      <w:r w:rsidRPr="00854061">
        <w:rPr>
          <w:b/>
        </w:rPr>
        <w:t xml:space="preserve"> </w:t>
      </w:r>
      <w:r w:rsidR="00D54930" w:rsidRPr="00D54930">
        <w:rPr>
          <w:b/>
        </w:rPr>
        <w:t>P</w:t>
      </w:r>
      <w:r w:rsidRPr="00D54930">
        <w:rPr>
          <w:b/>
        </w:rPr>
        <w:t xml:space="preserve">odíl studentů </w:t>
      </w:r>
      <w:r w:rsidR="00D54930" w:rsidRPr="00D54930">
        <w:rPr>
          <w:b/>
        </w:rPr>
        <w:t xml:space="preserve">vysokých škol </w:t>
      </w:r>
      <w:r w:rsidRPr="00D54930">
        <w:rPr>
          <w:b/>
        </w:rPr>
        <w:t xml:space="preserve">z obyvatel ve věku 20-29 let dle kraje trvalého bydliště studenta </w:t>
      </w:r>
    </w:p>
    <w:p w14:paraId="21DFFD46" w14:textId="6FE268E9" w:rsidR="00C87804" w:rsidRPr="0028513D" w:rsidRDefault="0028513D" w:rsidP="0028513D">
      <w:pPr>
        <w:keepNext/>
        <w:spacing w:after="120"/>
        <w:jc w:val="both"/>
        <w:rPr>
          <w:b/>
        </w:rPr>
      </w:pPr>
      <w:r w:rsidRPr="00170ACF">
        <w:rPr>
          <w:noProof/>
          <w:color w:val="FF66FF"/>
        </w:rPr>
        <w:drawing>
          <wp:inline distT="0" distB="0" distL="0" distR="0" wp14:anchorId="2DF82D51" wp14:editId="4B7BBF8E">
            <wp:extent cx="5760720" cy="7896225"/>
            <wp:effectExtent l="0" t="0" r="11430" b="9525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920D490" w14:textId="0C77D4D2" w:rsidR="00CC5292" w:rsidRPr="00D97245" w:rsidRDefault="00C87804" w:rsidP="00D97245">
      <w:pPr>
        <w:spacing w:after="120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6D452C07" w14:textId="113F0148" w:rsidR="00C87804" w:rsidRPr="00BE41DD" w:rsidRDefault="00777562" w:rsidP="009C1D00">
      <w:pPr>
        <w:pStyle w:val="Nadpis2"/>
        <w:spacing w:after="120"/>
      </w:pPr>
      <w:bookmarkStart w:id="4" w:name="_Toc135224481"/>
      <w:r w:rsidRPr="00BE41DD">
        <w:lastRenderedPageBreak/>
        <w:t xml:space="preserve">1.2 </w:t>
      </w:r>
      <w:r w:rsidR="00C87804" w:rsidRPr="00BE41DD">
        <w:t>Rozdíly mezi studenty (muži) a studentkami (ženami)</w:t>
      </w:r>
      <w:bookmarkEnd w:id="4"/>
    </w:p>
    <w:p w14:paraId="11B6FD22" w14:textId="408D6E7B" w:rsidR="00C87804" w:rsidRDefault="00057EC9" w:rsidP="00B27A0B">
      <w:pPr>
        <w:spacing w:after="120"/>
        <w:ind w:firstLine="284"/>
        <w:jc w:val="both"/>
      </w:pPr>
      <w:r>
        <w:t>V předchozí</w:t>
      </w:r>
      <w:r w:rsidR="00C87804">
        <w:t xml:space="preserve"> kapitole jsme ukázali, že podíl žen </w:t>
      </w:r>
      <w:r w:rsidR="00753ADA">
        <w:t xml:space="preserve">studujících vysokou školu ze všech žen </w:t>
      </w:r>
      <w:r w:rsidR="00C87804">
        <w:t>ve věku 20-29 let s trvalým bydlištěm v </w:t>
      </w:r>
      <w:r w:rsidR="00C87804" w:rsidRPr="003E3BAF">
        <w:t xml:space="preserve">ČR činil v roce 2022 celkem </w:t>
      </w:r>
      <w:r w:rsidR="003E3BAF" w:rsidRPr="003E3BAF">
        <w:t>20,8</w:t>
      </w:r>
      <w:r w:rsidR="00C87804" w:rsidRPr="003E3BAF">
        <w:t xml:space="preserve"> %. U mužů dosáhl tento ukazatel nižší hodnoty, a sice </w:t>
      </w:r>
      <w:r w:rsidR="003E3BAF" w:rsidRPr="003E3BAF">
        <w:t>15,9</w:t>
      </w:r>
      <w:r w:rsidR="00C87804" w:rsidRPr="003E3BAF">
        <w:t> %. Přitom v roce 2003 se muži a ženy v tom</w:t>
      </w:r>
      <w:r w:rsidR="00F92AF4" w:rsidRPr="003E3BAF">
        <w:t>to podílu nelišili (11,1 %) a v </w:t>
      </w:r>
      <w:r w:rsidR="00C87804" w:rsidRPr="003E3BAF">
        <w:t xml:space="preserve">předchozích letech byl dokonce nepatrně </w:t>
      </w:r>
      <w:r w:rsidR="00C87804" w:rsidRPr="004C2E75">
        <w:t xml:space="preserve">vyšší u mužů (v roce 2001 tvořil 9,2 % oproti 8,8 %). </w:t>
      </w:r>
      <w:r w:rsidR="00C87804">
        <w:t xml:space="preserve">Z jiného úhlu </w:t>
      </w:r>
      <w:r w:rsidR="0091373C">
        <w:t>p</w:t>
      </w:r>
      <w:r w:rsidR="00C87804">
        <w:t>ohledu te</w:t>
      </w:r>
      <w:r w:rsidR="00753ADA">
        <w:t>nto vývoj dokládá též graf č. 1.13</w:t>
      </w:r>
      <w:r w:rsidR="00C87804">
        <w:t>. Jak je patrné, podíl mužů mezi studenty vysokých škol soukromých a  veřejných byl v roce 2001 51,7 %,</w:t>
      </w:r>
      <w:r w:rsidR="00B40ACA">
        <w:t xml:space="preserve"> poté začal klesat. V</w:t>
      </w:r>
      <w:r w:rsidR="00C87804">
        <w:t xml:space="preserve"> průběhu roku 2004 se </w:t>
      </w:r>
      <w:r w:rsidR="00B40ACA">
        <w:t xml:space="preserve">tak podíl mužů a žen </w:t>
      </w:r>
      <w:r w:rsidR="00C87804">
        <w:t>vyrovnal a od roku 2009 činí cca 44 %.</w:t>
      </w:r>
    </w:p>
    <w:p w14:paraId="3419CD1B" w14:textId="23617527" w:rsidR="00C87804" w:rsidRDefault="00C87804" w:rsidP="00C87804">
      <w:pPr>
        <w:spacing w:after="120"/>
        <w:jc w:val="both"/>
      </w:pPr>
      <w:r>
        <w:rPr>
          <w:b/>
        </w:rPr>
        <w:t xml:space="preserve">Graf č. </w:t>
      </w:r>
      <w:r w:rsidR="003F37BA">
        <w:rPr>
          <w:b/>
        </w:rPr>
        <w:t>1.13</w:t>
      </w:r>
      <w:r w:rsidRPr="00B52B13">
        <w:rPr>
          <w:b/>
        </w:rPr>
        <w:t xml:space="preserve"> </w:t>
      </w:r>
      <w:r w:rsidR="00686EED" w:rsidRPr="00686EED">
        <w:rPr>
          <w:b/>
        </w:rPr>
        <w:t>P</w:t>
      </w:r>
      <w:r w:rsidRPr="00686EED">
        <w:rPr>
          <w:b/>
        </w:rPr>
        <w:t>odíl mužů a žen mezi studenty</w:t>
      </w:r>
      <w:r w:rsidR="00686EED" w:rsidRPr="00686EED">
        <w:rPr>
          <w:b/>
        </w:rPr>
        <w:t xml:space="preserve"> vysokých škol v České republice</w:t>
      </w:r>
    </w:p>
    <w:p w14:paraId="5CDE50C9" w14:textId="77777777" w:rsidR="00C87804" w:rsidRDefault="00C87804" w:rsidP="00C87804">
      <w:pPr>
        <w:spacing w:after="120"/>
        <w:jc w:val="both"/>
      </w:pPr>
      <w:r>
        <w:rPr>
          <w:noProof/>
        </w:rPr>
        <w:drawing>
          <wp:inline distT="0" distB="0" distL="0" distR="0" wp14:anchorId="661C414B" wp14:editId="1E6B2231">
            <wp:extent cx="5848350" cy="2419350"/>
            <wp:effectExtent l="0" t="0" r="0" b="0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7CE0FE7" w14:textId="77777777" w:rsidR="00C87804" w:rsidRPr="007457B0" w:rsidRDefault="00C87804" w:rsidP="00C87804">
      <w:pPr>
        <w:spacing w:after="120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1744E571" w14:textId="77777777" w:rsidR="00C87804" w:rsidRDefault="00C87804" w:rsidP="00B27A0B">
      <w:pPr>
        <w:spacing w:after="120"/>
        <w:ind w:firstLine="284"/>
        <w:jc w:val="both"/>
      </w:pPr>
      <w:r>
        <w:t>Jinými slovy, zatímco mužů studovalo v roce 2022 o 28,8 % více než v roce 2001, u žen se jednalo o nárůst o 72 %.</w:t>
      </w:r>
    </w:p>
    <w:p w14:paraId="4922CF55" w14:textId="73B4CA57" w:rsidR="00C87804" w:rsidRDefault="00543F62" w:rsidP="00B27A0B">
      <w:pPr>
        <w:spacing w:after="120"/>
        <w:ind w:firstLine="284"/>
        <w:jc w:val="both"/>
      </w:pPr>
      <w:r>
        <w:t>V čase se přitom</w:t>
      </w:r>
      <w:r w:rsidR="00C87804">
        <w:t xml:space="preserve"> rychleji zvyšoval </w:t>
      </w:r>
      <w:r w:rsidR="00821147">
        <w:rPr>
          <w:b/>
        </w:rPr>
        <w:t>podíl cizinců mezi muži než mezi ženami</w:t>
      </w:r>
      <w:r w:rsidR="00C87804">
        <w:t xml:space="preserve">. Jak je </w:t>
      </w:r>
      <w:r w:rsidR="00192E51">
        <w:t>zřejmé</w:t>
      </w:r>
      <w:r w:rsidR="00C87804">
        <w:t xml:space="preserve"> z grafu č. 1</w:t>
      </w:r>
      <w:r w:rsidR="002A7D1E">
        <w:t>.14</w:t>
      </w:r>
      <w:r w:rsidR="00C87804">
        <w:t xml:space="preserve">, v roce </w:t>
      </w:r>
      <w:r w:rsidR="00C91F3B">
        <w:t>2001 bylo</w:t>
      </w:r>
      <w:r w:rsidR="00170560">
        <w:t xml:space="preserve"> nepatrně</w:t>
      </w:r>
      <w:r w:rsidR="00C87804">
        <w:t xml:space="preserve"> více cizinců mezi muži (4,4 %) než mezi ženami (4</w:t>
      </w:r>
      <w:r w:rsidR="00170560">
        <w:t>,3</w:t>
      </w:r>
      <w:r w:rsidR="00C87804">
        <w:t xml:space="preserve"> %). </w:t>
      </w:r>
      <w:r w:rsidR="00821147">
        <w:t>Během</w:t>
      </w:r>
      <w:r w:rsidR="00C87804">
        <w:t xml:space="preserve"> roku 2003 se situace </w:t>
      </w:r>
      <w:r w:rsidR="00821147">
        <w:t>obrátila,</w:t>
      </w:r>
      <w:r w:rsidR="00C87804">
        <w:t xml:space="preserve"> a</w:t>
      </w:r>
      <w:r w:rsidR="00821147">
        <w:t>le</w:t>
      </w:r>
      <w:r w:rsidR="00C87804">
        <w:t xml:space="preserve"> v dalších letech j</w:t>
      </w:r>
      <w:r w:rsidR="00FF44D4">
        <w:t xml:space="preserve">iž byl </w:t>
      </w:r>
      <w:r w:rsidR="00821147">
        <w:t xml:space="preserve">opět </w:t>
      </w:r>
      <w:r w:rsidR="00FF44D4">
        <w:t>o trochu vyšší podíl</w:t>
      </w:r>
      <w:r w:rsidR="00821147">
        <w:t xml:space="preserve"> cizinců mezi muži</w:t>
      </w:r>
      <w:r w:rsidR="00C91F3B">
        <w:t xml:space="preserve"> a dále se tento rozdíl zvyšoval</w:t>
      </w:r>
      <w:r w:rsidR="00821147">
        <w:t xml:space="preserve">. V roce 2022 tvořili 19,6 % všech studentů (mužů), mezi studentkami </w:t>
      </w:r>
      <w:r>
        <w:t xml:space="preserve">(ženami) </w:t>
      </w:r>
      <w:r w:rsidR="00821147">
        <w:t>činil tento podíl 16,7</w:t>
      </w:r>
      <w:r w:rsidR="00C87804">
        <w:t> %.</w:t>
      </w:r>
    </w:p>
    <w:p w14:paraId="5778BAF5" w14:textId="661689FE" w:rsidR="00C87804" w:rsidRDefault="00C87804" w:rsidP="00C87804">
      <w:pPr>
        <w:keepNext/>
        <w:spacing w:after="120"/>
        <w:jc w:val="both"/>
        <w:rPr>
          <w:b/>
        </w:rPr>
      </w:pPr>
      <w:r w:rsidRPr="00F302E8">
        <w:rPr>
          <w:b/>
        </w:rPr>
        <w:t>Graf č</w:t>
      </w:r>
      <w:r>
        <w:rPr>
          <w:b/>
        </w:rPr>
        <w:t xml:space="preserve">. </w:t>
      </w:r>
      <w:r w:rsidR="003F37BA">
        <w:rPr>
          <w:b/>
        </w:rPr>
        <w:t>1.14</w:t>
      </w:r>
      <w:r w:rsidRPr="00F302E8">
        <w:rPr>
          <w:b/>
        </w:rPr>
        <w:t xml:space="preserve"> </w:t>
      </w:r>
      <w:r w:rsidR="003F37BA" w:rsidRPr="003F37BA">
        <w:rPr>
          <w:b/>
        </w:rPr>
        <w:t>P</w:t>
      </w:r>
      <w:r w:rsidRPr="003F37BA">
        <w:rPr>
          <w:b/>
        </w:rPr>
        <w:t>odíl cizinců mezi studenty a studentkami</w:t>
      </w:r>
      <w:r w:rsidR="003F37BA" w:rsidRPr="003F37BA">
        <w:rPr>
          <w:b/>
        </w:rPr>
        <w:t xml:space="preserve"> vysokých škol v České republice</w:t>
      </w:r>
    </w:p>
    <w:p w14:paraId="4DA922FE" w14:textId="40AC1774" w:rsidR="00C87804" w:rsidRDefault="00170560" w:rsidP="00170560">
      <w:pPr>
        <w:keepNext/>
        <w:spacing w:after="120"/>
        <w:jc w:val="both"/>
      </w:pPr>
      <w:r>
        <w:rPr>
          <w:noProof/>
        </w:rPr>
        <w:drawing>
          <wp:inline distT="0" distB="0" distL="0" distR="0" wp14:anchorId="0F32F41F" wp14:editId="0D81A74F">
            <wp:extent cx="5760720" cy="2266950"/>
            <wp:effectExtent l="0" t="0" r="11430" b="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CB049E1" w14:textId="77777777" w:rsidR="00C87804" w:rsidRPr="007457B0" w:rsidRDefault="00C87804" w:rsidP="00C87804">
      <w:pPr>
        <w:spacing w:after="120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420F3440" w14:textId="7AC61622" w:rsidR="00C87804" w:rsidRDefault="002A7D1E" w:rsidP="00B27A0B">
      <w:pPr>
        <w:spacing w:after="120"/>
        <w:ind w:firstLine="284"/>
        <w:jc w:val="both"/>
      </w:pPr>
      <w:r>
        <w:lastRenderedPageBreak/>
        <w:t>Lze konstatovat, že v</w:t>
      </w:r>
      <w:r w:rsidR="00C87804">
        <w:t xml:space="preserve">e věkovém složení ani v míře preference veřejných a soukromých vysokých škol se studenti muži a studentky ženy příliš nelišily. </w:t>
      </w:r>
      <w:r>
        <w:t>Větší</w:t>
      </w:r>
      <w:r w:rsidR="00C87804">
        <w:t xml:space="preserve"> rozdíly najdeme </w:t>
      </w:r>
      <w:r w:rsidR="00C87804" w:rsidRPr="00B272FB">
        <w:rPr>
          <w:b/>
        </w:rPr>
        <w:t>v míře studia jednotlivých studijních programů</w:t>
      </w:r>
      <w:r w:rsidR="00C87804">
        <w:t xml:space="preserve">. Ze žen studentek i mužů studentů studovaly v roce 2022 </w:t>
      </w:r>
      <w:r w:rsidR="00C87804" w:rsidRPr="00A8647B">
        <w:rPr>
          <w:b/>
          <w:i/>
        </w:rPr>
        <w:t xml:space="preserve">bakalářské </w:t>
      </w:r>
      <w:r w:rsidR="00C87804">
        <w:t>obory tři pětiny (</w:t>
      </w:r>
      <w:r w:rsidR="00192E51">
        <w:t>61,</w:t>
      </w:r>
      <w:r w:rsidR="00192E51" w:rsidRPr="00E14426">
        <w:t>9</w:t>
      </w:r>
      <w:r w:rsidR="00192E51">
        <w:t xml:space="preserve"> %, </w:t>
      </w:r>
      <w:r w:rsidR="00C87804">
        <w:t xml:space="preserve"> resp. 59,2 %) a necelá čtvrtina pak obory </w:t>
      </w:r>
      <w:r w:rsidR="00C87804" w:rsidRPr="00A8647B">
        <w:rPr>
          <w:b/>
          <w:i/>
        </w:rPr>
        <w:t>navazující magisterské</w:t>
      </w:r>
      <w:r w:rsidR="00C87804">
        <w:t xml:space="preserve"> (23,1 %, resp. 22,2 %).  </w:t>
      </w:r>
      <w:r w:rsidR="00C87804" w:rsidRPr="00A8647B">
        <w:rPr>
          <w:b/>
          <w:i/>
        </w:rPr>
        <w:t>Dlouhé magisterské</w:t>
      </w:r>
      <w:r w:rsidR="00C87804">
        <w:t xml:space="preserve"> obory pak studovalo 13,1 % žen studentek oproti 8,2 % mužů studentů.</w:t>
      </w:r>
      <w:r w:rsidR="00C87804" w:rsidRPr="00E14426">
        <w:t xml:space="preserve"> Častě</w:t>
      </w:r>
      <w:r w:rsidR="00C87804">
        <w:t>jší inklinace žen pro studium v </w:t>
      </w:r>
      <w:r w:rsidR="00C87804" w:rsidRPr="00E14426">
        <w:t xml:space="preserve">magisterském nenavazujícím programu je dále dána především tím, že takový program studia je zahrnut v oborech, které jsou atraktivnější pro ženy (především skupiny oborů Vzdělávání a výchova a Zdravotní a sociální péče, péče o příznivé životní podmínky). </w:t>
      </w:r>
    </w:p>
    <w:p w14:paraId="5C544A4C" w14:textId="1A2F73C1" w:rsidR="00C87804" w:rsidRPr="003F37BA" w:rsidRDefault="00C87804" w:rsidP="00C87804">
      <w:pPr>
        <w:keepNext/>
        <w:spacing w:after="120"/>
        <w:jc w:val="both"/>
        <w:rPr>
          <w:b/>
        </w:rPr>
      </w:pPr>
      <w:r>
        <w:rPr>
          <w:b/>
        </w:rPr>
        <w:t xml:space="preserve">Graf č. </w:t>
      </w:r>
      <w:r w:rsidR="003F37BA">
        <w:rPr>
          <w:b/>
        </w:rPr>
        <w:t xml:space="preserve">1.15 </w:t>
      </w:r>
      <w:r w:rsidR="00F03A24">
        <w:rPr>
          <w:b/>
        </w:rPr>
        <w:t>S</w:t>
      </w:r>
      <w:r w:rsidRPr="003F37BA">
        <w:rPr>
          <w:b/>
        </w:rPr>
        <w:t>tu</w:t>
      </w:r>
      <w:r w:rsidR="00F03A24">
        <w:rPr>
          <w:b/>
        </w:rPr>
        <w:t>dent</w:t>
      </w:r>
      <w:r w:rsidR="003F37BA">
        <w:rPr>
          <w:b/>
        </w:rPr>
        <w:t>k</w:t>
      </w:r>
      <w:r w:rsidR="00F03A24">
        <w:rPr>
          <w:b/>
        </w:rPr>
        <w:t>y</w:t>
      </w:r>
      <w:r w:rsidR="003F37BA">
        <w:rPr>
          <w:b/>
        </w:rPr>
        <w:t xml:space="preserve"> žen</w:t>
      </w:r>
      <w:r w:rsidR="00F03A24">
        <w:rPr>
          <w:b/>
        </w:rPr>
        <w:t>y</w:t>
      </w:r>
      <w:r w:rsidR="003F37BA">
        <w:rPr>
          <w:b/>
        </w:rPr>
        <w:t xml:space="preserve"> a </w:t>
      </w:r>
      <w:r w:rsidR="00F03A24">
        <w:rPr>
          <w:b/>
        </w:rPr>
        <w:t>studenti muži dle</w:t>
      </w:r>
      <w:r w:rsidRPr="003F37BA">
        <w:rPr>
          <w:b/>
        </w:rPr>
        <w:t xml:space="preserve"> studijních programů</w:t>
      </w:r>
    </w:p>
    <w:p w14:paraId="28B337A7" w14:textId="77777777" w:rsidR="00C87804" w:rsidRDefault="00C87804" w:rsidP="00C87804">
      <w:pPr>
        <w:spacing w:after="120"/>
        <w:jc w:val="both"/>
      </w:pPr>
      <w:r>
        <w:rPr>
          <w:noProof/>
        </w:rPr>
        <w:drawing>
          <wp:inline distT="0" distB="0" distL="0" distR="0" wp14:anchorId="4005D152" wp14:editId="3375042A">
            <wp:extent cx="5734050" cy="3105150"/>
            <wp:effectExtent l="0" t="0" r="0" b="0"/>
            <wp:docPr id="68" name="Graf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E6AC6AC" w14:textId="77777777" w:rsidR="00C87804" w:rsidRDefault="00C87804" w:rsidP="00C87804">
      <w:pPr>
        <w:spacing w:after="120"/>
        <w:jc w:val="both"/>
      </w:pPr>
      <w:r>
        <w:rPr>
          <w:noProof/>
        </w:rPr>
        <w:drawing>
          <wp:inline distT="0" distB="0" distL="0" distR="0" wp14:anchorId="2DC3FD3F" wp14:editId="2CEC3E5B">
            <wp:extent cx="5705475" cy="3105150"/>
            <wp:effectExtent l="0" t="0" r="9525" b="0"/>
            <wp:docPr id="69" name="Graf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154BFD9" w14:textId="77777777" w:rsidR="00C87804" w:rsidRDefault="00C87804" w:rsidP="00C87804">
      <w:pPr>
        <w:spacing w:after="120"/>
        <w:jc w:val="both"/>
        <w:rPr>
          <w:rFonts w:cs="Arial"/>
          <w:sz w:val="18"/>
          <w:szCs w:val="18"/>
        </w:rPr>
      </w:pPr>
      <w:r w:rsidRPr="008A4219">
        <w:rPr>
          <w:rFonts w:cs="Arial"/>
          <w:sz w:val="18"/>
          <w:szCs w:val="18"/>
        </w:rPr>
        <w:t xml:space="preserve">Pozn.: Součet podílů studentů, resp. studentek navštěvujících jednotlivé studijní programy v jednom roce může být mírně vyšší než 100 %, protože jeden student může navštěvovat více studijních programů. </w:t>
      </w:r>
    </w:p>
    <w:p w14:paraId="0B50E258" w14:textId="77777777" w:rsidR="00C87804" w:rsidRPr="009B6A28" w:rsidRDefault="00C87804" w:rsidP="00C87804">
      <w:pPr>
        <w:spacing w:after="120"/>
        <w:jc w:val="right"/>
        <w:rPr>
          <w:szCs w:val="20"/>
        </w:rPr>
      </w:pPr>
      <w:r w:rsidRPr="004C1BFB">
        <w:rPr>
          <w:szCs w:val="20"/>
        </w:rPr>
        <w:t>Zdroj dat: MŠMT</w:t>
      </w:r>
    </w:p>
    <w:p w14:paraId="3907FCC5" w14:textId="094FCF32" w:rsidR="00C87804" w:rsidRDefault="00040869" w:rsidP="00B27A0B">
      <w:pPr>
        <w:spacing w:after="120"/>
        <w:ind w:firstLine="284"/>
        <w:jc w:val="both"/>
      </w:pPr>
      <w:r>
        <w:lastRenderedPageBreak/>
        <w:t>Muži oproti tomu</w:t>
      </w:r>
      <w:r w:rsidR="00C87804">
        <w:t xml:space="preserve"> častěji než ženy pokračují ve studiu na </w:t>
      </w:r>
      <w:r w:rsidR="00C87804" w:rsidRPr="00A8647B">
        <w:rPr>
          <w:b/>
          <w:i/>
        </w:rPr>
        <w:t>doktorské úrovni</w:t>
      </w:r>
      <w:r w:rsidR="00C87804">
        <w:t>. V roce 2022 bylo mezi studenty muži 8,4 % doktorandů oproti 5,4% podílu mezi studentkami</w:t>
      </w:r>
      <w:r w:rsidR="000E63C5">
        <w:t xml:space="preserve"> ženami</w:t>
      </w:r>
      <w:r w:rsidR="00C87804">
        <w:t xml:space="preserve">. Zde je třeba vzít v úvahu, že obvyklý věk, ve kterém se studenti vzdělávají v doktorském programu, spadá u žen do obvyklého věkového rozmezí pro zakládání rodiny. To navíc pro ženy (až na vzácné výjimky) na rozdíl od mužů představuje minimálně půl roku soustavné péče o dítě na mateřské dovolené. Za zmínku však také stojí, že zatímco mužů doktorandů přibylo od roku 2001 o 8 %, u žen doktorandek se jedná o nárůst o 52,8 %.  Zvýšení celkového počtu studentů mužů a studentek žen (bez ohledu na studijní program) však bylo ještě vyšší (o 28,8 %, resp. o 72 %). Celkově byl tak podíl doktorandů mužů a doktorandek žen ze všech studentů mužů, resp. studentek žen </w:t>
      </w:r>
      <w:r w:rsidR="005D7012">
        <w:t>v roce 2022 ve srovnání s rokem</w:t>
      </w:r>
      <w:r w:rsidR="00C87804">
        <w:t xml:space="preserve"> 2001 o něco nižší.</w:t>
      </w:r>
    </w:p>
    <w:p w14:paraId="0278F141" w14:textId="0FAD3737" w:rsidR="00C87804" w:rsidRDefault="00C87804" w:rsidP="00B27A0B">
      <w:pPr>
        <w:spacing w:after="120"/>
        <w:ind w:firstLine="284"/>
        <w:jc w:val="both"/>
      </w:pPr>
      <w:r w:rsidRPr="00585CDE">
        <w:t xml:space="preserve">Rozdíly mezi muži a ženami samozřejmě najdeme také v rozložení studentů, resp. studentek </w:t>
      </w:r>
      <w:r w:rsidR="002A7D1E">
        <w:rPr>
          <w:b/>
        </w:rPr>
        <w:t>do jednotlivých skupin</w:t>
      </w:r>
      <w:r w:rsidRPr="00DE7751">
        <w:rPr>
          <w:b/>
        </w:rPr>
        <w:t xml:space="preserve"> oborů vzdělávání</w:t>
      </w:r>
      <w:r w:rsidRPr="00585CDE">
        <w:t>.</w:t>
      </w:r>
      <w:r>
        <w:t xml:space="preserve"> </w:t>
      </w:r>
    </w:p>
    <w:p w14:paraId="74CBFC5D" w14:textId="158671DC" w:rsidR="00C87804" w:rsidRPr="00585CDE" w:rsidRDefault="00C87804" w:rsidP="00C87804">
      <w:pPr>
        <w:keepNext/>
        <w:spacing w:after="120"/>
        <w:jc w:val="both"/>
      </w:pPr>
      <w:r>
        <w:rPr>
          <w:b/>
        </w:rPr>
        <w:t xml:space="preserve">Graf č. </w:t>
      </w:r>
      <w:r w:rsidR="003F37BA">
        <w:rPr>
          <w:b/>
        </w:rPr>
        <w:t>1.16</w:t>
      </w:r>
      <w:r w:rsidRPr="00F302E8">
        <w:rPr>
          <w:b/>
        </w:rPr>
        <w:t xml:space="preserve"> </w:t>
      </w:r>
      <w:r w:rsidR="003F37BA" w:rsidRPr="003F37BA">
        <w:rPr>
          <w:b/>
        </w:rPr>
        <w:t>Po</w:t>
      </w:r>
      <w:r w:rsidRPr="003F37BA">
        <w:rPr>
          <w:b/>
        </w:rPr>
        <w:t xml:space="preserve">čet </w:t>
      </w:r>
      <w:r w:rsidR="003F37BA" w:rsidRPr="003F37BA">
        <w:rPr>
          <w:b/>
        </w:rPr>
        <w:t xml:space="preserve">vysokoškolských </w:t>
      </w:r>
      <w:r w:rsidRPr="003F37BA">
        <w:rPr>
          <w:b/>
        </w:rPr>
        <w:t>studentek že</w:t>
      </w:r>
      <w:r w:rsidR="003F37BA">
        <w:rPr>
          <w:b/>
        </w:rPr>
        <w:t xml:space="preserve">n a studentů mužů </w:t>
      </w:r>
      <w:r w:rsidR="00F03A24">
        <w:rPr>
          <w:b/>
        </w:rPr>
        <w:t>dle skupin</w:t>
      </w:r>
      <w:r w:rsidRPr="003F37BA">
        <w:rPr>
          <w:b/>
        </w:rPr>
        <w:t xml:space="preserve"> oborů</w:t>
      </w:r>
      <w:r w:rsidR="00F03A24">
        <w:rPr>
          <w:b/>
        </w:rPr>
        <w:t xml:space="preserve"> vzdělá</w:t>
      </w:r>
      <w:r w:rsidR="008367AB">
        <w:rPr>
          <w:b/>
        </w:rPr>
        <w:t>vá</w:t>
      </w:r>
      <w:r w:rsidR="00F03A24">
        <w:rPr>
          <w:b/>
        </w:rPr>
        <w:t>ní</w:t>
      </w:r>
    </w:p>
    <w:p w14:paraId="509D6D01" w14:textId="77777777" w:rsidR="00C87804" w:rsidRPr="00137AB8" w:rsidRDefault="00C87804" w:rsidP="00C87804">
      <w:pPr>
        <w:spacing w:after="120"/>
        <w:jc w:val="both"/>
        <w:rPr>
          <w:rFonts w:cs="Arial"/>
          <w:sz w:val="18"/>
          <w:szCs w:val="18"/>
        </w:rPr>
      </w:pPr>
      <w:r>
        <w:rPr>
          <w:noProof/>
        </w:rPr>
        <w:drawing>
          <wp:inline distT="0" distB="0" distL="0" distR="0" wp14:anchorId="245E3E74" wp14:editId="484C5AED">
            <wp:extent cx="5734050" cy="2952750"/>
            <wp:effectExtent l="0" t="0" r="0" b="0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26B9B73" w14:textId="77777777" w:rsidR="00C87804" w:rsidRDefault="00C87804" w:rsidP="00C87804">
      <w:pPr>
        <w:spacing w:after="120"/>
        <w:jc w:val="both"/>
      </w:pPr>
      <w:r>
        <w:rPr>
          <w:noProof/>
        </w:rPr>
        <w:drawing>
          <wp:inline distT="0" distB="0" distL="0" distR="0" wp14:anchorId="50C98480" wp14:editId="324E8B22">
            <wp:extent cx="5743575" cy="3105150"/>
            <wp:effectExtent l="0" t="0" r="9525" b="0"/>
            <wp:docPr id="20" name="Graf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5376DAF" w14:textId="77777777" w:rsidR="00C87804" w:rsidRDefault="00C87804" w:rsidP="00C87804">
      <w:pPr>
        <w:spacing w:after="120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2A77A36C" w14:textId="29288396" w:rsidR="00C87804" w:rsidRPr="00385BB3" w:rsidRDefault="00C87804" w:rsidP="00B27A0B">
      <w:pPr>
        <w:spacing w:after="120"/>
        <w:ind w:firstLine="284"/>
        <w:jc w:val="both"/>
        <w:rPr>
          <w:szCs w:val="20"/>
        </w:rPr>
      </w:pPr>
      <w:r w:rsidRPr="00385BB3">
        <w:rPr>
          <w:szCs w:val="20"/>
        </w:rPr>
        <w:lastRenderedPageBreak/>
        <w:t xml:space="preserve">Mezi </w:t>
      </w:r>
      <w:r w:rsidR="009D1B72">
        <w:rPr>
          <w:szCs w:val="20"/>
        </w:rPr>
        <w:t xml:space="preserve">studujícími </w:t>
      </w:r>
      <w:r w:rsidRPr="00385BB3">
        <w:rPr>
          <w:szCs w:val="20"/>
        </w:rPr>
        <w:t xml:space="preserve">muži i ženami byla v roce 2022 pětina studentů, resp. studentek oborů ze skupiny </w:t>
      </w:r>
      <w:r w:rsidRPr="00385BB3">
        <w:rPr>
          <w:b/>
          <w:i/>
          <w:szCs w:val="20"/>
        </w:rPr>
        <w:t>Obchod, administrativa a právo</w:t>
      </w:r>
      <w:r w:rsidR="00637D5C">
        <w:rPr>
          <w:szCs w:val="20"/>
        </w:rPr>
        <w:t xml:space="preserve"> (20,3 %, resp. 20,2</w:t>
      </w:r>
      <w:r w:rsidRPr="00385BB3">
        <w:rPr>
          <w:szCs w:val="20"/>
        </w:rPr>
        <w:t xml:space="preserve"> %). Zatímco však druhou a třetí příčku u žen obsadily obory </w:t>
      </w:r>
      <w:r w:rsidRPr="00385BB3">
        <w:rPr>
          <w:b/>
          <w:i/>
          <w:szCs w:val="20"/>
        </w:rPr>
        <w:t>zdravotnické</w:t>
      </w:r>
      <w:r w:rsidRPr="00385BB3">
        <w:rPr>
          <w:szCs w:val="20"/>
        </w:rPr>
        <w:t xml:space="preserve"> (17,5 % studentek) a </w:t>
      </w:r>
      <w:r w:rsidRPr="00385BB3">
        <w:rPr>
          <w:b/>
          <w:i/>
          <w:szCs w:val="20"/>
        </w:rPr>
        <w:t xml:space="preserve">vzdělávací </w:t>
      </w:r>
      <w:r w:rsidRPr="00385BB3">
        <w:rPr>
          <w:szCs w:val="20"/>
        </w:rPr>
        <w:t xml:space="preserve">(17,1 %), mezi muži to byly skupiny oborů </w:t>
      </w:r>
      <w:r w:rsidRPr="00385BB3">
        <w:rPr>
          <w:b/>
          <w:i/>
          <w:szCs w:val="20"/>
        </w:rPr>
        <w:t>technika, výroba a stavebnictví</w:t>
      </w:r>
      <w:r w:rsidRPr="00385BB3">
        <w:rPr>
          <w:szCs w:val="20"/>
        </w:rPr>
        <w:t xml:space="preserve"> (19,6 %) a </w:t>
      </w:r>
      <w:r w:rsidRPr="00385BB3">
        <w:rPr>
          <w:b/>
          <w:i/>
          <w:szCs w:val="20"/>
        </w:rPr>
        <w:t>informační a komunikační technologie</w:t>
      </w:r>
      <w:r w:rsidRPr="00385BB3">
        <w:rPr>
          <w:szCs w:val="20"/>
        </w:rPr>
        <w:t xml:space="preserve"> (14,3 %).  Ostatní obory si již u žen i mužů získa</w:t>
      </w:r>
      <w:r w:rsidR="00C72B63">
        <w:rPr>
          <w:szCs w:val="20"/>
        </w:rPr>
        <w:t xml:space="preserve">ly o poznání menší zastoupení. </w:t>
      </w:r>
      <w:r w:rsidRPr="00385BB3">
        <w:rPr>
          <w:szCs w:val="20"/>
        </w:rPr>
        <w:t>Ženy nejméně často studovaly informační a komunikační technologie</w:t>
      </w:r>
      <w:r w:rsidR="00F61FB3">
        <w:rPr>
          <w:szCs w:val="20"/>
        </w:rPr>
        <w:t xml:space="preserve"> (2,5 %)</w:t>
      </w:r>
      <w:r w:rsidRPr="00385BB3">
        <w:rPr>
          <w:szCs w:val="20"/>
        </w:rPr>
        <w:t xml:space="preserve">, zemědělské, lesnické a veterinářské obory </w:t>
      </w:r>
      <w:r w:rsidR="00F61FB3">
        <w:rPr>
          <w:szCs w:val="20"/>
        </w:rPr>
        <w:t xml:space="preserve">(4,2 %) </w:t>
      </w:r>
      <w:r w:rsidRPr="00385BB3">
        <w:rPr>
          <w:szCs w:val="20"/>
        </w:rPr>
        <w:t>a obory z oblasti služeb</w:t>
      </w:r>
      <w:r w:rsidR="00F61FB3">
        <w:rPr>
          <w:szCs w:val="20"/>
        </w:rPr>
        <w:t xml:space="preserve"> (4,4 %)</w:t>
      </w:r>
      <w:r w:rsidRPr="00385BB3">
        <w:rPr>
          <w:szCs w:val="20"/>
        </w:rPr>
        <w:t xml:space="preserve">. Též u mužů byly mezi třemi nejméně často navštěvovanými zemědělské, lesnické a veterinářské obory </w:t>
      </w:r>
      <w:r w:rsidR="00F61FB3">
        <w:rPr>
          <w:szCs w:val="20"/>
        </w:rPr>
        <w:t xml:space="preserve">(5,7 %) </w:t>
      </w:r>
      <w:r w:rsidRPr="00385BB3">
        <w:rPr>
          <w:szCs w:val="20"/>
        </w:rPr>
        <w:t>a obory z oblasti služeb</w:t>
      </w:r>
      <w:r w:rsidR="00F61FB3">
        <w:rPr>
          <w:szCs w:val="20"/>
        </w:rPr>
        <w:t xml:space="preserve"> (11,7 %)</w:t>
      </w:r>
      <w:r w:rsidRPr="00385BB3">
        <w:rPr>
          <w:szCs w:val="20"/>
        </w:rPr>
        <w:t>, na předposlední příčce se však umístily obory</w:t>
      </w:r>
      <w:r w:rsidR="00FF44D4">
        <w:rPr>
          <w:szCs w:val="20"/>
        </w:rPr>
        <w:t xml:space="preserve"> zaměřené na vzdělávání a výchovu</w:t>
      </w:r>
      <w:r w:rsidR="00F61FB3">
        <w:rPr>
          <w:szCs w:val="20"/>
        </w:rPr>
        <w:t xml:space="preserve"> (8 %)</w:t>
      </w:r>
      <w:r w:rsidRPr="00385BB3">
        <w:rPr>
          <w:szCs w:val="20"/>
        </w:rPr>
        <w:t xml:space="preserve">. </w:t>
      </w:r>
    </w:p>
    <w:p w14:paraId="4AC53FB3" w14:textId="7909DBFF" w:rsidR="00C87804" w:rsidRPr="00385BB3" w:rsidRDefault="00C87804" w:rsidP="00B27A0B">
      <w:pPr>
        <w:spacing w:after="120"/>
        <w:ind w:firstLine="284"/>
        <w:jc w:val="both"/>
        <w:rPr>
          <w:szCs w:val="20"/>
        </w:rPr>
      </w:pPr>
      <w:r w:rsidRPr="00385BB3">
        <w:rPr>
          <w:szCs w:val="20"/>
        </w:rPr>
        <w:t xml:space="preserve">Graf č. </w:t>
      </w:r>
      <w:r w:rsidR="009D1B72">
        <w:rPr>
          <w:szCs w:val="20"/>
        </w:rPr>
        <w:t>1.16</w:t>
      </w:r>
      <w:r w:rsidRPr="00385BB3">
        <w:rPr>
          <w:szCs w:val="20"/>
        </w:rPr>
        <w:t xml:space="preserve"> ukazuje také počet studentů a studentek jednotlivých skupin oborů před pěti a deseti le</w:t>
      </w:r>
      <w:r w:rsidR="00C72B63">
        <w:rPr>
          <w:szCs w:val="20"/>
        </w:rPr>
        <w:t xml:space="preserve">ty, tedy v letech 2012 a 2017. </w:t>
      </w:r>
      <w:r w:rsidRPr="00385BB3">
        <w:rPr>
          <w:szCs w:val="20"/>
        </w:rPr>
        <w:t xml:space="preserve">Oproti situaci </w:t>
      </w:r>
      <w:r w:rsidRPr="00A26142">
        <w:rPr>
          <w:b/>
          <w:szCs w:val="20"/>
        </w:rPr>
        <w:t>před pěti lety</w:t>
      </w:r>
      <w:r w:rsidRPr="00385BB3">
        <w:rPr>
          <w:szCs w:val="20"/>
        </w:rPr>
        <w:t xml:space="preserve"> se o 51,2 % zvýšil počet </w:t>
      </w:r>
      <w:r w:rsidRPr="00385BB3">
        <w:rPr>
          <w:b/>
          <w:szCs w:val="20"/>
        </w:rPr>
        <w:t>studentů - mužů</w:t>
      </w:r>
      <w:r w:rsidR="00FF44D4">
        <w:rPr>
          <w:szCs w:val="20"/>
        </w:rPr>
        <w:t xml:space="preserve"> v oborech zaměřených na</w:t>
      </w:r>
      <w:r w:rsidRPr="00385BB3">
        <w:rPr>
          <w:szCs w:val="20"/>
        </w:rPr>
        <w:t xml:space="preserve"> </w:t>
      </w:r>
      <w:r w:rsidR="00FF44D4">
        <w:rPr>
          <w:b/>
          <w:i/>
          <w:szCs w:val="20"/>
        </w:rPr>
        <w:t>vzdělávání a výchovu</w:t>
      </w:r>
      <w:r w:rsidRPr="00385BB3">
        <w:rPr>
          <w:szCs w:val="20"/>
        </w:rPr>
        <w:t xml:space="preserve">, o 29,4 % v </w:t>
      </w:r>
      <w:r w:rsidRPr="00385BB3">
        <w:rPr>
          <w:b/>
          <w:i/>
          <w:szCs w:val="20"/>
        </w:rPr>
        <w:t xml:space="preserve">přírodovědných </w:t>
      </w:r>
      <w:r w:rsidRPr="00385BB3">
        <w:rPr>
          <w:szCs w:val="20"/>
        </w:rPr>
        <w:t xml:space="preserve">oborech, o 14,7 % v oborech z oblasti </w:t>
      </w:r>
      <w:r w:rsidRPr="00385BB3">
        <w:rPr>
          <w:b/>
          <w:i/>
          <w:szCs w:val="20"/>
        </w:rPr>
        <w:t>informačních a komunikačních technologií</w:t>
      </w:r>
      <w:r w:rsidRPr="00385BB3">
        <w:rPr>
          <w:szCs w:val="20"/>
        </w:rPr>
        <w:t xml:space="preserve"> a o 13,7 % v oborech </w:t>
      </w:r>
      <w:r w:rsidRPr="00385BB3">
        <w:rPr>
          <w:b/>
          <w:i/>
          <w:szCs w:val="20"/>
        </w:rPr>
        <w:t>zdravotnických</w:t>
      </w:r>
      <w:r w:rsidRPr="00385BB3">
        <w:rPr>
          <w:szCs w:val="20"/>
        </w:rPr>
        <w:t xml:space="preserve">. Naopak nejvýraznější propad byl zaznamenán v oblasti </w:t>
      </w:r>
      <w:r w:rsidRPr="00385BB3">
        <w:rPr>
          <w:b/>
          <w:i/>
          <w:szCs w:val="20"/>
        </w:rPr>
        <w:t>techniky, výroby a stavebnictví</w:t>
      </w:r>
      <w:r w:rsidRPr="00385BB3">
        <w:rPr>
          <w:szCs w:val="20"/>
        </w:rPr>
        <w:t xml:space="preserve">, studentů těchto oborů ubylo bezmála o pětinu (o 18,1 %). Výraznější je též úbytek studentů ve </w:t>
      </w:r>
      <w:r w:rsidRPr="00385BB3">
        <w:rPr>
          <w:b/>
          <w:i/>
          <w:szCs w:val="20"/>
        </w:rPr>
        <w:t>společenskovědních</w:t>
      </w:r>
      <w:r w:rsidRPr="00385BB3">
        <w:rPr>
          <w:szCs w:val="20"/>
        </w:rPr>
        <w:t xml:space="preserve"> oborech (o 7,2 %). </w:t>
      </w:r>
    </w:p>
    <w:p w14:paraId="0C298B39" w14:textId="483EF5E4" w:rsidR="00C87804" w:rsidRPr="00385BB3" w:rsidRDefault="00C87804" w:rsidP="00B27A0B">
      <w:pPr>
        <w:spacing w:after="120"/>
        <w:ind w:firstLine="284"/>
        <w:jc w:val="both"/>
        <w:rPr>
          <w:szCs w:val="20"/>
        </w:rPr>
      </w:pPr>
      <w:r w:rsidRPr="00385BB3">
        <w:rPr>
          <w:szCs w:val="20"/>
        </w:rPr>
        <w:t xml:space="preserve">Pokud se jedná o </w:t>
      </w:r>
      <w:r w:rsidRPr="00385BB3">
        <w:rPr>
          <w:b/>
          <w:szCs w:val="20"/>
        </w:rPr>
        <w:t>studentky - ženy</w:t>
      </w:r>
      <w:r w:rsidRPr="00385BB3">
        <w:rPr>
          <w:szCs w:val="20"/>
        </w:rPr>
        <w:t xml:space="preserve">, byl v posledních </w:t>
      </w:r>
      <w:r w:rsidRPr="00A26142">
        <w:rPr>
          <w:b/>
          <w:szCs w:val="20"/>
        </w:rPr>
        <w:t>pěti letech</w:t>
      </w:r>
      <w:r w:rsidRPr="00385BB3">
        <w:rPr>
          <w:szCs w:val="20"/>
        </w:rPr>
        <w:t xml:space="preserve"> zaznamenán především nárůst zájmu o obory z oblasti </w:t>
      </w:r>
      <w:r w:rsidRPr="00385BB3">
        <w:rPr>
          <w:b/>
          <w:i/>
          <w:szCs w:val="20"/>
        </w:rPr>
        <w:t>informačních a komunikačních technologií</w:t>
      </w:r>
      <w:r w:rsidRPr="00385BB3">
        <w:rPr>
          <w:szCs w:val="20"/>
        </w:rPr>
        <w:t xml:space="preserve"> (o 32,6 %), dále o </w:t>
      </w:r>
      <w:r w:rsidRPr="00385BB3">
        <w:rPr>
          <w:b/>
          <w:i/>
          <w:szCs w:val="20"/>
        </w:rPr>
        <w:t>přírodovědné</w:t>
      </w:r>
      <w:r w:rsidRPr="00385BB3">
        <w:rPr>
          <w:szCs w:val="20"/>
        </w:rPr>
        <w:t xml:space="preserve"> obory (19,1 %), o</w:t>
      </w:r>
      <w:r w:rsidR="00FF44D4">
        <w:rPr>
          <w:szCs w:val="20"/>
        </w:rPr>
        <w:t xml:space="preserve"> o</w:t>
      </w:r>
      <w:r w:rsidRPr="00385BB3">
        <w:rPr>
          <w:szCs w:val="20"/>
        </w:rPr>
        <w:t>bory</w:t>
      </w:r>
      <w:r w:rsidR="00FF44D4">
        <w:rPr>
          <w:szCs w:val="20"/>
        </w:rPr>
        <w:t xml:space="preserve"> zaměřené na </w:t>
      </w:r>
      <w:r w:rsidR="00FF44D4" w:rsidRPr="00FF44D4">
        <w:rPr>
          <w:b/>
          <w:i/>
          <w:szCs w:val="20"/>
        </w:rPr>
        <w:t>vzdělávání a výchovu</w:t>
      </w:r>
      <w:r w:rsidRPr="00385BB3">
        <w:rPr>
          <w:szCs w:val="20"/>
        </w:rPr>
        <w:t xml:space="preserve"> (14,6 %) a </w:t>
      </w:r>
      <w:r w:rsidR="00FF44D4">
        <w:rPr>
          <w:szCs w:val="20"/>
        </w:rPr>
        <w:t xml:space="preserve">o </w:t>
      </w:r>
      <w:r w:rsidRPr="00385BB3">
        <w:rPr>
          <w:szCs w:val="20"/>
        </w:rPr>
        <w:t xml:space="preserve">obory </w:t>
      </w:r>
      <w:r w:rsidRPr="00385BB3">
        <w:rPr>
          <w:b/>
          <w:i/>
          <w:szCs w:val="20"/>
        </w:rPr>
        <w:t>zdravotnické</w:t>
      </w:r>
      <w:r w:rsidRPr="00385BB3">
        <w:rPr>
          <w:szCs w:val="20"/>
        </w:rPr>
        <w:t xml:space="preserve"> (13,3 %). Obdobně jako u mužů i u žen byl zaznamenán nejvýraznější propad počtu studentek v oblasti </w:t>
      </w:r>
      <w:r w:rsidRPr="00385BB3">
        <w:rPr>
          <w:b/>
          <w:i/>
          <w:szCs w:val="20"/>
        </w:rPr>
        <w:t>techniky, výroby a stavebnictví</w:t>
      </w:r>
      <w:r w:rsidRPr="00385BB3">
        <w:rPr>
          <w:szCs w:val="20"/>
        </w:rPr>
        <w:t xml:space="preserve"> (o třetinu) a dále ve </w:t>
      </w:r>
      <w:r w:rsidRPr="00385BB3">
        <w:rPr>
          <w:b/>
          <w:i/>
          <w:szCs w:val="20"/>
        </w:rPr>
        <w:t>společenskovědních</w:t>
      </w:r>
      <w:r w:rsidRPr="00385BB3">
        <w:rPr>
          <w:szCs w:val="20"/>
        </w:rPr>
        <w:t xml:space="preserve"> oborech (o 12,3 %).</w:t>
      </w:r>
    </w:p>
    <w:p w14:paraId="30CED157" w14:textId="534345ED" w:rsidR="00C87804" w:rsidRDefault="00C87804" w:rsidP="00B27A0B">
      <w:pPr>
        <w:spacing w:after="120"/>
        <w:ind w:firstLine="284"/>
        <w:jc w:val="both"/>
      </w:pPr>
      <w:r w:rsidRPr="00385BB3">
        <w:rPr>
          <w:szCs w:val="20"/>
        </w:rPr>
        <w:t xml:space="preserve">Zajímavé a žádoucí je </w:t>
      </w:r>
      <w:r w:rsidR="001C4E1E">
        <w:rPr>
          <w:szCs w:val="20"/>
        </w:rPr>
        <w:t>např.</w:t>
      </w:r>
      <w:r w:rsidR="008D7E8C">
        <w:rPr>
          <w:szCs w:val="20"/>
        </w:rPr>
        <w:t xml:space="preserve"> navýšení počtu studentů v </w:t>
      </w:r>
      <w:r w:rsidRPr="00385BB3">
        <w:rPr>
          <w:szCs w:val="20"/>
        </w:rPr>
        <w:t>oborech</w:t>
      </w:r>
      <w:r w:rsidR="008D7E8C">
        <w:rPr>
          <w:szCs w:val="20"/>
        </w:rPr>
        <w:t xml:space="preserve"> zaměřených na vzdělávání a výchovu</w:t>
      </w:r>
      <w:r w:rsidRPr="00385BB3">
        <w:rPr>
          <w:szCs w:val="20"/>
        </w:rPr>
        <w:t xml:space="preserve"> (celkově za muže i ženy o 21,3 %), a to jednak z důvodu současného nedostatku učitelů. Pozitivně lze také hodnotit, že k nárůstu došlo zejména u studentů – mužů, kterých je mezi učiteli </w:t>
      </w:r>
      <w:r w:rsidR="00C72B63">
        <w:rPr>
          <w:szCs w:val="20"/>
        </w:rPr>
        <w:t xml:space="preserve">v současné době jen nepatrně a </w:t>
      </w:r>
      <w:r w:rsidRPr="00385BB3">
        <w:rPr>
          <w:szCs w:val="20"/>
        </w:rPr>
        <w:t>učitelská profese je pro</w:t>
      </w:r>
      <w:r w:rsidR="00C72B63">
        <w:rPr>
          <w:szCs w:val="20"/>
        </w:rPr>
        <w:t xml:space="preserve">to genderově velmi nevyvážená. </w:t>
      </w:r>
      <w:r w:rsidRPr="00385BB3">
        <w:rPr>
          <w:szCs w:val="20"/>
        </w:rPr>
        <w:t>Tyto změny ve vzdělávacích</w:t>
      </w:r>
      <w:r>
        <w:t xml:space="preserve"> oborech mohou být podnícené poměrně výrazným růst</w:t>
      </w:r>
      <w:r w:rsidR="00A26142">
        <w:t>em platů učitelů v uplynulých několika letech</w:t>
      </w:r>
      <w:r>
        <w:t>.</w:t>
      </w:r>
    </w:p>
    <w:p w14:paraId="0941C2F6" w14:textId="77777777" w:rsidR="00C87804" w:rsidRDefault="00C87804" w:rsidP="005E305E">
      <w:pPr>
        <w:spacing w:after="0" w:line="240" w:lineRule="auto"/>
        <w:jc w:val="both"/>
      </w:pPr>
    </w:p>
    <w:p w14:paraId="3AE10E5D" w14:textId="5184F768" w:rsidR="00C87804" w:rsidRPr="00BE41DD" w:rsidRDefault="00777562" w:rsidP="009C1D00">
      <w:pPr>
        <w:pStyle w:val="Nadpis2"/>
        <w:spacing w:after="120"/>
      </w:pPr>
      <w:bookmarkStart w:id="5" w:name="_Toc135224482"/>
      <w:r w:rsidRPr="00BE41DD">
        <w:t xml:space="preserve">1.3 </w:t>
      </w:r>
      <w:r w:rsidR="00C87804" w:rsidRPr="00BE41DD">
        <w:t>Rozdíly mezi studenty české a cizí státní příslušnosti</w:t>
      </w:r>
      <w:bookmarkEnd w:id="5"/>
      <w:r w:rsidR="00C87804" w:rsidRPr="00BE41DD">
        <w:t xml:space="preserve"> </w:t>
      </w:r>
    </w:p>
    <w:p w14:paraId="66F0EC0F" w14:textId="77777777" w:rsidR="00C87804" w:rsidRDefault="00C87804" w:rsidP="00B27A0B">
      <w:pPr>
        <w:spacing w:after="120"/>
        <w:ind w:firstLine="284"/>
        <w:jc w:val="both"/>
      </w:pPr>
      <w:r>
        <w:t xml:space="preserve">Mezi Čechy a cizinci byly v roce 2022 znatelné rozdíly ve </w:t>
      </w:r>
      <w:r w:rsidRPr="000D0E71">
        <w:rPr>
          <w:b/>
        </w:rPr>
        <w:t>věkovém složení</w:t>
      </w:r>
      <w:r>
        <w:t xml:space="preserve">. Podíl cizinců ve věku do 24 let byl téměř shodný s podílem Čechů (68,5 % a 69,9 %). Podíl cizinců ve věku do 19 let byl však o poznání vyšší (14,9 %) než podíl Čechů (8,1 %). Mezi Čechy byl pak naopak vyšší podíl studentů ve věku 30 a více let (14,2 %) než mezi cizinci (11,4 %), a to sice na úkor studentů ve věku 25-29 let.  </w:t>
      </w:r>
    </w:p>
    <w:p w14:paraId="439CF954" w14:textId="7255747D" w:rsidR="00C87804" w:rsidRPr="003F37BA" w:rsidRDefault="00C87804" w:rsidP="00C87804">
      <w:pPr>
        <w:keepNext/>
        <w:spacing w:after="120"/>
        <w:jc w:val="both"/>
        <w:rPr>
          <w:b/>
        </w:rPr>
      </w:pPr>
      <w:r>
        <w:rPr>
          <w:b/>
        </w:rPr>
        <w:t xml:space="preserve">Graf č. </w:t>
      </w:r>
      <w:r w:rsidR="003F37BA">
        <w:rPr>
          <w:b/>
        </w:rPr>
        <w:t>1.17</w:t>
      </w:r>
      <w:r w:rsidRPr="00F302E8">
        <w:rPr>
          <w:b/>
        </w:rPr>
        <w:t xml:space="preserve"> </w:t>
      </w:r>
      <w:r w:rsidR="00C72B63" w:rsidRPr="00C72B63">
        <w:rPr>
          <w:b/>
        </w:rPr>
        <w:t xml:space="preserve">Studenti české a cizí státní příslušnosti dle věku </w:t>
      </w:r>
      <w:r w:rsidRPr="003F37BA">
        <w:rPr>
          <w:b/>
        </w:rPr>
        <w:t>(2022)</w:t>
      </w:r>
    </w:p>
    <w:p w14:paraId="7815EB59" w14:textId="77777777" w:rsidR="00C87804" w:rsidRDefault="00C87804" w:rsidP="00C87804">
      <w:pPr>
        <w:spacing w:after="120"/>
        <w:jc w:val="both"/>
      </w:pPr>
      <w:r>
        <w:rPr>
          <w:noProof/>
        </w:rPr>
        <w:drawing>
          <wp:inline distT="0" distB="0" distL="0" distR="0" wp14:anchorId="67D2E4B0" wp14:editId="1C1C4649">
            <wp:extent cx="5819775" cy="1476375"/>
            <wp:effectExtent l="0" t="0" r="9525" b="9525"/>
            <wp:docPr id="70" name="Graf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BF29B62" w14:textId="77777777" w:rsidR="00C87804" w:rsidRPr="009B6A28" w:rsidRDefault="00C87804" w:rsidP="00C87804">
      <w:pPr>
        <w:spacing w:after="120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253FE7BA" w14:textId="77777777" w:rsidR="00C87804" w:rsidRDefault="00C87804" w:rsidP="00B27A0B">
      <w:pPr>
        <w:spacing w:after="120"/>
        <w:ind w:firstLine="284"/>
        <w:jc w:val="both"/>
      </w:pPr>
      <w:r>
        <w:t xml:space="preserve">Mezi cizinci byl dále oproti Čechům menší podíl těch studujících </w:t>
      </w:r>
      <w:r w:rsidRPr="000D0E71">
        <w:rPr>
          <w:b/>
        </w:rPr>
        <w:t>bakalářské studijní programy</w:t>
      </w:r>
      <w:r>
        <w:t xml:space="preserve"> (52,6 % oproti 62,1 %) a vyšší podíl těch studujících programy magisterské (37,5 % oproti 32,7 %) a doktorské (10,3 % oproti 6 %). </w:t>
      </w:r>
    </w:p>
    <w:p w14:paraId="1FA99E6B" w14:textId="0CCFA42D" w:rsidR="00C87804" w:rsidRDefault="00C87804" w:rsidP="00C87804">
      <w:pPr>
        <w:keepNext/>
        <w:spacing w:after="120"/>
        <w:jc w:val="both"/>
      </w:pPr>
      <w:r>
        <w:rPr>
          <w:b/>
        </w:rPr>
        <w:lastRenderedPageBreak/>
        <w:t xml:space="preserve">Graf č. </w:t>
      </w:r>
      <w:r w:rsidR="003F37BA">
        <w:rPr>
          <w:b/>
        </w:rPr>
        <w:t>1.18</w:t>
      </w:r>
      <w:r w:rsidRPr="00F302E8">
        <w:rPr>
          <w:b/>
        </w:rPr>
        <w:t xml:space="preserve"> </w:t>
      </w:r>
      <w:r w:rsidR="003F37BA" w:rsidRPr="003F37BA">
        <w:rPr>
          <w:b/>
        </w:rPr>
        <w:t>P</w:t>
      </w:r>
      <w:r w:rsidRPr="003F37BA">
        <w:rPr>
          <w:b/>
        </w:rPr>
        <w:t>odíl</w:t>
      </w:r>
      <w:r w:rsidR="00275C79">
        <w:rPr>
          <w:b/>
        </w:rPr>
        <w:t>y</w:t>
      </w:r>
      <w:r w:rsidRPr="003F37BA">
        <w:rPr>
          <w:b/>
        </w:rPr>
        <w:t xml:space="preserve"> z</w:t>
      </w:r>
      <w:r w:rsidR="003F37BA" w:rsidRPr="003F37BA">
        <w:rPr>
          <w:b/>
        </w:rPr>
        <w:t>e studentů</w:t>
      </w:r>
      <w:r w:rsidRPr="003F37BA">
        <w:rPr>
          <w:b/>
        </w:rPr>
        <w:t xml:space="preserve"> </w:t>
      </w:r>
      <w:r w:rsidR="003F37BA" w:rsidRPr="003F37BA">
        <w:rPr>
          <w:b/>
        </w:rPr>
        <w:t>české</w:t>
      </w:r>
      <w:r w:rsidRPr="003F37BA">
        <w:rPr>
          <w:b/>
        </w:rPr>
        <w:t xml:space="preserve"> a z</w:t>
      </w:r>
      <w:r w:rsidR="003F37BA" w:rsidRPr="003F37BA">
        <w:rPr>
          <w:b/>
        </w:rPr>
        <w:t>e studentů</w:t>
      </w:r>
      <w:r w:rsidRPr="003F37BA">
        <w:rPr>
          <w:b/>
        </w:rPr>
        <w:t xml:space="preserve"> </w:t>
      </w:r>
      <w:r w:rsidR="003F37BA" w:rsidRPr="003F37BA">
        <w:rPr>
          <w:b/>
        </w:rPr>
        <w:t>cizí státní příslušnosti</w:t>
      </w:r>
      <w:r w:rsidRPr="003F37BA">
        <w:rPr>
          <w:b/>
        </w:rPr>
        <w:t xml:space="preserve"> v jednotlivých studijních programech (2022)</w:t>
      </w:r>
    </w:p>
    <w:p w14:paraId="492F2C2A" w14:textId="77777777" w:rsidR="00C87804" w:rsidRDefault="00C87804" w:rsidP="00C87804">
      <w:pPr>
        <w:spacing w:after="120"/>
        <w:jc w:val="both"/>
      </w:pPr>
      <w:r>
        <w:rPr>
          <w:noProof/>
        </w:rPr>
        <w:drawing>
          <wp:inline distT="0" distB="0" distL="0" distR="0" wp14:anchorId="229D655B" wp14:editId="28F3A33B">
            <wp:extent cx="5857875" cy="2266950"/>
            <wp:effectExtent l="0" t="0" r="9525" b="0"/>
            <wp:docPr id="24" name="Graf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1BE1110" w14:textId="77777777" w:rsidR="00C87804" w:rsidRPr="009B6A28" w:rsidRDefault="00C87804" w:rsidP="00C87804">
      <w:pPr>
        <w:spacing w:after="120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63A1696E" w14:textId="3B8E2375" w:rsidR="00C87804" w:rsidRDefault="00C87804" w:rsidP="00B27A0B">
      <w:pPr>
        <w:spacing w:after="120"/>
        <w:ind w:firstLine="284"/>
        <w:jc w:val="both"/>
      </w:pPr>
      <w:r>
        <w:t>Je pravděpodobné, že řada studentů cizí státní příslušnosti se pro studium na vysoké škole naší vzdělávací s</w:t>
      </w:r>
      <w:r w:rsidR="00C72B63">
        <w:t xml:space="preserve">oustavy rozhodne </w:t>
      </w:r>
      <w:r>
        <w:t>až poté, co již dosáhne bakalářského vzdělání ve své zemi původu. Sama tato skutečnost proto nen</w:t>
      </w:r>
      <w:r w:rsidR="00C72B63">
        <w:t xml:space="preserve">í tolik překvapivá. Ve spojení </w:t>
      </w:r>
      <w:r>
        <w:t>s nižším věkovým průměrem studujících cizinců oproti Čechům však lze vznést hypotézu, že Češi častěji než cizinci začínají studovat v pozdějším věku, často až po nástupu do zaměstnání</w:t>
      </w:r>
      <w:r w:rsidR="00BE4C16">
        <w:t>, kdy se spokojí jen se stupněm vzdělání potřebným pro vykonávání své profese</w:t>
      </w:r>
      <w:r>
        <w:t xml:space="preserve">. Tento předpoklad podporuje i další zjištění, a sice že podíl studujících Čechů zapsaných do </w:t>
      </w:r>
      <w:r w:rsidRPr="000D0E71">
        <w:rPr>
          <w:b/>
        </w:rPr>
        <w:t>distančního či kombinovaného studia</w:t>
      </w:r>
      <w:r>
        <w:t xml:space="preserve"> byl více než pětinový (22,4 %) oproti necelé desetině zahraničních studentů zapsaných do této f</w:t>
      </w:r>
      <w:r w:rsidR="00CC76C7">
        <w:t>ormy studia (7,7 %), viz graf č. 1.19</w:t>
      </w:r>
      <w:r>
        <w:t xml:space="preserve">. </w:t>
      </w:r>
      <w:r w:rsidR="00BE4C16">
        <w:t>Právě tato forma vzdělávání přitom studentům lépe umožňuje kloubit zaměstnání a studium.</w:t>
      </w:r>
      <w:r>
        <w:t xml:space="preserve">   </w:t>
      </w:r>
    </w:p>
    <w:p w14:paraId="425679E7" w14:textId="1E7844FC" w:rsidR="00C87804" w:rsidRDefault="003F37BA" w:rsidP="00C87804">
      <w:pPr>
        <w:keepNext/>
        <w:spacing w:after="120"/>
        <w:jc w:val="both"/>
      </w:pPr>
      <w:r>
        <w:rPr>
          <w:b/>
        </w:rPr>
        <w:t>Graf č. 1.19</w:t>
      </w:r>
      <w:r w:rsidR="00C87804" w:rsidRPr="00F302E8">
        <w:rPr>
          <w:b/>
        </w:rPr>
        <w:t xml:space="preserve"> </w:t>
      </w:r>
      <w:r w:rsidRPr="003F37BA">
        <w:rPr>
          <w:b/>
        </w:rPr>
        <w:t>P</w:t>
      </w:r>
      <w:r w:rsidR="00C87804" w:rsidRPr="003F37BA">
        <w:rPr>
          <w:b/>
        </w:rPr>
        <w:t>odíl</w:t>
      </w:r>
      <w:r w:rsidR="00C72B63">
        <w:rPr>
          <w:b/>
        </w:rPr>
        <w:t>y</w:t>
      </w:r>
      <w:r w:rsidR="00C87804" w:rsidRPr="003F37BA">
        <w:rPr>
          <w:b/>
        </w:rPr>
        <w:t xml:space="preserve"> z</w:t>
      </w:r>
      <w:r w:rsidRPr="003F37BA">
        <w:rPr>
          <w:b/>
        </w:rPr>
        <w:t>e studentů české</w:t>
      </w:r>
      <w:r w:rsidR="00C87804" w:rsidRPr="003F37BA">
        <w:rPr>
          <w:b/>
        </w:rPr>
        <w:t xml:space="preserve"> a z</w:t>
      </w:r>
      <w:r w:rsidRPr="003F37BA">
        <w:rPr>
          <w:b/>
        </w:rPr>
        <w:t>e studentů cizí státní příslušnosti</w:t>
      </w:r>
      <w:r w:rsidR="00C87804" w:rsidRPr="003F37BA">
        <w:rPr>
          <w:b/>
        </w:rPr>
        <w:t xml:space="preserve"> v prezenčním a distančním či kombinovaném studiu (2022)</w:t>
      </w:r>
    </w:p>
    <w:p w14:paraId="0A8F5DB3" w14:textId="77777777" w:rsidR="00C87804" w:rsidRDefault="00C87804" w:rsidP="00C87804">
      <w:pPr>
        <w:spacing w:after="120"/>
        <w:jc w:val="both"/>
      </w:pPr>
      <w:r>
        <w:rPr>
          <w:noProof/>
        </w:rPr>
        <w:drawing>
          <wp:inline distT="0" distB="0" distL="0" distR="0" wp14:anchorId="1D30AFAE" wp14:editId="6B93049E">
            <wp:extent cx="5848350" cy="2686050"/>
            <wp:effectExtent l="0" t="0" r="0" b="0"/>
            <wp:docPr id="26" name="Graf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90A5A25" w14:textId="77777777" w:rsidR="00C87804" w:rsidRPr="00B55B25" w:rsidRDefault="00C87804" w:rsidP="00C87804">
      <w:pPr>
        <w:spacing w:after="120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5ED5DF42" w14:textId="45F73390" w:rsidR="003400C4" w:rsidRDefault="003400C4" w:rsidP="00B27A0B">
      <w:pPr>
        <w:spacing w:after="120"/>
        <w:ind w:firstLine="284"/>
        <w:jc w:val="both"/>
      </w:pPr>
      <w:r>
        <w:t xml:space="preserve">Je však také </w:t>
      </w:r>
      <w:r w:rsidR="00DA0AC3">
        <w:t xml:space="preserve">třeba </w:t>
      </w:r>
      <w:r>
        <w:t xml:space="preserve">poznamenat, že do věkové struktury (a potažmo i do rozložení do studijních programů) se u studentů české státní příslušnosti více promítá vývoj populační struktury České republiky, než jak tomu je u studentů cizí státní příslušnosti (viz </w:t>
      </w:r>
      <w:r w:rsidR="00F76DFC">
        <w:t xml:space="preserve">srovnání </w:t>
      </w:r>
      <w:r>
        <w:t>graf</w:t>
      </w:r>
      <w:r w:rsidR="00F76DFC">
        <w:t>ů 1.1. a 1.3 výše</w:t>
      </w:r>
      <w:r>
        <w:t>).</w:t>
      </w:r>
    </w:p>
    <w:p w14:paraId="5D31072B" w14:textId="23571539" w:rsidR="00C87804" w:rsidRDefault="00C87804" w:rsidP="00B27A0B">
      <w:pPr>
        <w:spacing w:after="120"/>
        <w:ind w:firstLine="284"/>
        <w:jc w:val="both"/>
      </w:pPr>
      <w:r w:rsidRPr="00673A5C">
        <w:lastRenderedPageBreak/>
        <w:t xml:space="preserve">V podílu studentů ve </w:t>
      </w:r>
      <w:r w:rsidRPr="000D0E71">
        <w:rPr>
          <w:b/>
        </w:rPr>
        <w:t>veřejných a soukromých vysokých</w:t>
      </w:r>
      <w:r w:rsidRPr="00673A5C">
        <w:t xml:space="preserve"> školách se Češi a cizinci téměř neliší.</w:t>
      </w:r>
      <w:r>
        <w:t xml:space="preserve"> Veřejné školy navštěvovalo v roce 2022 celkem 90,9 % ze všech studujících Čechů a 90,7 % ze studujících cizinců. V soukromých školách pak bylo zapsáno 9,3</w:t>
      </w:r>
      <w:r w:rsidRPr="00673A5C">
        <w:t xml:space="preserve"> % z</w:t>
      </w:r>
      <w:r>
        <w:t>e všech studujících Čechů a 9,5</w:t>
      </w:r>
      <w:r w:rsidRPr="00673A5C">
        <w:t xml:space="preserve"> % ze studujících cizinců</w:t>
      </w:r>
      <w:r>
        <w:t>.</w:t>
      </w:r>
    </w:p>
    <w:p w14:paraId="3CECF2A2" w14:textId="77777777" w:rsidR="00C87804" w:rsidRDefault="00C87804" w:rsidP="00B27A0B">
      <w:pPr>
        <w:spacing w:after="0"/>
        <w:ind w:firstLine="284"/>
        <w:jc w:val="both"/>
      </w:pPr>
      <w:r>
        <w:t>Rozdíly však najdeme v </w:t>
      </w:r>
      <w:r w:rsidRPr="000D0E71">
        <w:rPr>
          <w:b/>
        </w:rPr>
        <w:t>preferenci různých studijních oborů</w:t>
      </w:r>
      <w:r>
        <w:t xml:space="preserve">. Cca pětina studentů </w:t>
      </w:r>
      <w:r w:rsidRPr="000D0E71">
        <w:t>Čechů</w:t>
      </w:r>
      <w:r>
        <w:t xml:space="preserve"> (20 %) i studentů cizí státní příslušnosti (21,5 %) studovala obory z oblasti </w:t>
      </w:r>
      <w:r w:rsidRPr="000D0E71">
        <w:rPr>
          <w:b/>
          <w:i/>
        </w:rPr>
        <w:t>Obchod, administrativa a právo</w:t>
      </w:r>
      <w:r>
        <w:t>. U </w:t>
      </w:r>
      <w:r w:rsidRPr="000D0E71">
        <w:rPr>
          <w:b/>
        </w:rPr>
        <w:t xml:space="preserve">Čechů </w:t>
      </w:r>
      <w:r>
        <w:t xml:space="preserve">se však na druhém místě umístily </w:t>
      </w:r>
      <w:r w:rsidRPr="000D0E71">
        <w:rPr>
          <w:b/>
          <w:i/>
        </w:rPr>
        <w:t>vzdělávací obory</w:t>
      </w:r>
      <w:r>
        <w:t xml:space="preserve"> (14,7 %) a na třetím a čtvrtém shodně </w:t>
      </w:r>
      <w:r w:rsidRPr="000D0E71">
        <w:rPr>
          <w:b/>
          <w:i/>
        </w:rPr>
        <w:t>technické</w:t>
      </w:r>
      <w:r>
        <w:t xml:space="preserve"> a </w:t>
      </w:r>
      <w:r w:rsidRPr="000D0E71">
        <w:rPr>
          <w:b/>
          <w:i/>
        </w:rPr>
        <w:t>zdravotnické</w:t>
      </w:r>
      <w:r>
        <w:t xml:space="preserve"> obory (obojí 12,5 %). </w:t>
      </w:r>
    </w:p>
    <w:p w14:paraId="69250DE9" w14:textId="77777777" w:rsidR="00C87804" w:rsidRDefault="00C87804" w:rsidP="00B27A0B">
      <w:pPr>
        <w:spacing w:after="0"/>
        <w:ind w:firstLine="284"/>
        <w:jc w:val="both"/>
      </w:pPr>
      <w:r>
        <w:t xml:space="preserve">Na rozdíl od toho u </w:t>
      </w:r>
      <w:r w:rsidRPr="000D0E71">
        <w:rPr>
          <w:b/>
        </w:rPr>
        <w:t xml:space="preserve">cizinců </w:t>
      </w:r>
      <w:r>
        <w:t xml:space="preserve">obsadily druhé místo </w:t>
      </w:r>
      <w:r w:rsidRPr="000D0E71">
        <w:rPr>
          <w:b/>
          <w:i/>
        </w:rPr>
        <w:t>zdravotnické obory</w:t>
      </w:r>
      <w:r>
        <w:t xml:space="preserve"> (16,7 %) a třetí místo </w:t>
      </w:r>
      <w:r w:rsidRPr="000D0E71">
        <w:rPr>
          <w:b/>
          <w:i/>
        </w:rPr>
        <w:t>informační a komunikační technologie</w:t>
      </w:r>
      <w:r>
        <w:t xml:space="preserve"> (13,9 %). </w:t>
      </w:r>
    </w:p>
    <w:p w14:paraId="4D939469" w14:textId="24EA7C87" w:rsidR="00C87804" w:rsidRDefault="00C87804" w:rsidP="00B27A0B">
      <w:pPr>
        <w:spacing w:after="120"/>
        <w:ind w:firstLine="284"/>
        <w:jc w:val="both"/>
      </w:pPr>
      <w:r>
        <w:t xml:space="preserve">Největší rozdíly najdeme v míře studia </w:t>
      </w:r>
      <w:r w:rsidRPr="000D0E71">
        <w:rPr>
          <w:b/>
          <w:i/>
        </w:rPr>
        <w:t>vzdělávacích oborů</w:t>
      </w:r>
      <w:r>
        <w:t xml:space="preserve"> (mezi Čechy druhé nejčastější, mezi cizinci nejméně často s</w:t>
      </w:r>
      <w:r w:rsidR="00193B56">
        <w:t>t</w:t>
      </w:r>
      <w:r w:rsidR="00520A73">
        <w:t xml:space="preserve">udované) a </w:t>
      </w:r>
      <w:r w:rsidRPr="000D0E71">
        <w:rPr>
          <w:b/>
          <w:i/>
        </w:rPr>
        <w:t>oborů</w:t>
      </w:r>
      <w:r w:rsidR="00520A73">
        <w:rPr>
          <w:b/>
          <w:i/>
        </w:rPr>
        <w:t xml:space="preserve"> z oblasti informačních a komunikačních technologií</w:t>
      </w:r>
      <w:r>
        <w:t xml:space="preserve"> (mezi cizinci třetí nejčastěji studované, mezi Čechy třetí nejméně často studované). Více viz graf </w:t>
      </w:r>
      <w:r w:rsidR="00DD6277">
        <w:t>č. 1.20</w:t>
      </w:r>
      <w:r>
        <w:t>.</w:t>
      </w:r>
    </w:p>
    <w:p w14:paraId="31B16825" w14:textId="0AD718F1" w:rsidR="00C87804" w:rsidRPr="003F37BA" w:rsidRDefault="003F37BA" w:rsidP="00C87804">
      <w:pPr>
        <w:keepNext/>
        <w:spacing w:after="120"/>
        <w:jc w:val="both"/>
        <w:rPr>
          <w:b/>
        </w:rPr>
      </w:pPr>
      <w:r>
        <w:rPr>
          <w:b/>
        </w:rPr>
        <w:t>Graf č. 1.20</w:t>
      </w:r>
      <w:r w:rsidR="00C87804" w:rsidRPr="00F302E8">
        <w:rPr>
          <w:b/>
        </w:rPr>
        <w:t xml:space="preserve"> </w:t>
      </w:r>
      <w:r w:rsidRPr="003F37BA">
        <w:rPr>
          <w:b/>
        </w:rPr>
        <w:t>Podíl</w:t>
      </w:r>
      <w:r w:rsidR="00C72B63">
        <w:rPr>
          <w:b/>
        </w:rPr>
        <w:t>y</w:t>
      </w:r>
      <w:r w:rsidRPr="003F37BA">
        <w:rPr>
          <w:b/>
        </w:rPr>
        <w:t xml:space="preserve"> ze studentů české a ze studentů cizí státní příslušnosti </w:t>
      </w:r>
      <w:r w:rsidR="00C87804" w:rsidRPr="003F37BA">
        <w:rPr>
          <w:b/>
        </w:rPr>
        <w:t>zapsaných v jednotlivých skupinách oborů vzdělávání (2022)</w:t>
      </w:r>
    </w:p>
    <w:p w14:paraId="7DF531C6" w14:textId="77777777" w:rsidR="00C87804" w:rsidRPr="00673A5C" w:rsidRDefault="00C87804" w:rsidP="00C87804">
      <w:pPr>
        <w:spacing w:after="120"/>
        <w:jc w:val="both"/>
      </w:pPr>
      <w:r>
        <w:rPr>
          <w:noProof/>
        </w:rPr>
        <w:drawing>
          <wp:inline distT="0" distB="0" distL="0" distR="0" wp14:anchorId="27F93C02" wp14:editId="585F8351">
            <wp:extent cx="5657850" cy="4124325"/>
            <wp:effectExtent l="0" t="0" r="0" b="9525"/>
            <wp:docPr id="71" name="Graf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2836D12" w14:textId="77777777" w:rsidR="00C87804" w:rsidRDefault="00C87804" w:rsidP="00C87804">
      <w:pPr>
        <w:spacing w:after="120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46FC13FF" w14:textId="68733F62" w:rsidR="00C87804" w:rsidRPr="00C4070E" w:rsidRDefault="00C87804" w:rsidP="002A7F2D">
      <w:pPr>
        <w:spacing w:after="120"/>
        <w:ind w:firstLine="284"/>
        <w:jc w:val="both"/>
      </w:pPr>
      <w:r w:rsidRPr="00C4070E">
        <w:t xml:space="preserve">Pokud se jedná o </w:t>
      </w:r>
      <w:r w:rsidRPr="000D0E71">
        <w:rPr>
          <w:b/>
        </w:rPr>
        <w:t xml:space="preserve">místo </w:t>
      </w:r>
      <w:r w:rsidR="00193B56">
        <w:rPr>
          <w:b/>
        </w:rPr>
        <w:t>vzdělávání</w:t>
      </w:r>
      <w:r w:rsidRPr="00C4070E">
        <w:t xml:space="preserve">, </w:t>
      </w:r>
      <w:r>
        <w:t>studovali cizinci oproti Čechům častěji</w:t>
      </w:r>
      <w:r w:rsidR="00706176">
        <w:t xml:space="preserve"> v největších dvou městech, tj. </w:t>
      </w:r>
      <w:r>
        <w:t>v Praze (50,7 % z nich) a v Brně (27,1 % z nich). V ostatních měst</w:t>
      </w:r>
      <w:r w:rsidR="00011B6E">
        <w:t>ech prezentovaných v grafu č. 1.21</w:t>
      </w:r>
      <w:r w:rsidR="00193B56">
        <w:t xml:space="preserve"> (</w:t>
      </w:r>
      <w:r w:rsidR="003400C4">
        <w:t>tj. výběr měst, ve kterých</w:t>
      </w:r>
      <w:r>
        <w:t xml:space="preserve"> studuje naprostá většina </w:t>
      </w:r>
      <w:r w:rsidR="00193B56">
        <w:t>všech studentů bez ohledu na státní příslušnost</w:t>
      </w:r>
      <w:r>
        <w:t>) již studoval vyšší podíl z celkového počtu Čechů než podíl z cizinců.</w:t>
      </w:r>
    </w:p>
    <w:p w14:paraId="4F97E9EA" w14:textId="7931C20A" w:rsidR="00C87804" w:rsidRPr="003F37BA" w:rsidRDefault="003F37BA" w:rsidP="00C87804">
      <w:pPr>
        <w:keepNext/>
        <w:spacing w:after="120"/>
        <w:jc w:val="both"/>
        <w:rPr>
          <w:b/>
        </w:rPr>
      </w:pPr>
      <w:r>
        <w:rPr>
          <w:b/>
        </w:rPr>
        <w:lastRenderedPageBreak/>
        <w:t>Graf č. 1.21</w:t>
      </w:r>
      <w:r w:rsidR="00C87804" w:rsidRPr="00F302E8">
        <w:rPr>
          <w:b/>
        </w:rPr>
        <w:t xml:space="preserve"> </w:t>
      </w:r>
      <w:r w:rsidRPr="003F37BA">
        <w:rPr>
          <w:b/>
        </w:rPr>
        <w:t>Podíl</w:t>
      </w:r>
      <w:r w:rsidR="00C72B63">
        <w:rPr>
          <w:b/>
        </w:rPr>
        <w:t>y</w:t>
      </w:r>
      <w:r w:rsidRPr="003F37BA">
        <w:rPr>
          <w:b/>
        </w:rPr>
        <w:t xml:space="preserve"> ze studentů české a ze studentů cizí státní příslušnosti</w:t>
      </w:r>
      <w:r w:rsidR="00C87804">
        <w:t xml:space="preserve"> </w:t>
      </w:r>
      <w:r w:rsidR="00C87804" w:rsidRPr="003F37BA">
        <w:rPr>
          <w:b/>
        </w:rPr>
        <w:t>v uvedených stěžejních místech České republiky (2022)</w:t>
      </w:r>
    </w:p>
    <w:p w14:paraId="11F58C67" w14:textId="77777777" w:rsidR="00C87804" w:rsidRDefault="00C87804" w:rsidP="00C87804">
      <w:pPr>
        <w:spacing w:after="0" w:line="240" w:lineRule="auto"/>
        <w:jc w:val="right"/>
        <w:rPr>
          <w:rFonts w:cs="Arial"/>
          <w:sz w:val="18"/>
          <w:szCs w:val="18"/>
        </w:rPr>
      </w:pPr>
      <w:r w:rsidRPr="00011B6E">
        <w:rPr>
          <w:noProof/>
          <w:color w:val="60951F"/>
        </w:rPr>
        <w:drawing>
          <wp:inline distT="0" distB="0" distL="0" distR="0" wp14:anchorId="05D22CAB" wp14:editId="512B3210">
            <wp:extent cx="5734050" cy="3733800"/>
            <wp:effectExtent l="0" t="0" r="0" b="0"/>
            <wp:docPr id="72" name="Graf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AF2D21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¨</w:t>
      </w:r>
    </w:p>
    <w:p w14:paraId="14180F75" w14:textId="77777777" w:rsidR="00C87804" w:rsidRDefault="00C87804" w:rsidP="00C87804">
      <w:pPr>
        <w:spacing w:after="0" w:line="240" w:lineRule="auto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7A15AC47" w14:textId="77777777" w:rsidR="00C87804" w:rsidRDefault="00C87804" w:rsidP="00C87804">
      <w:pPr>
        <w:spacing w:after="0" w:line="240" w:lineRule="auto"/>
        <w:jc w:val="right"/>
        <w:rPr>
          <w:rFonts w:cs="Arial"/>
          <w:sz w:val="18"/>
          <w:szCs w:val="18"/>
        </w:rPr>
      </w:pPr>
    </w:p>
    <w:p w14:paraId="2C7F2983" w14:textId="2584BC09" w:rsidR="00C87804" w:rsidRDefault="00C87804" w:rsidP="00C72B63">
      <w:pPr>
        <w:spacing w:after="0"/>
        <w:ind w:firstLine="284"/>
        <w:jc w:val="both"/>
        <w:rPr>
          <w:rFonts w:cstheme="minorHAnsi"/>
        </w:rPr>
      </w:pPr>
      <w:r>
        <w:rPr>
          <w:rFonts w:cstheme="minorHAnsi"/>
        </w:rPr>
        <w:t xml:space="preserve">Nakonec tabulka č. </w:t>
      </w:r>
      <w:r w:rsidR="009E12DA">
        <w:rPr>
          <w:rFonts w:cstheme="minorHAnsi"/>
        </w:rPr>
        <w:t>1.</w:t>
      </w:r>
      <w:r>
        <w:rPr>
          <w:rFonts w:cstheme="minorHAnsi"/>
        </w:rPr>
        <w:t xml:space="preserve">4 uvádí, jaký podíl ze studentů cizí státní příslušnosti měl </w:t>
      </w:r>
      <w:r w:rsidR="00A709C5">
        <w:rPr>
          <w:rFonts w:cstheme="minorHAnsi"/>
          <w:b/>
        </w:rPr>
        <w:t xml:space="preserve">trvalý pobyt </w:t>
      </w:r>
      <w:r w:rsidRPr="000D0E71">
        <w:rPr>
          <w:rFonts w:cstheme="minorHAnsi"/>
          <w:b/>
        </w:rPr>
        <w:t>v zahraničí</w:t>
      </w:r>
      <w:r>
        <w:rPr>
          <w:rFonts w:cstheme="minorHAnsi"/>
        </w:rPr>
        <w:t xml:space="preserve"> a v jednotlivých </w:t>
      </w:r>
      <w:r>
        <w:rPr>
          <w:rFonts w:cstheme="minorHAnsi"/>
          <w:b/>
        </w:rPr>
        <w:t>krajích Č</w:t>
      </w:r>
      <w:r w:rsidRPr="000D0E71">
        <w:rPr>
          <w:rFonts w:cstheme="minorHAnsi"/>
          <w:b/>
        </w:rPr>
        <w:t>eské republiky</w:t>
      </w:r>
      <w:r w:rsidR="00AF0DEF">
        <w:rPr>
          <w:rFonts w:cstheme="minorHAnsi"/>
          <w:b/>
        </w:rPr>
        <w:t xml:space="preserve"> </w:t>
      </w:r>
      <w:r w:rsidR="00AF0DEF" w:rsidRPr="00AF0DEF">
        <w:rPr>
          <w:rFonts w:cstheme="minorHAnsi"/>
        </w:rPr>
        <w:t>v</w:t>
      </w:r>
      <w:r w:rsidR="00C72B63">
        <w:rPr>
          <w:rFonts w:cstheme="minorHAnsi"/>
        </w:rPr>
        <w:t> období posledních 15 let</w:t>
      </w:r>
      <w:r>
        <w:rPr>
          <w:rFonts w:cstheme="minorHAnsi"/>
        </w:rPr>
        <w:t>.</w:t>
      </w:r>
    </w:p>
    <w:p w14:paraId="25685B09" w14:textId="77777777" w:rsidR="00C87804" w:rsidRDefault="00C87804" w:rsidP="00C87804">
      <w:pPr>
        <w:spacing w:after="0" w:line="240" w:lineRule="auto"/>
        <w:rPr>
          <w:rFonts w:cstheme="minorHAnsi"/>
        </w:rPr>
      </w:pPr>
    </w:p>
    <w:p w14:paraId="2F7936F2" w14:textId="6786CDA9" w:rsidR="00C87804" w:rsidRPr="00AF2D21" w:rsidRDefault="00C87804" w:rsidP="00C87804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 xml:space="preserve">Tabulka č. </w:t>
      </w:r>
      <w:r w:rsidR="00192AD0">
        <w:rPr>
          <w:rFonts w:cstheme="minorHAnsi"/>
          <w:b/>
        </w:rPr>
        <w:t>1.</w:t>
      </w:r>
      <w:r>
        <w:rPr>
          <w:rFonts w:cstheme="minorHAnsi"/>
          <w:b/>
        </w:rPr>
        <w:t>4</w:t>
      </w:r>
      <w:r>
        <w:rPr>
          <w:rFonts w:cstheme="minorHAnsi"/>
        </w:rPr>
        <w:t xml:space="preserve"> </w:t>
      </w:r>
      <w:r w:rsidR="003F37BA" w:rsidRPr="003F37BA">
        <w:rPr>
          <w:b/>
        </w:rPr>
        <w:t>R</w:t>
      </w:r>
      <w:r w:rsidRPr="003F37BA">
        <w:rPr>
          <w:rFonts w:cstheme="minorHAnsi"/>
          <w:b/>
        </w:rPr>
        <w:t>ozložení studentů cizí státní příslušnosti dle místa trvalého pobytu</w:t>
      </w:r>
    </w:p>
    <w:p w14:paraId="583DB11D" w14:textId="77777777" w:rsidR="00C87804" w:rsidRPr="009B6A28" w:rsidRDefault="00C87804" w:rsidP="00C87804">
      <w:pPr>
        <w:spacing w:after="0" w:line="240" w:lineRule="auto"/>
        <w:rPr>
          <w:rFonts w:cs="Arial"/>
          <w:sz w:val="18"/>
          <w:szCs w:val="18"/>
        </w:rPr>
      </w:pPr>
    </w:p>
    <w:tbl>
      <w:tblPr>
        <w:tblW w:w="54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960"/>
        <w:gridCol w:w="960"/>
        <w:gridCol w:w="960"/>
        <w:gridCol w:w="960"/>
      </w:tblGrid>
      <w:tr w:rsidR="00AF0DEF" w:rsidRPr="00AF2D21" w14:paraId="4ABF3828" w14:textId="77777777" w:rsidTr="00AF0DEF">
        <w:trPr>
          <w:trHeight w:val="30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1C07F26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1CF3194" w14:textId="77777777" w:rsidR="00AF0DEF" w:rsidRPr="00AF2D21" w:rsidRDefault="00AF0DEF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4ADC7DE" w14:textId="77777777" w:rsidR="00AF0DEF" w:rsidRPr="00AF2D21" w:rsidRDefault="00AF0DEF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b/>
                <w:bCs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9D965F7" w14:textId="77777777" w:rsidR="00AF0DEF" w:rsidRPr="00AF2D21" w:rsidRDefault="00AF0DEF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429982A" w14:textId="77777777" w:rsidR="00AF0DEF" w:rsidRPr="00AF2D21" w:rsidRDefault="00AF0DEF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b/>
                <w:bCs/>
                <w:color w:val="000000"/>
                <w:sz w:val="16"/>
                <w:szCs w:val="16"/>
              </w:rPr>
              <w:t>2022</w:t>
            </w:r>
          </w:p>
        </w:tc>
      </w:tr>
      <w:tr w:rsidR="00AF0DEF" w:rsidRPr="00AF2D21" w14:paraId="09AD845F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A3983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zahraničí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2120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87,5%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59E31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88,0%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2A846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90,5%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638A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91,8%</w:t>
            </w:r>
          </w:p>
        </w:tc>
      </w:tr>
      <w:tr w:rsidR="00AF0DEF" w:rsidRPr="00AF2D21" w14:paraId="2943114C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DED1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Praha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CD10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6,2%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B98C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5,4%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2ECA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5,1%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C9B0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4,4%</w:t>
            </w:r>
          </w:p>
        </w:tc>
      </w:tr>
      <w:tr w:rsidR="00AF0DEF" w:rsidRPr="00AF2D21" w14:paraId="4528B88E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B5878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Středočeský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C268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1,1%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DF730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1,4%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9306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1,0%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3BED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1,0%</w:t>
            </w:r>
          </w:p>
        </w:tc>
      </w:tr>
      <w:tr w:rsidR="00AF0DEF" w:rsidRPr="00AF2D21" w14:paraId="44DF5202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0809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Jihomoravský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8523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5A46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1,0%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D8A4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1,0%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E1AD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0,9%</w:t>
            </w:r>
          </w:p>
        </w:tc>
      </w:tr>
      <w:tr w:rsidR="00AF0DEF" w:rsidRPr="00AF2D21" w14:paraId="1C5352C6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FE5A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Moravskoslezský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979B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1,3%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DBBD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D7F8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3E1A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0,3%</w:t>
            </w:r>
          </w:p>
        </w:tc>
      </w:tr>
      <w:tr w:rsidR="00AF0DEF" w:rsidRPr="00AF2D21" w14:paraId="7BABF98D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3BEA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Ústecký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0286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ACB8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C0BF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4382D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0,3%</w:t>
            </w:r>
          </w:p>
        </w:tc>
      </w:tr>
      <w:tr w:rsidR="00AF0DEF" w:rsidRPr="00AF2D21" w14:paraId="453763B6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182F2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Plzeňský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75C1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48E7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8CF3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7279D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0,2%</w:t>
            </w:r>
          </w:p>
        </w:tc>
      </w:tr>
      <w:tr w:rsidR="00AF0DEF" w:rsidRPr="00AF2D21" w14:paraId="59778F5D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275D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Olomoucký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0A5D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92AA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476C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AE8A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0,2%</w:t>
            </w:r>
          </w:p>
        </w:tc>
      </w:tr>
      <w:tr w:rsidR="00AF0DEF" w:rsidRPr="00AF2D21" w14:paraId="21CC73AA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DB91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Jihočeský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9B57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4E78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20B9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1057D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0,2%</w:t>
            </w:r>
          </w:p>
        </w:tc>
      </w:tr>
      <w:tr w:rsidR="00AF0DEF" w:rsidRPr="00AF2D21" w14:paraId="128A49D7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FFC6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Královéhradecký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4F25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2012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4661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CA30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0,1%</w:t>
            </w:r>
          </w:p>
        </w:tc>
      </w:tr>
      <w:tr w:rsidR="00AF0DEF" w:rsidRPr="00AF2D21" w14:paraId="698D8C9A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6BA2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Liberecký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A615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2921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3A4FD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5B1E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0,1%</w:t>
            </w:r>
          </w:p>
        </w:tc>
      </w:tr>
      <w:tr w:rsidR="00AF0DEF" w:rsidRPr="00AF2D21" w14:paraId="11D11065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CFB3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Karlovarský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0E21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D469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CAD5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55F8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0,1%</w:t>
            </w:r>
          </w:p>
        </w:tc>
      </w:tr>
      <w:tr w:rsidR="00AF0DEF" w:rsidRPr="00AF2D21" w14:paraId="0FD13D92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AB91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Pardubický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8BC4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FA10A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D760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3014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0,1%</w:t>
            </w:r>
          </w:p>
        </w:tc>
      </w:tr>
      <w:tr w:rsidR="00AF0DEF" w:rsidRPr="00AF2D21" w14:paraId="7B5ADB9B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B665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Zlínský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81E7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4C10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F727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15808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0,1%</w:t>
            </w:r>
          </w:p>
        </w:tc>
      </w:tr>
      <w:tr w:rsidR="00AF0DEF" w:rsidRPr="00AF2D21" w14:paraId="5526EE32" w14:textId="77777777" w:rsidTr="00AF0DEF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7CC0E" w14:textId="77777777" w:rsidR="00AF0DEF" w:rsidRPr="00AF2D21" w:rsidRDefault="00AF0DEF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Vysočina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16BE2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93F2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7265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7178" w14:textId="77777777" w:rsidR="00AF0DEF" w:rsidRPr="00AF2D21" w:rsidRDefault="00AF0DEF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F2D21">
              <w:rPr>
                <w:rFonts w:cs="Arial"/>
                <w:color w:val="000000"/>
                <w:sz w:val="16"/>
                <w:szCs w:val="16"/>
              </w:rPr>
              <w:t>0,1%</w:t>
            </w:r>
          </w:p>
        </w:tc>
      </w:tr>
    </w:tbl>
    <w:p w14:paraId="518CD9B1" w14:textId="77777777" w:rsidR="00C87804" w:rsidRDefault="00C87804" w:rsidP="00C87804">
      <w:pPr>
        <w:spacing w:before="120" w:after="0" w:line="240" w:lineRule="auto"/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                                               </w:t>
      </w:r>
      <w:r w:rsidRPr="009B6A28">
        <w:rPr>
          <w:rFonts w:cs="Arial"/>
          <w:sz w:val="18"/>
          <w:szCs w:val="18"/>
        </w:rPr>
        <w:t>Zdroj dat: MŠMT</w:t>
      </w:r>
    </w:p>
    <w:p w14:paraId="238839DD" w14:textId="77777777" w:rsidR="00C87804" w:rsidRDefault="00C87804" w:rsidP="00C87804">
      <w:pPr>
        <w:spacing w:after="0" w:line="240" w:lineRule="auto"/>
        <w:jc w:val="both"/>
        <w:rPr>
          <w:b/>
        </w:rPr>
      </w:pPr>
    </w:p>
    <w:p w14:paraId="3C208F9A" w14:textId="055E5CD3" w:rsidR="00C87804" w:rsidRPr="00AF0DEF" w:rsidRDefault="00C87804" w:rsidP="00CD352E">
      <w:pPr>
        <w:spacing w:after="0"/>
        <w:ind w:firstLine="284"/>
        <w:jc w:val="both"/>
      </w:pPr>
      <w:r w:rsidRPr="00827735">
        <w:rPr>
          <w:rFonts w:cstheme="minorHAnsi"/>
        </w:rPr>
        <w:lastRenderedPageBreak/>
        <w:t xml:space="preserve">Z tabulky je patrné, že </w:t>
      </w:r>
      <w:r w:rsidR="00AF0DEF">
        <w:rPr>
          <w:rFonts w:cstheme="minorHAnsi"/>
        </w:rPr>
        <w:t>naprostá většina cizinců měla trvalý pobyt v zahraničí, přičemž tento podíl v čase mírně roste (z 87,5 % v roce 2007 na 91,8 % v roce 2022). Naopak nepatrně ubývá studentů cizí státní příslušnosti  s trvalým pobytem v Praze (z 6,2</w:t>
      </w:r>
      <w:r w:rsidR="00AF0DEF">
        <w:t xml:space="preserve">% na 4,4 %) a </w:t>
      </w:r>
      <w:r w:rsidR="00264016">
        <w:t>o jeden procentní bod se snížil</w:t>
      </w:r>
      <w:r w:rsidR="00AF0DEF">
        <w:t xml:space="preserve"> i podíl těch byd</w:t>
      </w:r>
      <w:r w:rsidR="00264016">
        <w:t xml:space="preserve">lících v kraji Moravskoslezském </w:t>
      </w:r>
      <w:r w:rsidR="00AF0DEF">
        <w:t>(z 1,3 % na 0,3 %). V roce 2022 tvořili z 98,1 % skupinu studentů cizí státní příslušnosti ti s trvalým pobytem v cizině,</w:t>
      </w:r>
      <w:r w:rsidR="000C3E6D">
        <w:t xml:space="preserve"> v Praze, v kraji Středočeském či</w:t>
      </w:r>
      <w:r w:rsidR="00AF0DEF">
        <w:t xml:space="preserve"> Jihomoravském. Studenti cizí státní příslušnosti z ostatních krajů již tvořily 0,3% a menší podíl.</w:t>
      </w:r>
    </w:p>
    <w:p w14:paraId="4831E940" w14:textId="77777777" w:rsidR="00C87804" w:rsidRDefault="00C87804" w:rsidP="00C87804">
      <w:pPr>
        <w:spacing w:after="120"/>
        <w:jc w:val="both"/>
      </w:pPr>
    </w:p>
    <w:p w14:paraId="3DCE2214" w14:textId="70C44D36" w:rsidR="00C87804" w:rsidRPr="00BE41DD" w:rsidRDefault="00777562" w:rsidP="009C1D00">
      <w:pPr>
        <w:pStyle w:val="Nadpis2"/>
        <w:spacing w:after="120"/>
      </w:pPr>
      <w:bookmarkStart w:id="6" w:name="_Toc135224483"/>
      <w:r w:rsidRPr="00BE41DD">
        <w:t xml:space="preserve">1.4 </w:t>
      </w:r>
      <w:r w:rsidR="00C87804" w:rsidRPr="00BE41DD">
        <w:t xml:space="preserve">Rozdíly mezi studenty veřejných a soukromých </w:t>
      </w:r>
      <w:r w:rsidRPr="00BE41DD">
        <w:t>VŠ</w:t>
      </w:r>
      <w:bookmarkEnd w:id="6"/>
    </w:p>
    <w:p w14:paraId="27FE2D56" w14:textId="0C0927C9" w:rsidR="00C87804" w:rsidRDefault="00C87804" w:rsidP="00CD352E">
      <w:pPr>
        <w:ind w:firstLine="284"/>
        <w:jc w:val="both"/>
        <w:rPr>
          <w:b/>
          <w:color w:val="244061" w:themeColor="accent1" w:themeShade="80"/>
          <w:sz w:val="28"/>
          <w:szCs w:val="28"/>
        </w:rPr>
      </w:pPr>
      <w:r>
        <w:rPr>
          <w:rFonts w:cstheme="minorHAnsi"/>
        </w:rPr>
        <w:t xml:space="preserve">Studenti </w:t>
      </w:r>
      <w:r w:rsidRPr="00A208AA">
        <w:rPr>
          <w:rFonts w:cstheme="minorHAnsi"/>
        </w:rPr>
        <w:t>veřejných a soukromých vysokých škol</w:t>
      </w:r>
      <w:r>
        <w:rPr>
          <w:rFonts w:cstheme="minorHAnsi"/>
        </w:rPr>
        <w:t xml:space="preserve"> se liší </w:t>
      </w:r>
      <w:r w:rsidRPr="00A208AA">
        <w:rPr>
          <w:rFonts w:cstheme="minorHAnsi"/>
          <w:b/>
        </w:rPr>
        <w:t>ve věkovém složení</w:t>
      </w:r>
      <w:r>
        <w:rPr>
          <w:rFonts w:cstheme="minorHAnsi"/>
        </w:rPr>
        <w:t>. Zatímco 70,8 % stu</w:t>
      </w:r>
      <w:r w:rsidR="009F7583">
        <w:rPr>
          <w:rFonts w:cstheme="minorHAnsi"/>
        </w:rPr>
        <w:t>dentů veřejných vysokých škol bylo k 31. 12. 2022</w:t>
      </w:r>
      <w:r>
        <w:rPr>
          <w:rFonts w:cstheme="minorHAnsi"/>
        </w:rPr>
        <w:t xml:space="preserve"> ve věku do 24 let, mezi studen</w:t>
      </w:r>
      <w:r w:rsidR="009F7583">
        <w:rPr>
          <w:rFonts w:cstheme="minorHAnsi"/>
        </w:rPr>
        <w:t>ty soukromých vysokých škol činil</w:t>
      </w:r>
      <w:r>
        <w:rPr>
          <w:rFonts w:cstheme="minorHAnsi"/>
        </w:rPr>
        <w:t xml:space="preserve"> tento podíl 58,6 %. </w:t>
      </w:r>
      <w:r w:rsidR="009F7583">
        <w:rPr>
          <w:rFonts w:cstheme="minorHAnsi"/>
        </w:rPr>
        <w:t>Ve veřejných školách byla</w:t>
      </w:r>
      <w:r>
        <w:rPr>
          <w:rFonts w:cstheme="minorHAnsi"/>
        </w:rPr>
        <w:t xml:space="preserve"> dále jen osmina studentů ve věku 30 let a více oproti téměř čtvrtině studentů této věkové kategorie ve školách soukromých.</w:t>
      </w:r>
    </w:p>
    <w:p w14:paraId="5D1E0E70" w14:textId="48B1948F" w:rsidR="00C87804" w:rsidRPr="00A3697D" w:rsidRDefault="00A3697D" w:rsidP="00C87804">
      <w:pPr>
        <w:keepNext/>
        <w:spacing w:after="120"/>
        <w:jc w:val="both"/>
        <w:rPr>
          <w:b/>
        </w:rPr>
      </w:pPr>
      <w:r>
        <w:rPr>
          <w:b/>
        </w:rPr>
        <w:t>Graf č. 1.22</w:t>
      </w:r>
      <w:r w:rsidR="00C87804" w:rsidRPr="00F302E8">
        <w:rPr>
          <w:b/>
        </w:rPr>
        <w:t xml:space="preserve"> </w:t>
      </w:r>
      <w:r w:rsidR="007308B3">
        <w:rPr>
          <w:b/>
        </w:rPr>
        <w:t>Věková struktura</w:t>
      </w:r>
      <w:r w:rsidR="00C87804" w:rsidRPr="00A3697D">
        <w:rPr>
          <w:b/>
        </w:rPr>
        <w:t xml:space="preserve"> studentů veřejných a soukromých vysokých škol (2022)</w:t>
      </w:r>
    </w:p>
    <w:p w14:paraId="651CC27D" w14:textId="77777777" w:rsidR="00C87804" w:rsidRDefault="00C87804" w:rsidP="007457B0">
      <w:pPr>
        <w:spacing w:after="120"/>
        <w:rPr>
          <w:b/>
          <w:color w:val="244061" w:themeColor="accent1" w:themeShade="80"/>
          <w:sz w:val="28"/>
          <w:szCs w:val="28"/>
        </w:rPr>
      </w:pPr>
      <w:r>
        <w:rPr>
          <w:noProof/>
        </w:rPr>
        <w:drawing>
          <wp:inline distT="0" distB="0" distL="0" distR="0" wp14:anchorId="397DAB45" wp14:editId="58C1ED51">
            <wp:extent cx="5895975" cy="1866900"/>
            <wp:effectExtent l="0" t="0" r="9525" b="0"/>
            <wp:docPr id="31" name="Graf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B5E3384" w14:textId="77777777" w:rsidR="00C87804" w:rsidRDefault="00C87804" w:rsidP="007457B0">
      <w:pPr>
        <w:spacing w:after="120" w:line="240" w:lineRule="auto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07EB1D55" w14:textId="77777777" w:rsidR="00C87804" w:rsidRDefault="00C87804" w:rsidP="00EB71C1">
      <w:pPr>
        <w:spacing w:after="0"/>
        <w:ind w:firstLine="284"/>
        <w:jc w:val="both"/>
        <w:rPr>
          <w:rFonts w:cstheme="minorHAnsi"/>
        </w:rPr>
      </w:pPr>
      <w:r w:rsidRPr="00617AD1">
        <w:rPr>
          <w:rFonts w:cstheme="minorHAnsi"/>
        </w:rPr>
        <w:t xml:space="preserve">V míře zastoupení cizinců </w:t>
      </w:r>
      <w:r>
        <w:rPr>
          <w:rFonts w:cstheme="minorHAnsi"/>
        </w:rPr>
        <w:t xml:space="preserve">vs. Čechů, jakož i mužů vs. žen </w:t>
      </w:r>
      <w:r w:rsidRPr="00617AD1">
        <w:rPr>
          <w:rFonts w:cstheme="minorHAnsi"/>
        </w:rPr>
        <w:t xml:space="preserve">se </w:t>
      </w:r>
      <w:r>
        <w:rPr>
          <w:rFonts w:cstheme="minorHAnsi"/>
        </w:rPr>
        <w:t xml:space="preserve">veřejné a soukromé školy příliš neliší. Liší se však v podílu studentů </w:t>
      </w:r>
      <w:r w:rsidRPr="00A208AA">
        <w:rPr>
          <w:rFonts w:cstheme="minorHAnsi"/>
          <w:b/>
        </w:rPr>
        <w:t>jednotlivých studijních programů</w:t>
      </w:r>
      <w:r>
        <w:rPr>
          <w:rFonts w:cstheme="minorHAnsi"/>
        </w:rPr>
        <w:t xml:space="preserve"> a v podílu studentů </w:t>
      </w:r>
      <w:r w:rsidRPr="00A208AA">
        <w:rPr>
          <w:rFonts w:cstheme="minorHAnsi"/>
          <w:b/>
        </w:rPr>
        <w:t xml:space="preserve">v prezenčním a distančním či kombinovaném </w:t>
      </w:r>
      <w:r>
        <w:rPr>
          <w:rFonts w:cstheme="minorHAnsi"/>
        </w:rPr>
        <w:t xml:space="preserve">studiu. </w:t>
      </w:r>
    </w:p>
    <w:p w14:paraId="61D0F934" w14:textId="77777777" w:rsidR="00C87804" w:rsidRDefault="00C87804" w:rsidP="00C87804">
      <w:pPr>
        <w:spacing w:after="0" w:line="240" w:lineRule="auto"/>
        <w:jc w:val="both"/>
        <w:rPr>
          <w:rFonts w:cstheme="minorHAnsi"/>
        </w:rPr>
      </w:pPr>
    </w:p>
    <w:p w14:paraId="28F529FE" w14:textId="057BFCA0" w:rsidR="00C87804" w:rsidRPr="00D3798E" w:rsidRDefault="00C87804" w:rsidP="00C87804">
      <w:pPr>
        <w:keepNext/>
        <w:spacing w:after="120"/>
        <w:jc w:val="both"/>
        <w:rPr>
          <w:b/>
        </w:rPr>
      </w:pPr>
      <w:r>
        <w:rPr>
          <w:b/>
        </w:rPr>
        <w:t xml:space="preserve">Graf č. </w:t>
      </w:r>
      <w:r w:rsidR="00A3697D">
        <w:rPr>
          <w:b/>
        </w:rPr>
        <w:t>1.23</w:t>
      </w:r>
      <w:r w:rsidRPr="00F302E8">
        <w:rPr>
          <w:b/>
        </w:rPr>
        <w:t xml:space="preserve"> </w:t>
      </w:r>
      <w:r w:rsidR="00A3697D" w:rsidRPr="00D3798E">
        <w:rPr>
          <w:b/>
        </w:rPr>
        <w:t>P</w:t>
      </w:r>
      <w:r w:rsidRPr="00D3798E">
        <w:rPr>
          <w:b/>
        </w:rPr>
        <w:t>odíl</w:t>
      </w:r>
      <w:r w:rsidR="007308B3">
        <w:rPr>
          <w:b/>
        </w:rPr>
        <w:t>y</w:t>
      </w:r>
      <w:r w:rsidRPr="00D3798E">
        <w:rPr>
          <w:b/>
        </w:rPr>
        <w:t xml:space="preserve"> ze studentů veřejných VŠ a ze studentů soukromých VŠ navštěvujících prezenční a distanční či kombinované studium a různé druhy studijních programů (2022)</w:t>
      </w:r>
    </w:p>
    <w:p w14:paraId="6058B08A" w14:textId="77777777" w:rsidR="00C87804" w:rsidRDefault="00C87804" w:rsidP="00C87804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64BA3C89" wp14:editId="64585E6D">
            <wp:extent cx="5791200" cy="2590800"/>
            <wp:effectExtent l="0" t="0" r="0" b="0"/>
            <wp:docPr id="73" name="Graf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57991F9" w14:textId="77777777" w:rsidR="00C87804" w:rsidRDefault="00C87804" w:rsidP="00C87804">
      <w:pPr>
        <w:spacing w:after="0" w:line="240" w:lineRule="auto"/>
        <w:jc w:val="both"/>
        <w:rPr>
          <w:rFonts w:cstheme="minorHAnsi"/>
        </w:rPr>
      </w:pPr>
    </w:p>
    <w:p w14:paraId="63E1D040" w14:textId="77777777" w:rsidR="00C87804" w:rsidRDefault="00C87804" w:rsidP="00C87804">
      <w:pPr>
        <w:spacing w:after="0" w:line="240" w:lineRule="auto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68FF1C70" w14:textId="77777777" w:rsidR="00C87804" w:rsidRDefault="00C87804" w:rsidP="00C87804">
      <w:pPr>
        <w:spacing w:after="0" w:line="240" w:lineRule="auto"/>
        <w:jc w:val="both"/>
        <w:rPr>
          <w:rFonts w:cstheme="minorHAnsi"/>
        </w:rPr>
      </w:pPr>
    </w:p>
    <w:p w14:paraId="1DF2D1D3" w14:textId="7A4CB6AF" w:rsidR="00C87804" w:rsidRDefault="00C87804" w:rsidP="00CD352E">
      <w:pPr>
        <w:spacing w:after="120"/>
        <w:ind w:firstLine="284"/>
        <w:jc w:val="both"/>
        <w:rPr>
          <w:rFonts w:cstheme="minorHAnsi"/>
        </w:rPr>
      </w:pPr>
      <w:r>
        <w:rPr>
          <w:rFonts w:cstheme="minorHAnsi"/>
        </w:rPr>
        <w:t>Ze studentů veřejných vysokých škol jich bylo v roce 2022 celkem 83,5 % zapsaných v </w:t>
      </w:r>
      <w:r w:rsidRPr="00BC6A42">
        <w:rPr>
          <w:rFonts w:cstheme="minorHAnsi"/>
          <w:b/>
        </w:rPr>
        <w:t xml:space="preserve">prezenčním </w:t>
      </w:r>
      <w:r>
        <w:rPr>
          <w:rFonts w:cstheme="minorHAnsi"/>
        </w:rPr>
        <w:t>studiu a 17,2 % v distančním či kombinovaném. Na rozdíl od toho ze studentů soukromých vysokých škol navštěvovala jen mírně nadpoloviční většina studentů prezenční studium (55,2 %) a 44,9 % jich navštěvovalo studium distanční či kombinované. S tím může souviset i výše uvedený vyšší věkový průměr studentů soukromých škol ve srovnání se studenty škol veřejných – distanční a kombinovanou formu studia často volí studenti, kteří studují vedle zaměstnání, např. si dod</w:t>
      </w:r>
      <w:r w:rsidR="007308B3">
        <w:rPr>
          <w:rFonts w:cstheme="minorHAnsi"/>
        </w:rPr>
        <w:t>ělávají potřebnou kvalifikaci.</w:t>
      </w:r>
    </w:p>
    <w:p w14:paraId="49C5930F" w14:textId="3F9C2D11" w:rsidR="00C87804" w:rsidRDefault="00C87804" w:rsidP="00CD352E">
      <w:pPr>
        <w:spacing w:after="120"/>
        <w:ind w:firstLine="284"/>
        <w:jc w:val="both"/>
        <w:rPr>
          <w:rFonts w:cstheme="minorHAnsi"/>
        </w:rPr>
      </w:pPr>
      <w:r>
        <w:rPr>
          <w:rFonts w:cstheme="minorHAnsi"/>
        </w:rPr>
        <w:t xml:space="preserve">Pokud se jedná o </w:t>
      </w:r>
      <w:r w:rsidRPr="00BC6A42">
        <w:rPr>
          <w:rFonts w:cstheme="minorHAnsi"/>
          <w:b/>
        </w:rPr>
        <w:t>studijní programy</w:t>
      </w:r>
      <w:r>
        <w:rPr>
          <w:rFonts w:cstheme="minorHAnsi"/>
        </w:rPr>
        <w:t xml:space="preserve">, v bakalářském studijním programu byly </w:t>
      </w:r>
      <w:r w:rsidR="004F0996">
        <w:rPr>
          <w:rFonts w:cstheme="minorHAnsi"/>
        </w:rPr>
        <w:t xml:space="preserve">na konci roku 2022 </w:t>
      </w:r>
      <w:r>
        <w:rPr>
          <w:rFonts w:cstheme="minorHAnsi"/>
        </w:rPr>
        <w:t>zapsané tři pětiny z celkového počtu st</w:t>
      </w:r>
      <w:r w:rsidR="007308B3">
        <w:rPr>
          <w:rFonts w:cstheme="minorHAnsi"/>
        </w:rPr>
        <w:t xml:space="preserve">udentů škol veřejných (58,5 %) </w:t>
      </w:r>
      <w:r>
        <w:rPr>
          <w:rFonts w:cstheme="minorHAnsi"/>
        </w:rPr>
        <w:t>oproti čtyřem pětinám studentů škol soukromých (79,4 %). Naopak v magisterském programu studovalo 34,9 % studentů škol veřejných oproti 20,3 % studentů škol soukromých a v doktorském programu 7,4 % studentů škol veřejných oproti 0,3 % studentů škol soukromých.</w:t>
      </w:r>
    </w:p>
    <w:p w14:paraId="3BA78529" w14:textId="7F1BDDDE" w:rsidR="00C87804" w:rsidRDefault="00C87804" w:rsidP="00CD352E">
      <w:pPr>
        <w:spacing w:after="120"/>
        <w:ind w:firstLine="284"/>
        <w:jc w:val="both"/>
        <w:rPr>
          <w:rFonts w:cstheme="minorHAnsi"/>
        </w:rPr>
      </w:pPr>
      <w:r>
        <w:rPr>
          <w:rFonts w:cstheme="minorHAnsi"/>
        </w:rPr>
        <w:t xml:space="preserve">Veřejné a soukromé vysoké školy se také liší </w:t>
      </w:r>
      <w:r w:rsidRPr="002B1F18">
        <w:rPr>
          <w:rFonts w:cstheme="minorHAnsi"/>
          <w:b/>
        </w:rPr>
        <w:t>v nabídce studijních oborů</w:t>
      </w:r>
      <w:r>
        <w:rPr>
          <w:rFonts w:cstheme="minorHAnsi"/>
        </w:rPr>
        <w:t xml:space="preserve">, a tedy i v podílu studentů, kteří tyto obory studují. Jak dokládá graf č. </w:t>
      </w:r>
      <w:r w:rsidR="00BA3EFD">
        <w:rPr>
          <w:rFonts w:cstheme="minorHAnsi"/>
        </w:rPr>
        <w:t>1.24</w:t>
      </w:r>
      <w:r>
        <w:rPr>
          <w:rFonts w:cstheme="minorHAnsi"/>
        </w:rPr>
        <w:t>, v </w:t>
      </w:r>
      <w:r w:rsidRPr="002B1F18">
        <w:rPr>
          <w:rFonts w:cstheme="minorHAnsi"/>
          <w:b/>
        </w:rPr>
        <w:t>soukromých</w:t>
      </w:r>
      <w:r>
        <w:rPr>
          <w:rFonts w:cstheme="minorHAnsi"/>
        </w:rPr>
        <w:t xml:space="preserve"> </w:t>
      </w:r>
      <w:r w:rsidR="00C05A8D">
        <w:rPr>
          <w:rFonts w:cstheme="minorHAnsi"/>
        </w:rPr>
        <w:t xml:space="preserve">vysokých </w:t>
      </w:r>
      <w:r>
        <w:rPr>
          <w:rFonts w:cstheme="minorHAnsi"/>
        </w:rPr>
        <w:t>školách</w:t>
      </w:r>
      <w:r w:rsidR="004F0996">
        <w:rPr>
          <w:rFonts w:cstheme="minorHAnsi"/>
        </w:rPr>
        <w:t xml:space="preserve"> v roce 2022</w:t>
      </w:r>
      <w:r w:rsidR="005277C6">
        <w:rPr>
          <w:rFonts w:cstheme="minorHAnsi"/>
        </w:rPr>
        <w:t xml:space="preserve"> převaž</w:t>
      </w:r>
      <w:r w:rsidR="004F0996">
        <w:rPr>
          <w:rFonts w:cstheme="minorHAnsi"/>
        </w:rPr>
        <w:t>ovali</w:t>
      </w:r>
      <w:r>
        <w:rPr>
          <w:rFonts w:cstheme="minorHAnsi"/>
        </w:rPr>
        <w:t xml:space="preserve"> studenti oborů ze skupiny </w:t>
      </w:r>
      <w:r>
        <w:rPr>
          <w:rFonts w:cstheme="minorHAnsi"/>
          <w:b/>
          <w:i/>
        </w:rPr>
        <w:t>O</w:t>
      </w:r>
      <w:r w:rsidRPr="002B1F18">
        <w:rPr>
          <w:rFonts w:cstheme="minorHAnsi"/>
          <w:b/>
          <w:i/>
        </w:rPr>
        <w:t>bchod, administrativa a právo</w:t>
      </w:r>
      <w:r>
        <w:rPr>
          <w:rFonts w:cstheme="minorHAnsi"/>
        </w:rPr>
        <w:t xml:space="preserve"> (45,8 % ze všech studentů), dále studenti oborů ze skupiny oborů </w:t>
      </w:r>
      <w:r>
        <w:rPr>
          <w:rFonts w:cstheme="minorHAnsi"/>
          <w:b/>
          <w:i/>
        </w:rPr>
        <w:t>S</w:t>
      </w:r>
      <w:r w:rsidRPr="002B1F18">
        <w:rPr>
          <w:rFonts w:cstheme="minorHAnsi"/>
          <w:b/>
          <w:i/>
        </w:rPr>
        <w:t>lužeb</w:t>
      </w:r>
      <w:r>
        <w:rPr>
          <w:rFonts w:cstheme="minorHAnsi"/>
        </w:rPr>
        <w:t xml:space="preserve"> (24,9 %) a studenti </w:t>
      </w:r>
      <w:r>
        <w:rPr>
          <w:rFonts w:cstheme="minorHAnsi"/>
          <w:b/>
          <w:i/>
        </w:rPr>
        <w:t>S</w:t>
      </w:r>
      <w:r w:rsidRPr="002B1F18">
        <w:rPr>
          <w:rFonts w:cstheme="minorHAnsi"/>
          <w:b/>
          <w:i/>
        </w:rPr>
        <w:t>polečenských věd, žurnalistiky a informačních věd</w:t>
      </w:r>
      <w:r w:rsidR="00703CFD">
        <w:rPr>
          <w:rFonts w:cstheme="minorHAnsi"/>
        </w:rPr>
        <w:t xml:space="preserve"> (13,9 %). </w:t>
      </w:r>
      <w:r>
        <w:rPr>
          <w:rFonts w:cstheme="minorHAnsi"/>
        </w:rPr>
        <w:t>Studenti ostatních oborů již zaujímali méně než 4 %</w:t>
      </w:r>
      <w:r w:rsidR="006F3F8B">
        <w:rPr>
          <w:rFonts w:cstheme="minorHAnsi"/>
        </w:rPr>
        <w:t xml:space="preserve"> ze všech studentů</w:t>
      </w:r>
      <w:r>
        <w:rPr>
          <w:rFonts w:cstheme="minorHAnsi"/>
        </w:rPr>
        <w:t>, přičemž přírodovědné obory a obory ze skupiny zemědělství, lesnictví, rybářství a veterinářství na soukromých školách nestudoval ani jeden student (</w:t>
      </w:r>
      <w:r w:rsidR="004F0996">
        <w:rPr>
          <w:rFonts w:cstheme="minorHAnsi"/>
        </w:rPr>
        <w:t>pravděpodobně</w:t>
      </w:r>
      <w:r>
        <w:rPr>
          <w:rFonts w:cstheme="minorHAnsi"/>
        </w:rPr>
        <w:t xml:space="preserve"> nebyly v</w:t>
      </w:r>
      <w:r w:rsidR="004F0996">
        <w:rPr>
          <w:rFonts w:cstheme="minorHAnsi"/>
        </w:rPr>
        <w:t> </w:t>
      </w:r>
      <w:r>
        <w:rPr>
          <w:rFonts w:cstheme="minorHAnsi"/>
        </w:rPr>
        <w:t>nabídce</w:t>
      </w:r>
      <w:r w:rsidR="004F0996">
        <w:rPr>
          <w:rFonts w:cstheme="minorHAnsi"/>
        </w:rPr>
        <w:t xml:space="preserve"> soukromých škol</w:t>
      </w:r>
      <w:r>
        <w:rPr>
          <w:rFonts w:cstheme="minorHAnsi"/>
        </w:rPr>
        <w:t xml:space="preserve">). </w:t>
      </w:r>
    </w:p>
    <w:p w14:paraId="7F25CBDD" w14:textId="74FE4D4E" w:rsidR="00C87804" w:rsidRDefault="00C87804" w:rsidP="00C05A8D">
      <w:pPr>
        <w:spacing w:after="120"/>
        <w:ind w:firstLine="284"/>
        <w:jc w:val="both"/>
        <w:rPr>
          <w:rFonts w:cstheme="minorHAnsi"/>
        </w:rPr>
      </w:pPr>
      <w:r>
        <w:rPr>
          <w:rFonts w:cstheme="minorHAnsi"/>
        </w:rPr>
        <w:t xml:space="preserve">Pokud se jedná o </w:t>
      </w:r>
      <w:r w:rsidRPr="002B1F18">
        <w:rPr>
          <w:rFonts w:cstheme="minorHAnsi"/>
          <w:b/>
        </w:rPr>
        <w:t xml:space="preserve">veřejné </w:t>
      </w:r>
      <w:r w:rsidR="00C05A8D">
        <w:rPr>
          <w:rFonts w:cstheme="minorHAnsi"/>
          <w:b/>
        </w:rPr>
        <w:t xml:space="preserve">vysoké </w:t>
      </w:r>
      <w:r w:rsidRPr="002B1F18">
        <w:rPr>
          <w:rFonts w:cstheme="minorHAnsi"/>
          <w:b/>
        </w:rPr>
        <w:t>školy</w:t>
      </w:r>
      <w:r>
        <w:rPr>
          <w:rFonts w:cstheme="minorHAnsi"/>
        </w:rPr>
        <w:t xml:space="preserve">, bylo zastoupení studentů jednotlivých skupin oborů mnohem vyváženější. I zde bylo nejčastější studium oborů ze skupiny </w:t>
      </w:r>
      <w:r>
        <w:rPr>
          <w:rFonts w:cstheme="minorHAnsi"/>
          <w:b/>
          <w:i/>
        </w:rPr>
        <w:t>O</w:t>
      </w:r>
      <w:r w:rsidRPr="002B1F18">
        <w:rPr>
          <w:rFonts w:cstheme="minorHAnsi"/>
          <w:b/>
          <w:i/>
        </w:rPr>
        <w:t>bchod, administrativa a právo</w:t>
      </w:r>
      <w:r>
        <w:rPr>
          <w:rFonts w:cstheme="minorHAnsi"/>
        </w:rPr>
        <w:t xml:space="preserve"> (17,4 % studentů)</w:t>
      </w:r>
      <w:r w:rsidR="00C05A8D">
        <w:rPr>
          <w:rFonts w:cstheme="minorHAnsi"/>
        </w:rPr>
        <w:t>, ovšem již</w:t>
      </w:r>
      <w:r>
        <w:rPr>
          <w:rFonts w:cstheme="minorHAnsi"/>
        </w:rPr>
        <w:t xml:space="preserve"> poměrně těsně následované skupinou oborů z oblasti </w:t>
      </w:r>
      <w:r w:rsidRPr="002B1F18">
        <w:rPr>
          <w:rFonts w:cstheme="minorHAnsi"/>
          <w:b/>
          <w:i/>
        </w:rPr>
        <w:t>Zdravotní a sociální péče</w:t>
      </w:r>
      <w:r>
        <w:rPr>
          <w:rFonts w:cstheme="minorHAnsi"/>
        </w:rPr>
        <w:t xml:space="preserve"> (14,2 %), dále </w:t>
      </w:r>
      <w:r w:rsidRPr="002B1F18">
        <w:rPr>
          <w:rFonts w:cstheme="minorHAnsi"/>
          <w:b/>
          <w:i/>
        </w:rPr>
        <w:t>Vzdělávání a výchova</w:t>
      </w:r>
      <w:r>
        <w:rPr>
          <w:rFonts w:cstheme="minorHAnsi"/>
        </w:rPr>
        <w:t xml:space="preserve"> (13,6 %) a </w:t>
      </w:r>
      <w:r w:rsidRPr="002B1F18">
        <w:rPr>
          <w:rFonts w:cstheme="minorHAnsi"/>
          <w:b/>
          <w:i/>
        </w:rPr>
        <w:t xml:space="preserve">Technika, výroba a stavebnictví </w:t>
      </w:r>
      <w:r>
        <w:rPr>
          <w:rFonts w:cstheme="minorHAnsi"/>
        </w:rPr>
        <w:t>(13,3 %). Ostatní skupiny oborů studoval ve veřejných školách 10% a nižší podíl studentů, nejnižší zaznamenaly obory ze skupiny Služ</w:t>
      </w:r>
      <w:r w:rsidR="00BA3EFD">
        <w:rPr>
          <w:rFonts w:cstheme="minorHAnsi"/>
        </w:rPr>
        <w:t>eb</w:t>
      </w:r>
      <w:r>
        <w:rPr>
          <w:rFonts w:cstheme="minorHAnsi"/>
        </w:rPr>
        <w:t xml:space="preserve"> (3,6 %) a Zemědělství, lesnictví, rybářství a veterinářství (4,2 %).</w:t>
      </w:r>
      <w:r w:rsidR="00C05A8D">
        <w:rPr>
          <w:rFonts w:cstheme="minorHAnsi"/>
        </w:rPr>
        <w:t xml:space="preserve">  </w:t>
      </w:r>
    </w:p>
    <w:p w14:paraId="680AEA39" w14:textId="083191BF" w:rsidR="00C87804" w:rsidRPr="00901ECC" w:rsidRDefault="00C87804" w:rsidP="00C87804">
      <w:pPr>
        <w:keepNext/>
        <w:spacing w:after="120"/>
        <w:jc w:val="both"/>
      </w:pPr>
      <w:r>
        <w:rPr>
          <w:b/>
        </w:rPr>
        <w:t xml:space="preserve">Graf č. </w:t>
      </w:r>
      <w:r w:rsidR="00A3697D">
        <w:rPr>
          <w:b/>
        </w:rPr>
        <w:t>1.24</w:t>
      </w:r>
      <w:r w:rsidRPr="00F302E8">
        <w:rPr>
          <w:b/>
        </w:rPr>
        <w:t xml:space="preserve"> </w:t>
      </w:r>
      <w:r w:rsidR="00A3697D" w:rsidRPr="00A3697D">
        <w:rPr>
          <w:b/>
        </w:rPr>
        <w:t>P</w:t>
      </w:r>
      <w:r w:rsidRPr="00A3697D">
        <w:rPr>
          <w:b/>
        </w:rPr>
        <w:t>odíl ze studentů veřejných VŠ a ze studentů soukromých VŠ navštěvujících jednotlivé skupiny oborů (2022)</w:t>
      </w:r>
    </w:p>
    <w:p w14:paraId="05C8802D" w14:textId="77777777" w:rsidR="00C87804" w:rsidRPr="00617AD1" w:rsidRDefault="00C87804" w:rsidP="00C87804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47121E99" wp14:editId="4621869E">
            <wp:extent cx="5760720" cy="3552825"/>
            <wp:effectExtent l="0" t="0" r="11430" b="9525"/>
            <wp:docPr id="34" name="Graf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7E9EE4C" w14:textId="77777777" w:rsidR="00C87804" w:rsidRPr="00736B5D" w:rsidRDefault="00C87804" w:rsidP="00C87804">
      <w:pPr>
        <w:spacing w:before="120" w:after="120" w:line="240" w:lineRule="auto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6467E367" w14:textId="49593424" w:rsidR="00C87804" w:rsidRDefault="00C87804" w:rsidP="00CD352E">
      <w:pPr>
        <w:ind w:firstLine="284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Je také možné se podívat, </w:t>
      </w:r>
      <w:r w:rsidRPr="00FA3120">
        <w:rPr>
          <w:rFonts w:cstheme="minorHAnsi"/>
          <w:b/>
        </w:rPr>
        <w:t xml:space="preserve">kde studenti veřejných a soukromých </w:t>
      </w:r>
      <w:r w:rsidR="00640BE5">
        <w:rPr>
          <w:rFonts w:cstheme="minorHAnsi"/>
          <w:b/>
        </w:rPr>
        <w:t xml:space="preserve">vysokých </w:t>
      </w:r>
      <w:r w:rsidRPr="00FA3120">
        <w:rPr>
          <w:rFonts w:cstheme="minorHAnsi"/>
          <w:b/>
        </w:rPr>
        <w:t>škol studují</w:t>
      </w:r>
      <w:r>
        <w:rPr>
          <w:rFonts w:cstheme="minorHAnsi"/>
        </w:rPr>
        <w:t xml:space="preserve">. V tomto ohledu je třeba konstatovat, že téměř čtyři pětiny studentů </w:t>
      </w:r>
      <w:r w:rsidRPr="00F813B5">
        <w:rPr>
          <w:rFonts w:cstheme="minorHAnsi"/>
          <w:b/>
        </w:rPr>
        <w:t>soukromých</w:t>
      </w:r>
      <w:r>
        <w:rPr>
          <w:rFonts w:cstheme="minorHAnsi"/>
        </w:rPr>
        <w:t xml:space="preserve"> vysokých škol studovaly v roce 2022 v Praze (78,6 %) a další téměř desetina v Brně (8,7 %). Ostatní města, kde probíhá výuka v soukromých vysokých školách, již zaznamenaly méně než 3 % studentů. Hlavní města, kde se vzdělávají studenti vysokých škol </w:t>
      </w:r>
      <w:r w:rsidRPr="00892C1C">
        <w:rPr>
          <w:rFonts w:cstheme="minorHAnsi"/>
          <w:b/>
        </w:rPr>
        <w:t>veřejných</w:t>
      </w:r>
      <w:r>
        <w:rPr>
          <w:rFonts w:cstheme="minorHAnsi"/>
        </w:rPr>
        <w:t xml:space="preserve">, ukazuje graf č. </w:t>
      </w:r>
      <w:r w:rsidR="00DB49EE">
        <w:rPr>
          <w:rFonts w:cstheme="minorHAnsi"/>
        </w:rPr>
        <w:t>1.25</w:t>
      </w:r>
      <w:r>
        <w:rPr>
          <w:rFonts w:cstheme="minorHAnsi"/>
        </w:rPr>
        <w:t>.</w:t>
      </w:r>
    </w:p>
    <w:p w14:paraId="008BC1C2" w14:textId="15748AB6" w:rsidR="00C87804" w:rsidRPr="00A3697D" w:rsidRDefault="00C87804" w:rsidP="00C87804">
      <w:pPr>
        <w:keepNext/>
        <w:spacing w:after="120"/>
        <w:jc w:val="both"/>
        <w:rPr>
          <w:b/>
        </w:rPr>
      </w:pPr>
      <w:r>
        <w:rPr>
          <w:b/>
        </w:rPr>
        <w:t xml:space="preserve">Graf č. </w:t>
      </w:r>
      <w:r w:rsidR="00A3697D">
        <w:rPr>
          <w:b/>
        </w:rPr>
        <w:t>1.25</w:t>
      </w:r>
      <w:r w:rsidRPr="00F302E8">
        <w:rPr>
          <w:b/>
        </w:rPr>
        <w:t xml:space="preserve"> </w:t>
      </w:r>
      <w:r w:rsidR="00A3697D">
        <w:rPr>
          <w:b/>
        </w:rPr>
        <w:t>Podíl ze studentů veřejných vysokých</w:t>
      </w:r>
      <w:r w:rsidRPr="00A3697D">
        <w:rPr>
          <w:b/>
        </w:rPr>
        <w:t xml:space="preserve"> v nejčastějších místech studia (2022)</w:t>
      </w:r>
    </w:p>
    <w:p w14:paraId="0C94F311" w14:textId="77777777" w:rsidR="00C87804" w:rsidRDefault="00C87804" w:rsidP="00C87804">
      <w:pPr>
        <w:rPr>
          <w:rFonts w:cstheme="minorHAnsi"/>
        </w:rPr>
      </w:pPr>
      <w:r>
        <w:rPr>
          <w:noProof/>
        </w:rPr>
        <w:drawing>
          <wp:inline distT="0" distB="0" distL="0" distR="0" wp14:anchorId="54FD65CE" wp14:editId="6E5E020E">
            <wp:extent cx="5760720" cy="3200400"/>
            <wp:effectExtent l="0" t="0" r="11430" b="0"/>
            <wp:docPr id="36" name="Graf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93D8082" w14:textId="77777777" w:rsidR="00C87804" w:rsidRDefault="00C87804" w:rsidP="007457B0">
      <w:pPr>
        <w:spacing w:after="120" w:line="240" w:lineRule="auto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5777DC72" w14:textId="756DAE97" w:rsidR="00C87804" w:rsidRPr="00736B5D" w:rsidRDefault="00C87804" w:rsidP="00CD352E">
      <w:pPr>
        <w:ind w:firstLine="284"/>
        <w:jc w:val="both"/>
        <w:rPr>
          <w:rFonts w:cstheme="minorHAnsi"/>
        </w:rPr>
      </w:pPr>
      <w:r>
        <w:rPr>
          <w:rFonts w:cstheme="minorHAnsi"/>
        </w:rPr>
        <w:t xml:space="preserve">Celkem 36,1 % studentů </w:t>
      </w:r>
      <w:r w:rsidRPr="00892C1C">
        <w:rPr>
          <w:rFonts w:cstheme="minorHAnsi"/>
        </w:rPr>
        <w:t>veřejných</w:t>
      </w:r>
      <w:r>
        <w:rPr>
          <w:rFonts w:cstheme="minorHAnsi"/>
        </w:rPr>
        <w:t xml:space="preserve"> vysokýc</w:t>
      </w:r>
      <w:r w:rsidR="00892C1C">
        <w:rPr>
          <w:rFonts w:cstheme="minorHAnsi"/>
        </w:rPr>
        <w:t>h škol se v roce 2022 vzdělávala</w:t>
      </w:r>
      <w:r>
        <w:rPr>
          <w:rFonts w:cstheme="minorHAnsi"/>
        </w:rPr>
        <w:t xml:space="preserve"> v Praze a 21,8 % v Brně. Následuje Olomouc s 8,2 % studenty veřejných vysokých škol, a Ostrava (7 %). V ostatních městech se vzdělávalo již méně než 5 % studentů veřejných vysokých škol. Přes jednoznačnou převahu studentů veřejných vysokých škol vzdělávajících se v Praze a v Brně lze konstatovat, že veřejné vysoké školy jsou v České republice rozmístěny </w:t>
      </w:r>
      <w:r w:rsidR="006F3F8B">
        <w:rPr>
          <w:rFonts w:cstheme="minorHAnsi"/>
        </w:rPr>
        <w:t>mnohem</w:t>
      </w:r>
      <w:r>
        <w:rPr>
          <w:rFonts w:cstheme="minorHAnsi"/>
        </w:rPr>
        <w:t xml:space="preserve"> rovnoměrněji než soukromé. </w:t>
      </w:r>
    </w:p>
    <w:p w14:paraId="2C50E213" w14:textId="51D1DC0E" w:rsidR="00C87804" w:rsidRPr="00BE41DD" w:rsidRDefault="00777562" w:rsidP="009C1D00">
      <w:pPr>
        <w:pStyle w:val="Nadpis2"/>
        <w:spacing w:after="120"/>
      </w:pPr>
      <w:bookmarkStart w:id="7" w:name="_Toc135224484"/>
      <w:r w:rsidRPr="00BE41DD">
        <w:t xml:space="preserve">1.5 </w:t>
      </w:r>
      <w:r w:rsidR="00C87804" w:rsidRPr="00BE41DD">
        <w:t>Rozdíly mezi studenty jednotlivých skupin oborů vzdělávání</w:t>
      </w:r>
      <w:bookmarkEnd w:id="7"/>
    </w:p>
    <w:p w14:paraId="35FDB284" w14:textId="2818C803" w:rsidR="00C87804" w:rsidRDefault="00DB49EE" w:rsidP="00CD352E">
      <w:pPr>
        <w:ind w:firstLine="284"/>
        <w:jc w:val="both"/>
      </w:pPr>
      <w:r>
        <w:t xml:space="preserve">Mezi jednotlivými </w:t>
      </w:r>
      <w:r w:rsidR="002F25E2">
        <w:t>skupinami studijních oborů</w:t>
      </w:r>
      <w:r>
        <w:t xml:space="preserve"> najdeme rozdíly v zastoupení mužů a žen</w:t>
      </w:r>
      <w:r w:rsidR="00C87804">
        <w:t xml:space="preserve">. V roce 2022 byly mezi studenty oborů ze skupiny </w:t>
      </w:r>
      <w:r w:rsidR="00C87804" w:rsidRPr="00357F4C">
        <w:rPr>
          <w:b/>
          <w:i/>
        </w:rPr>
        <w:t>Informační a komunikační technologie</w:t>
      </w:r>
      <w:r w:rsidR="00C87804">
        <w:t xml:space="preserve"> více než čtyři pětiny </w:t>
      </w:r>
      <w:r w:rsidR="00C87804" w:rsidRPr="00357F4C">
        <w:rPr>
          <w:b/>
        </w:rPr>
        <w:t>mužů</w:t>
      </w:r>
      <w:r w:rsidR="00444A15">
        <w:t xml:space="preserve"> (82,2 %) </w:t>
      </w:r>
      <w:r w:rsidR="00C87804">
        <w:t xml:space="preserve">a nadpoloviční většinu mužů najdeme i ve skupině oborů </w:t>
      </w:r>
      <w:r w:rsidR="00C87804" w:rsidRPr="00357F4C">
        <w:rPr>
          <w:b/>
          <w:i/>
        </w:rPr>
        <w:t>technika, výroba a stavebnictví</w:t>
      </w:r>
      <w:r w:rsidR="00C87804">
        <w:t xml:space="preserve"> (71,5 %) a </w:t>
      </w:r>
      <w:r w:rsidR="00C87804" w:rsidRPr="00357F4C">
        <w:rPr>
          <w:b/>
        </w:rPr>
        <w:t>Služby</w:t>
      </w:r>
      <w:r w:rsidR="00C87804">
        <w:t xml:space="preserve"> (55,7 %). </w:t>
      </w:r>
    </w:p>
    <w:p w14:paraId="60B653F5" w14:textId="77777777" w:rsidR="00C87804" w:rsidRDefault="00C87804" w:rsidP="00CD352E">
      <w:pPr>
        <w:ind w:firstLine="284"/>
        <w:jc w:val="both"/>
      </w:pPr>
      <w:r>
        <w:t xml:space="preserve">Naopak mezi studenty skupiny oborů </w:t>
      </w:r>
      <w:r w:rsidRPr="00357F4C">
        <w:rPr>
          <w:b/>
          <w:i/>
        </w:rPr>
        <w:t>Vzdělávání a výchova</w:t>
      </w:r>
      <w:r>
        <w:t xml:space="preserve"> byla 77,1 % </w:t>
      </w:r>
      <w:r w:rsidRPr="00357F4C">
        <w:rPr>
          <w:b/>
        </w:rPr>
        <w:t>žen</w:t>
      </w:r>
      <w:r>
        <w:t xml:space="preserve"> a více než tři pětiny jich byly také ve skupinách oborů </w:t>
      </w:r>
      <w:r w:rsidRPr="00357F4C">
        <w:rPr>
          <w:b/>
          <w:i/>
        </w:rPr>
        <w:t>zdravotnických</w:t>
      </w:r>
      <w:r>
        <w:t xml:space="preserve"> (73,4 %), </w:t>
      </w:r>
      <w:r w:rsidRPr="00357F4C">
        <w:rPr>
          <w:b/>
          <w:i/>
        </w:rPr>
        <w:t>uměleckých a humanitních</w:t>
      </w:r>
      <w:r>
        <w:t xml:space="preserve"> (66,3 %), oborů spadajících do skupiny </w:t>
      </w:r>
      <w:r w:rsidRPr="00357F4C">
        <w:rPr>
          <w:b/>
          <w:i/>
        </w:rPr>
        <w:t>Zemědělství, lesnictví, rybářství a veterinářství</w:t>
      </w:r>
      <w:r>
        <w:t xml:space="preserve"> (62,2 %) a </w:t>
      </w:r>
      <w:r w:rsidRPr="00357F4C">
        <w:rPr>
          <w:b/>
          <w:i/>
        </w:rPr>
        <w:t>Společenských věd, žurnalistiky a informačních věd</w:t>
      </w:r>
      <w:r>
        <w:t xml:space="preserve"> (61,9 %). </w:t>
      </w:r>
    </w:p>
    <w:p w14:paraId="4DBFCE52" w14:textId="3F2EAD34" w:rsidR="00C87804" w:rsidRDefault="00C87804" w:rsidP="00CD352E">
      <w:pPr>
        <w:ind w:firstLine="284"/>
        <w:jc w:val="both"/>
      </w:pPr>
      <w:r>
        <w:t>Ve skupinách oborů Ob</w:t>
      </w:r>
      <w:r w:rsidR="0054624A">
        <w:t xml:space="preserve">chod, administrativa a právo </w:t>
      </w:r>
      <w:r>
        <w:t>byl podíl žen a mužů nejvyrovnanější</w:t>
      </w:r>
      <w:r w:rsidR="00892C1C">
        <w:t>, přestože s nadpoloviční převahou žen</w:t>
      </w:r>
      <w:r>
        <w:t xml:space="preserve"> – viz graf č. </w:t>
      </w:r>
      <w:r w:rsidR="00F813B5">
        <w:t>1.26</w:t>
      </w:r>
      <w:r>
        <w:t>.</w:t>
      </w:r>
    </w:p>
    <w:p w14:paraId="525B0458" w14:textId="50879B73" w:rsidR="00C87804" w:rsidRPr="008B50F2" w:rsidRDefault="00C87804" w:rsidP="0054624A">
      <w:pPr>
        <w:keepNext/>
        <w:spacing w:after="120" w:line="240" w:lineRule="auto"/>
        <w:jc w:val="both"/>
        <w:rPr>
          <w:b/>
        </w:rPr>
      </w:pPr>
      <w:r>
        <w:lastRenderedPageBreak/>
        <w:t xml:space="preserve"> </w:t>
      </w:r>
      <w:r w:rsidR="00A3697D">
        <w:rPr>
          <w:b/>
        </w:rPr>
        <w:t>Graf č. 1.26</w:t>
      </w:r>
      <w:r w:rsidRPr="00B63BF0">
        <w:rPr>
          <w:b/>
        </w:rPr>
        <w:t xml:space="preserve"> Podíl studentů </w:t>
      </w:r>
      <w:r>
        <w:rPr>
          <w:b/>
        </w:rPr>
        <w:t>mužů a studentek žen v jednotlivých</w:t>
      </w:r>
      <w:r w:rsidRPr="00B63BF0">
        <w:rPr>
          <w:b/>
        </w:rPr>
        <w:t xml:space="preserve"> skupi</w:t>
      </w:r>
      <w:r>
        <w:rPr>
          <w:b/>
        </w:rPr>
        <w:t>nách</w:t>
      </w:r>
      <w:r w:rsidRPr="00B63BF0">
        <w:rPr>
          <w:b/>
        </w:rPr>
        <w:t xml:space="preserve"> oborů vzdělávání </w:t>
      </w:r>
    </w:p>
    <w:p w14:paraId="08C274AC" w14:textId="77777777" w:rsidR="00C87804" w:rsidRDefault="00C87804" w:rsidP="00534AEB">
      <w:pPr>
        <w:spacing w:after="120"/>
        <w:jc w:val="both"/>
      </w:pPr>
      <w:r>
        <w:rPr>
          <w:noProof/>
        </w:rPr>
        <w:drawing>
          <wp:inline distT="0" distB="0" distL="0" distR="0" wp14:anchorId="20202C0F" wp14:editId="5867E67C">
            <wp:extent cx="5791200" cy="2943225"/>
            <wp:effectExtent l="0" t="0" r="0" b="9525"/>
            <wp:docPr id="38" name="Graf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7028FA7" w14:textId="77777777" w:rsidR="00C87804" w:rsidRPr="00357F4C" w:rsidRDefault="00C87804" w:rsidP="00444A15">
      <w:pPr>
        <w:spacing w:after="0"/>
        <w:jc w:val="right"/>
        <w:rPr>
          <w:sz w:val="18"/>
          <w:szCs w:val="18"/>
        </w:rPr>
      </w:pPr>
      <w:r w:rsidRPr="00357F4C">
        <w:rPr>
          <w:sz w:val="18"/>
          <w:szCs w:val="18"/>
        </w:rPr>
        <w:t>Zdroj dat: MŠMT</w:t>
      </w:r>
    </w:p>
    <w:p w14:paraId="284DB0BE" w14:textId="77777777" w:rsidR="00C87804" w:rsidRPr="00F56F38" w:rsidRDefault="00C87804" w:rsidP="00C87804">
      <w:pPr>
        <w:spacing w:after="0" w:line="240" w:lineRule="auto"/>
        <w:jc w:val="right"/>
      </w:pPr>
    </w:p>
    <w:p w14:paraId="47822FE8" w14:textId="2C6E5574" w:rsidR="00C87804" w:rsidRPr="00F56F38" w:rsidRDefault="00C87804" w:rsidP="00494CF0">
      <w:pPr>
        <w:ind w:firstLine="284"/>
        <w:jc w:val="both"/>
      </w:pPr>
      <w:r w:rsidRPr="00F56F38">
        <w:t xml:space="preserve">Informaci o </w:t>
      </w:r>
      <w:r>
        <w:t xml:space="preserve">podílu mužů a žen v jednotlivých oborech vzdělávání lze doplnit o informaci o </w:t>
      </w:r>
      <w:r w:rsidRPr="00357F4C">
        <w:rPr>
          <w:b/>
        </w:rPr>
        <w:t>podílu Čechů a cizinců</w:t>
      </w:r>
      <w:r>
        <w:t xml:space="preserve"> – viz graf č. </w:t>
      </w:r>
      <w:r w:rsidR="000A1E61">
        <w:t>1.27</w:t>
      </w:r>
      <w:r>
        <w:t xml:space="preserve">. </w:t>
      </w:r>
    </w:p>
    <w:p w14:paraId="6874AAAD" w14:textId="27783556" w:rsidR="00C87804" w:rsidRPr="00F56F38" w:rsidRDefault="00C87804" w:rsidP="00DE79DA">
      <w:pPr>
        <w:keepNext/>
        <w:spacing w:line="240" w:lineRule="auto"/>
        <w:jc w:val="both"/>
        <w:rPr>
          <w:b/>
        </w:rPr>
      </w:pPr>
      <w:r>
        <w:rPr>
          <w:b/>
        </w:rPr>
        <w:t xml:space="preserve">Graf č. </w:t>
      </w:r>
      <w:r w:rsidR="00A3697D">
        <w:rPr>
          <w:b/>
        </w:rPr>
        <w:t>1.27</w:t>
      </w:r>
      <w:r w:rsidRPr="00B63BF0">
        <w:rPr>
          <w:b/>
        </w:rPr>
        <w:t xml:space="preserve"> Podíl studentů </w:t>
      </w:r>
      <w:r w:rsidR="00DE79DA">
        <w:rPr>
          <w:b/>
        </w:rPr>
        <w:t>české a cizí státní příslušnosti v jednotlivých</w:t>
      </w:r>
      <w:r w:rsidRPr="00B63BF0">
        <w:rPr>
          <w:b/>
        </w:rPr>
        <w:t xml:space="preserve"> skupi</w:t>
      </w:r>
      <w:r>
        <w:rPr>
          <w:b/>
        </w:rPr>
        <w:t>nách</w:t>
      </w:r>
      <w:r w:rsidRPr="00B63BF0">
        <w:rPr>
          <w:b/>
        </w:rPr>
        <w:t xml:space="preserve"> oborů vzdělávání </w:t>
      </w:r>
    </w:p>
    <w:p w14:paraId="5EC48F0E" w14:textId="77777777" w:rsidR="00C87804" w:rsidRDefault="00C87804" w:rsidP="00C87804">
      <w:pPr>
        <w:spacing w:after="0" w:line="240" w:lineRule="auto"/>
        <w:jc w:val="right"/>
        <w:rPr>
          <w:rFonts w:cs="Arial"/>
          <w:sz w:val="18"/>
          <w:szCs w:val="18"/>
        </w:rPr>
      </w:pPr>
      <w:r>
        <w:rPr>
          <w:noProof/>
        </w:rPr>
        <w:drawing>
          <wp:inline distT="0" distB="0" distL="0" distR="0" wp14:anchorId="75BBC698" wp14:editId="0C6D32CE">
            <wp:extent cx="5734050" cy="3228975"/>
            <wp:effectExtent l="0" t="0" r="0" b="9525"/>
            <wp:docPr id="39" name="Graf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5B0EE9E" w14:textId="26790485" w:rsidR="00C87804" w:rsidRDefault="00C87804" w:rsidP="007457B0">
      <w:pPr>
        <w:spacing w:before="120" w:after="120" w:line="240" w:lineRule="auto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0BAF2515" w14:textId="1FFC6E01" w:rsidR="00A42E8C" w:rsidRPr="00357F4C" w:rsidRDefault="00A42E8C" w:rsidP="00A42E8C">
      <w:pPr>
        <w:jc w:val="both"/>
        <w:rPr>
          <w:rFonts w:cs="Arial"/>
          <w:sz w:val="18"/>
          <w:szCs w:val="18"/>
        </w:rPr>
      </w:pPr>
      <w:r w:rsidRPr="008A4219">
        <w:rPr>
          <w:rFonts w:cs="Arial"/>
          <w:sz w:val="18"/>
          <w:szCs w:val="18"/>
        </w:rPr>
        <w:t>Pozn.: Součet podílů studentů</w:t>
      </w:r>
      <w:r>
        <w:rPr>
          <w:rFonts w:cs="Arial"/>
          <w:sz w:val="18"/>
          <w:szCs w:val="18"/>
        </w:rPr>
        <w:t xml:space="preserve"> české a cizí státní příslušnosti zapsaných v jednotliv</w:t>
      </w:r>
      <w:r w:rsidR="00444A15">
        <w:rPr>
          <w:rFonts w:cs="Arial"/>
          <w:sz w:val="18"/>
          <w:szCs w:val="18"/>
        </w:rPr>
        <w:t xml:space="preserve">ých skupinách oborů vzdělávání </w:t>
      </w:r>
      <w:r>
        <w:rPr>
          <w:rFonts w:cs="Arial"/>
          <w:sz w:val="18"/>
          <w:szCs w:val="18"/>
        </w:rPr>
        <w:t xml:space="preserve">může být </w:t>
      </w:r>
      <w:r w:rsidRPr="008A4219">
        <w:rPr>
          <w:rFonts w:cs="Arial"/>
          <w:sz w:val="18"/>
          <w:szCs w:val="18"/>
        </w:rPr>
        <w:t xml:space="preserve">mírně vyšší než 100 %, protože jeden student může </w:t>
      </w:r>
      <w:r>
        <w:rPr>
          <w:rFonts w:cs="Arial"/>
          <w:sz w:val="18"/>
          <w:szCs w:val="18"/>
        </w:rPr>
        <w:t>být veden pod českým i cizím státním občanstvím</w:t>
      </w:r>
      <w:r w:rsidRPr="008A4219">
        <w:rPr>
          <w:rFonts w:cs="Arial"/>
          <w:sz w:val="18"/>
          <w:szCs w:val="18"/>
        </w:rPr>
        <w:t xml:space="preserve">. Pro </w:t>
      </w:r>
      <w:r>
        <w:rPr>
          <w:rFonts w:cs="Arial"/>
          <w:sz w:val="18"/>
          <w:szCs w:val="18"/>
        </w:rPr>
        <w:t>přehlednější</w:t>
      </w:r>
      <w:r w:rsidRPr="008A4219">
        <w:rPr>
          <w:rFonts w:cs="Arial"/>
          <w:sz w:val="18"/>
          <w:szCs w:val="18"/>
        </w:rPr>
        <w:t xml:space="preserve"> vyjádření </w:t>
      </w:r>
      <w:r>
        <w:rPr>
          <w:rFonts w:cs="Arial"/>
          <w:sz w:val="18"/>
          <w:szCs w:val="18"/>
        </w:rPr>
        <w:t>je však podíl Čechů a cizinců za danou skupinu oborů</w:t>
      </w:r>
      <w:r w:rsidRPr="008A4219">
        <w:rPr>
          <w:rFonts w:cs="Arial"/>
          <w:sz w:val="18"/>
          <w:szCs w:val="18"/>
        </w:rPr>
        <w:t xml:space="preserve"> jen v jednom </w:t>
      </w:r>
      <w:r>
        <w:rPr>
          <w:rFonts w:cs="Arial"/>
          <w:sz w:val="18"/>
          <w:szCs w:val="18"/>
        </w:rPr>
        <w:t>řádku.</w:t>
      </w:r>
    </w:p>
    <w:p w14:paraId="5FBEF7C4" w14:textId="56899EEA" w:rsidR="00C87804" w:rsidRDefault="002C028D" w:rsidP="00494CF0">
      <w:pPr>
        <w:ind w:firstLine="284"/>
        <w:jc w:val="both"/>
      </w:pPr>
      <w:r>
        <w:lastRenderedPageBreak/>
        <w:t>Spojíme-li informaci o podílu Čechů a cizinců s informací o podílu mužů a žen,</w:t>
      </w:r>
      <w:r w:rsidR="00C87804">
        <w:t xml:space="preserve"> lze říci, že ve skupině oborů </w:t>
      </w:r>
      <w:r w:rsidR="00C87804" w:rsidRPr="00357F4C">
        <w:rPr>
          <w:b/>
          <w:i/>
        </w:rPr>
        <w:t>Vzdělávání a výchova</w:t>
      </w:r>
      <w:r w:rsidR="00C87804">
        <w:t xml:space="preserve"> byl nejen nejvyšší podíl žen, ale zároveň 97,5 % studentů tvořili občané České republiky, tj. nejvyšší podíl ze všech skupin oborů. Typickým studentem byla tedy žena české státní příslušnosti. Druhý nejnižší (10%) podíl cizinců byl ve skupině oborů </w:t>
      </w:r>
      <w:r w:rsidR="00C87804" w:rsidRPr="001C1F5E">
        <w:rPr>
          <w:b/>
          <w:i/>
        </w:rPr>
        <w:t>Služeb</w:t>
      </w:r>
      <w:r w:rsidR="00C87804">
        <w:t>.</w:t>
      </w:r>
    </w:p>
    <w:p w14:paraId="3C340846" w14:textId="5C23CA5A" w:rsidR="00C87804" w:rsidRDefault="00C87804" w:rsidP="00494CF0">
      <w:pPr>
        <w:spacing w:after="120"/>
        <w:ind w:firstLine="284"/>
        <w:jc w:val="both"/>
      </w:pPr>
      <w:r>
        <w:t xml:space="preserve">Jak bylo výše také uvedeno, druhou skupinou oborů s nejvyšším podílem žen byla skupina </w:t>
      </w:r>
      <w:r w:rsidRPr="001C1F5E">
        <w:rPr>
          <w:b/>
          <w:i/>
        </w:rPr>
        <w:t>zdravotnických oborů</w:t>
      </w:r>
      <w:r>
        <w:t xml:space="preserve">, kde byl zároveň druhý nejvyšší podíl cizinců (22,7 %). Podobného podílu cizinců však dosáhla také skupina oborů </w:t>
      </w:r>
      <w:r w:rsidRPr="001C1F5E">
        <w:rPr>
          <w:b/>
          <w:i/>
        </w:rPr>
        <w:t>přírodních věd, matematiky a statistiky</w:t>
      </w:r>
      <w:r>
        <w:t xml:space="preserve"> (22,5 %).  Nejvyšší podíl cizinců (téměř třeti</w:t>
      </w:r>
      <w:r w:rsidR="00892C1C">
        <w:t>na) byl</w:t>
      </w:r>
      <w:r>
        <w:t xml:space="preserve"> ve skupině oborů </w:t>
      </w:r>
      <w:r w:rsidRPr="001C1F5E">
        <w:rPr>
          <w:b/>
          <w:i/>
        </w:rPr>
        <w:t>informačních a komunikačních technologií</w:t>
      </w:r>
      <w:r>
        <w:t xml:space="preserve">, </w:t>
      </w:r>
      <w:r w:rsidR="00892C1C">
        <w:t>která</w:t>
      </w:r>
      <w:r>
        <w:t xml:space="preserve"> zároveň </w:t>
      </w:r>
      <w:r w:rsidR="00892C1C">
        <w:t>zaznamenala</w:t>
      </w:r>
      <w:r>
        <w:t xml:space="preserve"> nejvyšší podíl mužů.  </w:t>
      </w:r>
    </w:p>
    <w:p w14:paraId="332E38C0" w14:textId="410481DD" w:rsidR="00C87804" w:rsidRDefault="00C87804" w:rsidP="00494CF0">
      <w:pPr>
        <w:spacing w:after="120"/>
        <w:ind w:firstLine="284"/>
        <w:jc w:val="both"/>
      </w:pPr>
      <w:r>
        <w:t xml:space="preserve">Jednotlivé skupiny oborů se liší v míře zastoupení studentů </w:t>
      </w:r>
      <w:r w:rsidRPr="00BE6484">
        <w:rPr>
          <w:b/>
        </w:rPr>
        <w:t>jednotlivých studijních programů</w:t>
      </w:r>
      <w:r>
        <w:t xml:space="preserve">. Zatímco mezi studenty oborů ze skupiny </w:t>
      </w:r>
      <w:r>
        <w:rPr>
          <w:b/>
          <w:i/>
        </w:rPr>
        <w:t>P</w:t>
      </w:r>
      <w:r w:rsidRPr="001C1F5E">
        <w:rPr>
          <w:b/>
          <w:i/>
        </w:rPr>
        <w:t>řírodních věd, matematiky a statistiky</w:t>
      </w:r>
      <w:r>
        <w:t xml:space="preserve"> byla pětina doktorandů, ve skupině oborů </w:t>
      </w:r>
      <w:r w:rsidRPr="001C1F5E">
        <w:rPr>
          <w:b/>
          <w:i/>
        </w:rPr>
        <w:t>Vzdělávání a výchov</w:t>
      </w:r>
      <w:r>
        <w:t xml:space="preserve">a studovalo doktorské programy jen 1,8 % studentů. Ve skupině oborů </w:t>
      </w:r>
      <w:r w:rsidRPr="001C1F5E">
        <w:rPr>
          <w:b/>
          <w:i/>
        </w:rPr>
        <w:t>Zdravotní a sociální péče</w:t>
      </w:r>
      <w:r>
        <w:t xml:space="preserve"> se nadpoloviční většina studentů vzdělávala v magisterských oborech (53,5 %), naopak ve skupině oborů </w:t>
      </w:r>
      <w:r w:rsidRPr="001C1F5E">
        <w:rPr>
          <w:b/>
          <w:i/>
        </w:rPr>
        <w:t>Služeb</w:t>
      </w:r>
      <w:r>
        <w:t xml:space="preserve"> činil podíl studentů magisterských oborů jen pětinu (20,9 %) a </w:t>
      </w:r>
      <w:r w:rsidR="002832E2">
        <w:t xml:space="preserve">více než </w:t>
      </w:r>
      <w:r>
        <w:t xml:space="preserve">tři čtvrtiny studentů tvořili ti zapsaní v bakalářských oborech (76,1 %). Jen o něco menší podíl studentů bakalářských oborů zaznamenala skupina oborů spadajících do </w:t>
      </w:r>
      <w:r w:rsidRPr="001C1F5E">
        <w:rPr>
          <w:b/>
          <w:i/>
        </w:rPr>
        <w:t>Informačních a komunikačních technologií</w:t>
      </w:r>
      <w:r>
        <w:t xml:space="preserve"> (73,2 %). </w:t>
      </w:r>
    </w:p>
    <w:p w14:paraId="0F43F6FE" w14:textId="267FFAB4" w:rsidR="00C87804" w:rsidRPr="00B63BF0" w:rsidRDefault="00C87804" w:rsidP="002E0D52">
      <w:pPr>
        <w:spacing w:line="240" w:lineRule="auto"/>
        <w:jc w:val="both"/>
        <w:rPr>
          <w:b/>
        </w:rPr>
      </w:pPr>
      <w:r>
        <w:rPr>
          <w:b/>
        </w:rPr>
        <w:t xml:space="preserve">Graf č. </w:t>
      </w:r>
      <w:r w:rsidR="00A3697D">
        <w:rPr>
          <w:b/>
        </w:rPr>
        <w:t>1.28</w:t>
      </w:r>
      <w:r w:rsidRPr="00B63BF0">
        <w:rPr>
          <w:b/>
        </w:rPr>
        <w:t xml:space="preserve"> Podíl studentů jednotlivých studijních programů dle skupiny oborů vzdělávání </w:t>
      </w:r>
      <w:r>
        <w:rPr>
          <w:b/>
        </w:rPr>
        <w:t>(2022)</w:t>
      </w:r>
    </w:p>
    <w:p w14:paraId="3D672E90" w14:textId="77777777" w:rsidR="00C87804" w:rsidRDefault="00C87804" w:rsidP="00C074A8">
      <w:pPr>
        <w:spacing w:after="120"/>
      </w:pPr>
      <w:r>
        <w:rPr>
          <w:noProof/>
        </w:rPr>
        <w:drawing>
          <wp:inline distT="0" distB="0" distL="0" distR="0" wp14:anchorId="107C966B" wp14:editId="6F0546E1">
            <wp:extent cx="5838825" cy="3105150"/>
            <wp:effectExtent l="0" t="0" r="9525" b="0"/>
            <wp:docPr id="37" name="Graf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A721E4F" w14:textId="77777777" w:rsidR="00C87804" w:rsidRDefault="00C87804" w:rsidP="00C074A8">
      <w:pPr>
        <w:spacing w:after="120" w:line="240" w:lineRule="auto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470187ED" w14:textId="27BBC131" w:rsidR="00C87804" w:rsidRDefault="00C87804" w:rsidP="00C87804">
      <w:pPr>
        <w:jc w:val="both"/>
        <w:rPr>
          <w:rFonts w:cs="Arial"/>
          <w:sz w:val="18"/>
          <w:szCs w:val="18"/>
        </w:rPr>
      </w:pPr>
      <w:r w:rsidRPr="008A4219">
        <w:rPr>
          <w:rFonts w:cs="Arial"/>
          <w:sz w:val="18"/>
          <w:szCs w:val="18"/>
        </w:rPr>
        <w:t>Pozn.: Součet podílů studentů</w:t>
      </w:r>
      <w:r>
        <w:rPr>
          <w:rFonts w:cs="Arial"/>
          <w:sz w:val="18"/>
          <w:szCs w:val="18"/>
        </w:rPr>
        <w:t xml:space="preserve"> bakalářského, magisterského a doktorského studia zapsaných v jednotlivých </w:t>
      </w:r>
      <w:r w:rsidR="00DB49EE">
        <w:rPr>
          <w:rFonts w:cs="Arial"/>
          <w:sz w:val="18"/>
          <w:szCs w:val="18"/>
        </w:rPr>
        <w:t>skupinách oborů</w:t>
      </w:r>
      <w:r w:rsidR="00444A15">
        <w:rPr>
          <w:rFonts w:cs="Arial"/>
          <w:sz w:val="18"/>
          <w:szCs w:val="18"/>
        </w:rPr>
        <w:t xml:space="preserve"> vzdělávání </w:t>
      </w:r>
      <w:r>
        <w:rPr>
          <w:rFonts w:cs="Arial"/>
          <w:sz w:val="18"/>
          <w:szCs w:val="18"/>
        </w:rPr>
        <w:t xml:space="preserve">může být </w:t>
      </w:r>
      <w:r w:rsidRPr="008A4219">
        <w:rPr>
          <w:rFonts w:cs="Arial"/>
          <w:sz w:val="18"/>
          <w:szCs w:val="18"/>
        </w:rPr>
        <w:t xml:space="preserve">mírně vyšší než 100 %, protože jeden student může navštěvovat více studijních programů. Pro </w:t>
      </w:r>
      <w:r>
        <w:rPr>
          <w:rFonts w:cs="Arial"/>
          <w:sz w:val="18"/>
          <w:szCs w:val="18"/>
        </w:rPr>
        <w:t>přehlednější</w:t>
      </w:r>
      <w:r w:rsidRPr="008A4219">
        <w:rPr>
          <w:rFonts w:cs="Arial"/>
          <w:sz w:val="18"/>
          <w:szCs w:val="18"/>
        </w:rPr>
        <w:t xml:space="preserve"> vyjádření jsou však všechny podíly </w:t>
      </w:r>
      <w:r w:rsidR="00A42E8C">
        <w:rPr>
          <w:rFonts w:cs="Arial"/>
          <w:sz w:val="18"/>
          <w:szCs w:val="18"/>
        </w:rPr>
        <w:t xml:space="preserve">za danou skupinu oborů </w:t>
      </w:r>
      <w:r w:rsidR="00A42E8C" w:rsidRPr="00A42E8C">
        <w:rPr>
          <w:rFonts w:cs="Arial"/>
          <w:sz w:val="18"/>
          <w:szCs w:val="18"/>
        </w:rPr>
        <w:t>v jednom řádku</w:t>
      </w:r>
      <w:r>
        <w:rPr>
          <w:rFonts w:cs="Arial"/>
          <w:sz w:val="18"/>
          <w:szCs w:val="18"/>
        </w:rPr>
        <w:t>.</w:t>
      </w:r>
    </w:p>
    <w:p w14:paraId="20C87707" w14:textId="4D48499B" w:rsidR="00C87804" w:rsidRDefault="00C87804" w:rsidP="00494CF0">
      <w:pPr>
        <w:ind w:firstLine="284"/>
        <w:jc w:val="both"/>
      </w:pPr>
      <w:r>
        <w:t>V různých oborech může být zároveň odlišný podíl studentů v </w:t>
      </w:r>
      <w:r w:rsidRPr="00DD5F06">
        <w:t>prezenčním a distančním či kombinovaném studi</w:t>
      </w:r>
      <w:r w:rsidRPr="00DD5F06">
        <w:rPr>
          <w:b/>
        </w:rPr>
        <w:t>u</w:t>
      </w:r>
      <w:r>
        <w:t xml:space="preserve">. </w:t>
      </w:r>
      <w:r w:rsidR="00BA0993">
        <w:t>N</w:t>
      </w:r>
      <w:r>
        <w:t xml:space="preserve">ejvyšší zastoupení studentů </w:t>
      </w:r>
      <w:r w:rsidRPr="00DD5F06">
        <w:rPr>
          <w:b/>
        </w:rPr>
        <w:t>prezenčního</w:t>
      </w:r>
      <w:r>
        <w:t xml:space="preserve"> studia měla skupina oborů </w:t>
      </w:r>
      <w:r w:rsidRPr="00DD5F06">
        <w:rPr>
          <w:b/>
          <w:i/>
        </w:rPr>
        <w:t>Přírodní vědy, matematika a statistika</w:t>
      </w:r>
      <w:r>
        <w:t xml:space="preserve"> (91,8 %),</w:t>
      </w:r>
      <w:r w:rsidR="006F3F8B">
        <w:t xml:space="preserve"> která zároveň zaznamenala nejvyšší podíl doktorandů (viz výše). N</w:t>
      </w:r>
      <w:r>
        <w:t xml:space="preserve">ásleduje skupina oborů </w:t>
      </w:r>
      <w:r w:rsidRPr="00DD5F06">
        <w:rPr>
          <w:b/>
          <w:i/>
        </w:rPr>
        <w:t>Informačních a komunikačních technologií</w:t>
      </w:r>
      <w:r>
        <w:t xml:space="preserve"> (89,1 %). Na druhé straně nejvyšší podíl studentů </w:t>
      </w:r>
      <w:r w:rsidRPr="00DD5F06">
        <w:rPr>
          <w:b/>
        </w:rPr>
        <w:t>distančního či kombinovaného</w:t>
      </w:r>
      <w:r>
        <w:t xml:space="preserve"> studia byl ve skupině oborů </w:t>
      </w:r>
      <w:r w:rsidRPr="00DD5F06">
        <w:rPr>
          <w:b/>
          <w:i/>
        </w:rPr>
        <w:t>Služby</w:t>
      </w:r>
      <w:r>
        <w:t xml:space="preserve"> (38,6 %) a </w:t>
      </w:r>
      <w:r w:rsidRPr="00DD5F06">
        <w:rPr>
          <w:b/>
          <w:i/>
        </w:rPr>
        <w:t>Vzdělávání a výchova</w:t>
      </w:r>
      <w:r>
        <w:t xml:space="preserve"> (32,8 %)</w:t>
      </w:r>
      <w:r w:rsidR="006F3F8B">
        <w:t>, které patřily mezi ty s nejmenším podílem doktorandů</w:t>
      </w:r>
      <w:r>
        <w:t>.</w:t>
      </w:r>
    </w:p>
    <w:p w14:paraId="458AF88C" w14:textId="4AA19B67" w:rsidR="00C87804" w:rsidRPr="00D461BD" w:rsidRDefault="00C87804" w:rsidP="00C074A8">
      <w:pPr>
        <w:keepNext/>
        <w:spacing w:after="120"/>
        <w:jc w:val="both"/>
        <w:rPr>
          <w:b/>
        </w:rPr>
      </w:pPr>
      <w:r>
        <w:rPr>
          <w:b/>
        </w:rPr>
        <w:lastRenderedPageBreak/>
        <w:t xml:space="preserve">Graf č. </w:t>
      </w:r>
      <w:r w:rsidR="00A3697D">
        <w:rPr>
          <w:b/>
        </w:rPr>
        <w:t>1.29</w:t>
      </w:r>
      <w:r w:rsidRPr="00B63BF0">
        <w:rPr>
          <w:b/>
        </w:rPr>
        <w:t xml:space="preserve"> Podíl studentů </w:t>
      </w:r>
      <w:r>
        <w:rPr>
          <w:b/>
        </w:rPr>
        <w:t>v různých formách vzdělávání</w:t>
      </w:r>
      <w:r w:rsidRPr="00B63BF0">
        <w:rPr>
          <w:b/>
        </w:rPr>
        <w:t xml:space="preserve"> dle skupiny oborů vzdělávání</w:t>
      </w:r>
      <w:r>
        <w:rPr>
          <w:b/>
        </w:rPr>
        <w:t xml:space="preserve"> (2022)</w:t>
      </w:r>
    </w:p>
    <w:p w14:paraId="7F6DE4C1" w14:textId="77777777" w:rsidR="00C87804" w:rsidRDefault="00C87804" w:rsidP="00C074A8">
      <w:pPr>
        <w:spacing w:after="120"/>
      </w:pPr>
      <w:r>
        <w:rPr>
          <w:noProof/>
        </w:rPr>
        <w:drawing>
          <wp:inline distT="0" distB="0" distL="0" distR="0" wp14:anchorId="0FD41091" wp14:editId="0EAB1D41">
            <wp:extent cx="5734050" cy="2638425"/>
            <wp:effectExtent l="0" t="0" r="0" b="9525"/>
            <wp:docPr id="40" name="Graf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5EDAE69" w14:textId="77777777" w:rsidR="00C87804" w:rsidRDefault="00C87804" w:rsidP="00C074A8">
      <w:pPr>
        <w:spacing w:after="120" w:line="240" w:lineRule="auto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7A48B401" w14:textId="33A229A8" w:rsidR="00C87804" w:rsidRPr="00D868E6" w:rsidRDefault="00C87804" w:rsidP="00C074A8">
      <w:pPr>
        <w:spacing w:after="120"/>
        <w:jc w:val="both"/>
        <w:rPr>
          <w:rFonts w:cs="Arial"/>
          <w:sz w:val="18"/>
          <w:szCs w:val="18"/>
        </w:rPr>
      </w:pPr>
      <w:r w:rsidRPr="008A4219">
        <w:rPr>
          <w:rFonts w:cs="Arial"/>
          <w:sz w:val="18"/>
          <w:szCs w:val="18"/>
        </w:rPr>
        <w:t>Pozn.: Součet podílů studentů</w:t>
      </w:r>
      <w:r>
        <w:rPr>
          <w:rFonts w:cs="Arial"/>
          <w:sz w:val="18"/>
          <w:szCs w:val="18"/>
        </w:rPr>
        <w:t xml:space="preserve"> prezenčního a distančního či kombinovaného studia zapsaných v jednotlivých </w:t>
      </w:r>
      <w:r w:rsidR="00DB49EE">
        <w:rPr>
          <w:rFonts w:cs="Arial"/>
          <w:sz w:val="18"/>
          <w:szCs w:val="18"/>
        </w:rPr>
        <w:t>skupinách oborů</w:t>
      </w:r>
      <w:r>
        <w:rPr>
          <w:rFonts w:cs="Arial"/>
          <w:sz w:val="18"/>
          <w:szCs w:val="18"/>
        </w:rPr>
        <w:t xml:space="preserve"> vzdělávání  může být </w:t>
      </w:r>
      <w:r w:rsidRPr="008A4219">
        <w:rPr>
          <w:rFonts w:cs="Arial"/>
          <w:sz w:val="18"/>
          <w:szCs w:val="18"/>
        </w:rPr>
        <w:t xml:space="preserve">mírně vyšší než 100 %, protože jeden student </w:t>
      </w:r>
      <w:r>
        <w:rPr>
          <w:rFonts w:cs="Arial"/>
          <w:sz w:val="18"/>
          <w:szCs w:val="18"/>
        </w:rPr>
        <w:t>se může vzdělávat ve více formách vzdělávání</w:t>
      </w:r>
      <w:r w:rsidRPr="008A4219">
        <w:rPr>
          <w:rFonts w:cs="Arial"/>
          <w:sz w:val="18"/>
          <w:szCs w:val="18"/>
        </w:rPr>
        <w:t xml:space="preserve">. </w:t>
      </w:r>
    </w:p>
    <w:p w14:paraId="5C9564DF" w14:textId="3583BF7F" w:rsidR="00C87804" w:rsidRDefault="00C87804" w:rsidP="00494CF0">
      <w:pPr>
        <w:spacing w:after="120"/>
        <w:ind w:firstLine="284"/>
        <w:jc w:val="both"/>
      </w:pPr>
      <w:r>
        <w:t xml:space="preserve">Vcelku pochopitelně byl </w:t>
      </w:r>
      <w:r w:rsidRPr="004A7357">
        <w:rPr>
          <w:b/>
        </w:rPr>
        <w:t>téměř ve všech skupinách</w:t>
      </w:r>
      <w:r>
        <w:t xml:space="preserve"> </w:t>
      </w:r>
      <w:r w:rsidRPr="004A7357">
        <w:rPr>
          <w:b/>
        </w:rPr>
        <w:t>oborů</w:t>
      </w:r>
      <w:r>
        <w:t xml:space="preserve"> v roce 2022 nejnižší podíl studentů s </w:t>
      </w:r>
      <w:r w:rsidRPr="00DD5F06">
        <w:rPr>
          <w:b/>
        </w:rPr>
        <w:t>trvalým pobytem</w:t>
      </w:r>
      <w:r>
        <w:t xml:space="preserve"> v </w:t>
      </w:r>
      <w:r w:rsidRPr="00DD5F06">
        <w:rPr>
          <w:b/>
          <w:i/>
        </w:rPr>
        <w:t>Karlovarském</w:t>
      </w:r>
      <w:r>
        <w:t xml:space="preserve"> kraji, neboť je nejméně lidnatý. </w:t>
      </w:r>
      <w:r w:rsidR="004A7357">
        <w:t xml:space="preserve">Výjimkou jsou pouze obory zaměřené na výchovu a vzdělávání - </w:t>
      </w:r>
      <w:r>
        <w:t>studenti bydlící v</w:t>
      </w:r>
      <w:r w:rsidR="004A7357">
        <w:t> </w:t>
      </w:r>
      <w:r w:rsidRPr="00DD5F06">
        <w:rPr>
          <w:b/>
          <w:i/>
        </w:rPr>
        <w:t>zahraničí</w:t>
      </w:r>
      <w:r w:rsidR="004A7357">
        <w:t xml:space="preserve"> zde tvořili jen</w:t>
      </w:r>
      <w:r>
        <w:t xml:space="preserve"> 2,1 %</w:t>
      </w:r>
      <w:r w:rsidR="00DB49EE">
        <w:t>, což je ještě o dvě desetiny</w:t>
      </w:r>
      <w:r w:rsidR="004A7357">
        <w:t xml:space="preserve"> procentní</w:t>
      </w:r>
      <w:r w:rsidR="00DB49EE">
        <w:t>ho bodu</w:t>
      </w:r>
      <w:r w:rsidR="004A7357">
        <w:t xml:space="preserve"> menší podíl, než jaký tvořili studenti z kraje Karlovarského. S</w:t>
      </w:r>
      <w:r>
        <w:t xml:space="preserve">kupina </w:t>
      </w:r>
      <w:r w:rsidR="004A7357" w:rsidRPr="004A7357">
        <w:rPr>
          <w:b/>
          <w:i/>
        </w:rPr>
        <w:t xml:space="preserve">zahraničních </w:t>
      </w:r>
      <w:r w:rsidRPr="004A7357">
        <w:rPr>
          <w:b/>
          <w:i/>
        </w:rPr>
        <w:t>studentů</w:t>
      </w:r>
      <w:r w:rsidR="004A7357">
        <w:t xml:space="preserve"> je naopak</w:t>
      </w:r>
      <w:r>
        <w:t xml:space="preserve"> největší, neboť shrnuje všechny studenty, ať již bydlí v</w:t>
      </w:r>
      <w:r w:rsidR="004A7357">
        <w:t xml:space="preserve"> jakémkoliv </w:t>
      </w:r>
      <w:r w:rsidR="00DB49EE">
        <w:t>zahraničním státě</w:t>
      </w:r>
      <w:r w:rsidR="004A7357">
        <w:t xml:space="preserve">. </w:t>
      </w:r>
      <w:r>
        <w:t>Vedle toho tvoří v jednotlivých skupinách oborů druhou nejpočetnější skupinu zpravidla studenti z Pr</w:t>
      </w:r>
      <w:r w:rsidR="00DB49EE">
        <w:t>ahy, případně z kraje</w:t>
      </w:r>
      <w:r>
        <w:t xml:space="preserve"> Středočeského či Moravskoslezského – viz tabulku č. </w:t>
      </w:r>
      <w:r w:rsidR="007027BC">
        <w:t>1.</w:t>
      </w:r>
      <w:r>
        <w:t>5.</w:t>
      </w:r>
    </w:p>
    <w:p w14:paraId="6A4B9660" w14:textId="5A1EEE00" w:rsidR="00C87804" w:rsidRPr="001E127E" w:rsidRDefault="00C87804" w:rsidP="00C074A8">
      <w:pPr>
        <w:spacing w:after="120"/>
        <w:rPr>
          <w:b/>
        </w:rPr>
      </w:pPr>
      <w:r>
        <w:rPr>
          <w:b/>
        </w:rPr>
        <w:t xml:space="preserve">Tabulka č. </w:t>
      </w:r>
      <w:r w:rsidR="00192AD0">
        <w:rPr>
          <w:b/>
        </w:rPr>
        <w:t>1.</w:t>
      </w:r>
      <w:r>
        <w:rPr>
          <w:b/>
        </w:rPr>
        <w:t>5</w:t>
      </w:r>
      <w:r w:rsidR="007027BC">
        <w:rPr>
          <w:b/>
        </w:rPr>
        <w:t xml:space="preserve"> R</w:t>
      </w:r>
      <w:r w:rsidRPr="001E127E">
        <w:rPr>
          <w:b/>
        </w:rPr>
        <w:t xml:space="preserve">ozložení studentů jednotlivých skupin oborů </w:t>
      </w:r>
      <w:r w:rsidR="002E0D52">
        <w:rPr>
          <w:b/>
        </w:rPr>
        <w:t xml:space="preserve">vzdělávání </w:t>
      </w:r>
      <w:r w:rsidRPr="001E127E">
        <w:rPr>
          <w:b/>
        </w:rPr>
        <w:t>dle trvalého bydliště stud</w:t>
      </w:r>
      <w:r>
        <w:rPr>
          <w:b/>
        </w:rPr>
        <w:t>e</w:t>
      </w:r>
      <w:r w:rsidRPr="001E127E">
        <w:rPr>
          <w:b/>
        </w:rPr>
        <w:t>ntů</w:t>
      </w:r>
      <w:r>
        <w:rPr>
          <w:b/>
        </w:rPr>
        <w:t xml:space="preserve"> (2022</w:t>
      </w:r>
      <w:r w:rsidR="006F3F8B">
        <w:rPr>
          <w:b/>
        </w:rPr>
        <w:t>; v %</w:t>
      </w:r>
      <w:r>
        <w:rPr>
          <w:b/>
        </w:rPr>
        <w:t>)</w:t>
      </w:r>
    </w:p>
    <w:tbl>
      <w:tblPr>
        <w:tblW w:w="911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4"/>
        <w:gridCol w:w="452"/>
        <w:gridCol w:w="452"/>
        <w:gridCol w:w="436"/>
        <w:gridCol w:w="436"/>
        <w:gridCol w:w="436"/>
        <w:gridCol w:w="436"/>
        <w:gridCol w:w="436"/>
        <w:gridCol w:w="436"/>
        <w:gridCol w:w="436"/>
        <w:gridCol w:w="436"/>
        <w:gridCol w:w="452"/>
        <w:gridCol w:w="436"/>
        <w:gridCol w:w="436"/>
        <w:gridCol w:w="452"/>
        <w:gridCol w:w="452"/>
        <w:gridCol w:w="436"/>
      </w:tblGrid>
      <w:tr w:rsidR="00C074A8" w:rsidRPr="00E82CAB" w14:paraId="369D5406" w14:textId="77777777" w:rsidTr="00C074A8">
        <w:trPr>
          <w:trHeight w:val="1345"/>
        </w:trPr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0D4D922" w14:textId="77777777" w:rsidR="00C87804" w:rsidRPr="008E030A" w:rsidRDefault="00C87804" w:rsidP="00C437AE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309ADBA6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Praha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3FE9312B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Středočeský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70100B7F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Jihočeský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3295EEEA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Plzeňský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3CFB5083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Karlovarský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104C92B3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Ústecký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64A4A016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Liberecký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1A9E5BA3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Královéhradecký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482E486B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Pardubický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329D004C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Vysočina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4C212BC4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Jihomoravský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2F98D4F9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Olomoucký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152F14F9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Zlínský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4A4456FE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Moravskoslezský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3ACA3381" w14:textId="3E522A22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zahraničí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7A269E8C" w14:textId="77777777" w:rsidR="00C87804" w:rsidRPr="008E030A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bCs/>
                <w:color w:val="000000"/>
                <w:sz w:val="16"/>
                <w:szCs w:val="16"/>
              </w:rPr>
              <w:t>celkem</w:t>
            </w:r>
          </w:p>
        </w:tc>
      </w:tr>
      <w:tr w:rsidR="00C074A8" w:rsidRPr="00E82CAB" w14:paraId="5FDE8B8C" w14:textId="77777777" w:rsidTr="00C074A8">
        <w:trPr>
          <w:trHeight w:val="342"/>
        </w:trPr>
        <w:tc>
          <w:tcPr>
            <w:tcW w:w="2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4B10" w14:textId="77777777" w:rsidR="00C87804" w:rsidRPr="008E030A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 xml:space="preserve">Vzdělávání a výchova 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7955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C8786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00B050"/>
                <w:sz w:val="16"/>
                <w:szCs w:val="16"/>
              </w:rPr>
              <w:t>11,4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EAC2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EE77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2AD7" w14:textId="77777777" w:rsidR="00C87804" w:rsidRPr="009C3232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9C3232">
              <w:rPr>
                <w:rFonts w:cs="Arial"/>
                <w:b/>
                <w:color w:val="C00000"/>
                <w:sz w:val="16"/>
                <w:szCs w:val="16"/>
              </w:rPr>
              <w:t>2,3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4B40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CB96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24B8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579F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521D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1D31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AC7FB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A04E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AC0C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00B050"/>
                <w:sz w:val="16"/>
                <w:szCs w:val="16"/>
              </w:rPr>
              <w:t>11,8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2EC9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C00000"/>
                <w:sz w:val="16"/>
                <w:szCs w:val="16"/>
              </w:rPr>
              <w:t>2,1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BA78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100</w:t>
            </w:r>
          </w:p>
        </w:tc>
      </w:tr>
      <w:tr w:rsidR="00C074A8" w:rsidRPr="00E82CAB" w14:paraId="5A4A382A" w14:textId="77777777" w:rsidTr="00C074A8">
        <w:trPr>
          <w:trHeight w:val="342"/>
        </w:trPr>
        <w:tc>
          <w:tcPr>
            <w:tcW w:w="2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60BC" w14:textId="77777777" w:rsidR="00C87804" w:rsidRPr="008E030A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 xml:space="preserve">Umění a humanitní vědy 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7F532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00B050"/>
                <w:sz w:val="16"/>
                <w:szCs w:val="16"/>
              </w:rPr>
              <w:t>15,6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66465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3960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40B0A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5F83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C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C00000"/>
                <w:sz w:val="16"/>
                <w:szCs w:val="16"/>
              </w:rPr>
              <w:t>1,6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1F79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3A99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FF0000"/>
                <w:sz w:val="16"/>
                <w:szCs w:val="16"/>
              </w:rPr>
              <w:t>2,7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5F105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4D2C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4A3A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18A95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451A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E184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7472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1E0B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B050"/>
                <w:sz w:val="16"/>
                <w:szCs w:val="16"/>
              </w:rPr>
            </w:pPr>
            <w:r w:rsidRPr="008E030A">
              <w:rPr>
                <w:rFonts w:cs="Arial"/>
                <w:b/>
                <w:color w:val="00B050"/>
                <w:sz w:val="16"/>
                <w:szCs w:val="16"/>
              </w:rPr>
              <w:t>16,3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63AA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100</w:t>
            </w:r>
          </w:p>
        </w:tc>
      </w:tr>
      <w:tr w:rsidR="00C074A8" w:rsidRPr="00E82CAB" w14:paraId="1F2AEDFA" w14:textId="77777777" w:rsidTr="00C074A8">
        <w:trPr>
          <w:trHeight w:val="342"/>
        </w:trPr>
        <w:tc>
          <w:tcPr>
            <w:tcW w:w="2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8111" w14:textId="77777777" w:rsidR="00C87804" w:rsidRPr="008E030A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Společ. vědy, žurnalistika a informační</w:t>
            </w:r>
            <w:r w:rsidRPr="008E030A">
              <w:rPr>
                <w:rFonts w:cs="Arial"/>
                <w:color w:val="000000"/>
                <w:sz w:val="16"/>
                <w:szCs w:val="16"/>
              </w:rPr>
              <w:t xml:space="preserve"> vědy 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952E6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00B050"/>
                <w:sz w:val="16"/>
                <w:szCs w:val="16"/>
              </w:rPr>
              <w:t>17,6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26C9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2AFB4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B7F8E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4B65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C00000"/>
                <w:sz w:val="16"/>
                <w:szCs w:val="16"/>
              </w:rPr>
              <w:t>1,3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2F3E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374A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C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C00000"/>
                <w:sz w:val="16"/>
                <w:szCs w:val="16"/>
              </w:rPr>
              <w:t>2,6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DC97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4401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A837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1542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23F32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402D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BE1D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281E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B050"/>
                <w:sz w:val="16"/>
                <w:szCs w:val="16"/>
              </w:rPr>
            </w:pPr>
            <w:r w:rsidRPr="008E030A">
              <w:rPr>
                <w:rFonts w:cs="Arial"/>
                <w:b/>
                <w:color w:val="00B050"/>
                <w:sz w:val="16"/>
                <w:szCs w:val="16"/>
              </w:rPr>
              <w:t>19,9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C89C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100</w:t>
            </w:r>
          </w:p>
        </w:tc>
      </w:tr>
      <w:tr w:rsidR="00C074A8" w:rsidRPr="00E82CAB" w14:paraId="1569D036" w14:textId="77777777" w:rsidTr="00C074A8">
        <w:trPr>
          <w:trHeight w:val="342"/>
        </w:trPr>
        <w:tc>
          <w:tcPr>
            <w:tcW w:w="2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5979" w14:textId="77777777" w:rsidR="00C87804" w:rsidRPr="008E030A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 xml:space="preserve">Obchod, administrativa a právo 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6600" w14:textId="77777777" w:rsidR="00C87804" w:rsidRPr="001E127E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1E127E">
              <w:rPr>
                <w:rFonts w:cs="Arial"/>
                <w:b/>
                <w:color w:val="00B050"/>
                <w:sz w:val="16"/>
                <w:szCs w:val="16"/>
              </w:rPr>
              <w:t>14,2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EEF2F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A82E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2B8D7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D890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C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C00000"/>
                <w:sz w:val="16"/>
                <w:szCs w:val="16"/>
              </w:rPr>
              <w:t>1,6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D897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EF3F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C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C00000"/>
                <w:sz w:val="16"/>
                <w:szCs w:val="16"/>
              </w:rPr>
              <w:t>3,1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2E49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7DA9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69FBF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5D0C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562C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B465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5B6F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9BE0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B050"/>
                <w:sz w:val="16"/>
                <w:szCs w:val="16"/>
              </w:rPr>
            </w:pPr>
            <w:r w:rsidRPr="008E030A">
              <w:rPr>
                <w:rFonts w:cs="Arial"/>
                <w:b/>
                <w:color w:val="00B050"/>
                <w:sz w:val="16"/>
                <w:szCs w:val="16"/>
              </w:rPr>
              <w:t>16,9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9F3D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100</w:t>
            </w:r>
          </w:p>
        </w:tc>
      </w:tr>
      <w:tr w:rsidR="00C074A8" w:rsidRPr="00E82CAB" w14:paraId="7493F9A3" w14:textId="77777777" w:rsidTr="00C074A8">
        <w:trPr>
          <w:trHeight w:val="342"/>
        </w:trPr>
        <w:tc>
          <w:tcPr>
            <w:tcW w:w="2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746C" w14:textId="77777777" w:rsidR="00C87804" w:rsidRPr="008E030A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 xml:space="preserve">Přírodní vědy, matematika a statistika 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0DAE" w14:textId="77777777" w:rsidR="00C87804" w:rsidRPr="001E127E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B050"/>
                <w:sz w:val="16"/>
                <w:szCs w:val="16"/>
              </w:rPr>
            </w:pPr>
            <w:r w:rsidRPr="001E127E">
              <w:rPr>
                <w:rFonts w:cs="Arial"/>
                <w:b/>
                <w:color w:val="00B050"/>
                <w:sz w:val="16"/>
                <w:szCs w:val="16"/>
              </w:rPr>
              <w:t>12,5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99C4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A79C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B002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409B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C00000"/>
                <w:sz w:val="16"/>
                <w:szCs w:val="16"/>
              </w:rPr>
              <w:t>1,7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21CC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5E63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C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C00000"/>
                <w:sz w:val="16"/>
                <w:szCs w:val="16"/>
              </w:rPr>
              <w:t>2,7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B62F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0816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F3C2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230F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B82A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E233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882F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3BC1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B050"/>
                <w:sz w:val="16"/>
                <w:szCs w:val="16"/>
              </w:rPr>
            </w:pPr>
            <w:r w:rsidRPr="008E030A">
              <w:rPr>
                <w:rFonts w:cs="Arial"/>
                <w:b/>
                <w:color w:val="00B050"/>
                <w:sz w:val="16"/>
                <w:szCs w:val="16"/>
              </w:rPr>
              <w:t>21,5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3C4B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100</w:t>
            </w:r>
          </w:p>
        </w:tc>
      </w:tr>
      <w:tr w:rsidR="00C074A8" w:rsidRPr="00E82CAB" w14:paraId="77F93482" w14:textId="77777777" w:rsidTr="00C074A8">
        <w:trPr>
          <w:trHeight w:val="342"/>
        </w:trPr>
        <w:tc>
          <w:tcPr>
            <w:tcW w:w="2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CDBC" w14:textId="77777777" w:rsidR="00C87804" w:rsidRPr="008E030A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 xml:space="preserve">Informační a komunikační technologie 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9851" w14:textId="77777777" w:rsidR="00C87804" w:rsidRPr="001E127E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B050"/>
                <w:sz w:val="16"/>
                <w:szCs w:val="16"/>
              </w:rPr>
            </w:pPr>
            <w:r w:rsidRPr="001E127E">
              <w:rPr>
                <w:rFonts w:cs="Arial"/>
                <w:b/>
                <w:color w:val="00B050"/>
                <w:sz w:val="16"/>
                <w:szCs w:val="16"/>
              </w:rPr>
              <w:t>11,2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90802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117E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BD4D" w14:textId="77777777" w:rsidR="00C87804" w:rsidRPr="009C3232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9C3232">
              <w:rPr>
                <w:rFonts w:cs="Arial"/>
                <w:b/>
                <w:color w:val="C00000"/>
                <w:sz w:val="16"/>
                <w:szCs w:val="16"/>
              </w:rPr>
              <w:t>2,2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2B74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C00000"/>
                <w:sz w:val="16"/>
                <w:szCs w:val="16"/>
              </w:rPr>
              <w:t>1,0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0457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598C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FE77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BF453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C681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1F19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F2EE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36DA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3159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3F7A1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B050"/>
                <w:sz w:val="16"/>
                <w:szCs w:val="16"/>
              </w:rPr>
            </w:pPr>
            <w:r w:rsidRPr="008E030A">
              <w:rPr>
                <w:rFonts w:cs="Arial"/>
                <w:b/>
                <w:color w:val="00B050"/>
                <w:sz w:val="16"/>
                <w:szCs w:val="16"/>
              </w:rPr>
              <w:t>30,4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F9C3B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100</w:t>
            </w:r>
          </w:p>
        </w:tc>
      </w:tr>
      <w:tr w:rsidR="00C074A8" w:rsidRPr="00E82CAB" w14:paraId="796814C5" w14:textId="77777777" w:rsidTr="00C074A8">
        <w:trPr>
          <w:trHeight w:val="342"/>
        </w:trPr>
        <w:tc>
          <w:tcPr>
            <w:tcW w:w="2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05E75" w14:textId="77777777" w:rsidR="00C87804" w:rsidRPr="008E030A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 xml:space="preserve">Technika, výroba a stavebnictví 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47277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0F68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C9E6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2A1C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5ECC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C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C00000"/>
                <w:sz w:val="16"/>
                <w:szCs w:val="16"/>
              </w:rPr>
              <w:t>1,2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7DCC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8ABBC" w14:textId="77777777" w:rsidR="00C87804" w:rsidRPr="009C3232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9C3232">
              <w:rPr>
                <w:rFonts w:cs="Arial"/>
                <w:b/>
                <w:color w:val="C00000"/>
                <w:sz w:val="16"/>
                <w:szCs w:val="16"/>
              </w:rPr>
              <w:t>3,2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14714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0A6CE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BECD2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3924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CF81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4EE6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8885" w14:textId="77777777" w:rsidR="00C87804" w:rsidRPr="001E127E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1E127E">
              <w:rPr>
                <w:rFonts w:cs="Arial"/>
                <w:b/>
                <w:color w:val="00B050"/>
                <w:sz w:val="16"/>
                <w:szCs w:val="16"/>
              </w:rPr>
              <w:t>12,1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54A5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B050"/>
                <w:sz w:val="16"/>
                <w:szCs w:val="16"/>
              </w:rPr>
            </w:pPr>
            <w:r w:rsidRPr="008E030A">
              <w:rPr>
                <w:rFonts w:cs="Arial"/>
                <w:b/>
                <w:color w:val="00B050"/>
                <w:sz w:val="16"/>
                <w:szCs w:val="16"/>
              </w:rPr>
              <w:t>14,9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72160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100</w:t>
            </w:r>
          </w:p>
        </w:tc>
      </w:tr>
      <w:tr w:rsidR="00C074A8" w:rsidRPr="00E82CAB" w14:paraId="6C784A67" w14:textId="77777777" w:rsidTr="00C074A8">
        <w:trPr>
          <w:trHeight w:val="342"/>
        </w:trPr>
        <w:tc>
          <w:tcPr>
            <w:tcW w:w="2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D2E9" w14:textId="77777777" w:rsidR="00C87804" w:rsidRPr="008E030A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Zemědělství, lesnictví, rybářství a veterinářství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0C89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EC014" w14:textId="77777777" w:rsidR="00C87804" w:rsidRPr="001E127E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1E127E">
              <w:rPr>
                <w:rFonts w:cs="Arial"/>
                <w:b/>
                <w:color w:val="00B050"/>
                <w:sz w:val="16"/>
                <w:szCs w:val="16"/>
              </w:rPr>
              <w:t>14,7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BB714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3ED4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0636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C00000"/>
                <w:sz w:val="16"/>
                <w:szCs w:val="16"/>
              </w:rPr>
              <w:t>1,9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90C20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FE8C" w14:textId="77777777" w:rsidR="00C87804" w:rsidRPr="009C3232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9C3232">
              <w:rPr>
                <w:rFonts w:cs="Arial"/>
                <w:b/>
                <w:color w:val="C00000"/>
                <w:sz w:val="16"/>
                <w:szCs w:val="16"/>
              </w:rPr>
              <w:t>2,5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E8F3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6C93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0305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E9276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82D3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96D9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AD2B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1626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B050"/>
                <w:sz w:val="16"/>
                <w:szCs w:val="16"/>
              </w:rPr>
            </w:pPr>
            <w:r w:rsidRPr="008E030A">
              <w:rPr>
                <w:rFonts w:cs="Arial"/>
                <w:b/>
                <w:color w:val="00B050"/>
                <w:sz w:val="16"/>
                <w:szCs w:val="16"/>
              </w:rPr>
              <w:t>14,5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58D3D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100</w:t>
            </w:r>
          </w:p>
        </w:tc>
      </w:tr>
      <w:tr w:rsidR="00C074A8" w:rsidRPr="00E82CAB" w14:paraId="25C07419" w14:textId="77777777" w:rsidTr="00C074A8">
        <w:trPr>
          <w:trHeight w:val="342"/>
        </w:trPr>
        <w:tc>
          <w:tcPr>
            <w:tcW w:w="2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4B2D" w14:textId="77777777" w:rsidR="00C87804" w:rsidRPr="008E030A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Zdravotní a sociální péče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DDA1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52FE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8429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E0FA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FA69F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C00000"/>
                <w:sz w:val="16"/>
                <w:szCs w:val="16"/>
              </w:rPr>
              <w:t>1,7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E666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9937" w14:textId="77777777" w:rsidR="00C87804" w:rsidRPr="009C3232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9C3232">
              <w:rPr>
                <w:rFonts w:cs="Arial"/>
                <w:b/>
                <w:color w:val="C00000"/>
                <w:sz w:val="16"/>
                <w:szCs w:val="16"/>
              </w:rPr>
              <w:t>2,7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BBBB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CC39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97FF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040C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4EA6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0DBF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3141" w14:textId="77777777" w:rsidR="00C87804" w:rsidRPr="001E127E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1E127E">
              <w:rPr>
                <w:rFonts w:cs="Arial"/>
                <w:b/>
                <w:color w:val="00B050"/>
                <w:sz w:val="16"/>
                <w:szCs w:val="16"/>
              </w:rPr>
              <w:t>10,5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4E6C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B050"/>
                <w:sz w:val="16"/>
                <w:szCs w:val="16"/>
              </w:rPr>
            </w:pPr>
            <w:r w:rsidRPr="008E030A">
              <w:rPr>
                <w:rFonts w:cs="Arial"/>
                <w:b/>
                <w:color w:val="00B050"/>
                <w:sz w:val="16"/>
                <w:szCs w:val="16"/>
              </w:rPr>
              <w:t>21,7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6DD7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100</w:t>
            </w:r>
          </w:p>
        </w:tc>
      </w:tr>
      <w:tr w:rsidR="00C074A8" w:rsidRPr="00E82CAB" w14:paraId="19E02595" w14:textId="77777777" w:rsidTr="00C074A8">
        <w:trPr>
          <w:trHeight w:val="342"/>
        </w:trPr>
        <w:tc>
          <w:tcPr>
            <w:tcW w:w="2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2B640" w14:textId="77777777" w:rsidR="00C87804" w:rsidRPr="008E030A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 xml:space="preserve">Služby 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A6EB" w14:textId="77777777" w:rsidR="00C87804" w:rsidRPr="009C3232" w:rsidRDefault="00C87804" w:rsidP="00C437AE">
            <w:pPr>
              <w:spacing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9C3232">
              <w:rPr>
                <w:rFonts w:cs="Arial"/>
                <w:b/>
                <w:color w:val="00B050"/>
                <w:sz w:val="16"/>
                <w:szCs w:val="16"/>
              </w:rPr>
              <w:t>12,3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E4DE6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B050"/>
                <w:sz w:val="16"/>
                <w:szCs w:val="16"/>
              </w:rPr>
            </w:pPr>
            <w:r w:rsidRPr="008E030A">
              <w:rPr>
                <w:rFonts w:cs="Arial"/>
                <w:b/>
                <w:color w:val="00B050"/>
                <w:sz w:val="16"/>
                <w:szCs w:val="16"/>
              </w:rPr>
              <w:t>14,6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6A2B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89F87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E8D1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b/>
                <w:color w:val="C00000"/>
                <w:sz w:val="16"/>
                <w:szCs w:val="16"/>
              </w:rPr>
              <w:t>2,7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6DA0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427B" w14:textId="77777777" w:rsidR="00C87804" w:rsidRPr="009C3232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9C3232">
              <w:rPr>
                <w:rFonts w:cs="Arial"/>
                <w:b/>
                <w:color w:val="C00000"/>
                <w:sz w:val="16"/>
                <w:szCs w:val="16"/>
              </w:rPr>
              <w:t>2,7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3ABB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04CE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29C0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9F91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C380B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EAF1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FD6F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7C03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867D" w14:textId="77777777" w:rsidR="00C87804" w:rsidRPr="008E030A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E030A">
              <w:rPr>
                <w:rFonts w:cs="Arial"/>
                <w:color w:val="000000"/>
                <w:sz w:val="16"/>
                <w:szCs w:val="16"/>
              </w:rPr>
              <w:t>100</w:t>
            </w:r>
          </w:p>
        </w:tc>
      </w:tr>
    </w:tbl>
    <w:p w14:paraId="470E7323" w14:textId="77777777" w:rsidR="00C87804" w:rsidRPr="001D548C" w:rsidRDefault="00C87804" w:rsidP="00C87804">
      <w:pPr>
        <w:spacing w:after="0" w:line="240" w:lineRule="auto"/>
        <w:jc w:val="right"/>
        <w:rPr>
          <w:rFonts w:cs="Arial"/>
          <w:sz w:val="12"/>
          <w:szCs w:val="12"/>
        </w:rPr>
      </w:pPr>
    </w:p>
    <w:p w14:paraId="1063CD6D" w14:textId="77777777" w:rsidR="00C87804" w:rsidRPr="008B0645" w:rsidRDefault="00C87804" w:rsidP="00C87804">
      <w:pPr>
        <w:spacing w:after="0" w:line="240" w:lineRule="auto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5FCC7B8E" w14:textId="3ADB1CBD" w:rsidR="00C87804" w:rsidRPr="00BE41DD" w:rsidRDefault="00777562" w:rsidP="009C1D00">
      <w:pPr>
        <w:pStyle w:val="Nadpis2"/>
        <w:spacing w:after="120"/>
      </w:pPr>
      <w:bookmarkStart w:id="8" w:name="_Toc103001366"/>
      <w:bookmarkStart w:id="9" w:name="_Toc135224485"/>
      <w:r w:rsidRPr="00BE41DD">
        <w:lastRenderedPageBreak/>
        <w:t xml:space="preserve">1.6 </w:t>
      </w:r>
      <w:r w:rsidR="00C87804" w:rsidRPr="00BE41DD">
        <w:t>Rozdíly mezi studenty dle kraje trvalého bydliště</w:t>
      </w:r>
      <w:bookmarkEnd w:id="8"/>
      <w:bookmarkEnd w:id="9"/>
    </w:p>
    <w:p w14:paraId="42ACCFD3" w14:textId="4D40C107" w:rsidR="00C87804" w:rsidRPr="00FD0254" w:rsidRDefault="00C87804" w:rsidP="00494CF0">
      <w:pPr>
        <w:spacing w:after="120"/>
        <w:ind w:firstLine="284"/>
        <w:jc w:val="both"/>
      </w:pPr>
      <w:r>
        <w:t xml:space="preserve">Jak již bylo výše v této zprávě zmíněno, mezi studenty vysokých škol </w:t>
      </w:r>
      <w:r w:rsidR="00685C51">
        <w:t>v celé České republice</w:t>
      </w:r>
      <w:r>
        <w:t xml:space="preserve"> již od roku 2004 převažují </w:t>
      </w:r>
      <w:r w:rsidRPr="006F3F8B">
        <w:rPr>
          <w:b/>
        </w:rPr>
        <w:t>ženy</w:t>
      </w:r>
      <w:r>
        <w:t>. Při pohledu na dělení dl</w:t>
      </w:r>
      <w:r w:rsidR="00685C51">
        <w:t>e kraje/místa trvalého bydliště měly ženy</w:t>
      </w:r>
      <w:r>
        <w:t xml:space="preserve"> nejvyšší převahu mezi studenty s trvalým pobytem v kraji Zlínském a na Vysočině (zaujímaly </w:t>
      </w:r>
      <w:r w:rsidR="008A38C7">
        <w:t>57,9 %</w:t>
      </w:r>
      <w:r>
        <w:t xml:space="preserve"> všech studentů) a naopak mezi studenty s trvalým pobytem v zahraničí byl podíl mužů a žen téměř vyrovnaný. Z krajů České republiky </w:t>
      </w:r>
      <w:r w:rsidR="00685C51">
        <w:t>byl</w:t>
      </w:r>
      <w:r>
        <w:t xml:space="preserve"> </w:t>
      </w:r>
      <w:r w:rsidR="00685C51">
        <w:t>nejvyrovnanější podíl mužů a</w:t>
      </w:r>
      <w:r>
        <w:t xml:space="preserve"> žen mezi studenty s trvalým pobytem </w:t>
      </w:r>
      <w:r w:rsidRPr="00FD0254">
        <w:t>v</w:t>
      </w:r>
      <w:r>
        <w:t> </w:t>
      </w:r>
      <w:r w:rsidRPr="00FD0254">
        <w:t>Praze</w:t>
      </w:r>
      <w:r w:rsidR="008A38C7">
        <w:t xml:space="preserve"> </w:t>
      </w:r>
      <w:r>
        <w:t>(ženy zde tvořily 54</w:t>
      </w:r>
      <w:r w:rsidR="00F84A16">
        <w:t>,0</w:t>
      </w:r>
      <w:r>
        <w:t> % všech studentů).</w:t>
      </w:r>
    </w:p>
    <w:p w14:paraId="7AADB84D" w14:textId="3A7CC7FC" w:rsidR="00C87804" w:rsidRPr="00ED740B" w:rsidRDefault="00C87804" w:rsidP="004A1D2F">
      <w:pPr>
        <w:spacing w:after="120"/>
        <w:rPr>
          <w:b/>
          <w:color w:val="244061" w:themeColor="accent1" w:themeShade="80"/>
          <w:sz w:val="28"/>
          <w:szCs w:val="28"/>
        </w:rPr>
      </w:pPr>
      <w:r w:rsidRPr="009174EE">
        <w:rPr>
          <w:b/>
        </w:rPr>
        <w:t xml:space="preserve">Graf č. </w:t>
      </w:r>
      <w:r w:rsidR="00A3697D">
        <w:rPr>
          <w:b/>
        </w:rPr>
        <w:t>1.30</w:t>
      </w:r>
      <w:r w:rsidRPr="009174EE">
        <w:rPr>
          <w:b/>
        </w:rPr>
        <w:t xml:space="preserve"> </w:t>
      </w:r>
      <w:r>
        <w:rPr>
          <w:b/>
        </w:rPr>
        <w:t>P</w:t>
      </w:r>
      <w:r w:rsidR="002E0D52">
        <w:rPr>
          <w:b/>
        </w:rPr>
        <w:t>odíl mužů a žen mezi studenty vysokých škol</w:t>
      </w:r>
      <w:r>
        <w:rPr>
          <w:b/>
        </w:rPr>
        <w:t xml:space="preserve"> s trvalým pobytem v jednotlivých krajích</w:t>
      </w:r>
      <w:r w:rsidR="00FE6353">
        <w:rPr>
          <w:b/>
        </w:rPr>
        <w:t xml:space="preserve"> a mezi studenty bydlícími</w:t>
      </w:r>
      <w:r w:rsidR="00950A62">
        <w:rPr>
          <w:b/>
        </w:rPr>
        <w:t xml:space="preserve"> v zahraničí</w:t>
      </w:r>
      <w:r>
        <w:rPr>
          <w:b/>
        </w:rPr>
        <w:t xml:space="preserve"> (2022)</w:t>
      </w:r>
    </w:p>
    <w:p w14:paraId="75845C54" w14:textId="77777777" w:rsidR="00C87804" w:rsidRDefault="00C87804" w:rsidP="00C87804">
      <w:pPr>
        <w:spacing w:after="120"/>
        <w:jc w:val="both"/>
      </w:pPr>
      <w:r>
        <w:rPr>
          <w:noProof/>
        </w:rPr>
        <w:drawing>
          <wp:inline distT="0" distB="0" distL="0" distR="0" wp14:anchorId="0110C625" wp14:editId="19B0B495">
            <wp:extent cx="5724525" cy="3209925"/>
            <wp:effectExtent l="0" t="0" r="9525" b="9525"/>
            <wp:docPr id="25" name="Graf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71D6F42E" w14:textId="77777777" w:rsidR="00C87804" w:rsidRPr="007457B0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7457B0">
        <w:rPr>
          <w:sz w:val="18"/>
          <w:szCs w:val="18"/>
        </w:rPr>
        <w:t>Zdroj dat: MŠMT</w:t>
      </w:r>
    </w:p>
    <w:p w14:paraId="5E6277AE" w14:textId="567977CD" w:rsidR="00C87804" w:rsidRDefault="00C87804" w:rsidP="00494CF0">
      <w:pPr>
        <w:spacing w:after="120"/>
        <w:ind w:firstLine="284"/>
        <w:jc w:val="both"/>
      </w:pPr>
      <w:r>
        <w:t>Podíváme-li se na</w:t>
      </w:r>
      <w:r w:rsidRPr="00FD0254">
        <w:t xml:space="preserve"> </w:t>
      </w:r>
      <w:r w:rsidRPr="001D548C">
        <w:rPr>
          <w:b/>
        </w:rPr>
        <w:t>věkové složení</w:t>
      </w:r>
      <w:r w:rsidR="0041666B">
        <w:rPr>
          <w:b/>
        </w:rPr>
        <w:t xml:space="preserve"> </w:t>
      </w:r>
      <w:r w:rsidR="0041666B" w:rsidRPr="0041666B">
        <w:t>(viz graf 1.31)</w:t>
      </w:r>
      <w:r w:rsidRPr="0041666B">
        <w:t>,</w:t>
      </w:r>
      <w:r w:rsidRPr="00FD0254">
        <w:t xml:space="preserve"> </w:t>
      </w:r>
      <w:r>
        <w:t>nejvyšší podíl studentů ve věku 30 a více let byl jednoznačně mezi těmi s trvalým pobytem v Praze (20,6 %), následuje kraj Ústecký (16,1 %), Karlovarský (15,7 %) a Středočeský (15,3 %).</w:t>
      </w:r>
      <w:r w:rsidR="007F4E01">
        <w:t xml:space="preserve"> Tyto kraje také zaznamenaly nejvyšší průměrný věk studentů (viz tabulku 1.6).</w:t>
      </w:r>
      <w:r>
        <w:t xml:space="preserve"> Naopak ze studentů s trvalým pobytem na Vysočině tvořili studenti ve věku 30 let a více jen desetinu.  </w:t>
      </w:r>
    </w:p>
    <w:p w14:paraId="6D6E19DD" w14:textId="725ACD9C" w:rsidR="007F4E01" w:rsidRDefault="00C87804" w:rsidP="00494CF0">
      <w:pPr>
        <w:spacing w:after="120"/>
        <w:ind w:firstLine="284"/>
        <w:jc w:val="both"/>
      </w:pPr>
      <w:r>
        <w:t xml:space="preserve">Za zmínku také stojí, že mezi studenty bydlícími v zahraničí byl druhý nejnižší podíl studentů ve věku 30 a více let (10,7 % spolu s krajem Zlínským) a </w:t>
      </w:r>
      <w:r w:rsidR="003635AD">
        <w:t>zřetel</w:t>
      </w:r>
      <w:r>
        <w:t>ně nejvyšší podíl studentů mladších 20 let (15 %).</w:t>
      </w:r>
      <w:r w:rsidR="007F4E01">
        <w:t xml:space="preserve"> </w:t>
      </w:r>
      <w:r>
        <w:t>Druhý nejvyšší podíl studentů mladších 20 let byl na Vysočině (9,3 %)</w:t>
      </w:r>
      <w:r w:rsidR="007F4E01">
        <w:t xml:space="preserve">, která z krajů ČR zaznamenala </w:t>
      </w:r>
      <w:r w:rsidR="0041666B">
        <w:t>nejnižší věkový průměr studentů</w:t>
      </w:r>
      <w:r>
        <w:t>.</w:t>
      </w:r>
    </w:p>
    <w:p w14:paraId="671664D6" w14:textId="6D0E2AFE" w:rsidR="007F4E01" w:rsidRPr="007F4E01" w:rsidRDefault="007660F4" w:rsidP="007F4E01">
      <w:pPr>
        <w:spacing w:after="120"/>
        <w:rPr>
          <w:b/>
        </w:rPr>
      </w:pPr>
      <w:r>
        <w:rPr>
          <w:b/>
        </w:rPr>
        <w:t>Tabulka č. 1.6</w:t>
      </w:r>
      <w:r w:rsidR="007F4E01">
        <w:rPr>
          <w:b/>
        </w:rPr>
        <w:t xml:space="preserve"> Věkový průměr studentů vysokých škol v jednotlivých krajích</w:t>
      </w:r>
      <w:r w:rsidR="006F5C01">
        <w:rPr>
          <w:b/>
        </w:rPr>
        <w:t xml:space="preserve"> a </w:t>
      </w:r>
      <w:r w:rsidR="00FE6353">
        <w:rPr>
          <w:b/>
        </w:rPr>
        <w:t xml:space="preserve">mezi studenty bydlícími </w:t>
      </w:r>
      <w:r w:rsidR="006F5C01">
        <w:rPr>
          <w:b/>
        </w:rPr>
        <w:t>v zahraničí</w:t>
      </w:r>
      <w:r w:rsidR="007F4E01">
        <w:rPr>
          <w:b/>
        </w:rPr>
        <w:t xml:space="preserve"> (2022; v rocích)</w:t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0A0B41" w:rsidRPr="007F4E01" w14:paraId="71F4EAE5" w14:textId="77777777" w:rsidTr="000A0B41">
        <w:trPr>
          <w:trHeight w:val="142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1B728BE2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Praha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146D2DE1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Ústecký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3B85BCDF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Karlovarský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14AB9054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Středočeský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14CCADC7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Olomoucký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0B3354CF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Moravskoslezský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4B492E70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Liberecký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51876317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Jihomoravský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51F1527B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Královéhradecký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31F60C74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Jihočeský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47489AD4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Plzeňský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476884F1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Pardubický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0FC0E7CC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Zlínský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76893334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Vysočina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textDirection w:val="btLr"/>
            <w:vAlign w:val="center"/>
            <w:hideMark/>
          </w:tcPr>
          <w:p w14:paraId="087E57A4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b/>
                <w:bCs/>
                <w:color w:val="000000"/>
                <w:sz w:val="16"/>
                <w:szCs w:val="16"/>
              </w:rPr>
              <w:t>cizina</w:t>
            </w:r>
          </w:p>
        </w:tc>
      </w:tr>
      <w:tr w:rsidR="007F4E01" w:rsidRPr="007F4E01" w14:paraId="5083E840" w14:textId="77777777" w:rsidTr="007F4E0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357F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52EF6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8DCC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C3AB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5AED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0DD7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2BF7C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8AB60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459D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2534D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A4CF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925B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A240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D2805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3F8E" w14:textId="77777777" w:rsidR="007F4E01" w:rsidRPr="007F4E01" w:rsidRDefault="007F4E01" w:rsidP="007F4E0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4E01">
              <w:rPr>
                <w:rFonts w:cs="Arial"/>
                <w:color w:val="000000"/>
                <w:sz w:val="16"/>
                <w:szCs w:val="16"/>
              </w:rPr>
              <w:t>23,7</w:t>
            </w:r>
          </w:p>
        </w:tc>
      </w:tr>
    </w:tbl>
    <w:p w14:paraId="02962881" w14:textId="795BEB72" w:rsidR="00C87804" w:rsidRPr="007F4E01" w:rsidRDefault="00C87804" w:rsidP="007F4E01">
      <w:pPr>
        <w:spacing w:before="120" w:after="120" w:line="240" w:lineRule="auto"/>
        <w:jc w:val="right"/>
        <w:rPr>
          <w:sz w:val="18"/>
          <w:szCs w:val="18"/>
        </w:rPr>
      </w:pPr>
      <w:r>
        <w:t xml:space="preserve"> </w:t>
      </w:r>
      <w:r w:rsidR="007F4E01" w:rsidRPr="007457B0">
        <w:rPr>
          <w:sz w:val="18"/>
          <w:szCs w:val="18"/>
        </w:rPr>
        <w:t>Zdroj dat: MŠMT</w:t>
      </w:r>
    </w:p>
    <w:p w14:paraId="559C8B9E" w14:textId="7D187C83" w:rsidR="00C87804" w:rsidRPr="009174EE" w:rsidRDefault="00C87804" w:rsidP="00C87804">
      <w:pPr>
        <w:keepNext/>
        <w:spacing w:after="120"/>
        <w:jc w:val="both"/>
        <w:rPr>
          <w:b/>
        </w:rPr>
      </w:pPr>
      <w:r w:rsidRPr="009174EE">
        <w:rPr>
          <w:b/>
        </w:rPr>
        <w:lastRenderedPageBreak/>
        <w:t xml:space="preserve">Graf č. </w:t>
      </w:r>
      <w:r w:rsidR="00A3697D">
        <w:rPr>
          <w:b/>
        </w:rPr>
        <w:t>1.31</w:t>
      </w:r>
      <w:r w:rsidRPr="009174EE">
        <w:rPr>
          <w:b/>
        </w:rPr>
        <w:t xml:space="preserve"> Podíl studentů různých věkových skupin mezi </w:t>
      </w:r>
      <w:r w:rsidR="004B2946">
        <w:rPr>
          <w:b/>
        </w:rPr>
        <w:t>studenty vysokých škol</w:t>
      </w:r>
      <w:r>
        <w:rPr>
          <w:b/>
        </w:rPr>
        <w:t xml:space="preserve"> s trvalým pobytem v </w:t>
      </w:r>
      <w:r w:rsidRPr="009174EE">
        <w:rPr>
          <w:b/>
        </w:rPr>
        <w:t>jednotlivých krajích</w:t>
      </w:r>
      <w:r w:rsidR="00FE6353">
        <w:rPr>
          <w:b/>
        </w:rPr>
        <w:t>, resp. bydlícími</w:t>
      </w:r>
      <w:r w:rsidR="00885F56">
        <w:rPr>
          <w:b/>
        </w:rPr>
        <w:t xml:space="preserve"> v zahraničí</w:t>
      </w:r>
      <w:r>
        <w:rPr>
          <w:b/>
        </w:rPr>
        <w:t xml:space="preserve"> (2022)</w:t>
      </w:r>
    </w:p>
    <w:p w14:paraId="71A5136D" w14:textId="77777777" w:rsidR="00C87804" w:rsidRDefault="00C87804" w:rsidP="00C87804">
      <w:pPr>
        <w:spacing w:after="120"/>
        <w:jc w:val="both"/>
      </w:pPr>
      <w:r>
        <w:rPr>
          <w:noProof/>
        </w:rPr>
        <w:drawing>
          <wp:inline distT="0" distB="0" distL="0" distR="0" wp14:anchorId="17F96993" wp14:editId="73290D3D">
            <wp:extent cx="5734050" cy="2876550"/>
            <wp:effectExtent l="0" t="0" r="0" b="0"/>
            <wp:docPr id="28" name="Graf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64E72412" w14:textId="77777777" w:rsidR="00C87804" w:rsidRPr="00A467D2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A467D2">
        <w:rPr>
          <w:sz w:val="18"/>
          <w:szCs w:val="18"/>
        </w:rPr>
        <w:t>Zdroj dat: MŠMT</w:t>
      </w:r>
    </w:p>
    <w:p w14:paraId="125FC0E6" w14:textId="40FA24FD" w:rsidR="00C87804" w:rsidRPr="00A95396" w:rsidRDefault="00C87804" w:rsidP="00494CF0">
      <w:pPr>
        <w:spacing w:after="120"/>
        <w:ind w:firstLine="284"/>
        <w:jc w:val="both"/>
        <w:rPr>
          <w:b/>
          <w:color w:val="244061" w:themeColor="accent1" w:themeShade="80"/>
          <w:sz w:val="28"/>
          <w:szCs w:val="28"/>
        </w:rPr>
      </w:pPr>
      <w:r>
        <w:t xml:space="preserve">Pokud se jedná o </w:t>
      </w:r>
      <w:r w:rsidRPr="001D548C">
        <w:rPr>
          <w:b/>
        </w:rPr>
        <w:t>státní příslušnost</w:t>
      </w:r>
      <w:r>
        <w:t xml:space="preserve">, není překvapením, že 99,3  % studentů bydlících v zahraničí </w:t>
      </w:r>
      <w:r w:rsidR="00885F56">
        <w:t xml:space="preserve">jsou cizí státní příslušnosti. </w:t>
      </w:r>
      <w:r>
        <w:t>Mezi studenty s trvalým bydlištěm v Praze pak bylo těch s cizí státní příslušností 6,6 %, v ostatních krajích činil tento podíl méně než 2 %. Více než 1% byl ještě v kraji Jihomorav</w:t>
      </w:r>
      <w:r w:rsidR="00177A99">
        <w:t>ském (1,7%), Středočeském (1,6 </w:t>
      </w:r>
      <w:r>
        <w:t>%), Karlovarském (1,5 %) a Plzeňském (1,1%). Naopak mezi studenty s </w:t>
      </w:r>
      <w:r w:rsidR="00B73912">
        <w:t>trvalým pobytem na Vysočině tvořili</w:t>
      </w:r>
      <w:r>
        <w:t xml:space="preserve"> cizinci jen 0,3 % a mezi studenty bydlícími ve Zlínském kraji 0,4 %. </w:t>
      </w:r>
    </w:p>
    <w:p w14:paraId="7E7802C7" w14:textId="0E9A37F3" w:rsidR="00C87804" w:rsidRPr="009174EE" w:rsidRDefault="00C87804" w:rsidP="00C87804">
      <w:pPr>
        <w:keepNext/>
        <w:spacing w:after="120"/>
        <w:jc w:val="both"/>
        <w:rPr>
          <w:b/>
        </w:rPr>
      </w:pPr>
      <w:r w:rsidRPr="009174EE">
        <w:rPr>
          <w:b/>
        </w:rPr>
        <w:t xml:space="preserve">Graf č. </w:t>
      </w:r>
      <w:r w:rsidR="00A3697D">
        <w:rPr>
          <w:b/>
        </w:rPr>
        <w:t>1.32</w:t>
      </w:r>
      <w:r w:rsidRPr="009174EE">
        <w:rPr>
          <w:b/>
        </w:rPr>
        <w:t xml:space="preserve"> </w:t>
      </w:r>
      <w:r>
        <w:rPr>
          <w:b/>
        </w:rPr>
        <w:t>Podíl Čechů a cizinců</w:t>
      </w:r>
      <w:r w:rsidR="00337AAC">
        <w:rPr>
          <w:b/>
        </w:rPr>
        <w:t xml:space="preserve"> mezi studenty vysokých škol</w:t>
      </w:r>
      <w:r w:rsidRPr="009174EE">
        <w:rPr>
          <w:b/>
        </w:rPr>
        <w:t xml:space="preserve"> s trvalým pobytem v jednotlivých krajích</w:t>
      </w:r>
      <w:r w:rsidR="00FC593D">
        <w:rPr>
          <w:b/>
        </w:rPr>
        <w:t>, resp. bydlícími</w:t>
      </w:r>
      <w:r w:rsidR="00885F56">
        <w:rPr>
          <w:b/>
        </w:rPr>
        <w:t xml:space="preserve"> v zahraničí (2022)</w:t>
      </w:r>
    </w:p>
    <w:p w14:paraId="5D0F9A95" w14:textId="77777777" w:rsidR="00C87804" w:rsidRDefault="00C87804" w:rsidP="00C87804">
      <w:pPr>
        <w:spacing w:after="120"/>
        <w:jc w:val="both"/>
      </w:pPr>
      <w:r>
        <w:rPr>
          <w:noProof/>
        </w:rPr>
        <w:drawing>
          <wp:inline distT="0" distB="0" distL="0" distR="0" wp14:anchorId="6B0B490C" wp14:editId="3726C8DF">
            <wp:extent cx="5724525" cy="2943225"/>
            <wp:effectExtent l="0" t="0" r="9525" b="9525"/>
            <wp:docPr id="32" name="Graf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AAA1D92" w14:textId="77777777" w:rsidR="00C87804" w:rsidRDefault="00C87804" w:rsidP="00A467D2">
      <w:pPr>
        <w:spacing w:after="120" w:line="240" w:lineRule="auto"/>
        <w:jc w:val="right"/>
        <w:rPr>
          <w:rFonts w:cs="Arial"/>
          <w:sz w:val="18"/>
          <w:szCs w:val="18"/>
        </w:rPr>
      </w:pPr>
      <w:r w:rsidRPr="009B6A28">
        <w:rPr>
          <w:rFonts w:cs="Arial"/>
          <w:sz w:val="18"/>
          <w:szCs w:val="18"/>
        </w:rPr>
        <w:t>Zdroj dat: MŠMT</w:t>
      </w:r>
    </w:p>
    <w:p w14:paraId="2B3D42E8" w14:textId="7AA50D17" w:rsidR="00C87804" w:rsidRDefault="00C87804" w:rsidP="00C87804">
      <w:pPr>
        <w:jc w:val="both"/>
        <w:rPr>
          <w:rFonts w:cs="Arial"/>
          <w:sz w:val="18"/>
          <w:szCs w:val="18"/>
        </w:rPr>
      </w:pPr>
      <w:r w:rsidRPr="008A4219">
        <w:rPr>
          <w:rFonts w:cs="Arial"/>
          <w:sz w:val="18"/>
          <w:szCs w:val="18"/>
        </w:rPr>
        <w:t>Pozn.: Součet podílů studentů</w:t>
      </w:r>
      <w:r>
        <w:rPr>
          <w:rFonts w:cs="Arial"/>
          <w:sz w:val="18"/>
          <w:szCs w:val="18"/>
        </w:rPr>
        <w:t xml:space="preserve"> Čechů a studentů cizinců s trvalým pobytem v jednotlivých krajích či v cizině  může být </w:t>
      </w:r>
      <w:r w:rsidRPr="008A4219">
        <w:rPr>
          <w:rFonts w:cs="Arial"/>
          <w:sz w:val="18"/>
          <w:szCs w:val="18"/>
        </w:rPr>
        <w:t xml:space="preserve">mírně vyšší než 100 %, protože jeden student může </w:t>
      </w:r>
      <w:r>
        <w:rPr>
          <w:rFonts w:cs="Arial"/>
          <w:sz w:val="18"/>
          <w:szCs w:val="18"/>
        </w:rPr>
        <w:t>být zapsán pod více občanstvími</w:t>
      </w:r>
      <w:r w:rsidRPr="008A4219">
        <w:rPr>
          <w:rFonts w:cs="Arial"/>
          <w:sz w:val="18"/>
          <w:szCs w:val="18"/>
        </w:rPr>
        <w:t xml:space="preserve">. Pro </w:t>
      </w:r>
      <w:r>
        <w:rPr>
          <w:rFonts w:cs="Arial"/>
          <w:sz w:val="18"/>
          <w:szCs w:val="18"/>
        </w:rPr>
        <w:t>přehlednější</w:t>
      </w:r>
      <w:r w:rsidRPr="008A4219">
        <w:rPr>
          <w:rFonts w:cs="Arial"/>
          <w:sz w:val="18"/>
          <w:szCs w:val="18"/>
        </w:rPr>
        <w:t xml:space="preserve"> vyjádření jsou však podíly </w:t>
      </w:r>
      <w:r w:rsidR="0041666B">
        <w:rPr>
          <w:rFonts w:cs="Arial"/>
          <w:sz w:val="18"/>
          <w:szCs w:val="18"/>
        </w:rPr>
        <w:t xml:space="preserve">Čechů i cizinců </w:t>
      </w:r>
      <w:r w:rsidR="00C700EA">
        <w:rPr>
          <w:rFonts w:cs="Arial"/>
          <w:sz w:val="18"/>
          <w:szCs w:val="18"/>
        </w:rPr>
        <w:t xml:space="preserve">u každého území </w:t>
      </w:r>
      <w:r w:rsidRPr="008A4219">
        <w:rPr>
          <w:rFonts w:cs="Arial"/>
          <w:sz w:val="18"/>
          <w:szCs w:val="18"/>
        </w:rPr>
        <w:t xml:space="preserve">jen v jednom </w:t>
      </w:r>
      <w:r>
        <w:rPr>
          <w:rFonts w:cs="Arial"/>
          <w:sz w:val="18"/>
          <w:szCs w:val="18"/>
        </w:rPr>
        <w:t>řádku.</w:t>
      </w:r>
    </w:p>
    <w:p w14:paraId="683C8217" w14:textId="4D6227C4" w:rsidR="00C87804" w:rsidRDefault="00C87804" w:rsidP="00494CF0">
      <w:pPr>
        <w:ind w:firstLine="284"/>
        <w:jc w:val="both"/>
      </w:pPr>
      <w:r>
        <w:lastRenderedPageBreak/>
        <w:t xml:space="preserve">Zaměřme pozornost na dělení dle </w:t>
      </w:r>
      <w:r w:rsidRPr="00A04004">
        <w:rPr>
          <w:b/>
        </w:rPr>
        <w:t>zřizovatele školy</w:t>
      </w:r>
      <w:r>
        <w:t>. Nejvyšší podíl studentů soukromých vysokých škol byl mezi těmi s trvalým pobytem v Praze (17,3 %) a v kraji Středočeském (17 %). To není nijak překvapující vzhledem ke skutečnosti, že 78,6 % stud</w:t>
      </w:r>
      <w:r w:rsidR="00E21624">
        <w:t>entů soukromých vysokých škol</w:t>
      </w:r>
      <w:r>
        <w:t xml:space="preserve"> studuje v Praze (viz výše v této zprávě). Vyšší podíl studentů soukromých vysokých škol byl také mezi studenty </w:t>
      </w:r>
      <w:r w:rsidR="00E21624">
        <w:t xml:space="preserve">bydlícími </w:t>
      </w:r>
      <w:r>
        <w:t>v kraji Karlovarském (15,1 %), následuje kraj Ústecký (11,6 %) a Liberecký (10,8 %). Ostatní kraje již zaznamenaly méně než 10 % studentů soukromých vysokých škol, studenti bydlící v zahraničí pak 8,2 %. Nejmenší podíl studentů soukromých vysokých škol byl mezi těmi s trvalým pobytem v kraji Zlínském (3,5 %).</w:t>
      </w:r>
    </w:p>
    <w:p w14:paraId="745794F4" w14:textId="018B76D8" w:rsidR="00C87804" w:rsidRPr="009174EE" w:rsidRDefault="00C87804" w:rsidP="00C87804">
      <w:pPr>
        <w:keepNext/>
        <w:spacing w:after="120"/>
        <w:jc w:val="both"/>
        <w:rPr>
          <w:b/>
        </w:rPr>
      </w:pPr>
      <w:r w:rsidRPr="009174EE">
        <w:rPr>
          <w:b/>
        </w:rPr>
        <w:t xml:space="preserve">Graf č. </w:t>
      </w:r>
      <w:r w:rsidR="00A3697D">
        <w:rPr>
          <w:b/>
        </w:rPr>
        <w:t>1.33</w:t>
      </w:r>
      <w:r w:rsidRPr="009174EE">
        <w:rPr>
          <w:b/>
        </w:rPr>
        <w:t xml:space="preserve"> Podíl st</w:t>
      </w:r>
      <w:r w:rsidR="001446A8">
        <w:rPr>
          <w:b/>
        </w:rPr>
        <w:t>udentů vysokých škol</w:t>
      </w:r>
      <w:r w:rsidRPr="009174EE">
        <w:rPr>
          <w:b/>
        </w:rPr>
        <w:t xml:space="preserve"> me</w:t>
      </w:r>
      <w:r w:rsidR="007644F1">
        <w:rPr>
          <w:b/>
        </w:rPr>
        <w:t>zi studenty s trvalým pobytem v </w:t>
      </w:r>
      <w:r w:rsidRPr="009174EE">
        <w:rPr>
          <w:b/>
        </w:rPr>
        <w:t>jednotlivých krajích</w:t>
      </w:r>
      <w:r w:rsidR="00FE6353">
        <w:rPr>
          <w:b/>
        </w:rPr>
        <w:t>, resp. bydlícími</w:t>
      </w:r>
      <w:r w:rsidR="00442793">
        <w:rPr>
          <w:b/>
        </w:rPr>
        <w:t xml:space="preserve"> v zahraničí</w:t>
      </w:r>
      <w:r w:rsidRPr="009174EE">
        <w:rPr>
          <w:b/>
        </w:rPr>
        <w:t xml:space="preserve"> </w:t>
      </w:r>
      <w:r w:rsidR="001446A8">
        <w:rPr>
          <w:b/>
        </w:rPr>
        <w:t xml:space="preserve">dle druhu zřizovatele </w:t>
      </w:r>
      <w:r>
        <w:rPr>
          <w:b/>
        </w:rPr>
        <w:t>(2022)</w:t>
      </w:r>
    </w:p>
    <w:p w14:paraId="5EFA445B" w14:textId="77777777" w:rsidR="00C87804" w:rsidRPr="00C406F3" w:rsidRDefault="00C87804" w:rsidP="00C87804">
      <w:pPr>
        <w:spacing w:after="120"/>
        <w:jc w:val="both"/>
        <w:rPr>
          <w:b/>
          <w:color w:val="244061" w:themeColor="accent1" w:themeShade="80"/>
          <w:sz w:val="28"/>
          <w:szCs w:val="28"/>
        </w:rPr>
      </w:pPr>
      <w:r>
        <w:rPr>
          <w:noProof/>
        </w:rPr>
        <w:drawing>
          <wp:inline distT="0" distB="0" distL="0" distR="0" wp14:anchorId="74EB8857" wp14:editId="79804CF1">
            <wp:extent cx="5760720" cy="2800350"/>
            <wp:effectExtent l="0" t="0" r="11430" b="0"/>
            <wp:docPr id="43" name="Graf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421D50AB" w14:textId="77777777" w:rsidR="00C87804" w:rsidRPr="007644F1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7644F1">
        <w:rPr>
          <w:sz w:val="18"/>
          <w:szCs w:val="18"/>
        </w:rPr>
        <w:t>Zdroj dat: MŠMT</w:t>
      </w:r>
    </w:p>
    <w:p w14:paraId="79AC8264" w14:textId="3B6DEE22" w:rsidR="00C87804" w:rsidRDefault="00C87804" w:rsidP="00494CF0">
      <w:pPr>
        <w:spacing w:after="120"/>
        <w:ind w:firstLine="284"/>
        <w:jc w:val="both"/>
      </w:pPr>
      <w:r>
        <w:t xml:space="preserve">Graf č. </w:t>
      </w:r>
      <w:r w:rsidR="00A82BFD">
        <w:t>1.34</w:t>
      </w:r>
      <w:r>
        <w:t xml:space="preserve"> se dále zaměřuje na dělení dle </w:t>
      </w:r>
      <w:r w:rsidRPr="00A04004">
        <w:rPr>
          <w:b/>
        </w:rPr>
        <w:t>formy vzdělávání</w:t>
      </w:r>
      <w:r>
        <w:t>.</w:t>
      </w:r>
    </w:p>
    <w:p w14:paraId="6A132119" w14:textId="4AF4B477" w:rsidR="00C87804" w:rsidRDefault="00C87804" w:rsidP="00C87804">
      <w:pPr>
        <w:keepNext/>
        <w:spacing w:after="120"/>
        <w:jc w:val="both"/>
        <w:rPr>
          <w:b/>
          <w:color w:val="244061" w:themeColor="accent1" w:themeShade="80"/>
          <w:sz w:val="28"/>
          <w:szCs w:val="28"/>
        </w:rPr>
      </w:pPr>
      <w:r w:rsidRPr="009174EE">
        <w:rPr>
          <w:b/>
        </w:rPr>
        <w:t xml:space="preserve">Graf č. </w:t>
      </w:r>
      <w:r w:rsidR="00A3697D">
        <w:rPr>
          <w:b/>
        </w:rPr>
        <w:t>1.34</w:t>
      </w:r>
      <w:r w:rsidRPr="009174EE">
        <w:rPr>
          <w:b/>
        </w:rPr>
        <w:t xml:space="preserve"> </w:t>
      </w:r>
      <w:r>
        <w:rPr>
          <w:b/>
        </w:rPr>
        <w:t xml:space="preserve">Podíl studentů prezenční formy a jiných forem vzdělávání </w:t>
      </w:r>
      <w:r w:rsidR="00FE6353">
        <w:rPr>
          <w:b/>
        </w:rPr>
        <w:t>mezi studenty vysokých škol</w:t>
      </w:r>
      <w:r w:rsidRPr="009174EE">
        <w:rPr>
          <w:b/>
        </w:rPr>
        <w:t xml:space="preserve"> s trvalým pobytem v jednotlivých krajích</w:t>
      </w:r>
      <w:r w:rsidR="00A85C0E">
        <w:rPr>
          <w:b/>
        </w:rPr>
        <w:t>, resp. bydlícími</w:t>
      </w:r>
      <w:r w:rsidR="00442793">
        <w:rPr>
          <w:b/>
        </w:rPr>
        <w:t xml:space="preserve"> v zahraničí</w:t>
      </w:r>
      <w:r>
        <w:rPr>
          <w:b/>
        </w:rPr>
        <w:t xml:space="preserve"> (2022)</w:t>
      </w:r>
    </w:p>
    <w:p w14:paraId="7AE9B623" w14:textId="77777777" w:rsidR="00C87804" w:rsidRPr="009174EE" w:rsidRDefault="00C87804" w:rsidP="00C87804">
      <w:pPr>
        <w:spacing w:after="120"/>
        <w:jc w:val="both"/>
        <w:rPr>
          <w:b/>
          <w:color w:val="244061" w:themeColor="accent1" w:themeShade="80"/>
          <w:sz w:val="28"/>
          <w:szCs w:val="28"/>
        </w:rPr>
      </w:pPr>
      <w:r>
        <w:rPr>
          <w:noProof/>
        </w:rPr>
        <w:drawing>
          <wp:inline distT="0" distB="0" distL="0" distR="0" wp14:anchorId="7602A9E9" wp14:editId="7E6C86E4">
            <wp:extent cx="5734050" cy="2800350"/>
            <wp:effectExtent l="0" t="0" r="0" b="0"/>
            <wp:docPr id="41" name="Graf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72FD58CB" w14:textId="77777777" w:rsidR="00C87804" w:rsidRPr="007644F1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7644F1">
        <w:rPr>
          <w:sz w:val="18"/>
          <w:szCs w:val="18"/>
        </w:rPr>
        <w:t>Zdroj dat: MŠMT</w:t>
      </w:r>
    </w:p>
    <w:p w14:paraId="7C445C27" w14:textId="317D6844" w:rsidR="00C87804" w:rsidRPr="00A04004" w:rsidRDefault="00C87804" w:rsidP="00494CF0">
      <w:pPr>
        <w:spacing w:after="120"/>
        <w:ind w:firstLine="284"/>
        <w:jc w:val="both"/>
      </w:pPr>
      <w:r>
        <w:lastRenderedPageBreak/>
        <w:t>Nejvyšší podíl studentů, kteří se vzdělávali distanční či kombinovanou formou, byl mezi těmi s trvalým pobytem v kraji Ústeckém (26,8 %) a Karlovarském (26,3 %)</w:t>
      </w:r>
      <w:r w:rsidR="001C48E7">
        <w:t>, kde zároveň, jak bylo uvedeno, studoval vyšší podíl studentů na soukromé škole</w:t>
      </w:r>
      <w:r>
        <w:t xml:space="preserve">. Naopak méně než 20 % studentů </w:t>
      </w:r>
      <w:r w:rsidR="001C48E7">
        <w:t xml:space="preserve">vzdělávajících se distanční či kombinovanou formou, </w:t>
      </w:r>
      <w:r>
        <w:t>byl</w:t>
      </w:r>
      <w:r w:rsidR="001C48E7">
        <w:t>o</w:t>
      </w:r>
      <w:r>
        <w:t xml:space="preserve"> mezi studenty s trvalým pobytem v kraji Plzeňském (18,7 %) a zejména mezi studenty bydlícími v zahraničí (6,9 %).</w:t>
      </w:r>
    </w:p>
    <w:p w14:paraId="65904079" w14:textId="77777777" w:rsidR="00C87804" w:rsidRDefault="00C87804" w:rsidP="00494CF0">
      <w:pPr>
        <w:spacing w:after="120"/>
        <w:ind w:firstLine="284"/>
        <w:jc w:val="both"/>
      </w:pPr>
      <w:r w:rsidRPr="005328C8">
        <w:t xml:space="preserve">Pokud jde o </w:t>
      </w:r>
      <w:r w:rsidRPr="00A04004">
        <w:rPr>
          <w:b/>
        </w:rPr>
        <w:t>studijní program</w:t>
      </w:r>
      <w:r>
        <w:rPr>
          <w:b/>
        </w:rPr>
        <w:t>y</w:t>
      </w:r>
      <w:r w:rsidRPr="005328C8">
        <w:t xml:space="preserve">, </w:t>
      </w:r>
      <w:r>
        <w:t xml:space="preserve">nejvyšší podíl </w:t>
      </w:r>
      <w:r w:rsidRPr="00A04004">
        <w:rPr>
          <w:b/>
          <w:i/>
        </w:rPr>
        <w:t>doktorandů</w:t>
      </w:r>
      <w:r>
        <w:t xml:space="preserve"> byl v roce 2022 mezi studenty bydlícími v zahraničí (10,3 %), v Praze (9,6 %) a v kraji Jihomoravském (7,4 %). Naopak nejmenší podíl doktorandů zaznamenaly kraje Ústecký (4,4 %) a Karlovarský (4,4 %). </w:t>
      </w:r>
    </w:p>
    <w:p w14:paraId="6A0648FB" w14:textId="4F036371" w:rsidR="00C87804" w:rsidRDefault="00C87804" w:rsidP="00494CF0">
      <w:pPr>
        <w:spacing w:after="120"/>
        <w:ind w:firstLine="284"/>
        <w:jc w:val="both"/>
      </w:pPr>
      <w:r>
        <w:t xml:space="preserve">Nejvyšší podíl studentů </w:t>
      </w:r>
      <w:r w:rsidRPr="00A04004">
        <w:rPr>
          <w:b/>
          <w:i/>
        </w:rPr>
        <w:t xml:space="preserve">bakalářských </w:t>
      </w:r>
      <w:r>
        <w:t>oborů byl mezi studenty byd</w:t>
      </w:r>
      <w:r w:rsidR="002A4BCD">
        <w:t>lícími v</w:t>
      </w:r>
      <w:r w:rsidR="00621D79">
        <w:t> </w:t>
      </w:r>
      <w:r w:rsidR="002A4BCD">
        <w:t>kraji</w:t>
      </w:r>
      <w:r w:rsidR="00621D79">
        <w:t xml:space="preserve"> Ústeckém (65 %)</w:t>
      </w:r>
      <w:r w:rsidR="002A4BCD">
        <w:t xml:space="preserve"> Libereckém (64,7 </w:t>
      </w:r>
      <w:r>
        <w:t>%), Středoče</w:t>
      </w:r>
      <w:r w:rsidR="00FF5EDA">
        <w:t>ském (64,5 %) a Jihočeském (64,4</w:t>
      </w:r>
      <w:r>
        <w:t> %). Nejmenší podíl studentů bakalářských oborů byl mezi těmi studenty, kteří bydleli v zahraničí (51,5 %).</w:t>
      </w:r>
    </w:p>
    <w:p w14:paraId="0E2ABC06" w14:textId="2982A2D1" w:rsidR="00C87804" w:rsidRPr="008C4B4F" w:rsidRDefault="00C87804" w:rsidP="00C87804">
      <w:pPr>
        <w:keepNext/>
        <w:spacing w:after="120"/>
        <w:jc w:val="both"/>
        <w:rPr>
          <w:b/>
        </w:rPr>
      </w:pPr>
      <w:r w:rsidRPr="008C4B4F">
        <w:rPr>
          <w:b/>
        </w:rPr>
        <w:t xml:space="preserve">Graf č. </w:t>
      </w:r>
      <w:r w:rsidR="00A3697D">
        <w:rPr>
          <w:b/>
        </w:rPr>
        <w:t>1.35</w:t>
      </w:r>
      <w:r w:rsidRPr="008C4B4F">
        <w:rPr>
          <w:b/>
        </w:rPr>
        <w:t xml:space="preserve">  Podíl studentů jednotlivých druhů stud</w:t>
      </w:r>
      <w:r w:rsidR="00FE6353">
        <w:rPr>
          <w:b/>
        </w:rPr>
        <w:t>ijních programů mezi studenty vysokých škol</w:t>
      </w:r>
      <w:r w:rsidRPr="008C4B4F">
        <w:rPr>
          <w:b/>
        </w:rPr>
        <w:t xml:space="preserve"> s trvalým pobytem v jednotlivých krajích</w:t>
      </w:r>
      <w:r w:rsidR="00FE6353">
        <w:rPr>
          <w:b/>
        </w:rPr>
        <w:t>, resp. mezi těmi bydlícími</w:t>
      </w:r>
      <w:r w:rsidR="00777738">
        <w:rPr>
          <w:b/>
        </w:rPr>
        <w:t xml:space="preserve"> v zahraničí</w:t>
      </w:r>
      <w:r>
        <w:rPr>
          <w:b/>
        </w:rPr>
        <w:t xml:space="preserve"> (2022)</w:t>
      </w:r>
    </w:p>
    <w:p w14:paraId="187BE8CE" w14:textId="77777777" w:rsidR="00C87804" w:rsidRDefault="00C87804" w:rsidP="007644F1">
      <w:pPr>
        <w:spacing w:after="120"/>
      </w:pPr>
      <w:r>
        <w:rPr>
          <w:noProof/>
        </w:rPr>
        <w:drawing>
          <wp:inline distT="0" distB="0" distL="0" distR="0" wp14:anchorId="4D2D352A" wp14:editId="17FAA7F6">
            <wp:extent cx="5695950" cy="3790950"/>
            <wp:effectExtent l="0" t="0" r="0" b="0"/>
            <wp:docPr id="42" name="Graf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649EEA45" w14:textId="77777777" w:rsidR="00C87804" w:rsidRPr="007644F1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7644F1">
        <w:rPr>
          <w:sz w:val="18"/>
          <w:szCs w:val="18"/>
        </w:rPr>
        <w:t>Zdroj dat: MŠMT</w:t>
      </w:r>
    </w:p>
    <w:p w14:paraId="3F8E4530" w14:textId="20651012" w:rsidR="00C87804" w:rsidRDefault="00C87804" w:rsidP="00C87804">
      <w:pPr>
        <w:jc w:val="both"/>
        <w:rPr>
          <w:rFonts w:cs="Arial"/>
          <w:sz w:val="18"/>
          <w:szCs w:val="18"/>
        </w:rPr>
      </w:pPr>
      <w:r w:rsidRPr="008A4219">
        <w:rPr>
          <w:rFonts w:cs="Arial"/>
          <w:sz w:val="18"/>
          <w:szCs w:val="18"/>
        </w:rPr>
        <w:t>Pozn.: Součet podílů studentů</w:t>
      </w:r>
      <w:r>
        <w:rPr>
          <w:rFonts w:cs="Arial"/>
          <w:sz w:val="18"/>
          <w:szCs w:val="18"/>
        </w:rPr>
        <w:t xml:space="preserve"> bakalářského, magisterského a doktorského studia  může být </w:t>
      </w:r>
      <w:r w:rsidRPr="008A4219">
        <w:rPr>
          <w:rFonts w:cs="Arial"/>
          <w:sz w:val="18"/>
          <w:szCs w:val="18"/>
        </w:rPr>
        <w:t xml:space="preserve">mírně vyšší než 100 %, protože jeden student může </w:t>
      </w:r>
      <w:r>
        <w:rPr>
          <w:rFonts w:cs="Arial"/>
          <w:sz w:val="18"/>
          <w:szCs w:val="18"/>
        </w:rPr>
        <w:t>být zapsán do více studijních programů</w:t>
      </w:r>
      <w:r w:rsidRPr="008A4219">
        <w:rPr>
          <w:rFonts w:cs="Arial"/>
          <w:sz w:val="18"/>
          <w:szCs w:val="18"/>
        </w:rPr>
        <w:t xml:space="preserve">. Pro </w:t>
      </w:r>
      <w:r>
        <w:rPr>
          <w:rFonts w:cs="Arial"/>
          <w:sz w:val="18"/>
          <w:szCs w:val="18"/>
        </w:rPr>
        <w:t>přehlednější</w:t>
      </w:r>
      <w:r w:rsidRPr="008A4219">
        <w:rPr>
          <w:rFonts w:cs="Arial"/>
          <w:sz w:val="18"/>
          <w:szCs w:val="18"/>
        </w:rPr>
        <w:t xml:space="preserve"> vyjádření jsou však všechny podíly </w:t>
      </w:r>
      <w:r w:rsidR="00963329">
        <w:rPr>
          <w:rFonts w:cs="Arial"/>
          <w:sz w:val="18"/>
          <w:szCs w:val="18"/>
        </w:rPr>
        <w:t xml:space="preserve">za daný kraj </w:t>
      </w:r>
      <w:r w:rsidRPr="008A4219">
        <w:rPr>
          <w:rFonts w:cs="Arial"/>
          <w:sz w:val="18"/>
          <w:szCs w:val="18"/>
        </w:rPr>
        <w:t xml:space="preserve">jen v jednom </w:t>
      </w:r>
      <w:r>
        <w:rPr>
          <w:rFonts w:cs="Arial"/>
          <w:sz w:val="18"/>
          <w:szCs w:val="18"/>
        </w:rPr>
        <w:t>řádku.</w:t>
      </w:r>
    </w:p>
    <w:p w14:paraId="50012066" w14:textId="06D8C7AB" w:rsidR="00C87804" w:rsidRDefault="00C87804" w:rsidP="00494CF0">
      <w:pPr>
        <w:spacing w:after="120"/>
        <w:ind w:firstLine="284"/>
        <w:jc w:val="both"/>
      </w:pPr>
      <w:r>
        <w:t xml:space="preserve">Graf č. </w:t>
      </w:r>
      <w:r w:rsidR="00E21624" w:rsidRPr="00E21624">
        <w:t>1.36</w:t>
      </w:r>
      <w:r w:rsidRPr="00E21624">
        <w:t xml:space="preserve"> </w:t>
      </w:r>
      <w:r w:rsidR="00A82BFD">
        <w:t xml:space="preserve">dále </w:t>
      </w:r>
      <w:r w:rsidRPr="00E21624">
        <w:t>ukazuje</w:t>
      </w:r>
      <w:r>
        <w:t xml:space="preserve"> vývoj podílu studentů </w:t>
      </w:r>
      <w:r w:rsidRPr="00693052">
        <w:rPr>
          <w:b/>
        </w:rPr>
        <w:t>doktorského studijního programu</w:t>
      </w:r>
      <w:r>
        <w:t xml:space="preserve"> mezi roky 2002, 2012 a 2022 dle </w:t>
      </w:r>
      <w:r w:rsidR="00A82BFD">
        <w:t xml:space="preserve">trvalého </w:t>
      </w:r>
      <w:r w:rsidR="008F6AFE">
        <w:t xml:space="preserve">bydliště studentů. </w:t>
      </w:r>
      <w:r>
        <w:t>Jak je patrné, nejvýraznější vývoj v čase zaznamenal podíl doktorských studentů ze všech studentů u skupiny bydlící v zahraničí. Zatímco v roce 200</w:t>
      </w:r>
      <w:r w:rsidR="00693052">
        <w:t>2 činil pouze 3,3 %, v roce 2012</w:t>
      </w:r>
      <w:r>
        <w:t xml:space="preserve"> to již bylo 8,2</w:t>
      </w:r>
      <w:r w:rsidR="00693052">
        <w:t> % a v roce 2022</w:t>
      </w:r>
      <w:r>
        <w:t xml:space="preserve"> více než desetina (10,3 %), což </w:t>
      </w:r>
      <w:r w:rsidR="00693052">
        <w:t xml:space="preserve">bylo </w:t>
      </w:r>
      <w:r>
        <w:t xml:space="preserve">více než u studentů s trvalým bydlištěm v Praze (9,6 %). Vezmeme-li v potaz, že mezi všemi studenty s trvalým bydlištěm v ČR byl podíl studentů doktorského studia v roce 2022 celkem 6 %, pak v krajském srovnání zaznamenal nadprůměrný podíl </w:t>
      </w:r>
      <w:r w:rsidR="00693052">
        <w:t>doktorandů</w:t>
      </w:r>
      <w:r>
        <w:t xml:space="preserve"> ze všech vysokoškolských studentů v roce 2022 kromě Prahy také kraj Jihomoravský (7,4 %) a Plzeňský (6,3 %). Průměrného výsledku dosáhl kraj Olomoucký (6 %). Naopak méně než 5% byl tento podíl v kraji Ústeckém a Karlovarském (obojí 4,4 %), na Vysočině </w:t>
      </w:r>
      <w:r>
        <w:lastRenderedPageBreak/>
        <w:t>a v kraji Pardubickém (</w:t>
      </w:r>
      <w:r w:rsidR="00A82BFD">
        <w:t xml:space="preserve">obojí </w:t>
      </w:r>
      <w:r>
        <w:t>4,6 %), v kraji Středočeském (4,8 %) a Jihočeském (4,9 %). Vzestup podílu doktorských studentů mezi</w:t>
      </w:r>
      <w:r w:rsidR="00A82BFD">
        <w:t xml:space="preserve"> studenty bydlícími v zahraničí</w:t>
      </w:r>
      <w:r>
        <w:t xml:space="preserve"> v čase zároveň kontrastuje se situací v jednotlivých krajích v ČR. Ve všech krajích ČR došlo mezi lety 2002 a 2022 do jisté míry naopak ke snížení tohoto podílu. V porovnání s rokem 2012 však byl již u některých krajů podíl doktorandů v roce 2022 vyšší, a sice v kraji Karlovarském, Plzeňském, Jihočeském a nepatrně i Ústeckém.</w:t>
      </w:r>
    </w:p>
    <w:p w14:paraId="5644BA5A" w14:textId="429758B6" w:rsidR="00C87804" w:rsidRPr="00E15164" w:rsidRDefault="00C87804" w:rsidP="00C87804">
      <w:pPr>
        <w:keepNext/>
        <w:spacing w:after="120"/>
        <w:jc w:val="both"/>
        <w:rPr>
          <w:rFonts w:asciiTheme="minorHAnsi" w:hAnsiTheme="minorHAnsi" w:cstheme="minorBidi"/>
          <w:b/>
          <w:sz w:val="22"/>
          <w:szCs w:val="22"/>
        </w:rPr>
      </w:pPr>
      <w:r>
        <w:rPr>
          <w:b/>
        </w:rPr>
        <w:t xml:space="preserve">Graf č. </w:t>
      </w:r>
      <w:r w:rsidR="00A3697D" w:rsidRPr="00A3697D">
        <w:rPr>
          <w:b/>
        </w:rPr>
        <w:t>1.36</w:t>
      </w:r>
      <w:r w:rsidRPr="00A3697D">
        <w:rPr>
          <w:b/>
        </w:rPr>
        <w:t xml:space="preserve"> </w:t>
      </w:r>
      <w:r w:rsidR="00A3697D" w:rsidRPr="00A3697D">
        <w:rPr>
          <w:b/>
        </w:rPr>
        <w:t>P</w:t>
      </w:r>
      <w:r w:rsidRPr="00A3697D">
        <w:rPr>
          <w:b/>
        </w:rPr>
        <w:t>odíl</w:t>
      </w:r>
      <w:r w:rsidRPr="0064659B">
        <w:rPr>
          <w:b/>
        </w:rPr>
        <w:t xml:space="preserve"> studentů doktorského studia </w:t>
      </w:r>
      <w:r>
        <w:rPr>
          <w:b/>
        </w:rPr>
        <w:t xml:space="preserve">dle bydliště studenta – vývoj </w:t>
      </w:r>
      <w:r w:rsidR="007644F1">
        <w:rPr>
          <w:b/>
        </w:rPr>
        <w:t>v</w:t>
      </w:r>
      <w:r w:rsidR="00693052">
        <w:rPr>
          <w:b/>
        </w:rPr>
        <w:t> </w:t>
      </w:r>
      <w:r>
        <w:rPr>
          <w:b/>
        </w:rPr>
        <w:t>čase</w:t>
      </w:r>
    </w:p>
    <w:p w14:paraId="25ADEB9C" w14:textId="77777777" w:rsidR="00C87804" w:rsidRDefault="00C87804" w:rsidP="007644F1">
      <w:pPr>
        <w:spacing w:after="120"/>
        <w:jc w:val="both"/>
        <w:rPr>
          <w:rFonts w:cs="Arial"/>
          <w:sz w:val="18"/>
          <w:szCs w:val="18"/>
        </w:rPr>
      </w:pPr>
      <w:r w:rsidRPr="008F6AFE">
        <w:rPr>
          <w:noProof/>
          <w:color w:val="FF7C80"/>
        </w:rPr>
        <w:drawing>
          <wp:inline distT="0" distB="0" distL="0" distR="0" wp14:anchorId="4BA14493" wp14:editId="6872C145">
            <wp:extent cx="5760720" cy="2886075"/>
            <wp:effectExtent l="0" t="0" r="11430" b="9525"/>
            <wp:docPr id="48" name="Graf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1C347C24" w14:textId="77777777" w:rsidR="00C87804" w:rsidRPr="007644F1" w:rsidRDefault="00C87804" w:rsidP="00C87804">
      <w:pPr>
        <w:spacing w:after="120" w:line="240" w:lineRule="auto"/>
        <w:jc w:val="right"/>
        <w:rPr>
          <w:rFonts w:asciiTheme="minorHAnsi" w:hAnsiTheme="minorHAnsi" w:cstheme="minorBidi"/>
          <w:sz w:val="18"/>
          <w:szCs w:val="18"/>
        </w:rPr>
      </w:pPr>
      <w:r w:rsidRPr="007644F1">
        <w:rPr>
          <w:sz w:val="18"/>
          <w:szCs w:val="18"/>
        </w:rPr>
        <w:t>Zdroj dat: MŠMT</w:t>
      </w:r>
    </w:p>
    <w:p w14:paraId="248B3AF6" w14:textId="40010A9C" w:rsidR="00C87804" w:rsidRPr="00941210" w:rsidRDefault="00C87804" w:rsidP="00494CF0">
      <w:pPr>
        <w:ind w:firstLine="284"/>
        <w:jc w:val="both"/>
      </w:pPr>
      <w:r>
        <w:t>Tabulka č. </w:t>
      </w:r>
      <w:r w:rsidR="00693052">
        <w:t>1.</w:t>
      </w:r>
      <w:r w:rsidR="000A0B41">
        <w:t>7</w:t>
      </w:r>
      <w:r>
        <w:t xml:space="preserve"> uvádí jednotlivé kraje, resp. bydliště v zahraničí, a u každé této lokality ukazuje, jaký podíl </w:t>
      </w:r>
      <w:r w:rsidR="00AE3C8E">
        <w:t xml:space="preserve">z celkového počtu </w:t>
      </w:r>
      <w:r>
        <w:t xml:space="preserve">studentů </w:t>
      </w:r>
      <w:r w:rsidR="00AE3C8E">
        <w:t>s příslušným</w:t>
      </w:r>
      <w:r w:rsidR="002A4BCD">
        <w:t xml:space="preserve"> bydliště</w:t>
      </w:r>
      <w:r w:rsidR="00AE3C8E">
        <w:t>m</w:t>
      </w:r>
      <w:r w:rsidR="002A4BCD">
        <w:t xml:space="preserve"> </w:t>
      </w:r>
      <w:r>
        <w:t>studoval obory</w:t>
      </w:r>
      <w:r w:rsidR="00B11E82">
        <w:t xml:space="preserve"> spadající do</w:t>
      </w:r>
      <w:r>
        <w:t xml:space="preserve"> té které skupiny oborů.  </w:t>
      </w:r>
    </w:p>
    <w:p w14:paraId="0C61A698" w14:textId="22B0C726" w:rsidR="00C87804" w:rsidRDefault="00C87804" w:rsidP="007644F1">
      <w:pPr>
        <w:keepNext/>
        <w:spacing w:after="120"/>
      </w:pPr>
      <w:r>
        <w:rPr>
          <w:b/>
        </w:rPr>
        <w:t xml:space="preserve">Tabulka č. </w:t>
      </w:r>
      <w:r w:rsidR="00192AD0">
        <w:rPr>
          <w:b/>
        </w:rPr>
        <w:t>1.</w:t>
      </w:r>
      <w:r w:rsidR="000A0B41">
        <w:rPr>
          <w:b/>
        </w:rPr>
        <w:t>7</w:t>
      </w:r>
      <w:r>
        <w:rPr>
          <w:b/>
        </w:rPr>
        <w:t xml:space="preserve"> Podíl studentů jednotlivých skupin oborů vzdělávání ze všech studentů v jednotlivých krajích, resp. bydlících v</w:t>
      </w:r>
      <w:r w:rsidR="009E5439">
        <w:rPr>
          <w:b/>
        </w:rPr>
        <w:t> </w:t>
      </w:r>
      <w:r>
        <w:rPr>
          <w:b/>
        </w:rPr>
        <w:t>zahraničí</w:t>
      </w:r>
      <w:r w:rsidR="009E5439">
        <w:rPr>
          <w:b/>
        </w:rPr>
        <w:t xml:space="preserve"> (v %)</w:t>
      </w:r>
    </w:p>
    <w:tbl>
      <w:tblPr>
        <w:tblW w:w="91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7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</w:tblGrid>
      <w:tr w:rsidR="00C87804" w:rsidRPr="00CF0BA9" w14:paraId="2AF65DB4" w14:textId="77777777" w:rsidTr="00802376">
        <w:trPr>
          <w:trHeight w:val="1583"/>
        </w:trPr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940C3AD" w14:textId="77777777" w:rsidR="00C87804" w:rsidRPr="00CF0BA9" w:rsidRDefault="00C87804" w:rsidP="00C437AE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textDirection w:val="btLr"/>
            <w:vAlign w:val="center"/>
            <w:hideMark/>
          </w:tcPr>
          <w:p w14:paraId="649F8F00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Praha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583DD3F5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Středočeský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textDirection w:val="btLr"/>
            <w:vAlign w:val="center"/>
            <w:hideMark/>
          </w:tcPr>
          <w:p w14:paraId="56F9397E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Jihočeský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321F684C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Plzeňský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textDirection w:val="btLr"/>
            <w:vAlign w:val="center"/>
            <w:hideMark/>
          </w:tcPr>
          <w:p w14:paraId="79F0F70F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Karlovarský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2C42F748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Ústecký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textDirection w:val="btLr"/>
            <w:vAlign w:val="center"/>
            <w:hideMark/>
          </w:tcPr>
          <w:p w14:paraId="20155050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Liberecký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6CB6C7A7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Královéhradecký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textDirection w:val="btLr"/>
            <w:vAlign w:val="center"/>
            <w:hideMark/>
          </w:tcPr>
          <w:p w14:paraId="3B165385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Pardubický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DD7EE"/>
            <w:noWrap/>
            <w:textDirection w:val="btLr"/>
            <w:vAlign w:val="center"/>
            <w:hideMark/>
          </w:tcPr>
          <w:p w14:paraId="628EE6E9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Vysočina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1F3D716E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Jihomoravský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textDirection w:val="btLr"/>
            <w:vAlign w:val="center"/>
            <w:hideMark/>
          </w:tcPr>
          <w:p w14:paraId="13355B4F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Olomoucký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DD7EE"/>
            <w:noWrap/>
            <w:textDirection w:val="btLr"/>
            <w:vAlign w:val="center"/>
            <w:hideMark/>
          </w:tcPr>
          <w:p w14:paraId="00FCB115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Zlínský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79221BC3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Moravskoslezský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textDirection w:val="btLr"/>
            <w:vAlign w:val="center"/>
            <w:hideMark/>
          </w:tcPr>
          <w:p w14:paraId="2C8FFD55" w14:textId="77777777" w:rsidR="00C87804" w:rsidRPr="00CF0BA9" w:rsidRDefault="00C87804" w:rsidP="00C437A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/>
                <w:sz w:val="16"/>
                <w:szCs w:val="16"/>
              </w:rPr>
              <w:t>bydliště v zahraničí</w:t>
            </w:r>
          </w:p>
        </w:tc>
      </w:tr>
      <w:tr w:rsidR="00C87804" w:rsidRPr="00CF0BA9" w14:paraId="050FB5FF" w14:textId="77777777" w:rsidTr="00C437AE">
        <w:trPr>
          <w:trHeight w:val="308"/>
        </w:trPr>
        <w:tc>
          <w:tcPr>
            <w:tcW w:w="2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823B" w14:textId="77777777" w:rsidR="00C87804" w:rsidRPr="00CF0BA9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 xml:space="preserve">Vzdělávání a výchova 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E1FB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7,9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3E2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AA65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AAD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3B17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5C46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18,0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CEED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51AF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97C84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ABAE9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11FC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D4320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18,4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50C0C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18,3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C1814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8A6F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1,6</w:t>
            </w:r>
          </w:p>
        </w:tc>
      </w:tr>
      <w:tr w:rsidR="00C87804" w:rsidRPr="00CF0BA9" w14:paraId="3093D44A" w14:textId="77777777" w:rsidTr="00C437AE">
        <w:trPr>
          <w:trHeight w:val="308"/>
        </w:trPr>
        <w:tc>
          <w:tcPr>
            <w:tcW w:w="2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599CE" w14:textId="77777777" w:rsidR="00C87804" w:rsidRPr="00CF0BA9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 xml:space="preserve">Umění a humanitní vědy 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4715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12,7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5C2E7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DC55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7,9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562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44B76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EA66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7,9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208D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7E5D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59804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5B04F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7,4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C541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12082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90986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1B8B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705F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</w:tr>
      <w:tr w:rsidR="00C87804" w:rsidRPr="00CF0BA9" w14:paraId="16280E32" w14:textId="77777777" w:rsidTr="00C437AE">
        <w:trPr>
          <w:trHeight w:val="308"/>
        </w:trPr>
        <w:tc>
          <w:tcPr>
            <w:tcW w:w="2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3E463" w14:textId="77777777" w:rsidR="00C87804" w:rsidRPr="00CF0BA9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Společenské vědy, žurnalistika a informační vědy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8B12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13,2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1AF7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03F15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6,5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022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CD0B5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AC96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CC17E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7F828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7FA4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8AD31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6,6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8E3E6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BEA1D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6,4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1392B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6,2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1045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0567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</w:tr>
      <w:tr w:rsidR="00C87804" w:rsidRPr="00CF0BA9" w14:paraId="48FB9BAD" w14:textId="77777777" w:rsidTr="00C437AE">
        <w:trPr>
          <w:trHeight w:val="308"/>
        </w:trPr>
        <w:tc>
          <w:tcPr>
            <w:tcW w:w="2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5C79" w14:textId="77777777" w:rsidR="00C87804" w:rsidRPr="00CF0BA9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 xml:space="preserve">Obchod, administrativa a právo 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94C4C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24,2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DE3E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23,7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DA2C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A82B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21,9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05FD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F234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727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BE5C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7BBFF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3E0AE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5225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19,7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F3499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16,5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1C5A6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32A5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A667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</w:tr>
      <w:tr w:rsidR="00C87804" w:rsidRPr="00CF0BA9" w14:paraId="6A5E61BF" w14:textId="77777777" w:rsidTr="0097795A">
        <w:trPr>
          <w:trHeight w:val="308"/>
        </w:trPr>
        <w:tc>
          <w:tcPr>
            <w:tcW w:w="2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02904" w14:textId="77777777" w:rsidR="00C87804" w:rsidRPr="00CF0BA9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Přírodní</w:t>
            </w:r>
            <w:r w:rsidRPr="00CF0BA9">
              <w:rPr>
                <w:rFonts w:cs="Arial"/>
                <w:color w:val="000000"/>
                <w:sz w:val="16"/>
                <w:szCs w:val="16"/>
              </w:rPr>
              <w:t xml:space="preserve"> vědy, matematika a statistika 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2713E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3BD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7FC6D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BC074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320B2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1E8F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8,7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3423E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2CBF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E8EA1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277E7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5,6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A25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70A78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98B2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AD2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CF16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9,9</w:t>
            </w:r>
          </w:p>
        </w:tc>
      </w:tr>
      <w:tr w:rsidR="00C87804" w:rsidRPr="00CF0BA9" w14:paraId="746110DA" w14:textId="77777777" w:rsidTr="0097795A">
        <w:trPr>
          <w:trHeight w:val="308"/>
        </w:trPr>
        <w:tc>
          <w:tcPr>
            <w:tcW w:w="2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C5A9" w14:textId="77777777" w:rsidR="00C87804" w:rsidRPr="00CF0BA9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 xml:space="preserve">Informační a komunikační technologie 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3C61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A7E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CA480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FB810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4,3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51780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739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69636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D8975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8,2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204D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8,0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6F8CD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38740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84D4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8C0DC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7045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D152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14,1</w:t>
            </w:r>
          </w:p>
        </w:tc>
      </w:tr>
      <w:tr w:rsidR="00C87804" w:rsidRPr="00CF0BA9" w14:paraId="330556CA" w14:textId="77777777" w:rsidTr="00C437AE">
        <w:trPr>
          <w:trHeight w:val="308"/>
        </w:trPr>
        <w:tc>
          <w:tcPr>
            <w:tcW w:w="2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61C6" w14:textId="77777777" w:rsidR="00C87804" w:rsidRPr="00CF0BA9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 xml:space="preserve">Technika, výroba a stavebnictví 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3B608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9,0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2739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C992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AEF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48FCD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9,0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835E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631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8787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30E4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B756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5481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A890C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83CF8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15,6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7C4FF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3F61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</w:tr>
      <w:tr w:rsidR="00C87804" w:rsidRPr="00CF0BA9" w14:paraId="15A6D2CD" w14:textId="77777777" w:rsidTr="00C437AE">
        <w:trPr>
          <w:trHeight w:val="308"/>
        </w:trPr>
        <w:tc>
          <w:tcPr>
            <w:tcW w:w="2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4218" w14:textId="77777777" w:rsidR="00C87804" w:rsidRPr="00CF0BA9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Zemědělstv</w:t>
            </w:r>
            <w:r>
              <w:rPr>
                <w:rFonts w:cs="Arial"/>
                <w:color w:val="000000"/>
                <w:sz w:val="16"/>
                <w:szCs w:val="16"/>
              </w:rPr>
              <w:t>í, lesnictví, rybářství a veterinářství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7943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D1736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b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2C50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5,7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CDA8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E82A4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BAE6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CE3FD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6A5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F77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BD604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5,5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05C2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C70E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44D4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C442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1,7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F08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</w:tr>
      <w:tr w:rsidR="00C87804" w:rsidRPr="00CF0BA9" w14:paraId="2DA21CA4" w14:textId="77777777" w:rsidTr="00C437AE">
        <w:trPr>
          <w:trHeight w:val="308"/>
        </w:trPr>
        <w:tc>
          <w:tcPr>
            <w:tcW w:w="2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1AEE8" w14:textId="77777777" w:rsidR="00C87804" w:rsidRPr="00CF0BA9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Zdravotní a sociální péče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FC91B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10,2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2EDF1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10,1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2E48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16,0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8A66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D49D7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8E5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0276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2974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93702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028D6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5CCE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4141E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4A61B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202B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DA9B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17,3</w:t>
            </w:r>
          </w:p>
        </w:tc>
      </w:tr>
      <w:tr w:rsidR="00C87804" w:rsidRPr="00CF0BA9" w14:paraId="5C765357" w14:textId="77777777" w:rsidTr="00C437AE">
        <w:trPr>
          <w:trHeight w:val="308"/>
        </w:trPr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7920" w14:textId="77777777" w:rsidR="00C87804" w:rsidRPr="00CF0BA9" w:rsidRDefault="00C87804" w:rsidP="00C437AE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 xml:space="preserve">Služby 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008748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2BA02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6CB4C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A20417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4,1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CC42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00B05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00B050"/>
                <w:sz w:val="16"/>
                <w:szCs w:val="16"/>
              </w:rPr>
              <w:t>8,9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DB03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C1F687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7D39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4,7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FC7ED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C5AF3A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45FE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A2048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51922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2949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0BA9"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99C8" w14:textId="77777777" w:rsidR="00C87804" w:rsidRPr="00CF0BA9" w:rsidRDefault="00C87804" w:rsidP="00C437AE">
            <w:pPr>
              <w:spacing w:after="0" w:line="240" w:lineRule="auto"/>
              <w:jc w:val="right"/>
              <w:rPr>
                <w:rFonts w:cs="Arial"/>
                <w:b/>
                <w:bCs/>
                <w:color w:val="FF0000"/>
                <w:sz w:val="16"/>
                <w:szCs w:val="16"/>
              </w:rPr>
            </w:pPr>
            <w:r w:rsidRPr="00CF0BA9">
              <w:rPr>
                <w:rFonts w:cs="Arial"/>
                <w:b/>
                <w:bCs/>
                <w:color w:val="FF0000"/>
                <w:sz w:val="16"/>
                <w:szCs w:val="16"/>
              </w:rPr>
              <w:t>2,8</w:t>
            </w:r>
          </w:p>
        </w:tc>
      </w:tr>
    </w:tbl>
    <w:p w14:paraId="42680799" w14:textId="77777777" w:rsidR="00C87804" w:rsidRPr="007644F1" w:rsidRDefault="00C87804" w:rsidP="00385BB3">
      <w:pPr>
        <w:spacing w:before="120" w:after="120" w:line="240" w:lineRule="auto"/>
        <w:jc w:val="right"/>
        <w:rPr>
          <w:sz w:val="18"/>
          <w:szCs w:val="18"/>
        </w:rPr>
      </w:pPr>
      <w:r w:rsidRPr="007644F1">
        <w:rPr>
          <w:sz w:val="18"/>
          <w:szCs w:val="18"/>
        </w:rPr>
        <w:t>Zdroj dat: MŠMT</w:t>
      </w:r>
    </w:p>
    <w:p w14:paraId="2BF84E00" w14:textId="322E50C5" w:rsidR="00C87804" w:rsidRDefault="00C87804" w:rsidP="00494CF0">
      <w:pPr>
        <w:spacing w:after="120"/>
        <w:ind w:firstLine="284"/>
        <w:jc w:val="both"/>
      </w:pPr>
      <w:r>
        <w:lastRenderedPageBreak/>
        <w:t xml:space="preserve">Jak je patrné, nejvyšší podíl studentů </w:t>
      </w:r>
      <w:r w:rsidR="00D51FA8">
        <w:t>studující obory z</w:t>
      </w:r>
      <w:r>
        <w:t xml:space="preserve"> oblasti </w:t>
      </w:r>
      <w:r w:rsidRPr="00432923">
        <w:rPr>
          <w:b/>
          <w:i/>
        </w:rPr>
        <w:t>Vzdělávání a výchovy</w:t>
      </w:r>
      <w:r>
        <w:t xml:space="preserve"> byl zaznamenán mezi těmi s trvalým pobytem v kraji Olomouckém (18,4 %), Zlínském (18,3 %) a Ústeckém (18 %), nejmenší naopak mezi těmi s trvalým pobytem v Praze (7,9 %)</w:t>
      </w:r>
      <w:r w:rsidR="00CE0392">
        <w:t xml:space="preserve"> a bydlící v zahraničí (1,6 %)</w:t>
      </w:r>
      <w:r>
        <w:t>. V</w:t>
      </w:r>
      <w:r w:rsidR="0097795A">
        <w:t xml:space="preserve"> Praze byl však ze všech krajů </w:t>
      </w:r>
      <w:r>
        <w:t xml:space="preserve">nejvyšší podíl těch studentů, kteří studovali </w:t>
      </w:r>
      <w:r w:rsidRPr="00432923">
        <w:rPr>
          <w:b/>
          <w:i/>
        </w:rPr>
        <w:t>Umění a humanitní vědy</w:t>
      </w:r>
      <w:r>
        <w:t xml:space="preserve"> (12,7 % ze všech studentů), </w:t>
      </w:r>
      <w:r w:rsidRPr="00432923">
        <w:rPr>
          <w:b/>
          <w:i/>
        </w:rPr>
        <w:t>Společenské vědy, žurnalistiku či informační vědy</w:t>
      </w:r>
      <w:r>
        <w:t xml:space="preserve"> (13,2 %) a </w:t>
      </w:r>
      <w:r w:rsidRPr="00432923">
        <w:rPr>
          <w:b/>
          <w:i/>
        </w:rPr>
        <w:t>Obchod, administrativu a právo</w:t>
      </w:r>
      <w:r>
        <w:t xml:space="preserve"> (24,2 %; následuje kraj Středočeský s 23,7 %). </w:t>
      </w:r>
      <w:r w:rsidRPr="00EB2434">
        <w:t>Umění a humanitní vědy</w:t>
      </w:r>
      <w:r>
        <w:t xml:space="preserve"> naopak nejméně nalákaly studenty z Vysočiny (studovalo je 7,4 % z nich) a z krajů Ústeckého a Jihočeského (shodně 7,9 %). Společenské vědy, žurnalistika a informační vědy si pak získaly nejnižšího zastoupení studentů z kraje Zlínského (6,2 %), Olomouckého (6,4 %), Jihočeského (6,5 %) a z Vysočiny (6,6 %). V Olomouckém kraji byl také zaznamenán nejmenší podíl studentů vzdělávajících se v oblasti </w:t>
      </w:r>
      <w:r w:rsidRPr="00941210">
        <w:t>Obchod</w:t>
      </w:r>
      <w:r>
        <w:t xml:space="preserve">u, administrativy a práva (16,5 %). </w:t>
      </w:r>
    </w:p>
    <w:p w14:paraId="6FD53289" w14:textId="2C3E82F7" w:rsidR="00C87804" w:rsidRDefault="00C87804" w:rsidP="00494CF0">
      <w:pPr>
        <w:spacing w:after="120"/>
        <w:ind w:firstLine="284"/>
        <w:jc w:val="both"/>
      </w:pPr>
      <w:r>
        <w:t xml:space="preserve">Nejvyšší podíl studentů oborů z oblasti </w:t>
      </w:r>
      <w:r w:rsidRPr="00432923">
        <w:rPr>
          <w:b/>
          <w:i/>
        </w:rPr>
        <w:t>Přírodní vědy, matematika a statistika</w:t>
      </w:r>
      <w:r>
        <w:t xml:space="preserve"> byl mezi těmi bydlícími v zahraničí (9,9 %) a poté v kraji Ústeckém (8,7 %). Mezi studenty bydlícími v zahraničí byl také nejvyšší podíl těch studujících </w:t>
      </w:r>
      <w:r w:rsidRPr="00C3398D">
        <w:rPr>
          <w:b/>
          <w:i/>
        </w:rPr>
        <w:t>informační a komunikační technologie</w:t>
      </w:r>
      <w:r>
        <w:t xml:space="preserve"> (14,1 %), zejména oproti 4,3 % takových studentů v kraji Plzeňském. </w:t>
      </w:r>
      <w:r w:rsidRPr="00C3398D">
        <w:rPr>
          <w:b/>
          <w:i/>
        </w:rPr>
        <w:t>Technika, výroba a stavebnictví</w:t>
      </w:r>
      <w:r>
        <w:t xml:space="preserve"> byla nejoblíbenější mezi studenty z kraje Zlínského (studovalo ji 15,6 % studentů zde bydlících) a naopak nejméně oblíbená mezi studenty s trvalým pobytem v Praze a v kraji Karlovarském (shodně 9 %). </w:t>
      </w:r>
      <w:r w:rsidRPr="00C3398D">
        <w:rPr>
          <w:b/>
          <w:i/>
        </w:rPr>
        <w:t>Zemědělství, lesnictví a rybářství</w:t>
      </w:r>
      <w:r w:rsidRPr="00645A84">
        <w:rPr>
          <w:b/>
        </w:rPr>
        <w:t xml:space="preserve"> </w:t>
      </w:r>
      <w:r>
        <w:t xml:space="preserve">si získalo nejvyšší zastoupení u studentů bydlících v kraji Jihočeském (5,7 %) a na Vysočině (5,5 %), naopak mezi studenty bydlícími v kraji Moravskoslezském tyto obory studovalo jen 1,7 %. Studium </w:t>
      </w:r>
      <w:r w:rsidRPr="00C3398D">
        <w:rPr>
          <w:b/>
          <w:i/>
        </w:rPr>
        <w:t>zdravotní a sociální péče</w:t>
      </w:r>
      <w:r>
        <w:t xml:space="preserve"> bylo nejoblíbenější mezi studenty ze zahraničí (17,3 %</w:t>
      </w:r>
      <w:r w:rsidR="00EB2434">
        <w:t>)</w:t>
      </w:r>
      <w:r>
        <w:t xml:space="preserve"> a z kraje Jihočeského (16 %), naopak nejméně oblíbené bylo u studentů bydlících v kraji Středočeském (10,1 %) a v Praze (10,2 %). Nakonec oblast </w:t>
      </w:r>
      <w:r w:rsidRPr="0097795A">
        <w:rPr>
          <w:b/>
          <w:i/>
        </w:rPr>
        <w:t>s</w:t>
      </w:r>
      <w:r w:rsidRPr="00C3398D">
        <w:rPr>
          <w:b/>
          <w:i/>
        </w:rPr>
        <w:t>luž</w:t>
      </w:r>
      <w:r>
        <w:rPr>
          <w:b/>
          <w:i/>
        </w:rPr>
        <w:t>eb</w:t>
      </w:r>
      <w:r>
        <w:t xml:space="preserve"> jednozna</w:t>
      </w:r>
      <w:r w:rsidR="00CA2F7B">
        <w:t>čně nejvíce preferovali studenti</w:t>
      </w:r>
      <w:r>
        <w:t xml:space="preserve"> bydlící v Karlovarském kraji (st</w:t>
      </w:r>
      <w:r w:rsidR="0097795A">
        <w:t xml:space="preserve">udovalo je </w:t>
      </w:r>
      <w:r>
        <w:t>8,9</w:t>
      </w:r>
      <w:r w:rsidR="00EB2434">
        <w:t> </w:t>
      </w:r>
      <w:r>
        <w:t>% z nich) a nejméně oblíbenou byla oblast služeb mezi studenty bydlícími v zahraničí (2,8 %) a dále v kraji Plzeňském (4,1 %) a Královéhradeckém (4,7 %).</w:t>
      </w:r>
    </w:p>
    <w:p w14:paraId="4968FCBD" w14:textId="77A53F21" w:rsidR="00C87804" w:rsidRDefault="00297DA5" w:rsidP="00297DA5">
      <w:pPr>
        <w:spacing w:after="0" w:line="240" w:lineRule="auto"/>
      </w:pPr>
      <w:r>
        <w:br w:type="page"/>
      </w:r>
    </w:p>
    <w:p w14:paraId="40787FAA" w14:textId="7F1B3FAA" w:rsidR="009A5291" w:rsidRDefault="00777562" w:rsidP="009A5291">
      <w:pPr>
        <w:pStyle w:val="Nadpis1"/>
        <w:numPr>
          <w:ilvl w:val="0"/>
          <w:numId w:val="19"/>
        </w:numPr>
      </w:pPr>
      <w:bookmarkStart w:id="10" w:name="_Toc135224486"/>
      <w:r w:rsidRPr="00BE41DD">
        <w:lastRenderedPageBreak/>
        <w:t>Studenti p</w:t>
      </w:r>
      <w:r w:rsidR="00C87804" w:rsidRPr="00BE41DD">
        <w:t>oprvé zapsaní do studia a absolventi</w:t>
      </w:r>
      <w:bookmarkEnd w:id="10"/>
      <w:r w:rsidRPr="00BE41DD">
        <w:t xml:space="preserve"> </w:t>
      </w:r>
    </w:p>
    <w:p w14:paraId="53664F66" w14:textId="77777777" w:rsidR="00C55023" w:rsidRPr="00C55023" w:rsidRDefault="00C55023" w:rsidP="00C55023">
      <w:pPr>
        <w:spacing w:after="0" w:line="240" w:lineRule="auto"/>
      </w:pPr>
    </w:p>
    <w:p w14:paraId="36CB3D89" w14:textId="7B5DFC8B" w:rsidR="00297DA5" w:rsidRPr="00297DA5" w:rsidRDefault="009A5291" w:rsidP="00297DA5">
      <w:pPr>
        <w:pStyle w:val="Nadpis2"/>
        <w:spacing w:after="120"/>
      </w:pPr>
      <w:bookmarkStart w:id="11" w:name="_Toc135224487"/>
      <w:r w:rsidRPr="00715750">
        <w:t>Shrnutí</w:t>
      </w:r>
      <w:bookmarkEnd w:id="11"/>
    </w:p>
    <w:p w14:paraId="396E3586" w14:textId="77777777" w:rsidR="009A5291" w:rsidRDefault="009A5291" w:rsidP="00D51FA8">
      <w:pPr>
        <w:spacing w:after="120"/>
        <w:jc w:val="both"/>
      </w:pPr>
      <w:r w:rsidRPr="00715750">
        <w:t xml:space="preserve">Počet </w:t>
      </w:r>
      <w:r w:rsidRPr="00715750">
        <w:rPr>
          <w:b/>
        </w:rPr>
        <w:t>poprvé zapsaných do studia</w:t>
      </w:r>
      <w:r w:rsidRPr="00715750">
        <w:t xml:space="preserve"> mezi roky 2001 až 2009 rostl a celkově se zvýšil o více než čtyři pětiny. Poté začal jejich počet klesat až na 56 024 poprvé zapsaných studentů v roce 2016. Následuje opět růst, v roce 2021 jich bylo 65 415. V roce 2022 jejich počet poklesl na 64 478 studentů</w:t>
      </w:r>
      <w:r>
        <w:t>.</w:t>
      </w:r>
    </w:p>
    <w:p w14:paraId="540823E7" w14:textId="65B88FC3" w:rsidR="009A5291" w:rsidRDefault="009A5291" w:rsidP="00D51FA8">
      <w:pPr>
        <w:spacing w:after="120"/>
        <w:jc w:val="both"/>
      </w:pPr>
      <w:r>
        <w:t xml:space="preserve">Mírný pokles počtu </w:t>
      </w:r>
      <w:r w:rsidRPr="00497A05">
        <w:rPr>
          <w:b/>
        </w:rPr>
        <w:t>poprvé zapsaných studentů</w:t>
      </w:r>
      <w:r>
        <w:t xml:space="preserve"> mezi posledními dvěma sledovanými roky byl dán zejména snížením počtu poprvé zapsaných do skupin oborů </w:t>
      </w:r>
      <w:r w:rsidRPr="00141095">
        <w:rPr>
          <w:b/>
          <w:i/>
        </w:rPr>
        <w:t>Přírodní vědy, matematika a statistika</w:t>
      </w:r>
      <w:r>
        <w:t xml:space="preserve"> (o 7,1 %), </w:t>
      </w:r>
      <w:r w:rsidRPr="00141095">
        <w:rPr>
          <w:b/>
          <w:i/>
        </w:rPr>
        <w:t>Společenské vědy, žurnalistika a informační vědy</w:t>
      </w:r>
      <w:r w:rsidR="0097795A">
        <w:t xml:space="preserve"> (o 6,2 %), </w:t>
      </w:r>
      <w:r w:rsidRPr="00C437AE">
        <w:rPr>
          <w:b/>
          <w:i/>
        </w:rPr>
        <w:t>Služby</w:t>
      </w:r>
      <w:r w:rsidR="00B30005">
        <w:t xml:space="preserve"> (o</w:t>
      </w:r>
      <w:r>
        <w:t xml:space="preserve"> 5,4 %) a </w:t>
      </w:r>
      <w:r w:rsidRPr="00141095">
        <w:rPr>
          <w:b/>
          <w:i/>
        </w:rPr>
        <w:t>Zdravotní a sociální péče</w:t>
      </w:r>
      <w:r>
        <w:t xml:space="preserve"> (o 4,1 %). M</w:t>
      </w:r>
      <w:r w:rsidRPr="00217C56">
        <w:t xml:space="preserve">ezi posledními dvěma roky </w:t>
      </w:r>
      <w:r>
        <w:t xml:space="preserve">nicméně </w:t>
      </w:r>
      <w:r w:rsidRPr="00217C56">
        <w:t xml:space="preserve">poklesl </w:t>
      </w:r>
      <w:r>
        <w:t xml:space="preserve">do jisté míry </w:t>
      </w:r>
      <w:r w:rsidRPr="00217C56">
        <w:t>počet poprvé zapsaných studentů</w:t>
      </w:r>
      <w:r>
        <w:t xml:space="preserve"> téměř ve všech skupinách oborů s výjimkou skupiny </w:t>
      </w:r>
      <w:r w:rsidRPr="00C437AE">
        <w:rPr>
          <w:b/>
          <w:i/>
        </w:rPr>
        <w:t>Informačních a komunikačních technologií</w:t>
      </w:r>
      <w:r>
        <w:t xml:space="preserve"> (došlo k nárůstu o 5,9 %), </w:t>
      </w:r>
      <w:r w:rsidRPr="00C437AE">
        <w:rPr>
          <w:b/>
          <w:i/>
        </w:rPr>
        <w:t>Zemědělství, lesnictví, rybářství a veterinářství</w:t>
      </w:r>
      <w:r>
        <w:t xml:space="preserve"> (o 5,8 %) a </w:t>
      </w:r>
      <w:r w:rsidRPr="00C437AE">
        <w:rPr>
          <w:b/>
          <w:i/>
        </w:rPr>
        <w:t>Obchod</w:t>
      </w:r>
      <w:r>
        <w:rPr>
          <w:b/>
          <w:i/>
        </w:rPr>
        <w:t>u</w:t>
      </w:r>
      <w:r w:rsidRPr="00C437AE">
        <w:rPr>
          <w:b/>
          <w:i/>
        </w:rPr>
        <w:t>, adm</w:t>
      </w:r>
      <w:r>
        <w:rPr>
          <w:b/>
          <w:i/>
        </w:rPr>
        <w:t>inistrativy a práva</w:t>
      </w:r>
      <w:r>
        <w:t xml:space="preserve"> (o 0,3 %).</w:t>
      </w:r>
    </w:p>
    <w:p w14:paraId="57564708" w14:textId="44B4191B" w:rsidR="009A5291" w:rsidRDefault="009A5291" w:rsidP="00B30005">
      <w:pPr>
        <w:spacing w:after="120"/>
        <w:jc w:val="both"/>
      </w:pPr>
      <w:r>
        <w:t xml:space="preserve">O 1,4 % klesl také mezi posledními dvěma roky počet </w:t>
      </w:r>
      <w:r w:rsidRPr="00497A05">
        <w:rPr>
          <w:b/>
        </w:rPr>
        <w:t>poprvé zapsaných</w:t>
      </w:r>
      <w:r>
        <w:t xml:space="preserve"> do skupiny oborů </w:t>
      </w:r>
      <w:r w:rsidRPr="00141095">
        <w:rPr>
          <w:b/>
          <w:i/>
        </w:rPr>
        <w:t>Vzdělávání a výchova</w:t>
      </w:r>
      <w:r>
        <w:t xml:space="preserve">. Právě tato skupina oborů přitom v minulých letech zaznamenala nejvýraznější nárůst poprvé zapsaných studentů - mezi roky 2015 a 2020 vzrostl o 44,4 %. V roce 2022 byl pak počet poprvé zapsaných studentů do vzdělávacích oborů v porovnání s rokem 2015 o 42,1 % vyšší. Podobného nárůstu mezi roky 2015 a 2022 dosáhla také skupina oborů </w:t>
      </w:r>
      <w:r w:rsidRPr="00CC60C2">
        <w:rPr>
          <w:b/>
          <w:i/>
        </w:rPr>
        <w:t>informačních a komunikačních technologií</w:t>
      </w:r>
      <w:r>
        <w:t xml:space="preserve"> (tj. o 39 %), ostatní skupiny oborů zaznamenaly již méně než 20% nárůst, nebo dokonce pokles</w:t>
      </w:r>
      <w:r w:rsidR="009317BB">
        <w:t xml:space="preserve"> (konkrétně v případě společenskovědních oborů o 1,5 % a v případě technických oborů o 16 %).</w:t>
      </w:r>
    </w:p>
    <w:p w14:paraId="23EFF040" w14:textId="77777777" w:rsidR="009A5291" w:rsidRDefault="009A5291" w:rsidP="00B30005">
      <w:pPr>
        <w:spacing w:after="120"/>
        <w:jc w:val="both"/>
      </w:pPr>
      <w:r>
        <w:t xml:space="preserve">Za posledních 15 let se zvýšil </w:t>
      </w:r>
      <w:r w:rsidRPr="004D5864">
        <w:rPr>
          <w:b/>
        </w:rPr>
        <w:t>podíl cizinců</w:t>
      </w:r>
      <w:r>
        <w:t xml:space="preserve"> mezi poprvé zapsanými studenty do studia v české vzdělávací soustavě z desetiny na čtvrtinu.</w:t>
      </w:r>
    </w:p>
    <w:p w14:paraId="46E081C5" w14:textId="77777777" w:rsidR="009A5291" w:rsidRDefault="009A5291" w:rsidP="00B30005">
      <w:pPr>
        <w:spacing w:after="0"/>
        <w:jc w:val="both"/>
      </w:pPr>
    </w:p>
    <w:p w14:paraId="2DDF3716" w14:textId="77777777" w:rsidR="009A5291" w:rsidRDefault="009A5291" w:rsidP="00B30005">
      <w:pPr>
        <w:jc w:val="both"/>
      </w:pPr>
      <w:r>
        <w:t xml:space="preserve">Vývoj počtu </w:t>
      </w:r>
      <w:r w:rsidRPr="00234CC5">
        <w:rPr>
          <w:b/>
        </w:rPr>
        <w:t>absolventů</w:t>
      </w:r>
      <w:r>
        <w:t xml:space="preserve"> v čase vykazuje podobnou tendenci jako vývoj poprvé zapsaných do studia. Změny jsou však výraznější a, pochopitelně, o několik let opožděné. Mezi lety 2001 a 2012 se jejich počet více než ztrojnásobil a poté až do roku 2022 klesal.</w:t>
      </w:r>
    </w:p>
    <w:p w14:paraId="67511CA2" w14:textId="62D3206A" w:rsidR="009A5291" w:rsidRDefault="009A5291" w:rsidP="00B30005">
      <w:pPr>
        <w:spacing w:after="120"/>
        <w:jc w:val="both"/>
      </w:pPr>
      <w:r>
        <w:t>Nejvyšší počet absolventů si v posledních deset</w:t>
      </w:r>
      <w:r w:rsidR="0097795A">
        <w:t xml:space="preserve">i letech udržely skupiny oborů </w:t>
      </w:r>
      <w:r w:rsidRPr="001100F9">
        <w:rPr>
          <w:b/>
          <w:i/>
        </w:rPr>
        <w:t>Obchod, administrativa a právo</w:t>
      </w:r>
      <w:r>
        <w:t xml:space="preserve"> a </w:t>
      </w:r>
      <w:r w:rsidRPr="001100F9">
        <w:rPr>
          <w:b/>
          <w:i/>
        </w:rPr>
        <w:t>Technika, výroba a stavebnictví</w:t>
      </w:r>
      <w:r w:rsidRPr="00497A05">
        <w:t xml:space="preserve">, a to i přes </w:t>
      </w:r>
      <w:r>
        <w:t xml:space="preserve">trvale výrazně klesající tendenci. S jistým odstupem pak v roce 2022 následují tři skupiny oborů, a sice </w:t>
      </w:r>
      <w:r w:rsidRPr="007473C5">
        <w:rPr>
          <w:b/>
          <w:i/>
        </w:rPr>
        <w:t>Vzdělávání a výchova</w:t>
      </w:r>
      <w:r>
        <w:t xml:space="preserve">, </w:t>
      </w:r>
      <w:r w:rsidRPr="007473C5">
        <w:rPr>
          <w:b/>
          <w:i/>
        </w:rPr>
        <w:t>Zdravotní a sociální péče</w:t>
      </w:r>
      <w:r w:rsidR="0097795A">
        <w:t xml:space="preserve"> </w:t>
      </w:r>
      <w:r>
        <w:t xml:space="preserve">a </w:t>
      </w:r>
      <w:r w:rsidRPr="007473C5">
        <w:rPr>
          <w:b/>
          <w:i/>
        </w:rPr>
        <w:t>Společenské vědy, žurnalistika a informační vědy</w:t>
      </w:r>
      <w:r>
        <w:t xml:space="preserve">. </w:t>
      </w:r>
    </w:p>
    <w:p w14:paraId="56C5AC80" w14:textId="77777777" w:rsidR="008D50CC" w:rsidRDefault="009A5291" w:rsidP="00B30005">
      <w:pPr>
        <w:spacing w:after="120"/>
        <w:jc w:val="both"/>
      </w:pPr>
      <w:r>
        <w:t xml:space="preserve">Přitom si lze všimnout, že zatímco </w:t>
      </w:r>
      <w:r w:rsidRPr="008F2897">
        <w:rPr>
          <w:b/>
          <w:i/>
        </w:rPr>
        <w:t>zdravotnické obory</w:t>
      </w:r>
      <w:r>
        <w:t xml:space="preserve"> zaznamenaly v posledních deseti letech relativně setrvalý stav počtu ab</w:t>
      </w:r>
      <w:r w:rsidR="0011542C">
        <w:t>solventů (počet osciluje kolem sedmi</w:t>
      </w:r>
      <w:r>
        <w:t xml:space="preserve"> tisících </w:t>
      </w:r>
      <w:r w:rsidR="004C25C4">
        <w:t>absolventů</w:t>
      </w:r>
      <w:r>
        <w:t>), u </w:t>
      </w:r>
      <w:r w:rsidRPr="008F2897">
        <w:rPr>
          <w:b/>
          <w:i/>
        </w:rPr>
        <w:t>společenskovědních</w:t>
      </w:r>
      <w:r>
        <w:t xml:space="preserve"> oborů a oborů </w:t>
      </w:r>
      <w:r w:rsidRPr="008F2897">
        <w:rPr>
          <w:b/>
          <w:i/>
        </w:rPr>
        <w:t>vzdělávacích</w:t>
      </w:r>
      <w:r>
        <w:t xml:space="preserve"> došlo k úbytku shodně o </w:t>
      </w:r>
      <w:r w:rsidR="009317BB">
        <w:t xml:space="preserve">cca </w:t>
      </w:r>
      <w:r>
        <w:t>43 %. Zároveň lze poznamenat, že pokles počtu absolventů vzdělávacích oborů se v roce 20</w:t>
      </w:r>
      <w:r w:rsidR="0011542C">
        <w:t xml:space="preserve">19 zastavil a držel se na </w:t>
      </w:r>
      <w:r w:rsidR="009317BB">
        <w:t>úrovni, kdy mírně převyšoval hranici sedmi tisíc absolventů</w:t>
      </w:r>
      <w:r>
        <w:t>. Pokud bychom však brali v potaz pouze absolventy magisterských a doktorských programů, byl patrný pokles počtu absolventů vzdělávacích oborů v celém sledovaném období, přestože v pos</w:t>
      </w:r>
      <w:r w:rsidR="00436AC5">
        <w:t>ledních letech jen mírný. Oproti tomu</w:t>
      </w:r>
      <w:r>
        <w:t xml:space="preserve"> počet absolventů zdravotnických oborů od roku 2019 pozvolna stoupá. </w:t>
      </w:r>
    </w:p>
    <w:p w14:paraId="2DC4644B" w14:textId="1A82DE87" w:rsidR="009A5291" w:rsidRDefault="000B25F3" w:rsidP="00B30005">
      <w:pPr>
        <w:spacing w:after="120"/>
        <w:jc w:val="both"/>
      </w:pPr>
      <w:r>
        <w:t xml:space="preserve">Mezi roky 2021 a 2022 došlo k nárůstu </w:t>
      </w:r>
      <w:r w:rsidR="008D50CC">
        <w:t xml:space="preserve">počtu </w:t>
      </w:r>
      <w:r>
        <w:t xml:space="preserve">absolventů ve skupinách oborů </w:t>
      </w:r>
      <w:r w:rsidRPr="008D50CC">
        <w:rPr>
          <w:b/>
          <w:i/>
        </w:rPr>
        <w:t>Přírodní vědy, matematika a statistika</w:t>
      </w:r>
      <w:r>
        <w:t xml:space="preserve"> (o 11,4 %), </w:t>
      </w:r>
      <w:r w:rsidRPr="008D50CC">
        <w:rPr>
          <w:b/>
          <w:i/>
        </w:rPr>
        <w:t>Zdravotní a sociální péče</w:t>
      </w:r>
      <w:r>
        <w:t xml:space="preserve"> (o 1,1 %) a </w:t>
      </w:r>
      <w:r w:rsidRPr="008D50CC">
        <w:rPr>
          <w:b/>
          <w:i/>
        </w:rPr>
        <w:t>Vzdělávání a výchova</w:t>
      </w:r>
      <w:r>
        <w:t xml:space="preserve"> (</w:t>
      </w:r>
      <w:r w:rsidR="008D50CC">
        <w:t xml:space="preserve">pouze nepatrně, </w:t>
      </w:r>
      <w:r>
        <w:t>o 0,4 %). V ostatních skupinách oborů došlo naopak k poklesu.</w:t>
      </w:r>
    </w:p>
    <w:p w14:paraId="62486B3C" w14:textId="5E23D822" w:rsidR="009A5291" w:rsidRDefault="009A5291" w:rsidP="00B30005">
      <w:pPr>
        <w:spacing w:after="120"/>
        <w:jc w:val="both"/>
      </w:pPr>
      <w:r>
        <w:t xml:space="preserve">Za posledních 15 let se zvýšil </w:t>
      </w:r>
      <w:r w:rsidRPr="004D5864">
        <w:rPr>
          <w:b/>
        </w:rPr>
        <w:t>podíl cizinců</w:t>
      </w:r>
      <w:r>
        <w:t xml:space="preserve"> mezi absolventy ze </w:t>
      </w:r>
      <w:r w:rsidRPr="00715750">
        <w:t>6,5 % na 14,8 %.</w:t>
      </w:r>
    </w:p>
    <w:p w14:paraId="212317E8" w14:textId="4E37A5D4" w:rsidR="009A5291" w:rsidRDefault="00297DA5" w:rsidP="00B30005">
      <w:pPr>
        <w:spacing w:after="0" w:line="240" w:lineRule="auto"/>
        <w:jc w:val="both"/>
      </w:pPr>
      <w:r>
        <w:br w:type="page"/>
      </w:r>
    </w:p>
    <w:p w14:paraId="29D66835" w14:textId="2E524AF7" w:rsidR="009A5291" w:rsidRDefault="000A388F" w:rsidP="00297DA5">
      <w:pPr>
        <w:pStyle w:val="Nadpis2"/>
        <w:spacing w:after="120"/>
      </w:pPr>
      <w:bookmarkStart w:id="12" w:name="_Toc135224488"/>
      <w:r>
        <w:lastRenderedPageBreak/>
        <w:t xml:space="preserve">2.1 </w:t>
      </w:r>
      <w:r w:rsidR="004C0FBD">
        <w:t>Vývoj počtu poprvé zapsaných studentů a absolventů</w:t>
      </w:r>
      <w:bookmarkEnd w:id="12"/>
    </w:p>
    <w:p w14:paraId="0BAD29D8" w14:textId="1AF70855" w:rsidR="00C87804" w:rsidRDefault="00C87804" w:rsidP="00494CF0">
      <w:pPr>
        <w:spacing w:after="120"/>
        <w:ind w:firstLine="284"/>
        <w:jc w:val="both"/>
      </w:pPr>
      <w:r>
        <w:t xml:space="preserve">V této publikaci sledujeme kromě studentů vysokých škol také </w:t>
      </w:r>
      <w:r w:rsidRPr="009B223D">
        <w:rPr>
          <w:b/>
        </w:rPr>
        <w:t>absolventy</w:t>
      </w:r>
      <w:r>
        <w:t xml:space="preserve">, a to ať již ve studiu pokračují (např. v navazujícím magisterském studiu po absolvování bakalářského studia), nebo nikoliv. Také sledujeme </w:t>
      </w:r>
      <w:r w:rsidRPr="009B223D">
        <w:rPr>
          <w:b/>
        </w:rPr>
        <w:t>poprvé zapsané do vzdělávání</w:t>
      </w:r>
      <w:r>
        <w:t xml:space="preserve"> na v</w:t>
      </w:r>
      <w:r w:rsidR="00125CCD">
        <w:t xml:space="preserve">ysoké škole v České republice. </w:t>
      </w:r>
      <w:r w:rsidR="00040FD0">
        <w:t>Jak pojem napovídá, mezi tyto studenty nezahrnujeme takové,</w:t>
      </w:r>
      <w:r>
        <w:t xml:space="preserve"> kteří se v daném roce zapsali </w:t>
      </w:r>
      <w:r w:rsidR="00EB2434">
        <w:t xml:space="preserve">např. </w:t>
      </w:r>
      <w:r>
        <w:t>do navazujícího magisterského studia, pokud již v České</w:t>
      </w:r>
      <w:r w:rsidR="00040FD0">
        <w:t xml:space="preserve"> republice dříve studovali (např.</w:t>
      </w:r>
      <w:r>
        <w:t xml:space="preserve"> v bakalářském </w:t>
      </w:r>
      <w:r w:rsidR="00040FD0">
        <w:t>programu)</w:t>
      </w:r>
      <w:r>
        <w:t>.</w:t>
      </w:r>
    </w:p>
    <w:p w14:paraId="0D2AFB72" w14:textId="329061B0" w:rsidR="00C87804" w:rsidRDefault="00C87804" w:rsidP="00494CF0">
      <w:pPr>
        <w:spacing w:after="120"/>
        <w:ind w:firstLine="284"/>
        <w:jc w:val="both"/>
      </w:pPr>
      <w:r>
        <w:t xml:space="preserve">Z grafu </w:t>
      </w:r>
      <w:r w:rsidR="00EB2434">
        <w:t xml:space="preserve">č. </w:t>
      </w:r>
      <w:r>
        <w:t xml:space="preserve">2.1 je patrný růst počtu </w:t>
      </w:r>
      <w:r w:rsidRPr="00234CC5">
        <w:rPr>
          <w:b/>
        </w:rPr>
        <w:t>poprvé zapsaných do studia</w:t>
      </w:r>
      <w:r>
        <w:t xml:space="preserve"> mezi roky 2001 až 2009, a sice ze 47 076 na 85</w:t>
      </w:r>
      <w:r w:rsidR="008D7EFB">
        <w:t> </w:t>
      </w:r>
      <w:r>
        <w:t>991 studentů. Poté začal jejich počet klesat až na 56 024 poprvé zapsaných studentů</w:t>
      </w:r>
      <w:r w:rsidR="008D7EFB">
        <w:t xml:space="preserve"> v roce 2016</w:t>
      </w:r>
      <w:r>
        <w:t xml:space="preserve">. Následuje opět růst, v roce 2021 bylo poprvé zapsaných studentů 65 415 a ke snížení došlo až zase v roce 2022, kdy počet poprvé zapsaných vysokoškolských studentů do studia v české vzdělávací soustavě činil 64 478 studentů. Počet </w:t>
      </w:r>
      <w:r w:rsidRPr="00234CC5">
        <w:rPr>
          <w:b/>
        </w:rPr>
        <w:t>absolventů</w:t>
      </w:r>
      <w:r>
        <w:t xml:space="preserve"> vykazuje podobnou tendenci, ovšem s tím rozdílem, že změny jsou výraznější (</w:t>
      </w:r>
      <w:r w:rsidR="009245FF">
        <w:t>zde může mít vliv</w:t>
      </w:r>
      <w:r>
        <w:t xml:space="preserve"> sledování souhrnného počtu absolventů, ať již dále studují či nikoliv) a, pochopitelně, o několik let opožděné. V roce 2001 tak bylo</w:t>
      </w:r>
      <w:r w:rsidR="008D7EFB">
        <w:t xml:space="preserve"> absolventů celkem</w:t>
      </w:r>
      <w:r>
        <w:t xml:space="preserve"> 30 105, do roku 2012 se jejich počet zvýšil na 94 090 a poté až do roku 2022 klesal, a sice na </w:t>
      </w:r>
      <w:r w:rsidR="00A44708">
        <w:t>58 699</w:t>
      </w:r>
      <w:r>
        <w:t xml:space="preserve"> absolventů.</w:t>
      </w:r>
      <w:r w:rsidR="003732B2" w:rsidRPr="003732B2">
        <w:rPr>
          <w:i/>
          <w:iCs/>
        </w:rPr>
        <w:t xml:space="preserve"> </w:t>
      </w:r>
      <w:r w:rsidR="003732B2" w:rsidRPr="003732B2">
        <w:t>Oproti předchozímu roku je to o 1 896 méně než v roce předchozím a v porovnání s rekordním rokem 2012 jejich počet poklesl dokonce o více než 35 tisíc, tedy o 38 %.</w:t>
      </w:r>
    </w:p>
    <w:p w14:paraId="44FCEBD4" w14:textId="07BDA9E3" w:rsidR="00C87804" w:rsidRDefault="00C87804" w:rsidP="00494CF0">
      <w:pPr>
        <w:spacing w:after="120"/>
        <w:ind w:firstLine="284"/>
        <w:jc w:val="both"/>
      </w:pPr>
      <w:r>
        <w:t xml:space="preserve">Graf 2.1 také ukazuje vývoj podílu žen ze všech poprvé zapsaných studentů do studia v českém vzdělávacím systému a ze všech absolventů tohoto studia. </w:t>
      </w:r>
      <w:r w:rsidRPr="00234CC5">
        <w:rPr>
          <w:b/>
        </w:rPr>
        <w:t>Podíl žen mezi poprvé zapsanými</w:t>
      </w:r>
      <w:r>
        <w:t xml:space="preserve"> do studia byl v roce 2001 přesně 50 %. </w:t>
      </w:r>
      <w:r w:rsidR="00415690">
        <w:t>Následně</w:t>
      </w:r>
      <w:r>
        <w:t xml:space="preserve"> se zvýšil až na 56,8 % v roce 2009. Poté kolísal a postupně se </w:t>
      </w:r>
      <w:r w:rsidR="001743BB">
        <w:t xml:space="preserve">nepatrně </w:t>
      </w:r>
      <w:r>
        <w:t xml:space="preserve">snižoval až na 53,9 % v roce 2022. Pokud jde o </w:t>
      </w:r>
      <w:r w:rsidRPr="00234CC5">
        <w:rPr>
          <w:b/>
        </w:rPr>
        <w:t>absolventy</w:t>
      </w:r>
      <w:r>
        <w:t xml:space="preserve">, rostl podíl žen mezi roky 2001 a 2013, a to z 51,4 % na 61,1 %. Poté postupně </w:t>
      </w:r>
      <w:r w:rsidR="006A635B">
        <w:t>nepatrně</w:t>
      </w:r>
      <w:r>
        <w:t xml:space="preserve"> klesal a v roce 2022 tvořily ženy ze všech absolventů 59 %. </w:t>
      </w:r>
    </w:p>
    <w:p w14:paraId="35EFEC53" w14:textId="2DB2491D" w:rsidR="00C87804" w:rsidRDefault="00C87804" w:rsidP="006946A2">
      <w:pPr>
        <w:keepNext/>
        <w:spacing w:after="120"/>
        <w:jc w:val="both"/>
        <w:rPr>
          <w:b/>
        </w:rPr>
      </w:pPr>
      <w:r w:rsidRPr="009B223D">
        <w:rPr>
          <w:b/>
        </w:rPr>
        <w:t>Graf č. 2.1 Vývoj počtu absolventů a poprvé zapsaných do studia a podíl žen mezi absolventy a poprvé zapsanými</w:t>
      </w:r>
      <w:r w:rsidR="00AA35D7">
        <w:rPr>
          <w:b/>
        </w:rPr>
        <w:t xml:space="preserve"> do studia</w:t>
      </w:r>
    </w:p>
    <w:p w14:paraId="5049EA7E" w14:textId="7F9FFF4F" w:rsidR="00C87804" w:rsidRPr="00176605" w:rsidRDefault="00176605" w:rsidP="00176605">
      <w:pPr>
        <w:keepNext/>
        <w:spacing w:after="120"/>
        <w:jc w:val="both"/>
        <w:rPr>
          <w:b/>
        </w:rPr>
      </w:pPr>
      <w:r w:rsidRPr="00176605">
        <w:rPr>
          <w:noProof/>
          <w:color w:val="CC9900"/>
          <w:highlight w:val="black"/>
        </w:rPr>
        <w:drawing>
          <wp:inline distT="0" distB="0" distL="0" distR="0" wp14:anchorId="709072AC" wp14:editId="2B955E46">
            <wp:extent cx="5829300" cy="3200400"/>
            <wp:effectExtent l="0" t="0" r="0" b="0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3EB5C269" w14:textId="77777777" w:rsidR="00C87804" w:rsidRPr="007644F1" w:rsidRDefault="00C87804" w:rsidP="006946A2">
      <w:pPr>
        <w:spacing w:after="120" w:line="240" w:lineRule="auto"/>
        <w:jc w:val="right"/>
        <w:rPr>
          <w:sz w:val="18"/>
          <w:szCs w:val="18"/>
        </w:rPr>
      </w:pPr>
      <w:r w:rsidRPr="007644F1">
        <w:rPr>
          <w:sz w:val="18"/>
          <w:szCs w:val="18"/>
        </w:rPr>
        <w:t>Zdroj dat: MŠMT</w:t>
      </w:r>
    </w:p>
    <w:p w14:paraId="5A40CF25" w14:textId="101B8A14" w:rsidR="00C87804" w:rsidRDefault="00C87804" w:rsidP="00494CF0">
      <w:pPr>
        <w:ind w:firstLine="284"/>
        <w:jc w:val="both"/>
      </w:pPr>
      <w:r>
        <w:t xml:space="preserve">Výše v textu bylo uvedeno, že v čase soustavně narůstal </w:t>
      </w:r>
      <w:r w:rsidRPr="004D5864">
        <w:t>podíl cizinců</w:t>
      </w:r>
      <w:r>
        <w:t xml:space="preserve"> me</w:t>
      </w:r>
      <w:r w:rsidR="00752440">
        <w:t xml:space="preserve">zi studenty. To samé lze </w:t>
      </w:r>
      <w:r w:rsidR="001743BB">
        <w:t xml:space="preserve">pochopitelně </w:t>
      </w:r>
      <w:r w:rsidR="00752440">
        <w:t>říci i </w:t>
      </w:r>
      <w:r>
        <w:t xml:space="preserve">o poprvé přijatých studentech a absolventech.  Za posledních 15 let se zvýšil </w:t>
      </w:r>
      <w:r w:rsidRPr="004D5864">
        <w:rPr>
          <w:b/>
        </w:rPr>
        <w:t>podíl cizinců</w:t>
      </w:r>
      <w:r>
        <w:t xml:space="preserve"> mezi poprvé zapsanými studenty do studia v české vzdělávací soustavě z desetiny (9,7 %) na čtvrtinu (24,9 %) a podíl poprvé zapsaných studentů </w:t>
      </w:r>
      <w:r w:rsidRPr="004D5864">
        <w:rPr>
          <w:b/>
        </w:rPr>
        <w:t>žijících v zahraničí</w:t>
      </w:r>
      <w:r>
        <w:t xml:space="preserve"> obdobně z 8,7 % na 23,2 %. </w:t>
      </w:r>
      <w:r>
        <w:lastRenderedPageBreak/>
        <w:t xml:space="preserve">Pokud se jedná o absolventy, podíl cizinců mezi nimi v tom samém období narostl z 6,5 % na 14,8 % a podíl absolventů žijících v zahraničí ze všech absolventů narostl z 5,9 % na 13,8 %. Více viz graf </w:t>
      </w:r>
      <w:r w:rsidR="004D5864">
        <w:t xml:space="preserve">č. </w:t>
      </w:r>
      <w:r>
        <w:t xml:space="preserve">2.2.    </w:t>
      </w:r>
    </w:p>
    <w:p w14:paraId="0357A4A6" w14:textId="72B9652B" w:rsidR="00C87804" w:rsidRPr="003639EC" w:rsidRDefault="00A3697D" w:rsidP="00752440">
      <w:pPr>
        <w:keepNext/>
        <w:spacing w:after="120"/>
        <w:jc w:val="both"/>
        <w:rPr>
          <w:b/>
        </w:rPr>
      </w:pPr>
      <w:r>
        <w:rPr>
          <w:b/>
        </w:rPr>
        <w:t xml:space="preserve">Graf č. </w:t>
      </w:r>
      <w:r w:rsidR="00C87804">
        <w:rPr>
          <w:b/>
        </w:rPr>
        <w:t>2.2 Vývoj p</w:t>
      </w:r>
      <w:r w:rsidR="00C87804" w:rsidRPr="003639EC">
        <w:rPr>
          <w:b/>
        </w:rPr>
        <w:t>odíl</w:t>
      </w:r>
      <w:r w:rsidR="00C87804">
        <w:rPr>
          <w:b/>
        </w:rPr>
        <w:t>u</w:t>
      </w:r>
      <w:r w:rsidR="00C87804" w:rsidRPr="003639EC">
        <w:rPr>
          <w:b/>
        </w:rPr>
        <w:t xml:space="preserve"> cizinců a studentů žijících v zahraničí mezi studenty poprvé zapsa</w:t>
      </w:r>
      <w:r w:rsidR="00520B86">
        <w:rPr>
          <w:b/>
        </w:rPr>
        <w:t>nými do vysokoškolského studia a mezi absolventy</w:t>
      </w:r>
      <w:r w:rsidR="00C87804" w:rsidRPr="003639EC">
        <w:rPr>
          <w:b/>
        </w:rPr>
        <w:t> </w:t>
      </w:r>
      <w:r w:rsidR="00520B86">
        <w:rPr>
          <w:b/>
        </w:rPr>
        <w:t>vysokých škol v ČR</w:t>
      </w:r>
      <w:r w:rsidR="00C87804" w:rsidRPr="003639EC">
        <w:rPr>
          <w:b/>
        </w:rPr>
        <w:t xml:space="preserve"> </w:t>
      </w:r>
    </w:p>
    <w:p w14:paraId="54541E7D" w14:textId="77777777" w:rsidR="00C87804" w:rsidRDefault="00C87804" w:rsidP="007644F1">
      <w:pPr>
        <w:spacing w:after="120"/>
        <w:jc w:val="both"/>
      </w:pPr>
      <w:r>
        <w:rPr>
          <w:noProof/>
        </w:rPr>
        <w:drawing>
          <wp:inline distT="0" distB="0" distL="0" distR="0" wp14:anchorId="20D2135D" wp14:editId="22AD47E8">
            <wp:extent cx="5695950" cy="3695700"/>
            <wp:effectExtent l="0" t="0" r="0" b="0"/>
            <wp:docPr id="47" name="Graf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A22855D" w14:textId="77777777" w:rsidR="00C87804" w:rsidRPr="007644F1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7644F1">
        <w:rPr>
          <w:sz w:val="18"/>
          <w:szCs w:val="18"/>
        </w:rPr>
        <w:t>Zdroj dat: MŠMT</w:t>
      </w:r>
    </w:p>
    <w:p w14:paraId="30B0EF97" w14:textId="0E26DED3" w:rsidR="004C0FBD" w:rsidRDefault="004C0FBD" w:rsidP="004C0FBD">
      <w:pPr>
        <w:ind w:firstLine="284"/>
        <w:jc w:val="both"/>
      </w:pPr>
      <w:r>
        <w:t>Pokud se omezíme na období posledních deseti let, pak absolventů bydlící</w:t>
      </w:r>
      <w:r w:rsidR="00A46FEF">
        <w:t>ch v zahraničí přibylo o 7,7 %.</w:t>
      </w:r>
      <w:r>
        <w:t xml:space="preserve"> N</w:t>
      </w:r>
      <w:r w:rsidRPr="004C0FBD">
        <w:t xml:space="preserve">aopak absolventů s trvalým pobytem v České republice ubylo ve všech jejích krajích. </w:t>
      </w:r>
      <w:r w:rsidR="00520B86">
        <w:t>Počet a</w:t>
      </w:r>
      <w:r>
        <w:t xml:space="preserve">bsolventů bydlících v kraji Středočeském </w:t>
      </w:r>
      <w:r w:rsidR="00520B86">
        <w:t>se snížil</w:t>
      </w:r>
      <w:r>
        <w:t xml:space="preserve"> o necelou třetinu (o 31,7 %), následují kraje Plzeňský, Královéhradecký a Jihomoravský, ve kterých absolventů ubylo o </w:t>
      </w:r>
      <w:r w:rsidR="004D6860">
        <w:t>bezmála</w:t>
      </w:r>
      <w:r>
        <w:t xml:space="preserve"> dvě pětiny. Největší </w:t>
      </w:r>
      <w:r w:rsidR="00613EA6">
        <w:t>pokles</w:t>
      </w:r>
      <w:r>
        <w:t xml:space="preserve"> najdeme v kraji Ústeckém (48</w:t>
      </w:r>
      <w:r w:rsidR="007806F9">
        <w:t>,0</w:t>
      </w:r>
      <w:r>
        <w:t xml:space="preserve"> %) a Karlovarském (o 47,1 %), následuje Praha (o 44,7 %), kraj Moravskoslezský (o 44,5 %) a Zlínský (o 44,3 %). </w:t>
      </w:r>
    </w:p>
    <w:p w14:paraId="29BFAB9C" w14:textId="77E2D608" w:rsidR="004C0FBD" w:rsidRPr="004C0FBD" w:rsidRDefault="008F7B8C" w:rsidP="004C0FBD">
      <w:pPr>
        <w:ind w:firstLine="284"/>
        <w:jc w:val="both"/>
      </w:pPr>
      <w:r>
        <w:t>Více viz graf č. 2.3</w:t>
      </w:r>
      <w:r w:rsidR="004C0FBD">
        <w:t>, který také ukazuje, že nejvíce absolventů vysokých škol s trvalým pobytem v České republice pocházelo v roce 2022 z Prahy (6 748), dále kraje Moravskoslezského (6 255), Středočeského (6 </w:t>
      </w:r>
      <w:r w:rsidR="00A46FEF">
        <w:t xml:space="preserve">206) a Jihomoravského (5 917). </w:t>
      </w:r>
      <w:r w:rsidR="004C0FBD">
        <w:t>Ostatní kraje již zaznamenaly méně než 3 300 absolventů, nejméně kraj Karlovarský (918) a Liberecký (1 740). Absolventů bydlících v zahraničí bylo v roce 2022 celkem 8 078.</w:t>
      </w:r>
    </w:p>
    <w:p w14:paraId="54AA563A" w14:textId="143125B3" w:rsidR="004C0FBD" w:rsidRDefault="004C0FBD" w:rsidP="004C0FBD">
      <w:pPr>
        <w:keepNext/>
        <w:spacing w:after="120"/>
        <w:jc w:val="both"/>
        <w:rPr>
          <w:b/>
        </w:rPr>
      </w:pPr>
      <w:r w:rsidRPr="002779CA">
        <w:rPr>
          <w:b/>
        </w:rPr>
        <w:lastRenderedPageBreak/>
        <w:t>G</w:t>
      </w:r>
      <w:r w:rsidR="008F7B8C">
        <w:rPr>
          <w:b/>
        </w:rPr>
        <w:t>raf č. 2.3</w:t>
      </w:r>
      <w:r w:rsidRPr="002779CA">
        <w:rPr>
          <w:b/>
        </w:rPr>
        <w:t xml:space="preserve"> Počet absolventů dle trvalého bydliště v roce 2022 a změna v počtu absolventů oproti roku 2012</w:t>
      </w:r>
    </w:p>
    <w:p w14:paraId="25BAC8C3" w14:textId="77777777" w:rsidR="004C0FBD" w:rsidRPr="002779CA" w:rsidRDefault="004C0FBD" w:rsidP="004C0FBD">
      <w:pPr>
        <w:keepNext/>
        <w:spacing w:after="120"/>
        <w:jc w:val="center"/>
        <w:rPr>
          <w:b/>
        </w:rPr>
      </w:pPr>
      <w:r>
        <w:rPr>
          <w:b/>
        </w:rPr>
        <w:t>Počet absolventů (2022)                                  Změna v počtu absolventů za deset let</w:t>
      </w:r>
    </w:p>
    <w:p w14:paraId="09B4A494" w14:textId="77777777" w:rsidR="004C0FBD" w:rsidRDefault="004C0FBD" w:rsidP="004C0FBD">
      <w:pPr>
        <w:jc w:val="both"/>
      </w:pPr>
      <w:r>
        <w:rPr>
          <w:noProof/>
        </w:rPr>
        <w:drawing>
          <wp:inline distT="0" distB="0" distL="0" distR="0" wp14:anchorId="0661DAE2" wp14:editId="4E38704D">
            <wp:extent cx="2857500" cy="4057650"/>
            <wp:effectExtent l="0" t="0" r="0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5D24C" wp14:editId="2B9E1C27">
            <wp:extent cx="2781300" cy="4057650"/>
            <wp:effectExtent l="0" t="0" r="0" b="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21A7D08" w14:textId="77777777" w:rsidR="004C0FBD" w:rsidRPr="007644F1" w:rsidRDefault="004C0FBD" w:rsidP="00F12360">
      <w:pPr>
        <w:spacing w:after="120"/>
        <w:jc w:val="right"/>
        <w:rPr>
          <w:sz w:val="18"/>
          <w:szCs w:val="18"/>
        </w:rPr>
      </w:pPr>
      <w:r w:rsidRPr="007644F1">
        <w:rPr>
          <w:sz w:val="18"/>
          <w:szCs w:val="18"/>
        </w:rPr>
        <w:t>Zdroj dat: MŠMT</w:t>
      </w:r>
    </w:p>
    <w:p w14:paraId="7D3B8FBE" w14:textId="4E821584" w:rsidR="004C0FBD" w:rsidRDefault="004C0FBD" w:rsidP="004C0FBD">
      <w:pPr>
        <w:ind w:firstLine="284"/>
        <w:jc w:val="both"/>
      </w:pPr>
      <w:r>
        <w:t xml:space="preserve">Při pohledu na počet </w:t>
      </w:r>
      <w:r w:rsidRPr="0009738B">
        <w:rPr>
          <w:b/>
        </w:rPr>
        <w:t>poprvé zapsaných studentů</w:t>
      </w:r>
      <w:r>
        <w:t xml:space="preserve"> do studia v českém vzdělávacím systému </w:t>
      </w:r>
      <w:r w:rsidRPr="0009738B">
        <w:rPr>
          <w:b/>
        </w:rPr>
        <w:t>dle kraje</w:t>
      </w:r>
      <w:r>
        <w:t xml:space="preserve"> </w:t>
      </w:r>
      <w:r w:rsidRPr="0009738B">
        <w:rPr>
          <w:b/>
        </w:rPr>
        <w:t>trvalého bydliště</w:t>
      </w:r>
      <w:r>
        <w:t xml:space="preserve"> v roce 2022 lze konstatovat, že i </w:t>
      </w:r>
      <w:r w:rsidR="00A46FEF">
        <w:t>v tomto ukazateli stojí v popřed</w:t>
      </w:r>
      <w:r>
        <w:t>í stejné čtyři kraje, a sice kraj Středočeský (6 793 poprvé zapsaných do studia), Praha (6 159), kraj Moravskoslezský (5 927) a Jihomoravský (5 431). Opět lze konstatovat, že o</w:t>
      </w:r>
      <w:r w:rsidRPr="00B1782A">
        <w:t xml:space="preserve">statní kraje již zaznamenaly méně než 3 300 </w:t>
      </w:r>
      <w:r>
        <w:t>poprvé zapsaných, nejméně kraj Karlovarský (1 028</w:t>
      </w:r>
      <w:r w:rsidRPr="00B1782A">
        <w:t xml:space="preserve">) a Liberecký (1 </w:t>
      </w:r>
      <w:r>
        <w:t>868</w:t>
      </w:r>
      <w:r w:rsidRPr="00B1782A">
        <w:t>)</w:t>
      </w:r>
      <w:r>
        <w:t xml:space="preserve">. </w:t>
      </w:r>
    </w:p>
    <w:p w14:paraId="71066554" w14:textId="720CF65F" w:rsidR="004C0FBD" w:rsidRDefault="00B44C97" w:rsidP="004C0FBD">
      <w:pPr>
        <w:ind w:firstLine="284"/>
        <w:jc w:val="both"/>
      </w:pPr>
      <w:r>
        <w:t>Co se týče změny za</w:t>
      </w:r>
      <w:r w:rsidR="004C0FBD">
        <w:t xml:space="preserve"> uplynulých </w:t>
      </w:r>
      <w:r>
        <w:t xml:space="preserve">deset </w:t>
      </w:r>
      <w:r w:rsidR="004C0FBD">
        <w:t xml:space="preserve">let, je zejména patrný rozdíl mezi studenty bydlícími v zahraničí, kterých přibylo o dvě třetiny, a poprvé zapsanými studenty s trvalým pobytem v krajích České republiky, kterých naopak ubylo o 8,5 % (v kraji Středočeském) až 31,1 % (v kraji Zlínském). Zatímco však v případě </w:t>
      </w:r>
      <w:r w:rsidR="00A96572">
        <w:t>poklesu počtu</w:t>
      </w:r>
      <w:r w:rsidR="004C0FBD">
        <w:t xml:space="preserve"> absolventů</w:t>
      </w:r>
      <w:r w:rsidR="00A96572">
        <w:t xml:space="preserve"> v posledních deseti letech</w:t>
      </w:r>
      <w:r w:rsidR="004C0FBD">
        <w:t xml:space="preserve"> Praha zaznamenala s 44,7 % třetí největší úbytek, počet poprvé zapsaných </w:t>
      </w:r>
      <w:r w:rsidR="00A96572">
        <w:t xml:space="preserve">se </w:t>
      </w:r>
      <w:r w:rsidR="004C0FBD">
        <w:t xml:space="preserve">v tomto kraji </w:t>
      </w:r>
      <w:r w:rsidR="00A96572">
        <w:t>snížil</w:t>
      </w:r>
      <w:r w:rsidR="004C0FBD">
        <w:t xml:space="preserve"> o 20,0 %, což je druhý nejni</w:t>
      </w:r>
      <w:r w:rsidR="00A96572">
        <w:t>žší úbytek. Více viz graf č. </w:t>
      </w:r>
      <w:r w:rsidR="008F7B8C">
        <w:t>2.4</w:t>
      </w:r>
      <w:r w:rsidR="004C0FBD">
        <w:t>.</w:t>
      </w:r>
    </w:p>
    <w:p w14:paraId="11C12A6C" w14:textId="4E22D8D5" w:rsidR="004C0FBD" w:rsidRDefault="008F7B8C" w:rsidP="004C0FBD">
      <w:pPr>
        <w:keepNext/>
        <w:jc w:val="both"/>
        <w:rPr>
          <w:b/>
        </w:rPr>
      </w:pPr>
      <w:r>
        <w:rPr>
          <w:b/>
        </w:rPr>
        <w:lastRenderedPageBreak/>
        <w:t>Graf č. 2.4</w:t>
      </w:r>
      <w:r w:rsidR="004C0FBD" w:rsidRPr="002779CA">
        <w:rPr>
          <w:b/>
        </w:rPr>
        <w:t xml:space="preserve"> Počet </w:t>
      </w:r>
      <w:r w:rsidR="004C0FBD">
        <w:rPr>
          <w:b/>
        </w:rPr>
        <w:t xml:space="preserve">poprvé </w:t>
      </w:r>
      <w:r w:rsidR="00EE1FF6">
        <w:rPr>
          <w:b/>
        </w:rPr>
        <w:t>zapsan</w:t>
      </w:r>
      <w:r w:rsidR="004C0FBD">
        <w:rPr>
          <w:b/>
        </w:rPr>
        <w:t>ých do studia</w:t>
      </w:r>
      <w:r w:rsidR="004C0FBD" w:rsidRPr="002779CA">
        <w:rPr>
          <w:b/>
        </w:rPr>
        <w:t xml:space="preserve"> dle trvalého bydliště v roce 2022 a změna v počtu </w:t>
      </w:r>
      <w:r w:rsidR="004C0FBD" w:rsidRPr="003F1895">
        <w:rPr>
          <w:b/>
        </w:rPr>
        <w:t xml:space="preserve">poprvé </w:t>
      </w:r>
      <w:r w:rsidR="001934C3">
        <w:rPr>
          <w:b/>
        </w:rPr>
        <w:t>zapsaných</w:t>
      </w:r>
      <w:r w:rsidR="004C0FBD" w:rsidRPr="003F1895">
        <w:rPr>
          <w:b/>
        </w:rPr>
        <w:t xml:space="preserve"> do studia</w:t>
      </w:r>
      <w:r w:rsidR="004C0FBD" w:rsidRPr="002779CA">
        <w:rPr>
          <w:b/>
        </w:rPr>
        <w:t xml:space="preserve"> oproti roku 2012</w:t>
      </w:r>
    </w:p>
    <w:p w14:paraId="3A851FD7" w14:textId="19597767" w:rsidR="004C0FBD" w:rsidRPr="009C1D00" w:rsidRDefault="004C0FBD" w:rsidP="004C0FBD">
      <w:pPr>
        <w:keepNext/>
        <w:spacing w:after="120"/>
        <w:rPr>
          <w:b/>
        </w:rPr>
      </w:pPr>
      <w:r>
        <w:rPr>
          <w:b/>
        </w:rPr>
        <w:t xml:space="preserve">     </w:t>
      </w:r>
      <w:r w:rsidRPr="009C1D00">
        <w:rPr>
          <w:b/>
        </w:rPr>
        <w:t xml:space="preserve">Počet </w:t>
      </w:r>
      <w:r>
        <w:rPr>
          <w:b/>
        </w:rPr>
        <w:t xml:space="preserve">poprvé </w:t>
      </w:r>
      <w:r w:rsidR="00EE1FF6">
        <w:rPr>
          <w:b/>
        </w:rPr>
        <w:t>zapsan</w:t>
      </w:r>
      <w:r>
        <w:rPr>
          <w:b/>
        </w:rPr>
        <w:t>ých studentů (2022)                                 Změna</w:t>
      </w:r>
      <w:r w:rsidRPr="009C1D00">
        <w:rPr>
          <w:b/>
        </w:rPr>
        <w:t xml:space="preserve"> za deset let</w:t>
      </w:r>
      <w:r>
        <w:rPr>
          <w:noProof/>
        </w:rPr>
        <w:drawing>
          <wp:inline distT="0" distB="0" distL="0" distR="0" wp14:anchorId="6AF673B8" wp14:editId="4B83A9AC">
            <wp:extent cx="2724150" cy="2990850"/>
            <wp:effectExtent l="0" t="0" r="0" b="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Pr="008E73B6">
        <w:rPr>
          <w:noProof/>
        </w:rPr>
        <w:t xml:space="preserve"> </w:t>
      </w:r>
      <w:r w:rsidRPr="00F46C78">
        <w:rPr>
          <w:noProof/>
          <w:color w:val="000000" w:themeColor="text1"/>
        </w:rPr>
        <w:drawing>
          <wp:inline distT="0" distB="0" distL="0" distR="0" wp14:anchorId="3708B282" wp14:editId="2E5713B0">
            <wp:extent cx="2990850" cy="2981325"/>
            <wp:effectExtent l="0" t="0" r="0" b="9525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451F1671" w14:textId="1FF87905" w:rsidR="00835A25" w:rsidRDefault="00DF401A" w:rsidP="00DF401A">
      <w:pPr>
        <w:spacing w:after="12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>Zdroj dat: MŠMT</w:t>
      </w:r>
    </w:p>
    <w:p w14:paraId="1A477914" w14:textId="6A5A32CB" w:rsidR="00DF401A" w:rsidRDefault="00DF401A" w:rsidP="00B8355B">
      <w:pPr>
        <w:spacing w:after="120"/>
        <w:jc w:val="both"/>
        <w:rPr>
          <w:szCs w:val="20"/>
        </w:rPr>
      </w:pPr>
      <w:r w:rsidRPr="00B8355B">
        <w:rPr>
          <w:szCs w:val="20"/>
        </w:rPr>
        <w:t xml:space="preserve">Graf </w:t>
      </w:r>
      <w:r w:rsidR="008F7B8C">
        <w:rPr>
          <w:szCs w:val="20"/>
        </w:rPr>
        <w:t>2.5</w:t>
      </w:r>
      <w:r w:rsidRPr="00B8355B">
        <w:rPr>
          <w:szCs w:val="20"/>
        </w:rPr>
        <w:t xml:space="preserve"> ukazuje, že v posledních deseti letech</w:t>
      </w:r>
      <w:r w:rsidR="00CF0915" w:rsidRPr="00B8355B">
        <w:rPr>
          <w:szCs w:val="20"/>
        </w:rPr>
        <w:t xml:space="preserve"> </w:t>
      </w:r>
      <w:r w:rsidR="00602176">
        <w:rPr>
          <w:szCs w:val="20"/>
        </w:rPr>
        <w:t>zpravidla mírně</w:t>
      </w:r>
      <w:r w:rsidR="00CF0915" w:rsidRPr="00B8355B">
        <w:rPr>
          <w:szCs w:val="20"/>
        </w:rPr>
        <w:t xml:space="preserve"> stoupal podíl poprvé zapsaných studentů i absolventů do škol </w:t>
      </w:r>
      <w:r w:rsidR="00CF0915" w:rsidRPr="00B8355B">
        <w:rPr>
          <w:b/>
          <w:szCs w:val="20"/>
        </w:rPr>
        <w:t>veře</w:t>
      </w:r>
      <w:r w:rsidR="00B8355B" w:rsidRPr="00B8355B">
        <w:rPr>
          <w:b/>
          <w:szCs w:val="20"/>
        </w:rPr>
        <w:t>jného zřizovatele</w:t>
      </w:r>
      <w:r w:rsidR="00B8355B">
        <w:rPr>
          <w:szCs w:val="20"/>
        </w:rPr>
        <w:t xml:space="preserve"> a naopak klesal</w:t>
      </w:r>
      <w:r w:rsidR="00CF0915" w:rsidRPr="00B8355B">
        <w:rPr>
          <w:szCs w:val="20"/>
        </w:rPr>
        <w:t xml:space="preserve"> podíl těch zapsaných do škol </w:t>
      </w:r>
      <w:r w:rsidR="00CF0915" w:rsidRPr="00B8355B">
        <w:rPr>
          <w:b/>
          <w:szCs w:val="20"/>
        </w:rPr>
        <w:t>zřizovatele soukromého</w:t>
      </w:r>
      <w:r w:rsidR="00CF0915" w:rsidRPr="00B8355B">
        <w:rPr>
          <w:szCs w:val="20"/>
        </w:rPr>
        <w:t>. Výjimku tvoří skupina poprvé zapsaných do studia v posledních dvou letech. Mezi roky 2020 až 2022 začal mírně růst podíl studentů zapsaných do škol soukromého zřizovatele na úkor těch zapsaných do škol zřizovatele veřejného. S</w:t>
      </w:r>
      <w:r w:rsidR="00B8355B">
        <w:rPr>
          <w:szCs w:val="20"/>
        </w:rPr>
        <w:t>rovnáme-li tyto výsledky s</w:t>
      </w:r>
      <w:r w:rsidR="00CF0915" w:rsidRPr="00B8355B">
        <w:rPr>
          <w:szCs w:val="20"/>
        </w:rPr>
        <w:t xml:space="preserve"> grafem č. 2.1, pak se jedná o období po </w:t>
      </w:r>
      <w:r w:rsidR="00B8355B" w:rsidRPr="00B8355B">
        <w:rPr>
          <w:szCs w:val="20"/>
        </w:rPr>
        <w:t>čtyřletém</w:t>
      </w:r>
      <w:r w:rsidR="00CF0915" w:rsidRPr="00B8355B">
        <w:rPr>
          <w:szCs w:val="20"/>
        </w:rPr>
        <w:t xml:space="preserve"> růstu počtu poprvé zapsaných student</w:t>
      </w:r>
      <w:r w:rsidR="00B8355B" w:rsidRPr="00B8355B">
        <w:rPr>
          <w:szCs w:val="20"/>
        </w:rPr>
        <w:t>ů.</w:t>
      </w:r>
      <w:r w:rsidR="00CF0915" w:rsidRPr="00B8355B">
        <w:rPr>
          <w:szCs w:val="20"/>
        </w:rPr>
        <w:t xml:space="preserve"> </w:t>
      </w:r>
      <w:r w:rsidR="00B8355B" w:rsidRPr="00B8355B">
        <w:rPr>
          <w:szCs w:val="20"/>
        </w:rPr>
        <w:t xml:space="preserve">V roce 2020 jich </w:t>
      </w:r>
      <w:r w:rsidR="00602176">
        <w:rPr>
          <w:szCs w:val="20"/>
        </w:rPr>
        <w:t xml:space="preserve">přitom </w:t>
      </w:r>
      <w:r w:rsidR="00B8355B" w:rsidRPr="00B8355B">
        <w:rPr>
          <w:szCs w:val="20"/>
        </w:rPr>
        <w:t>bylo 64</w:t>
      </w:r>
      <w:r w:rsidR="00CF0915" w:rsidRPr="00B8355B">
        <w:rPr>
          <w:szCs w:val="20"/>
        </w:rPr>
        <w:t xml:space="preserve">,5 tisíce v porovnání </w:t>
      </w:r>
      <w:r w:rsidR="00B8355B" w:rsidRPr="00B8355B">
        <w:rPr>
          <w:szCs w:val="20"/>
        </w:rPr>
        <w:t xml:space="preserve">s </w:t>
      </w:r>
      <w:r w:rsidR="00CF0915" w:rsidRPr="00B8355B">
        <w:rPr>
          <w:szCs w:val="20"/>
        </w:rPr>
        <w:t xml:space="preserve">60 tisíci </w:t>
      </w:r>
      <w:r w:rsidR="00C800DE">
        <w:rPr>
          <w:szCs w:val="20"/>
        </w:rPr>
        <w:t xml:space="preserve">ještě </w:t>
      </w:r>
      <w:r w:rsidR="00CF0915" w:rsidRPr="00B8355B">
        <w:rPr>
          <w:szCs w:val="20"/>
        </w:rPr>
        <w:t>v roce 2019. J</w:t>
      </w:r>
      <w:r w:rsidR="00602176">
        <w:rPr>
          <w:szCs w:val="20"/>
        </w:rPr>
        <w:t xml:space="preserve">e tedy možné, že v </w:t>
      </w:r>
      <w:r w:rsidR="00B8355B" w:rsidRPr="00B8355B">
        <w:rPr>
          <w:szCs w:val="20"/>
        </w:rPr>
        <w:t xml:space="preserve">období </w:t>
      </w:r>
      <w:r w:rsidR="00602176">
        <w:rPr>
          <w:szCs w:val="20"/>
        </w:rPr>
        <w:t xml:space="preserve">let 2020 až 2022 </w:t>
      </w:r>
      <w:r w:rsidR="00B8355B" w:rsidRPr="00B8355B">
        <w:rPr>
          <w:szCs w:val="20"/>
        </w:rPr>
        <w:t>byla na veřejných školách</w:t>
      </w:r>
      <w:r w:rsidR="00602176">
        <w:rPr>
          <w:szCs w:val="20"/>
        </w:rPr>
        <w:t xml:space="preserve"> větší konkurence, která neúspěšné uchazeče nasměrovala do škol soukromých</w:t>
      </w:r>
      <w:r w:rsidR="00B8355B" w:rsidRPr="00B8355B">
        <w:rPr>
          <w:szCs w:val="20"/>
        </w:rPr>
        <w:t xml:space="preserve">. </w:t>
      </w:r>
    </w:p>
    <w:p w14:paraId="57425ACE" w14:textId="746007D2" w:rsidR="00B8355B" w:rsidRPr="00B8355B" w:rsidRDefault="008F7B8C" w:rsidP="00B8355B">
      <w:pPr>
        <w:keepNext/>
        <w:spacing w:after="120" w:line="240" w:lineRule="auto"/>
        <w:jc w:val="both"/>
        <w:rPr>
          <w:b/>
        </w:rPr>
      </w:pPr>
      <w:r>
        <w:rPr>
          <w:b/>
        </w:rPr>
        <w:t>Graf č. 2.5</w:t>
      </w:r>
      <w:r w:rsidR="00B8355B" w:rsidRPr="002779CA">
        <w:rPr>
          <w:b/>
        </w:rPr>
        <w:t xml:space="preserve"> </w:t>
      </w:r>
      <w:r w:rsidR="00B8355B">
        <w:rPr>
          <w:b/>
        </w:rPr>
        <w:t xml:space="preserve">Podíl poprvé zapsaných studentů, resp. absolventů zapsaných ve školách veřejného a soukromého zřizovatele ze všech </w:t>
      </w:r>
      <w:r w:rsidR="00B8355B" w:rsidRPr="00B8355B">
        <w:rPr>
          <w:b/>
        </w:rPr>
        <w:t>poprvé zapsaných studentů, resp. absolventů</w:t>
      </w:r>
      <w:r w:rsidR="00B8355B">
        <w:rPr>
          <w:b/>
        </w:rPr>
        <w:t xml:space="preserve"> </w:t>
      </w:r>
    </w:p>
    <w:p w14:paraId="781B67F5" w14:textId="19F117D4" w:rsidR="00DF401A" w:rsidRDefault="00DF401A" w:rsidP="00DF401A">
      <w:pPr>
        <w:spacing w:after="120" w:line="240" w:lineRule="auto"/>
        <w:rPr>
          <w:sz w:val="18"/>
          <w:szCs w:val="18"/>
        </w:rPr>
      </w:pPr>
      <w:r w:rsidRPr="00DF401A">
        <w:rPr>
          <w:noProof/>
          <w:color w:val="D98A15"/>
        </w:rPr>
        <w:drawing>
          <wp:inline distT="0" distB="0" distL="0" distR="0" wp14:anchorId="6EFA230E" wp14:editId="156406DD">
            <wp:extent cx="5760720" cy="2838450"/>
            <wp:effectExtent l="0" t="0" r="11430" b="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5ED3FE5D" w14:textId="665FB972" w:rsidR="00DF401A" w:rsidRPr="00B8355B" w:rsidRDefault="00B8355B" w:rsidP="00B8355B">
      <w:pPr>
        <w:spacing w:after="12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>Zdroj dat: MŠMT</w:t>
      </w:r>
    </w:p>
    <w:p w14:paraId="2A5C67C2" w14:textId="6D1D4113" w:rsidR="000A388F" w:rsidRPr="000A388F" w:rsidRDefault="000A388F" w:rsidP="000A388F">
      <w:pPr>
        <w:pStyle w:val="Nadpis2"/>
        <w:spacing w:after="120"/>
      </w:pPr>
      <w:bookmarkStart w:id="13" w:name="_Toc135224489"/>
      <w:r>
        <w:lastRenderedPageBreak/>
        <w:t xml:space="preserve">2.2 </w:t>
      </w:r>
      <w:r w:rsidR="004C0FBD">
        <w:t xml:space="preserve">Vývoj počtu poprvé zapsaných studentů </w:t>
      </w:r>
      <w:r>
        <w:t>dle</w:t>
      </w:r>
      <w:r w:rsidR="004C0FBD">
        <w:t xml:space="preserve"> </w:t>
      </w:r>
      <w:r>
        <w:t>skupin</w:t>
      </w:r>
      <w:r w:rsidR="004C0FBD">
        <w:t xml:space="preserve"> oborů</w:t>
      </w:r>
      <w:bookmarkEnd w:id="13"/>
    </w:p>
    <w:p w14:paraId="02DC362E" w14:textId="06721EE5" w:rsidR="00B44C97" w:rsidRDefault="00C87804" w:rsidP="008F7B8C">
      <w:pPr>
        <w:ind w:firstLine="284"/>
        <w:jc w:val="both"/>
      </w:pPr>
      <w:r>
        <w:t xml:space="preserve">V kapitole zaměřené na studenty jsme také ukázali vývoj počtu studentů </w:t>
      </w:r>
      <w:r w:rsidRPr="00141095">
        <w:rPr>
          <w:b/>
        </w:rPr>
        <w:t>jednotlivých skupin oborů vzdělávání</w:t>
      </w:r>
      <w:r>
        <w:t xml:space="preserve"> celkem a studentů českého státního občanství od roku 2001. To lze srovnat s vývojem počtu poprvé zapsaných studentů do jednotlivých skupin oborů českého vzdělávacího systému, který lépe reflektuje aktuální zájem</w:t>
      </w:r>
      <w:r w:rsidR="008F7B8C">
        <w:t xml:space="preserve"> o dané obory, viz graf č. 2.6.</w:t>
      </w:r>
    </w:p>
    <w:p w14:paraId="353857A0" w14:textId="71E4A1B3" w:rsidR="00C87804" w:rsidRDefault="00A3697D" w:rsidP="006724FC">
      <w:pPr>
        <w:keepNext/>
        <w:spacing w:after="120" w:line="240" w:lineRule="auto"/>
        <w:jc w:val="both"/>
        <w:rPr>
          <w:b/>
        </w:rPr>
      </w:pPr>
      <w:r>
        <w:rPr>
          <w:b/>
        </w:rPr>
        <w:t xml:space="preserve">Graf č. </w:t>
      </w:r>
      <w:r w:rsidR="008F7B8C">
        <w:rPr>
          <w:b/>
        </w:rPr>
        <w:t>2.6</w:t>
      </w:r>
      <w:r w:rsidR="00C87804" w:rsidRPr="00022A05">
        <w:rPr>
          <w:b/>
        </w:rPr>
        <w:t xml:space="preserve"> Vývoj počtu poprvé zapsaných studentů do studia v českém vzdělávacím systému v dělení na skupiny oborů vzdělávání</w:t>
      </w:r>
    </w:p>
    <w:p w14:paraId="4D86666C" w14:textId="77777777" w:rsidR="00C87804" w:rsidRDefault="00C87804" w:rsidP="00A34666">
      <w:pPr>
        <w:spacing w:after="120"/>
        <w:jc w:val="both"/>
        <w:rPr>
          <w:b/>
        </w:rPr>
      </w:pPr>
      <w:r w:rsidRPr="0006712B">
        <w:rPr>
          <w:noProof/>
          <w:color w:val="9E4F00"/>
        </w:rPr>
        <w:drawing>
          <wp:inline distT="0" distB="0" distL="0" distR="0" wp14:anchorId="71DCBEC9" wp14:editId="6BDF88F1">
            <wp:extent cx="5760720" cy="5410200"/>
            <wp:effectExtent l="0" t="0" r="11430" b="0"/>
            <wp:docPr id="49" name="Graf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38141A25" w14:textId="0B2E5DF6" w:rsidR="00C87804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7644F1">
        <w:rPr>
          <w:sz w:val="18"/>
          <w:szCs w:val="18"/>
        </w:rPr>
        <w:t>Zdroj dat: MŠMT</w:t>
      </w:r>
    </w:p>
    <w:p w14:paraId="4C6A1908" w14:textId="06BD9F7D" w:rsidR="00B44C97" w:rsidRDefault="00B44C97" w:rsidP="00B44C97">
      <w:pPr>
        <w:spacing w:after="120"/>
        <w:ind w:firstLine="284"/>
        <w:jc w:val="both"/>
      </w:pPr>
      <w:r>
        <w:t xml:space="preserve">Jak je patrné, mírný pokles počtu poprvé zapsaných studentů mezi posledními dvěma sledovanými roky byl dán zejména snížením počtu poprvé zapsaných do skupin oborů </w:t>
      </w:r>
      <w:r w:rsidRPr="00141095">
        <w:rPr>
          <w:b/>
          <w:i/>
        </w:rPr>
        <w:t>Přírodní vědy, matematika a statistika</w:t>
      </w:r>
      <w:r>
        <w:t xml:space="preserve"> (o 363 studentů, neboli 7,1 %), </w:t>
      </w:r>
      <w:r w:rsidRPr="00141095">
        <w:rPr>
          <w:b/>
          <w:i/>
        </w:rPr>
        <w:t>Společenské vědy, žurnalistika a informační vědy</w:t>
      </w:r>
      <w:r>
        <w:t xml:space="preserve"> (o </w:t>
      </w:r>
      <w:r w:rsidR="00184D34">
        <w:t xml:space="preserve">329 studentů, neboli o 6,2 %), </w:t>
      </w:r>
      <w:r w:rsidRPr="00C437AE">
        <w:rPr>
          <w:b/>
          <w:i/>
        </w:rPr>
        <w:t>Služby</w:t>
      </w:r>
      <w:r>
        <w:t xml:space="preserve"> (o 220 studentů, neboli o 5,4 %) a </w:t>
      </w:r>
      <w:r w:rsidRPr="00141095">
        <w:rPr>
          <w:b/>
          <w:i/>
        </w:rPr>
        <w:t>Zdravotní a sociální péče</w:t>
      </w:r>
      <w:r>
        <w:t xml:space="preserve"> (o 343 studentů, neboli o 4,1 %). </w:t>
      </w:r>
    </w:p>
    <w:p w14:paraId="78F74645" w14:textId="112ED33A" w:rsidR="00C437AE" w:rsidRDefault="00C437AE" w:rsidP="00494CF0">
      <w:pPr>
        <w:spacing w:after="120"/>
        <w:ind w:firstLine="284"/>
        <w:jc w:val="both"/>
      </w:pPr>
      <w:r>
        <w:t xml:space="preserve">Lze říci, že </w:t>
      </w:r>
      <w:r w:rsidRPr="00217C56">
        <w:t xml:space="preserve">mezi posledními dvěma roky poklesl </w:t>
      </w:r>
      <w:r>
        <w:t xml:space="preserve">do jisté míry </w:t>
      </w:r>
      <w:r w:rsidRPr="00217C56">
        <w:t>počet poprvé zapsaných studentů</w:t>
      </w:r>
      <w:r>
        <w:t xml:space="preserve"> téměř ve všech skupinách oborů s výjimkou skupiny </w:t>
      </w:r>
      <w:r w:rsidRPr="00C437AE">
        <w:rPr>
          <w:b/>
          <w:i/>
        </w:rPr>
        <w:t>Informačních a komunikačních technologií</w:t>
      </w:r>
      <w:r>
        <w:t xml:space="preserve"> (došlo k nárůstu o 5,9 %), </w:t>
      </w:r>
      <w:r w:rsidRPr="00C437AE">
        <w:rPr>
          <w:b/>
          <w:i/>
        </w:rPr>
        <w:t>Zemědělství, lesnictví, rybářství a veterinářství</w:t>
      </w:r>
      <w:r>
        <w:t xml:space="preserve"> (o 5,8 %) a </w:t>
      </w:r>
      <w:r w:rsidRPr="00C437AE">
        <w:rPr>
          <w:b/>
          <w:i/>
        </w:rPr>
        <w:t>Obchod, administrativa a právo</w:t>
      </w:r>
      <w:r>
        <w:t xml:space="preserve"> (o 0,3 %).</w:t>
      </w:r>
    </w:p>
    <w:p w14:paraId="414FADD1" w14:textId="5BE250B1" w:rsidR="00C437AE" w:rsidRDefault="00050E86" w:rsidP="00494CF0">
      <w:pPr>
        <w:spacing w:after="120"/>
        <w:ind w:firstLine="284"/>
        <w:jc w:val="both"/>
      </w:pPr>
      <w:r>
        <w:lastRenderedPageBreak/>
        <w:t>O 1,4 % se snížil</w:t>
      </w:r>
      <w:r w:rsidR="00C437AE">
        <w:t xml:space="preserve"> také mezi posledními dvěma roky počet poprvé zapsaných do skupiny oborů </w:t>
      </w:r>
      <w:r w:rsidR="00C437AE" w:rsidRPr="00141095">
        <w:rPr>
          <w:b/>
          <w:i/>
        </w:rPr>
        <w:t>Vzdělávání a výchova</w:t>
      </w:r>
      <w:r w:rsidR="00C437AE">
        <w:t xml:space="preserve">. Právě tato skupina oborů přitom v minulých letech zaznamenala poměrně strmý nárůst poprvé zapsaných studentů - mezi roky 2015 a 2020 vzrostl ze 4 493 poprvé zapsaných studentů na 6 487, tedy o 44,4 %, což je nejvíce ze všech skupin oborů. V roce 2022 byl pak počet poprvé zapsaných studentů do vzdělávacích oborů v porovnání s rokem 2015 o 42,1 % vyšší. Podobného nárůstu mezi roky 2015 a 2022 dosáhla také skupina oborů </w:t>
      </w:r>
      <w:r w:rsidR="00C437AE" w:rsidRPr="00CC60C2">
        <w:rPr>
          <w:b/>
          <w:i/>
        </w:rPr>
        <w:t>informačních a komunikačních technologií</w:t>
      </w:r>
      <w:r w:rsidR="00184D34">
        <w:t xml:space="preserve"> (ze 4 289 na </w:t>
      </w:r>
      <w:r w:rsidR="00C437AE">
        <w:t xml:space="preserve">5 962 poprvé zapsaných studentů, tj. o 39 %), ostatní skupiny oborů zaznamenaly v daném období  již méně než 20% nárůst, nebo dokonce pokles. </w:t>
      </w:r>
    </w:p>
    <w:p w14:paraId="0CD76277" w14:textId="27CBEF3C" w:rsidR="00C437AE" w:rsidRPr="007644F1" w:rsidRDefault="00C437AE" w:rsidP="00184D34">
      <w:pPr>
        <w:spacing w:after="120"/>
        <w:ind w:firstLine="284"/>
        <w:jc w:val="both"/>
        <w:rPr>
          <w:sz w:val="18"/>
          <w:szCs w:val="18"/>
        </w:rPr>
      </w:pPr>
      <w:r>
        <w:t xml:space="preserve">Zajímavé je také srovnat vývoj počtu poprvé zapsaných studentů do skupin oborů </w:t>
      </w:r>
      <w:r w:rsidRPr="00CC60C2">
        <w:rPr>
          <w:b/>
          <w:i/>
        </w:rPr>
        <w:t>Přírodních věd, matematiky a statistiky</w:t>
      </w:r>
      <w:r>
        <w:t xml:space="preserve"> a </w:t>
      </w:r>
      <w:r w:rsidRPr="00CC60C2">
        <w:rPr>
          <w:b/>
          <w:i/>
        </w:rPr>
        <w:t>Společenských věd, žurnalistiky a informačních věd</w:t>
      </w:r>
      <w:r w:rsidR="00050E86">
        <w:t>. V roce 2016</w:t>
      </w:r>
      <w:r>
        <w:t xml:space="preserve"> bylo poprvé zapsaných do společenskovědních oborů </w:t>
      </w:r>
      <w:r w:rsidR="00050E86">
        <w:t>5</w:t>
      </w:r>
      <w:r w:rsidR="005752A0">
        <w:t> </w:t>
      </w:r>
      <w:r w:rsidR="00050E86">
        <w:t>330</w:t>
      </w:r>
      <w:r w:rsidR="005752A0">
        <w:t xml:space="preserve"> </w:t>
      </w:r>
      <w:r>
        <w:t>v porovnání se </w:t>
      </w:r>
      <w:r w:rsidR="00050E86">
        <w:t>3 595</w:t>
      </w:r>
      <w:r w:rsidR="005752A0">
        <w:t xml:space="preserve"> </w:t>
      </w:r>
      <w:r w:rsidR="00C430AD">
        <w:t>poprvé zapsanými</w:t>
      </w:r>
      <w:r>
        <w:t xml:space="preserve"> do </w:t>
      </w:r>
      <w:r w:rsidRPr="00C437AE">
        <w:rPr>
          <w:b/>
          <w:i/>
        </w:rPr>
        <w:t>přírodovědných oborů, matematiky a statistiky</w:t>
      </w:r>
      <w:r>
        <w:t xml:space="preserve">. </w:t>
      </w:r>
      <w:r w:rsidR="00050E86">
        <w:t>Poté</w:t>
      </w:r>
      <w:r>
        <w:t xml:space="preserve"> se rozdíl mezi těmito dvěma skupinami oborů snižoval a v roce 2020 čítaly obě téměř totožný počet poprvé zapsaných studentů (</w:t>
      </w:r>
      <w:r w:rsidR="00F2405C">
        <w:t xml:space="preserve">cca </w:t>
      </w:r>
      <w:r>
        <w:t>5,2 tisíce). V roce 2022 pak bylo ve společenskovědních oborech jen o 242 poprvé zapsaných studentů více.</w:t>
      </w:r>
    </w:p>
    <w:p w14:paraId="7E637275" w14:textId="2833C78C" w:rsidR="00C437AE" w:rsidRDefault="006F3F8B" w:rsidP="00494CF0">
      <w:pPr>
        <w:spacing w:after="120"/>
        <w:ind w:firstLine="284"/>
        <w:jc w:val="both"/>
      </w:pPr>
      <w:r>
        <w:t>Srovnejme nyní</w:t>
      </w:r>
      <w:r w:rsidR="00C87804">
        <w:t xml:space="preserve"> v</w:t>
      </w:r>
      <w:r w:rsidR="00C87804" w:rsidRPr="00CD49BC">
        <w:t xml:space="preserve">ývoj počtu </w:t>
      </w:r>
      <w:r w:rsidR="00C87804" w:rsidRPr="00CC60C2">
        <w:rPr>
          <w:b/>
        </w:rPr>
        <w:t>poprvé zapsaných studentů mužů a studentek žen</w:t>
      </w:r>
      <w:r w:rsidR="00C87804">
        <w:t xml:space="preserve"> do studia v </w:t>
      </w:r>
      <w:r w:rsidR="00C87804" w:rsidRPr="00CD49BC">
        <w:t>českém vzdělávacím systému v</w:t>
      </w:r>
      <w:r>
        <w:t> jednotlivých skupinách</w:t>
      </w:r>
      <w:r w:rsidR="00C87804" w:rsidRPr="00CD49BC">
        <w:t xml:space="preserve"> oborů vzdělávání</w:t>
      </w:r>
      <w:r w:rsidR="003B3AA2">
        <w:t>. Jak ukazuje graf č. 2.7</w:t>
      </w:r>
      <w:r w:rsidR="00C87804">
        <w:t xml:space="preserve">, v počtu </w:t>
      </w:r>
      <w:r w:rsidR="00C87804" w:rsidRPr="00CC60C2">
        <w:rPr>
          <w:b/>
        </w:rPr>
        <w:t>poprvé zapsaných mužů</w:t>
      </w:r>
      <w:r w:rsidR="00C87804">
        <w:t xml:space="preserve"> dominují tři skupiny oborů, a sice </w:t>
      </w:r>
      <w:r w:rsidR="00C87804" w:rsidRPr="00CC60C2">
        <w:rPr>
          <w:b/>
          <w:i/>
        </w:rPr>
        <w:t xml:space="preserve">Technika, výroba a stavebnictví </w:t>
      </w:r>
      <w:r w:rsidR="00C87804">
        <w:t xml:space="preserve">(v roce 2022 bylo poprvé zapsaných </w:t>
      </w:r>
      <w:r w:rsidR="00CB3DC4" w:rsidRPr="00CB3DC4">
        <w:t>6</w:t>
      </w:r>
      <w:r w:rsidR="00CB3DC4">
        <w:t> </w:t>
      </w:r>
      <w:r w:rsidR="00CB3DC4" w:rsidRPr="00CB3DC4">
        <w:t>264</w:t>
      </w:r>
      <w:r w:rsidR="00CB3DC4">
        <w:t xml:space="preserve"> </w:t>
      </w:r>
      <w:r w:rsidR="00C87804">
        <w:t xml:space="preserve">studentů), </w:t>
      </w:r>
      <w:r w:rsidR="00C87804" w:rsidRPr="00CC60C2">
        <w:rPr>
          <w:b/>
          <w:i/>
        </w:rPr>
        <w:t>Obchod, administrativa a právo</w:t>
      </w:r>
      <w:r w:rsidR="00CB3DC4">
        <w:t xml:space="preserve"> (6 146</w:t>
      </w:r>
      <w:r w:rsidR="00C87804">
        <w:t xml:space="preserve">) a </w:t>
      </w:r>
      <w:r w:rsidR="00C87804" w:rsidRPr="00CC60C2">
        <w:rPr>
          <w:b/>
          <w:i/>
        </w:rPr>
        <w:t>Informační a komunikační technologie</w:t>
      </w:r>
      <w:r w:rsidR="00CB3DC4">
        <w:t xml:space="preserve"> (4 88</w:t>
      </w:r>
      <w:r w:rsidR="00C87804">
        <w:t xml:space="preserve">9). </w:t>
      </w:r>
    </w:p>
    <w:p w14:paraId="763BE045" w14:textId="489EF801" w:rsidR="00C87804" w:rsidRDefault="00C87804" w:rsidP="003B3AA2">
      <w:pPr>
        <w:spacing w:after="120"/>
        <w:ind w:firstLine="284"/>
        <w:jc w:val="both"/>
      </w:pPr>
      <w:r>
        <w:t>Přitom je zajímavý poměrně prudký nárůst poprvé zapsaných mužů do skupiny oborů Obchod, administrativa a právo mezi roky 2016 (</w:t>
      </w:r>
      <w:r w:rsidR="00CB3DC4" w:rsidRPr="00CB3DC4">
        <w:t>4</w:t>
      </w:r>
      <w:r w:rsidR="00CB3DC4">
        <w:t> </w:t>
      </w:r>
      <w:r w:rsidR="00CB3DC4" w:rsidRPr="00CB3DC4">
        <w:t>353</w:t>
      </w:r>
      <w:r w:rsidR="00CB3DC4">
        <w:t>) a 2022 (6 146</w:t>
      </w:r>
      <w:r>
        <w:t xml:space="preserve">). Ještě v roce 2016 bylo poprvé zapsaných mužů do skupiny oborů Technika, výroba a stavebnictví o 46,5 % více než do skupiny oborů Obchod, administrativa a právo. Do roku 2022 však došlo téměř k vyrovnání tohoto počtu. Také je patrné, že propad počtu poprvé zapsaných mužů do skupiny oborů Technika, výroba a stavebnictví se v roce 2016 zastavil a dále již spíše kolísal. Obdobně jako u skupiny oborů Obchod, administrativa a právo, i ve skupině oborů </w:t>
      </w:r>
      <w:r w:rsidRPr="00CB3DC4">
        <w:rPr>
          <w:b/>
          <w:i/>
        </w:rPr>
        <w:t>Informačních a komunikačních technologií</w:t>
      </w:r>
      <w:r>
        <w:t xml:space="preserve"> počet poprvé zapsaných mužů z kraje posledního desetiletí klesal, po roce 2016, kdy čítal </w:t>
      </w:r>
      <w:r w:rsidR="00CB3DC4" w:rsidRPr="00CB3DC4">
        <w:t>3</w:t>
      </w:r>
      <w:r w:rsidR="00CB3DC4">
        <w:t> </w:t>
      </w:r>
      <w:r w:rsidR="00CB3DC4" w:rsidRPr="00CB3DC4">
        <w:t>624</w:t>
      </w:r>
      <w:r>
        <w:t>, však nastal obrat a</w:t>
      </w:r>
      <w:r w:rsidR="00A54DD5">
        <w:t xml:space="preserve"> začal postupně stoupat až na 4 889</w:t>
      </w:r>
      <w:r>
        <w:t xml:space="preserve"> tisíce v roce 2022. </w:t>
      </w:r>
    </w:p>
    <w:p w14:paraId="7217A74E" w14:textId="0756B012" w:rsidR="00C87804" w:rsidRDefault="00C87804" w:rsidP="00494CF0">
      <w:pPr>
        <w:spacing w:after="120"/>
        <w:ind w:firstLine="284"/>
        <w:jc w:val="both"/>
      </w:pPr>
      <w:r>
        <w:t xml:space="preserve">Ostatní skupiny oborů </w:t>
      </w:r>
      <w:r w:rsidR="006F3F8B">
        <w:t xml:space="preserve">již </w:t>
      </w:r>
      <w:r>
        <w:t xml:space="preserve">o značný počet poprvé zapsaných mužů </w:t>
      </w:r>
      <w:r w:rsidR="006F3F8B">
        <w:t xml:space="preserve">oproti výše zmíněným </w:t>
      </w:r>
      <w:r>
        <w:t>zao</w:t>
      </w:r>
      <w:r w:rsidR="00BE39BD">
        <w:t xml:space="preserve">stávají a v roce 2022 čítaly od 1 127 </w:t>
      </w:r>
      <w:r w:rsidR="005752A0">
        <w:t xml:space="preserve">poprvé zapsaných mužů do skupiny oborů </w:t>
      </w:r>
      <w:r w:rsidR="00BE39BD" w:rsidRPr="00BE39BD">
        <w:t>Zemědělství, lesni</w:t>
      </w:r>
      <w:r w:rsidR="005752A0">
        <w:t>ctví, rybářství a veterinářství</w:t>
      </w:r>
      <w:r w:rsidR="00BE39BD">
        <w:t xml:space="preserve"> do 2 097</w:t>
      </w:r>
      <w:r>
        <w:t xml:space="preserve"> </w:t>
      </w:r>
      <w:r w:rsidR="00BE39BD">
        <w:t>poprvé zapsaných mužů</w:t>
      </w:r>
      <w:r w:rsidR="005752A0">
        <w:t xml:space="preserve"> do skupiny oborů Služby</w:t>
      </w:r>
      <w:r>
        <w:t xml:space="preserve">. Zajímavý je však nárůst počtu poprvé zapsaných </w:t>
      </w:r>
      <w:r w:rsidR="00BE39BD">
        <w:t xml:space="preserve">mužů </w:t>
      </w:r>
      <w:r>
        <w:t xml:space="preserve">do skupiny oborů </w:t>
      </w:r>
      <w:r w:rsidRPr="00CC60C2">
        <w:rPr>
          <w:b/>
          <w:i/>
        </w:rPr>
        <w:t>Vzdělávání a výchova</w:t>
      </w:r>
      <w:r w:rsidR="00F368A5">
        <w:t xml:space="preserve"> mezi roky 2016 a 2021</w:t>
      </w:r>
      <w:r>
        <w:t xml:space="preserve">. </w:t>
      </w:r>
      <w:r w:rsidR="00BE39BD">
        <w:t>Jejich počet</w:t>
      </w:r>
      <w:r>
        <w:t xml:space="preserve"> se v daném období více než zdvojnásobil</w:t>
      </w:r>
      <w:r w:rsidR="00F368A5">
        <w:t xml:space="preserve"> (zvýšil se o 113,0 %, poté v roce 2022 klesl o 3,8 %)</w:t>
      </w:r>
      <w:r>
        <w:t xml:space="preserve"> a zaznamenal v tomto </w:t>
      </w:r>
      <w:r w:rsidR="00F368A5">
        <w:t xml:space="preserve">relativním </w:t>
      </w:r>
      <w:r>
        <w:t xml:space="preserve">pohledu nejrychlejší růst ze všech skupin oborů. </w:t>
      </w:r>
    </w:p>
    <w:p w14:paraId="35B35D68" w14:textId="35587AB9" w:rsidR="00C437AE" w:rsidRDefault="00C437AE" w:rsidP="00494CF0">
      <w:pPr>
        <w:ind w:firstLine="284"/>
        <w:jc w:val="both"/>
      </w:pPr>
      <w:r w:rsidRPr="00CC60C2">
        <w:rPr>
          <w:b/>
        </w:rPr>
        <w:t>Poprvé zapsané ženy</w:t>
      </w:r>
      <w:r>
        <w:t xml:space="preserve"> byly do jednotlivých skupin oborů vzdělávání rozmístěny mnohem rovnoměrněji než muži. I u nich stojí v popředí zájmu skupina oborů </w:t>
      </w:r>
      <w:r w:rsidRPr="00CC60C2">
        <w:rPr>
          <w:b/>
          <w:i/>
        </w:rPr>
        <w:t xml:space="preserve">Obchod, administrativa a právo </w:t>
      </w:r>
      <w:r w:rsidR="00BE39BD">
        <w:t>(7 </w:t>
      </w:r>
      <w:r>
        <w:t>3</w:t>
      </w:r>
      <w:r w:rsidR="00BE39BD">
        <w:t>11</w:t>
      </w:r>
      <w:r>
        <w:t xml:space="preserve"> poprvé zapsaných v roce 2022), následují však obory, o které typicky projevují zájem spíše ženy, a sice obory </w:t>
      </w:r>
      <w:r w:rsidRPr="00CC60C2">
        <w:rPr>
          <w:b/>
          <w:i/>
        </w:rPr>
        <w:t>zdravotnické</w:t>
      </w:r>
      <w:r w:rsidR="00BE39BD">
        <w:t xml:space="preserve"> (5 999</w:t>
      </w:r>
      <w:r>
        <w:t xml:space="preserve">) a </w:t>
      </w:r>
      <w:r w:rsidRPr="00CC60C2">
        <w:rPr>
          <w:b/>
          <w:i/>
        </w:rPr>
        <w:t>vzdělávací</w:t>
      </w:r>
      <w:r w:rsidR="00BE39BD">
        <w:t xml:space="preserve"> (4 8</w:t>
      </w:r>
      <w:r>
        <w:t>9</w:t>
      </w:r>
      <w:r w:rsidR="00BE39BD">
        <w:t>1</w:t>
      </w:r>
      <w:r>
        <w:t>). Ještě v roce 2012 přitom čítaly zdravotnické a vzdělávací obory téměř shodný počet poprvé zapsaných žen. Poté začalo poprvé zapsaných žen ve vzdělávacích oborech ubývat rychleji než v oborech zdravotnických a v roce 2</w:t>
      </w:r>
      <w:r w:rsidR="00AE0CA7">
        <w:t>015 čítaly zdravotnické obory 5 </w:t>
      </w:r>
      <w:r>
        <w:t>2</w:t>
      </w:r>
      <w:r w:rsidR="00AE0CA7">
        <w:t>00</w:t>
      </w:r>
      <w:r>
        <w:t xml:space="preserve"> poprv</w:t>
      </w:r>
      <w:r w:rsidR="00AE0CA7">
        <w:t>é zapsaných žen a vzdělávací 3 763</w:t>
      </w:r>
      <w:r w:rsidR="00506544">
        <w:t>. Tento rozdíl</w:t>
      </w:r>
      <w:r>
        <w:t xml:space="preserve"> </w:t>
      </w:r>
      <w:r w:rsidR="00506544">
        <w:t>se poté</w:t>
      </w:r>
      <w:r w:rsidR="00546934">
        <w:t xml:space="preserve"> opět snižoval</w:t>
      </w:r>
      <w:r w:rsidR="00506544">
        <w:t xml:space="preserve"> a v roce </w:t>
      </w:r>
      <w:r w:rsidR="00506544" w:rsidRPr="00506544">
        <w:t>2019</w:t>
      </w:r>
      <w:r w:rsidR="00506544">
        <w:t xml:space="preserve"> bylo již jen o 17,5 % více studentek ve zdravotnických než vzdělávacích oborech. Od</w:t>
      </w:r>
      <w:r w:rsidR="00546934">
        <w:t xml:space="preserve"> roku 2020 se</w:t>
      </w:r>
      <w:r w:rsidR="00506544">
        <w:t xml:space="preserve"> však</w:t>
      </w:r>
      <w:r>
        <w:t xml:space="preserve"> začal počet poprvé zapsaných žen do vzdělávacích oborů </w:t>
      </w:r>
      <w:r w:rsidR="00546934">
        <w:t>nepatrně snižovat</w:t>
      </w:r>
      <w:r>
        <w:t>, zatímco počet poprvé zapsaných žen do zdravotnických oborů až do roku 2021 poměrně prudce rostl</w:t>
      </w:r>
      <w:r w:rsidR="00506544">
        <w:t xml:space="preserve"> a poklesl až v roce 2022</w:t>
      </w:r>
      <w:r>
        <w:t xml:space="preserve">. Zajímavý je také růst počtu poprvé zapsaných žen do skupiny oborů </w:t>
      </w:r>
      <w:r w:rsidRPr="00933C9B">
        <w:rPr>
          <w:b/>
          <w:i/>
        </w:rPr>
        <w:t>Informačních a komunikačních technologií</w:t>
      </w:r>
      <w:r>
        <w:t xml:space="preserve"> mezi roky 2015 a 2022, kdy </w:t>
      </w:r>
      <w:r w:rsidR="00776913">
        <w:t>stoupl o 75,3 %</w:t>
      </w:r>
      <w:r w:rsidR="0063243F">
        <w:t>. Více viz g</w:t>
      </w:r>
      <w:r w:rsidR="008F7B8C">
        <w:t>raf č. 2.7</w:t>
      </w:r>
      <w:r>
        <w:t xml:space="preserve">.   </w:t>
      </w:r>
    </w:p>
    <w:p w14:paraId="107A5F70" w14:textId="0FAF8826" w:rsidR="00C87804" w:rsidRDefault="00A3697D" w:rsidP="00A34666">
      <w:pPr>
        <w:keepNext/>
        <w:spacing w:after="120"/>
        <w:jc w:val="both"/>
        <w:rPr>
          <w:b/>
        </w:rPr>
      </w:pPr>
      <w:r>
        <w:rPr>
          <w:b/>
        </w:rPr>
        <w:lastRenderedPageBreak/>
        <w:t xml:space="preserve">Graf č. </w:t>
      </w:r>
      <w:r w:rsidR="008F7B8C">
        <w:rPr>
          <w:b/>
        </w:rPr>
        <w:t>2.7</w:t>
      </w:r>
      <w:r w:rsidR="00C87804" w:rsidRPr="00022A05">
        <w:rPr>
          <w:b/>
        </w:rPr>
        <w:t xml:space="preserve"> Vývoj počtu poprvé zapsaných </w:t>
      </w:r>
      <w:r w:rsidR="00184D34">
        <w:rPr>
          <w:b/>
        </w:rPr>
        <w:t>mužů a žen</w:t>
      </w:r>
      <w:r w:rsidR="00C87804" w:rsidRPr="00022A05">
        <w:rPr>
          <w:b/>
        </w:rPr>
        <w:t xml:space="preserve"> do studia v českém vzdělávacím systému v dělení na skupiny oborů vzdělávání</w:t>
      </w:r>
    </w:p>
    <w:p w14:paraId="41AC0828" w14:textId="77777777" w:rsidR="00C87804" w:rsidRDefault="00C87804" w:rsidP="00A34666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D465C3" wp14:editId="3550F80E">
                <wp:simplePos x="0" y="0"/>
                <wp:positionH relativeFrom="column">
                  <wp:posOffset>5062855</wp:posOffset>
                </wp:positionH>
                <wp:positionV relativeFrom="paragraph">
                  <wp:posOffset>78105</wp:posOffset>
                </wp:positionV>
                <wp:extent cx="619125" cy="228600"/>
                <wp:effectExtent l="0" t="0" r="9525" b="0"/>
                <wp:wrapNone/>
                <wp:docPr id="59" name="Obdélní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453ED" w14:textId="77777777" w:rsidR="003635AD" w:rsidRPr="00CC60C2" w:rsidRDefault="003635AD" w:rsidP="00C8780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0C2">
                              <w:rPr>
                                <w:rFonts w:cs="Arial"/>
                                <w:b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Muži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465C3" id="Obdélník 59" o:spid="_x0000_s1026" style="position:absolute;left:0;text-align:left;margin-left:398.65pt;margin-top:6.15pt;width:48.75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" fillcolor="#bfbfbf [2412]" stroked="f" strokeweight="2pt">
                <v:textbox>
                  <w:txbxContent>
                    <w:p w14:paraId="548453ED" w14:textId="77777777" w:rsidR="003635AD" w:rsidRPr="00CC60C2" w:rsidRDefault="003635AD" w:rsidP="00C87804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60C2">
                        <w:rPr>
                          <w:rFonts w:cs="Arial"/>
                          <w:b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Muži</w:t>
                      </w:r>
                    </w:p>
                  </w:txbxContent>
                </v:textbox>
              </v:rect>
            </w:pict>
          </mc:Fallback>
        </mc:AlternateContent>
      </w:r>
      <w:r w:rsidRPr="00BC72AD">
        <w:rPr>
          <w:noProof/>
          <w:color w:val="FF57AB"/>
        </w:rPr>
        <w:drawing>
          <wp:inline distT="0" distB="0" distL="0" distR="0" wp14:anchorId="7E4901A1" wp14:editId="1F1F6AEC">
            <wp:extent cx="5760720" cy="3371850"/>
            <wp:effectExtent l="0" t="0" r="11430" b="0"/>
            <wp:docPr id="58" name="Graf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7FC1B068" w14:textId="77777777" w:rsidR="00C87804" w:rsidRDefault="00C87804" w:rsidP="00C437AE">
      <w:pPr>
        <w:spacing w:after="120"/>
        <w:jc w:val="both"/>
      </w:pPr>
      <w:r>
        <w:rPr>
          <w:noProof/>
        </w:rPr>
        <w:drawing>
          <wp:inline distT="0" distB="0" distL="0" distR="0" wp14:anchorId="47F6CFAA" wp14:editId="03EB75FE">
            <wp:extent cx="5760720" cy="4276725"/>
            <wp:effectExtent l="0" t="0" r="11430" b="9525"/>
            <wp:docPr id="57" name="Graf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449989BB" w14:textId="77777777" w:rsidR="00C87804" w:rsidRPr="007644F1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7644F1">
        <w:rPr>
          <w:sz w:val="18"/>
          <w:szCs w:val="18"/>
        </w:rPr>
        <w:t>Zdroj dat: MŠMT</w:t>
      </w:r>
    </w:p>
    <w:p w14:paraId="4F765463" w14:textId="6F9E1DB3" w:rsidR="000A388F" w:rsidRDefault="000A388F" w:rsidP="000A388F">
      <w:pPr>
        <w:pStyle w:val="Nadpis2"/>
        <w:spacing w:after="120"/>
      </w:pPr>
      <w:bookmarkStart w:id="14" w:name="_Toc135224490"/>
      <w:r>
        <w:lastRenderedPageBreak/>
        <w:t>2.3 Vývoj počtu absolventů dle skupin oborů</w:t>
      </w:r>
      <w:bookmarkEnd w:id="14"/>
    </w:p>
    <w:p w14:paraId="77115A22" w14:textId="4F22507A" w:rsidR="00C87804" w:rsidRDefault="00C87804" w:rsidP="00494CF0">
      <w:pPr>
        <w:ind w:firstLine="284"/>
        <w:jc w:val="both"/>
      </w:pPr>
      <w:r>
        <w:t xml:space="preserve">Přejděme nyní na </w:t>
      </w:r>
      <w:r w:rsidRPr="00933C9B">
        <w:rPr>
          <w:b/>
        </w:rPr>
        <w:t xml:space="preserve">vývoj počtu </w:t>
      </w:r>
      <w:r>
        <w:rPr>
          <w:b/>
        </w:rPr>
        <w:t xml:space="preserve">(všech) </w:t>
      </w:r>
      <w:r w:rsidRPr="00933C9B">
        <w:rPr>
          <w:b/>
        </w:rPr>
        <w:t>absolventů</w:t>
      </w:r>
      <w:r>
        <w:t>, který v porovnání s vývojem studentů a poprvé zapsaných lépe ukazuje, jací odborníci vysokoškoláci mohou přicházet na trh práce (mnozí se</w:t>
      </w:r>
      <w:r w:rsidR="00B64019">
        <w:t xml:space="preserve"> však</w:t>
      </w:r>
      <w:r>
        <w:t xml:space="preserve"> jistě rozhodnou pokračovat ve studiu, zejména dosáhnou-li zatím pouze bak</w:t>
      </w:r>
      <w:r w:rsidR="0063243F">
        <w:t>alářského vzdělání). Graf č. 2</w:t>
      </w:r>
      <w:r w:rsidR="008F7B8C">
        <w:t>.8</w:t>
      </w:r>
      <w:r>
        <w:t xml:space="preserve"> ukazuje v</w:t>
      </w:r>
      <w:r w:rsidRPr="00086EEE">
        <w:t>ývoj počtu absolventů v dělení na skupiny oborů vzdělávání</w:t>
      </w:r>
      <w:r>
        <w:t xml:space="preserve"> v posledních deseti letech. </w:t>
      </w:r>
    </w:p>
    <w:p w14:paraId="55C6D7F0" w14:textId="36C6FAD6" w:rsidR="00C87804" w:rsidRPr="00280D61" w:rsidRDefault="00A3697D" w:rsidP="00EB473F">
      <w:pPr>
        <w:keepNext/>
        <w:spacing w:after="120" w:line="240" w:lineRule="auto"/>
        <w:jc w:val="both"/>
        <w:rPr>
          <w:b/>
        </w:rPr>
      </w:pPr>
      <w:r>
        <w:rPr>
          <w:b/>
        </w:rPr>
        <w:t xml:space="preserve">Graf č. </w:t>
      </w:r>
      <w:r w:rsidR="008F7B8C">
        <w:rPr>
          <w:b/>
        </w:rPr>
        <w:t>2.8</w:t>
      </w:r>
      <w:r w:rsidR="00C87804" w:rsidRPr="00022A05">
        <w:rPr>
          <w:b/>
        </w:rPr>
        <w:t xml:space="preserve"> Vývoj počtu </w:t>
      </w:r>
      <w:r w:rsidR="00C87804">
        <w:rPr>
          <w:b/>
        </w:rPr>
        <w:t>absolventů</w:t>
      </w:r>
      <w:r w:rsidR="00C87804" w:rsidRPr="00022A05">
        <w:rPr>
          <w:b/>
        </w:rPr>
        <w:t xml:space="preserve"> v dělení </w:t>
      </w:r>
      <w:r w:rsidR="00C87804">
        <w:rPr>
          <w:b/>
        </w:rPr>
        <w:t>na skupiny oborů vzdělávání (v tis.)</w:t>
      </w:r>
    </w:p>
    <w:p w14:paraId="4856F23F" w14:textId="77777777" w:rsidR="00C87804" w:rsidRDefault="00C87804" w:rsidP="00C87804">
      <w:pPr>
        <w:jc w:val="both"/>
      </w:pPr>
      <w:r w:rsidRPr="00A54940">
        <w:rPr>
          <w:noProof/>
          <w:color w:val="50830B"/>
        </w:rPr>
        <w:drawing>
          <wp:inline distT="0" distB="0" distL="0" distR="0" wp14:anchorId="50201736" wp14:editId="566BD555">
            <wp:extent cx="5760720" cy="6953250"/>
            <wp:effectExtent l="0" t="0" r="11430" b="0"/>
            <wp:docPr id="50" name="Graf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4A982F7B" w14:textId="1C104523" w:rsidR="00C87804" w:rsidRDefault="00C87804" w:rsidP="00C87804">
      <w:pPr>
        <w:spacing w:after="120" w:line="240" w:lineRule="auto"/>
        <w:jc w:val="right"/>
        <w:rPr>
          <w:sz w:val="18"/>
          <w:szCs w:val="18"/>
        </w:rPr>
      </w:pPr>
      <w:r w:rsidRPr="007644F1">
        <w:rPr>
          <w:sz w:val="18"/>
          <w:szCs w:val="18"/>
        </w:rPr>
        <w:t>Zdroj dat: MŠMT</w:t>
      </w:r>
    </w:p>
    <w:p w14:paraId="3B373E6D" w14:textId="4C1E4DE2" w:rsidR="00C437AE" w:rsidRDefault="00C437AE" w:rsidP="00184D34">
      <w:pPr>
        <w:spacing w:after="120"/>
        <w:ind w:firstLine="284"/>
        <w:jc w:val="both"/>
      </w:pPr>
      <w:r>
        <w:lastRenderedPageBreak/>
        <w:t xml:space="preserve">Lze říci, že přes trvale výrazně klesající tendenci počtu </w:t>
      </w:r>
      <w:r w:rsidR="006A75D9">
        <w:t>absolv</w:t>
      </w:r>
      <w:r>
        <w:t xml:space="preserve">entů oborů ze skupin </w:t>
      </w:r>
      <w:r w:rsidRPr="001100F9">
        <w:rPr>
          <w:b/>
          <w:i/>
        </w:rPr>
        <w:t>Obchod, administrativa a právo</w:t>
      </w:r>
      <w:r>
        <w:t xml:space="preserve"> a </w:t>
      </w:r>
      <w:r w:rsidRPr="001100F9">
        <w:rPr>
          <w:b/>
          <w:i/>
        </w:rPr>
        <w:t>Technika, výroba a stavebnictví</w:t>
      </w:r>
      <w:r>
        <w:t xml:space="preserve"> se tyto dvě skupiny oborů udržely v posledních deseti letech na prvních dvou příčkách a byly tedy těmi s nejvíce absolventy (v roce 2022 je absolvovalo </w:t>
      </w:r>
      <w:r w:rsidRPr="001100F9">
        <w:t>11</w:t>
      </w:r>
      <w:r>
        <w:t> </w:t>
      </w:r>
      <w:r w:rsidRPr="001100F9">
        <w:t>976</w:t>
      </w:r>
      <w:r>
        <w:t xml:space="preserve">, resp. </w:t>
      </w:r>
      <w:r w:rsidRPr="001100F9">
        <w:t>8</w:t>
      </w:r>
      <w:r>
        <w:t> </w:t>
      </w:r>
      <w:r w:rsidRPr="001100F9">
        <w:t>484</w:t>
      </w:r>
      <w:r>
        <w:t xml:space="preserve"> studentů). S jistým odstupem pak následují tři obory, které absolvovalo cca sedm tisíc studentů, a sice </w:t>
      </w:r>
      <w:r w:rsidRPr="007473C5">
        <w:rPr>
          <w:b/>
          <w:i/>
        </w:rPr>
        <w:t>Vzdělávání a výchova</w:t>
      </w:r>
      <w:r>
        <w:t xml:space="preserve"> (7 083), </w:t>
      </w:r>
      <w:r w:rsidRPr="007473C5">
        <w:rPr>
          <w:b/>
          <w:i/>
        </w:rPr>
        <w:t>Zdravotní a sociální péče</w:t>
      </w:r>
      <w:r>
        <w:t xml:space="preserve"> (6 774) a </w:t>
      </w:r>
      <w:r w:rsidRPr="007473C5">
        <w:rPr>
          <w:b/>
          <w:i/>
        </w:rPr>
        <w:t>Společenské vědy, žurnalistika a informační vědy</w:t>
      </w:r>
      <w:r>
        <w:t xml:space="preserve"> (6 632). Přitom si lze všimnout, že zatímco zdravotnické obory zaznamenaly v posledních deseti letech </w:t>
      </w:r>
      <w:r w:rsidR="008955E3">
        <w:t>relativně</w:t>
      </w:r>
      <w:r>
        <w:t xml:space="preserve"> setrvalý stav absolventů (počet osciluje kolem 7 tisících), u společenskovědních oborů a oborů vzdělávacích došlo k úbytku z 11 657, resp. 12 552 absolventů na 6 632, resp. 7 083 absolventů. Zároveň lze poznamenat, že pokles počtu absolventů vzdělávacích oborů se v roce 2019 zastavil a začal oscilovat mezi 7,1 tisíce a 7,3 tisíce absolventů.</w:t>
      </w:r>
      <w:r w:rsidR="00EC32D7" w:rsidRPr="00EC32D7">
        <w:t xml:space="preserve"> </w:t>
      </w:r>
    </w:p>
    <w:p w14:paraId="5162B3B6" w14:textId="0917D05B" w:rsidR="00C437AE" w:rsidRDefault="00C437AE" w:rsidP="00184D34">
      <w:pPr>
        <w:spacing w:after="120"/>
        <w:ind w:firstLine="284"/>
        <w:jc w:val="both"/>
      </w:pPr>
      <w:r>
        <w:t xml:space="preserve">Pokud se jedná o skupiny oborů </w:t>
      </w:r>
      <w:r w:rsidRPr="007473C5">
        <w:rPr>
          <w:b/>
          <w:i/>
        </w:rPr>
        <w:t>Umění a humanitní vědy</w:t>
      </w:r>
      <w:r>
        <w:t xml:space="preserve">, </w:t>
      </w:r>
      <w:r w:rsidRPr="007473C5">
        <w:rPr>
          <w:b/>
          <w:i/>
        </w:rPr>
        <w:t>Informační a komunikační technologie</w:t>
      </w:r>
      <w:r>
        <w:t xml:space="preserve"> a </w:t>
      </w:r>
      <w:r w:rsidRPr="007473C5">
        <w:rPr>
          <w:b/>
          <w:i/>
        </w:rPr>
        <w:t>Služby</w:t>
      </w:r>
      <w:r>
        <w:t>, zaznamenaly v roce 2022 pět tisíc a méně absolventů, přičemž jejich počet se od roku 2013 rok od roku snižoval</w:t>
      </w:r>
      <w:r w:rsidR="00750DFF">
        <w:rPr>
          <w:rStyle w:val="Znakapoznpodarou"/>
        </w:rPr>
        <w:footnoteReference w:id="3"/>
      </w:r>
      <w:r>
        <w:t xml:space="preserve">. Za deset let se snížil též počet absolventů </w:t>
      </w:r>
      <w:r w:rsidRPr="007473C5">
        <w:rPr>
          <w:b/>
          <w:i/>
        </w:rPr>
        <w:t>zemědělských, lesnických a veterinářských oborů</w:t>
      </w:r>
      <w:r>
        <w:t>, a sice z </w:t>
      </w:r>
      <w:r w:rsidRPr="00B0714C">
        <w:t>3</w:t>
      </w:r>
      <w:r>
        <w:t> </w:t>
      </w:r>
      <w:r w:rsidRPr="00B0714C">
        <w:t>189</w:t>
      </w:r>
      <w:r>
        <w:t xml:space="preserve"> na 1 999 absolventů. Mezi skupinami oborů s méně než pěti tisíci absolventy v roce 2022 jsou též obory z oblasti </w:t>
      </w:r>
      <w:r w:rsidRPr="007473C5">
        <w:rPr>
          <w:b/>
          <w:i/>
        </w:rPr>
        <w:t>Přírodních věd, matematiky a statistiky</w:t>
      </w:r>
      <w:r>
        <w:t>. Počet absolventů těchto oborů přitom v posledních deseti letech osciloval kolem čtyř tisíc</w:t>
      </w:r>
      <w:r w:rsidR="002E076C">
        <w:t xml:space="preserve"> absolventů</w:t>
      </w:r>
      <w:r>
        <w:t xml:space="preserve"> s minimem 3 736 absolventů v roce 2021 a maximem 4 504 absolventů v roce 2013. V roce 2022 tyto obory absolvovalo 4 163 studentů.</w:t>
      </w:r>
    </w:p>
    <w:p w14:paraId="37390ECE" w14:textId="77777777" w:rsidR="00C437AE" w:rsidRPr="007644F1" w:rsidRDefault="00C437AE" w:rsidP="00494CF0">
      <w:pPr>
        <w:spacing w:after="120" w:line="240" w:lineRule="auto"/>
        <w:ind w:firstLine="284"/>
        <w:jc w:val="right"/>
        <w:rPr>
          <w:sz w:val="18"/>
          <w:szCs w:val="18"/>
        </w:rPr>
      </w:pPr>
    </w:p>
    <w:p w14:paraId="4B625E4B" w14:textId="3FD9DB8F" w:rsidR="00C87804" w:rsidRDefault="00C87804" w:rsidP="00494CF0">
      <w:pPr>
        <w:ind w:firstLine="284"/>
        <w:jc w:val="both"/>
      </w:pPr>
      <w:r w:rsidRPr="0031715B">
        <w:t xml:space="preserve">Jak již bylo uvedené, </w:t>
      </w:r>
      <w:r>
        <w:t xml:space="preserve">řada absolventů zejména bakalářských programů může pokračovat ve studiu v magisterském studijním programu a na trh práce se mnohem častěji přechází po absolutoriu magisterských a doktorských studijních programů. Další graf proto ukazuje, jaký </w:t>
      </w:r>
      <w:r w:rsidRPr="0009738B">
        <w:rPr>
          <w:b/>
        </w:rPr>
        <w:t>počet absolventů</w:t>
      </w:r>
      <w:r>
        <w:t xml:space="preserve"> </w:t>
      </w:r>
      <w:r w:rsidRPr="0009738B">
        <w:rPr>
          <w:b/>
        </w:rPr>
        <w:t>magisterských a doktorských studijních programů</w:t>
      </w:r>
      <w:r>
        <w:t xml:space="preserve"> zaznamenal</w:t>
      </w:r>
      <w:r w:rsidR="00CB0536">
        <w:t>a</w:t>
      </w:r>
      <w:r>
        <w:t xml:space="preserve"> v uplynulých deseti letech ta která skupina oborů. Zde opomineme, že někteří studenti mohli absolvovat v jednom roce magisterský i doktorský studijní program – ti jsou nyní v grafu započteni dvakrát, ale po zaokrouhlení na tisíce absolv</w:t>
      </w:r>
      <w:r w:rsidR="00070595">
        <w:t>entů by to nemělo být patrné či</w:t>
      </w:r>
      <w:r>
        <w:t xml:space="preserve"> zkreslující. </w:t>
      </w:r>
    </w:p>
    <w:p w14:paraId="0C7DB2DD" w14:textId="6365886F" w:rsidR="0009738B" w:rsidRDefault="008F7B8C" w:rsidP="00494CF0">
      <w:pPr>
        <w:ind w:firstLine="284"/>
        <w:jc w:val="both"/>
      </w:pPr>
      <w:r>
        <w:t>Graf č. 2.9</w:t>
      </w:r>
      <w:r w:rsidR="0009738B">
        <w:t xml:space="preserve"> ukazuje, že v tomto pohledu se snížil náskok v počtu absolventů skupiny oborů </w:t>
      </w:r>
      <w:r w:rsidR="0009738B" w:rsidRPr="0009738B">
        <w:rPr>
          <w:b/>
          <w:i/>
        </w:rPr>
        <w:t>Obchod, administrativa a právo</w:t>
      </w:r>
      <w:r w:rsidR="0009738B">
        <w:t xml:space="preserve">. Tato skupina oborů se nicméně udržela na první pozici jako ta s největším počtem absolventů magisterských a doktorských programů. Také je patrné, že zatímco v počtu všech absolventů skupina oborů </w:t>
      </w:r>
      <w:r w:rsidR="0009738B" w:rsidRPr="0009738B">
        <w:rPr>
          <w:b/>
          <w:i/>
        </w:rPr>
        <w:t>Zdravotní a sociální péče</w:t>
      </w:r>
      <w:r w:rsidR="0009738B">
        <w:t xml:space="preserve"> teprve v roce 2022 nepatrně předběhla skupinu oborů </w:t>
      </w:r>
      <w:r w:rsidR="0009738B" w:rsidRPr="0009738B">
        <w:rPr>
          <w:b/>
          <w:i/>
        </w:rPr>
        <w:t>Společenských věd, žurnalistiky a informačních věd</w:t>
      </w:r>
      <w:r w:rsidR="00184D34">
        <w:t xml:space="preserve"> a </w:t>
      </w:r>
      <w:r w:rsidR="0009738B">
        <w:t xml:space="preserve">zůstala v závěsu za skupinou oborů </w:t>
      </w:r>
      <w:r w:rsidR="0009738B" w:rsidRPr="0009738B">
        <w:rPr>
          <w:b/>
          <w:i/>
        </w:rPr>
        <w:t>Vzdělávání a výchova</w:t>
      </w:r>
      <w:r w:rsidR="0009738B">
        <w:t>, v počtu absolventů magisterských a doktorských programů již v roce 2022 převýšila skupinu společensk</w:t>
      </w:r>
      <w:r w:rsidR="00CB0536">
        <w:t>ovědních i vzdělávacích oborů. Skupinu</w:t>
      </w:r>
      <w:r w:rsidR="0009738B">
        <w:t xml:space="preserve"> </w:t>
      </w:r>
      <w:r w:rsidR="0009738B" w:rsidRPr="0009738B">
        <w:t>společenskovědních oborů</w:t>
      </w:r>
      <w:r w:rsidR="0009738B">
        <w:t xml:space="preserve"> </w:t>
      </w:r>
      <w:r w:rsidR="00CB0536">
        <w:t xml:space="preserve">předehnala v počtu absolventů magisterských a doktorských programů </w:t>
      </w:r>
      <w:r w:rsidR="0009738B">
        <w:t xml:space="preserve">poprvé, u vzdělávacích oborů již třetím rokem po sobě, kdy se rozdíl stále zvyšoval. </w:t>
      </w:r>
    </w:p>
    <w:p w14:paraId="1E5F0390" w14:textId="77777777" w:rsidR="0009738B" w:rsidRDefault="0009738B" w:rsidP="00C87804">
      <w:pPr>
        <w:jc w:val="both"/>
      </w:pPr>
    </w:p>
    <w:p w14:paraId="17C85092" w14:textId="3453DB8E" w:rsidR="00C87804" w:rsidRPr="00F21ABF" w:rsidRDefault="00A3697D" w:rsidP="0009738B">
      <w:pPr>
        <w:keepNext/>
        <w:spacing w:after="120"/>
        <w:jc w:val="both"/>
        <w:rPr>
          <w:b/>
        </w:rPr>
      </w:pPr>
      <w:r>
        <w:rPr>
          <w:b/>
        </w:rPr>
        <w:lastRenderedPageBreak/>
        <w:t xml:space="preserve">Graf č. </w:t>
      </w:r>
      <w:r w:rsidR="008F7B8C">
        <w:rPr>
          <w:b/>
        </w:rPr>
        <w:t>2.9</w:t>
      </w:r>
      <w:r w:rsidR="00C87804" w:rsidRPr="00022A05">
        <w:rPr>
          <w:b/>
        </w:rPr>
        <w:t xml:space="preserve"> Vývoj počtu </w:t>
      </w:r>
      <w:r w:rsidR="00C87804">
        <w:rPr>
          <w:b/>
        </w:rPr>
        <w:t>absolventů</w:t>
      </w:r>
      <w:r w:rsidR="00C87804" w:rsidRPr="00022A05">
        <w:rPr>
          <w:b/>
        </w:rPr>
        <w:t xml:space="preserve"> </w:t>
      </w:r>
      <w:r w:rsidR="00C87804">
        <w:rPr>
          <w:b/>
        </w:rPr>
        <w:t xml:space="preserve">magisterských a doktorských studijních programů </w:t>
      </w:r>
      <w:r w:rsidR="00C87804" w:rsidRPr="00022A05">
        <w:rPr>
          <w:b/>
        </w:rPr>
        <w:t xml:space="preserve">v dělení </w:t>
      </w:r>
      <w:r w:rsidR="00C87804">
        <w:rPr>
          <w:b/>
        </w:rPr>
        <w:t>na skupiny oborů vzdělávání (v tis.)</w:t>
      </w:r>
    </w:p>
    <w:p w14:paraId="7AC7A509" w14:textId="77777777" w:rsidR="00C87804" w:rsidRDefault="00C87804" w:rsidP="00C87804">
      <w:pPr>
        <w:jc w:val="both"/>
      </w:pPr>
      <w:r>
        <w:rPr>
          <w:noProof/>
        </w:rPr>
        <w:drawing>
          <wp:inline distT="0" distB="0" distL="0" distR="0" wp14:anchorId="522B44FA" wp14:editId="7850EF5F">
            <wp:extent cx="5760720" cy="6438900"/>
            <wp:effectExtent l="0" t="0" r="11430" b="0"/>
            <wp:docPr id="35" name="Graf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0782B8AC" w14:textId="26C2AF3D" w:rsidR="00486562" w:rsidRDefault="00C87804" w:rsidP="00D5732C">
      <w:pPr>
        <w:spacing w:after="120" w:line="240" w:lineRule="auto"/>
        <w:jc w:val="right"/>
        <w:rPr>
          <w:sz w:val="18"/>
          <w:szCs w:val="18"/>
        </w:rPr>
      </w:pPr>
      <w:r w:rsidRPr="007644F1">
        <w:rPr>
          <w:sz w:val="18"/>
          <w:szCs w:val="18"/>
        </w:rPr>
        <w:t>Zdroj dat: MŠMT</w:t>
      </w:r>
    </w:p>
    <w:p w14:paraId="591FCEF0" w14:textId="77777777" w:rsidR="00835A25" w:rsidRDefault="00835A25" w:rsidP="00835A25">
      <w:pPr>
        <w:spacing w:after="120" w:line="240" w:lineRule="auto"/>
        <w:rPr>
          <w:sz w:val="18"/>
          <w:szCs w:val="18"/>
        </w:rPr>
      </w:pPr>
    </w:p>
    <w:p w14:paraId="096080CF" w14:textId="4E47E686" w:rsidR="00486562" w:rsidRPr="00486562" w:rsidRDefault="00486562" w:rsidP="00486562">
      <w:pPr>
        <w:spacing w:after="120" w:line="240" w:lineRule="auto"/>
        <w:rPr>
          <w:color w:val="FF0000"/>
          <w:sz w:val="18"/>
          <w:szCs w:val="18"/>
        </w:rPr>
      </w:pPr>
    </w:p>
    <w:sectPr w:rsidR="00486562" w:rsidRPr="00486562">
      <w:headerReference w:type="even" r:id="rId59"/>
      <w:headerReference w:type="default" r:id="rId60"/>
      <w:footerReference w:type="even" r:id="rId61"/>
      <w:footerReference w:type="default" r:id="rId6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F3CF69" w14:textId="77777777" w:rsidR="003635AD" w:rsidRDefault="003635AD" w:rsidP="00E71A58">
      <w:r>
        <w:separator/>
      </w:r>
    </w:p>
  </w:endnote>
  <w:endnote w:type="continuationSeparator" w:id="0">
    <w:p w14:paraId="6B5FCA43" w14:textId="77777777" w:rsidR="003635AD" w:rsidRDefault="003635AD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1896578"/>
      <w:docPartObj>
        <w:docPartGallery w:val="Page Numbers (Bottom of Page)"/>
        <w:docPartUnique/>
      </w:docPartObj>
    </w:sdtPr>
    <w:sdtEndPr/>
    <w:sdtContent>
      <w:p w14:paraId="280B8316" w14:textId="7862675B" w:rsidR="003635AD" w:rsidRPr="00043486" w:rsidRDefault="003635AD" w:rsidP="00043486">
        <w:pPr>
          <w:pStyle w:val="Zpat"/>
        </w:pPr>
        <w:r>
          <w:rPr>
            <w:szCs w:val="16"/>
            <w:lang w:eastAsia="cs-CZ"/>
          </w:rPr>
          <w:drawing>
            <wp:anchor distT="0" distB="0" distL="114300" distR="114300" simplePos="0" relativeHeight="251666432" behindDoc="0" locked="0" layoutInCell="1" allowOverlap="1" wp14:anchorId="5747A567" wp14:editId="7902C545">
              <wp:simplePos x="0" y="0"/>
              <wp:positionH relativeFrom="margin">
                <wp:align>right</wp:align>
              </wp:positionH>
              <wp:positionV relativeFrom="paragraph">
                <wp:posOffset>9525</wp:posOffset>
              </wp:positionV>
              <wp:extent cx="428625" cy="201295"/>
              <wp:effectExtent l="0" t="0" r="9525" b="8255"/>
              <wp:wrapNone/>
              <wp:docPr id="11" name="Picture 11" descr="CSU RGB CZ logo-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SU RGB CZ logo-0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86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658A4">
          <w:t>8</w:t>
        </w:r>
        <w:r>
          <w:fldChar w:fldCharType="end"/>
        </w:r>
        <w:r>
          <w:t xml:space="preserve">                                                                                           </w:t>
        </w:r>
        <w:r w:rsidRPr="00043486">
          <w:t>2001–2022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810298"/>
      <w:docPartObj>
        <w:docPartGallery w:val="Page Numbers (Bottom of Page)"/>
        <w:docPartUnique/>
      </w:docPartObj>
    </w:sdtPr>
    <w:sdtEndPr/>
    <w:sdtContent>
      <w:p w14:paraId="5CBB27FE" w14:textId="7B8E934A" w:rsidR="003635AD" w:rsidRDefault="003635AD">
        <w:pPr>
          <w:pStyle w:val="Zpat"/>
          <w:jc w:val="right"/>
        </w:pPr>
        <w:r>
          <w:rPr>
            <w:szCs w:val="16"/>
            <w:lang w:eastAsia="cs-CZ"/>
          </w:rPr>
          <w:drawing>
            <wp:anchor distT="0" distB="0" distL="114300" distR="114300" simplePos="0" relativeHeight="251664384" behindDoc="0" locked="0" layoutInCell="1" allowOverlap="1" wp14:anchorId="412E7B8E" wp14:editId="2F46BF0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10540" cy="272415"/>
              <wp:effectExtent l="0" t="0" r="0" b="6985"/>
              <wp:wrapNone/>
              <wp:docPr id="10" name="Picture 10" descr="CSU RGB CZ logo-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SU RGB CZ logo-0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054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658A4">
          <w:t>7</w:t>
        </w:r>
        <w:r>
          <w:fldChar w:fldCharType="end"/>
        </w:r>
      </w:p>
    </w:sdtContent>
  </w:sdt>
  <w:p w14:paraId="0E02FE6A" w14:textId="2C433DE7" w:rsidR="003635AD" w:rsidRPr="00DD3D11" w:rsidRDefault="003635AD" w:rsidP="00043486">
    <w:pPr>
      <w:pStyle w:val="Zpat"/>
      <w:tabs>
        <w:tab w:val="left" w:pos="525"/>
        <w:tab w:val="center" w:pos="4536"/>
      </w:tabs>
      <w:jc w:val="center"/>
      <w:rPr>
        <w:szCs w:val="16"/>
      </w:rPr>
    </w:pPr>
    <w:r>
      <w:rPr>
        <w:szCs w:val="16"/>
      </w:rPr>
      <w:t>2001–2022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87927" w14:textId="77777777" w:rsidR="003635AD" w:rsidRDefault="003635AD" w:rsidP="00E71A58">
      <w:r>
        <w:separator/>
      </w:r>
    </w:p>
  </w:footnote>
  <w:footnote w:type="continuationSeparator" w:id="0">
    <w:p w14:paraId="05851D52" w14:textId="77777777" w:rsidR="003635AD" w:rsidRDefault="003635AD" w:rsidP="00E71A58">
      <w:r>
        <w:continuationSeparator/>
      </w:r>
    </w:p>
  </w:footnote>
  <w:footnote w:id="1">
    <w:p w14:paraId="4CA3AB57" w14:textId="6DB175F9" w:rsidR="003635AD" w:rsidRPr="00B1734C" w:rsidRDefault="003635AD" w:rsidP="00B1734C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B1734C">
        <w:rPr>
          <w:rStyle w:val="Znakapoznpodarou"/>
          <w:rFonts w:ascii="Arial" w:hAnsi="Arial" w:cs="Arial"/>
          <w:sz w:val="18"/>
          <w:szCs w:val="18"/>
        </w:rPr>
        <w:footnoteRef/>
      </w:r>
      <w:r w:rsidRPr="00B1734C">
        <w:rPr>
          <w:rFonts w:ascii="Arial" w:hAnsi="Arial" w:cs="Arial"/>
          <w:sz w:val="18"/>
          <w:szCs w:val="18"/>
        </w:rPr>
        <w:t xml:space="preserve"> Zároveň se za posledních pět let snížil podíl doktorandů mezi studenty ze 7,4 % na 6,7 % a naopak podíl studentů bakalářských oborů se zvýšil z 57,6 % na 60,4 %. Změny v čase jsou však v těchto ukazatelích ovlivněné také demografickým vývojem a politickými opatřeními, resp. změnami v požadavcích na vzdělání  určitých profesí a s tím spojenou potřebou pracovníků doplnit si ve stanoveném termínu svou kvalifikaci.</w:t>
      </w:r>
    </w:p>
  </w:footnote>
  <w:footnote w:id="2">
    <w:p w14:paraId="6B0074F5" w14:textId="4CB31112" w:rsidR="003635AD" w:rsidRPr="00B1734C" w:rsidRDefault="003635AD" w:rsidP="00B1734C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B1734C">
        <w:rPr>
          <w:rStyle w:val="Znakapoznpodarou"/>
          <w:rFonts w:ascii="Arial" w:hAnsi="Arial" w:cs="Arial"/>
          <w:sz w:val="18"/>
          <w:szCs w:val="18"/>
        </w:rPr>
        <w:footnoteRef/>
      </w:r>
      <w:r w:rsidRPr="00B1734C">
        <w:rPr>
          <w:rFonts w:ascii="Arial" w:hAnsi="Arial" w:cs="Arial"/>
          <w:sz w:val="18"/>
          <w:szCs w:val="18"/>
        </w:rPr>
        <w:t xml:space="preserve"> Opět zde můžeme hledat vliv demografického vývoje. Za posledních pět let se podíl studentů poprvé zapsaných do studia zvýšil o 15 %, mladých studentů tedy přibylo. Svou roli zde však mohl sehrát též rostoucí podíl cizinců, kteří přicházejí studovat na naše vysoké školy. Jak dále uvedeme, v roce 2022 byl podíl cizinců mladších 20 let 15%, zatímco podíl stejně starých Čechů 8 %.</w:t>
      </w:r>
    </w:p>
  </w:footnote>
  <w:footnote w:id="3">
    <w:p w14:paraId="70D03A15" w14:textId="13A38802" w:rsidR="003635AD" w:rsidRPr="00B1734C" w:rsidRDefault="003635AD" w:rsidP="00B1734C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B1734C">
        <w:rPr>
          <w:rStyle w:val="Znakapoznpodarou"/>
          <w:rFonts w:ascii="Arial" w:hAnsi="Arial" w:cs="Arial"/>
          <w:sz w:val="18"/>
          <w:szCs w:val="18"/>
        </w:rPr>
        <w:footnoteRef/>
      </w:r>
      <w:r w:rsidRPr="00B1734C">
        <w:rPr>
          <w:rFonts w:ascii="Arial" w:hAnsi="Arial" w:cs="Arial"/>
          <w:sz w:val="18"/>
          <w:szCs w:val="18"/>
        </w:rPr>
        <w:t xml:space="preserve"> S výjimkou skupiny oborů informačních a komunikačních technologií, kde v roce 2020 a 2021 počet absolventů mírně vzrostl, avšak v roce 2022 byl již opět nepatrně nižší než v roce 2019.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6B382" w14:textId="242F05DE" w:rsidR="003635AD" w:rsidRPr="00EF7EC9" w:rsidRDefault="003635AD">
    <w:pPr>
      <w:pStyle w:val="Zhlav"/>
      <w:rPr>
        <w:rFonts w:cs="Arial"/>
        <w:szCs w:val="16"/>
      </w:rPr>
    </w:pPr>
    <w:r w:rsidRPr="00DD3D11">
      <w:rPr>
        <w:rFonts w:cs="Arial"/>
        <w:szCs w:val="16"/>
      </w:rPr>
      <w:t>Studenti a absolv</w:t>
    </w:r>
    <w:r>
      <w:rPr>
        <w:rFonts w:cs="Arial"/>
        <w:szCs w:val="16"/>
      </w:rPr>
      <w:t>enti vysokých škol v České republice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E05CB" w14:textId="4D105D50" w:rsidR="003635AD" w:rsidRPr="00DD3D11" w:rsidRDefault="003635AD">
    <w:pPr>
      <w:pStyle w:val="Zhlav"/>
      <w:rPr>
        <w:rFonts w:cs="Arial"/>
        <w:szCs w:val="16"/>
      </w:rPr>
    </w:pPr>
    <w:r w:rsidRPr="00DD3D11">
      <w:rPr>
        <w:rFonts w:cs="Arial"/>
        <w:szCs w:val="16"/>
      </w:rPr>
      <w:t xml:space="preserve">Studenti a absolventi </w:t>
    </w:r>
    <w:r>
      <w:rPr>
        <w:rFonts w:cs="Arial"/>
        <w:szCs w:val="16"/>
      </w:rPr>
      <w:t>vysokých škol v České republice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975B3"/>
    <w:multiLevelType w:val="hybridMultilevel"/>
    <w:tmpl w:val="B77CB7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4C3A79"/>
    <w:multiLevelType w:val="hybridMultilevel"/>
    <w:tmpl w:val="B5BC64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217B8D"/>
    <w:multiLevelType w:val="hybridMultilevel"/>
    <w:tmpl w:val="F23C6E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0F6CF2"/>
    <w:multiLevelType w:val="multilevel"/>
    <w:tmpl w:val="277C24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1D1A1DCB"/>
    <w:multiLevelType w:val="multilevel"/>
    <w:tmpl w:val="4AFAEE1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5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383D32"/>
    <w:multiLevelType w:val="multilevel"/>
    <w:tmpl w:val="DB50111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16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5"/>
  </w:num>
  <w:num w:numId="13">
    <w:abstractNumId w:val="17"/>
  </w:num>
  <w:num w:numId="14">
    <w:abstractNumId w:val="11"/>
  </w:num>
  <w:num w:numId="15">
    <w:abstractNumId w:val="10"/>
  </w:num>
  <w:num w:numId="16">
    <w:abstractNumId w:val="12"/>
  </w:num>
  <w:num w:numId="17">
    <w:abstractNumId w:val="13"/>
  </w:num>
  <w:num w:numId="18">
    <w:abstractNumId w:val="1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9A2"/>
    <w:rsid w:val="000013C4"/>
    <w:rsid w:val="0000209D"/>
    <w:rsid w:val="00004701"/>
    <w:rsid w:val="00004CE8"/>
    <w:rsid w:val="00004D5A"/>
    <w:rsid w:val="00005668"/>
    <w:rsid w:val="000056D5"/>
    <w:rsid w:val="00005792"/>
    <w:rsid w:val="000075EB"/>
    <w:rsid w:val="0000767A"/>
    <w:rsid w:val="00010702"/>
    <w:rsid w:val="000107AD"/>
    <w:rsid w:val="00010C86"/>
    <w:rsid w:val="00010F22"/>
    <w:rsid w:val="00011B6E"/>
    <w:rsid w:val="00012C60"/>
    <w:rsid w:val="00015DB2"/>
    <w:rsid w:val="00016992"/>
    <w:rsid w:val="00017D39"/>
    <w:rsid w:val="000234D6"/>
    <w:rsid w:val="00023D29"/>
    <w:rsid w:val="00025D86"/>
    <w:rsid w:val="00026389"/>
    <w:rsid w:val="00026755"/>
    <w:rsid w:val="0003085A"/>
    <w:rsid w:val="000312E3"/>
    <w:rsid w:val="00031AE0"/>
    <w:rsid w:val="000322EF"/>
    <w:rsid w:val="00032BDD"/>
    <w:rsid w:val="000338DA"/>
    <w:rsid w:val="00033FCD"/>
    <w:rsid w:val="000340CE"/>
    <w:rsid w:val="00034119"/>
    <w:rsid w:val="0003467E"/>
    <w:rsid w:val="00040869"/>
    <w:rsid w:val="00040FD0"/>
    <w:rsid w:val="00041CEC"/>
    <w:rsid w:val="0004340C"/>
    <w:rsid w:val="00043486"/>
    <w:rsid w:val="00044493"/>
    <w:rsid w:val="000455DB"/>
    <w:rsid w:val="0004694F"/>
    <w:rsid w:val="00050E86"/>
    <w:rsid w:val="000522E4"/>
    <w:rsid w:val="000532A5"/>
    <w:rsid w:val="00053810"/>
    <w:rsid w:val="00053EAB"/>
    <w:rsid w:val="00056E52"/>
    <w:rsid w:val="0005740E"/>
    <w:rsid w:val="000576CC"/>
    <w:rsid w:val="00057EC9"/>
    <w:rsid w:val="000610E1"/>
    <w:rsid w:val="00062EC5"/>
    <w:rsid w:val="00062F22"/>
    <w:rsid w:val="0006344C"/>
    <w:rsid w:val="0006371D"/>
    <w:rsid w:val="000641D0"/>
    <w:rsid w:val="000650AA"/>
    <w:rsid w:val="00065E3F"/>
    <w:rsid w:val="0006712B"/>
    <w:rsid w:val="00067320"/>
    <w:rsid w:val="00070595"/>
    <w:rsid w:val="000712B3"/>
    <w:rsid w:val="000735E9"/>
    <w:rsid w:val="00076378"/>
    <w:rsid w:val="00077139"/>
    <w:rsid w:val="0007757D"/>
    <w:rsid w:val="00077973"/>
    <w:rsid w:val="00080AAC"/>
    <w:rsid w:val="0008263E"/>
    <w:rsid w:val="00082C19"/>
    <w:rsid w:val="00085395"/>
    <w:rsid w:val="00087634"/>
    <w:rsid w:val="00087F2B"/>
    <w:rsid w:val="000905DC"/>
    <w:rsid w:val="00090EB4"/>
    <w:rsid w:val="000942E7"/>
    <w:rsid w:val="00096C04"/>
    <w:rsid w:val="00096CBF"/>
    <w:rsid w:val="0009738B"/>
    <w:rsid w:val="000973D8"/>
    <w:rsid w:val="000974D1"/>
    <w:rsid w:val="0009799E"/>
    <w:rsid w:val="000A0AA3"/>
    <w:rsid w:val="000A0B41"/>
    <w:rsid w:val="000A0D45"/>
    <w:rsid w:val="000A1183"/>
    <w:rsid w:val="000A1E61"/>
    <w:rsid w:val="000A256D"/>
    <w:rsid w:val="000A388F"/>
    <w:rsid w:val="000A3A2C"/>
    <w:rsid w:val="000A7127"/>
    <w:rsid w:val="000B0F1B"/>
    <w:rsid w:val="000B134D"/>
    <w:rsid w:val="000B25F3"/>
    <w:rsid w:val="000B30FA"/>
    <w:rsid w:val="000B460D"/>
    <w:rsid w:val="000B7ECF"/>
    <w:rsid w:val="000C0664"/>
    <w:rsid w:val="000C3179"/>
    <w:rsid w:val="000C3408"/>
    <w:rsid w:val="000C3E6D"/>
    <w:rsid w:val="000C4930"/>
    <w:rsid w:val="000C6AFD"/>
    <w:rsid w:val="000C718E"/>
    <w:rsid w:val="000C7A2A"/>
    <w:rsid w:val="000C7D5D"/>
    <w:rsid w:val="000D0724"/>
    <w:rsid w:val="000D0D03"/>
    <w:rsid w:val="000D115B"/>
    <w:rsid w:val="000D32DF"/>
    <w:rsid w:val="000D5182"/>
    <w:rsid w:val="000D5637"/>
    <w:rsid w:val="000D7FAA"/>
    <w:rsid w:val="000E1953"/>
    <w:rsid w:val="000E1D3C"/>
    <w:rsid w:val="000E3574"/>
    <w:rsid w:val="000E3CF7"/>
    <w:rsid w:val="000E63C5"/>
    <w:rsid w:val="000E6561"/>
    <w:rsid w:val="000E660A"/>
    <w:rsid w:val="000E6FBD"/>
    <w:rsid w:val="000E750E"/>
    <w:rsid w:val="000F0213"/>
    <w:rsid w:val="000F4F99"/>
    <w:rsid w:val="000F5D4A"/>
    <w:rsid w:val="00100245"/>
    <w:rsid w:val="00100A2E"/>
    <w:rsid w:val="00100F5C"/>
    <w:rsid w:val="00101182"/>
    <w:rsid w:val="0010437D"/>
    <w:rsid w:val="00104C27"/>
    <w:rsid w:val="00104C4C"/>
    <w:rsid w:val="001114C0"/>
    <w:rsid w:val="00111EC6"/>
    <w:rsid w:val="0011343D"/>
    <w:rsid w:val="00114FD6"/>
    <w:rsid w:val="0011542C"/>
    <w:rsid w:val="00120560"/>
    <w:rsid w:val="0012153D"/>
    <w:rsid w:val="0012192F"/>
    <w:rsid w:val="001246AC"/>
    <w:rsid w:val="00125CCD"/>
    <w:rsid w:val="00125D69"/>
    <w:rsid w:val="0013091B"/>
    <w:rsid w:val="00130E35"/>
    <w:rsid w:val="00132CBA"/>
    <w:rsid w:val="001332DC"/>
    <w:rsid w:val="00134B0D"/>
    <w:rsid w:val="0013592C"/>
    <w:rsid w:val="00135B21"/>
    <w:rsid w:val="001405FA"/>
    <w:rsid w:val="00141052"/>
    <w:rsid w:val="001419F8"/>
    <w:rsid w:val="001425C3"/>
    <w:rsid w:val="001446A8"/>
    <w:rsid w:val="00145803"/>
    <w:rsid w:val="00146551"/>
    <w:rsid w:val="001507BF"/>
    <w:rsid w:val="00150B41"/>
    <w:rsid w:val="00151EA2"/>
    <w:rsid w:val="00154F9B"/>
    <w:rsid w:val="00160265"/>
    <w:rsid w:val="00160BE7"/>
    <w:rsid w:val="0016256B"/>
    <w:rsid w:val="00163793"/>
    <w:rsid w:val="00170560"/>
    <w:rsid w:val="001706D6"/>
    <w:rsid w:val="00170ACF"/>
    <w:rsid w:val="001714F2"/>
    <w:rsid w:val="001743BB"/>
    <w:rsid w:val="00175B77"/>
    <w:rsid w:val="0017642E"/>
    <w:rsid w:val="00176605"/>
    <w:rsid w:val="00177A99"/>
    <w:rsid w:val="001816A7"/>
    <w:rsid w:val="001837AB"/>
    <w:rsid w:val="001841C7"/>
    <w:rsid w:val="00184B08"/>
    <w:rsid w:val="00184D34"/>
    <w:rsid w:val="00184D82"/>
    <w:rsid w:val="00185010"/>
    <w:rsid w:val="00187450"/>
    <w:rsid w:val="00187560"/>
    <w:rsid w:val="00190A2A"/>
    <w:rsid w:val="00192AD0"/>
    <w:rsid w:val="00192E51"/>
    <w:rsid w:val="001934C3"/>
    <w:rsid w:val="00193B56"/>
    <w:rsid w:val="001950E8"/>
    <w:rsid w:val="001A0178"/>
    <w:rsid w:val="001A090A"/>
    <w:rsid w:val="001A1B4B"/>
    <w:rsid w:val="001A287E"/>
    <w:rsid w:val="001A39E2"/>
    <w:rsid w:val="001A3D80"/>
    <w:rsid w:val="001A552F"/>
    <w:rsid w:val="001B0682"/>
    <w:rsid w:val="001B2CA9"/>
    <w:rsid w:val="001B3110"/>
    <w:rsid w:val="001B38E0"/>
    <w:rsid w:val="001B4729"/>
    <w:rsid w:val="001B6C09"/>
    <w:rsid w:val="001B71DC"/>
    <w:rsid w:val="001C03B7"/>
    <w:rsid w:val="001C05CD"/>
    <w:rsid w:val="001C0A60"/>
    <w:rsid w:val="001C1F9D"/>
    <w:rsid w:val="001C2FAF"/>
    <w:rsid w:val="001C3F9F"/>
    <w:rsid w:val="001C48E7"/>
    <w:rsid w:val="001C4E1E"/>
    <w:rsid w:val="001C6EC4"/>
    <w:rsid w:val="001D5777"/>
    <w:rsid w:val="001D59A2"/>
    <w:rsid w:val="001D68B2"/>
    <w:rsid w:val="001D78EE"/>
    <w:rsid w:val="001E13FC"/>
    <w:rsid w:val="001E2537"/>
    <w:rsid w:val="001E4236"/>
    <w:rsid w:val="001E4612"/>
    <w:rsid w:val="001E4B7E"/>
    <w:rsid w:val="001F29DB"/>
    <w:rsid w:val="001F4597"/>
    <w:rsid w:val="001F489E"/>
    <w:rsid w:val="001F54F2"/>
    <w:rsid w:val="001F6264"/>
    <w:rsid w:val="001F6CA3"/>
    <w:rsid w:val="001F7D9B"/>
    <w:rsid w:val="0020029A"/>
    <w:rsid w:val="002007EA"/>
    <w:rsid w:val="00201322"/>
    <w:rsid w:val="002027A1"/>
    <w:rsid w:val="00210DD8"/>
    <w:rsid w:val="002118B9"/>
    <w:rsid w:val="00211974"/>
    <w:rsid w:val="00211C24"/>
    <w:rsid w:val="00211D5A"/>
    <w:rsid w:val="00212100"/>
    <w:rsid w:val="002147EE"/>
    <w:rsid w:val="002169FD"/>
    <w:rsid w:val="002176DD"/>
    <w:rsid w:val="00217C5B"/>
    <w:rsid w:val="0022139E"/>
    <w:rsid w:val="00222E40"/>
    <w:rsid w:val="0022342F"/>
    <w:rsid w:val="00224E36"/>
    <w:rsid w:val="00225215"/>
    <w:rsid w:val="002252E0"/>
    <w:rsid w:val="002255F6"/>
    <w:rsid w:val="002260A4"/>
    <w:rsid w:val="00227332"/>
    <w:rsid w:val="00227637"/>
    <w:rsid w:val="00227743"/>
    <w:rsid w:val="00227850"/>
    <w:rsid w:val="00227A53"/>
    <w:rsid w:val="00227F11"/>
    <w:rsid w:val="00230C6E"/>
    <w:rsid w:val="002314D1"/>
    <w:rsid w:val="002324E6"/>
    <w:rsid w:val="00235915"/>
    <w:rsid w:val="0023624E"/>
    <w:rsid w:val="00236443"/>
    <w:rsid w:val="00236A3D"/>
    <w:rsid w:val="00241114"/>
    <w:rsid w:val="002436BA"/>
    <w:rsid w:val="00244A15"/>
    <w:rsid w:val="002472B5"/>
    <w:rsid w:val="00247319"/>
    <w:rsid w:val="00247454"/>
    <w:rsid w:val="0024799E"/>
    <w:rsid w:val="00247C5E"/>
    <w:rsid w:val="00251F33"/>
    <w:rsid w:val="00252670"/>
    <w:rsid w:val="00253C0F"/>
    <w:rsid w:val="00262C60"/>
    <w:rsid w:val="00264016"/>
    <w:rsid w:val="00264C69"/>
    <w:rsid w:val="002659EE"/>
    <w:rsid w:val="00270A68"/>
    <w:rsid w:val="00271465"/>
    <w:rsid w:val="00271E98"/>
    <w:rsid w:val="0027212B"/>
    <w:rsid w:val="002722AE"/>
    <w:rsid w:val="00274284"/>
    <w:rsid w:val="0027570E"/>
    <w:rsid w:val="00275C79"/>
    <w:rsid w:val="0027687C"/>
    <w:rsid w:val="00280812"/>
    <w:rsid w:val="002810C9"/>
    <w:rsid w:val="002831AD"/>
    <w:rsid w:val="002832E2"/>
    <w:rsid w:val="002836FC"/>
    <w:rsid w:val="0028393A"/>
    <w:rsid w:val="002839A9"/>
    <w:rsid w:val="00283DE8"/>
    <w:rsid w:val="0028513D"/>
    <w:rsid w:val="00285412"/>
    <w:rsid w:val="0028695C"/>
    <w:rsid w:val="00292939"/>
    <w:rsid w:val="00293C04"/>
    <w:rsid w:val="00297B3D"/>
    <w:rsid w:val="00297DA5"/>
    <w:rsid w:val="002A00BE"/>
    <w:rsid w:val="002A16D4"/>
    <w:rsid w:val="002A230C"/>
    <w:rsid w:val="002A3BD9"/>
    <w:rsid w:val="002A4BCD"/>
    <w:rsid w:val="002A612C"/>
    <w:rsid w:val="002A7D1E"/>
    <w:rsid w:val="002A7F2D"/>
    <w:rsid w:val="002B0EB6"/>
    <w:rsid w:val="002B2518"/>
    <w:rsid w:val="002C028D"/>
    <w:rsid w:val="002C2C5A"/>
    <w:rsid w:val="002C43BD"/>
    <w:rsid w:val="002D050A"/>
    <w:rsid w:val="002D0547"/>
    <w:rsid w:val="002D0E59"/>
    <w:rsid w:val="002D2B28"/>
    <w:rsid w:val="002D4180"/>
    <w:rsid w:val="002D44D1"/>
    <w:rsid w:val="002D5211"/>
    <w:rsid w:val="002D6B67"/>
    <w:rsid w:val="002E02A1"/>
    <w:rsid w:val="002E076C"/>
    <w:rsid w:val="002E0D52"/>
    <w:rsid w:val="002E4E4C"/>
    <w:rsid w:val="002E620A"/>
    <w:rsid w:val="002E659F"/>
    <w:rsid w:val="002E6B42"/>
    <w:rsid w:val="002E6BCE"/>
    <w:rsid w:val="002E72FD"/>
    <w:rsid w:val="002F25E2"/>
    <w:rsid w:val="002F3180"/>
    <w:rsid w:val="002F683A"/>
    <w:rsid w:val="0030153B"/>
    <w:rsid w:val="00304771"/>
    <w:rsid w:val="003052D4"/>
    <w:rsid w:val="00306585"/>
    <w:rsid w:val="00306C5B"/>
    <w:rsid w:val="00313F89"/>
    <w:rsid w:val="003165EC"/>
    <w:rsid w:val="0031749D"/>
    <w:rsid w:val="0032071C"/>
    <w:rsid w:val="003209D6"/>
    <w:rsid w:val="00321924"/>
    <w:rsid w:val="0032526E"/>
    <w:rsid w:val="00325D4D"/>
    <w:rsid w:val="00325F82"/>
    <w:rsid w:val="0032656E"/>
    <w:rsid w:val="0032771E"/>
    <w:rsid w:val="00332190"/>
    <w:rsid w:val="00333F7F"/>
    <w:rsid w:val="00335D1F"/>
    <w:rsid w:val="00337252"/>
    <w:rsid w:val="00337AAC"/>
    <w:rsid w:val="003400C4"/>
    <w:rsid w:val="00340326"/>
    <w:rsid w:val="00342D30"/>
    <w:rsid w:val="00343003"/>
    <w:rsid w:val="00344668"/>
    <w:rsid w:val="00344BB5"/>
    <w:rsid w:val="0034569C"/>
    <w:rsid w:val="003462D9"/>
    <w:rsid w:val="00350163"/>
    <w:rsid w:val="00351E6B"/>
    <w:rsid w:val="00356276"/>
    <w:rsid w:val="00356E54"/>
    <w:rsid w:val="00357608"/>
    <w:rsid w:val="00360C86"/>
    <w:rsid w:val="003635AD"/>
    <w:rsid w:val="003657F3"/>
    <w:rsid w:val="003659B5"/>
    <w:rsid w:val="003732B2"/>
    <w:rsid w:val="00373F42"/>
    <w:rsid w:val="00376BEB"/>
    <w:rsid w:val="0038146E"/>
    <w:rsid w:val="003818DC"/>
    <w:rsid w:val="003836FE"/>
    <w:rsid w:val="00384327"/>
    <w:rsid w:val="003848BA"/>
    <w:rsid w:val="00385632"/>
    <w:rsid w:val="00385BB3"/>
    <w:rsid w:val="00385D98"/>
    <w:rsid w:val="00392CE3"/>
    <w:rsid w:val="00394058"/>
    <w:rsid w:val="003953E3"/>
    <w:rsid w:val="00395F5D"/>
    <w:rsid w:val="0039748D"/>
    <w:rsid w:val="00397624"/>
    <w:rsid w:val="00397752"/>
    <w:rsid w:val="003A2B4D"/>
    <w:rsid w:val="003A478C"/>
    <w:rsid w:val="003A5525"/>
    <w:rsid w:val="003A6B38"/>
    <w:rsid w:val="003A73B4"/>
    <w:rsid w:val="003B0149"/>
    <w:rsid w:val="003B3AA2"/>
    <w:rsid w:val="003B5A32"/>
    <w:rsid w:val="003C0245"/>
    <w:rsid w:val="003C24B6"/>
    <w:rsid w:val="003C2E4C"/>
    <w:rsid w:val="003C3490"/>
    <w:rsid w:val="003C4516"/>
    <w:rsid w:val="003C5708"/>
    <w:rsid w:val="003C693F"/>
    <w:rsid w:val="003C71A9"/>
    <w:rsid w:val="003C7835"/>
    <w:rsid w:val="003D19BB"/>
    <w:rsid w:val="003D4AF9"/>
    <w:rsid w:val="003D53AC"/>
    <w:rsid w:val="003D57CA"/>
    <w:rsid w:val="003D6920"/>
    <w:rsid w:val="003D7DE1"/>
    <w:rsid w:val="003E3BAF"/>
    <w:rsid w:val="003E49CF"/>
    <w:rsid w:val="003E4C26"/>
    <w:rsid w:val="003E4C91"/>
    <w:rsid w:val="003F14A1"/>
    <w:rsid w:val="003F313C"/>
    <w:rsid w:val="003F37BA"/>
    <w:rsid w:val="003F4B2C"/>
    <w:rsid w:val="003F551C"/>
    <w:rsid w:val="003F736D"/>
    <w:rsid w:val="003F7D23"/>
    <w:rsid w:val="004003A6"/>
    <w:rsid w:val="0040170A"/>
    <w:rsid w:val="00402E1F"/>
    <w:rsid w:val="004064F5"/>
    <w:rsid w:val="00407C13"/>
    <w:rsid w:val="004104A8"/>
    <w:rsid w:val="00410638"/>
    <w:rsid w:val="00413FD5"/>
    <w:rsid w:val="00414A29"/>
    <w:rsid w:val="00415690"/>
    <w:rsid w:val="004164CD"/>
    <w:rsid w:val="0041666B"/>
    <w:rsid w:val="00416788"/>
    <w:rsid w:val="004176F9"/>
    <w:rsid w:val="00423E4D"/>
    <w:rsid w:val="00424BB8"/>
    <w:rsid w:val="00424F71"/>
    <w:rsid w:val="00426532"/>
    <w:rsid w:val="00426913"/>
    <w:rsid w:val="00426CBB"/>
    <w:rsid w:val="004273EA"/>
    <w:rsid w:val="004276F9"/>
    <w:rsid w:val="00427C3C"/>
    <w:rsid w:val="004328CC"/>
    <w:rsid w:val="00432A58"/>
    <w:rsid w:val="004339DC"/>
    <w:rsid w:val="00434617"/>
    <w:rsid w:val="0043575A"/>
    <w:rsid w:val="00436976"/>
    <w:rsid w:val="00436AC5"/>
    <w:rsid w:val="004404D5"/>
    <w:rsid w:val="00440900"/>
    <w:rsid w:val="00442793"/>
    <w:rsid w:val="004441A0"/>
    <w:rsid w:val="00444A15"/>
    <w:rsid w:val="00444CC0"/>
    <w:rsid w:val="00445B2B"/>
    <w:rsid w:val="004509BE"/>
    <w:rsid w:val="00451C95"/>
    <w:rsid w:val="00452DDB"/>
    <w:rsid w:val="00454216"/>
    <w:rsid w:val="00457857"/>
    <w:rsid w:val="00460FB3"/>
    <w:rsid w:val="00462930"/>
    <w:rsid w:val="0046555D"/>
    <w:rsid w:val="004667B7"/>
    <w:rsid w:val="0046706B"/>
    <w:rsid w:val="00467D79"/>
    <w:rsid w:val="00471745"/>
    <w:rsid w:val="00473CA9"/>
    <w:rsid w:val="00476240"/>
    <w:rsid w:val="00476439"/>
    <w:rsid w:val="0047735C"/>
    <w:rsid w:val="004776BC"/>
    <w:rsid w:val="0048139F"/>
    <w:rsid w:val="00481E40"/>
    <w:rsid w:val="00484AE5"/>
    <w:rsid w:val="00484ECE"/>
    <w:rsid w:val="00486562"/>
    <w:rsid w:val="00486AC5"/>
    <w:rsid w:val="004900FF"/>
    <w:rsid w:val="00490361"/>
    <w:rsid w:val="0049038F"/>
    <w:rsid w:val="004903E6"/>
    <w:rsid w:val="004915CB"/>
    <w:rsid w:val="00491E25"/>
    <w:rsid w:val="004924DC"/>
    <w:rsid w:val="00492667"/>
    <w:rsid w:val="00493B22"/>
    <w:rsid w:val="00494CF0"/>
    <w:rsid w:val="004950E6"/>
    <w:rsid w:val="00495C30"/>
    <w:rsid w:val="0049659B"/>
    <w:rsid w:val="004A14E4"/>
    <w:rsid w:val="004A1D2F"/>
    <w:rsid w:val="004A3212"/>
    <w:rsid w:val="004A3C46"/>
    <w:rsid w:val="004A51D1"/>
    <w:rsid w:val="004A61C5"/>
    <w:rsid w:val="004A6A79"/>
    <w:rsid w:val="004A6DC3"/>
    <w:rsid w:val="004A7357"/>
    <w:rsid w:val="004A77DF"/>
    <w:rsid w:val="004B1417"/>
    <w:rsid w:val="004B2946"/>
    <w:rsid w:val="004B55B7"/>
    <w:rsid w:val="004B5602"/>
    <w:rsid w:val="004B6378"/>
    <w:rsid w:val="004B643F"/>
    <w:rsid w:val="004B6468"/>
    <w:rsid w:val="004B7408"/>
    <w:rsid w:val="004C0FBD"/>
    <w:rsid w:val="004C158B"/>
    <w:rsid w:val="004C25C4"/>
    <w:rsid w:val="004C3442"/>
    <w:rsid w:val="004C351F"/>
    <w:rsid w:val="004C368D"/>
    <w:rsid w:val="004C384C"/>
    <w:rsid w:val="004C3867"/>
    <w:rsid w:val="004C4CD0"/>
    <w:rsid w:val="004C70DC"/>
    <w:rsid w:val="004D0211"/>
    <w:rsid w:val="004D0794"/>
    <w:rsid w:val="004D1687"/>
    <w:rsid w:val="004D202E"/>
    <w:rsid w:val="004D3824"/>
    <w:rsid w:val="004D3E89"/>
    <w:rsid w:val="004D461C"/>
    <w:rsid w:val="004D5864"/>
    <w:rsid w:val="004D5AD3"/>
    <w:rsid w:val="004D6860"/>
    <w:rsid w:val="004D71C7"/>
    <w:rsid w:val="004D7D44"/>
    <w:rsid w:val="004E2F0E"/>
    <w:rsid w:val="004E6446"/>
    <w:rsid w:val="004F06F5"/>
    <w:rsid w:val="004F0996"/>
    <w:rsid w:val="004F315B"/>
    <w:rsid w:val="004F33A0"/>
    <w:rsid w:val="004F40AD"/>
    <w:rsid w:val="004F6E6F"/>
    <w:rsid w:val="004F7950"/>
    <w:rsid w:val="00500A8A"/>
    <w:rsid w:val="005026F7"/>
    <w:rsid w:val="00502CFD"/>
    <w:rsid w:val="00506544"/>
    <w:rsid w:val="005108C0"/>
    <w:rsid w:val="005115AD"/>
    <w:rsid w:val="00511873"/>
    <w:rsid w:val="00511F86"/>
    <w:rsid w:val="00512A2F"/>
    <w:rsid w:val="00513B7E"/>
    <w:rsid w:val="00515AE5"/>
    <w:rsid w:val="00515C74"/>
    <w:rsid w:val="00516B9E"/>
    <w:rsid w:val="0052007E"/>
    <w:rsid w:val="005209E0"/>
    <w:rsid w:val="00520A73"/>
    <w:rsid w:val="00520B86"/>
    <w:rsid w:val="00523241"/>
    <w:rsid w:val="0052337A"/>
    <w:rsid w:val="0052370F"/>
    <w:rsid w:val="00523966"/>
    <w:rsid w:val="00525137"/>
    <w:rsid w:val="005251DD"/>
    <w:rsid w:val="005253D4"/>
    <w:rsid w:val="005277C6"/>
    <w:rsid w:val="0053040F"/>
    <w:rsid w:val="00532CE7"/>
    <w:rsid w:val="0053324C"/>
    <w:rsid w:val="0053465C"/>
    <w:rsid w:val="00534A28"/>
    <w:rsid w:val="00534AEB"/>
    <w:rsid w:val="0053642C"/>
    <w:rsid w:val="00536F47"/>
    <w:rsid w:val="00541508"/>
    <w:rsid w:val="00541F9B"/>
    <w:rsid w:val="00542C78"/>
    <w:rsid w:val="00543F62"/>
    <w:rsid w:val="00545610"/>
    <w:rsid w:val="0054624A"/>
    <w:rsid w:val="00546934"/>
    <w:rsid w:val="0055143A"/>
    <w:rsid w:val="005514F1"/>
    <w:rsid w:val="00551938"/>
    <w:rsid w:val="00552F4C"/>
    <w:rsid w:val="0055599F"/>
    <w:rsid w:val="00556D68"/>
    <w:rsid w:val="005647BF"/>
    <w:rsid w:val="00564B68"/>
    <w:rsid w:val="005713CE"/>
    <w:rsid w:val="00572657"/>
    <w:rsid w:val="0057364B"/>
    <w:rsid w:val="005738A2"/>
    <w:rsid w:val="00574773"/>
    <w:rsid w:val="00574795"/>
    <w:rsid w:val="005748D1"/>
    <w:rsid w:val="005752A0"/>
    <w:rsid w:val="005757E3"/>
    <w:rsid w:val="0057678D"/>
    <w:rsid w:val="0058088A"/>
    <w:rsid w:val="005810D7"/>
    <w:rsid w:val="00583723"/>
    <w:rsid w:val="00583FFD"/>
    <w:rsid w:val="0058401F"/>
    <w:rsid w:val="00586002"/>
    <w:rsid w:val="00586DF8"/>
    <w:rsid w:val="00587B2D"/>
    <w:rsid w:val="005911BE"/>
    <w:rsid w:val="00591958"/>
    <w:rsid w:val="00593152"/>
    <w:rsid w:val="0059384C"/>
    <w:rsid w:val="00594DEB"/>
    <w:rsid w:val="00597C1B"/>
    <w:rsid w:val="005A0011"/>
    <w:rsid w:val="005A0D51"/>
    <w:rsid w:val="005A10F2"/>
    <w:rsid w:val="005A1179"/>
    <w:rsid w:val="005A21E0"/>
    <w:rsid w:val="005A28FF"/>
    <w:rsid w:val="005A3DF8"/>
    <w:rsid w:val="005A3E60"/>
    <w:rsid w:val="005A4674"/>
    <w:rsid w:val="005A51CF"/>
    <w:rsid w:val="005A5549"/>
    <w:rsid w:val="005B121D"/>
    <w:rsid w:val="005B2912"/>
    <w:rsid w:val="005B5A07"/>
    <w:rsid w:val="005B66A5"/>
    <w:rsid w:val="005B73E7"/>
    <w:rsid w:val="005C06ED"/>
    <w:rsid w:val="005C0714"/>
    <w:rsid w:val="005C5FD7"/>
    <w:rsid w:val="005D02BF"/>
    <w:rsid w:val="005D247C"/>
    <w:rsid w:val="005D2DE7"/>
    <w:rsid w:val="005D38EE"/>
    <w:rsid w:val="005D46B3"/>
    <w:rsid w:val="005D5802"/>
    <w:rsid w:val="005D5E41"/>
    <w:rsid w:val="005D7012"/>
    <w:rsid w:val="005D7890"/>
    <w:rsid w:val="005E1408"/>
    <w:rsid w:val="005E17A5"/>
    <w:rsid w:val="005E2A64"/>
    <w:rsid w:val="005E305E"/>
    <w:rsid w:val="005E50D4"/>
    <w:rsid w:val="005E7C78"/>
    <w:rsid w:val="005F05E5"/>
    <w:rsid w:val="005F1A99"/>
    <w:rsid w:val="005F3EB1"/>
    <w:rsid w:val="005F4414"/>
    <w:rsid w:val="005F5469"/>
    <w:rsid w:val="005F5EEB"/>
    <w:rsid w:val="005F6BE4"/>
    <w:rsid w:val="006011C1"/>
    <w:rsid w:val="006016C8"/>
    <w:rsid w:val="006017B8"/>
    <w:rsid w:val="00601A38"/>
    <w:rsid w:val="00602176"/>
    <w:rsid w:val="006025E6"/>
    <w:rsid w:val="00603134"/>
    <w:rsid w:val="00604307"/>
    <w:rsid w:val="0060487F"/>
    <w:rsid w:val="00604EAD"/>
    <w:rsid w:val="00606BF5"/>
    <w:rsid w:val="006077D3"/>
    <w:rsid w:val="006104FB"/>
    <w:rsid w:val="00612A2F"/>
    <w:rsid w:val="00613256"/>
    <w:rsid w:val="00613EA6"/>
    <w:rsid w:val="00613F21"/>
    <w:rsid w:val="00614EC7"/>
    <w:rsid w:val="006159C3"/>
    <w:rsid w:val="00616301"/>
    <w:rsid w:val="00616BC7"/>
    <w:rsid w:val="00616E05"/>
    <w:rsid w:val="00621D79"/>
    <w:rsid w:val="00622950"/>
    <w:rsid w:val="00622A01"/>
    <w:rsid w:val="00622A1B"/>
    <w:rsid w:val="00623298"/>
    <w:rsid w:val="006239F8"/>
    <w:rsid w:val="00624093"/>
    <w:rsid w:val="00624BD3"/>
    <w:rsid w:val="00626FCD"/>
    <w:rsid w:val="00627F4A"/>
    <w:rsid w:val="00630A63"/>
    <w:rsid w:val="0063243F"/>
    <w:rsid w:val="006332C5"/>
    <w:rsid w:val="0063561E"/>
    <w:rsid w:val="00636335"/>
    <w:rsid w:val="0063722E"/>
    <w:rsid w:val="00637D5C"/>
    <w:rsid w:val="006404A7"/>
    <w:rsid w:val="00640BE5"/>
    <w:rsid w:val="00640FC7"/>
    <w:rsid w:val="006420BD"/>
    <w:rsid w:val="00644328"/>
    <w:rsid w:val="006451E4"/>
    <w:rsid w:val="00645B33"/>
    <w:rsid w:val="00646AB3"/>
    <w:rsid w:val="00646CD9"/>
    <w:rsid w:val="00646FC4"/>
    <w:rsid w:val="00647259"/>
    <w:rsid w:val="006516CB"/>
    <w:rsid w:val="0065212A"/>
    <w:rsid w:val="00652D78"/>
    <w:rsid w:val="00652FB3"/>
    <w:rsid w:val="00657E87"/>
    <w:rsid w:val="00661FA7"/>
    <w:rsid w:val="00662AB8"/>
    <w:rsid w:val="00663707"/>
    <w:rsid w:val="00664803"/>
    <w:rsid w:val="00665BA4"/>
    <w:rsid w:val="00666E59"/>
    <w:rsid w:val="00667AF2"/>
    <w:rsid w:val="006710C9"/>
    <w:rsid w:val="006724FC"/>
    <w:rsid w:val="00673327"/>
    <w:rsid w:val="00673A56"/>
    <w:rsid w:val="00674D89"/>
    <w:rsid w:val="00675E37"/>
    <w:rsid w:val="0067624D"/>
    <w:rsid w:val="00680B6E"/>
    <w:rsid w:val="00681431"/>
    <w:rsid w:val="0068174E"/>
    <w:rsid w:val="00681DCE"/>
    <w:rsid w:val="0068260E"/>
    <w:rsid w:val="00683A05"/>
    <w:rsid w:val="00685C51"/>
    <w:rsid w:val="00686EED"/>
    <w:rsid w:val="00693052"/>
    <w:rsid w:val="006935A9"/>
    <w:rsid w:val="006946A2"/>
    <w:rsid w:val="0069580C"/>
    <w:rsid w:val="00695BEF"/>
    <w:rsid w:val="00695CB6"/>
    <w:rsid w:val="006975DC"/>
    <w:rsid w:val="006977F6"/>
    <w:rsid w:val="00697A13"/>
    <w:rsid w:val="00697F63"/>
    <w:rsid w:val="006A109C"/>
    <w:rsid w:val="006A1C32"/>
    <w:rsid w:val="006A2759"/>
    <w:rsid w:val="006A635B"/>
    <w:rsid w:val="006A75D9"/>
    <w:rsid w:val="006B344A"/>
    <w:rsid w:val="006B59AC"/>
    <w:rsid w:val="006B625D"/>
    <w:rsid w:val="006B78D8"/>
    <w:rsid w:val="006C113F"/>
    <w:rsid w:val="006C123E"/>
    <w:rsid w:val="006C213D"/>
    <w:rsid w:val="006C4B64"/>
    <w:rsid w:val="006C56D4"/>
    <w:rsid w:val="006C6924"/>
    <w:rsid w:val="006C7CA6"/>
    <w:rsid w:val="006D3545"/>
    <w:rsid w:val="006D3B0E"/>
    <w:rsid w:val="006D3E8A"/>
    <w:rsid w:val="006D4689"/>
    <w:rsid w:val="006D488A"/>
    <w:rsid w:val="006D61F6"/>
    <w:rsid w:val="006E17CA"/>
    <w:rsid w:val="006E279A"/>
    <w:rsid w:val="006E313B"/>
    <w:rsid w:val="006E50DA"/>
    <w:rsid w:val="006F09B1"/>
    <w:rsid w:val="006F308B"/>
    <w:rsid w:val="006F3EBD"/>
    <w:rsid w:val="006F3F8B"/>
    <w:rsid w:val="006F5416"/>
    <w:rsid w:val="006F5C01"/>
    <w:rsid w:val="006F7137"/>
    <w:rsid w:val="00700451"/>
    <w:rsid w:val="00700619"/>
    <w:rsid w:val="007012BE"/>
    <w:rsid w:val="007019C1"/>
    <w:rsid w:val="007027BC"/>
    <w:rsid w:val="0070321E"/>
    <w:rsid w:val="00703CFD"/>
    <w:rsid w:val="00706176"/>
    <w:rsid w:val="00706AD4"/>
    <w:rsid w:val="00706F54"/>
    <w:rsid w:val="007126F2"/>
    <w:rsid w:val="007140BE"/>
    <w:rsid w:val="00716171"/>
    <w:rsid w:val="007171DF"/>
    <w:rsid w:val="00717C41"/>
    <w:rsid w:val="007211F5"/>
    <w:rsid w:val="00725BB5"/>
    <w:rsid w:val="007308B3"/>
    <w:rsid w:val="00730AE8"/>
    <w:rsid w:val="00730CF1"/>
    <w:rsid w:val="0073155B"/>
    <w:rsid w:val="0073634B"/>
    <w:rsid w:val="00736802"/>
    <w:rsid w:val="00741493"/>
    <w:rsid w:val="00743DF9"/>
    <w:rsid w:val="00744826"/>
    <w:rsid w:val="007457B0"/>
    <w:rsid w:val="00746184"/>
    <w:rsid w:val="00747380"/>
    <w:rsid w:val="00747760"/>
    <w:rsid w:val="00750DFF"/>
    <w:rsid w:val="007516B7"/>
    <w:rsid w:val="00751897"/>
    <w:rsid w:val="00752180"/>
    <w:rsid w:val="00752440"/>
    <w:rsid w:val="00753ADA"/>
    <w:rsid w:val="00755202"/>
    <w:rsid w:val="00755D3A"/>
    <w:rsid w:val="007578D3"/>
    <w:rsid w:val="007609C6"/>
    <w:rsid w:val="0076175D"/>
    <w:rsid w:val="00764479"/>
    <w:rsid w:val="007644F1"/>
    <w:rsid w:val="0076521E"/>
    <w:rsid w:val="007660F4"/>
    <w:rsid w:val="007661E9"/>
    <w:rsid w:val="007727CC"/>
    <w:rsid w:val="00776169"/>
    <w:rsid w:val="00776344"/>
    <w:rsid w:val="00776527"/>
    <w:rsid w:val="00776589"/>
    <w:rsid w:val="00776913"/>
    <w:rsid w:val="00777221"/>
    <w:rsid w:val="00777562"/>
    <w:rsid w:val="00777738"/>
    <w:rsid w:val="007806F9"/>
    <w:rsid w:val="007808A4"/>
    <w:rsid w:val="00780EF1"/>
    <w:rsid w:val="00786F49"/>
    <w:rsid w:val="007871A3"/>
    <w:rsid w:val="007904AD"/>
    <w:rsid w:val="00790764"/>
    <w:rsid w:val="00793E9A"/>
    <w:rsid w:val="0079453C"/>
    <w:rsid w:val="00794677"/>
    <w:rsid w:val="00797DFA"/>
    <w:rsid w:val="007A1450"/>
    <w:rsid w:val="007A3C70"/>
    <w:rsid w:val="007A4684"/>
    <w:rsid w:val="007A576A"/>
    <w:rsid w:val="007A5788"/>
    <w:rsid w:val="007B3FD3"/>
    <w:rsid w:val="007B6689"/>
    <w:rsid w:val="007C1321"/>
    <w:rsid w:val="007C44D1"/>
    <w:rsid w:val="007C6462"/>
    <w:rsid w:val="007D0867"/>
    <w:rsid w:val="007D344C"/>
    <w:rsid w:val="007D3CE1"/>
    <w:rsid w:val="007D40DF"/>
    <w:rsid w:val="007D4AB4"/>
    <w:rsid w:val="007D4B97"/>
    <w:rsid w:val="007D4D0E"/>
    <w:rsid w:val="007D5BCF"/>
    <w:rsid w:val="007D6615"/>
    <w:rsid w:val="007D722E"/>
    <w:rsid w:val="007D7442"/>
    <w:rsid w:val="007E0E6D"/>
    <w:rsid w:val="007E0FF5"/>
    <w:rsid w:val="007E2DF9"/>
    <w:rsid w:val="007E4FB6"/>
    <w:rsid w:val="007E6387"/>
    <w:rsid w:val="007E7E61"/>
    <w:rsid w:val="007F0845"/>
    <w:rsid w:val="007F43D9"/>
    <w:rsid w:val="007F4E01"/>
    <w:rsid w:val="007F5E63"/>
    <w:rsid w:val="007F60D0"/>
    <w:rsid w:val="00802376"/>
    <w:rsid w:val="00803F80"/>
    <w:rsid w:val="008044BB"/>
    <w:rsid w:val="0080459C"/>
    <w:rsid w:val="00804A97"/>
    <w:rsid w:val="00807C82"/>
    <w:rsid w:val="008101F3"/>
    <w:rsid w:val="00812DC9"/>
    <w:rsid w:val="00814B96"/>
    <w:rsid w:val="00815C1F"/>
    <w:rsid w:val="00815CB8"/>
    <w:rsid w:val="00816905"/>
    <w:rsid w:val="00816B12"/>
    <w:rsid w:val="00817845"/>
    <w:rsid w:val="00821147"/>
    <w:rsid w:val="00821FF6"/>
    <w:rsid w:val="00824910"/>
    <w:rsid w:val="00825C4D"/>
    <w:rsid w:val="00830433"/>
    <w:rsid w:val="00830720"/>
    <w:rsid w:val="0083115C"/>
    <w:rsid w:val="0083143E"/>
    <w:rsid w:val="00831CDE"/>
    <w:rsid w:val="00834304"/>
    <w:rsid w:val="00834FAA"/>
    <w:rsid w:val="00835A25"/>
    <w:rsid w:val="00836086"/>
    <w:rsid w:val="00836496"/>
    <w:rsid w:val="008367AB"/>
    <w:rsid w:val="008402E2"/>
    <w:rsid w:val="008407D6"/>
    <w:rsid w:val="00843DC1"/>
    <w:rsid w:val="0084708F"/>
    <w:rsid w:val="008477C8"/>
    <w:rsid w:val="0085114D"/>
    <w:rsid w:val="00851C29"/>
    <w:rsid w:val="0085208D"/>
    <w:rsid w:val="00852217"/>
    <w:rsid w:val="00853A82"/>
    <w:rsid w:val="00855408"/>
    <w:rsid w:val="00856901"/>
    <w:rsid w:val="00856905"/>
    <w:rsid w:val="00856D65"/>
    <w:rsid w:val="00861B41"/>
    <w:rsid w:val="00863434"/>
    <w:rsid w:val="008644B0"/>
    <w:rsid w:val="0086547C"/>
    <w:rsid w:val="00865E4C"/>
    <w:rsid w:val="008701E4"/>
    <w:rsid w:val="00870415"/>
    <w:rsid w:val="008705B8"/>
    <w:rsid w:val="00872BA9"/>
    <w:rsid w:val="00873E37"/>
    <w:rsid w:val="00874B90"/>
    <w:rsid w:val="00874CCD"/>
    <w:rsid w:val="00875A32"/>
    <w:rsid w:val="00876086"/>
    <w:rsid w:val="0088118E"/>
    <w:rsid w:val="00881BB6"/>
    <w:rsid w:val="0088355E"/>
    <w:rsid w:val="00884ECD"/>
    <w:rsid w:val="00885F56"/>
    <w:rsid w:val="008867CE"/>
    <w:rsid w:val="00886A47"/>
    <w:rsid w:val="008873D4"/>
    <w:rsid w:val="00890AF5"/>
    <w:rsid w:val="00892699"/>
    <w:rsid w:val="00892C1C"/>
    <w:rsid w:val="00893E85"/>
    <w:rsid w:val="00894031"/>
    <w:rsid w:val="008955E3"/>
    <w:rsid w:val="008A0C44"/>
    <w:rsid w:val="008A1148"/>
    <w:rsid w:val="008A2643"/>
    <w:rsid w:val="008A38C7"/>
    <w:rsid w:val="008A4672"/>
    <w:rsid w:val="008A523D"/>
    <w:rsid w:val="008A529B"/>
    <w:rsid w:val="008B1A01"/>
    <w:rsid w:val="008B2F72"/>
    <w:rsid w:val="008B6DAE"/>
    <w:rsid w:val="008B7C02"/>
    <w:rsid w:val="008B7D2B"/>
    <w:rsid w:val="008C0049"/>
    <w:rsid w:val="008C0E88"/>
    <w:rsid w:val="008C74AD"/>
    <w:rsid w:val="008D034E"/>
    <w:rsid w:val="008D0CBD"/>
    <w:rsid w:val="008D1E6A"/>
    <w:rsid w:val="008D2A16"/>
    <w:rsid w:val="008D46BC"/>
    <w:rsid w:val="008D50CC"/>
    <w:rsid w:val="008D5947"/>
    <w:rsid w:val="008D7E8C"/>
    <w:rsid w:val="008D7EFB"/>
    <w:rsid w:val="008E2C57"/>
    <w:rsid w:val="008E31FF"/>
    <w:rsid w:val="008E3757"/>
    <w:rsid w:val="008E6F06"/>
    <w:rsid w:val="008F029B"/>
    <w:rsid w:val="008F0ADE"/>
    <w:rsid w:val="008F2897"/>
    <w:rsid w:val="008F3FC9"/>
    <w:rsid w:val="008F585B"/>
    <w:rsid w:val="008F6A50"/>
    <w:rsid w:val="008F6AFE"/>
    <w:rsid w:val="008F6FAC"/>
    <w:rsid w:val="008F7B8C"/>
    <w:rsid w:val="009003A8"/>
    <w:rsid w:val="00901724"/>
    <w:rsid w:val="00901727"/>
    <w:rsid w:val="00902500"/>
    <w:rsid w:val="00902EFF"/>
    <w:rsid w:val="009038A8"/>
    <w:rsid w:val="00906401"/>
    <w:rsid w:val="0090693C"/>
    <w:rsid w:val="0090703E"/>
    <w:rsid w:val="0090765E"/>
    <w:rsid w:val="009076C1"/>
    <w:rsid w:val="0090798B"/>
    <w:rsid w:val="0091155E"/>
    <w:rsid w:val="00912423"/>
    <w:rsid w:val="009126A8"/>
    <w:rsid w:val="00912A92"/>
    <w:rsid w:val="0091373C"/>
    <w:rsid w:val="0091728D"/>
    <w:rsid w:val="00920DF9"/>
    <w:rsid w:val="00921275"/>
    <w:rsid w:val="0092180B"/>
    <w:rsid w:val="00921F14"/>
    <w:rsid w:val="009245FF"/>
    <w:rsid w:val="00924873"/>
    <w:rsid w:val="00924AC8"/>
    <w:rsid w:val="0092558E"/>
    <w:rsid w:val="0092597A"/>
    <w:rsid w:val="009317BB"/>
    <w:rsid w:val="00932443"/>
    <w:rsid w:val="009364DE"/>
    <w:rsid w:val="00937AE2"/>
    <w:rsid w:val="0094286D"/>
    <w:rsid w:val="0094427A"/>
    <w:rsid w:val="00944345"/>
    <w:rsid w:val="00947E4F"/>
    <w:rsid w:val="00950892"/>
    <w:rsid w:val="00950A62"/>
    <w:rsid w:val="00951460"/>
    <w:rsid w:val="00954833"/>
    <w:rsid w:val="00954C17"/>
    <w:rsid w:val="00956923"/>
    <w:rsid w:val="009600A4"/>
    <w:rsid w:val="00963329"/>
    <w:rsid w:val="00964646"/>
    <w:rsid w:val="00965B11"/>
    <w:rsid w:val="00967836"/>
    <w:rsid w:val="0097122A"/>
    <w:rsid w:val="009718EA"/>
    <w:rsid w:val="00972D73"/>
    <w:rsid w:val="00974022"/>
    <w:rsid w:val="00974432"/>
    <w:rsid w:val="00974923"/>
    <w:rsid w:val="00976CB5"/>
    <w:rsid w:val="00977938"/>
    <w:rsid w:val="0097795A"/>
    <w:rsid w:val="00980D3D"/>
    <w:rsid w:val="009814C8"/>
    <w:rsid w:val="009821FB"/>
    <w:rsid w:val="00983ED1"/>
    <w:rsid w:val="00987A30"/>
    <w:rsid w:val="00990D82"/>
    <w:rsid w:val="00992CF3"/>
    <w:rsid w:val="00992FFC"/>
    <w:rsid w:val="00993BE4"/>
    <w:rsid w:val="00995191"/>
    <w:rsid w:val="00995618"/>
    <w:rsid w:val="00996263"/>
    <w:rsid w:val="009968D6"/>
    <w:rsid w:val="00997DB8"/>
    <w:rsid w:val="009A1CAB"/>
    <w:rsid w:val="009A2506"/>
    <w:rsid w:val="009A5291"/>
    <w:rsid w:val="009A5F22"/>
    <w:rsid w:val="009A60D1"/>
    <w:rsid w:val="009A6739"/>
    <w:rsid w:val="009A765F"/>
    <w:rsid w:val="009A7D47"/>
    <w:rsid w:val="009B1A33"/>
    <w:rsid w:val="009B6FD3"/>
    <w:rsid w:val="009C01B7"/>
    <w:rsid w:val="009C11F5"/>
    <w:rsid w:val="009C16E3"/>
    <w:rsid w:val="009C1750"/>
    <w:rsid w:val="009C1D00"/>
    <w:rsid w:val="009C2E29"/>
    <w:rsid w:val="009C2E81"/>
    <w:rsid w:val="009C3232"/>
    <w:rsid w:val="009C554B"/>
    <w:rsid w:val="009C6803"/>
    <w:rsid w:val="009C719E"/>
    <w:rsid w:val="009D1B72"/>
    <w:rsid w:val="009D1C60"/>
    <w:rsid w:val="009D3ACD"/>
    <w:rsid w:val="009D40E9"/>
    <w:rsid w:val="009D6B76"/>
    <w:rsid w:val="009E0097"/>
    <w:rsid w:val="009E12DA"/>
    <w:rsid w:val="009E2252"/>
    <w:rsid w:val="009E2B02"/>
    <w:rsid w:val="009E4026"/>
    <w:rsid w:val="009E5273"/>
    <w:rsid w:val="009E5439"/>
    <w:rsid w:val="009E5DDB"/>
    <w:rsid w:val="009F04D3"/>
    <w:rsid w:val="009F2209"/>
    <w:rsid w:val="009F4CA7"/>
    <w:rsid w:val="009F50B5"/>
    <w:rsid w:val="009F7583"/>
    <w:rsid w:val="00A000D7"/>
    <w:rsid w:val="00A0199F"/>
    <w:rsid w:val="00A02424"/>
    <w:rsid w:val="00A03844"/>
    <w:rsid w:val="00A05377"/>
    <w:rsid w:val="00A0629C"/>
    <w:rsid w:val="00A107DD"/>
    <w:rsid w:val="00A10D66"/>
    <w:rsid w:val="00A14114"/>
    <w:rsid w:val="00A15072"/>
    <w:rsid w:val="00A16413"/>
    <w:rsid w:val="00A174F2"/>
    <w:rsid w:val="00A20608"/>
    <w:rsid w:val="00A20A73"/>
    <w:rsid w:val="00A23696"/>
    <w:rsid w:val="00A23E43"/>
    <w:rsid w:val="00A24E70"/>
    <w:rsid w:val="00A25063"/>
    <w:rsid w:val="00A2545E"/>
    <w:rsid w:val="00A25DB6"/>
    <w:rsid w:val="00A26142"/>
    <w:rsid w:val="00A27982"/>
    <w:rsid w:val="00A30916"/>
    <w:rsid w:val="00A30F65"/>
    <w:rsid w:val="00A323D9"/>
    <w:rsid w:val="00A32584"/>
    <w:rsid w:val="00A34666"/>
    <w:rsid w:val="00A3466F"/>
    <w:rsid w:val="00A34C27"/>
    <w:rsid w:val="00A3697D"/>
    <w:rsid w:val="00A400E2"/>
    <w:rsid w:val="00A405AE"/>
    <w:rsid w:val="00A418BC"/>
    <w:rsid w:val="00A424FF"/>
    <w:rsid w:val="00A42994"/>
    <w:rsid w:val="00A42A29"/>
    <w:rsid w:val="00A42E8C"/>
    <w:rsid w:val="00A4304A"/>
    <w:rsid w:val="00A44708"/>
    <w:rsid w:val="00A467D2"/>
    <w:rsid w:val="00A46DE0"/>
    <w:rsid w:val="00A46FEF"/>
    <w:rsid w:val="00A50329"/>
    <w:rsid w:val="00A50394"/>
    <w:rsid w:val="00A50D73"/>
    <w:rsid w:val="00A5232D"/>
    <w:rsid w:val="00A52CAD"/>
    <w:rsid w:val="00A530DD"/>
    <w:rsid w:val="00A53BEC"/>
    <w:rsid w:val="00A53FC7"/>
    <w:rsid w:val="00A54451"/>
    <w:rsid w:val="00A54940"/>
    <w:rsid w:val="00A54DD5"/>
    <w:rsid w:val="00A56D3C"/>
    <w:rsid w:val="00A56DCE"/>
    <w:rsid w:val="00A570BE"/>
    <w:rsid w:val="00A57A09"/>
    <w:rsid w:val="00A6032E"/>
    <w:rsid w:val="00A60986"/>
    <w:rsid w:val="00A61FCC"/>
    <w:rsid w:val="00A62CE1"/>
    <w:rsid w:val="00A633A3"/>
    <w:rsid w:val="00A67415"/>
    <w:rsid w:val="00A6741E"/>
    <w:rsid w:val="00A67E73"/>
    <w:rsid w:val="00A709C5"/>
    <w:rsid w:val="00A70C62"/>
    <w:rsid w:val="00A70ECC"/>
    <w:rsid w:val="00A7127A"/>
    <w:rsid w:val="00A73844"/>
    <w:rsid w:val="00A73BCB"/>
    <w:rsid w:val="00A74C22"/>
    <w:rsid w:val="00A75E40"/>
    <w:rsid w:val="00A77D1D"/>
    <w:rsid w:val="00A811AB"/>
    <w:rsid w:val="00A81F66"/>
    <w:rsid w:val="00A82BFD"/>
    <w:rsid w:val="00A857C0"/>
    <w:rsid w:val="00A85C0E"/>
    <w:rsid w:val="00A9180F"/>
    <w:rsid w:val="00A9560B"/>
    <w:rsid w:val="00A95AE7"/>
    <w:rsid w:val="00A96572"/>
    <w:rsid w:val="00AA2996"/>
    <w:rsid w:val="00AA35D7"/>
    <w:rsid w:val="00AA52BF"/>
    <w:rsid w:val="00AA559A"/>
    <w:rsid w:val="00AA66EE"/>
    <w:rsid w:val="00AB11A0"/>
    <w:rsid w:val="00AB2AF1"/>
    <w:rsid w:val="00AB3640"/>
    <w:rsid w:val="00AB3951"/>
    <w:rsid w:val="00AB48C7"/>
    <w:rsid w:val="00AB5663"/>
    <w:rsid w:val="00AC1381"/>
    <w:rsid w:val="00AC4E8D"/>
    <w:rsid w:val="00AC5B96"/>
    <w:rsid w:val="00AD0509"/>
    <w:rsid w:val="00AD0A5E"/>
    <w:rsid w:val="00AD2510"/>
    <w:rsid w:val="00AD306C"/>
    <w:rsid w:val="00AD6465"/>
    <w:rsid w:val="00AE09B3"/>
    <w:rsid w:val="00AE0CA7"/>
    <w:rsid w:val="00AE1A83"/>
    <w:rsid w:val="00AE3C8E"/>
    <w:rsid w:val="00AE49F3"/>
    <w:rsid w:val="00AF06B6"/>
    <w:rsid w:val="00AF0C24"/>
    <w:rsid w:val="00AF0DEF"/>
    <w:rsid w:val="00AF0F32"/>
    <w:rsid w:val="00AF3C52"/>
    <w:rsid w:val="00AF3C7B"/>
    <w:rsid w:val="00AF4C2E"/>
    <w:rsid w:val="00AF64D0"/>
    <w:rsid w:val="00AF75D5"/>
    <w:rsid w:val="00B00913"/>
    <w:rsid w:val="00B01593"/>
    <w:rsid w:val="00B043F7"/>
    <w:rsid w:val="00B05585"/>
    <w:rsid w:val="00B05EA7"/>
    <w:rsid w:val="00B075B8"/>
    <w:rsid w:val="00B07AA9"/>
    <w:rsid w:val="00B10A4D"/>
    <w:rsid w:val="00B11E82"/>
    <w:rsid w:val="00B12DAA"/>
    <w:rsid w:val="00B13471"/>
    <w:rsid w:val="00B146C1"/>
    <w:rsid w:val="00B16121"/>
    <w:rsid w:val="00B163C1"/>
    <w:rsid w:val="00B1734C"/>
    <w:rsid w:val="00B17E71"/>
    <w:rsid w:val="00B17FDE"/>
    <w:rsid w:val="00B2320B"/>
    <w:rsid w:val="00B2379C"/>
    <w:rsid w:val="00B23B8F"/>
    <w:rsid w:val="00B2687D"/>
    <w:rsid w:val="00B27A0B"/>
    <w:rsid w:val="00B30005"/>
    <w:rsid w:val="00B32DDB"/>
    <w:rsid w:val="00B34528"/>
    <w:rsid w:val="00B35525"/>
    <w:rsid w:val="00B35AAF"/>
    <w:rsid w:val="00B35B7B"/>
    <w:rsid w:val="00B37F26"/>
    <w:rsid w:val="00B402FC"/>
    <w:rsid w:val="00B40ACA"/>
    <w:rsid w:val="00B40D08"/>
    <w:rsid w:val="00B40D6F"/>
    <w:rsid w:val="00B43D30"/>
    <w:rsid w:val="00B4447D"/>
    <w:rsid w:val="00B44C97"/>
    <w:rsid w:val="00B4533A"/>
    <w:rsid w:val="00B45D48"/>
    <w:rsid w:val="00B46604"/>
    <w:rsid w:val="00B52882"/>
    <w:rsid w:val="00B5308A"/>
    <w:rsid w:val="00B530CD"/>
    <w:rsid w:val="00B5362A"/>
    <w:rsid w:val="00B55F5E"/>
    <w:rsid w:val="00B563D9"/>
    <w:rsid w:val="00B5752E"/>
    <w:rsid w:val="00B57AEA"/>
    <w:rsid w:val="00B60414"/>
    <w:rsid w:val="00B617A5"/>
    <w:rsid w:val="00B61991"/>
    <w:rsid w:val="00B63590"/>
    <w:rsid w:val="00B63A11"/>
    <w:rsid w:val="00B64019"/>
    <w:rsid w:val="00B6429C"/>
    <w:rsid w:val="00B64C24"/>
    <w:rsid w:val="00B65701"/>
    <w:rsid w:val="00B65FC7"/>
    <w:rsid w:val="00B6608F"/>
    <w:rsid w:val="00B679FB"/>
    <w:rsid w:val="00B71E46"/>
    <w:rsid w:val="00B723B0"/>
    <w:rsid w:val="00B726AA"/>
    <w:rsid w:val="00B73912"/>
    <w:rsid w:val="00B769EA"/>
    <w:rsid w:val="00B76D1E"/>
    <w:rsid w:val="00B80EC6"/>
    <w:rsid w:val="00B81881"/>
    <w:rsid w:val="00B8222F"/>
    <w:rsid w:val="00B8227C"/>
    <w:rsid w:val="00B82765"/>
    <w:rsid w:val="00B82B41"/>
    <w:rsid w:val="00B8355B"/>
    <w:rsid w:val="00B848EA"/>
    <w:rsid w:val="00B853FE"/>
    <w:rsid w:val="00B85B48"/>
    <w:rsid w:val="00B92D1D"/>
    <w:rsid w:val="00B938C5"/>
    <w:rsid w:val="00B95940"/>
    <w:rsid w:val="00B964A8"/>
    <w:rsid w:val="00B9722C"/>
    <w:rsid w:val="00BA098D"/>
    <w:rsid w:val="00BA0993"/>
    <w:rsid w:val="00BA133F"/>
    <w:rsid w:val="00BA17EF"/>
    <w:rsid w:val="00BA3EFD"/>
    <w:rsid w:val="00BA57ED"/>
    <w:rsid w:val="00BB439E"/>
    <w:rsid w:val="00BB46F3"/>
    <w:rsid w:val="00BB4CB1"/>
    <w:rsid w:val="00BB4F98"/>
    <w:rsid w:val="00BB5573"/>
    <w:rsid w:val="00BB5F44"/>
    <w:rsid w:val="00BC0E20"/>
    <w:rsid w:val="00BC2C45"/>
    <w:rsid w:val="00BC62C3"/>
    <w:rsid w:val="00BC7154"/>
    <w:rsid w:val="00BC72AD"/>
    <w:rsid w:val="00BD10A2"/>
    <w:rsid w:val="00BD3114"/>
    <w:rsid w:val="00BD366B"/>
    <w:rsid w:val="00BD5355"/>
    <w:rsid w:val="00BD6D50"/>
    <w:rsid w:val="00BE0698"/>
    <w:rsid w:val="00BE18B9"/>
    <w:rsid w:val="00BE2495"/>
    <w:rsid w:val="00BE2FF5"/>
    <w:rsid w:val="00BE3071"/>
    <w:rsid w:val="00BE3548"/>
    <w:rsid w:val="00BE39BD"/>
    <w:rsid w:val="00BE41DD"/>
    <w:rsid w:val="00BE4C16"/>
    <w:rsid w:val="00BE4C7D"/>
    <w:rsid w:val="00BE67EF"/>
    <w:rsid w:val="00BF1578"/>
    <w:rsid w:val="00BF1949"/>
    <w:rsid w:val="00BF2945"/>
    <w:rsid w:val="00BF36FE"/>
    <w:rsid w:val="00BF76B8"/>
    <w:rsid w:val="00C0283D"/>
    <w:rsid w:val="00C02EC9"/>
    <w:rsid w:val="00C040D7"/>
    <w:rsid w:val="00C0570F"/>
    <w:rsid w:val="00C05A8D"/>
    <w:rsid w:val="00C074A8"/>
    <w:rsid w:val="00C10142"/>
    <w:rsid w:val="00C11DEA"/>
    <w:rsid w:val="00C14F8B"/>
    <w:rsid w:val="00C160EE"/>
    <w:rsid w:val="00C1774E"/>
    <w:rsid w:val="00C201E8"/>
    <w:rsid w:val="00C21755"/>
    <w:rsid w:val="00C21F94"/>
    <w:rsid w:val="00C245F4"/>
    <w:rsid w:val="00C25E3F"/>
    <w:rsid w:val="00C266B7"/>
    <w:rsid w:val="00C26D9C"/>
    <w:rsid w:val="00C27913"/>
    <w:rsid w:val="00C279D8"/>
    <w:rsid w:val="00C27ECC"/>
    <w:rsid w:val="00C30DEF"/>
    <w:rsid w:val="00C33B68"/>
    <w:rsid w:val="00C36A79"/>
    <w:rsid w:val="00C405D4"/>
    <w:rsid w:val="00C40888"/>
    <w:rsid w:val="00C430AD"/>
    <w:rsid w:val="00C437AE"/>
    <w:rsid w:val="00C4513B"/>
    <w:rsid w:val="00C470CE"/>
    <w:rsid w:val="00C47D28"/>
    <w:rsid w:val="00C54697"/>
    <w:rsid w:val="00C549C2"/>
    <w:rsid w:val="00C54F8F"/>
    <w:rsid w:val="00C55023"/>
    <w:rsid w:val="00C5622D"/>
    <w:rsid w:val="00C60C1E"/>
    <w:rsid w:val="00C61FC2"/>
    <w:rsid w:val="00C634FA"/>
    <w:rsid w:val="00C64BB2"/>
    <w:rsid w:val="00C659A6"/>
    <w:rsid w:val="00C65C14"/>
    <w:rsid w:val="00C67420"/>
    <w:rsid w:val="00C700EA"/>
    <w:rsid w:val="00C709E0"/>
    <w:rsid w:val="00C72B63"/>
    <w:rsid w:val="00C73885"/>
    <w:rsid w:val="00C747B1"/>
    <w:rsid w:val="00C7692D"/>
    <w:rsid w:val="00C77196"/>
    <w:rsid w:val="00C77450"/>
    <w:rsid w:val="00C800DE"/>
    <w:rsid w:val="00C810F6"/>
    <w:rsid w:val="00C81A97"/>
    <w:rsid w:val="00C82191"/>
    <w:rsid w:val="00C83611"/>
    <w:rsid w:val="00C8424F"/>
    <w:rsid w:val="00C85EBE"/>
    <w:rsid w:val="00C87804"/>
    <w:rsid w:val="00C90CF4"/>
    <w:rsid w:val="00C91F3B"/>
    <w:rsid w:val="00C92EB6"/>
    <w:rsid w:val="00C93389"/>
    <w:rsid w:val="00C94104"/>
    <w:rsid w:val="00C94A83"/>
    <w:rsid w:val="00C9561A"/>
    <w:rsid w:val="00CA2F7B"/>
    <w:rsid w:val="00CA3A32"/>
    <w:rsid w:val="00CA4112"/>
    <w:rsid w:val="00CA471A"/>
    <w:rsid w:val="00CA6ACC"/>
    <w:rsid w:val="00CB0536"/>
    <w:rsid w:val="00CB24DC"/>
    <w:rsid w:val="00CB3B8B"/>
    <w:rsid w:val="00CB3DC4"/>
    <w:rsid w:val="00CB4930"/>
    <w:rsid w:val="00CC22C9"/>
    <w:rsid w:val="00CC2E7D"/>
    <w:rsid w:val="00CC5292"/>
    <w:rsid w:val="00CC5D15"/>
    <w:rsid w:val="00CC76C7"/>
    <w:rsid w:val="00CD0CEF"/>
    <w:rsid w:val="00CD0FE2"/>
    <w:rsid w:val="00CD10A5"/>
    <w:rsid w:val="00CD2044"/>
    <w:rsid w:val="00CD2076"/>
    <w:rsid w:val="00CD352E"/>
    <w:rsid w:val="00CE0392"/>
    <w:rsid w:val="00CE0AE2"/>
    <w:rsid w:val="00CE1292"/>
    <w:rsid w:val="00CE2DE6"/>
    <w:rsid w:val="00CE670B"/>
    <w:rsid w:val="00CE716F"/>
    <w:rsid w:val="00CF0915"/>
    <w:rsid w:val="00CF324E"/>
    <w:rsid w:val="00CF51EC"/>
    <w:rsid w:val="00CF6045"/>
    <w:rsid w:val="00CF73AE"/>
    <w:rsid w:val="00CF7F7C"/>
    <w:rsid w:val="00D0304B"/>
    <w:rsid w:val="00D040DD"/>
    <w:rsid w:val="00D04E04"/>
    <w:rsid w:val="00D1324F"/>
    <w:rsid w:val="00D13986"/>
    <w:rsid w:val="00D15C07"/>
    <w:rsid w:val="00D1644C"/>
    <w:rsid w:val="00D17EE5"/>
    <w:rsid w:val="00D218AE"/>
    <w:rsid w:val="00D21DBA"/>
    <w:rsid w:val="00D227E2"/>
    <w:rsid w:val="00D235B7"/>
    <w:rsid w:val="00D25F28"/>
    <w:rsid w:val="00D2658E"/>
    <w:rsid w:val="00D267A3"/>
    <w:rsid w:val="00D27973"/>
    <w:rsid w:val="00D32346"/>
    <w:rsid w:val="00D328E7"/>
    <w:rsid w:val="00D36727"/>
    <w:rsid w:val="00D3798E"/>
    <w:rsid w:val="00D467CF"/>
    <w:rsid w:val="00D50F46"/>
    <w:rsid w:val="00D51715"/>
    <w:rsid w:val="00D51FA8"/>
    <w:rsid w:val="00D53564"/>
    <w:rsid w:val="00D54930"/>
    <w:rsid w:val="00D55123"/>
    <w:rsid w:val="00D551AB"/>
    <w:rsid w:val="00D5554D"/>
    <w:rsid w:val="00D562E9"/>
    <w:rsid w:val="00D5732C"/>
    <w:rsid w:val="00D63794"/>
    <w:rsid w:val="00D63E37"/>
    <w:rsid w:val="00D66223"/>
    <w:rsid w:val="00D7668B"/>
    <w:rsid w:val="00D76A7D"/>
    <w:rsid w:val="00D8084C"/>
    <w:rsid w:val="00D83E10"/>
    <w:rsid w:val="00D84019"/>
    <w:rsid w:val="00D8678C"/>
    <w:rsid w:val="00D93BFD"/>
    <w:rsid w:val="00D9568D"/>
    <w:rsid w:val="00D97245"/>
    <w:rsid w:val="00DA0AC3"/>
    <w:rsid w:val="00DA3E31"/>
    <w:rsid w:val="00DA59F4"/>
    <w:rsid w:val="00DA6691"/>
    <w:rsid w:val="00DA7232"/>
    <w:rsid w:val="00DA7C0C"/>
    <w:rsid w:val="00DB0E2D"/>
    <w:rsid w:val="00DB11CC"/>
    <w:rsid w:val="00DB2EC8"/>
    <w:rsid w:val="00DB49EE"/>
    <w:rsid w:val="00DB61CA"/>
    <w:rsid w:val="00DB7B08"/>
    <w:rsid w:val="00DC54BB"/>
    <w:rsid w:val="00DC5B3B"/>
    <w:rsid w:val="00DC7DE7"/>
    <w:rsid w:val="00DD129F"/>
    <w:rsid w:val="00DD2C11"/>
    <w:rsid w:val="00DD6277"/>
    <w:rsid w:val="00DE410C"/>
    <w:rsid w:val="00DE44FC"/>
    <w:rsid w:val="00DE55C8"/>
    <w:rsid w:val="00DE5764"/>
    <w:rsid w:val="00DE79DA"/>
    <w:rsid w:val="00DF0898"/>
    <w:rsid w:val="00DF0A3C"/>
    <w:rsid w:val="00DF36AA"/>
    <w:rsid w:val="00DF401A"/>
    <w:rsid w:val="00DF42FF"/>
    <w:rsid w:val="00E00549"/>
    <w:rsid w:val="00E01C0E"/>
    <w:rsid w:val="00E02345"/>
    <w:rsid w:val="00E03D9A"/>
    <w:rsid w:val="00E03F9A"/>
    <w:rsid w:val="00E04694"/>
    <w:rsid w:val="00E0489C"/>
    <w:rsid w:val="00E12B1E"/>
    <w:rsid w:val="00E14280"/>
    <w:rsid w:val="00E14F97"/>
    <w:rsid w:val="00E17262"/>
    <w:rsid w:val="00E20E22"/>
    <w:rsid w:val="00E21624"/>
    <w:rsid w:val="00E219AC"/>
    <w:rsid w:val="00E23503"/>
    <w:rsid w:val="00E23AC1"/>
    <w:rsid w:val="00E240E5"/>
    <w:rsid w:val="00E253A2"/>
    <w:rsid w:val="00E2548B"/>
    <w:rsid w:val="00E26DF0"/>
    <w:rsid w:val="00E27CE5"/>
    <w:rsid w:val="00E3309D"/>
    <w:rsid w:val="00E369E3"/>
    <w:rsid w:val="00E40ABE"/>
    <w:rsid w:val="00E41E41"/>
    <w:rsid w:val="00E444FF"/>
    <w:rsid w:val="00E44B35"/>
    <w:rsid w:val="00E451F8"/>
    <w:rsid w:val="00E4600D"/>
    <w:rsid w:val="00E47933"/>
    <w:rsid w:val="00E47A3F"/>
    <w:rsid w:val="00E50156"/>
    <w:rsid w:val="00E52C56"/>
    <w:rsid w:val="00E53470"/>
    <w:rsid w:val="00E539F6"/>
    <w:rsid w:val="00E574A7"/>
    <w:rsid w:val="00E61CC3"/>
    <w:rsid w:val="00E645B4"/>
    <w:rsid w:val="00E64741"/>
    <w:rsid w:val="00E6519D"/>
    <w:rsid w:val="00E658A4"/>
    <w:rsid w:val="00E664D0"/>
    <w:rsid w:val="00E664E5"/>
    <w:rsid w:val="00E66E73"/>
    <w:rsid w:val="00E67696"/>
    <w:rsid w:val="00E71676"/>
    <w:rsid w:val="00E71A4D"/>
    <w:rsid w:val="00E71A58"/>
    <w:rsid w:val="00E72A7A"/>
    <w:rsid w:val="00E72EC9"/>
    <w:rsid w:val="00E73E5E"/>
    <w:rsid w:val="00E75C20"/>
    <w:rsid w:val="00E75C94"/>
    <w:rsid w:val="00E75F08"/>
    <w:rsid w:val="00E804DF"/>
    <w:rsid w:val="00E8577E"/>
    <w:rsid w:val="00E86569"/>
    <w:rsid w:val="00E86917"/>
    <w:rsid w:val="00E90693"/>
    <w:rsid w:val="00E93820"/>
    <w:rsid w:val="00E943EF"/>
    <w:rsid w:val="00E944B9"/>
    <w:rsid w:val="00E966D9"/>
    <w:rsid w:val="00EA0C68"/>
    <w:rsid w:val="00EA32BC"/>
    <w:rsid w:val="00EA5D17"/>
    <w:rsid w:val="00EA6564"/>
    <w:rsid w:val="00EA78F6"/>
    <w:rsid w:val="00EB2434"/>
    <w:rsid w:val="00EB25E6"/>
    <w:rsid w:val="00EB4511"/>
    <w:rsid w:val="00EB4697"/>
    <w:rsid w:val="00EB473F"/>
    <w:rsid w:val="00EB71C1"/>
    <w:rsid w:val="00EC03D7"/>
    <w:rsid w:val="00EC25E1"/>
    <w:rsid w:val="00EC3186"/>
    <w:rsid w:val="00EC32D7"/>
    <w:rsid w:val="00EC36D0"/>
    <w:rsid w:val="00EC67E9"/>
    <w:rsid w:val="00EC74B2"/>
    <w:rsid w:val="00EC774A"/>
    <w:rsid w:val="00EC7C80"/>
    <w:rsid w:val="00ED62C6"/>
    <w:rsid w:val="00ED64C1"/>
    <w:rsid w:val="00ED74FD"/>
    <w:rsid w:val="00ED7915"/>
    <w:rsid w:val="00EE04E0"/>
    <w:rsid w:val="00EE1FF6"/>
    <w:rsid w:val="00EE338E"/>
    <w:rsid w:val="00EE3446"/>
    <w:rsid w:val="00EE3E78"/>
    <w:rsid w:val="00EE4B1B"/>
    <w:rsid w:val="00EE62DA"/>
    <w:rsid w:val="00EE69BB"/>
    <w:rsid w:val="00EF13A1"/>
    <w:rsid w:val="00EF150D"/>
    <w:rsid w:val="00EF1F5A"/>
    <w:rsid w:val="00EF46FD"/>
    <w:rsid w:val="00EF47BF"/>
    <w:rsid w:val="00EF549D"/>
    <w:rsid w:val="00EF7EC9"/>
    <w:rsid w:val="00F00EE3"/>
    <w:rsid w:val="00F03A24"/>
    <w:rsid w:val="00F04811"/>
    <w:rsid w:val="00F0488C"/>
    <w:rsid w:val="00F048B9"/>
    <w:rsid w:val="00F057EA"/>
    <w:rsid w:val="00F05F5E"/>
    <w:rsid w:val="00F0650D"/>
    <w:rsid w:val="00F0722D"/>
    <w:rsid w:val="00F07C76"/>
    <w:rsid w:val="00F10F11"/>
    <w:rsid w:val="00F12225"/>
    <w:rsid w:val="00F12360"/>
    <w:rsid w:val="00F149DD"/>
    <w:rsid w:val="00F15AAA"/>
    <w:rsid w:val="00F15BEF"/>
    <w:rsid w:val="00F1607C"/>
    <w:rsid w:val="00F17375"/>
    <w:rsid w:val="00F214D1"/>
    <w:rsid w:val="00F2405C"/>
    <w:rsid w:val="00F243FC"/>
    <w:rsid w:val="00F24407"/>
    <w:rsid w:val="00F24FAA"/>
    <w:rsid w:val="00F26D27"/>
    <w:rsid w:val="00F3364D"/>
    <w:rsid w:val="00F347EA"/>
    <w:rsid w:val="00F357D3"/>
    <w:rsid w:val="00F368A5"/>
    <w:rsid w:val="00F42C30"/>
    <w:rsid w:val="00F437CC"/>
    <w:rsid w:val="00F4381F"/>
    <w:rsid w:val="00F46521"/>
    <w:rsid w:val="00F46C78"/>
    <w:rsid w:val="00F47067"/>
    <w:rsid w:val="00F51A74"/>
    <w:rsid w:val="00F5201B"/>
    <w:rsid w:val="00F525EB"/>
    <w:rsid w:val="00F52F49"/>
    <w:rsid w:val="00F53147"/>
    <w:rsid w:val="00F56849"/>
    <w:rsid w:val="00F61FB3"/>
    <w:rsid w:val="00F63DDE"/>
    <w:rsid w:val="00F63FB7"/>
    <w:rsid w:val="00F649D2"/>
    <w:rsid w:val="00F657B3"/>
    <w:rsid w:val="00F6602B"/>
    <w:rsid w:val="00F7260E"/>
    <w:rsid w:val="00F73A0C"/>
    <w:rsid w:val="00F748A3"/>
    <w:rsid w:val="00F756DB"/>
    <w:rsid w:val="00F76DFC"/>
    <w:rsid w:val="00F813B5"/>
    <w:rsid w:val="00F817B4"/>
    <w:rsid w:val="00F84233"/>
    <w:rsid w:val="00F84A16"/>
    <w:rsid w:val="00F85066"/>
    <w:rsid w:val="00F92AF4"/>
    <w:rsid w:val="00F9462D"/>
    <w:rsid w:val="00FA1FD0"/>
    <w:rsid w:val="00FA2100"/>
    <w:rsid w:val="00FA477E"/>
    <w:rsid w:val="00FA515C"/>
    <w:rsid w:val="00FA53C3"/>
    <w:rsid w:val="00FA5D10"/>
    <w:rsid w:val="00FA5D4D"/>
    <w:rsid w:val="00FB06AE"/>
    <w:rsid w:val="00FB0EE2"/>
    <w:rsid w:val="00FB4008"/>
    <w:rsid w:val="00FB4F78"/>
    <w:rsid w:val="00FB542E"/>
    <w:rsid w:val="00FB55B8"/>
    <w:rsid w:val="00FB7483"/>
    <w:rsid w:val="00FC0E5F"/>
    <w:rsid w:val="00FC1A95"/>
    <w:rsid w:val="00FC322D"/>
    <w:rsid w:val="00FC4718"/>
    <w:rsid w:val="00FC56DE"/>
    <w:rsid w:val="00FC593D"/>
    <w:rsid w:val="00FC5F9E"/>
    <w:rsid w:val="00FC601D"/>
    <w:rsid w:val="00FC684B"/>
    <w:rsid w:val="00FC6CB5"/>
    <w:rsid w:val="00FC79BD"/>
    <w:rsid w:val="00FD0848"/>
    <w:rsid w:val="00FD21CA"/>
    <w:rsid w:val="00FD3265"/>
    <w:rsid w:val="00FD600D"/>
    <w:rsid w:val="00FE1902"/>
    <w:rsid w:val="00FE2F78"/>
    <w:rsid w:val="00FE54B3"/>
    <w:rsid w:val="00FE6353"/>
    <w:rsid w:val="00FF1443"/>
    <w:rsid w:val="00FF1D31"/>
    <w:rsid w:val="00FF25D7"/>
    <w:rsid w:val="00FF38CC"/>
    <w:rsid w:val="00FF44D4"/>
    <w:rsid w:val="00FF5EDA"/>
    <w:rsid w:val="00FF6FBF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5DFA81DF"/>
  <w15:docId w15:val="{C9F38FDE-E07F-41CA-B4A3-64A147E4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C6462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Odstavecseseznamem">
    <w:name w:val="List Paragraph"/>
    <w:basedOn w:val="Normln"/>
    <w:uiPriority w:val="34"/>
    <w:rsid w:val="001D59A2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4C3442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  <w:style w:type="paragraph" w:customStyle="1" w:styleId="Default">
    <w:name w:val="Default"/>
    <w:rsid w:val="002659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659EE"/>
    <w:pPr>
      <w:spacing w:after="0" w:line="240" w:lineRule="auto"/>
    </w:pPr>
    <w:rPr>
      <w:rFonts w:ascii="Calibri" w:eastAsia="Calibri" w:hAnsi="Calibri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659EE"/>
  </w:style>
  <w:style w:type="character" w:styleId="Znakapoznpodarou">
    <w:name w:val="footnote reference"/>
    <w:uiPriority w:val="99"/>
    <w:semiHidden/>
    <w:unhideWhenUsed/>
    <w:rsid w:val="002659EE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7D5BCF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07C7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7C7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7C76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7C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7C76"/>
    <w:rPr>
      <w:rFonts w:ascii="Arial" w:eastAsia="Times New Roman" w:hAnsi="Arial"/>
      <w:b/>
      <w:bCs/>
      <w:lang w:eastAsia="cs-CZ"/>
    </w:rPr>
  </w:style>
  <w:style w:type="paragraph" w:styleId="Revize">
    <w:name w:val="Revision"/>
    <w:hidden/>
    <w:uiPriority w:val="99"/>
    <w:semiHidden/>
    <w:rsid w:val="00FD21CA"/>
    <w:rPr>
      <w:rFonts w:ascii="Arial" w:eastAsia="Times New Roman" w:hAnsi="Arial"/>
      <w:szCs w:val="24"/>
      <w:lang w:eastAsia="cs-CZ"/>
    </w:rPr>
  </w:style>
  <w:style w:type="character" w:customStyle="1" w:styleId="hgkelc">
    <w:name w:val="hgkelc"/>
    <w:basedOn w:val="Standardnpsmoodstavce"/>
    <w:rsid w:val="00397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chart" Target="charts/chart48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chart" Target="charts/chart46.xml"/><Relationship Id="rId58" Type="http://schemas.openxmlformats.org/officeDocument/2006/relationships/chart" Target="charts/chart51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chart" Target="charts/chart49.xml"/><Relationship Id="rId64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header" Target="header1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chart" Target="charts/chart47.xm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chart" Target="charts/chart50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RUS~1\AppData\Local\Temp\Publikace%20bar%20CZ_lide%20a%20spolecnost_2017-08-1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tabulky\V&#352;_studenti_pracovn&#237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studenti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studenti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studenti_pracovn&#237;_kraje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J\V&#352;_Vzor%20Tabulek_MM_VKn&#225;vrh2_studenti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_2023\V&#352;_Vzor%20Tabulek_MM_VKn&#225;vrh2_studenti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J\V&#352;_Vzor%20Tabulek_MM_VKn&#225;vrh2_studenti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J\V&#352;_Vzor%20Tabulek_MM_VKn&#225;vrh2_studenti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J\V&#352;_Vzor%20Tabulek_MM_VKn&#225;vrh2_studenti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1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studenti_pracovn&#237;_kraj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tabulky\V&#352;_Vzor%20Tabulek_MM_VKn&#225;vrh2_studenti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tabulky\V&#352;_Vzor%20Tabulek_MM_VKn&#225;vrh2_studenti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tabulky\V&#352;_Vzor%20Tabulek_MM_VKn&#225;vrh2_studenti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tabulky\V&#352;_Vzor%20Tabulek_MM_VKn&#225;vrh2_studenti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tabulky\V&#352;_Vzor%20Tabulek_MM_VKn&#225;vrh2_studenti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tabulky\V&#352;_Vzor%20Tabulek_MM_VKn&#225;vrh2_studenti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tabulky\V&#352;_Vzor%20Tabulek_MM_VKn&#225;vrh2_studenti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tabulky\V&#352;_Vzor%20Tabulek_MM_VKn&#225;vrh2_studenti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tabulky\V&#352;_Vzor%20Tabulek_MM_VKn&#225;vrh2_studenti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student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tabulky\V&#352;_Vzor%20Tabulek_MM_VKn&#225;vrh2_studenti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_pomocn&#253;1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_pomocn&#253;1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_pomocn&#253;1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J\V&#352;_Vzor%20Tabulek_MM_VKn&#225;vrh2_studenti.xlsx" TargetMode="Externa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student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J\abs_poprv&#233;%20zaps_pracovn&#237;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J\abs_poprv&#233;%20zaps_pracovn&#237;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4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5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6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7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8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J\abs_poprv&#233;%20zaps_pracovn&#237;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9.xlsx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J\V&#352;_Vzor%20Tabulek_MM_VKn&#225;vrh2_poprv&#233;%20zapsan&#237;%20do%20studia.xlsx" TargetMode="External"/><Relationship Id="rId2" Type="http://schemas.microsoft.com/office/2011/relationships/chartColorStyle" Target="colors49.xml"/><Relationship Id="rId1" Type="http://schemas.microsoft.com/office/2011/relationships/chartStyle" Target="style49.xml"/><Relationship Id="rId4" Type="http://schemas.openxmlformats.org/officeDocument/2006/relationships/chartUserShapes" Target="../drawings/drawing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tabulky\V&#352;_Vzor%20Tabulek_MM_VKn&#225;vrh2_student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J\V&#352;_Vzor%20Tabulek_MM_VKn&#225;vrh2_absolventi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10.xlsx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studenti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tabulky\V&#352;_studenti_pracovn&#237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studenti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V&#352;2023\V&#352;_studenti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List1!$B$7</c:f>
              <c:strCache>
                <c:ptCount val="1"/>
                <c:pt idx="0">
                  <c:v>počet (v tis.)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List1!$C$6:$X$6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List1!$C$7:$X$7</c:f>
              <c:numCache>
                <c:formatCode>0.0</c:formatCode>
                <c:ptCount val="22"/>
                <c:pt idx="0">
                  <c:v>203.44800000000001</c:v>
                </c:pt>
                <c:pt idx="1">
                  <c:v>220.17699999999999</c:v>
                </c:pt>
                <c:pt idx="2">
                  <c:v>243.71700000000001</c:v>
                </c:pt>
                <c:pt idx="3">
                  <c:v>264.76900000000001</c:v>
                </c:pt>
                <c:pt idx="4">
                  <c:v>289.46300000000002</c:v>
                </c:pt>
                <c:pt idx="5">
                  <c:v>316.17700000000002</c:v>
                </c:pt>
                <c:pt idx="6">
                  <c:v>343.94299999999998</c:v>
                </c:pt>
                <c:pt idx="7">
                  <c:v>368.05</c:v>
                </c:pt>
                <c:pt idx="8">
                  <c:v>388.99200000000002</c:v>
                </c:pt>
                <c:pt idx="9">
                  <c:v>395.98399999999998</c:v>
                </c:pt>
                <c:pt idx="10">
                  <c:v>392.03899999999999</c:v>
                </c:pt>
                <c:pt idx="11">
                  <c:v>380.89100000000002</c:v>
                </c:pt>
                <c:pt idx="12">
                  <c:v>367.76799999999997</c:v>
                </c:pt>
                <c:pt idx="13">
                  <c:v>346.79899999999998</c:v>
                </c:pt>
                <c:pt idx="14">
                  <c:v>326.423</c:v>
                </c:pt>
                <c:pt idx="15">
                  <c:v>311.04500000000002</c:v>
                </c:pt>
                <c:pt idx="16">
                  <c:v>298.66300000000001</c:v>
                </c:pt>
                <c:pt idx="17">
                  <c:v>289.649</c:v>
                </c:pt>
                <c:pt idx="18">
                  <c:v>288.577</c:v>
                </c:pt>
                <c:pt idx="19">
                  <c:v>298.98599999999999</c:v>
                </c:pt>
                <c:pt idx="20">
                  <c:v>303.63299999999998</c:v>
                </c:pt>
                <c:pt idx="21">
                  <c:v>304.51799999999997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7B-4CC4-9B3C-0A0B122292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-27"/>
        <c:axId val="889263264"/>
        <c:axId val="889261600"/>
      </c:barChart>
      <c:lineChart>
        <c:grouping val="standard"/>
        <c:varyColors val="0"/>
        <c:ser>
          <c:idx val="1"/>
          <c:order val="1"/>
          <c:tx>
            <c:strRef>
              <c:f>List1!$B$8</c:f>
              <c:strCache>
                <c:ptCount val="1"/>
                <c:pt idx="0">
                  <c:v>podíl (v %)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List1!$C$6:$X$6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List1!$C$8:$X$8</c:f>
              <c:numCache>
                <c:formatCode>General</c:formatCode>
                <c:ptCount val="22"/>
                <c:pt idx="0">
                  <c:v>8.9938287882515144</c:v>
                </c:pt>
                <c:pt idx="1">
                  <c:v>9.9609890103333179</c:v>
                </c:pt>
                <c:pt idx="2">
                  <c:v>11.151032665527522</c:v>
                </c:pt>
                <c:pt idx="3">
                  <c:v>12.013243183045102</c:v>
                </c:pt>
                <c:pt idx="4">
                  <c:v>13.737392283667072</c:v>
                </c:pt>
                <c:pt idx="5">
                  <c:v>14.992603972988885</c:v>
                </c:pt>
                <c:pt idx="6">
                  <c:v>16.456391489246986</c:v>
                </c:pt>
                <c:pt idx="7">
                  <c:v>17.575363347711683</c:v>
                </c:pt>
                <c:pt idx="8">
                  <c:v>18.73429406277052</c:v>
                </c:pt>
                <c:pt idx="9">
                  <c:v>19.343314815276152</c:v>
                </c:pt>
                <c:pt idx="10">
                  <c:v>19.528356485636859</c:v>
                </c:pt>
                <c:pt idx="11">
                  <c:v>19.402528035206139</c:v>
                </c:pt>
                <c:pt idx="12">
                  <c:v>19.226492158311064</c:v>
                </c:pt>
                <c:pt idx="13">
                  <c:v>18.525839409869423</c:v>
                </c:pt>
                <c:pt idx="14">
                  <c:v>17.780210615745737</c:v>
                </c:pt>
                <c:pt idx="15">
                  <c:v>17.167839108395587</c:v>
                </c:pt>
                <c:pt idx="16">
                  <c:v>16.75742998199145</c:v>
                </c:pt>
                <c:pt idx="17">
                  <c:v>16.544129618489897</c:v>
                </c:pt>
                <c:pt idx="18">
                  <c:v>16.70384977320067</c:v>
                </c:pt>
                <c:pt idx="19">
                  <c:v>17.676266227413578</c:v>
                </c:pt>
                <c:pt idx="20">
                  <c:v>18.739918768977486</c:v>
                </c:pt>
                <c:pt idx="21">
                  <c:v>18.312110647486428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A7B-4CC4-9B3C-0A0B122292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8411424"/>
        <c:axId val="1818410176"/>
      </c:lineChart>
      <c:catAx>
        <c:axId val="889263264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89261600"/>
        <c:crosses val="autoZero"/>
        <c:auto val="1"/>
        <c:lblAlgn val="ctr"/>
        <c:lblOffset val="100"/>
        <c:noMultiLvlLbl val="0"/>
      </c:catAx>
      <c:valAx>
        <c:axId val="889261600"/>
        <c:scaling>
          <c:orientation val="minMax"/>
        </c:scaling>
        <c:delete val="0"/>
        <c:axPos val="l"/>
        <c:numFmt formatCode="0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89263264"/>
        <c:crosses val="autoZero"/>
        <c:crossBetween val="between"/>
      </c:valAx>
      <c:valAx>
        <c:axId val="1818410176"/>
        <c:scaling>
          <c:orientation val="minMax"/>
          <c:max val="20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18411424"/>
        <c:crosses val="max"/>
        <c:crossBetween val="between"/>
      </c:valAx>
      <c:catAx>
        <c:axId val="1818411424"/>
        <c:scaling>
          <c:orientation val="minMax"/>
        </c:scaling>
        <c:delete val="1"/>
        <c:axPos val="b"/>
        <c:numFmt formatCode="0" sourceLinked="1"/>
        <c:majorTickMark val="out"/>
        <c:minorTickMark val="none"/>
        <c:tickLblPos val="nextTo"/>
        <c:crossAx val="1818410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List15!$B$26</c:f>
              <c:strCache>
                <c:ptCount val="1"/>
                <c:pt idx="0">
                  <c:v>počet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List15!$A$27:$A$36</c:f>
              <c:strCache>
                <c:ptCount val="10"/>
                <c:pt idx="0">
                  <c:v>Zemědělství, lesnictví, rybářství a veterinářství </c:v>
                </c:pt>
                <c:pt idx="1">
                  <c:v>Služby </c:v>
                </c:pt>
                <c:pt idx="2">
                  <c:v>Přírodní vědy, matematika a statistika </c:v>
                </c:pt>
                <c:pt idx="3">
                  <c:v>Informační a komunikační technologie </c:v>
                </c:pt>
                <c:pt idx="4">
                  <c:v>Společenské vědy, žurnalistika a informační vědy </c:v>
                </c:pt>
                <c:pt idx="5">
                  <c:v>Umění a humanitní vědy </c:v>
                </c:pt>
                <c:pt idx="6">
                  <c:v>Technika, výroba a stavebnictví </c:v>
                </c:pt>
                <c:pt idx="7">
                  <c:v>Vzdělávání a výchova </c:v>
                </c:pt>
                <c:pt idx="8">
                  <c:v>Zdravotní a sociální péče</c:v>
                </c:pt>
                <c:pt idx="9">
                  <c:v>Obchod, administrativa a právo </c:v>
                </c:pt>
              </c:strCache>
            </c:strRef>
          </c:cat>
          <c:val>
            <c:numRef>
              <c:f>List15!$B$27:$B$36</c:f>
              <c:numCache>
                <c:formatCode>General</c:formatCode>
                <c:ptCount val="10"/>
                <c:pt idx="0">
                  <c:v>11535</c:v>
                </c:pt>
                <c:pt idx="1">
                  <c:v>16961</c:v>
                </c:pt>
                <c:pt idx="2">
                  <c:v>23337</c:v>
                </c:pt>
                <c:pt idx="3">
                  <c:v>23488</c:v>
                </c:pt>
                <c:pt idx="4">
                  <c:v>27168</c:v>
                </c:pt>
                <c:pt idx="5">
                  <c:v>29531</c:v>
                </c:pt>
                <c:pt idx="6">
                  <c:v>36993</c:v>
                </c:pt>
                <c:pt idx="7">
                  <c:v>37533</c:v>
                </c:pt>
                <c:pt idx="8">
                  <c:v>40253</c:v>
                </c:pt>
                <c:pt idx="9">
                  <c:v>61681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CA-4756-9B57-5EFB7611CF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axId val="256951552"/>
        <c:axId val="256942816"/>
      </c:barChart>
      <c:catAx>
        <c:axId val="256951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56942816"/>
        <c:crosses val="autoZero"/>
        <c:auto val="1"/>
        <c:lblAlgn val="ctr"/>
        <c:lblOffset val="100"/>
        <c:noMultiLvlLbl val="0"/>
      </c:catAx>
      <c:valAx>
        <c:axId val="256942816"/>
        <c:scaling>
          <c:orientation val="minMax"/>
        </c:scaling>
        <c:delete val="0"/>
        <c:axPos val="b"/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56951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722292777918897E-2"/>
          <c:y val="9.8362352593249769E-3"/>
          <c:w val="0.92570013425741138"/>
          <c:h val="0.80530538535369389"/>
        </c:manualLayout>
      </c:layout>
      <c:lineChart>
        <c:grouping val="standard"/>
        <c:varyColors val="0"/>
        <c:ser>
          <c:idx val="0"/>
          <c:order val="0"/>
          <c:tx>
            <c:strRef>
              <c:f>List14!$A$2</c:f>
              <c:strCache>
                <c:ptCount val="1"/>
                <c:pt idx="0">
                  <c:v>Vzdělávání a výchova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458-4255-91B6-8E09E66C2E48}"/>
                </c:ext>
              </c:extLst>
            </c:dLbl>
            <c:dLbl>
              <c:idx val="8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458-4255-91B6-8E09E66C2E48}"/>
                </c:ext>
              </c:extLst>
            </c:dLbl>
            <c:dLbl>
              <c:idx val="17"/>
              <c:layout>
                <c:manualLayout>
                  <c:x val="-3.6155202821869487E-2"/>
                  <c:y val="-2.0617458788874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458-4255-91B6-8E09E66C2E48}"/>
                </c:ext>
              </c:extLst>
            </c:dLbl>
            <c:dLbl>
              <c:idx val="21"/>
              <c:layout>
                <c:manualLayout>
                  <c:x val="0"/>
                  <c:y val="-4.621606008087810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458-4255-91B6-8E09E66C2E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3F6DC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List14!$B$1:$W$1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List14!$B$2:$W$2</c:f>
              <c:numCache>
                <c:formatCode>#\ ##0.0</c:formatCode>
                <c:ptCount val="22"/>
                <c:pt idx="0">
                  <c:v>31.664999999999999</c:v>
                </c:pt>
                <c:pt idx="1">
                  <c:v>32.667000000000002</c:v>
                </c:pt>
                <c:pt idx="2">
                  <c:v>34.442999999999998</c:v>
                </c:pt>
                <c:pt idx="3">
                  <c:v>36.534999999999997</c:v>
                </c:pt>
                <c:pt idx="4">
                  <c:v>39.113999999999997</c:v>
                </c:pt>
                <c:pt idx="5">
                  <c:v>41.222000000000001</c:v>
                </c:pt>
                <c:pt idx="6">
                  <c:v>44.198</c:v>
                </c:pt>
                <c:pt idx="7">
                  <c:v>45.780999999999999</c:v>
                </c:pt>
                <c:pt idx="8">
                  <c:v>46.277000000000001</c:v>
                </c:pt>
                <c:pt idx="9">
                  <c:v>46.127000000000002</c:v>
                </c:pt>
                <c:pt idx="10">
                  <c:v>44.564</c:v>
                </c:pt>
                <c:pt idx="11">
                  <c:v>41.728999999999999</c:v>
                </c:pt>
                <c:pt idx="12">
                  <c:v>39.424999999999997</c:v>
                </c:pt>
                <c:pt idx="13">
                  <c:v>37.579000000000001</c:v>
                </c:pt>
                <c:pt idx="14">
                  <c:v>33.765000000000001</c:v>
                </c:pt>
                <c:pt idx="15">
                  <c:v>32.110999999999997</c:v>
                </c:pt>
                <c:pt idx="16">
                  <c:v>30.93</c:v>
                </c:pt>
                <c:pt idx="17">
                  <c:v>30.751999999999999</c:v>
                </c:pt>
                <c:pt idx="18">
                  <c:v>32.418999999999997</c:v>
                </c:pt>
                <c:pt idx="19">
                  <c:v>34.716999999999999</c:v>
                </c:pt>
                <c:pt idx="20">
                  <c:v>36.380000000000003</c:v>
                </c:pt>
                <c:pt idx="21">
                  <c:v>37.533000000000001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458-4255-91B6-8E09E66C2E48}"/>
            </c:ext>
          </c:extLst>
        </c:ser>
        <c:ser>
          <c:idx val="1"/>
          <c:order val="1"/>
          <c:tx>
            <c:strRef>
              <c:f>List14!$A$3</c:f>
              <c:strCache>
                <c:ptCount val="1"/>
                <c:pt idx="0">
                  <c:v>Umění a humanitní vědy </c:v>
                </c:pt>
              </c:strCache>
            </c:strRef>
          </c:tx>
          <c:spPr>
            <a:ln w="28575" cap="rnd">
              <a:solidFill>
                <a:srgbClr val="80008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458-4255-91B6-8E09E66C2E48}"/>
                </c:ext>
              </c:extLst>
            </c:dLbl>
            <c:dLbl>
              <c:idx val="1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458-4255-91B6-8E09E66C2E48}"/>
                </c:ext>
              </c:extLst>
            </c:dLbl>
            <c:dLbl>
              <c:idx val="18"/>
              <c:layout>
                <c:manualLayout>
                  <c:x val="-4.27689594356261E-2"/>
                  <c:y val="-2.0617458788874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D458-4255-91B6-8E09E66C2E48}"/>
                </c:ext>
              </c:extLst>
            </c:dLbl>
            <c:dLbl>
              <c:idx val="21"/>
              <c:layout>
                <c:manualLayout>
                  <c:x val="-1.0563436514880084E-2"/>
                  <c:y val="-1.27008957839265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D458-4255-91B6-8E09E66C2E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80008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List14!$B$1:$W$1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List14!$B$3:$W$3</c:f>
              <c:numCache>
                <c:formatCode>#\ ##0.0</c:formatCode>
                <c:ptCount val="22"/>
                <c:pt idx="0">
                  <c:v>18.04</c:v>
                </c:pt>
                <c:pt idx="1">
                  <c:v>19.821999999999999</c:v>
                </c:pt>
                <c:pt idx="2">
                  <c:v>21.914999999999999</c:v>
                </c:pt>
                <c:pt idx="3">
                  <c:v>23.815000000000001</c:v>
                </c:pt>
                <c:pt idx="4">
                  <c:v>25.771000000000001</c:v>
                </c:pt>
                <c:pt idx="5">
                  <c:v>28.286000000000001</c:v>
                </c:pt>
                <c:pt idx="6">
                  <c:v>30.991</c:v>
                </c:pt>
                <c:pt idx="7">
                  <c:v>33.76</c:v>
                </c:pt>
                <c:pt idx="8">
                  <c:v>36.204999999999998</c:v>
                </c:pt>
                <c:pt idx="9">
                  <c:v>37.145000000000003</c:v>
                </c:pt>
                <c:pt idx="10">
                  <c:v>37.347999999999999</c:v>
                </c:pt>
                <c:pt idx="11">
                  <c:v>36.759</c:v>
                </c:pt>
                <c:pt idx="12">
                  <c:v>35.683</c:v>
                </c:pt>
                <c:pt idx="13">
                  <c:v>34.186</c:v>
                </c:pt>
                <c:pt idx="14">
                  <c:v>32.798999999999999</c:v>
                </c:pt>
                <c:pt idx="15">
                  <c:v>31.071999999999999</c:v>
                </c:pt>
                <c:pt idx="16">
                  <c:v>29.742000000000001</c:v>
                </c:pt>
                <c:pt idx="17">
                  <c:v>28.658000000000001</c:v>
                </c:pt>
                <c:pt idx="18">
                  <c:v>28.027000000000001</c:v>
                </c:pt>
                <c:pt idx="19">
                  <c:v>29.355</c:v>
                </c:pt>
                <c:pt idx="20">
                  <c:v>29.387</c:v>
                </c:pt>
                <c:pt idx="21">
                  <c:v>29.530999999999999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458-4255-91B6-8E09E66C2E48}"/>
            </c:ext>
          </c:extLst>
        </c:ser>
        <c:ser>
          <c:idx val="2"/>
          <c:order val="2"/>
          <c:tx>
            <c:strRef>
              <c:f>List14!$A$4</c:f>
              <c:strCache>
                <c:ptCount val="1"/>
                <c:pt idx="0">
                  <c:v>Společenské vědy, žurnalistika a informační vědy </c:v>
                </c:pt>
              </c:strCache>
            </c:strRef>
          </c:tx>
          <c:spPr>
            <a:ln w="28575" cap="rnd">
              <a:solidFill>
                <a:srgbClr val="99CC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8924162257495586E-2"/>
                  <c:y val="1.77151252973793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D458-4255-91B6-8E09E66C2E48}"/>
                </c:ext>
              </c:extLst>
            </c:dLbl>
            <c:dLbl>
              <c:idx val="9"/>
              <c:layout/>
              <c:dLblPos val="l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D458-4255-91B6-8E09E66C2E48}"/>
                </c:ext>
              </c:extLst>
            </c:dLbl>
            <c:dLbl>
              <c:idx val="21"/>
              <c:layout>
                <c:manualLayout>
                  <c:x val="-7.0360996542098908E-3"/>
                  <c:y val="2.310803004043905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D458-4255-91B6-8E09E66C2E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6F96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l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List14!$B$1:$W$1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List14!$B$4:$W$4</c:f>
              <c:numCache>
                <c:formatCode>#\ ##0.0</c:formatCode>
                <c:ptCount val="22"/>
                <c:pt idx="0">
                  <c:v>16.341000000000001</c:v>
                </c:pt>
                <c:pt idx="1">
                  <c:v>18.306000000000001</c:v>
                </c:pt>
                <c:pt idx="2">
                  <c:v>21.562999999999999</c:v>
                </c:pt>
                <c:pt idx="3">
                  <c:v>24.170999999999999</c:v>
                </c:pt>
                <c:pt idx="4">
                  <c:v>26.838000000000001</c:v>
                </c:pt>
                <c:pt idx="5">
                  <c:v>30.228999999999999</c:v>
                </c:pt>
                <c:pt idx="6">
                  <c:v>33.332000000000001</c:v>
                </c:pt>
                <c:pt idx="7">
                  <c:v>38.216999999999999</c:v>
                </c:pt>
                <c:pt idx="8">
                  <c:v>42.345999999999997</c:v>
                </c:pt>
                <c:pt idx="9">
                  <c:v>43.953000000000003</c:v>
                </c:pt>
                <c:pt idx="10">
                  <c:v>43.651000000000003</c:v>
                </c:pt>
                <c:pt idx="11">
                  <c:v>42.616999999999997</c:v>
                </c:pt>
                <c:pt idx="12">
                  <c:v>40.331000000000003</c:v>
                </c:pt>
                <c:pt idx="13">
                  <c:v>37.287999999999997</c:v>
                </c:pt>
                <c:pt idx="14">
                  <c:v>34.213999999999999</c:v>
                </c:pt>
                <c:pt idx="15">
                  <c:v>32.112000000000002</c:v>
                </c:pt>
                <c:pt idx="16">
                  <c:v>30.332999999999998</c:v>
                </c:pt>
                <c:pt idx="17">
                  <c:v>28.806999999999999</c:v>
                </c:pt>
                <c:pt idx="18">
                  <c:v>28.018000000000001</c:v>
                </c:pt>
                <c:pt idx="19">
                  <c:v>28.518999999999998</c:v>
                </c:pt>
                <c:pt idx="20">
                  <c:v>28.251999999999999</c:v>
                </c:pt>
                <c:pt idx="21">
                  <c:v>27.167999999999999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D458-4255-91B6-8E09E66C2E48}"/>
            </c:ext>
          </c:extLst>
        </c:ser>
        <c:ser>
          <c:idx val="3"/>
          <c:order val="3"/>
          <c:tx>
            <c:strRef>
              <c:f>List14!$A$5</c:f>
              <c:strCache>
                <c:ptCount val="1"/>
                <c:pt idx="0">
                  <c:v>Obchod, administrativa a právo 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D458-4255-91B6-8E09E66C2E48}"/>
                </c:ext>
              </c:extLst>
            </c:dLbl>
            <c:dLbl>
              <c:idx val="8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D458-4255-91B6-8E09E66C2E48}"/>
                </c:ext>
              </c:extLst>
            </c:dLbl>
            <c:dLbl>
              <c:idx val="17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D458-4255-91B6-8E09E66C2E48}"/>
                </c:ext>
              </c:extLst>
            </c:dLbl>
            <c:dLbl>
              <c:idx val="2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D458-4255-91B6-8E09E66C2E48}"/>
                </c:ext>
              </c:extLst>
            </c:dLbl>
            <c:dLbl>
              <c:idx val="21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D458-4255-91B6-8E09E66C2E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4D4D4D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List14!$B$1:$W$1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List14!$B$5:$W$5</c:f>
              <c:numCache>
                <c:formatCode>#\ ##0.0</c:formatCode>
                <c:ptCount val="22"/>
                <c:pt idx="0">
                  <c:v>39.634</c:v>
                </c:pt>
                <c:pt idx="1">
                  <c:v>43.253999999999998</c:v>
                </c:pt>
                <c:pt idx="2">
                  <c:v>47.911999999999999</c:v>
                </c:pt>
                <c:pt idx="3">
                  <c:v>53.128</c:v>
                </c:pt>
                <c:pt idx="4">
                  <c:v>59.646000000000001</c:v>
                </c:pt>
                <c:pt idx="5">
                  <c:v>67.381</c:v>
                </c:pt>
                <c:pt idx="6">
                  <c:v>78.403999999999996</c:v>
                </c:pt>
                <c:pt idx="7">
                  <c:v>86.548000000000002</c:v>
                </c:pt>
                <c:pt idx="8">
                  <c:v>93.567999999999998</c:v>
                </c:pt>
                <c:pt idx="9">
                  <c:v>93.222999999999999</c:v>
                </c:pt>
                <c:pt idx="10">
                  <c:v>90.188999999999993</c:v>
                </c:pt>
                <c:pt idx="11">
                  <c:v>84.525999999999996</c:v>
                </c:pt>
                <c:pt idx="12">
                  <c:v>79.037000000000006</c:v>
                </c:pt>
                <c:pt idx="13">
                  <c:v>71.802000000000007</c:v>
                </c:pt>
                <c:pt idx="14">
                  <c:v>67.356999999999999</c:v>
                </c:pt>
                <c:pt idx="15">
                  <c:v>63.481999999999999</c:v>
                </c:pt>
                <c:pt idx="16">
                  <c:v>60.378999999999998</c:v>
                </c:pt>
                <c:pt idx="17">
                  <c:v>58.334000000000003</c:v>
                </c:pt>
                <c:pt idx="18">
                  <c:v>58.886000000000003</c:v>
                </c:pt>
                <c:pt idx="19">
                  <c:v>60.676000000000002</c:v>
                </c:pt>
                <c:pt idx="20">
                  <c:v>62.564</c:v>
                </c:pt>
                <c:pt idx="21">
                  <c:v>61.680999999999997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D458-4255-91B6-8E09E66C2E48}"/>
            </c:ext>
          </c:extLst>
        </c:ser>
        <c:ser>
          <c:idx val="4"/>
          <c:order val="4"/>
          <c:tx>
            <c:strRef>
              <c:f>List14!$A$6</c:f>
              <c:strCache>
                <c:ptCount val="1"/>
                <c:pt idx="0">
                  <c:v>Přírodní vědy, matematika a statistika 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1746031746031758E-2"/>
                  <c:y val="-1.5245477330931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D458-4255-91B6-8E09E66C2E48}"/>
                </c:ext>
              </c:extLst>
            </c:dLbl>
            <c:dLbl>
              <c:idx val="12"/>
              <c:layout>
                <c:manualLayout>
                  <c:x val="-2.6728110599078342E-2"/>
                  <c:y val="-1.15325020992095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D458-4255-91B6-8E09E66C2E48}"/>
                </c:ext>
              </c:extLst>
            </c:dLbl>
            <c:dLbl>
              <c:idx val="17"/>
              <c:layout>
                <c:manualLayout>
                  <c:x val="-4.608294930875576E-3"/>
                  <c:y val="6.706908115358819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D458-4255-91B6-8E09E66C2E48}"/>
                </c:ext>
              </c:extLst>
            </c:dLbl>
            <c:dLbl>
              <c:idx val="21"/>
              <c:layout>
                <c:manualLayout>
                  <c:x val="-7.2110777819439234E-3"/>
                  <c:y val="2.0940350082139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D458-4255-91B6-8E09E66C2E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List14!$B$1:$W$1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List14!$B$6:$W$6</c:f>
              <c:numCache>
                <c:formatCode>#\ ##0.0</c:formatCode>
                <c:ptCount val="22"/>
                <c:pt idx="0">
                  <c:v>11.534000000000001</c:v>
                </c:pt>
                <c:pt idx="1">
                  <c:v>12.794</c:v>
                </c:pt>
                <c:pt idx="2">
                  <c:v>14.077999999999999</c:v>
                </c:pt>
                <c:pt idx="3">
                  <c:v>15.135999999999999</c:v>
                </c:pt>
                <c:pt idx="4">
                  <c:v>16.891999999999999</c:v>
                </c:pt>
                <c:pt idx="5">
                  <c:v>18.352</c:v>
                </c:pt>
                <c:pt idx="6">
                  <c:v>19.437000000000001</c:v>
                </c:pt>
                <c:pt idx="7">
                  <c:v>20.128</c:v>
                </c:pt>
                <c:pt idx="8">
                  <c:v>20.759</c:v>
                </c:pt>
                <c:pt idx="9">
                  <c:v>21.800999999999998</c:v>
                </c:pt>
                <c:pt idx="10">
                  <c:v>21.861000000000001</c:v>
                </c:pt>
                <c:pt idx="11">
                  <c:v>21.952999999999999</c:v>
                </c:pt>
                <c:pt idx="12">
                  <c:v>22.239000000000001</c:v>
                </c:pt>
                <c:pt idx="13">
                  <c:v>21.721</c:v>
                </c:pt>
                <c:pt idx="14">
                  <c:v>20.449000000000002</c:v>
                </c:pt>
                <c:pt idx="15">
                  <c:v>19.361999999999998</c:v>
                </c:pt>
                <c:pt idx="16">
                  <c:v>18.919</c:v>
                </c:pt>
                <c:pt idx="17">
                  <c:v>18.573</c:v>
                </c:pt>
                <c:pt idx="18">
                  <c:v>19.638000000000002</c:v>
                </c:pt>
                <c:pt idx="19">
                  <c:v>21.728999999999999</c:v>
                </c:pt>
                <c:pt idx="20">
                  <c:v>22.994</c:v>
                </c:pt>
                <c:pt idx="21">
                  <c:v>23.337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8-D458-4255-91B6-8E09E66C2E48}"/>
            </c:ext>
          </c:extLst>
        </c:ser>
        <c:ser>
          <c:idx val="5"/>
          <c:order val="5"/>
          <c:tx>
            <c:strRef>
              <c:f>List14!$A$7</c:f>
              <c:strCache>
                <c:ptCount val="1"/>
                <c:pt idx="0">
                  <c:v>Informační a komunikační technologie </c:v>
                </c:pt>
              </c:strCache>
            </c:strRef>
          </c:tx>
          <c:spPr>
            <a:ln w="28575" cap="rnd">
              <a:solidFill>
                <a:srgbClr val="CC99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l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D458-4255-91B6-8E09E66C2E48}"/>
                </c:ext>
              </c:extLst>
            </c:dLbl>
            <c:dLbl>
              <c:idx val="1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A-D458-4255-91B6-8E09E66C2E48}"/>
                </c:ext>
              </c:extLst>
            </c:dLbl>
            <c:dLbl>
              <c:idx val="16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D458-4255-91B6-8E09E66C2E48}"/>
                </c:ext>
              </c:extLst>
            </c:dLbl>
            <c:dLbl>
              <c:idx val="2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C-D458-4255-91B6-8E09E66C2E48}"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C99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List14!$B$1:$W$1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List14!$B$7:$W$7</c:f>
              <c:numCache>
                <c:formatCode>#\ ##0.0</c:formatCode>
                <c:ptCount val="22"/>
                <c:pt idx="0">
                  <c:v>7.5279999999999996</c:v>
                </c:pt>
                <c:pt idx="1">
                  <c:v>10.082000000000001</c:v>
                </c:pt>
                <c:pt idx="2">
                  <c:v>12.685</c:v>
                </c:pt>
                <c:pt idx="3">
                  <c:v>14.888999999999999</c:v>
                </c:pt>
                <c:pt idx="4">
                  <c:v>16.945</c:v>
                </c:pt>
                <c:pt idx="5">
                  <c:v>19.001000000000001</c:v>
                </c:pt>
                <c:pt idx="6">
                  <c:v>21.161999999999999</c:v>
                </c:pt>
                <c:pt idx="7">
                  <c:v>23.141999999999999</c:v>
                </c:pt>
                <c:pt idx="8">
                  <c:v>24.83</c:v>
                </c:pt>
                <c:pt idx="9">
                  <c:v>25.709</c:v>
                </c:pt>
                <c:pt idx="10">
                  <c:v>25.797000000000001</c:v>
                </c:pt>
                <c:pt idx="11">
                  <c:v>25.198</c:v>
                </c:pt>
                <c:pt idx="12">
                  <c:v>24.731000000000002</c:v>
                </c:pt>
                <c:pt idx="13">
                  <c:v>23.306000000000001</c:v>
                </c:pt>
                <c:pt idx="14">
                  <c:v>21.48</c:v>
                </c:pt>
                <c:pt idx="15">
                  <c:v>20.498999999999999</c:v>
                </c:pt>
                <c:pt idx="16">
                  <c:v>19.981999999999999</c:v>
                </c:pt>
                <c:pt idx="17">
                  <c:v>20.045000000000002</c:v>
                </c:pt>
                <c:pt idx="18">
                  <c:v>20.367999999999999</c:v>
                </c:pt>
                <c:pt idx="19">
                  <c:v>21.646999999999998</c:v>
                </c:pt>
                <c:pt idx="20">
                  <c:v>22.44</c:v>
                </c:pt>
                <c:pt idx="21">
                  <c:v>23.488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D458-4255-91B6-8E09E66C2E48}"/>
            </c:ext>
          </c:extLst>
        </c:ser>
        <c:ser>
          <c:idx val="6"/>
          <c:order val="6"/>
          <c:tx>
            <c:strRef>
              <c:f>List14!$A$8</c:f>
              <c:strCache>
                <c:ptCount val="1"/>
                <c:pt idx="0">
                  <c:v>Technika, výroba a stavebnictví </c:v>
                </c:pt>
              </c:strCache>
            </c:strRef>
          </c:tx>
          <c:spPr>
            <a:ln w="28575" cap="rnd">
              <a:solidFill>
                <a:srgbClr val="99663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E-D458-4255-91B6-8E09E66C2E48}"/>
                </c:ext>
              </c:extLst>
            </c:dLbl>
            <c:dLbl>
              <c:idx val="4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9DA-49B7-BEDB-E2258545B6A1}"/>
                </c:ext>
              </c:extLst>
            </c:dLbl>
            <c:dLbl>
              <c:idx val="8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D458-4255-91B6-8E09E66C2E48}"/>
                </c:ext>
              </c:extLst>
            </c:dLbl>
            <c:dLbl>
              <c:idx val="21"/>
              <c:layout>
                <c:manualLayout>
                  <c:x val="-1.2768022052798955E-2"/>
                  <c:y val="1.02660413665622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0-D458-4255-91B6-8E09E66C2E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996633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List14!$B$1:$W$1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List14!$B$8:$W$8</c:f>
              <c:numCache>
                <c:formatCode>#\ ##0.0</c:formatCode>
                <c:ptCount val="22"/>
                <c:pt idx="0">
                  <c:v>51.491</c:v>
                </c:pt>
                <c:pt idx="1">
                  <c:v>52.567</c:v>
                </c:pt>
                <c:pt idx="2">
                  <c:v>56.381999999999998</c:v>
                </c:pt>
                <c:pt idx="3">
                  <c:v>57.54</c:v>
                </c:pt>
                <c:pt idx="4">
                  <c:v>60.197000000000003</c:v>
                </c:pt>
                <c:pt idx="5">
                  <c:v>62.656999999999996</c:v>
                </c:pt>
                <c:pt idx="6">
                  <c:v>63.23</c:v>
                </c:pt>
                <c:pt idx="7">
                  <c:v>63.494999999999997</c:v>
                </c:pt>
                <c:pt idx="8">
                  <c:v>64.849999999999994</c:v>
                </c:pt>
                <c:pt idx="9">
                  <c:v>64.756</c:v>
                </c:pt>
                <c:pt idx="10">
                  <c:v>63.768000000000001</c:v>
                </c:pt>
                <c:pt idx="11">
                  <c:v>61.981999999999999</c:v>
                </c:pt>
                <c:pt idx="12">
                  <c:v>60.44</c:v>
                </c:pt>
                <c:pt idx="13">
                  <c:v>57.198</c:v>
                </c:pt>
                <c:pt idx="14">
                  <c:v>54.131</c:v>
                </c:pt>
                <c:pt idx="15">
                  <c:v>51.091000000000001</c:v>
                </c:pt>
                <c:pt idx="16">
                  <c:v>48.070999999999998</c:v>
                </c:pt>
                <c:pt idx="17">
                  <c:v>45.645000000000003</c:v>
                </c:pt>
                <c:pt idx="18">
                  <c:v>42.914000000000001</c:v>
                </c:pt>
                <c:pt idx="19">
                  <c:v>40.706000000000003</c:v>
                </c:pt>
                <c:pt idx="20">
                  <c:v>38.542999999999999</c:v>
                </c:pt>
                <c:pt idx="21">
                  <c:v>36.993000000000002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1-D458-4255-91B6-8E09E66C2E48}"/>
            </c:ext>
          </c:extLst>
        </c:ser>
        <c:ser>
          <c:idx val="7"/>
          <c:order val="7"/>
          <c:tx>
            <c:strRef>
              <c:f>List14!$A$9</c:f>
              <c:strCache>
                <c:ptCount val="1"/>
                <c:pt idx="0">
                  <c:v>Zemědělství, lesnictví, rybářství a veterinářství </c:v>
                </c:pt>
              </c:strCache>
            </c:strRef>
          </c:tx>
          <c:spPr>
            <a:ln w="28575" cap="rnd">
              <a:solidFill>
                <a:srgbClr val="60951F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547395117277008E-2"/>
                  <c:y val="-1.273301635094801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6F96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05070893916037E-2"/>
                      <c:h val="2.341265113525183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2-D458-4255-91B6-8E09E66C2E48}"/>
                </c:ext>
              </c:extLst>
            </c:dLbl>
            <c:dLbl>
              <c:idx val="11"/>
              <c:layout>
                <c:manualLayout>
                  <c:x val="-4.228308267022178E-2"/>
                  <c:y val="-1.83013274419834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3-D458-4255-91B6-8E09E66C2E48}"/>
                </c:ext>
              </c:extLst>
            </c:dLbl>
            <c:dLbl>
              <c:idx val="21"/>
              <c:layout>
                <c:manualLayout>
                  <c:x val="-2.4672783957560857E-2"/>
                  <c:y val="1.100412654745529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6BA42C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688816675693314E-2"/>
                      <c:h val="7.29312205988006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4-D458-4255-91B6-8E09E66C2E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6F96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List14!$B$1:$W$1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List14!$B$9:$W$9</c:f>
              <c:numCache>
                <c:formatCode>#\ ##0.0</c:formatCode>
                <c:ptCount val="22"/>
                <c:pt idx="0">
                  <c:v>7.8490000000000002</c:v>
                </c:pt>
                <c:pt idx="1">
                  <c:v>8.4550000000000001</c:v>
                </c:pt>
                <c:pt idx="2">
                  <c:v>9.3219999999999992</c:v>
                </c:pt>
                <c:pt idx="3">
                  <c:v>10.161</c:v>
                </c:pt>
                <c:pt idx="4">
                  <c:v>10.952999999999999</c:v>
                </c:pt>
                <c:pt idx="5">
                  <c:v>11.678000000000001</c:v>
                </c:pt>
                <c:pt idx="6">
                  <c:v>12.117000000000001</c:v>
                </c:pt>
                <c:pt idx="7">
                  <c:v>12.978999999999999</c:v>
                </c:pt>
                <c:pt idx="8">
                  <c:v>13.519</c:v>
                </c:pt>
                <c:pt idx="9">
                  <c:v>13.853</c:v>
                </c:pt>
                <c:pt idx="10">
                  <c:v>13.847</c:v>
                </c:pt>
                <c:pt idx="11">
                  <c:v>14.189</c:v>
                </c:pt>
                <c:pt idx="12">
                  <c:v>13.263</c:v>
                </c:pt>
                <c:pt idx="13">
                  <c:v>12.778</c:v>
                </c:pt>
                <c:pt idx="14">
                  <c:v>12.295</c:v>
                </c:pt>
                <c:pt idx="15">
                  <c:v>12.273999999999999</c:v>
                </c:pt>
                <c:pt idx="16">
                  <c:v>11.914999999999999</c:v>
                </c:pt>
                <c:pt idx="17">
                  <c:v>11.443</c:v>
                </c:pt>
                <c:pt idx="18">
                  <c:v>11.257999999999999</c:v>
                </c:pt>
                <c:pt idx="19">
                  <c:v>11.738</c:v>
                </c:pt>
                <c:pt idx="20">
                  <c:v>11.361000000000001</c:v>
                </c:pt>
                <c:pt idx="21">
                  <c:v>11.535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5-D458-4255-91B6-8E09E66C2E48}"/>
            </c:ext>
          </c:extLst>
        </c:ser>
        <c:ser>
          <c:idx val="8"/>
          <c:order val="8"/>
          <c:tx>
            <c:strRef>
              <c:f>List14!$A$10</c:f>
              <c:strCache>
                <c:ptCount val="1"/>
                <c:pt idx="0">
                  <c:v>Zdravotní a sociální péče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l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6-D458-4255-91B6-8E09E66C2E48}"/>
                </c:ext>
              </c:extLst>
            </c:dLbl>
            <c:dLbl>
              <c:idx val="12"/>
              <c:layout>
                <c:manualLayout>
                  <c:x val="-2.6728110599078342E-2"/>
                  <c:y val="-1.15325020992095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7-D458-4255-91B6-8E09E66C2E48}"/>
                </c:ext>
              </c:extLst>
            </c:dLbl>
            <c:dLbl>
              <c:idx val="17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8-D458-4255-91B6-8E09E66C2E48}"/>
                </c:ext>
              </c:extLst>
            </c:dLbl>
            <c:dLbl>
              <c:idx val="21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9-D458-4255-91B6-8E09E66C2E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l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List14!$B$1:$W$1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List14!$B$10:$W$10</c:f>
              <c:numCache>
                <c:formatCode>#\ ##0.0</c:formatCode>
                <c:ptCount val="22"/>
                <c:pt idx="0">
                  <c:v>17.73</c:v>
                </c:pt>
                <c:pt idx="1">
                  <c:v>19.510000000000002</c:v>
                </c:pt>
                <c:pt idx="2">
                  <c:v>21.443000000000001</c:v>
                </c:pt>
                <c:pt idx="3">
                  <c:v>23.768999999999998</c:v>
                </c:pt>
                <c:pt idx="4">
                  <c:v>25.928999999999998</c:v>
                </c:pt>
                <c:pt idx="5">
                  <c:v>28.721</c:v>
                </c:pt>
                <c:pt idx="6">
                  <c:v>30.582000000000001</c:v>
                </c:pt>
                <c:pt idx="7">
                  <c:v>32.460999999999999</c:v>
                </c:pt>
                <c:pt idx="8">
                  <c:v>33.865000000000002</c:v>
                </c:pt>
                <c:pt idx="9">
                  <c:v>35.219000000000001</c:v>
                </c:pt>
                <c:pt idx="10">
                  <c:v>36.225999999999999</c:v>
                </c:pt>
                <c:pt idx="11">
                  <c:v>36.411000000000001</c:v>
                </c:pt>
                <c:pt idx="12">
                  <c:v>36.613999999999997</c:v>
                </c:pt>
                <c:pt idx="13">
                  <c:v>35.807000000000002</c:v>
                </c:pt>
                <c:pt idx="14">
                  <c:v>35.756</c:v>
                </c:pt>
                <c:pt idx="15">
                  <c:v>35.697000000000003</c:v>
                </c:pt>
                <c:pt idx="16">
                  <c:v>35.49</c:v>
                </c:pt>
                <c:pt idx="17">
                  <c:v>34.807000000000002</c:v>
                </c:pt>
                <c:pt idx="18">
                  <c:v>35.823999999999998</c:v>
                </c:pt>
                <c:pt idx="19">
                  <c:v>37.698999999999998</c:v>
                </c:pt>
                <c:pt idx="20">
                  <c:v>39.365000000000002</c:v>
                </c:pt>
                <c:pt idx="21">
                  <c:v>40.253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A-D458-4255-91B6-8E09E66C2E48}"/>
            </c:ext>
          </c:extLst>
        </c:ser>
        <c:ser>
          <c:idx val="9"/>
          <c:order val="9"/>
          <c:tx>
            <c:strRef>
              <c:f>List14!$A$11</c:f>
              <c:strCache>
                <c:ptCount val="1"/>
                <c:pt idx="0">
                  <c:v>Služby </c:v>
                </c:pt>
              </c:strCache>
            </c:strRef>
          </c:tx>
          <c:spPr>
            <a:ln w="28575" cap="rnd">
              <a:solidFill>
                <a:srgbClr val="FF9999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742379424794124E-2"/>
                  <c:y val="1.63288581733038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FF212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B-D458-4255-91B6-8E09E66C2E48}"/>
                </c:ext>
              </c:extLst>
            </c:dLbl>
            <c:dLbl>
              <c:idx val="10"/>
              <c:layout>
                <c:manualLayout>
                  <c:x val="-4.2160181366218109E-2"/>
                  <c:y val="-1.844200230366887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FF212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C-D458-4255-91B6-8E09E66C2E48}"/>
                </c:ext>
              </c:extLst>
            </c:dLbl>
            <c:dLbl>
              <c:idx val="18"/>
              <c:layout>
                <c:manualLayout>
                  <c:x val="-2.6728110599078453E-2"/>
                  <c:y val="7.508462850594380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D-D458-4255-91B6-8E09E66C2E48}"/>
                </c:ext>
              </c:extLst>
            </c:dLbl>
            <c:dLbl>
              <c:idx val="21"/>
              <c:layout>
                <c:manualLayout>
                  <c:x val="-1.7351997666958296E-3"/>
                  <c:y val="-8.7928640515821532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FF212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E-D458-4255-91B6-8E09E66C2E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FF212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List14!$B$1:$W$1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List14!$B$11:$W$11</c:f>
              <c:numCache>
                <c:formatCode>#\ ##0.0</c:formatCode>
                <c:ptCount val="22"/>
                <c:pt idx="0">
                  <c:v>5.9489999999999998</c:v>
                </c:pt>
                <c:pt idx="1">
                  <c:v>7.6449999999999996</c:v>
                </c:pt>
                <c:pt idx="2">
                  <c:v>9.3879999999999999</c:v>
                </c:pt>
                <c:pt idx="3">
                  <c:v>11.07</c:v>
                </c:pt>
                <c:pt idx="4">
                  <c:v>12.932</c:v>
                </c:pt>
                <c:pt idx="5">
                  <c:v>15.032999999999999</c:v>
                </c:pt>
                <c:pt idx="6">
                  <c:v>17.448</c:v>
                </c:pt>
                <c:pt idx="7">
                  <c:v>19.457000000000001</c:v>
                </c:pt>
                <c:pt idx="8">
                  <c:v>20.867999999999999</c:v>
                </c:pt>
                <c:pt idx="9">
                  <c:v>21.992999999999999</c:v>
                </c:pt>
                <c:pt idx="10">
                  <c:v>22.178000000000001</c:v>
                </c:pt>
                <c:pt idx="11">
                  <c:v>21.878</c:v>
                </c:pt>
                <c:pt idx="12">
                  <c:v>21.753</c:v>
                </c:pt>
                <c:pt idx="13">
                  <c:v>20.393999999999998</c:v>
                </c:pt>
                <c:pt idx="14">
                  <c:v>18.936</c:v>
                </c:pt>
                <c:pt idx="15">
                  <c:v>17.798999999999999</c:v>
                </c:pt>
                <c:pt idx="16">
                  <c:v>16.867999999999999</c:v>
                </c:pt>
                <c:pt idx="17">
                  <c:v>16.085999999999999</c:v>
                </c:pt>
                <c:pt idx="18">
                  <c:v>14.791</c:v>
                </c:pt>
                <c:pt idx="19">
                  <c:v>16.402999999999999</c:v>
                </c:pt>
                <c:pt idx="20">
                  <c:v>16.538</c:v>
                </c:pt>
                <c:pt idx="21">
                  <c:v>16.960999999999999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F-D458-4255-91B6-8E09E66C2E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729824"/>
        <c:axId val="56726912"/>
      </c:lineChart>
      <c:catAx>
        <c:axId val="56729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6912"/>
        <c:crosses val="autoZero"/>
        <c:auto val="1"/>
        <c:lblAlgn val="ctr"/>
        <c:lblOffset val="100"/>
        <c:noMultiLvlLbl val="0"/>
      </c:catAx>
      <c:valAx>
        <c:axId val="56726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995014512074882E-3"/>
          <c:y val="0.88094876038584347"/>
          <c:w val="0.98598265494590942"/>
          <c:h val="0.113121994932609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722292777918897E-2"/>
          <c:y val="9.8362352593249769E-3"/>
          <c:w val="0.92885206938709208"/>
          <c:h val="0.81063724988921859"/>
        </c:manualLayout>
      </c:layout>
      <c:lineChart>
        <c:grouping val="standard"/>
        <c:varyColors val="0"/>
        <c:ser>
          <c:idx val="0"/>
          <c:order val="0"/>
          <c:tx>
            <c:strRef>
              <c:f>List8!$A$2</c:f>
              <c:strCache>
                <c:ptCount val="1"/>
                <c:pt idx="0">
                  <c:v>Vzdělávání a výchova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87D-4DD8-93E7-6563C65C3D36}"/>
                </c:ext>
              </c:extLst>
            </c:dLbl>
            <c:dLbl>
              <c:idx val="8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87D-4DD8-93E7-6563C65C3D36}"/>
                </c:ext>
              </c:extLst>
            </c:dLbl>
            <c:dLbl>
              <c:idx val="17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87D-4DD8-93E7-6563C65C3D36}"/>
                </c:ext>
              </c:extLst>
            </c:dLbl>
            <c:dLbl>
              <c:idx val="21"/>
              <c:layout>
                <c:manualLayout>
                  <c:x val="0"/>
                  <c:y val="-1.29870129870129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87D-4DD8-93E7-6563C65C3D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3F6DC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List8!$B$1:$W$1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List8!$B$2:$W$2</c:f>
              <c:numCache>
                <c:formatCode>#\ ##0.0</c:formatCode>
                <c:ptCount val="22"/>
                <c:pt idx="0">
                  <c:v>31.350999999999999</c:v>
                </c:pt>
                <c:pt idx="1">
                  <c:v>32.189</c:v>
                </c:pt>
                <c:pt idx="2">
                  <c:v>33.670999999999999</c:v>
                </c:pt>
                <c:pt idx="3">
                  <c:v>35.341999999999999</c:v>
                </c:pt>
                <c:pt idx="4">
                  <c:v>37.750999999999998</c:v>
                </c:pt>
                <c:pt idx="5">
                  <c:v>39.927</c:v>
                </c:pt>
                <c:pt idx="6">
                  <c:v>42.773000000000003</c:v>
                </c:pt>
                <c:pt idx="7">
                  <c:v>44.180999999999997</c:v>
                </c:pt>
                <c:pt idx="8">
                  <c:v>44.484999999999999</c:v>
                </c:pt>
                <c:pt idx="9">
                  <c:v>44.100999999999999</c:v>
                </c:pt>
                <c:pt idx="10">
                  <c:v>43.003999999999998</c:v>
                </c:pt>
                <c:pt idx="11">
                  <c:v>40.706000000000003</c:v>
                </c:pt>
                <c:pt idx="12">
                  <c:v>38.563000000000002</c:v>
                </c:pt>
                <c:pt idx="13">
                  <c:v>36.773000000000003</c:v>
                </c:pt>
                <c:pt idx="14">
                  <c:v>33.000999999999998</c:v>
                </c:pt>
                <c:pt idx="15">
                  <c:v>31.323</c:v>
                </c:pt>
                <c:pt idx="16">
                  <c:v>30.146999999999998</c:v>
                </c:pt>
                <c:pt idx="17">
                  <c:v>29.994</c:v>
                </c:pt>
                <c:pt idx="18">
                  <c:v>31.63</c:v>
                </c:pt>
                <c:pt idx="19">
                  <c:v>33.906999999999996</c:v>
                </c:pt>
                <c:pt idx="20">
                  <c:v>35.518000000000001</c:v>
                </c:pt>
                <c:pt idx="21">
                  <c:v>36.603000000000002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87D-4DD8-93E7-6563C65C3D36}"/>
            </c:ext>
          </c:extLst>
        </c:ser>
        <c:ser>
          <c:idx val="1"/>
          <c:order val="1"/>
          <c:tx>
            <c:strRef>
              <c:f>List8!$A$3</c:f>
              <c:strCache>
                <c:ptCount val="1"/>
                <c:pt idx="0">
                  <c:v>Umění a humanitní vědy </c:v>
                </c:pt>
              </c:strCache>
            </c:strRef>
          </c:tx>
          <c:spPr>
            <a:ln w="28575" cap="rnd">
              <a:solidFill>
                <a:srgbClr val="80008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87D-4DD8-93E7-6563C65C3D36}"/>
                </c:ext>
              </c:extLst>
            </c:dLbl>
            <c:dLbl>
              <c:idx val="1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87D-4DD8-93E7-6563C65C3D36}"/>
                </c:ext>
              </c:extLst>
            </c:dLbl>
            <c:dLbl>
              <c:idx val="18"/>
              <c:layout>
                <c:manualLayout>
                  <c:x val="-3.7785016286644948E-2"/>
                  <c:y val="-1.86092647509971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87D-4DD8-93E7-6563C65C3D36}"/>
                </c:ext>
              </c:extLst>
            </c:dLbl>
            <c:dLbl>
              <c:idx val="21"/>
              <c:layout>
                <c:manualLayout>
                  <c:x val="-1.8772816264416459E-3"/>
                  <c:y val="-1.2700834654260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087D-4DD8-93E7-6563C65C3D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80008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List8!$B$1:$W$1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List8!$B$3:$W$3</c:f>
              <c:numCache>
                <c:formatCode>#\ ##0.0</c:formatCode>
                <c:ptCount val="22"/>
                <c:pt idx="0">
                  <c:v>17.143000000000001</c:v>
                </c:pt>
                <c:pt idx="1">
                  <c:v>18.765999999999998</c:v>
                </c:pt>
                <c:pt idx="2">
                  <c:v>20.649000000000001</c:v>
                </c:pt>
                <c:pt idx="3">
                  <c:v>22.341000000000001</c:v>
                </c:pt>
                <c:pt idx="4">
                  <c:v>24.01</c:v>
                </c:pt>
                <c:pt idx="5">
                  <c:v>26.356999999999999</c:v>
                </c:pt>
                <c:pt idx="6">
                  <c:v>28.812999999999999</c:v>
                </c:pt>
                <c:pt idx="7">
                  <c:v>31.236000000000001</c:v>
                </c:pt>
                <c:pt idx="8">
                  <c:v>33.22</c:v>
                </c:pt>
                <c:pt idx="9">
                  <c:v>33.78</c:v>
                </c:pt>
                <c:pt idx="10">
                  <c:v>33.795999999999999</c:v>
                </c:pt>
                <c:pt idx="11">
                  <c:v>33.04</c:v>
                </c:pt>
                <c:pt idx="12">
                  <c:v>31.846</c:v>
                </c:pt>
                <c:pt idx="13">
                  <c:v>30.224</c:v>
                </c:pt>
                <c:pt idx="14">
                  <c:v>28.798999999999999</c:v>
                </c:pt>
                <c:pt idx="15">
                  <c:v>27.010999999999999</c:v>
                </c:pt>
                <c:pt idx="16">
                  <c:v>25.663</c:v>
                </c:pt>
                <c:pt idx="17">
                  <c:v>24.538</c:v>
                </c:pt>
                <c:pt idx="18">
                  <c:v>23.751999999999999</c:v>
                </c:pt>
                <c:pt idx="19">
                  <c:v>24.667000000000002</c:v>
                </c:pt>
                <c:pt idx="20">
                  <c:v>24.425000000000001</c:v>
                </c:pt>
                <c:pt idx="21">
                  <c:v>24.213000000000001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87D-4DD8-93E7-6563C65C3D36}"/>
            </c:ext>
          </c:extLst>
        </c:ser>
        <c:ser>
          <c:idx val="2"/>
          <c:order val="2"/>
          <c:tx>
            <c:strRef>
              <c:f>List8!$A$4</c:f>
              <c:strCache>
                <c:ptCount val="1"/>
                <c:pt idx="0">
                  <c:v>Společenské vědy, žurnalistika a informační vědy </c:v>
                </c:pt>
              </c:strCache>
            </c:strRef>
          </c:tx>
          <c:spPr>
            <a:ln w="28575" cap="rnd">
              <a:solidFill>
                <a:srgbClr val="99CC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6719576719576715E-2"/>
                  <c:y val="3.850226200789296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087D-4DD8-93E7-6563C65C3D36}"/>
                </c:ext>
              </c:extLst>
            </c:dLbl>
            <c:dLbl>
              <c:idx val="9"/>
              <c:layout>
                <c:manualLayout>
                  <c:x val="-3.9956568946796958E-2"/>
                  <c:y val="-1.8761550059924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087D-4DD8-93E7-6563C65C3D36}"/>
                </c:ext>
              </c:extLst>
            </c:dLbl>
            <c:dLbl>
              <c:idx val="21"/>
              <c:layout>
                <c:manualLayout>
                  <c:x val="-4.8680397035061172E-4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087D-4DD8-93E7-6563C65C3D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6F96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l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List8!$B$1:$W$1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List8!$B$4:$W$4</c:f>
              <c:numCache>
                <c:formatCode>#\ ##0.0</c:formatCode>
                <c:ptCount val="22"/>
                <c:pt idx="0">
                  <c:v>15.598000000000001</c:v>
                </c:pt>
                <c:pt idx="1">
                  <c:v>17.297000000000001</c:v>
                </c:pt>
                <c:pt idx="2">
                  <c:v>20.312000000000001</c:v>
                </c:pt>
                <c:pt idx="3">
                  <c:v>22.64</c:v>
                </c:pt>
                <c:pt idx="4">
                  <c:v>24.995999999999999</c:v>
                </c:pt>
                <c:pt idx="5">
                  <c:v>28.073</c:v>
                </c:pt>
                <c:pt idx="6">
                  <c:v>30.843</c:v>
                </c:pt>
                <c:pt idx="7">
                  <c:v>35.551000000000002</c:v>
                </c:pt>
                <c:pt idx="8">
                  <c:v>39.078000000000003</c:v>
                </c:pt>
                <c:pt idx="9">
                  <c:v>40.155999999999999</c:v>
                </c:pt>
                <c:pt idx="10">
                  <c:v>39.460999999999999</c:v>
                </c:pt>
                <c:pt idx="11">
                  <c:v>38.145000000000003</c:v>
                </c:pt>
                <c:pt idx="12">
                  <c:v>35.674999999999997</c:v>
                </c:pt>
                <c:pt idx="13">
                  <c:v>32.692</c:v>
                </c:pt>
                <c:pt idx="14">
                  <c:v>29.648</c:v>
                </c:pt>
                <c:pt idx="15">
                  <c:v>27.562000000000001</c:v>
                </c:pt>
                <c:pt idx="16">
                  <c:v>25.751999999999999</c:v>
                </c:pt>
                <c:pt idx="17">
                  <c:v>24.062999999999999</c:v>
                </c:pt>
                <c:pt idx="18">
                  <c:v>23.050999999999998</c:v>
                </c:pt>
                <c:pt idx="19">
                  <c:v>23.161000000000001</c:v>
                </c:pt>
                <c:pt idx="20">
                  <c:v>22.77</c:v>
                </c:pt>
                <c:pt idx="21">
                  <c:v>21.31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87D-4DD8-93E7-6563C65C3D36}"/>
            </c:ext>
          </c:extLst>
        </c:ser>
        <c:ser>
          <c:idx val="3"/>
          <c:order val="3"/>
          <c:tx>
            <c:strRef>
              <c:f>List8!$A$5</c:f>
              <c:strCache>
                <c:ptCount val="1"/>
                <c:pt idx="0">
                  <c:v>Obchod, administrativa a právo 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087D-4DD8-93E7-6563C65C3D36}"/>
                </c:ext>
              </c:extLst>
            </c:dLbl>
            <c:dLbl>
              <c:idx val="8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087D-4DD8-93E7-6563C65C3D36}"/>
                </c:ext>
              </c:extLst>
            </c:dLbl>
            <c:dLbl>
              <c:idx val="17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087D-4DD8-93E7-6563C65C3D36}"/>
                </c:ext>
              </c:extLst>
            </c:dLbl>
            <c:dLbl>
              <c:idx val="2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087D-4DD8-93E7-6563C65C3D36}"/>
                </c:ext>
              </c:extLst>
            </c:dLbl>
            <c:dLbl>
              <c:idx val="21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087D-4DD8-93E7-6563C65C3D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4D4D4D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List8!$B$1:$W$1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List8!$B$5:$W$5</c:f>
              <c:numCache>
                <c:formatCode>#\ ##0.0</c:formatCode>
                <c:ptCount val="22"/>
                <c:pt idx="0">
                  <c:v>37.746000000000002</c:v>
                </c:pt>
                <c:pt idx="1">
                  <c:v>40.728000000000002</c:v>
                </c:pt>
                <c:pt idx="2">
                  <c:v>44.752000000000002</c:v>
                </c:pt>
                <c:pt idx="3">
                  <c:v>48.755000000000003</c:v>
                </c:pt>
                <c:pt idx="4">
                  <c:v>53.853000000000002</c:v>
                </c:pt>
                <c:pt idx="5">
                  <c:v>60.481000000000002</c:v>
                </c:pt>
                <c:pt idx="6">
                  <c:v>70.385999999999996</c:v>
                </c:pt>
                <c:pt idx="7">
                  <c:v>77.251999999999995</c:v>
                </c:pt>
                <c:pt idx="8">
                  <c:v>82.819000000000003</c:v>
                </c:pt>
                <c:pt idx="9">
                  <c:v>82.096999999999994</c:v>
                </c:pt>
                <c:pt idx="10">
                  <c:v>79.033000000000001</c:v>
                </c:pt>
                <c:pt idx="11">
                  <c:v>73.963999999999999</c:v>
                </c:pt>
                <c:pt idx="12">
                  <c:v>69.075000000000003</c:v>
                </c:pt>
                <c:pt idx="13">
                  <c:v>62.530999999999999</c:v>
                </c:pt>
                <c:pt idx="14">
                  <c:v>58.308999999999997</c:v>
                </c:pt>
                <c:pt idx="15">
                  <c:v>54.412999999999997</c:v>
                </c:pt>
                <c:pt idx="16">
                  <c:v>51.393999999999998</c:v>
                </c:pt>
                <c:pt idx="17">
                  <c:v>49.256</c:v>
                </c:pt>
                <c:pt idx="18">
                  <c:v>49.249000000000002</c:v>
                </c:pt>
                <c:pt idx="19">
                  <c:v>50.274000000000001</c:v>
                </c:pt>
                <c:pt idx="20">
                  <c:v>51.648000000000003</c:v>
                </c:pt>
                <c:pt idx="21">
                  <c:v>49.924999999999997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087D-4DD8-93E7-6563C65C3D36}"/>
            </c:ext>
          </c:extLst>
        </c:ser>
        <c:ser>
          <c:idx val="4"/>
          <c:order val="4"/>
          <c:tx>
            <c:strRef>
              <c:f>List8!$A$6</c:f>
              <c:strCache>
                <c:ptCount val="1"/>
                <c:pt idx="0">
                  <c:v>Přírodní vědy, matematika a statistika 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6872964169381108E-2"/>
                  <c:y val="8.2063136603337423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087D-4DD8-93E7-6563C65C3D36}"/>
                </c:ext>
              </c:extLst>
            </c:dLbl>
            <c:dLbl>
              <c:idx val="12"/>
              <c:layout>
                <c:manualLayout>
                  <c:x val="-3.3242709482161632E-2"/>
                  <c:y val="1.6080852319495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087D-4DD8-93E7-6563C65C3D36}"/>
                </c:ext>
              </c:extLst>
            </c:dLbl>
            <c:dLbl>
              <c:idx val="17"/>
              <c:layout>
                <c:manualLayout>
                  <c:x val="-3.2838492908256176E-2"/>
                  <c:y val="-1.6961824125503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087D-4DD8-93E7-6563C65C3D36}"/>
                </c:ext>
              </c:extLst>
            </c:dLbl>
            <c:dLbl>
              <c:idx val="21"/>
              <c:layout>
                <c:manualLayout>
                  <c:x val="-9.9378457171680904E-4"/>
                  <c:y val="-5.56318074919541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087D-4DD8-93E7-6563C65C3D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List8!$B$1:$W$1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List8!$B$6:$W$6</c:f>
              <c:numCache>
                <c:formatCode>#\ ##0.0</c:formatCode>
                <c:ptCount val="22"/>
                <c:pt idx="0">
                  <c:v>10.945</c:v>
                </c:pt>
                <c:pt idx="1">
                  <c:v>12.057</c:v>
                </c:pt>
                <c:pt idx="2">
                  <c:v>13.28</c:v>
                </c:pt>
                <c:pt idx="3">
                  <c:v>14.157</c:v>
                </c:pt>
                <c:pt idx="4">
                  <c:v>15.711</c:v>
                </c:pt>
                <c:pt idx="5">
                  <c:v>17.001999999999999</c:v>
                </c:pt>
                <c:pt idx="6">
                  <c:v>17.844999999999999</c:v>
                </c:pt>
                <c:pt idx="7">
                  <c:v>18.414999999999999</c:v>
                </c:pt>
                <c:pt idx="8">
                  <c:v>18.863</c:v>
                </c:pt>
                <c:pt idx="9">
                  <c:v>19.564</c:v>
                </c:pt>
                <c:pt idx="10">
                  <c:v>19.510000000000002</c:v>
                </c:pt>
                <c:pt idx="11">
                  <c:v>19.379000000000001</c:v>
                </c:pt>
                <c:pt idx="12">
                  <c:v>19.427</c:v>
                </c:pt>
                <c:pt idx="13">
                  <c:v>18.765999999999998</c:v>
                </c:pt>
                <c:pt idx="14">
                  <c:v>17.420000000000002</c:v>
                </c:pt>
                <c:pt idx="15">
                  <c:v>16.251000000000001</c:v>
                </c:pt>
                <c:pt idx="16">
                  <c:v>15.728</c:v>
                </c:pt>
                <c:pt idx="17">
                  <c:v>15.132999999999999</c:v>
                </c:pt>
                <c:pt idx="18">
                  <c:v>15.881</c:v>
                </c:pt>
                <c:pt idx="19">
                  <c:v>17.193000000000001</c:v>
                </c:pt>
                <c:pt idx="20">
                  <c:v>17.943999999999999</c:v>
                </c:pt>
                <c:pt idx="21">
                  <c:v>18.077999999999999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8-087D-4DD8-93E7-6563C65C3D36}"/>
            </c:ext>
          </c:extLst>
        </c:ser>
        <c:ser>
          <c:idx val="5"/>
          <c:order val="5"/>
          <c:tx>
            <c:strRef>
              <c:f>List8!$A$7</c:f>
              <c:strCache>
                <c:ptCount val="1"/>
                <c:pt idx="0">
                  <c:v>Informační a komunikační technologie </c:v>
                </c:pt>
              </c:strCache>
            </c:strRef>
          </c:tx>
          <c:spPr>
            <a:ln w="28575" cap="rnd">
              <a:solidFill>
                <a:srgbClr val="CC99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5048859934853422E-2"/>
                  <c:y val="3.944773175542261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087D-4DD8-93E7-6563C65C3D36}"/>
                </c:ext>
              </c:extLst>
            </c:dLbl>
            <c:dLbl>
              <c:idx val="10"/>
              <c:layout>
                <c:manualLayout>
                  <c:x val="-3.9956568946797041E-2"/>
                  <c:y val="-3.18548397489594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A-087D-4DD8-93E7-6563C65C3D36}"/>
                </c:ext>
              </c:extLst>
            </c:dLbl>
            <c:dLbl>
              <c:idx val="16"/>
              <c:layout>
                <c:manualLayout>
                  <c:x val="-4.4299674267100977E-2"/>
                  <c:y val="1.91749681044369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087D-4DD8-93E7-6563C65C3D36}"/>
                </c:ext>
              </c:extLst>
            </c:dLbl>
            <c:dLbl>
              <c:idx val="21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99663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C-087D-4DD8-93E7-6563C65C3D36}"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996633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List8!$B$1:$W$1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List8!$B$7:$W$7</c:f>
              <c:numCache>
                <c:formatCode>#\ ##0.0</c:formatCode>
                <c:ptCount val="22"/>
                <c:pt idx="0">
                  <c:v>7.1619999999999999</c:v>
                </c:pt>
                <c:pt idx="1">
                  <c:v>9.4710000000000001</c:v>
                </c:pt>
                <c:pt idx="2">
                  <c:v>11.932</c:v>
                </c:pt>
                <c:pt idx="3">
                  <c:v>13.787000000000001</c:v>
                </c:pt>
                <c:pt idx="4">
                  <c:v>15.492000000000001</c:v>
                </c:pt>
                <c:pt idx="5">
                  <c:v>17.158999999999999</c:v>
                </c:pt>
                <c:pt idx="6">
                  <c:v>18.995000000000001</c:v>
                </c:pt>
                <c:pt idx="7">
                  <c:v>20.594999999999999</c:v>
                </c:pt>
                <c:pt idx="8">
                  <c:v>21.890999999999998</c:v>
                </c:pt>
                <c:pt idx="9">
                  <c:v>22.451000000000001</c:v>
                </c:pt>
                <c:pt idx="10">
                  <c:v>22.314</c:v>
                </c:pt>
                <c:pt idx="11">
                  <c:v>21.492999999999999</c:v>
                </c:pt>
                <c:pt idx="12">
                  <c:v>20.847000000000001</c:v>
                </c:pt>
                <c:pt idx="13">
                  <c:v>19.140999999999998</c:v>
                </c:pt>
                <c:pt idx="14">
                  <c:v>17.056000000000001</c:v>
                </c:pt>
                <c:pt idx="15">
                  <c:v>15.827999999999999</c:v>
                </c:pt>
                <c:pt idx="16">
                  <c:v>15.13</c:v>
                </c:pt>
                <c:pt idx="17">
                  <c:v>14.845000000000001</c:v>
                </c:pt>
                <c:pt idx="18">
                  <c:v>14.91</c:v>
                </c:pt>
                <c:pt idx="19">
                  <c:v>15.361000000000001</c:v>
                </c:pt>
                <c:pt idx="20">
                  <c:v>15.545999999999999</c:v>
                </c:pt>
                <c:pt idx="21">
                  <c:v>15.887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087D-4DD8-93E7-6563C65C3D36}"/>
            </c:ext>
          </c:extLst>
        </c:ser>
        <c:ser>
          <c:idx val="6"/>
          <c:order val="6"/>
          <c:tx>
            <c:strRef>
              <c:f>List8!$A$8</c:f>
              <c:strCache>
                <c:ptCount val="1"/>
                <c:pt idx="0">
                  <c:v>Technika, výroba a stavebnictví </c:v>
                </c:pt>
              </c:strCache>
            </c:strRef>
          </c:tx>
          <c:spPr>
            <a:ln w="28575" cap="rnd">
              <a:solidFill>
                <a:srgbClr val="99663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E-087D-4DD8-93E7-6563C65C3D36}"/>
                </c:ext>
              </c:extLst>
            </c:dLbl>
            <c:dLbl>
              <c:idx val="8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087D-4DD8-93E7-6563C65C3D36}"/>
                </c:ext>
              </c:extLst>
            </c:dLbl>
            <c:dLbl>
              <c:idx val="21"/>
              <c:layout>
                <c:manualLayout>
                  <c:x val="-6.2533877076440363E-3"/>
                  <c:y val="-1.59205467565326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0-087D-4DD8-93E7-6563C65C3D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996633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List8!$B$1:$W$1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List8!$B$8:$W$8</c:f>
              <c:numCache>
                <c:formatCode>#\ ##0.0</c:formatCode>
                <c:ptCount val="22"/>
                <c:pt idx="0">
                  <c:v>50.134</c:v>
                </c:pt>
                <c:pt idx="1">
                  <c:v>50.933</c:v>
                </c:pt>
                <c:pt idx="2">
                  <c:v>54.518999999999998</c:v>
                </c:pt>
                <c:pt idx="3">
                  <c:v>55.063000000000002</c:v>
                </c:pt>
                <c:pt idx="4">
                  <c:v>57.304000000000002</c:v>
                </c:pt>
                <c:pt idx="5">
                  <c:v>59.597999999999999</c:v>
                </c:pt>
                <c:pt idx="6">
                  <c:v>59.87</c:v>
                </c:pt>
                <c:pt idx="7">
                  <c:v>59.881</c:v>
                </c:pt>
                <c:pt idx="8">
                  <c:v>60.83</c:v>
                </c:pt>
                <c:pt idx="9">
                  <c:v>60.325000000000003</c:v>
                </c:pt>
                <c:pt idx="10">
                  <c:v>59.18</c:v>
                </c:pt>
                <c:pt idx="11">
                  <c:v>57.026000000000003</c:v>
                </c:pt>
                <c:pt idx="12">
                  <c:v>55.005000000000003</c:v>
                </c:pt>
                <c:pt idx="13">
                  <c:v>51.423999999999999</c:v>
                </c:pt>
                <c:pt idx="14">
                  <c:v>47.945999999999998</c:v>
                </c:pt>
                <c:pt idx="15">
                  <c:v>44.651000000000003</c:v>
                </c:pt>
                <c:pt idx="16">
                  <c:v>41.710999999999999</c:v>
                </c:pt>
                <c:pt idx="17">
                  <c:v>39.273000000000003</c:v>
                </c:pt>
                <c:pt idx="18">
                  <c:v>36.75</c:v>
                </c:pt>
                <c:pt idx="19">
                  <c:v>34.771000000000001</c:v>
                </c:pt>
                <c:pt idx="20">
                  <c:v>32.813000000000002</c:v>
                </c:pt>
                <c:pt idx="21">
                  <c:v>31.193999999999999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1-087D-4DD8-93E7-6563C65C3D36}"/>
            </c:ext>
          </c:extLst>
        </c:ser>
        <c:ser>
          <c:idx val="7"/>
          <c:order val="7"/>
          <c:tx>
            <c:strRef>
              <c:f>List8!$A$9</c:f>
              <c:strCache>
                <c:ptCount val="1"/>
                <c:pt idx="0">
                  <c:v>Zemědělství, lesnictví, rybářství a veterinářství </c:v>
                </c:pt>
              </c:strCache>
            </c:strRef>
          </c:tx>
          <c:spPr>
            <a:ln w="28575" cap="rnd">
              <a:solidFill>
                <a:srgbClr val="60951F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547395117277008E-2"/>
                  <c:y val="-1.273301635094801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6F96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05070893916037E-2"/>
                      <c:h val="2.341265113525183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2-087D-4DD8-93E7-6563C65C3D36}"/>
                </c:ext>
              </c:extLst>
            </c:dLbl>
            <c:dLbl>
              <c:idx val="11"/>
              <c:layout>
                <c:manualLayout>
                  <c:x val="-3.5537202800789966E-2"/>
                  <c:y val="-1.30733576469881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3-087D-4DD8-93E7-6563C65C3D36}"/>
                </c:ext>
              </c:extLst>
            </c:dLbl>
            <c:dLbl>
              <c:idx val="21"/>
              <c:layout>
                <c:manualLayout>
                  <c:x val="-5.1287970111227954E-3"/>
                  <c:y val="-8.706693987310585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6BA42C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99733258098438E-2"/>
                      <c:h val="4.67445906413907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4-087D-4DD8-93E7-6563C65C3D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6F96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List8!$B$1:$W$1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List8!$B$9:$W$9</c:f>
              <c:numCache>
                <c:formatCode>#\ ##0.0</c:formatCode>
                <c:ptCount val="22"/>
                <c:pt idx="0">
                  <c:v>7.5819999999999999</c:v>
                </c:pt>
                <c:pt idx="1">
                  <c:v>8.1690000000000005</c:v>
                </c:pt>
                <c:pt idx="2">
                  <c:v>9.0139999999999993</c:v>
                </c:pt>
                <c:pt idx="3">
                  <c:v>9.7469999999999999</c:v>
                </c:pt>
                <c:pt idx="4">
                  <c:v>10.436</c:v>
                </c:pt>
                <c:pt idx="5">
                  <c:v>11.119</c:v>
                </c:pt>
                <c:pt idx="6">
                  <c:v>11.478999999999999</c:v>
                </c:pt>
                <c:pt idx="7">
                  <c:v>12.321999999999999</c:v>
                </c:pt>
                <c:pt idx="8">
                  <c:v>12.791</c:v>
                </c:pt>
                <c:pt idx="9">
                  <c:v>13.052</c:v>
                </c:pt>
                <c:pt idx="10">
                  <c:v>13.007</c:v>
                </c:pt>
                <c:pt idx="11">
                  <c:v>13.24</c:v>
                </c:pt>
                <c:pt idx="12">
                  <c:v>12.256</c:v>
                </c:pt>
                <c:pt idx="13">
                  <c:v>11.653</c:v>
                </c:pt>
                <c:pt idx="14">
                  <c:v>11.010999999999999</c:v>
                </c:pt>
                <c:pt idx="15">
                  <c:v>10.82</c:v>
                </c:pt>
                <c:pt idx="16">
                  <c:v>10.365</c:v>
                </c:pt>
                <c:pt idx="17">
                  <c:v>9.8859999999999992</c:v>
                </c:pt>
                <c:pt idx="18">
                  <c:v>9.673</c:v>
                </c:pt>
                <c:pt idx="19">
                  <c:v>9.984</c:v>
                </c:pt>
                <c:pt idx="20">
                  <c:v>9.7530000000000001</c:v>
                </c:pt>
                <c:pt idx="21">
                  <c:v>9.7780000000000005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5-087D-4DD8-93E7-6563C65C3D36}"/>
            </c:ext>
          </c:extLst>
        </c:ser>
        <c:ser>
          <c:idx val="8"/>
          <c:order val="8"/>
          <c:tx>
            <c:strRef>
              <c:f>List8!$A$10</c:f>
              <c:strCache>
                <c:ptCount val="1"/>
                <c:pt idx="0">
                  <c:v>Zdravotní a sociální péče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7.5570032573289897E-2"/>
                  <c:y val="2.0387359836901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6-087D-4DD8-93E7-6563C65C3D36}"/>
                </c:ext>
              </c:extLst>
            </c:dLbl>
            <c:dLbl>
              <c:idx val="12"/>
              <c:layout>
                <c:manualLayout>
                  <c:x val="-3.1071156822009626E-2"/>
                  <c:y val="2.0934996761768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7-087D-4DD8-93E7-6563C65C3D36}"/>
                </c:ext>
              </c:extLst>
            </c:dLbl>
            <c:dLbl>
              <c:idx val="17"/>
              <c:layout>
                <c:manualLayout>
                  <c:x val="-3.7785016286644948E-2"/>
                  <c:y val="-1.64447625864948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8-087D-4DD8-93E7-6563C65C3D36}"/>
                </c:ext>
              </c:extLst>
            </c:dLbl>
            <c:dLbl>
              <c:idx val="21"/>
              <c:layout>
                <c:manualLayout>
                  <c:x val="-3.6651363205006541E-3"/>
                  <c:y val="1.3971674162660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9-087D-4DD8-93E7-6563C65C3D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l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List8!$B$1:$W$1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List8!$B$10:$W$10</c:f>
              <c:numCache>
                <c:formatCode>#\ ##0.0</c:formatCode>
                <c:ptCount val="22"/>
                <c:pt idx="0">
                  <c:v>15.396000000000001</c:v>
                </c:pt>
                <c:pt idx="1">
                  <c:v>16.823</c:v>
                </c:pt>
                <c:pt idx="2">
                  <c:v>18.579999999999998</c:v>
                </c:pt>
                <c:pt idx="3">
                  <c:v>20.359000000000002</c:v>
                </c:pt>
                <c:pt idx="4">
                  <c:v>21.95</c:v>
                </c:pt>
                <c:pt idx="5">
                  <c:v>24.227</c:v>
                </c:pt>
                <c:pt idx="6">
                  <c:v>25.821000000000002</c:v>
                </c:pt>
                <c:pt idx="7">
                  <c:v>27.526</c:v>
                </c:pt>
                <c:pt idx="8">
                  <c:v>28.483000000000001</c:v>
                </c:pt>
                <c:pt idx="9">
                  <c:v>29.556999999999999</c:v>
                </c:pt>
                <c:pt idx="10">
                  <c:v>30.18</c:v>
                </c:pt>
                <c:pt idx="11">
                  <c:v>30.006</c:v>
                </c:pt>
                <c:pt idx="12">
                  <c:v>29.888000000000002</c:v>
                </c:pt>
                <c:pt idx="13">
                  <c:v>28.73</c:v>
                </c:pt>
                <c:pt idx="14">
                  <c:v>28.254000000000001</c:v>
                </c:pt>
                <c:pt idx="15">
                  <c:v>27.588000000000001</c:v>
                </c:pt>
                <c:pt idx="16">
                  <c:v>27.483000000000001</c:v>
                </c:pt>
                <c:pt idx="17">
                  <c:v>26.701000000000001</c:v>
                </c:pt>
                <c:pt idx="18">
                  <c:v>27.481000000000002</c:v>
                </c:pt>
                <c:pt idx="19">
                  <c:v>28.956</c:v>
                </c:pt>
                <c:pt idx="20">
                  <c:v>30.425000000000001</c:v>
                </c:pt>
                <c:pt idx="21">
                  <c:v>31.100999999999999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A-087D-4DD8-93E7-6563C65C3D36}"/>
            </c:ext>
          </c:extLst>
        </c:ser>
        <c:ser>
          <c:idx val="9"/>
          <c:order val="9"/>
          <c:tx>
            <c:strRef>
              <c:f>List8!$A$11</c:f>
              <c:strCache>
                <c:ptCount val="1"/>
                <c:pt idx="0">
                  <c:v>Služby </c:v>
                </c:pt>
              </c:strCache>
            </c:strRef>
          </c:tx>
          <c:spPr>
            <a:ln w="28575" cap="rnd">
              <a:solidFill>
                <a:srgbClr val="FF9999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3310335393743536E-2"/>
                  <c:y val="1.5897006327564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B-087D-4DD8-93E7-6563C65C3D36}"/>
                </c:ext>
              </c:extLst>
            </c:dLbl>
            <c:dLbl>
              <c:idx val="1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C-087D-4DD8-93E7-6563C65C3D36}"/>
                </c:ext>
              </c:extLst>
            </c:dLbl>
            <c:dLbl>
              <c:idx val="18"/>
              <c:layout>
                <c:manualLayout>
                  <c:x val="-3.7585814802465652E-2"/>
                  <c:y val="1.40551825457169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D-087D-4DD8-93E7-6563C65C3D36}"/>
                </c:ext>
              </c:extLst>
            </c:dLbl>
            <c:dLbl>
              <c:idx val="21"/>
              <c:layout>
                <c:manualLayout>
                  <c:x val="-1.8013627775355441E-3"/>
                  <c:y val="1.737242128121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E-087D-4DD8-93E7-6563C65C3D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FF2994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List8!$B$1:$W$1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List8!$B$11:$W$11</c:f>
              <c:numCache>
                <c:formatCode>#\ ##0.0</c:formatCode>
                <c:ptCount val="22"/>
                <c:pt idx="0">
                  <c:v>5.8529999999999998</c:v>
                </c:pt>
                <c:pt idx="1">
                  <c:v>7.4640000000000004</c:v>
                </c:pt>
                <c:pt idx="2">
                  <c:v>9.1349999999999998</c:v>
                </c:pt>
                <c:pt idx="3">
                  <c:v>10.734999999999999</c:v>
                </c:pt>
                <c:pt idx="4">
                  <c:v>12.523</c:v>
                </c:pt>
                <c:pt idx="5">
                  <c:v>14.417999999999999</c:v>
                </c:pt>
                <c:pt idx="6">
                  <c:v>16.606999999999999</c:v>
                </c:pt>
                <c:pt idx="7">
                  <c:v>18.411999999999999</c:v>
                </c:pt>
                <c:pt idx="8">
                  <c:v>19.678999999999998</c:v>
                </c:pt>
                <c:pt idx="9">
                  <c:v>20.626999999999999</c:v>
                </c:pt>
                <c:pt idx="10">
                  <c:v>20.725999999999999</c:v>
                </c:pt>
                <c:pt idx="11">
                  <c:v>20.334</c:v>
                </c:pt>
                <c:pt idx="12">
                  <c:v>20.152999999999999</c:v>
                </c:pt>
                <c:pt idx="13">
                  <c:v>18.783000000000001</c:v>
                </c:pt>
                <c:pt idx="14">
                  <c:v>17.315000000000001</c:v>
                </c:pt>
                <c:pt idx="15">
                  <c:v>16.189</c:v>
                </c:pt>
                <c:pt idx="16">
                  <c:v>15.236000000000001</c:v>
                </c:pt>
                <c:pt idx="17">
                  <c:v>14.489000000000001</c:v>
                </c:pt>
                <c:pt idx="18">
                  <c:v>13.117000000000001</c:v>
                </c:pt>
                <c:pt idx="19">
                  <c:v>14.638999999999999</c:v>
                </c:pt>
                <c:pt idx="20">
                  <c:v>14.862</c:v>
                </c:pt>
                <c:pt idx="21">
                  <c:v>15.276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F-087D-4DD8-93E7-6563C65C3D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729824"/>
        <c:axId val="56726912"/>
      </c:lineChart>
      <c:catAx>
        <c:axId val="56729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6912"/>
        <c:crosses val="autoZero"/>
        <c:auto val="1"/>
        <c:lblAlgn val="ctr"/>
        <c:lblOffset val="100"/>
        <c:noMultiLvlLbl val="0"/>
      </c:catAx>
      <c:valAx>
        <c:axId val="56726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995014512074882E-3"/>
          <c:y val="0.88094876038584347"/>
          <c:w val="0.98598265494590942"/>
          <c:h val="0.106189611648862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508369088594462E-2"/>
          <c:y val="1.7336485421591805E-2"/>
          <c:w val="0.89628813759391202"/>
          <c:h val="0.82440696685963899"/>
        </c:manualLayout>
      </c:layout>
      <c:lineChart>
        <c:grouping val="standard"/>
        <c:varyColors val="0"/>
        <c:ser>
          <c:idx val="0"/>
          <c:order val="0"/>
          <c:tx>
            <c:strRef>
              <c:f>List2!$A$21</c:f>
              <c:strCache>
                <c:ptCount val="1"/>
                <c:pt idx="0">
                  <c:v>Praha</c:v>
                </c:pt>
              </c:strCache>
            </c:strRef>
          </c:tx>
          <c:spPr>
            <a:ln w="28575" cap="rnd">
              <a:solidFill>
                <a:srgbClr val="FFCC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930-488B-90A8-489C7BED332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DB-44ED-BC75-4FC5FEB679C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DB-44ED-BC75-4FC5FEB679CF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DB-44ED-BC75-4FC5FEB679CF}"/>
                </c:ext>
              </c:extLst>
            </c:dLbl>
            <c:dLbl>
              <c:idx val="6"/>
              <c:layout>
                <c:manualLayout>
                  <c:x val="-5.2568428946381703E-2"/>
                  <c:y val="-1.22195099557066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2DB-44ED-BC75-4FC5FEB679CF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DB-44ED-BC75-4FC5FEB679CF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2DB-44ED-BC75-4FC5FEB679CF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2DB-44ED-BC75-4FC5FEB679CF}"/>
                </c:ext>
              </c:extLst>
            </c:dLbl>
            <c:dLbl>
              <c:idx val="10"/>
              <c:layout>
                <c:manualLayout>
                  <c:x val="-4.3750086794706218E-2"/>
                  <c:y val="-1.06111464655579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930-488B-90A8-489C7BED332A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2DB-44ED-BC75-4FC5FEB679CF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2DB-44ED-BC75-4FC5FEB679CF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2DB-44ED-BC75-4FC5FEB679CF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2DB-44ED-BC75-4FC5FEB679CF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2DB-44ED-BC75-4FC5FEB679CF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2DB-44ED-BC75-4FC5FEB679CF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2DB-44ED-BC75-4FC5FEB679CF}"/>
                </c:ext>
              </c:extLst>
            </c:dLbl>
            <c:dLbl>
              <c:idx val="18"/>
              <c:layout>
                <c:manualLayout>
                  <c:x val="-4.5954672332625249E-2"/>
                  <c:y val="-9.002782975409134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52DB-44ED-BC75-4FC5FEB679CF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2DB-44ED-BC75-4FC5FEB679CF}"/>
                </c:ext>
              </c:extLst>
            </c:dLbl>
            <c:dLbl>
              <c:idx val="20"/>
              <c:layout>
                <c:manualLayout>
                  <c:x val="-4.3750086794706218E-2"/>
                  <c:y val="-1.06111464655579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52DB-44ED-BC75-4FC5FEB679CF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2DB-44ED-BC75-4FC5FEB679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FFCC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List2!$B$21:$W$21</c:f>
              <c:numCache>
                <c:formatCode>0.0</c:formatCode>
                <c:ptCount val="22"/>
                <c:pt idx="0">
                  <c:v>13.5955002672113</c:v>
                </c:pt>
                <c:pt idx="1">
                  <c:v>14.709413139854469</c:v>
                </c:pt>
                <c:pt idx="2">
                  <c:v>15.882608649554165</c:v>
                </c:pt>
                <c:pt idx="3">
                  <c:v>16.21888134497252</c:v>
                </c:pt>
                <c:pt idx="4">
                  <c:v>18.095181433184234</c:v>
                </c:pt>
                <c:pt idx="5">
                  <c:v>18.736748437276852</c:v>
                </c:pt>
                <c:pt idx="6">
                  <c:v>20.039892247570421</c:v>
                </c:pt>
                <c:pt idx="7">
                  <c:v>20.219664598140476</c:v>
                </c:pt>
                <c:pt idx="8">
                  <c:v>20.708763026340048</c:v>
                </c:pt>
                <c:pt idx="9">
                  <c:v>20.990395395975899</c:v>
                </c:pt>
                <c:pt idx="10">
                  <c:v>22.226748539763367</c:v>
                </c:pt>
                <c:pt idx="11">
                  <c:v>21.885018297280233</c:v>
                </c:pt>
                <c:pt idx="12">
                  <c:v>22.048870024090856</c:v>
                </c:pt>
                <c:pt idx="13">
                  <c:v>20.910610882658627</c:v>
                </c:pt>
                <c:pt idx="14">
                  <c:v>20.246339236321706</c:v>
                </c:pt>
                <c:pt idx="15">
                  <c:v>19.39979076780012</c:v>
                </c:pt>
                <c:pt idx="16">
                  <c:v>18.805988936830843</c:v>
                </c:pt>
                <c:pt idx="17">
                  <c:v>18.230108741501219</c:v>
                </c:pt>
                <c:pt idx="18">
                  <c:v>18.077225359492346</c:v>
                </c:pt>
                <c:pt idx="19">
                  <c:v>18.889693708609272</c:v>
                </c:pt>
                <c:pt idx="20">
                  <c:v>20.331060740901247</c:v>
                </c:pt>
                <c:pt idx="21">
                  <c:v>18.40001682864235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930-488B-90A8-489C7BED332A}"/>
            </c:ext>
          </c:extLst>
        </c:ser>
        <c:ser>
          <c:idx val="1"/>
          <c:order val="1"/>
          <c:tx>
            <c:strRef>
              <c:f>List2!$A$22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930-488B-90A8-489C7BED332A}"/>
                </c:ext>
              </c:extLst>
            </c:dLbl>
            <c:dLbl>
              <c:idx val="11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7-52DB-44ED-BC75-4FC5FEB679CF}"/>
                </c:ext>
              </c:extLst>
            </c:dLbl>
            <c:dLbl>
              <c:idx val="17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8-52DB-44ED-BC75-4FC5FEB679CF}"/>
                </c:ext>
              </c:extLst>
            </c:dLbl>
            <c:dLbl>
              <c:idx val="21"/>
              <c:layout>
                <c:manualLayout>
                  <c:x val="-5.0431196100487437E-3"/>
                  <c:y val="-2.569329014814070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930-488B-90A8-489C7BED332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FF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List2!$B$22:$W$22</c:f>
              <c:numCache>
                <c:formatCode>0.0</c:formatCode>
                <c:ptCount val="22"/>
                <c:pt idx="0">
                  <c:v>6.2185454781087328</c:v>
                </c:pt>
                <c:pt idx="1">
                  <c:v>7.1253619559774437</c:v>
                </c:pt>
                <c:pt idx="2">
                  <c:v>8.0874516105874115</c:v>
                </c:pt>
                <c:pt idx="3">
                  <c:v>9.1296464188576607</c:v>
                </c:pt>
                <c:pt idx="4">
                  <c:v>10.953513064352322</c:v>
                </c:pt>
                <c:pt idx="5">
                  <c:v>12.176284039179432</c:v>
                </c:pt>
                <c:pt idx="6">
                  <c:v>13.758855274491536</c:v>
                </c:pt>
                <c:pt idx="7">
                  <c:v>14.855956245795676</c:v>
                </c:pt>
                <c:pt idx="8">
                  <c:v>15.981762481451343</c:v>
                </c:pt>
                <c:pt idx="9">
                  <c:v>16.714636417506139</c:v>
                </c:pt>
                <c:pt idx="10">
                  <c:v>17.610172012095372</c:v>
                </c:pt>
                <c:pt idx="11">
                  <c:v>17.808640812070504</c:v>
                </c:pt>
                <c:pt idx="12">
                  <c:v>17.785130475095738</c:v>
                </c:pt>
                <c:pt idx="13">
                  <c:v>17.331156166371841</c:v>
                </c:pt>
                <c:pt idx="14">
                  <c:v>16.730810064762714</c:v>
                </c:pt>
                <c:pt idx="15">
                  <c:v>16.349242067794531</c:v>
                </c:pt>
                <c:pt idx="16">
                  <c:v>16.185558401068924</c:v>
                </c:pt>
                <c:pt idx="17">
                  <c:v>15.859146345784525</c:v>
                </c:pt>
                <c:pt idx="18">
                  <c:v>16.084482983251061</c:v>
                </c:pt>
                <c:pt idx="19">
                  <c:v>17.256397509997846</c:v>
                </c:pt>
                <c:pt idx="20">
                  <c:v>18.699392906756309</c:v>
                </c:pt>
                <c:pt idx="21">
                  <c:v>18.731752368468094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930-488B-90A8-489C7BED332A}"/>
            </c:ext>
          </c:extLst>
        </c:ser>
        <c:ser>
          <c:idx val="2"/>
          <c:order val="2"/>
          <c:tx>
            <c:strRef>
              <c:f>List2!$A$23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layout>
                <c:manualLayout>
                  <c:x val="-4.219663514282937E-2"/>
                  <c:y val="1.1614030755202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930-488B-90A8-489C7BED332A}"/>
                </c:ext>
              </c:extLst>
            </c:dLbl>
            <c:dLbl>
              <c:idx val="2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930-488B-90A8-489C7BED33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B05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List2!$B$23:$W$23</c:f>
              <c:numCache>
                <c:formatCode>0.0</c:formatCode>
                <c:ptCount val="22"/>
                <c:pt idx="0">
                  <c:v>8.1513519761874953</c:v>
                </c:pt>
                <c:pt idx="1">
                  <c:v>9.1607881294089033</c:v>
                </c:pt>
                <c:pt idx="2">
                  <c:v>10.404905780392779</c:v>
                </c:pt>
                <c:pt idx="3">
                  <c:v>11.679414290973046</c:v>
                </c:pt>
                <c:pt idx="4">
                  <c:v>13.679225514437784</c:v>
                </c:pt>
                <c:pt idx="5">
                  <c:v>14.856885186059996</c:v>
                </c:pt>
                <c:pt idx="6">
                  <c:v>16.752566014562682</c:v>
                </c:pt>
                <c:pt idx="7">
                  <c:v>18.358088581221857</c:v>
                </c:pt>
                <c:pt idx="8">
                  <c:v>19.755272902914182</c:v>
                </c:pt>
                <c:pt idx="9">
                  <c:v>20.709320768800151</c:v>
                </c:pt>
                <c:pt idx="10">
                  <c:v>21.778916983075614</c:v>
                </c:pt>
                <c:pt idx="11">
                  <c:v>21.836774397509789</c:v>
                </c:pt>
                <c:pt idx="12">
                  <c:v>21.57603811446651</c:v>
                </c:pt>
                <c:pt idx="13">
                  <c:v>20.866116950966198</c:v>
                </c:pt>
                <c:pt idx="14">
                  <c:v>19.918641441208756</c:v>
                </c:pt>
                <c:pt idx="15">
                  <c:v>19.494589654298256</c:v>
                </c:pt>
                <c:pt idx="16">
                  <c:v>18.804134466239312</c:v>
                </c:pt>
                <c:pt idx="17">
                  <c:v>18.539286068278042</c:v>
                </c:pt>
                <c:pt idx="18">
                  <c:v>18.837587951386869</c:v>
                </c:pt>
                <c:pt idx="19">
                  <c:v>19.533655297313611</c:v>
                </c:pt>
                <c:pt idx="20">
                  <c:v>20.3220363039947</c:v>
                </c:pt>
                <c:pt idx="21">
                  <c:v>19.81615642284023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930-488B-90A8-489C7BED332A}"/>
            </c:ext>
          </c:extLst>
        </c:ser>
        <c:ser>
          <c:idx val="3"/>
          <c:order val="3"/>
          <c:tx>
            <c:strRef>
              <c:f>List2!$A$24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6152737852212918E-2"/>
                  <c:y val="1.1170036907340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930-488B-90A8-489C7BED332A}"/>
                </c:ext>
              </c:extLst>
            </c:dLbl>
            <c:dLbl>
              <c:idx val="2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930-488B-90A8-489C7BED33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92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List2!$B$24:$W$24</c:f>
              <c:numCache>
                <c:formatCode>0.0</c:formatCode>
                <c:ptCount val="22"/>
                <c:pt idx="0">
                  <c:v>8.1746697883995232</c:v>
                </c:pt>
                <c:pt idx="1">
                  <c:v>9.0127794812112523</c:v>
                </c:pt>
                <c:pt idx="2">
                  <c:v>10.029323505585158</c:v>
                </c:pt>
                <c:pt idx="3">
                  <c:v>11.031146627461673</c:v>
                </c:pt>
                <c:pt idx="4">
                  <c:v>12.134910867684509</c:v>
                </c:pt>
                <c:pt idx="5">
                  <c:v>12.830287401427665</c:v>
                </c:pt>
                <c:pt idx="6">
                  <c:v>13.969640466030109</c:v>
                </c:pt>
                <c:pt idx="7">
                  <c:v>14.794123476365078</c:v>
                </c:pt>
                <c:pt idx="8">
                  <c:v>15.500718735026354</c:v>
                </c:pt>
                <c:pt idx="9">
                  <c:v>15.907799586776861</c:v>
                </c:pt>
                <c:pt idx="10">
                  <c:v>16.779390227666092</c:v>
                </c:pt>
                <c:pt idx="11">
                  <c:v>16.772835314091679</c:v>
                </c:pt>
                <c:pt idx="12">
                  <c:v>16.386879452206085</c:v>
                </c:pt>
                <c:pt idx="13">
                  <c:v>15.64595124842976</c:v>
                </c:pt>
                <c:pt idx="14">
                  <c:v>15.188436176252237</c:v>
                </c:pt>
                <c:pt idx="15">
                  <c:v>14.816876824460563</c:v>
                </c:pt>
                <c:pt idx="16">
                  <c:v>14.703877026063781</c:v>
                </c:pt>
                <c:pt idx="17">
                  <c:v>14.197648252036386</c:v>
                </c:pt>
                <c:pt idx="18">
                  <c:v>14.31960493189594</c:v>
                </c:pt>
                <c:pt idx="19">
                  <c:v>15.058968345060467</c:v>
                </c:pt>
                <c:pt idx="20">
                  <c:v>16.197428481828634</c:v>
                </c:pt>
                <c:pt idx="21">
                  <c:v>15.522378286350392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930-488B-90A8-489C7BED332A}"/>
            </c:ext>
          </c:extLst>
        </c:ser>
        <c:ser>
          <c:idx val="4"/>
          <c:order val="4"/>
          <c:tx>
            <c:strRef>
              <c:f>List2!$A$25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FF99FF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52DB-44ED-BC75-4FC5FEB679C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2DB-44ED-BC75-4FC5FEB679C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2DB-44ED-BC75-4FC5FEB679C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52DB-44ED-BC75-4FC5FEB679CF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2DB-44ED-BC75-4FC5FEB679CF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52DB-44ED-BC75-4FC5FEB679CF}"/>
                </c:ext>
              </c:extLst>
            </c:dLbl>
            <c:dLbl>
              <c:idx val="6"/>
              <c:layout>
                <c:manualLayout>
                  <c:x val="-2.2679803913399754E-2"/>
                  <c:y val="1.54363635787987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C-52DB-44ED-BC75-4FC5FEB679CF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52DB-44ED-BC75-4FC5FEB679CF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52DB-44ED-BC75-4FC5FEB679CF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52DB-44ED-BC75-4FC5FEB679CF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52DB-44ED-BC75-4FC5FEB679CF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52DB-44ED-BC75-4FC5FEB679CF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52DB-44ED-BC75-4FC5FEB679CF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52DB-44ED-BC75-4FC5FEB679CF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52DB-44ED-BC75-4FC5FEB679CF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52DB-44ED-BC75-4FC5FEB679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FF66FF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List2!$B$25:$W$25</c:f>
              <c:numCache>
                <c:formatCode>0.0</c:formatCode>
                <c:ptCount val="22"/>
                <c:pt idx="0">
                  <c:v>6.0326639056028757</c:v>
                </c:pt>
                <c:pt idx="1">
                  <c:v>6.7855727308759413</c:v>
                </c:pt>
                <c:pt idx="2">
                  <c:v>7.4932351325507112</c:v>
                </c:pt>
                <c:pt idx="3">
                  <c:v>8.0332933980704961</c:v>
                </c:pt>
                <c:pt idx="4">
                  <c:v>9.1758301578660859</c:v>
                </c:pt>
                <c:pt idx="5">
                  <c:v>9.9042462750011193</c:v>
                </c:pt>
                <c:pt idx="6">
                  <c:v>10.787778473651247</c:v>
                </c:pt>
                <c:pt idx="7">
                  <c:v>11.893484419263455</c:v>
                </c:pt>
                <c:pt idx="8">
                  <c:v>12.734091120842262</c:v>
                </c:pt>
                <c:pt idx="9">
                  <c:v>12.840476078468269</c:v>
                </c:pt>
                <c:pt idx="10">
                  <c:v>13.519117320366302</c:v>
                </c:pt>
                <c:pt idx="11">
                  <c:v>13.53402415349318</c:v>
                </c:pt>
                <c:pt idx="12">
                  <c:v>13.395974532758267</c:v>
                </c:pt>
                <c:pt idx="13">
                  <c:v>13.031452505136714</c:v>
                </c:pt>
                <c:pt idx="14">
                  <c:v>12.405778033604694</c:v>
                </c:pt>
                <c:pt idx="15">
                  <c:v>12.023703873350319</c:v>
                </c:pt>
                <c:pt idx="16">
                  <c:v>11.765583504908543</c:v>
                </c:pt>
                <c:pt idx="17">
                  <c:v>11.810100012347204</c:v>
                </c:pt>
                <c:pt idx="18">
                  <c:v>12.111890800730558</c:v>
                </c:pt>
                <c:pt idx="19">
                  <c:v>12.934446403033226</c:v>
                </c:pt>
                <c:pt idx="20">
                  <c:v>13.491620111731844</c:v>
                </c:pt>
                <c:pt idx="21">
                  <c:v>13.14434735487367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7930-488B-90A8-489C7BED332A}"/>
            </c:ext>
          </c:extLst>
        </c:ser>
        <c:ser>
          <c:idx val="5"/>
          <c:order val="5"/>
          <c:tx>
            <c:strRef>
              <c:f>List2!$A$26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4-52DB-44ED-BC75-4FC5FEB679CF}"/>
                </c:ext>
              </c:extLst>
            </c:dLbl>
            <c:dLbl>
              <c:idx val="16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5-52DB-44ED-BC75-4FC5FEB679CF}"/>
                </c:ext>
              </c:extLst>
            </c:dLbl>
            <c:dLbl>
              <c:idx val="17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6-52DB-44ED-BC75-4FC5FEB679CF}"/>
                </c:ext>
              </c:extLst>
            </c:dLbl>
            <c:dLbl>
              <c:idx val="21"/>
              <c:layout>
                <c:manualLayout>
                  <c:x val="-1.1709778233963298E-16"/>
                  <c:y val="-1.260835303388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7930-488B-90A8-489C7BED33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List2!$B$26:$W$26</c:f>
              <c:numCache>
                <c:formatCode>0.0</c:formatCode>
                <c:ptCount val="22"/>
                <c:pt idx="0">
                  <c:v>6.207295806055062</c:v>
                </c:pt>
                <c:pt idx="1">
                  <c:v>7.0363697127330314</c:v>
                </c:pt>
                <c:pt idx="2">
                  <c:v>7.8568031861142487</c:v>
                </c:pt>
                <c:pt idx="3">
                  <c:v>8.7461157431621697</c:v>
                </c:pt>
                <c:pt idx="4">
                  <c:v>10.051534093620271</c:v>
                </c:pt>
                <c:pt idx="5">
                  <c:v>11.270562663636813</c:v>
                </c:pt>
                <c:pt idx="6">
                  <c:v>12.147993677747159</c:v>
                </c:pt>
                <c:pt idx="7">
                  <c:v>12.876641124096649</c:v>
                </c:pt>
                <c:pt idx="8">
                  <c:v>13.716512168361398</c:v>
                </c:pt>
                <c:pt idx="9">
                  <c:v>14.120720593927025</c:v>
                </c:pt>
                <c:pt idx="10">
                  <c:v>14.502910084333056</c:v>
                </c:pt>
                <c:pt idx="11">
                  <c:v>14.317017009581818</c:v>
                </c:pt>
                <c:pt idx="12">
                  <c:v>14.135668628389602</c:v>
                </c:pt>
                <c:pt idx="13">
                  <c:v>13.588258977357695</c:v>
                </c:pt>
                <c:pt idx="14">
                  <c:v>12.979161306920503</c:v>
                </c:pt>
                <c:pt idx="15">
                  <c:v>12.481392889774046</c:v>
                </c:pt>
                <c:pt idx="16">
                  <c:v>12.210734151416077</c:v>
                </c:pt>
                <c:pt idx="17">
                  <c:v>12.219216489425785</c:v>
                </c:pt>
                <c:pt idx="18">
                  <c:v>12.412744877279893</c:v>
                </c:pt>
                <c:pt idx="19">
                  <c:v>13.207898225457591</c:v>
                </c:pt>
                <c:pt idx="20">
                  <c:v>13.911683777985187</c:v>
                </c:pt>
                <c:pt idx="21">
                  <c:v>14.168957037465644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7930-488B-90A8-489C7BED332A}"/>
            </c:ext>
          </c:extLst>
        </c:ser>
        <c:ser>
          <c:idx val="6"/>
          <c:order val="6"/>
          <c:tx>
            <c:strRef>
              <c:f>List2!$A$27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5390159563387919E-2"/>
                  <c:y val="1.2608411095142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7930-488B-90A8-489C7BED332A}"/>
                </c:ext>
              </c:extLst>
            </c:dLbl>
            <c:dLbl>
              <c:idx val="21"/>
              <c:layout>
                <c:manualLayout>
                  <c:x val="0"/>
                  <c:y val="-9.45626477541376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7930-488B-90A8-489C7BED332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29A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List2!$B$27:$W$27</c:f>
              <c:numCache>
                <c:formatCode>0.0</c:formatCode>
                <c:ptCount val="22"/>
                <c:pt idx="0">
                  <c:v>7.5148010463995591</c:v>
                </c:pt>
                <c:pt idx="1">
                  <c:v>8.4788413415162669</c:v>
                </c:pt>
                <c:pt idx="2">
                  <c:v>8.976393714522656</c:v>
                </c:pt>
                <c:pt idx="3">
                  <c:v>9.9455751882502046</c:v>
                </c:pt>
                <c:pt idx="4">
                  <c:v>11.129143382071499</c:v>
                </c:pt>
                <c:pt idx="5">
                  <c:v>12.09991332440312</c:v>
                </c:pt>
                <c:pt idx="6">
                  <c:v>13.313128090604561</c:v>
                </c:pt>
                <c:pt idx="7">
                  <c:v>14.680634366361122</c:v>
                </c:pt>
                <c:pt idx="8">
                  <c:v>15.645719940623454</c:v>
                </c:pt>
                <c:pt idx="9">
                  <c:v>16.394620332470137</c:v>
                </c:pt>
                <c:pt idx="10">
                  <c:v>16.734145374980621</c:v>
                </c:pt>
                <c:pt idx="11">
                  <c:v>16.656172386049604</c:v>
                </c:pt>
                <c:pt idx="12">
                  <c:v>16.446423186760558</c:v>
                </c:pt>
                <c:pt idx="13">
                  <c:v>15.854411978485244</c:v>
                </c:pt>
                <c:pt idx="14">
                  <c:v>15.018383382169054</c:v>
                </c:pt>
                <c:pt idx="15">
                  <c:v>14.425423175207024</c:v>
                </c:pt>
                <c:pt idx="16">
                  <c:v>14.230623968831374</c:v>
                </c:pt>
                <c:pt idx="17">
                  <c:v>13.939468252508533</c:v>
                </c:pt>
                <c:pt idx="18">
                  <c:v>14.186422526930265</c:v>
                </c:pt>
                <c:pt idx="19">
                  <c:v>15.059155541083252</c:v>
                </c:pt>
                <c:pt idx="20">
                  <c:v>15.891184106558301</c:v>
                </c:pt>
                <c:pt idx="21">
                  <c:v>15.919262441818832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7930-488B-90A8-489C7BED332A}"/>
            </c:ext>
          </c:extLst>
        </c:ser>
        <c:ser>
          <c:idx val="7"/>
          <c:order val="7"/>
          <c:tx>
            <c:strRef>
              <c:f>List2!$A$28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1E01C9"/>
              </a:solidFill>
              <a:round/>
            </a:ln>
            <a:effectLst/>
          </c:spPr>
          <c:marker>
            <c:symbol val="none"/>
          </c:marker>
          <c:dLbls>
            <c:dLbl>
              <c:idx val="21"/>
              <c:layout>
                <c:manualLayout>
                  <c:x val="-3.1936127744510976E-3"/>
                  <c:y val="-4.7281323877068843E-3"/>
                </c:manualLayout>
              </c:layout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1E01C9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7930-488B-90A8-489C7BED332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1E01C9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List2!$B$28:$W$28</c:f>
              <c:numCache>
                <c:formatCode>0.0</c:formatCode>
                <c:ptCount val="22"/>
                <c:pt idx="0">
                  <c:v>8.336467620965065</c:v>
                </c:pt>
                <c:pt idx="1">
                  <c:v>9.28222134787252</c:v>
                </c:pt>
                <c:pt idx="2">
                  <c:v>10.588344040301335</c:v>
                </c:pt>
                <c:pt idx="3">
                  <c:v>11.736169195841798</c:v>
                </c:pt>
                <c:pt idx="4">
                  <c:v>13.402995301487863</c:v>
                </c:pt>
                <c:pt idx="5">
                  <c:v>14.737385306667003</c:v>
                </c:pt>
                <c:pt idx="6">
                  <c:v>16.445347148127677</c:v>
                </c:pt>
                <c:pt idx="7">
                  <c:v>17.61704366123093</c:v>
                </c:pt>
                <c:pt idx="8">
                  <c:v>19.065581721183381</c:v>
                </c:pt>
                <c:pt idx="9">
                  <c:v>19.755567403518846</c:v>
                </c:pt>
                <c:pt idx="10">
                  <c:v>20.299187082716429</c:v>
                </c:pt>
                <c:pt idx="11">
                  <c:v>20.289485971390974</c:v>
                </c:pt>
                <c:pt idx="12">
                  <c:v>20.119539043687652</c:v>
                </c:pt>
                <c:pt idx="13">
                  <c:v>19.261074347424177</c:v>
                </c:pt>
                <c:pt idx="14">
                  <c:v>18.378402917543092</c:v>
                </c:pt>
                <c:pt idx="15">
                  <c:v>17.726846057571965</c:v>
                </c:pt>
                <c:pt idx="16">
                  <c:v>17.436853268204896</c:v>
                </c:pt>
                <c:pt idx="17">
                  <c:v>17.335829922616782</c:v>
                </c:pt>
                <c:pt idx="18">
                  <c:v>17.515056653850081</c:v>
                </c:pt>
                <c:pt idx="19">
                  <c:v>18.359889675526588</c:v>
                </c:pt>
                <c:pt idx="20">
                  <c:v>19.180231055992323</c:v>
                </c:pt>
                <c:pt idx="21">
                  <c:v>18.981904587826723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7930-488B-90A8-489C7BED332A}"/>
            </c:ext>
          </c:extLst>
        </c:ser>
        <c:ser>
          <c:idx val="8"/>
          <c:order val="8"/>
          <c:tx>
            <c:strRef>
              <c:f>List2!$A$29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2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7930-488B-90A8-489C7BED332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List2!$B$29:$W$29</c:f>
              <c:numCache>
                <c:formatCode>0.0</c:formatCode>
                <c:ptCount val="22"/>
                <c:pt idx="0">
                  <c:v>8.4377229610395688</c:v>
                </c:pt>
                <c:pt idx="1">
                  <c:v>9.3005899495344373</c:v>
                </c:pt>
                <c:pt idx="2">
                  <c:v>10.310701675076668</c:v>
                </c:pt>
                <c:pt idx="3">
                  <c:v>11.604207758053912</c:v>
                </c:pt>
                <c:pt idx="4">
                  <c:v>13.376675830260707</c:v>
                </c:pt>
                <c:pt idx="5">
                  <c:v>14.592343424635592</c:v>
                </c:pt>
                <c:pt idx="6">
                  <c:v>16.202229838655054</c:v>
                </c:pt>
                <c:pt idx="7">
                  <c:v>17.303386127799016</c:v>
                </c:pt>
                <c:pt idx="8">
                  <c:v>18.615992600689481</c:v>
                </c:pt>
                <c:pt idx="9">
                  <c:v>19.228416575387286</c:v>
                </c:pt>
                <c:pt idx="10">
                  <c:v>19.621119459490941</c:v>
                </c:pt>
                <c:pt idx="11">
                  <c:v>19.769665235041479</c:v>
                </c:pt>
                <c:pt idx="12">
                  <c:v>19.656825637143577</c:v>
                </c:pt>
                <c:pt idx="13">
                  <c:v>18.934830437751309</c:v>
                </c:pt>
                <c:pt idx="14">
                  <c:v>17.851045500822305</c:v>
                </c:pt>
                <c:pt idx="15">
                  <c:v>16.928283642224013</c:v>
                </c:pt>
                <c:pt idx="16">
                  <c:v>16.36015135742494</c:v>
                </c:pt>
                <c:pt idx="17">
                  <c:v>16.265437850475205</c:v>
                </c:pt>
                <c:pt idx="18">
                  <c:v>16.425028944685412</c:v>
                </c:pt>
                <c:pt idx="19">
                  <c:v>17.327333761874154</c:v>
                </c:pt>
                <c:pt idx="20">
                  <c:v>18.22034692920769</c:v>
                </c:pt>
                <c:pt idx="21">
                  <c:v>17.784385793177325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7930-488B-90A8-489C7BED332A}"/>
            </c:ext>
          </c:extLst>
        </c:ser>
        <c:ser>
          <c:idx val="9"/>
          <c:order val="9"/>
          <c:tx>
            <c:strRef>
              <c:f>List2!$A$30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CC66FF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0750392312072105E-2"/>
                  <c:y val="2.755568150380973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7930-488B-90A8-489C7BED332A}"/>
                </c:ext>
              </c:extLst>
            </c:dLbl>
            <c:dLbl>
              <c:idx val="10"/>
              <c:layout>
                <c:manualLayout>
                  <c:x val="-3.3676519601716449E-2"/>
                  <c:y val="1.4475271411338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7930-488B-90A8-489C7BED332A}"/>
                </c:ext>
              </c:extLst>
            </c:dLbl>
            <c:dLbl>
              <c:idx val="2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7930-488B-90A8-489C7BED332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7030A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List2!$B$30:$W$30</c:f>
              <c:numCache>
                <c:formatCode>0.0</c:formatCode>
                <c:ptCount val="22"/>
                <c:pt idx="0">
                  <c:v>8.446978121671135</c:v>
                </c:pt>
                <c:pt idx="1">
                  <c:v>9.5594494892167994</c:v>
                </c:pt>
                <c:pt idx="2">
                  <c:v>10.759501294946697</c:v>
                </c:pt>
                <c:pt idx="3">
                  <c:v>11.853303888240987</c:v>
                </c:pt>
                <c:pt idx="4">
                  <c:v>13.917022652080771</c:v>
                </c:pt>
                <c:pt idx="5">
                  <c:v>15.541093488172713</c:v>
                </c:pt>
                <c:pt idx="6">
                  <c:v>17.101929836196035</c:v>
                </c:pt>
                <c:pt idx="7">
                  <c:v>18.766035595646422</c:v>
                </c:pt>
                <c:pt idx="8">
                  <c:v>19.91719630568133</c:v>
                </c:pt>
                <c:pt idx="9">
                  <c:v>20.944379662540918</c:v>
                </c:pt>
                <c:pt idx="10">
                  <c:v>21.591939546599495</c:v>
                </c:pt>
                <c:pt idx="11">
                  <c:v>21.331602968838858</c:v>
                </c:pt>
                <c:pt idx="12">
                  <c:v>21.033923303834808</c:v>
                </c:pt>
                <c:pt idx="13">
                  <c:v>20.335868664809098</c:v>
                </c:pt>
                <c:pt idx="14">
                  <c:v>19.713317371972263</c:v>
                </c:pt>
                <c:pt idx="15">
                  <c:v>19.205479452054792</c:v>
                </c:pt>
                <c:pt idx="16">
                  <c:v>18.74803345201623</c:v>
                </c:pt>
                <c:pt idx="17">
                  <c:v>18.433391873689235</c:v>
                </c:pt>
                <c:pt idx="18">
                  <c:v>18.519625773776028</c:v>
                </c:pt>
                <c:pt idx="19">
                  <c:v>19.313281192895257</c:v>
                </c:pt>
                <c:pt idx="20">
                  <c:v>20.034522439585732</c:v>
                </c:pt>
                <c:pt idx="21">
                  <c:v>19.554256903861578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7930-488B-90A8-489C7BED332A}"/>
            </c:ext>
          </c:extLst>
        </c:ser>
        <c:ser>
          <c:idx val="10"/>
          <c:order val="10"/>
          <c:tx>
            <c:strRef>
              <c:f>List2!$A$31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21"/>
              <c:layout>
                <c:manualLayout>
                  <c:x val="-3.1936127744510976E-3"/>
                  <c:y val="4.728132387706855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4">
                          <a:lumMod val="50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7930-488B-90A8-489C7BED33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List2!$B$31:$W$31</c:f>
              <c:numCache>
                <c:formatCode>0.0</c:formatCode>
                <c:ptCount val="22"/>
                <c:pt idx="0">
                  <c:v>9.6848946541299323</c:v>
                </c:pt>
                <c:pt idx="1">
                  <c:v>10.790464240903388</c:v>
                </c:pt>
                <c:pt idx="2">
                  <c:v>11.930547925086625</c:v>
                </c:pt>
                <c:pt idx="3">
                  <c:v>13.178281574887652</c:v>
                </c:pt>
                <c:pt idx="4">
                  <c:v>14.72935112154318</c:v>
                </c:pt>
                <c:pt idx="5">
                  <c:v>16.069179600886919</c:v>
                </c:pt>
                <c:pt idx="6">
                  <c:v>17.172838321054019</c:v>
                </c:pt>
                <c:pt idx="7">
                  <c:v>18.22627358921984</c:v>
                </c:pt>
                <c:pt idx="8">
                  <c:v>19.116996141066164</c:v>
                </c:pt>
                <c:pt idx="9">
                  <c:v>19.45498906809468</c:v>
                </c:pt>
                <c:pt idx="10">
                  <c:v>19.713213357713403</c:v>
                </c:pt>
                <c:pt idx="11">
                  <c:v>19.465735850531075</c:v>
                </c:pt>
                <c:pt idx="12">
                  <c:v>19.22579453067258</c:v>
                </c:pt>
                <c:pt idx="13">
                  <c:v>18.700799393516856</c:v>
                </c:pt>
                <c:pt idx="14">
                  <c:v>18.098361574794321</c:v>
                </c:pt>
                <c:pt idx="15">
                  <c:v>17.44479746404869</c:v>
                </c:pt>
                <c:pt idx="16">
                  <c:v>16.864710840587492</c:v>
                </c:pt>
                <c:pt idx="17">
                  <c:v>16.925619324149007</c:v>
                </c:pt>
                <c:pt idx="18">
                  <c:v>17.032353738459332</c:v>
                </c:pt>
                <c:pt idx="19">
                  <c:v>17.999604892744845</c:v>
                </c:pt>
                <c:pt idx="20">
                  <c:v>18.785653624767313</c:v>
                </c:pt>
                <c:pt idx="21">
                  <c:v>18.421362093874947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C-7930-488B-90A8-489C7BED332A}"/>
            </c:ext>
          </c:extLst>
        </c:ser>
        <c:ser>
          <c:idx val="11"/>
          <c:order val="11"/>
          <c:tx>
            <c:strRef>
              <c:f>List2!$A$32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B0AC00"/>
              </a:solidFill>
              <a:round/>
            </a:ln>
            <a:effectLst/>
          </c:spPr>
          <c:marker>
            <c:symbol val="none"/>
          </c:marker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List2!$B$32:$W$32</c:f>
              <c:numCache>
                <c:formatCode>0.0</c:formatCode>
                <c:ptCount val="22"/>
                <c:pt idx="0">
                  <c:v>9.1067664801221007</c:v>
                </c:pt>
                <c:pt idx="1">
                  <c:v>9.9641702511766717</c:v>
                </c:pt>
                <c:pt idx="2">
                  <c:v>10.807243794602034</c:v>
                </c:pt>
                <c:pt idx="3">
                  <c:v>12.31541526681772</c:v>
                </c:pt>
                <c:pt idx="4">
                  <c:v>14.036274084316554</c:v>
                </c:pt>
                <c:pt idx="5">
                  <c:v>15.359511198231637</c:v>
                </c:pt>
                <c:pt idx="6">
                  <c:v>16.94065437011276</c:v>
                </c:pt>
                <c:pt idx="7">
                  <c:v>18.384232993514544</c:v>
                </c:pt>
                <c:pt idx="8">
                  <c:v>19.806659989421444</c:v>
                </c:pt>
                <c:pt idx="9">
                  <c:v>20.527044183413206</c:v>
                </c:pt>
                <c:pt idx="10">
                  <c:v>21.072643586151692</c:v>
                </c:pt>
                <c:pt idx="11">
                  <c:v>20.62522372031977</c:v>
                </c:pt>
                <c:pt idx="12">
                  <c:v>20.089539597071813</c:v>
                </c:pt>
                <c:pt idx="13">
                  <c:v>19.450863123555798</c:v>
                </c:pt>
                <c:pt idx="14">
                  <c:v>18.48958666274595</c:v>
                </c:pt>
                <c:pt idx="15">
                  <c:v>17.839106056388438</c:v>
                </c:pt>
                <c:pt idx="16">
                  <c:v>17.615903150364563</c:v>
                </c:pt>
                <c:pt idx="17">
                  <c:v>17.382354622905826</c:v>
                </c:pt>
                <c:pt idx="18">
                  <c:v>17.819799777530591</c:v>
                </c:pt>
                <c:pt idx="19">
                  <c:v>18.995079075237538</c:v>
                </c:pt>
                <c:pt idx="20">
                  <c:v>20.212869836929986</c:v>
                </c:pt>
                <c:pt idx="21">
                  <c:v>20.055887832140407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7930-488B-90A8-489C7BED332A}"/>
            </c:ext>
          </c:extLst>
        </c:ser>
        <c:ser>
          <c:idx val="12"/>
          <c:order val="12"/>
          <c:tx>
            <c:strRef>
              <c:f>List2!$A$33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3343297365607079E-2"/>
                  <c:y val="7.545020882672442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E-7930-488B-90A8-489C7BED332A}"/>
                </c:ext>
              </c:extLst>
            </c:dLbl>
            <c:dLbl>
              <c:idx val="1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7930-488B-90A8-489C7BED332A}"/>
                </c:ext>
              </c:extLst>
            </c:dLbl>
            <c:dLbl>
              <c:idx val="18"/>
              <c:layout>
                <c:manualLayout>
                  <c:x val="-3.5907317140913102E-2"/>
                  <c:y val="1.22196365985011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52DB-44ED-BC75-4FC5FEB679CF}"/>
                </c:ext>
              </c:extLst>
            </c:dLbl>
            <c:dLbl>
              <c:idx val="21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0-7930-488B-90A8-489C7BED332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7030A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List2!$B$33:$W$33</c:f>
              <c:numCache>
                <c:formatCode>0.0</c:formatCode>
                <c:ptCount val="22"/>
                <c:pt idx="0">
                  <c:v>9.616369827923938</c:v>
                </c:pt>
                <c:pt idx="1">
                  <c:v>10.98566909752947</c:v>
                </c:pt>
                <c:pt idx="2">
                  <c:v>12.110910111658661</c:v>
                </c:pt>
                <c:pt idx="3">
                  <c:v>14.032926659454365</c:v>
                </c:pt>
                <c:pt idx="4">
                  <c:v>16.285461971520036</c:v>
                </c:pt>
                <c:pt idx="5">
                  <c:v>18.076608877189798</c:v>
                </c:pt>
                <c:pt idx="6">
                  <c:v>19.737194334198488</c:v>
                </c:pt>
                <c:pt idx="7">
                  <c:v>21.156686198847126</c:v>
                </c:pt>
                <c:pt idx="8">
                  <c:v>22.538105840041105</c:v>
                </c:pt>
                <c:pt idx="9">
                  <c:v>22.931999553200203</c:v>
                </c:pt>
                <c:pt idx="10">
                  <c:v>23.212360305963241</c:v>
                </c:pt>
                <c:pt idx="11">
                  <c:v>23.098109370776974</c:v>
                </c:pt>
                <c:pt idx="12">
                  <c:v>22.808254963427377</c:v>
                </c:pt>
                <c:pt idx="13">
                  <c:v>21.964481825730587</c:v>
                </c:pt>
                <c:pt idx="14">
                  <c:v>21.304678322161564</c:v>
                </c:pt>
                <c:pt idx="15">
                  <c:v>20.538754399827599</c:v>
                </c:pt>
                <c:pt idx="16">
                  <c:v>19.800605943017477</c:v>
                </c:pt>
                <c:pt idx="17">
                  <c:v>19.684246405552802</c:v>
                </c:pt>
                <c:pt idx="18">
                  <c:v>19.570968207397431</c:v>
                </c:pt>
                <c:pt idx="19">
                  <c:v>20.750029180770706</c:v>
                </c:pt>
                <c:pt idx="20">
                  <c:v>22.133760766561569</c:v>
                </c:pt>
                <c:pt idx="21">
                  <c:v>21.978294354053432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1-7930-488B-90A8-489C7BED332A}"/>
            </c:ext>
          </c:extLst>
        </c:ser>
        <c:ser>
          <c:idx val="13"/>
          <c:order val="13"/>
          <c:tx>
            <c:strRef>
              <c:f>List2!$A$34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3336353789109692E-2"/>
                  <c:y val="2.7555681503809739E-4"/>
                </c:manualLayout>
              </c:layout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C66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2-7930-488B-90A8-489C7BED332A}"/>
                </c:ext>
              </c:extLst>
            </c:dLbl>
            <c:dLbl>
              <c:idx val="21"/>
              <c:layout>
                <c:manualLayout>
                  <c:x val="-1.1709778233963298E-16"/>
                  <c:y val="-6.3041765169425034E-3"/>
                </c:manualLayout>
              </c:layout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C66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3-7930-488B-90A8-489C7BED332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CC66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List2!$B$20:$W$20</c:f>
              <c:strCache>
                <c:ptCount val="22"/>
                <c:pt idx="0">
                  <c:v>          2001</c:v>
                </c:pt>
                <c:pt idx="1">
                  <c:v>          2002</c:v>
                </c:pt>
                <c:pt idx="2">
                  <c:v>          2003</c:v>
                </c:pt>
                <c:pt idx="3">
                  <c:v>          2004</c:v>
                </c:pt>
                <c:pt idx="4">
                  <c:v>          2005</c:v>
                </c:pt>
                <c:pt idx="5">
                  <c:v>          2006</c:v>
                </c:pt>
                <c:pt idx="6">
                  <c:v>          2007</c:v>
                </c:pt>
                <c:pt idx="7">
                  <c:v>          2008</c:v>
                </c:pt>
                <c:pt idx="8">
                  <c:v>          2009</c:v>
                </c:pt>
                <c:pt idx="9">
                  <c:v>          2010</c:v>
                </c:pt>
                <c:pt idx="10">
                  <c:v>          2011</c:v>
                </c:pt>
                <c:pt idx="11">
                  <c:v>          2012</c:v>
                </c:pt>
                <c:pt idx="12">
                  <c:v>          2013</c:v>
                </c:pt>
                <c:pt idx="13">
                  <c:v>          2014</c:v>
                </c:pt>
                <c:pt idx="14">
                  <c:v>          2015</c:v>
                </c:pt>
                <c:pt idx="15">
                  <c:v>          2016</c:v>
                </c:pt>
                <c:pt idx="16">
                  <c:v>          2017</c:v>
                </c:pt>
                <c:pt idx="17">
                  <c:v>          2018</c:v>
                </c:pt>
                <c:pt idx="18">
                  <c:v>          2019</c:v>
                </c:pt>
                <c:pt idx="19">
                  <c:v>          2020</c:v>
                </c:pt>
                <c:pt idx="20">
                  <c:v>          2021</c:v>
                </c:pt>
                <c:pt idx="21">
                  <c:v>2022</c:v>
                </c:pt>
              </c:strCache>
            </c:strRef>
          </c:cat>
          <c:val>
            <c:numRef>
              <c:f>List2!$B$34:$W$34</c:f>
              <c:numCache>
                <c:formatCode>0.0</c:formatCode>
                <c:ptCount val="22"/>
                <c:pt idx="0">
                  <c:v>9.005581169619024</c:v>
                </c:pt>
                <c:pt idx="1">
                  <c:v>9.9764127764127775</c:v>
                </c:pt>
                <c:pt idx="2">
                  <c:v>9.6603436239723166</c:v>
                </c:pt>
                <c:pt idx="3">
                  <c:v>12.558812884545784</c:v>
                </c:pt>
                <c:pt idx="4">
                  <c:v>14.044851336353158</c:v>
                </c:pt>
                <c:pt idx="5">
                  <c:v>15.398375398266657</c:v>
                </c:pt>
                <c:pt idx="6">
                  <c:v>16.842081877711067</c:v>
                </c:pt>
                <c:pt idx="7">
                  <c:v>17.921583899132536</c:v>
                </c:pt>
                <c:pt idx="8">
                  <c:v>19.434801881307244</c:v>
                </c:pt>
                <c:pt idx="9">
                  <c:v>20.134800438507451</c:v>
                </c:pt>
                <c:pt idx="10">
                  <c:v>20.585772070397187</c:v>
                </c:pt>
                <c:pt idx="11">
                  <c:v>20.365833153179121</c:v>
                </c:pt>
                <c:pt idx="12">
                  <c:v>20.236797388407403</c:v>
                </c:pt>
                <c:pt idx="13">
                  <c:v>19.455689806815418</c:v>
                </c:pt>
                <c:pt idx="14">
                  <c:v>18.460804476909487</c:v>
                </c:pt>
                <c:pt idx="15">
                  <c:v>17.727281856952526</c:v>
                </c:pt>
                <c:pt idx="16">
                  <c:v>17.287814921469611</c:v>
                </c:pt>
                <c:pt idx="17">
                  <c:v>17.204347952451535</c:v>
                </c:pt>
                <c:pt idx="18">
                  <c:v>17.551489664248816</c:v>
                </c:pt>
                <c:pt idx="19">
                  <c:v>18.911378599034197</c:v>
                </c:pt>
                <c:pt idx="20">
                  <c:v>20.146397433857338</c:v>
                </c:pt>
                <c:pt idx="21">
                  <c:v>20.076219512195124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4-7930-488B-90A8-489C7BED3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83361568"/>
        <c:axId val="783362816"/>
      </c:lineChart>
      <c:catAx>
        <c:axId val="783361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83362816"/>
        <c:crosses val="autoZero"/>
        <c:auto val="1"/>
        <c:lblAlgn val="ctr"/>
        <c:lblOffset val="100"/>
        <c:noMultiLvlLbl val="0"/>
      </c:catAx>
      <c:valAx>
        <c:axId val="783362816"/>
        <c:scaling>
          <c:orientation val="minMax"/>
          <c:max val="24"/>
          <c:min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%</a:t>
                </a:r>
              </a:p>
            </c:rich>
          </c:tx>
          <c:layout>
            <c:manualLayout>
              <c:xMode val="edge"/>
              <c:yMode val="edge"/>
              <c:x val="8.8183421516754845E-3"/>
              <c:y val="0.862901449743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83361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715526601520086E-2"/>
          <c:y val="2.8776978417266189E-2"/>
          <c:w val="0.95222584147665579"/>
          <c:h val="0.70756736343208892"/>
        </c:manualLayout>
      </c:layout>
      <c:areaChart>
        <c:grouping val="stacked"/>
        <c:varyColors val="0"/>
        <c:ser>
          <c:idx val="0"/>
          <c:order val="0"/>
          <c:tx>
            <c:strRef>
              <c:f>List1!$A$9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numFmt formatCode="0.0\ %" sourceLinked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List1!$B$8:$W$8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List1!$B$9:$W$9</c:f>
              <c:numCache>
                <c:formatCode>General</c:formatCode>
                <c:ptCount val="22"/>
                <c:pt idx="0">
                  <c:v>0.51657917502261019</c:v>
                </c:pt>
                <c:pt idx="1">
                  <c:v>0.50925391843834733</c:v>
                </c:pt>
                <c:pt idx="2">
                  <c:v>0.50473705158031656</c:v>
                </c:pt>
                <c:pt idx="3">
                  <c:v>0.49120554143423134</c:v>
                </c:pt>
                <c:pt idx="4">
                  <c:v>0.4794602418962009</c:v>
                </c:pt>
                <c:pt idx="5">
                  <c:v>0.46910749358745257</c:v>
                </c:pt>
                <c:pt idx="6">
                  <c:v>0.4596052252844221</c:v>
                </c:pt>
                <c:pt idx="7">
                  <c:v>0.44952587963591906</c:v>
                </c:pt>
                <c:pt idx="8">
                  <c:v>0.44373920286278379</c:v>
                </c:pt>
                <c:pt idx="9">
                  <c:v>0.44056325508101335</c:v>
                </c:pt>
                <c:pt idx="10">
                  <c:v>0.43982869051293366</c:v>
                </c:pt>
                <c:pt idx="11">
                  <c:v>0.43773415491571077</c:v>
                </c:pt>
                <c:pt idx="12">
                  <c:v>0.438453046485828</c:v>
                </c:pt>
                <c:pt idx="13">
                  <c:v>0.43900645618932005</c:v>
                </c:pt>
                <c:pt idx="14">
                  <c:v>0.44174583286104224</c:v>
                </c:pt>
                <c:pt idx="15">
                  <c:v>0.44018711118969922</c:v>
                </c:pt>
                <c:pt idx="16">
                  <c:v>0.43889936148769682</c:v>
                </c:pt>
                <c:pt idx="17">
                  <c:v>0.44117190116313193</c:v>
                </c:pt>
                <c:pt idx="18">
                  <c:v>0.44211770168793768</c:v>
                </c:pt>
                <c:pt idx="19">
                  <c:v>0.44493053186436821</c:v>
                </c:pt>
                <c:pt idx="20">
                  <c:v>0.44360461478166074</c:v>
                </c:pt>
                <c:pt idx="21">
                  <c:v>0.4444367820621441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55-4548-B46B-1A4B3CA87152}"/>
            </c:ext>
          </c:extLst>
        </c:ser>
        <c:ser>
          <c:idx val="1"/>
          <c:order val="1"/>
          <c:tx>
            <c:strRef>
              <c:f>List1!$A$10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numFmt formatCode="0.0\ %" sourceLinked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List1!$B$8:$W$8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List1!$B$10:$W$10</c:f>
              <c:numCache>
                <c:formatCode>General</c:formatCode>
                <c:ptCount val="22"/>
                <c:pt idx="0">
                  <c:v>0.48342082497738981</c:v>
                </c:pt>
                <c:pt idx="1">
                  <c:v>0.49074608156165267</c:v>
                </c:pt>
                <c:pt idx="2">
                  <c:v>0.49526294841968349</c:v>
                </c:pt>
                <c:pt idx="3">
                  <c:v>0.50879445856576866</c:v>
                </c:pt>
                <c:pt idx="4">
                  <c:v>0.52053975810379916</c:v>
                </c:pt>
                <c:pt idx="5">
                  <c:v>0.53089250641254737</c:v>
                </c:pt>
                <c:pt idx="6">
                  <c:v>0.54039477471557784</c:v>
                </c:pt>
                <c:pt idx="7">
                  <c:v>0.55047412036408094</c:v>
                </c:pt>
                <c:pt idx="8">
                  <c:v>0.55626079713721621</c:v>
                </c:pt>
                <c:pt idx="9">
                  <c:v>0.55943674491898665</c:v>
                </c:pt>
                <c:pt idx="10">
                  <c:v>0.56017130948706628</c:v>
                </c:pt>
                <c:pt idx="11">
                  <c:v>0.56226584508428923</c:v>
                </c:pt>
                <c:pt idx="12">
                  <c:v>0.56154695351417194</c:v>
                </c:pt>
                <c:pt idx="13">
                  <c:v>0.56099354381068001</c:v>
                </c:pt>
                <c:pt idx="14">
                  <c:v>0.5582541671389577</c:v>
                </c:pt>
                <c:pt idx="15">
                  <c:v>0.55981288881030078</c:v>
                </c:pt>
                <c:pt idx="16">
                  <c:v>0.56110063851230318</c:v>
                </c:pt>
                <c:pt idx="17">
                  <c:v>0.55882809883686813</c:v>
                </c:pt>
                <c:pt idx="18">
                  <c:v>0.55788229831206226</c:v>
                </c:pt>
                <c:pt idx="19">
                  <c:v>0.55506946813563174</c:v>
                </c:pt>
                <c:pt idx="20">
                  <c:v>0.5563953852183392</c:v>
                </c:pt>
                <c:pt idx="21">
                  <c:v>0.5555632179378559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55-4548-B46B-1A4B3CA871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4758240"/>
        <c:axId val="424761568"/>
      </c:areaChart>
      <c:catAx>
        <c:axId val="424758240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24761568"/>
        <c:crosses val="autoZero"/>
        <c:auto val="1"/>
        <c:lblAlgn val="ctr"/>
        <c:lblOffset val="100"/>
        <c:noMultiLvlLbl val="0"/>
      </c:catAx>
      <c:valAx>
        <c:axId val="42476156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2475824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780373951627384"/>
          <c:y val="0.90382657185152893"/>
          <c:w val="0.43404567100122254"/>
          <c:h val="6.84917672488170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List2!$F$27</c:f>
              <c:strCache>
                <c:ptCount val="1"/>
                <c:pt idx="0">
                  <c:v>podíl cizinců mezi studenty - muži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48-4FBC-ACE9-9AEFEAC1CD9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48-4FBC-ACE9-9AEFEAC1CD98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48-4FBC-ACE9-9AEFEAC1CD9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48-4FBC-ACE9-9AEFEAC1CD98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48-4FBC-ACE9-9AEFEAC1CD98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48-4FBC-ACE9-9AEFEAC1CD98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D48-4FBC-ACE9-9AEFEAC1CD98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48-4FBC-ACE9-9AEFEAC1CD98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D48-4FBC-ACE9-9AEFEAC1CD98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D48-4FBC-ACE9-9AEFEAC1CD98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D48-4FBC-ACE9-9AEFEAC1CD98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D48-4FBC-ACE9-9AEFEAC1CD98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D48-4FBC-ACE9-9AEFEAC1CD98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D48-4FBC-ACE9-9AEFEAC1CD98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D48-4FBC-ACE9-9AEFEAC1CD98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3F6DC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List2!$G$26:$AB$26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List2!$G$27:$AB$27</c:f>
              <c:numCache>
                <c:formatCode>0.0%</c:formatCode>
                <c:ptCount val="22"/>
                <c:pt idx="0">
                  <c:v>4.3502668962958027E-2</c:v>
                </c:pt>
                <c:pt idx="1">
                  <c:v>5.0523518184899134E-2</c:v>
                </c:pt>
                <c:pt idx="2">
                  <c:v>5.2726134636176661E-2</c:v>
                </c:pt>
                <c:pt idx="3">
                  <c:v>6.4772098173094664E-2</c:v>
                </c:pt>
                <c:pt idx="4">
                  <c:v>7.3811479544046224E-2</c:v>
                </c:pt>
                <c:pt idx="5">
                  <c:v>7.829639767800918E-2</c:v>
                </c:pt>
                <c:pt idx="6">
                  <c:v>8.2997001480281885E-2</c:v>
                </c:pt>
                <c:pt idx="7">
                  <c:v>8.7665006527730766E-2</c:v>
                </c:pt>
                <c:pt idx="8">
                  <c:v>9.4710070621223441E-2</c:v>
                </c:pt>
                <c:pt idx="9">
                  <c:v>0.10139519420369605</c:v>
                </c:pt>
                <c:pt idx="10">
                  <c:v>0.10574725975758278</c:v>
                </c:pt>
                <c:pt idx="11">
                  <c:v>0.11122240282134482</c:v>
                </c:pt>
                <c:pt idx="12">
                  <c:v>0.11691855453367153</c:v>
                </c:pt>
                <c:pt idx="13">
                  <c:v>0.12556569259164385</c:v>
                </c:pt>
                <c:pt idx="14">
                  <c:v>0.13704263641155096</c:v>
                </c:pt>
                <c:pt idx="15">
                  <c:v>0.14805211878642691</c:v>
                </c:pt>
                <c:pt idx="16">
                  <c:v>0.15593936666081795</c:v>
                </c:pt>
                <c:pt idx="17">
                  <c:v>0.16509762491685254</c:v>
                </c:pt>
                <c:pt idx="18">
                  <c:v>0.17051377513030527</c:v>
                </c:pt>
                <c:pt idx="19">
                  <c:v>0.17834591213879786</c:v>
                </c:pt>
                <c:pt idx="20">
                  <c:v>0.18407044167105938</c:v>
                </c:pt>
                <c:pt idx="21">
                  <c:v>0.19553861045227169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CD48-4FBC-ACE9-9AEFEAC1CD98}"/>
            </c:ext>
          </c:extLst>
        </c:ser>
        <c:ser>
          <c:idx val="1"/>
          <c:order val="1"/>
          <c:tx>
            <c:strRef>
              <c:f>List2!$F$28</c:f>
              <c:strCache>
                <c:ptCount val="1"/>
                <c:pt idx="0">
                  <c:v>podíl cizinek mezi studentkami - ženami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D48-4FBC-ACE9-9AEFEAC1CD9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D48-4FBC-ACE9-9AEFEAC1CD98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D48-4FBC-ACE9-9AEFEAC1CD9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D48-4FBC-ACE9-9AEFEAC1CD98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D48-4FBC-ACE9-9AEFEAC1CD98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D48-4FBC-ACE9-9AEFEAC1CD98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CD48-4FBC-ACE9-9AEFEAC1CD98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CD48-4FBC-ACE9-9AEFEAC1CD98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CD48-4FBC-ACE9-9AEFEAC1CD98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CD48-4FBC-ACE9-9AEFEAC1CD98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CD48-4FBC-ACE9-9AEFEAC1CD98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CD48-4FBC-ACE9-9AEFEAC1CD98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CD48-4FBC-ACE9-9AEFEAC1CD98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CD48-4FBC-ACE9-9AEFEAC1CD98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CD48-4FBC-ACE9-9AEFEAC1CD98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List2!$G$26:$AB$26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List2!$G$28:$AB$28</c:f>
              <c:numCache>
                <c:formatCode>0.0%</c:formatCode>
                <c:ptCount val="22"/>
                <c:pt idx="0">
                  <c:v>4.2612683145062072E-2</c:v>
                </c:pt>
                <c:pt idx="1">
                  <c:v>4.9846831588786777E-2</c:v>
                </c:pt>
                <c:pt idx="2">
                  <c:v>5.4472097030752918E-2</c:v>
                </c:pt>
                <c:pt idx="3">
                  <c:v>6.4025001299057999E-2</c:v>
                </c:pt>
                <c:pt idx="4">
                  <c:v>7.0548258858352642E-2</c:v>
                </c:pt>
                <c:pt idx="5">
                  <c:v>7.2949432847202358E-2</c:v>
                </c:pt>
                <c:pt idx="6">
                  <c:v>7.4882307050816457E-2</c:v>
                </c:pt>
                <c:pt idx="7">
                  <c:v>7.7057482157135662E-2</c:v>
                </c:pt>
                <c:pt idx="8">
                  <c:v>8.3537833728469693E-2</c:v>
                </c:pt>
                <c:pt idx="9">
                  <c:v>8.9419847603914623E-2</c:v>
                </c:pt>
                <c:pt idx="10">
                  <c:v>9.3220223214895565E-2</c:v>
                </c:pt>
                <c:pt idx="11">
                  <c:v>9.7505626581746524E-2</c:v>
                </c:pt>
                <c:pt idx="12">
                  <c:v>0.10396622102566834</c:v>
                </c:pt>
                <c:pt idx="13">
                  <c:v>0.11197520457255644</c:v>
                </c:pt>
                <c:pt idx="14">
                  <c:v>0.12210045712216082</c:v>
                </c:pt>
                <c:pt idx="15">
                  <c:v>0.13302934065366084</c:v>
                </c:pt>
                <c:pt idx="16">
                  <c:v>0.13849504714166369</c:v>
                </c:pt>
                <c:pt idx="17">
                  <c:v>0.14551104631048287</c:v>
                </c:pt>
                <c:pt idx="18">
                  <c:v>0.15242372291790895</c:v>
                </c:pt>
                <c:pt idx="19">
                  <c:v>0.15748562889405754</c:v>
                </c:pt>
                <c:pt idx="20">
                  <c:v>0.15955960696105126</c:v>
                </c:pt>
                <c:pt idx="21">
                  <c:v>0.16731391011886818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F-CD48-4FBC-ACE9-9AEFEAC1CD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7718752"/>
        <c:axId val="217720416"/>
      </c:lineChart>
      <c:catAx>
        <c:axId val="217718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7720416"/>
        <c:crosses val="autoZero"/>
        <c:auto val="1"/>
        <c:lblAlgn val="ctr"/>
        <c:lblOffset val="100"/>
        <c:noMultiLvlLbl val="0"/>
      </c:catAx>
      <c:valAx>
        <c:axId val="217720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7718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Ženy</a:t>
            </a:r>
          </a:p>
        </c:rich>
      </c:tx>
      <c:layout>
        <c:manualLayout>
          <c:xMode val="edge"/>
          <c:yMode val="edge"/>
          <c:x val="1.3701219802219942E-2"/>
          <c:y val="1.25621286186810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5.8716729200796222E-2"/>
          <c:y val="0.11838033598915862"/>
          <c:w val="0.91712073058413002"/>
          <c:h val="0.76995194591773941"/>
        </c:manualLayout>
      </c:layout>
      <c:lineChart>
        <c:grouping val="standard"/>
        <c:varyColors val="0"/>
        <c:ser>
          <c:idx val="0"/>
          <c:order val="0"/>
          <c:tx>
            <c:strRef>
              <c:f>List3!$J$1</c:f>
              <c:strCache>
                <c:ptCount val="1"/>
                <c:pt idx="0">
                  <c:v>bakalářský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List3!$I$2:$I$23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List3!$J$2:$J$23</c:f>
              <c:numCache>
                <c:formatCode>0.0</c:formatCode>
                <c:ptCount val="22"/>
                <c:pt idx="0">
                  <c:v>23.618468546328963</c:v>
                </c:pt>
                <c:pt idx="1">
                  <c:v>29.463864286309242</c:v>
                </c:pt>
                <c:pt idx="2">
                  <c:v>37.080792682926827</c:v>
                </c:pt>
                <c:pt idx="3">
                  <c:v>45.322277731176655</c:v>
                </c:pt>
                <c:pt idx="4">
                  <c:v>51.246706531189233</c:v>
                </c:pt>
                <c:pt idx="5">
                  <c:v>55.428462491659516</c:v>
                </c:pt>
                <c:pt idx="6">
                  <c:v>58.950313399510399</c:v>
                </c:pt>
                <c:pt idx="7">
                  <c:v>61.113414477645833</c:v>
                </c:pt>
                <c:pt idx="8">
                  <c:v>61.973555903706888</c:v>
                </c:pt>
                <c:pt idx="9">
                  <c:v>62.070708894586687</c:v>
                </c:pt>
                <c:pt idx="10">
                  <c:v>61.390926601368804</c:v>
                </c:pt>
                <c:pt idx="11">
                  <c:v>60.86140398390004</c:v>
                </c:pt>
                <c:pt idx="12">
                  <c:v>60.286946963717625</c:v>
                </c:pt>
                <c:pt idx="13">
                  <c:v>59.130720835560666</c:v>
                </c:pt>
                <c:pt idx="14">
                  <c:v>58.391456809364136</c:v>
                </c:pt>
                <c:pt idx="15">
                  <c:v>57.118080481487652</c:v>
                </c:pt>
                <c:pt idx="16">
                  <c:v>56.843298722997972</c:v>
                </c:pt>
                <c:pt idx="17">
                  <c:v>57.128206395492512</c:v>
                </c:pt>
                <c:pt idx="18">
                  <c:v>57.88796958855098</c:v>
                </c:pt>
                <c:pt idx="19">
                  <c:v>58.534086937658927</c:v>
                </c:pt>
                <c:pt idx="20">
                  <c:v>58.714928376938559</c:v>
                </c:pt>
                <c:pt idx="21">
                  <c:v>59.240213028803815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C3-4BA3-BFB4-746EDCF42D23}"/>
            </c:ext>
          </c:extLst>
        </c:ser>
        <c:ser>
          <c:idx val="1"/>
          <c:order val="1"/>
          <c:tx>
            <c:strRef>
              <c:f>List3!$K$1</c:f>
              <c:strCache>
                <c:ptCount val="1"/>
                <c:pt idx="0">
                  <c:v>magisterský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3"/>
              <c:layout>
                <c:manualLayout>
                  <c:x val="-3.867462875865349E-2"/>
                  <c:y val="3.32443904452596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6C3-4BA3-BFB4-746EDCF42D23}"/>
                </c:ext>
              </c:extLst>
            </c:dLbl>
            <c:dLbl>
              <c:idx val="7"/>
              <c:layout>
                <c:manualLayout>
                  <c:x val="-4.0911765223977874E-2"/>
                  <c:y val="3.32443904452596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6C3-4BA3-BFB4-746EDCF42D2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List3!$I$2:$I$23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List3!$K$2:$K$23</c:f>
              <c:numCache>
                <c:formatCode>0.0</c:formatCode>
                <c:ptCount val="22"/>
                <c:pt idx="0">
                  <c:v>65.506197191690987</c:v>
                </c:pt>
                <c:pt idx="1">
                  <c:v>59.893013484373128</c:v>
                </c:pt>
                <c:pt idx="2">
                  <c:v>52.676796129374338</c:v>
                </c:pt>
                <c:pt idx="3">
                  <c:v>43.644637117427422</c:v>
                </c:pt>
                <c:pt idx="4">
                  <c:v>35.977621003869203</c:v>
                </c:pt>
                <c:pt idx="5">
                  <c:v>28.932537413020686</c:v>
                </c:pt>
                <c:pt idx="6">
                  <c:v>22.318887364484976</c:v>
                </c:pt>
                <c:pt idx="7">
                  <c:v>17.484032734128981</c:v>
                </c:pt>
                <c:pt idx="8">
                  <c:v>14.211968703351957</c:v>
                </c:pt>
                <c:pt idx="9">
                  <c:v>12.228702466505363</c:v>
                </c:pt>
                <c:pt idx="10">
                  <c:v>11.28642268759477</c:v>
                </c:pt>
                <c:pt idx="11">
                  <c:v>10.664356888710415</c:v>
                </c:pt>
                <c:pt idx="12">
                  <c:v>10.579171892174569</c:v>
                </c:pt>
                <c:pt idx="13">
                  <c:v>11.015563962333978</c:v>
                </c:pt>
                <c:pt idx="14">
                  <c:v>11.434639213727934</c:v>
                </c:pt>
                <c:pt idx="15">
                  <c:v>11.77933347499239</c:v>
                </c:pt>
                <c:pt idx="16">
                  <c:v>12.098102398854278</c:v>
                </c:pt>
                <c:pt idx="17">
                  <c:v>12.483937132407453</c:v>
                </c:pt>
                <c:pt idx="18">
                  <c:v>12.62919896640827</c:v>
                </c:pt>
                <c:pt idx="19">
                  <c:v>12.667662902662119</c:v>
                </c:pt>
                <c:pt idx="20">
                  <c:v>12.788563987214395</c:v>
                </c:pt>
                <c:pt idx="21">
                  <c:v>13.088503892327061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6C3-4BA3-BFB4-746EDCF42D23}"/>
            </c:ext>
          </c:extLst>
        </c:ser>
        <c:ser>
          <c:idx val="2"/>
          <c:order val="2"/>
          <c:tx>
            <c:strRef>
              <c:f>List3!$L$1</c:f>
              <c:strCache>
                <c:ptCount val="1"/>
                <c:pt idx="0">
                  <c:v>navazující magisterský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7"/>
              <c:layout>
                <c:manualLayout>
                  <c:x val="-2.9726082897355992E-2"/>
                  <c:y val="-4.58851842332764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6C3-4BA3-BFB4-746EDCF42D2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List3!$I$2:$I$23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List3!$L$2:$L$23</c:f>
              <c:numCache>
                <c:formatCode>0.0</c:formatCode>
                <c:ptCount val="22"/>
                <c:pt idx="0">
                  <c:v>6.2998851053878449</c:v>
                </c:pt>
                <c:pt idx="1">
                  <c:v>6.3590341597949118</c:v>
                </c:pt>
                <c:pt idx="2">
                  <c:v>6.1464408801696715</c:v>
                </c:pt>
                <c:pt idx="3">
                  <c:v>6.8976268066185149</c:v>
                </c:pt>
                <c:pt idx="4">
                  <c:v>8.6894482900509029</c:v>
                </c:pt>
                <c:pt idx="5">
                  <c:v>11.618887617958249</c:v>
                </c:pt>
                <c:pt idx="6">
                  <c:v>15.007128830064831</c:v>
                </c:pt>
                <c:pt idx="7">
                  <c:v>17.889754296601218</c:v>
                </c:pt>
                <c:pt idx="8">
                  <c:v>20.289212084240297</c:v>
                </c:pt>
                <c:pt idx="9">
                  <c:v>22.021144054024774</c:v>
                </c:pt>
                <c:pt idx="10">
                  <c:v>23.562331234147962</c:v>
                </c:pt>
                <c:pt idx="11">
                  <c:v>24.502479431458429</c:v>
                </c:pt>
                <c:pt idx="12">
                  <c:v>24.87809838319961</c:v>
                </c:pt>
                <c:pt idx="13">
                  <c:v>25.364426991241416</c:v>
                </c:pt>
                <c:pt idx="14">
                  <c:v>25.396346315310026</c:v>
                </c:pt>
                <c:pt idx="15">
                  <c:v>26.118867263549017</c:v>
                </c:pt>
                <c:pt idx="16">
                  <c:v>25.984007638142977</c:v>
                </c:pt>
                <c:pt idx="17">
                  <c:v>25.307665694657246</c:v>
                </c:pt>
                <c:pt idx="18">
                  <c:v>24.477613794474259</c:v>
                </c:pt>
                <c:pt idx="19">
                  <c:v>23.906651080393836</c:v>
                </c:pt>
                <c:pt idx="20">
                  <c:v>23.753403575233811</c:v>
                </c:pt>
                <c:pt idx="21">
                  <c:v>23.082061012300581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6C3-4BA3-BFB4-746EDCF42D23}"/>
            </c:ext>
          </c:extLst>
        </c:ser>
        <c:ser>
          <c:idx val="3"/>
          <c:order val="3"/>
          <c:tx>
            <c:strRef>
              <c:f>List3!$M$1</c:f>
              <c:strCache>
                <c:ptCount val="1"/>
                <c:pt idx="0">
                  <c:v>doktorský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4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List3!$I$2:$I$23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List3!$M$2:$M$23</c:f>
              <c:numCache>
                <c:formatCode>0.0</c:formatCode>
                <c:ptCount val="22"/>
                <c:pt idx="0">
                  <c:v>6.1189006720826429</c:v>
                </c:pt>
                <c:pt idx="1">
                  <c:v>6.0563992929264883</c:v>
                </c:pt>
                <c:pt idx="2">
                  <c:v>5.972461558854719</c:v>
                </c:pt>
                <c:pt idx="3">
                  <c:v>5.8680305538440978</c:v>
                </c:pt>
                <c:pt idx="4">
                  <c:v>5.665098190168373</c:v>
                </c:pt>
                <c:pt idx="5">
                  <c:v>5.4737393956724816</c:v>
                </c:pt>
                <c:pt idx="6">
                  <c:v>5.1542786431011756</c:v>
                </c:pt>
                <c:pt idx="7">
                  <c:v>4.9895854927394598</c:v>
                </c:pt>
                <c:pt idx="8">
                  <c:v>4.976869503329775</c:v>
                </c:pt>
                <c:pt idx="9">
                  <c:v>5.0151673829041927</c:v>
                </c:pt>
                <c:pt idx="10">
                  <c:v>5.0316699224530872</c:v>
                </c:pt>
                <c:pt idx="11">
                  <c:v>5.0966091089922578</c:v>
                </c:pt>
                <c:pt idx="12">
                  <c:v>5.3075019731840651</c:v>
                </c:pt>
                <c:pt idx="13">
                  <c:v>5.5265430321970479</c:v>
                </c:pt>
                <c:pt idx="14">
                  <c:v>5.7488736575809298</c:v>
                </c:pt>
                <c:pt idx="15">
                  <c:v>5.9445117644018453</c:v>
                </c:pt>
                <c:pt idx="16">
                  <c:v>5.93030194533954</c:v>
                </c:pt>
                <c:pt idx="17">
                  <c:v>5.8814807492709935</c:v>
                </c:pt>
                <c:pt idx="18">
                  <c:v>5.8040151063406871</c:v>
                </c:pt>
                <c:pt idx="19">
                  <c:v>5.7707371744658289</c:v>
                </c:pt>
                <c:pt idx="20">
                  <c:v>5.5895584231087962</c:v>
                </c:pt>
                <c:pt idx="21">
                  <c:v>5.4350717287606622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6C3-4BA3-BFB4-746EDCF42D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8598400"/>
        <c:axId val="438597152"/>
      </c:lineChart>
      <c:catAx>
        <c:axId val="438598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38597152"/>
        <c:crosses val="autoZero"/>
        <c:auto val="1"/>
        <c:lblAlgn val="ctr"/>
        <c:lblOffset val="100"/>
        <c:noMultiLvlLbl val="0"/>
      </c:catAx>
      <c:valAx>
        <c:axId val="438597152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2.4608501118568233E-2"/>
              <c:y val="0.9085984875036019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38598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8709735947436101"/>
          <c:y val="2.3358214052239753E-2"/>
          <c:w val="0.81290264052563899"/>
          <c:h val="5.87362633083327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Muži</a:t>
            </a:r>
          </a:p>
        </c:rich>
      </c:tx>
      <c:layout>
        <c:manualLayout>
          <c:xMode val="edge"/>
          <c:yMode val="edge"/>
          <c:x val="1.7543859649122806E-2"/>
          <c:y val="2.84900284900284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5.5171903821619822E-2"/>
          <c:y val="0.14655012160177225"/>
          <c:w val="0.92212427780892714"/>
          <c:h val="0.75449188117540356"/>
        </c:manualLayout>
      </c:layout>
      <c:lineChart>
        <c:grouping val="standard"/>
        <c:varyColors val="0"/>
        <c:ser>
          <c:idx val="0"/>
          <c:order val="0"/>
          <c:tx>
            <c:strRef>
              <c:f>List3!$J$25</c:f>
              <c:strCache>
                <c:ptCount val="1"/>
                <c:pt idx="0">
                  <c:v>bakalářský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5158553845210087E-2"/>
                  <c:y val="-4.7288400876495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866-4D10-8FAD-B90725944C4A}"/>
                </c:ext>
              </c:extLst>
            </c:dLbl>
            <c:dLbl>
              <c:idx val="1"/>
              <c:layout>
                <c:manualLayout>
                  <c:x val="-4.5158553845210087E-2"/>
                  <c:y val="-4.7288400876495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866-4D10-8FAD-B90725944C4A}"/>
                </c:ext>
              </c:extLst>
            </c:dLbl>
            <c:dLbl>
              <c:idx val="2"/>
              <c:layout>
                <c:manualLayout>
                  <c:x val="-5.1836350172422101E-2"/>
                  <c:y val="-4.72884008764960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866-4D10-8FAD-B90725944C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List3!$I$26:$I$47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List3!$J$26:$J$47</c:f>
              <c:numCache>
                <c:formatCode>0.0</c:formatCode>
                <c:ptCount val="22"/>
                <c:pt idx="0">
                  <c:v>18.792163429974217</c:v>
                </c:pt>
                <c:pt idx="1">
                  <c:v>25.805789914917149</c:v>
                </c:pt>
                <c:pt idx="2">
                  <c:v>36.8456992350402</c:v>
                </c:pt>
                <c:pt idx="3">
                  <c:v>47.739435320169768</c:v>
                </c:pt>
                <c:pt idx="4">
                  <c:v>55.288717882207138</c:v>
                </c:pt>
                <c:pt idx="5">
                  <c:v>59.862730159586306</c:v>
                </c:pt>
                <c:pt idx="6">
                  <c:v>62.143372259264417</c:v>
                </c:pt>
                <c:pt idx="7">
                  <c:v>63.514215947004494</c:v>
                </c:pt>
                <c:pt idx="8">
                  <c:v>63.303613327076491</c:v>
                </c:pt>
                <c:pt idx="9">
                  <c:v>63.355229972027324</c:v>
                </c:pt>
                <c:pt idx="10">
                  <c:v>63.253494171547878</c:v>
                </c:pt>
                <c:pt idx="11">
                  <c:v>62.922466997342994</c:v>
                </c:pt>
                <c:pt idx="12">
                  <c:v>61.988601479699099</c:v>
                </c:pt>
                <c:pt idx="13">
                  <c:v>60.502341589653653</c:v>
                </c:pt>
                <c:pt idx="14">
                  <c:v>59.548115065605145</c:v>
                </c:pt>
                <c:pt idx="15">
                  <c:v>58.639477643553072</c:v>
                </c:pt>
                <c:pt idx="16">
                  <c:v>58.626976800958175</c:v>
                </c:pt>
                <c:pt idx="17">
                  <c:v>59.031967758344095</c:v>
                </c:pt>
                <c:pt idx="18">
                  <c:v>60.22573186503115</c:v>
                </c:pt>
                <c:pt idx="19">
                  <c:v>61.195387437231261</c:v>
                </c:pt>
                <c:pt idx="20">
                  <c:v>61.577810279673038</c:v>
                </c:pt>
                <c:pt idx="21">
                  <c:v>61.869823184743503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866-4D10-8FAD-B90725944C4A}"/>
            </c:ext>
          </c:extLst>
        </c:ser>
        <c:ser>
          <c:idx val="1"/>
          <c:order val="1"/>
          <c:tx>
            <c:strRef>
              <c:f>List3!$K$25</c:f>
              <c:strCache>
                <c:ptCount val="1"/>
                <c:pt idx="0">
                  <c:v>magisterský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1.3355592654423999E-2"/>
                  <c:y val="4.4852191641182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866-4D10-8FAD-B90725944C4A}"/>
                </c:ext>
              </c:extLst>
            </c:dLbl>
            <c:dLbl>
              <c:idx val="7"/>
              <c:layout>
                <c:manualLayout>
                  <c:x val="4.4518642181413468E-3"/>
                  <c:y val="-3.26197757390419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866-4D10-8FAD-B90725944C4A}"/>
                </c:ext>
              </c:extLst>
            </c:dLbl>
            <c:dLbl>
              <c:idx val="8"/>
              <c:layout>
                <c:manualLayout>
                  <c:x val="1.335559265442404E-2"/>
                  <c:y val="-3.669724770642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866-4D10-8FAD-B90725944C4A}"/>
                </c:ext>
              </c:extLst>
            </c:dLbl>
            <c:dLbl>
              <c:idx val="9"/>
              <c:layout>
                <c:manualLayout>
                  <c:x val="0"/>
                  <c:y val="3.669724770642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866-4D10-8FAD-B90725944C4A}"/>
                </c:ext>
              </c:extLst>
            </c:dLbl>
            <c:dLbl>
              <c:idx val="10"/>
              <c:layout>
                <c:manualLayout>
                  <c:x val="0"/>
                  <c:y val="3.669724770642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866-4D10-8FAD-B90725944C4A}"/>
                </c:ext>
              </c:extLst>
            </c:dLbl>
            <c:dLbl>
              <c:idx val="11"/>
              <c:layout>
                <c:manualLayout>
                  <c:x val="0"/>
                  <c:y val="3.2619775739041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1866-4D10-8FAD-B90725944C4A}"/>
                </c:ext>
              </c:extLst>
            </c:dLbl>
            <c:dLbl>
              <c:idx val="12"/>
              <c:layout>
                <c:manualLayout>
                  <c:x val="-8.161656782436857E-17"/>
                  <c:y val="3.2619775739041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1866-4D10-8FAD-B90725944C4A}"/>
                </c:ext>
              </c:extLst>
            </c:dLbl>
            <c:dLbl>
              <c:idx val="13"/>
              <c:layout>
                <c:manualLayout>
                  <c:x val="-8.161656782436857E-17"/>
                  <c:y val="3.2619775739041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1866-4D10-8FAD-B90725944C4A}"/>
                </c:ext>
              </c:extLst>
            </c:dLbl>
            <c:dLbl>
              <c:idx val="14"/>
              <c:layout>
                <c:manualLayout>
                  <c:x val="-8.161656782436857E-17"/>
                  <c:y val="2.4464831804281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1866-4D10-8FAD-B90725944C4A}"/>
                </c:ext>
              </c:extLst>
            </c:dLbl>
            <c:dLbl>
              <c:idx val="15"/>
              <c:layout>
                <c:manualLayout>
                  <c:x val="0"/>
                  <c:y val="2.854230377166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1866-4D10-8FAD-B90725944C4A}"/>
                </c:ext>
              </c:extLst>
            </c:dLbl>
            <c:dLbl>
              <c:idx val="16"/>
              <c:layout>
                <c:manualLayout>
                  <c:x val="0"/>
                  <c:y val="2.4464831804281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1866-4D10-8FAD-B90725944C4A}"/>
                </c:ext>
              </c:extLst>
            </c:dLbl>
            <c:dLbl>
              <c:idx val="17"/>
              <c:layout>
                <c:manualLayout>
                  <c:x val="0"/>
                  <c:y val="2.85423037716615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1866-4D10-8FAD-B90725944C4A}"/>
                </c:ext>
              </c:extLst>
            </c:dLbl>
            <c:dLbl>
              <c:idx val="18"/>
              <c:layout>
                <c:manualLayout>
                  <c:x val="0"/>
                  <c:y val="2.854230377166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1866-4D10-8FAD-B90725944C4A}"/>
                </c:ext>
              </c:extLst>
            </c:dLbl>
            <c:dLbl>
              <c:idx val="19"/>
              <c:layout>
                <c:manualLayout>
                  <c:x val="-1.6323313564873714E-16"/>
                  <c:y val="2.85423037716615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1866-4D10-8FAD-B90725944C4A}"/>
                </c:ext>
              </c:extLst>
            </c:dLbl>
            <c:dLbl>
              <c:idx val="20"/>
              <c:layout>
                <c:manualLayout>
                  <c:x val="0"/>
                  <c:y val="2.0387359836900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1866-4D10-8FAD-B90725944C4A}"/>
                </c:ext>
              </c:extLst>
            </c:dLbl>
            <c:dLbl>
              <c:idx val="21"/>
              <c:layout>
                <c:manualLayout>
                  <c:x val="-2.2259321090706734E-3"/>
                  <c:y val="2.4464831804281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1866-4D10-8FAD-B90725944C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List3!$I$26:$I$47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List3!$K$26:$K$47</c:f>
              <c:numCache>
                <c:formatCode>0.0</c:formatCode>
                <c:ptCount val="22"/>
                <c:pt idx="0">
                  <c:v>67.222660970341678</c:v>
                </c:pt>
                <c:pt idx="1">
                  <c:v>60.324991527388825</c:v>
                </c:pt>
                <c:pt idx="2">
                  <c:v>49.018396429645648</c:v>
                </c:pt>
                <c:pt idx="3">
                  <c:v>37.286245924832379</c:v>
                </c:pt>
                <c:pt idx="4">
                  <c:v>28.268701454037149</c:v>
                </c:pt>
                <c:pt idx="5">
                  <c:v>20.83319287221634</c:v>
                </c:pt>
                <c:pt idx="6">
                  <c:v>14.991965991472563</c:v>
                </c:pt>
                <c:pt idx="7">
                  <c:v>10.840868429959867</c:v>
                </c:pt>
                <c:pt idx="8">
                  <c:v>8.8766069369854765</c:v>
                </c:pt>
                <c:pt idx="9">
                  <c:v>7.8231760443894167</c:v>
                </c:pt>
                <c:pt idx="10">
                  <c:v>7.3641477701096099</c:v>
                </c:pt>
                <c:pt idx="11">
                  <c:v>6.9909853714710701</c:v>
                </c:pt>
                <c:pt idx="12">
                  <c:v>7.0326017525690077</c:v>
                </c:pt>
                <c:pt idx="13">
                  <c:v>7.3131161861974299</c:v>
                </c:pt>
                <c:pt idx="14">
                  <c:v>7.5813476101972306</c:v>
                </c:pt>
                <c:pt idx="15">
                  <c:v>7.814166143239019</c:v>
                </c:pt>
                <c:pt idx="16">
                  <c:v>8.0338411540779511</c:v>
                </c:pt>
                <c:pt idx="17">
                  <c:v>8.2317955941620689</c:v>
                </c:pt>
                <c:pt idx="18">
                  <c:v>8.2509699416075559</c:v>
                </c:pt>
                <c:pt idx="19">
                  <c:v>8.108067474516643</c:v>
                </c:pt>
                <c:pt idx="20">
                  <c:v>8.0947042533761966</c:v>
                </c:pt>
                <c:pt idx="21">
                  <c:v>8.1964548282461074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1866-4D10-8FAD-B90725944C4A}"/>
            </c:ext>
          </c:extLst>
        </c:ser>
        <c:ser>
          <c:idx val="2"/>
          <c:order val="2"/>
          <c:tx>
            <c:strRef>
              <c:f>List3!$L$25</c:f>
              <c:strCache>
                <c:ptCount val="1"/>
                <c:pt idx="0">
                  <c:v>navazující magisterský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3528146210438231E-2"/>
                  <c:y val="2.61060945363480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1866-4D10-8FAD-B90725944C4A}"/>
                </c:ext>
              </c:extLst>
            </c:dLbl>
            <c:dLbl>
              <c:idx val="1"/>
              <c:layout>
                <c:manualLayout>
                  <c:x val="-2.9076281992296893E-2"/>
                  <c:y val="2.61060945363480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1866-4D10-8FAD-B90725944C4A}"/>
                </c:ext>
              </c:extLst>
            </c:dLbl>
            <c:dLbl>
              <c:idx val="2"/>
              <c:layout>
                <c:manualLayout>
                  <c:x val="-3.1302214101367548E-2"/>
                  <c:y val="2.61060945363480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1866-4D10-8FAD-B90725944C4A}"/>
                </c:ext>
              </c:extLst>
            </c:dLbl>
            <c:dLbl>
              <c:idx val="3"/>
              <c:layout>
                <c:manualLayout>
                  <c:x val="-3.3528146210438259E-2"/>
                  <c:y val="3.83385104384887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1866-4D10-8FAD-B90725944C4A}"/>
                </c:ext>
              </c:extLst>
            </c:dLbl>
            <c:dLbl>
              <c:idx val="4"/>
              <c:layout>
                <c:manualLayout>
                  <c:x val="-3.3528146210438217E-2"/>
                  <c:y val="3.01835665037283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1866-4D10-8FAD-B90725944C4A}"/>
                </c:ext>
              </c:extLst>
            </c:dLbl>
            <c:dLbl>
              <c:idx val="5"/>
              <c:layout>
                <c:manualLayout>
                  <c:x val="-3.6254825408927431E-2"/>
                  <c:y val="-2.69010410395948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A-1866-4D10-8FAD-B90725944C4A}"/>
                </c:ext>
              </c:extLst>
            </c:dLbl>
            <c:dLbl>
              <c:idx val="6"/>
              <c:layout>
                <c:manualLayout>
                  <c:x val="-2.9577029081715368E-2"/>
                  <c:y val="-3.5055984974355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1866-4D10-8FAD-B90725944C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List3!$I$26:$I$47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List3!$L$26:$L$47</c:f>
              <c:numCache>
                <c:formatCode>0.0</c:formatCode>
                <c:ptCount val="22"/>
                <c:pt idx="0">
                  <c:v>5.5539168577599742</c:v>
                </c:pt>
                <c:pt idx="1">
                  <c:v>5.3297183525676477</c:v>
                </c:pt>
                <c:pt idx="2">
                  <c:v>5.5132384382138477</c:v>
                </c:pt>
                <c:pt idx="3">
                  <c:v>6.0812265485636958</c:v>
                </c:pt>
                <c:pt idx="4">
                  <c:v>7.8567002435404154</c:v>
                </c:pt>
                <c:pt idx="5">
                  <c:v>11.079348170522044</c:v>
                </c:pt>
                <c:pt idx="6">
                  <c:v>14.909095509811612</c:v>
                </c:pt>
                <c:pt idx="7">
                  <c:v>18.136816401527973</c:v>
                </c:pt>
                <c:pt idx="8">
                  <c:v>20.476678774817366</c:v>
                </c:pt>
                <c:pt idx="9">
                  <c:v>21.448961342688129</c:v>
                </c:pt>
                <c:pt idx="10">
                  <c:v>21.976454213303949</c:v>
                </c:pt>
                <c:pt idx="11">
                  <c:v>22.687115018982901</c:v>
                </c:pt>
                <c:pt idx="12">
                  <c:v>23.290066915143658</c:v>
                </c:pt>
                <c:pt idx="13">
                  <c:v>24.135779358542369</c:v>
                </c:pt>
                <c:pt idx="14">
                  <c:v>24.321062997586619</c:v>
                </c:pt>
                <c:pt idx="15">
                  <c:v>24.895923107261282</c:v>
                </c:pt>
                <c:pt idx="16">
                  <c:v>24.70343217655989</c:v>
                </c:pt>
                <c:pt idx="17">
                  <c:v>24.124114723950385</c:v>
                </c:pt>
                <c:pt idx="18">
                  <c:v>23.124975506525061</c:v>
                </c:pt>
                <c:pt idx="19">
                  <c:v>22.358450852452115</c:v>
                </c:pt>
                <c:pt idx="20">
                  <c:v>22.151114014833734</c:v>
                </c:pt>
                <c:pt idx="21">
                  <c:v>22.209414876716984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C-1866-4D10-8FAD-B90725944C4A}"/>
            </c:ext>
          </c:extLst>
        </c:ser>
        <c:ser>
          <c:idx val="3"/>
          <c:order val="3"/>
          <c:tx>
            <c:strRef>
              <c:f>List3!$M$25</c:f>
              <c:strCache>
                <c:ptCount val="1"/>
                <c:pt idx="0">
                  <c:v>doktorský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5"/>
              <c:layout>
                <c:manualLayout>
                  <c:x val="-3.5754078319508935E-2"/>
                  <c:y val="4.24159824058688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D-1866-4D10-8FAD-B90725944C4A}"/>
                </c:ext>
              </c:extLst>
            </c:dLbl>
            <c:dLbl>
              <c:idx val="6"/>
              <c:layout>
                <c:manualLayout>
                  <c:x val="-2.9076281992296914E-2"/>
                  <c:y val="3.42610384711085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E-1866-4D10-8FAD-B90725944C4A}"/>
                </c:ext>
              </c:extLst>
            </c:dLbl>
            <c:dLbl>
              <c:idx val="7"/>
              <c:layout>
                <c:manualLayout>
                  <c:x val="-2.9076281992296872E-2"/>
                  <c:y val="3.42610384711085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1866-4D10-8FAD-B90725944C4A}"/>
                </c:ext>
              </c:extLst>
            </c:dLbl>
            <c:dLbl>
              <c:idx val="8"/>
              <c:layout>
                <c:manualLayout>
                  <c:x val="-3.3528146210438217E-2"/>
                  <c:y val="3.42610384711085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0-1866-4D10-8FAD-B90725944C4A}"/>
                </c:ext>
              </c:extLst>
            </c:dLbl>
            <c:dLbl>
              <c:idx val="9"/>
              <c:layout>
                <c:manualLayout>
                  <c:x val="-4.0205942537650238E-2"/>
                  <c:y val="3.83385104384887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1-1866-4D10-8FAD-B90725944C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4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List3!$I$26:$I$47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List3!$M$26:$M$47</c:f>
              <c:numCache>
                <c:formatCode>0.0</c:formatCode>
                <c:ptCount val="22"/>
                <c:pt idx="0">
                  <c:v>9.9650798785883516</c:v>
                </c:pt>
                <c:pt idx="1">
                  <c:v>10.279506983215311</c:v>
                </c:pt>
                <c:pt idx="2">
                  <c:v>10.431417817629031</c:v>
                </c:pt>
                <c:pt idx="3">
                  <c:v>10.393215230362305</c:v>
                </c:pt>
                <c:pt idx="4">
                  <c:v>9.9246321675096905</c:v>
                </c:pt>
                <c:pt idx="5">
                  <c:v>9.5151731717019175</c:v>
                </c:pt>
                <c:pt idx="6">
                  <c:v>9.0993054061918794</c:v>
                </c:pt>
                <c:pt idx="7">
                  <c:v>8.6982012475218813</c:v>
                </c:pt>
                <c:pt idx="8">
                  <c:v>8.5261078378550614</c:v>
                </c:pt>
                <c:pt idx="9">
                  <c:v>8.4863805200165086</c:v>
                </c:pt>
                <c:pt idx="10">
                  <c:v>8.4672040828162149</c:v>
                </c:pt>
                <c:pt idx="11">
                  <c:v>8.3260860438196111</c:v>
                </c:pt>
                <c:pt idx="12">
                  <c:v>8.5321459357887477</c:v>
                </c:pt>
                <c:pt idx="13">
                  <c:v>8.8382693911866905</c:v>
                </c:pt>
                <c:pt idx="14">
                  <c:v>9.2831978695664237</c:v>
                </c:pt>
                <c:pt idx="15">
                  <c:v>9.3713025314421774</c:v>
                </c:pt>
                <c:pt idx="16">
                  <c:v>9.3047916205762764</c:v>
                </c:pt>
                <c:pt idx="17">
                  <c:v>9.2514770904253236</c:v>
                </c:pt>
                <c:pt idx="18">
                  <c:v>9.0371125132264769</c:v>
                </c:pt>
                <c:pt idx="19">
                  <c:v>9.0386986198394315</c:v>
                </c:pt>
                <c:pt idx="20">
                  <c:v>8.8319363292821453</c:v>
                </c:pt>
                <c:pt idx="21">
                  <c:v>8.3545762862146162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2-1866-4D10-8FAD-B90725944C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8598400"/>
        <c:axId val="438597152"/>
      </c:lineChart>
      <c:catAx>
        <c:axId val="438598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38597152"/>
        <c:crosses val="autoZero"/>
        <c:auto val="1"/>
        <c:lblAlgn val="ctr"/>
        <c:lblOffset val="100"/>
        <c:noMultiLvlLbl val="0"/>
      </c:catAx>
      <c:valAx>
        <c:axId val="438597152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2.003338898163606E-2"/>
              <c:y val="0.922052862658222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38598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9264040242048208"/>
          <c:y val="1.9536019536019536E-2"/>
          <c:w val="0.80735959757951792"/>
          <c:h val="6.05324793116456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Ženy</a:t>
            </a:r>
          </a:p>
        </c:rich>
      </c:tx>
      <c:layout>
        <c:manualLayout>
          <c:xMode val="edge"/>
          <c:yMode val="edge"/>
          <c:x val="2.5916572928383969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45330127484064492"/>
          <c:y val="2.27653433084644E-2"/>
          <c:w val="0.50991301087364083"/>
          <c:h val="0.893404702364960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List4!$B$2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542252311918954E-2"/>
                  <c:y val="3.49956255468066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5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036-4E72-9947-0EE138A22B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5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List4!$A$3:$A$12</c:f>
              <c:strCache>
                <c:ptCount val="10"/>
                <c:pt idx="0">
                  <c:v>Informační a komunikační technologie </c:v>
                </c:pt>
                <c:pt idx="1">
                  <c:v>Zemědělství, lesnictví, rybářství a veterinářství </c:v>
                </c:pt>
                <c:pt idx="2">
                  <c:v>Služby </c:v>
                </c:pt>
                <c:pt idx="3">
                  <c:v>Technika, výroba a stavebnictví </c:v>
                </c:pt>
                <c:pt idx="4">
                  <c:v>Přírodní vědy, matematika a statistika </c:v>
                </c:pt>
                <c:pt idx="5">
                  <c:v>Společenské vědy, žurnalistika a informační vědy </c:v>
                </c:pt>
                <c:pt idx="6">
                  <c:v>Umění a humanitní vědy </c:v>
                </c:pt>
                <c:pt idx="7">
                  <c:v>Vzdělávání a výchova </c:v>
                </c:pt>
                <c:pt idx="8">
                  <c:v>Zdravotní a sociální péče</c:v>
                </c:pt>
                <c:pt idx="9">
                  <c:v>Obchod, administrativa a právo </c:v>
                </c:pt>
              </c:strCache>
            </c:strRef>
          </c:cat>
          <c:val>
            <c:numRef>
              <c:f>List4!$B$3:$B$12</c:f>
              <c:numCache>
                <c:formatCode>#\ ##0.0</c:formatCode>
                <c:ptCount val="10"/>
                <c:pt idx="0">
                  <c:v>4.173</c:v>
                </c:pt>
                <c:pt idx="1">
                  <c:v>7.1719999999999997</c:v>
                </c:pt>
                <c:pt idx="2">
                  <c:v>7.5069999999999997</c:v>
                </c:pt>
                <c:pt idx="3">
                  <c:v>10.526</c:v>
                </c:pt>
                <c:pt idx="4">
                  <c:v>13.207000000000001</c:v>
                </c:pt>
                <c:pt idx="5">
                  <c:v>16.827999999999999</c:v>
                </c:pt>
                <c:pt idx="6">
                  <c:v>19.565000000000001</c:v>
                </c:pt>
                <c:pt idx="7">
                  <c:v>28.92</c:v>
                </c:pt>
                <c:pt idx="8">
                  <c:v>29.548999999999999</c:v>
                </c:pt>
                <c:pt idx="9">
                  <c:v>34.174999999999997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36-4E72-9947-0EE138A22BBF}"/>
            </c:ext>
          </c:extLst>
        </c:ser>
        <c:ser>
          <c:idx val="1"/>
          <c:order val="1"/>
          <c:tx>
            <c:strRef>
              <c:f>List4!$C$2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3681778149824296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5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036-4E72-9947-0EE138A22B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List4!$A$3:$A$12</c:f>
              <c:strCache>
                <c:ptCount val="10"/>
                <c:pt idx="0">
                  <c:v>Informační a komunikační technologie </c:v>
                </c:pt>
                <c:pt idx="1">
                  <c:v>Zemědělství, lesnictví, rybářství a veterinářství </c:v>
                </c:pt>
                <c:pt idx="2">
                  <c:v>Služby </c:v>
                </c:pt>
                <c:pt idx="3">
                  <c:v>Technika, výroba a stavebnictví </c:v>
                </c:pt>
                <c:pt idx="4">
                  <c:v>Přírodní vědy, matematika a statistika </c:v>
                </c:pt>
                <c:pt idx="5">
                  <c:v>Společenské vědy, žurnalistika a informační vědy </c:v>
                </c:pt>
                <c:pt idx="6">
                  <c:v>Umění a humanitní vědy </c:v>
                </c:pt>
                <c:pt idx="7">
                  <c:v>Vzdělávání a výchova </c:v>
                </c:pt>
                <c:pt idx="8">
                  <c:v>Zdravotní a sociální péče</c:v>
                </c:pt>
                <c:pt idx="9">
                  <c:v>Obchod, administrativa a právo </c:v>
                </c:pt>
              </c:strCache>
            </c:strRef>
          </c:cat>
          <c:val>
            <c:numRef>
              <c:f>List4!$C$3:$C$12</c:f>
              <c:numCache>
                <c:formatCode>#\ ##0.0</c:formatCode>
                <c:ptCount val="10"/>
                <c:pt idx="0">
                  <c:v>3.1480000000000001</c:v>
                </c:pt>
                <c:pt idx="1">
                  <c:v>7.351</c:v>
                </c:pt>
                <c:pt idx="2">
                  <c:v>7.4390000000000001</c:v>
                </c:pt>
                <c:pt idx="3">
                  <c:v>15.744999999999999</c:v>
                </c:pt>
                <c:pt idx="4">
                  <c:v>11.09</c:v>
                </c:pt>
                <c:pt idx="5">
                  <c:v>19.186</c:v>
                </c:pt>
                <c:pt idx="6">
                  <c:v>19.741</c:v>
                </c:pt>
                <c:pt idx="7">
                  <c:v>25.234999999999999</c:v>
                </c:pt>
                <c:pt idx="8">
                  <c:v>26.076000000000001</c:v>
                </c:pt>
                <c:pt idx="9">
                  <c:v>35.020000000000003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36-4E72-9947-0EE138A22BBF}"/>
            </c:ext>
          </c:extLst>
        </c:ser>
        <c:ser>
          <c:idx val="2"/>
          <c:order val="2"/>
          <c:tx>
            <c:strRef>
              <c:f>List4!$D$2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5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List4!$A$3:$A$12</c:f>
              <c:strCache>
                <c:ptCount val="10"/>
                <c:pt idx="0">
                  <c:v>Informační a komunikační technologie </c:v>
                </c:pt>
                <c:pt idx="1">
                  <c:v>Zemědělství, lesnictví, rybářství a veterinářství </c:v>
                </c:pt>
                <c:pt idx="2">
                  <c:v>Služby </c:v>
                </c:pt>
                <c:pt idx="3">
                  <c:v>Technika, výroba a stavebnictví </c:v>
                </c:pt>
                <c:pt idx="4">
                  <c:v>Přírodní vědy, matematika a statistika </c:v>
                </c:pt>
                <c:pt idx="5">
                  <c:v>Společenské vědy, žurnalistika a informační vědy </c:v>
                </c:pt>
                <c:pt idx="6">
                  <c:v>Umění a humanitní vědy </c:v>
                </c:pt>
                <c:pt idx="7">
                  <c:v>Vzdělávání a výchova </c:v>
                </c:pt>
                <c:pt idx="8">
                  <c:v>Zdravotní a sociální péče</c:v>
                </c:pt>
                <c:pt idx="9">
                  <c:v>Obchod, administrativa a právo </c:v>
                </c:pt>
              </c:strCache>
            </c:strRef>
          </c:cat>
          <c:val>
            <c:numRef>
              <c:f>List4!$D$3:$D$12</c:f>
              <c:numCache>
                <c:formatCode>#\ ##0.0</c:formatCode>
                <c:ptCount val="10"/>
                <c:pt idx="0">
                  <c:v>3.3220000000000001</c:v>
                </c:pt>
                <c:pt idx="1">
                  <c:v>8.5069999999999997</c:v>
                </c:pt>
                <c:pt idx="2">
                  <c:v>10.134</c:v>
                </c:pt>
                <c:pt idx="3">
                  <c:v>19.425999999999998</c:v>
                </c:pt>
                <c:pt idx="4">
                  <c:v>12.782999999999999</c:v>
                </c:pt>
                <c:pt idx="5">
                  <c:v>27.385999999999999</c:v>
                </c:pt>
                <c:pt idx="6">
                  <c:v>24.789000000000001</c:v>
                </c:pt>
                <c:pt idx="7">
                  <c:v>33.688000000000002</c:v>
                </c:pt>
                <c:pt idx="8">
                  <c:v>27.172999999999998</c:v>
                </c:pt>
                <c:pt idx="9">
                  <c:v>50.856999999999999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036-4E72-9947-0EE138A22B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"/>
        <c:axId val="175640016"/>
        <c:axId val="330054288"/>
      </c:barChart>
      <c:catAx>
        <c:axId val="175640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30054288"/>
        <c:crosses val="autoZero"/>
        <c:auto val="1"/>
        <c:lblAlgn val="ctr"/>
        <c:lblOffset val="100"/>
        <c:noMultiLvlLbl val="0"/>
      </c:catAx>
      <c:valAx>
        <c:axId val="330054288"/>
        <c:scaling>
          <c:orientation val="minMax"/>
          <c:max val="55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tis. osob</a:t>
                </a:r>
              </a:p>
            </c:rich>
          </c:tx>
          <c:layout>
            <c:manualLayout>
              <c:xMode val="edge"/>
              <c:yMode val="edge"/>
              <c:x val="0.32937307135673455"/>
              <c:y val="0.925992141155765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75640016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68504506095616557"/>
          <c:y val="0.84175534416579434"/>
          <c:w val="0.27387945256842894"/>
          <c:h val="6.8729585885097699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Muži</a:t>
            </a:r>
          </a:p>
        </c:rich>
      </c:tx>
      <c:layout>
        <c:manualLayout>
          <c:xMode val="edge"/>
          <c:yMode val="edge"/>
          <c:x val="2.5916572928383969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45330127484064492"/>
          <c:y val="2.6970233371991288E-2"/>
          <c:w val="0.50991301087364083"/>
          <c:h val="0.8949501854903796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List4!$B$15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643449419568822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089-4640-95AB-49C21F4705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List4!$A$16:$A$25</c:f>
              <c:strCache>
                <c:ptCount val="10"/>
                <c:pt idx="0">
                  <c:v>Zemědělství, lesnictví, rybářství a veterinářství </c:v>
                </c:pt>
                <c:pt idx="1">
                  <c:v>Vzdělávání a výchova </c:v>
                </c:pt>
                <c:pt idx="2">
                  <c:v>Služby </c:v>
                </c:pt>
                <c:pt idx="3">
                  <c:v>Umění a humanitní vědy </c:v>
                </c:pt>
                <c:pt idx="4">
                  <c:v>Přírodní vědy, matematika a statistika </c:v>
                </c:pt>
                <c:pt idx="5">
                  <c:v>Společenské vědy, žurnalistika a informační vědy </c:v>
                </c:pt>
                <c:pt idx="6">
                  <c:v>Zdravotní a sociální péče</c:v>
                </c:pt>
                <c:pt idx="7">
                  <c:v>Informační a komunikační technologie </c:v>
                </c:pt>
                <c:pt idx="8">
                  <c:v>Technika, výroba a stavebnictví </c:v>
                </c:pt>
                <c:pt idx="9">
                  <c:v>Obchod, administrativa a právo </c:v>
                </c:pt>
              </c:strCache>
            </c:strRef>
          </c:cat>
          <c:val>
            <c:numRef>
              <c:f>List4!$B$16:$B$25</c:f>
              <c:numCache>
                <c:formatCode>#\ ##0.0</c:formatCode>
                <c:ptCount val="10"/>
                <c:pt idx="0">
                  <c:v>4.3630000000000004</c:v>
                </c:pt>
                <c:pt idx="1">
                  <c:v>8.6129999999999995</c:v>
                </c:pt>
                <c:pt idx="2">
                  <c:v>9.4540000000000006</c:v>
                </c:pt>
                <c:pt idx="3">
                  <c:v>9.9659999999999993</c:v>
                </c:pt>
                <c:pt idx="4">
                  <c:v>10.130000000000001</c:v>
                </c:pt>
                <c:pt idx="5">
                  <c:v>10.34</c:v>
                </c:pt>
                <c:pt idx="6">
                  <c:v>10.704000000000001</c:v>
                </c:pt>
                <c:pt idx="7">
                  <c:v>19.315000000000001</c:v>
                </c:pt>
                <c:pt idx="8">
                  <c:v>26.466999999999999</c:v>
                </c:pt>
                <c:pt idx="9">
                  <c:v>27.506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89-4640-95AB-49C21F470567}"/>
            </c:ext>
          </c:extLst>
        </c:ser>
        <c:ser>
          <c:idx val="1"/>
          <c:order val="1"/>
          <c:tx>
            <c:strRef>
              <c:f>List4!$C$15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5497D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085682697622995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089-4640-95AB-49C21F4705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List4!$A$16:$A$25</c:f>
              <c:strCache>
                <c:ptCount val="10"/>
                <c:pt idx="0">
                  <c:v>Zemědělství, lesnictví, rybářství a veterinářství </c:v>
                </c:pt>
                <c:pt idx="1">
                  <c:v>Vzdělávání a výchova </c:v>
                </c:pt>
                <c:pt idx="2">
                  <c:v>Služby </c:v>
                </c:pt>
                <c:pt idx="3">
                  <c:v>Umění a humanitní vědy </c:v>
                </c:pt>
                <c:pt idx="4">
                  <c:v>Přírodní vědy, matematika a statistika </c:v>
                </c:pt>
                <c:pt idx="5">
                  <c:v>Společenské vědy, žurnalistika a informační vědy </c:v>
                </c:pt>
                <c:pt idx="6">
                  <c:v>Zdravotní a sociální péče</c:v>
                </c:pt>
                <c:pt idx="7">
                  <c:v>Informační a komunikační technologie </c:v>
                </c:pt>
                <c:pt idx="8">
                  <c:v>Technika, výroba a stavebnictví </c:v>
                </c:pt>
                <c:pt idx="9">
                  <c:v>Obchod, administrativa a právo </c:v>
                </c:pt>
              </c:strCache>
            </c:strRef>
          </c:cat>
          <c:val>
            <c:numRef>
              <c:f>List4!$C$16:$C$25</c:f>
              <c:numCache>
                <c:formatCode>#\ ##0.0</c:formatCode>
                <c:ptCount val="10"/>
                <c:pt idx="0">
                  <c:v>4.5640000000000001</c:v>
                </c:pt>
                <c:pt idx="1">
                  <c:v>5.6950000000000003</c:v>
                </c:pt>
                <c:pt idx="2">
                  <c:v>9.4290000000000003</c:v>
                </c:pt>
                <c:pt idx="3">
                  <c:v>10.000999999999999</c:v>
                </c:pt>
                <c:pt idx="4">
                  <c:v>7.8289999999999997</c:v>
                </c:pt>
                <c:pt idx="5">
                  <c:v>11.147</c:v>
                </c:pt>
                <c:pt idx="6">
                  <c:v>9.4139999999999997</c:v>
                </c:pt>
                <c:pt idx="7">
                  <c:v>16.834</c:v>
                </c:pt>
                <c:pt idx="8">
                  <c:v>32.326000000000001</c:v>
                </c:pt>
                <c:pt idx="9">
                  <c:v>25.359000000000002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89-4640-95AB-49C21F470567}"/>
            </c:ext>
          </c:extLst>
        </c:ser>
        <c:ser>
          <c:idx val="2"/>
          <c:order val="2"/>
          <c:tx>
            <c:strRef>
              <c:f>List4!$D$15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5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List4!$A$16:$A$25</c:f>
              <c:strCache>
                <c:ptCount val="10"/>
                <c:pt idx="0">
                  <c:v>Zemědělství, lesnictví, rybářství a veterinářství </c:v>
                </c:pt>
                <c:pt idx="1">
                  <c:v>Vzdělávání a výchova </c:v>
                </c:pt>
                <c:pt idx="2">
                  <c:v>Služby </c:v>
                </c:pt>
                <c:pt idx="3">
                  <c:v>Umění a humanitní vědy </c:v>
                </c:pt>
                <c:pt idx="4">
                  <c:v>Přírodní vědy, matematika a statistika </c:v>
                </c:pt>
                <c:pt idx="5">
                  <c:v>Společenské vědy, žurnalistika a informační vědy </c:v>
                </c:pt>
                <c:pt idx="6">
                  <c:v>Zdravotní a sociální péče</c:v>
                </c:pt>
                <c:pt idx="7">
                  <c:v>Informační a komunikační technologie </c:v>
                </c:pt>
                <c:pt idx="8">
                  <c:v>Technika, výroba a stavebnictví </c:v>
                </c:pt>
                <c:pt idx="9">
                  <c:v>Obchod, administrativa a právo </c:v>
                </c:pt>
              </c:strCache>
            </c:strRef>
          </c:cat>
          <c:val>
            <c:numRef>
              <c:f>List4!$D$16:$D$25</c:f>
              <c:numCache>
                <c:formatCode>#\ ##0.0</c:formatCode>
                <c:ptCount val="10"/>
                <c:pt idx="0">
                  <c:v>5.6820000000000004</c:v>
                </c:pt>
                <c:pt idx="1">
                  <c:v>8.0410000000000004</c:v>
                </c:pt>
                <c:pt idx="2">
                  <c:v>11.744</c:v>
                </c:pt>
                <c:pt idx="3">
                  <c:v>11.97</c:v>
                </c:pt>
                <c:pt idx="4">
                  <c:v>9.17</c:v>
                </c:pt>
                <c:pt idx="5">
                  <c:v>15.231</c:v>
                </c:pt>
                <c:pt idx="6">
                  <c:v>9.2379999999999995</c:v>
                </c:pt>
                <c:pt idx="7">
                  <c:v>21.876000000000001</c:v>
                </c:pt>
                <c:pt idx="8">
                  <c:v>42.555999999999997</c:v>
                </c:pt>
                <c:pt idx="9">
                  <c:v>33.668999999999997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89-4640-95AB-49C21F4705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axId val="175640016"/>
        <c:axId val="330054288"/>
      </c:barChart>
      <c:catAx>
        <c:axId val="175640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30054288"/>
        <c:crosses val="autoZero"/>
        <c:auto val="1"/>
        <c:lblAlgn val="ctr"/>
        <c:lblOffset val="100"/>
        <c:noMultiLvlLbl val="0"/>
      </c:catAx>
      <c:valAx>
        <c:axId val="330054288"/>
        <c:scaling>
          <c:orientation val="minMax"/>
          <c:max val="55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sz="800">
                    <a:latin typeface="Arial" panose="020B0604020202020204" pitchFamily="34" charset="0"/>
                    <a:cs typeface="Arial" panose="020B0604020202020204" pitchFamily="34" charset="0"/>
                  </a:rPr>
                  <a:t>tis. osob</a:t>
                </a:r>
              </a:p>
            </c:rich>
          </c:tx>
          <c:layout>
            <c:manualLayout>
              <c:xMode val="edge"/>
              <c:yMode val="edge"/>
              <c:x val="0.29946652930065987"/>
              <c:y val="0.937552834797384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75640016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67648145971803286"/>
          <c:y val="0.82838226617021704"/>
          <c:w val="0.27387945256842894"/>
          <c:h val="6.8729585885097699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8316072048631674E-2"/>
          <c:y val="5.5555432331521937E-2"/>
          <c:w val="0.96073199183435409"/>
          <c:h val="0.724349552459788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'podíl stud. mezi obyv. 20-29'!$A$19</c:f>
              <c:strCache>
                <c:ptCount val="1"/>
                <c:pt idx="0">
                  <c:v>ženy - tisíce osob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'podíl stud. mezi obyv. 20-29'!$B$18:$W$18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'podíl stud. mezi obyv. 20-29'!$B$19:$W$19</c:f>
              <c:numCache>
                <c:formatCode>0.0</c:formatCode>
                <c:ptCount val="22"/>
                <c:pt idx="0">
                  <c:v>98.350999999999999</c:v>
                </c:pt>
                <c:pt idx="1">
                  <c:v>108.051</c:v>
                </c:pt>
                <c:pt idx="2">
                  <c:v>120.70399999999999</c:v>
                </c:pt>
                <c:pt idx="3">
                  <c:v>134.71299999999999</c:v>
                </c:pt>
                <c:pt idx="4">
                  <c:v>150.67699999999999</c:v>
                </c:pt>
                <c:pt idx="5">
                  <c:v>167.85599999999999</c:v>
                </c:pt>
                <c:pt idx="6">
                  <c:v>185.86500000000001</c:v>
                </c:pt>
                <c:pt idx="7">
                  <c:v>202.602</c:v>
                </c:pt>
                <c:pt idx="8">
                  <c:v>216.381</c:v>
                </c:pt>
                <c:pt idx="9">
                  <c:v>221.52799999999999</c:v>
                </c:pt>
                <c:pt idx="10">
                  <c:v>219.60900000000001</c:v>
                </c:pt>
                <c:pt idx="11">
                  <c:v>214.16200000000001</c:v>
                </c:pt>
                <c:pt idx="12">
                  <c:v>206.51900000000001</c:v>
                </c:pt>
                <c:pt idx="13">
                  <c:v>194.55199999999999</c:v>
                </c:pt>
                <c:pt idx="14">
                  <c:v>182.227</c:v>
                </c:pt>
                <c:pt idx="15">
                  <c:v>174.12700000000001</c:v>
                </c:pt>
                <c:pt idx="16">
                  <c:v>167.58</c:v>
                </c:pt>
                <c:pt idx="17">
                  <c:v>161.864</c:v>
                </c:pt>
                <c:pt idx="18">
                  <c:v>160.99199999999999</c:v>
                </c:pt>
                <c:pt idx="19">
                  <c:v>165.958</c:v>
                </c:pt>
                <c:pt idx="20">
                  <c:v>168.94</c:v>
                </c:pt>
                <c:pt idx="21">
                  <c:v>169.179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90-4726-A6AC-43B662107D62}"/>
            </c:ext>
          </c:extLst>
        </c:ser>
        <c:ser>
          <c:idx val="1"/>
          <c:order val="1"/>
          <c:tx>
            <c:strRef>
              <c:f>'podíl stud. mezi obyv. 20-29'!$A$20</c:f>
              <c:strCache>
                <c:ptCount val="1"/>
                <c:pt idx="0">
                  <c:v>muži  - tisíce osob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'podíl stud. mezi obyv. 20-29'!$B$18:$W$18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'podíl stud. mezi obyv. 20-29'!$B$20:$W$20</c:f>
              <c:numCache>
                <c:formatCode>0.0</c:formatCode>
                <c:ptCount val="22"/>
                <c:pt idx="0">
                  <c:v>105.09699999999999</c:v>
                </c:pt>
                <c:pt idx="1">
                  <c:v>112.126</c:v>
                </c:pt>
                <c:pt idx="2">
                  <c:v>123.01300000000001</c:v>
                </c:pt>
                <c:pt idx="3">
                  <c:v>130.05600000000001</c:v>
                </c:pt>
                <c:pt idx="4">
                  <c:v>138.786</c:v>
                </c:pt>
                <c:pt idx="5">
                  <c:v>148.321</c:v>
                </c:pt>
                <c:pt idx="6">
                  <c:v>158.078</c:v>
                </c:pt>
                <c:pt idx="7">
                  <c:v>165.44800000000001</c:v>
                </c:pt>
                <c:pt idx="8">
                  <c:v>172.61099999999999</c:v>
                </c:pt>
                <c:pt idx="9">
                  <c:v>174.45599999999999</c:v>
                </c:pt>
                <c:pt idx="10">
                  <c:v>172.43</c:v>
                </c:pt>
                <c:pt idx="11">
                  <c:v>166.72900000000001</c:v>
                </c:pt>
                <c:pt idx="12">
                  <c:v>161.249</c:v>
                </c:pt>
                <c:pt idx="13">
                  <c:v>152.24700000000001</c:v>
                </c:pt>
                <c:pt idx="14">
                  <c:v>144.196</c:v>
                </c:pt>
                <c:pt idx="15">
                  <c:v>136.91800000000001</c:v>
                </c:pt>
                <c:pt idx="16">
                  <c:v>131.083</c:v>
                </c:pt>
                <c:pt idx="17">
                  <c:v>127.785</c:v>
                </c:pt>
                <c:pt idx="18">
                  <c:v>127.58499999999999</c:v>
                </c:pt>
                <c:pt idx="19">
                  <c:v>133.02799999999999</c:v>
                </c:pt>
                <c:pt idx="20">
                  <c:v>134.69300000000001</c:v>
                </c:pt>
                <c:pt idx="21">
                  <c:v>135.339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90-4726-A6AC-43B662107D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802242352"/>
        <c:axId val="802242768"/>
      </c:barChart>
      <c:lineChart>
        <c:grouping val="standard"/>
        <c:varyColors val="0"/>
        <c:ser>
          <c:idx val="2"/>
          <c:order val="2"/>
          <c:tx>
            <c:strRef>
              <c:f>'podíl stud. mezi obyv. 20-29'!$A$21</c:f>
              <c:strCache>
                <c:ptCount val="1"/>
                <c:pt idx="0">
                  <c:v>podíl studentek z žen ve věku 20-29 let (%) 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9557002874121956E-2"/>
                  <c:y val="2.93281664399279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890-4726-A6AC-43B662107D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'podíl stud. mezi obyv. 20-29'!$B$18:$W$18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'podíl stud. mezi obyv. 20-29'!$B$21:$W$21</c:f>
              <c:numCache>
                <c:formatCode>0.0</c:formatCode>
                <c:ptCount val="22"/>
                <c:pt idx="0">
                  <c:v>8.7733163956395064</c:v>
                </c:pt>
                <c:pt idx="1">
                  <c:v>9.830063645710803</c:v>
                </c:pt>
                <c:pt idx="2">
                  <c:v>11.062429645443997</c:v>
                </c:pt>
                <c:pt idx="3">
                  <c:v>12.325307784969068</c:v>
                </c:pt>
                <c:pt idx="4">
                  <c:v>14.488216833843271</c:v>
                </c:pt>
                <c:pt idx="5">
                  <c:v>16.135977962322244</c:v>
                </c:pt>
                <c:pt idx="6">
                  <c:v>18.049880173294159</c:v>
                </c:pt>
                <c:pt idx="7">
                  <c:v>19.662671068902203</c:v>
                </c:pt>
                <c:pt idx="8">
                  <c:v>21.055340872832986</c:v>
                </c:pt>
                <c:pt idx="9">
                  <c:v>21.722945910483414</c:v>
                </c:pt>
                <c:pt idx="10">
                  <c:v>22.370889802757734</c:v>
                </c:pt>
                <c:pt idx="11">
                  <c:v>22.269103144181535</c:v>
                </c:pt>
                <c:pt idx="12">
                  <c:v>22.039688024484157</c:v>
                </c:pt>
                <c:pt idx="13">
                  <c:v>21.253913439903986</c:v>
                </c:pt>
                <c:pt idx="14">
                  <c:v>20.343447517485647</c:v>
                </c:pt>
                <c:pt idx="15">
                  <c:v>19.713622022674478</c:v>
                </c:pt>
                <c:pt idx="16">
                  <c:v>19.32662385858352</c:v>
                </c:pt>
                <c:pt idx="17">
                  <c:v>19.114825883255719</c:v>
                </c:pt>
                <c:pt idx="18">
                  <c:v>19.289974985568598</c:v>
                </c:pt>
                <c:pt idx="19">
                  <c:v>20.338245118866212</c:v>
                </c:pt>
                <c:pt idx="20">
                  <c:v>21.669128217246609</c:v>
                </c:pt>
                <c:pt idx="21">
                  <c:v>20.833270258405364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890-4726-A6AC-43B662107D62}"/>
            </c:ext>
          </c:extLst>
        </c:ser>
        <c:ser>
          <c:idx val="3"/>
          <c:order val="3"/>
          <c:tx>
            <c:strRef>
              <c:f>'podíl stud. mezi obyv. 20-29'!$A$22</c:f>
              <c:strCache>
                <c:ptCount val="1"/>
                <c:pt idx="0">
                  <c:v>podíl studentů z mužů ve věku 20-29 let (%) </c:v>
                </c:pt>
              </c:strCache>
            </c:strRef>
          </c:tx>
          <c:spPr>
            <a:ln w="28575" cap="rnd">
              <a:solidFill>
                <a:schemeClr val="accent5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7857480151565407E-2"/>
                  <c:y val="-8.385483228209039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890-4726-A6AC-43B662107D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'podíl stud. mezi obyv. 20-29'!$B$18:$W$18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'podíl stud. mezi obyv. 20-29'!$B$22:$W$22</c:f>
              <c:numCache>
                <c:formatCode>0.0</c:formatCode>
                <c:ptCount val="22"/>
                <c:pt idx="0">
                  <c:v>9.1863656526078437</c:v>
                </c:pt>
                <c:pt idx="1">
                  <c:v>10.036755433919614</c:v>
                </c:pt>
                <c:pt idx="2">
                  <c:v>11.139590702675443</c:v>
                </c:pt>
                <c:pt idx="3">
                  <c:v>11.55255301588701</c:v>
                </c:pt>
                <c:pt idx="4">
                  <c:v>12.760552305781481</c:v>
                </c:pt>
                <c:pt idx="5">
                  <c:v>13.529809274906762</c:v>
                </c:pt>
                <c:pt idx="6">
                  <c:v>14.443987929104743</c:v>
                </c:pt>
                <c:pt idx="7">
                  <c:v>14.975290673184968</c:v>
                </c:pt>
                <c:pt idx="8">
                  <c:v>15.773917607483771</c:v>
                </c:pt>
                <c:pt idx="9">
                  <c:v>16.233847630266915</c:v>
                </c:pt>
                <c:pt idx="10">
                  <c:v>16.83204750431641</c:v>
                </c:pt>
                <c:pt idx="11">
                  <c:v>16.679934494836921</c:v>
                </c:pt>
                <c:pt idx="12">
                  <c:v>16.547582544099697</c:v>
                </c:pt>
                <c:pt idx="13">
                  <c:v>15.923435916779457</c:v>
                </c:pt>
                <c:pt idx="14">
                  <c:v>15.33169458143121</c:v>
                </c:pt>
                <c:pt idx="15">
                  <c:v>14.734110806498199</c:v>
                </c:pt>
                <c:pt idx="16">
                  <c:v>14.304751565816288</c:v>
                </c:pt>
                <c:pt idx="17">
                  <c:v>14.10492775695878</c:v>
                </c:pt>
                <c:pt idx="18">
                  <c:v>14.264556316155344</c:v>
                </c:pt>
                <c:pt idx="19">
                  <c:v>15.169965740051982</c:v>
                </c:pt>
                <c:pt idx="20">
                  <c:v>15.994418491331498</c:v>
                </c:pt>
                <c:pt idx="21">
                  <c:v>15.875773262798724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890-4726-A6AC-43B662107D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1304224"/>
        <c:axId val="811307968"/>
      </c:lineChart>
      <c:catAx>
        <c:axId val="802242352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02242768"/>
        <c:crosses val="autoZero"/>
        <c:auto val="1"/>
        <c:lblAlgn val="ctr"/>
        <c:lblOffset val="100"/>
        <c:noMultiLvlLbl val="0"/>
      </c:catAx>
      <c:valAx>
        <c:axId val="802242768"/>
        <c:scaling>
          <c:orientation val="minMax"/>
          <c:max val="400"/>
        </c:scaling>
        <c:delete val="0"/>
        <c:axPos val="l"/>
        <c:numFmt formatCode="0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02242352"/>
        <c:crosses val="autoZero"/>
        <c:crossBetween val="between"/>
      </c:valAx>
      <c:valAx>
        <c:axId val="811307968"/>
        <c:scaling>
          <c:orientation val="minMax"/>
          <c:max val="23"/>
          <c:min val="0"/>
        </c:scaling>
        <c:delete val="0"/>
        <c:axPos val="r"/>
        <c:numFmt formatCode="0" sourceLinked="0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11304224"/>
        <c:crosses val="max"/>
        <c:crossBetween val="between"/>
      </c:valAx>
      <c:catAx>
        <c:axId val="811304224"/>
        <c:scaling>
          <c:orientation val="minMax"/>
        </c:scaling>
        <c:delete val="1"/>
        <c:axPos val="b"/>
        <c:numFmt formatCode="0" sourceLinked="1"/>
        <c:majorTickMark val="out"/>
        <c:minorTickMark val="none"/>
        <c:tickLblPos val="nextTo"/>
        <c:crossAx val="811307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5430675332250133E-2"/>
          <c:y val="0.88459811113354436"/>
          <c:w val="0.8386423164213832"/>
          <c:h val="0.106104904426213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994244063917972E-2"/>
          <c:y val="6.8557182923028981E-2"/>
          <c:w val="0.88352553268611811"/>
          <c:h val="0.5761438603958288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List6!$J$15</c:f>
              <c:strCache>
                <c:ptCount val="1"/>
                <c:pt idx="0">
                  <c:v>méně než 20 let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List6!$I$16:$I$17</c:f>
              <c:strCache>
                <c:ptCount val="2"/>
                <c:pt idx="0">
                  <c:v>cizinci</c:v>
                </c:pt>
                <c:pt idx="1">
                  <c:v>Češi</c:v>
                </c:pt>
              </c:strCache>
            </c:strRef>
          </c:cat>
          <c:val>
            <c:numRef>
              <c:f>List6!$J$16:$J$17</c:f>
              <c:numCache>
                <c:formatCode>0.0</c:formatCode>
                <c:ptCount val="2"/>
                <c:pt idx="0">
                  <c:v>14.869454080701114</c:v>
                </c:pt>
                <c:pt idx="1">
                  <c:v>8.0971465405758174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9D-4CCA-B695-49F744FDA58D}"/>
            </c:ext>
          </c:extLst>
        </c:ser>
        <c:ser>
          <c:idx val="1"/>
          <c:order val="1"/>
          <c:tx>
            <c:strRef>
              <c:f>List6!$K$15</c:f>
              <c:strCache>
                <c:ptCount val="1"/>
                <c:pt idx="0">
                  <c:v>20-24 let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List6!$I$16:$I$17</c:f>
              <c:strCache>
                <c:ptCount val="2"/>
                <c:pt idx="0">
                  <c:v>cizinci</c:v>
                </c:pt>
                <c:pt idx="1">
                  <c:v>Češi</c:v>
                </c:pt>
              </c:strCache>
            </c:strRef>
          </c:cat>
          <c:val>
            <c:numRef>
              <c:f>List6!$K$16:$K$17</c:f>
              <c:numCache>
                <c:formatCode>General</c:formatCode>
                <c:ptCount val="2"/>
                <c:pt idx="0">
                  <c:v>53.666240642687605</c:v>
                </c:pt>
                <c:pt idx="1">
                  <c:v>61.795993866283375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9D-4CCA-B695-49F744FDA58D}"/>
            </c:ext>
          </c:extLst>
        </c:ser>
        <c:ser>
          <c:idx val="2"/>
          <c:order val="2"/>
          <c:tx>
            <c:strRef>
              <c:f>List6!$L$15</c:f>
              <c:strCache>
                <c:ptCount val="1"/>
                <c:pt idx="0">
                  <c:v>25-29 let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List6!$I$16:$I$17</c:f>
              <c:strCache>
                <c:ptCount val="2"/>
                <c:pt idx="0">
                  <c:v>cizinci</c:v>
                </c:pt>
                <c:pt idx="1">
                  <c:v>Češi</c:v>
                </c:pt>
              </c:strCache>
            </c:strRef>
          </c:cat>
          <c:val>
            <c:numRef>
              <c:f>List6!$L$16:$L$17</c:f>
              <c:numCache>
                <c:formatCode>General</c:formatCode>
                <c:ptCount val="2"/>
                <c:pt idx="0">
                  <c:v>20.023735621690705</c:v>
                </c:pt>
                <c:pt idx="1">
                  <c:v>15.953668819339626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9D-4CCA-B695-49F744FDA58D}"/>
            </c:ext>
          </c:extLst>
        </c:ser>
        <c:ser>
          <c:idx val="3"/>
          <c:order val="3"/>
          <c:tx>
            <c:strRef>
              <c:f>List6!$M$15</c:f>
              <c:strCache>
                <c:ptCount val="1"/>
                <c:pt idx="0">
                  <c:v>30 a více let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List6!$I$16:$I$17</c:f>
              <c:strCache>
                <c:ptCount val="2"/>
                <c:pt idx="0">
                  <c:v>cizinci</c:v>
                </c:pt>
                <c:pt idx="1">
                  <c:v>Češi</c:v>
                </c:pt>
              </c:strCache>
            </c:strRef>
          </c:cat>
          <c:val>
            <c:numRef>
              <c:f>List6!$M$16:$M$17</c:f>
              <c:numCache>
                <c:formatCode>General</c:formatCode>
                <c:ptCount val="2"/>
                <c:pt idx="0">
                  <c:v>11.440569654920576</c:v>
                </c:pt>
                <c:pt idx="1">
                  <c:v>14.153190773801184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69D-4CCA-B695-49F744FDA5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overlap val="100"/>
        <c:axId val="187452207"/>
        <c:axId val="187443887"/>
      </c:barChart>
      <c:catAx>
        <c:axId val="1874522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7443887"/>
        <c:crosses val="autoZero"/>
        <c:auto val="1"/>
        <c:lblAlgn val="ctr"/>
        <c:lblOffset val="100"/>
        <c:noMultiLvlLbl val="0"/>
      </c:catAx>
      <c:valAx>
        <c:axId val="18744388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7452207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ayout>
        <c:manualLayout>
          <c:xMode val="edge"/>
          <c:yMode val="edge"/>
          <c:x val="7.9438981747576159E-2"/>
          <c:y val="0.87038371737275166"/>
          <c:w val="0.89567723838120894"/>
          <c:h val="0.121436323527043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725-464B-BF3C-140F57DBE4D5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725-464B-BF3C-140F57DBE4D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725-464B-BF3C-140F57DBE4D5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725-464B-BF3C-140F57DBE4D5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725-464B-BF3C-140F57DBE4D5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725-464B-BF3C-140F57DBE4D5}"/>
              </c:ext>
            </c:extLst>
          </c:dPt>
          <c:dLbls>
            <c:dLbl>
              <c:idx val="4"/>
              <c:layout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725-464B-BF3C-140F57DBE4D5}"/>
                </c:ext>
              </c:extLst>
            </c:dLbl>
            <c:dLbl>
              <c:idx val="5"/>
              <c:layout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2725-464B-BF3C-140F57DBE4D5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List6!$H$37:$I$42</c:f>
              <c:multiLvlStrCache>
                <c:ptCount val="6"/>
                <c:lvl>
                  <c:pt idx="0">
                    <c:v>Češi</c:v>
                  </c:pt>
                  <c:pt idx="1">
                    <c:v>cizinci</c:v>
                  </c:pt>
                  <c:pt idx="2">
                    <c:v>Češi</c:v>
                  </c:pt>
                  <c:pt idx="3">
                    <c:v>cizinci</c:v>
                  </c:pt>
                  <c:pt idx="4">
                    <c:v>Češi</c:v>
                  </c:pt>
                  <c:pt idx="5">
                    <c:v>cizinci</c:v>
                  </c:pt>
                </c:lvl>
                <c:lvl>
                  <c:pt idx="0">
                    <c:v>bakalářský</c:v>
                  </c:pt>
                  <c:pt idx="2">
                    <c:v>magisterský</c:v>
                  </c:pt>
                  <c:pt idx="4">
                    <c:v>doktorský</c:v>
                  </c:pt>
                </c:lvl>
              </c:multiLvlStrCache>
            </c:multiLvlStrRef>
          </c:cat>
          <c:val>
            <c:numRef>
              <c:f>List6!$J$37:$J$42</c:f>
              <c:numCache>
                <c:formatCode>0.0%</c:formatCode>
                <c:ptCount val="6"/>
                <c:pt idx="0">
                  <c:v>0.62126301713196697</c:v>
                </c:pt>
                <c:pt idx="1">
                  <c:v>0.52570750410808842</c:v>
                </c:pt>
                <c:pt idx="2">
                  <c:v>0.3270608206848783</c:v>
                </c:pt>
                <c:pt idx="3">
                  <c:v>0.37452985210881873</c:v>
                </c:pt>
                <c:pt idx="4">
                  <c:v>5.9547498268386144E-2</c:v>
                </c:pt>
                <c:pt idx="5">
                  <c:v>0.10283001643235348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725-464B-BF3C-140F57DBE4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overlap val="-27"/>
        <c:axId val="186155055"/>
        <c:axId val="186161295"/>
      </c:barChart>
      <c:catAx>
        <c:axId val="1861550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6161295"/>
        <c:crosses val="autoZero"/>
        <c:auto val="1"/>
        <c:lblAlgn val="ctr"/>
        <c:lblOffset val="100"/>
        <c:noMultiLvlLbl val="0"/>
      </c:catAx>
      <c:valAx>
        <c:axId val="186161295"/>
        <c:scaling>
          <c:orientation val="minMax"/>
        </c:scaling>
        <c:delete val="0"/>
        <c:axPos val="l"/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6155055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815065706224542E-2"/>
          <c:y val="6.3676029857969885E-2"/>
          <c:w val="0.90792343139517984"/>
          <c:h val="0.76841942629511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List6!$I$44</c:f>
              <c:strCache>
                <c:ptCount val="1"/>
                <c:pt idx="0">
                  <c:v>Češi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886-4B6A-B45A-55340D77F1A6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List6!$H$45:$H$46</c:f>
              <c:strCache>
                <c:ptCount val="2"/>
                <c:pt idx="0">
                  <c:v>prezenční</c:v>
                </c:pt>
                <c:pt idx="1">
                  <c:v>distanční a kombinované</c:v>
                </c:pt>
              </c:strCache>
            </c:strRef>
          </c:cat>
          <c:val>
            <c:numRef>
              <c:f>List6!$I$45:$I$46</c:f>
              <c:numCache>
                <c:formatCode>0.0</c:formatCode>
                <c:ptCount val="2"/>
                <c:pt idx="0">
                  <c:v>0.7835822987023906</c:v>
                </c:pt>
                <c:pt idx="1">
                  <c:v>0.22434108589205143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86-4B6A-B45A-55340D77F1A6}"/>
            </c:ext>
          </c:extLst>
        </c:ser>
        <c:ser>
          <c:idx val="1"/>
          <c:order val="1"/>
          <c:tx>
            <c:strRef>
              <c:f>List6!$J$44</c:f>
              <c:strCache>
                <c:ptCount val="1"/>
                <c:pt idx="0">
                  <c:v>cizinci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886-4B6A-B45A-55340D77F1A6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List6!$H$45:$H$46</c:f>
              <c:strCache>
                <c:ptCount val="2"/>
                <c:pt idx="0">
                  <c:v>prezenční</c:v>
                </c:pt>
                <c:pt idx="1">
                  <c:v>distanční a kombinované</c:v>
                </c:pt>
              </c:strCache>
            </c:strRef>
          </c:cat>
          <c:val>
            <c:numRef>
              <c:f>List6!$J$45:$J$46</c:f>
              <c:numCache>
                <c:formatCode>0.0</c:formatCode>
                <c:ptCount val="2"/>
                <c:pt idx="0">
                  <c:v>0.92442943217089646</c:v>
                </c:pt>
                <c:pt idx="1">
                  <c:v>7.7487675734891362E-2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886-4B6A-B45A-55340D77F1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overlap val="-27"/>
        <c:axId val="187451375"/>
        <c:axId val="187448047"/>
      </c:barChart>
      <c:catAx>
        <c:axId val="187451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7448047"/>
        <c:crosses val="autoZero"/>
        <c:auto val="1"/>
        <c:lblAlgn val="ctr"/>
        <c:lblOffset val="100"/>
        <c:noMultiLvlLbl val="0"/>
      </c:catAx>
      <c:valAx>
        <c:axId val="187448047"/>
        <c:scaling>
          <c:orientation val="minMax"/>
        </c:scaling>
        <c:delete val="0"/>
        <c:axPos val="l"/>
        <c:numFmt formatCode="0\ 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74513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043613298337708"/>
          <c:y val="5.1640784485272671E-2"/>
          <c:w val="0.17720416869715389"/>
          <c:h val="7.30410359221702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4310382919306801"/>
          <c:y val="2.4243239802876834E-2"/>
          <c:w val="0.52071210795620249"/>
          <c:h val="0.911487576754984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List7!$B$2</c:f>
              <c:strCache>
                <c:ptCount val="1"/>
                <c:pt idx="0">
                  <c:v>cizinci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List7!$A$3:$A$12</c:f>
              <c:strCache>
                <c:ptCount val="10"/>
                <c:pt idx="0">
                  <c:v>Zemědělství, lesnictví, rybářství a veterinářství </c:v>
                </c:pt>
                <c:pt idx="1">
                  <c:v>Služby </c:v>
                </c:pt>
                <c:pt idx="2">
                  <c:v>Informační a komunikační technologie </c:v>
                </c:pt>
                <c:pt idx="3">
                  <c:v>Přírodní vědy, matematika a statistika </c:v>
                </c:pt>
                <c:pt idx="4">
                  <c:v>Společenské vědy, žurnalistika a informační vědy </c:v>
                </c:pt>
                <c:pt idx="5">
                  <c:v>Umění a humanitní vědy </c:v>
                </c:pt>
                <c:pt idx="6">
                  <c:v>Zdravotní a sociální péče</c:v>
                </c:pt>
                <c:pt idx="7">
                  <c:v>Technika, výroba a stavebnictví </c:v>
                </c:pt>
                <c:pt idx="8">
                  <c:v>Vzdělávání a výchova </c:v>
                </c:pt>
                <c:pt idx="9">
                  <c:v>Obchod, administrativa a právo </c:v>
                </c:pt>
              </c:strCache>
            </c:strRef>
          </c:cat>
          <c:val>
            <c:numRef>
              <c:f>List7!$B$3:$B$12</c:f>
              <c:numCache>
                <c:formatCode>0.0%</c:formatCode>
                <c:ptCount val="10"/>
                <c:pt idx="0">
                  <c:v>3.207960562351652E-2</c:v>
                </c:pt>
                <c:pt idx="1">
                  <c:v>3.0765017345262005E-2</c:v>
                </c:pt>
                <c:pt idx="2">
                  <c:v>0.13878035420850832</c:v>
                </c:pt>
                <c:pt idx="3">
                  <c:v>9.6019718824173803E-2</c:v>
                </c:pt>
                <c:pt idx="4">
                  <c:v>0.10697462114296147</c:v>
                </c:pt>
                <c:pt idx="5">
                  <c:v>9.7115209056052587E-2</c:v>
                </c:pt>
                <c:pt idx="6">
                  <c:v>0.16711703487310572</c:v>
                </c:pt>
                <c:pt idx="7">
                  <c:v>0.10593390542267665</c:v>
                </c:pt>
                <c:pt idx="8">
                  <c:v>1.698009859412087E-2</c:v>
                </c:pt>
                <c:pt idx="9">
                  <c:v>0.21466131093664415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D1-46CD-AEA3-F4194D284B37}"/>
            </c:ext>
          </c:extLst>
        </c:ser>
        <c:ser>
          <c:idx val="1"/>
          <c:order val="1"/>
          <c:tx>
            <c:strRef>
              <c:f>List7!$C$2</c:f>
              <c:strCache>
                <c:ptCount val="1"/>
                <c:pt idx="0">
                  <c:v>Češi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List7!$A$3:$A$12</c:f>
              <c:strCache>
                <c:ptCount val="10"/>
                <c:pt idx="0">
                  <c:v>Zemědělství, lesnictví, rybářství a veterinářství </c:v>
                </c:pt>
                <c:pt idx="1">
                  <c:v>Služby </c:v>
                </c:pt>
                <c:pt idx="2">
                  <c:v>Informační a komunikační technologie </c:v>
                </c:pt>
                <c:pt idx="3">
                  <c:v>Přírodní vědy, matematika a statistika </c:v>
                </c:pt>
                <c:pt idx="4">
                  <c:v>Společenské vědy, žurnalistika a informační vědy </c:v>
                </c:pt>
                <c:pt idx="5">
                  <c:v>Umění a humanitní vědy </c:v>
                </c:pt>
                <c:pt idx="6">
                  <c:v>Zdravotní a sociální péče</c:v>
                </c:pt>
                <c:pt idx="7">
                  <c:v>Technika, výroba a stavebnictví </c:v>
                </c:pt>
                <c:pt idx="8">
                  <c:v>Vzdělávání a výchova </c:v>
                </c:pt>
                <c:pt idx="9">
                  <c:v>Obchod, administrativa a právo </c:v>
                </c:pt>
              </c:strCache>
            </c:strRef>
          </c:cat>
          <c:val>
            <c:numRef>
              <c:f>List7!$C$3:$C$12</c:f>
              <c:numCache>
                <c:formatCode>0.0%</c:formatCode>
                <c:ptCount val="10"/>
                <c:pt idx="0">
                  <c:v>3.914848638931484E-2</c:v>
                </c:pt>
                <c:pt idx="1">
                  <c:v>6.1161002053914254E-2</c:v>
                </c:pt>
                <c:pt idx="2">
                  <c:v>6.3607281986811703E-2</c:v>
                </c:pt>
                <c:pt idx="3">
                  <c:v>7.2379457654534032E-2</c:v>
                </c:pt>
                <c:pt idx="4">
                  <c:v>8.5319517790580821E-2</c:v>
                </c:pt>
                <c:pt idx="5">
                  <c:v>9.694235027045206E-2</c:v>
                </c:pt>
                <c:pt idx="6">
                  <c:v>0.12452005268910625</c:v>
                </c:pt>
                <c:pt idx="7">
                  <c:v>0.12489239971653582</c:v>
                </c:pt>
                <c:pt idx="8">
                  <c:v>0.14654858327961659</c:v>
                </c:pt>
                <c:pt idx="9">
                  <c:v>0.19988629402603228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D1-46CD-AEA3-F4194D284B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"/>
        <c:axId val="391255903"/>
        <c:axId val="391263391"/>
      </c:barChart>
      <c:catAx>
        <c:axId val="3912559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91263391"/>
        <c:crosses val="autoZero"/>
        <c:auto val="1"/>
        <c:lblAlgn val="ctr"/>
        <c:lblOffset val="100"/>
        <c:noMultiLvlLbl val="0"/>
      </c:catAx>
      <c:valAx>
        <c:axId val="391263391"/>
        <c:scaling>
          <c:orientation val="minMax"/>
        </c:scaling>
        <c:delete val="0"/>
        <c:axPos val="b"/>
        <c:numFmt formatCode="0\ 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912559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481883228460054"/>
          <c:y val="0.70506093495069888"/>
          <c:w val="8.8022823037652895E-2"/>
          <c:h val="0.197641767752003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972633865412922"/>
          <c:y val="2.2988505747126436E-2"/>
          <c:w val="0.75660155003310614"/>
          <c:h val="0.917247068254399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List10!$J$1</c:f>
              <c:strCache>
                <c:ptCount val="1"/>
                <c:pt idx="0">
                  <c:v>cizinci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60951F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List10!$I$2:$I$12</c:f>
              <c:strCache>
                <c:ptCount val="11"/>
                <c:pt idx="0">
                  <c:v>Liberec</c:v>
                </c:pt>
                <c:pt idx="1">
                  <c:v>Pardubice</c:v>
                </c:pt>
                <c:pt idx="2">
                  <c:v>Zlín</c:v>
                </c:pt>
                <c:pt idx="3">
                  <c:v>Ústí nad Labem</c:v>
                </c:pt>
                <c:pt idx="4">
                  <c:v>Hradec Králové</c:v>
                </c:pt>
                <c:pt idx="5">
                  <c:v>České Budějovice</c:v>
                </c:pt>
                <c:pt idx="6">
                  <c:v>Plzeň</c:v>
                </c:pt>
                <c:pt idx="7">
                  <c:v>Ostrava</c:v>
                </c:pt>
                <c:pt idx="8">
                  <c:v>Olomouc</c:v>
                </c:pt>
                <c:pt idx="9">
                  <c:v>Brno</c:v>
                </c:pt>
                <c:pt idx="10">
                  <c:v>Praha </c:v>
                </c:pt>
              </c:strCache>
            </c:strRef>
          </c:cat>
          <c:val>
            <c:numRef>
              <c:f>List10!$J$2:$J$12</c:f>
              <c:numCache>
                <c:formatCode>0.0%</c:formatCode>
                <c:ptCount val="11"/>
                <c:pt idx="0">
                  <c:v>9.1838597772503187E-3</c:v>
                </c:pt>
                <c:pt idx="1">
                  <c:v>9.4394741646886982E-3</c:v>
                </c:pt>
                <c:pt idx="2">
                  <c:v>1.7673909074310754E-2</c:v>
                </c:pt>
                <c:pt idx="3">
                  <c:v>6.317327003834217E-3</c:v>
                </c:pt>
                <c:pt idx="4">
                  <c:v>2.4210334124520724E-2</c:v>
                </c:pt>
                <c:pt idx="5">
                  <c:v>1.6158480920211795E-2</c:v>
                </c:pt>
                <c:pt idx="6">
                  <c:v>2.5725762278619682E-2</c:v>
                </c:pt>
                <c:pt idx="7">
                  <c:v>3.8999452254884062E-2</c:v>
                </c:pt>
                <c:pt idx="8">
                  <c:v>4.8384151907978817E-2</c:v>
                </c:pt>
                <c:pt idx="9">
                  <c:v>0.27075041080883694</c:v>
                </c:pt>
                <c:pt idx="10">
                  <c:v>0.50697462114296143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22-4613-BD6A-6D6EECC4481E}"/>
            </c:ext>
          </c:extLst>
        </c:ser>
        <c:ser>
          <c:idx val="1"/>
          <c:order val="1"/>
          <c:tx>
            <c:strRef>
              <c:f>List10!$K$1</c:f>
              <c:strCache>
                <c:ptCount val="1"/>
                <c:pt idx="0">
                  <c:v>Češi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4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List10!$I$2:$I$12</c:f>
              <c:strCache>
                <c:ptCount val="11"/>
                <c:pt idx="0">
                  <c:v>Liberec</c:v>
                </c:pt>
                <c:pt idx="1">
                  <c:v>Pardubice</c:v>
                </c:pt>
                <c:pt idx="2">
                  <c:v>Zlín</c:v>
                </c:pt>
                <c:pt idx="3">
                  <c:v>Ústí nad Labem</c:v>
                </c:pt>
                <c:pt idx="4">
                  <c:v>Hradec Králové</c:v>
                </c:pt>
                <c:pt idx="5">
                  <c:v>České Budějovice</c:v>
                </c:pt>
                <c:pt idx="6">
                  <c:v>Plzeň</c:v>
                </c:pt>
                <c:pt idx="7">
                  <c:v>Ostrava</c:v>
                </c:pt>
                <c:pt idx="8">
                  <c:v>Olomouc</c:v>
                </c:pt>
                <c:pt idx="9">
                  <c:v>Brno</c:v>
                </c:pt>
                <c:pt idx="10">
                  <c:v>Praha </c:v>
                </c:pt>
              </c:strCache>
            </c:strRef>
          </c:cat>
          <c:val>
            <c:numRef>
              <c:f>List10!$K$2:$K$12</c:f>
              <c:numCache>
                <c:formatCode>0.0%</c:formatCode>
                <c:ptCount val="11"/>
                <c:pt idx="0">
                  <c:v>2.2569034340004884E-2</c:v>
                </c:pt>
                <c:pt idx="1">
                  <c:v>2.3962332894257449E-2</c:v>
                </c:pt>
                <c:pt idx="2">
                  <c:v>2.7201351659746888E-2</c:v>
                </c:pt>
                <c:pt idx="3">
                  <c:v>3.0156105490316977E-2</c:v>
                </c:pt>
                <c:pt idx="4">
                  <c:v>3.2886650358133783E-2</c:v>
                </c:pt>
                <c:pt idx="5">
                  <c:v>4.2507617099136398E-2</c:v>
                </c:pt>
                <c:pt idx="6">
                  <c:v>4.7316098603898835E-2</c:v>
                </c:pt>
                <c:pt idx="7">
                  <c:v>7.1582715090464308E-2</c:v>
                </c:pt>
                <c:pt idx="8">
                  <c:v>8.1608058710718384E-2</c:v>
                </c:pt>
                <c:pt idx="9">
                  <c:v>0.19150648404312817</c:v>
                </c:pt>
                <c:pt idx="10">
                  <c:v>0.3768792514623629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22-4613-BD6A-6D6EECC448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axId val="180194735"/>
        <c:axId val="180189327"/>
      </c:barChart>
      <c:catAx>
        <c:axId val="1801947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0189327"/>
        <c:crosses val="autoZero"/>
        <c:auto val="1"/>
        <c:lblAlgn val="ctr"/>
        <c:lblOffset val="100"/>
        <c:noMultiLvlLbl val="0"/>
      </c:catAx>
      <c:valAx>
        <c:axId val="180189327"/>
        <c:scaling>
          <c:orientation val="minMax"/>
        </c:scaling>
        <c:delete val="0"/>
        <c:axPos val="b"/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0194735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73791508619562085"/>
          <c:y val="0.7983988778262221"/>
          <c:w val="0.18961641422729139"/>
          <c:h val="0.107281848389640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List14!$G$3</c:f>
              <c:strCache>
                <c:ptCount val="1"/>
                <c:pt idx="0">
                  <c:v>méně než 20 let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List14!$H$2:$I$2</c:f>
              <c:strCache>
                <c:ptCount val="2"/>
                <c:pt idx="0">
                  <c:v>soukromé</c:v>
                </c:pt>
                <c:pt idx="1">
                  <c:v>veřejné</c:v>
                </c:pt>
              </c:strCache>
            </c:strRef>
          </c:cat>
          <c:val>
            <c:numRef>
              <c:f>List14!$H$3:$I$3</c:f>
              <c:numCache>
                <c:formatCode>0.0%</c:formatCode>
                <c:ptCount val="2"/>
                <c:pt idx="0">
                  <c:v>6.5900761206653516E-2</c:v>
                </c:pt>
                <c:pt idx="1">
                  <c:v>9.5889123456433092E-2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61-4C4F-9CD8-6C5FBD7F89A3}"/>
            </c:ext>
          </c:extLst>
        </c:ser>
        <c:ser>
          <c:idx val="1"/>
          <c:order val="1"/>
          <c:tx>
            <c:strRef>
              <c:f>List14!$G$4</c:f>
              <c:strCache>
                <c:ptCount val="1"/>
                <c:pt idx="0">
                  <c:v>20-24 let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List14!$H$2:$I$2</c:f>
              <c:strCache>
                <c:ptCount val="2"/>
                <c:pt idx="0">
                  <c:v>soukromé</c:v>
                </c:pt>
                <c:pt idx="1">
                  <c:v>veřejné</c:v>
                </c:pt>
              </c:strCache>
            </c:strRef>
          </c:cat>
          <c:val>
            <c:numRef>
              <c:f>List14!$H$4:$I$4</c:f>
              <c:numCache>
                <c:formatCode>0.0%</c:formatCode>
                <c:ptCount val="2"/>
                <c:pt idx="0">
                  <c:v>0.51984071045954328</c:v>
                </c:pt>
                <c:pt idx="1">
                  <c:v>0.61207669394719333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61-4C4F-9CD8-6C5FBD7F89A3}"/>
            </c:ext>
          </c:extLst>
        </c:ser>
        <c:ser>
          <c:idx val="2"/>
          <c:order val="2"/>
          <c:tx>
            <c:strRef>
              <c:f>List14!$G$5</c:f>
              <c:strCache>
                <c:ptCount val="1"/>
                <c:pt idx="0">
                  <c:v>25-29 let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List14!$H$2:$I$2</c:f>
              <c:strCache>
                <c:ptCount val="2"/>
                <c:pt idx="0">
                  <c:v>soukromé</c:v>
                </c:pt>
                <c:pt idx="1">
                  <c:v>veřejné</c:v>
                </c:pt>
              </c:strCache>
            </c:strRef>
          </c:cat>
          <c:val>
            <c:numRef>
              <c:f>List14!$H$5:$I$5</c:f>
              <c:numCache>
                <c:formatCode>0.0%</c:formatCode>
                <c:ptCount val="2"/>
                <c:pt idx="0">
                  <c:v>0.17172963067380886</c:v>
                </c:pt>
                <c:pt idx="1">
                  <c:v>0.16633288990427716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61-4C4F-9CD8-6C5FBD7F89A3}"/>
            </c:ext>
          </c:extLst>
        </c:ser>
        <c:ser>
          <c:idx val="3"/>
          <c:order val="3"/>
          <c:tx>
            <c:strRef>
              <c:f>List14!$G$6</c:f>
              <c:strCache>
                <c:ptCount val="1"/>
                <c:pt idx="0">
                  <c:v>30 a více let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List14!$H$2:$I$2</c:f>
              <c:strCache>
                <c:ptCount val="2"/>
                <c:pt idx="0">
                  <c:v>soukromé</c:v>
                </c:pt>
                <c:pt idx="1">
                  <c:v>veřejné</c:v>
                </c:pt>
              </c:strCache>
            </c:strRef>
          </c:cat>
          <c:val>
            <c:numRef>
              <c:f>List14!$H$6:$I$6</c:f>
              <c:numCache>
                <c:formatCode>0.0%</c:formatCode>
                <c:ptCount val="2"/>
                <c:pt idx="0">
                  <c:v>0.24252889765999436</c:v>
                </c:pt>
                <c:pt idx="1">
                  <c:v>0.12569767778131236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61-4C4F-9CD8-6C5FBD7F89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7"/>
        <c:overlap val="100"/>
        <c:axId val="389960303"/>
        <c:axId val="389975695"/>
      </c:barChart>
      <c:catAx>
        <c:axId val="3899603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89975695"/>
        <c:crosses val="autoZero"/>
        <c:auto val="1"/>
        <c:lblAlgn val="ctr"/>
        <c:lblOffset val="100"/>
        <c:noMultiLvlLbl val="0"/>
      </c:catAx>
      <c:valAx>
        <c:axId val="389975695"/>
        <c:scaling>
          <c:orientation val="minMax"/>
        </c:scaling>
        <c:delete val="0"/>
        <c:axPos val="b"/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89960303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0407526925692955"/>
          <c:y val="0.89409667541557303"/>
          <c:w val="0.87569224855828731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20001345985598"/>
          <c:y val="5.0925925925925923E-2"/>
          <c:w val="0.74569217309374791"/>
          <c:h val="0.873788641003207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List14!$H$24</c:f>
              <c:strCache>
                <c:ptCount val="1"/>
                <c:pt idx="0">
                  <c:v>sourkomé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List14!$G$25:$G$30</c:f>
              <c:strCache>
                <c:ptCount val="6"/>
                <c:pt idx="0">
                  <c:v>doktorský</c:v>
                </c:pt>
                <c:pt idx="1">
                  <c:v>magisterský</c:v>
                </c:pt>
                <c:pt idx="2">
                  <c:v>bakalářský</c:v>
                </c:pt>
                <c:pt idx="4">
                  <c:v>distanční a kombinované</c:v>
                </c:pt>
                <c:pt idx="5">
                  <c:v>prezenční</c:v>
                </c:pt>
              </c:strCache>
            </c:strRef>
          </c:cat>
          <c:val>
            <c:numRef>
              <c:f>List14!$H$25:$H$30</c:f>
              <c:numCache>
                <c:formatCode>0.0%</c:formatCode>
                <c:ptCount val="6"/>
                <c:pt idx="0">
                  <c:v>3.4888638285875389E-3</c:v>
                </c:pt>
                <c:pt idx="1">
                  <c:v>0.20323512827741755</c:v>
                </c:pt>
                <c:pt idx="2">
                  <c:v>0.79373414152805188</c:v>
                </c:pt>
                <c:pt idx="4">
                  <c:v>0.44861855088807445</c:v>
                </c:pt>
                <c:pt idx="5">
                  <c:v>0.55208627008739775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DE-4C10-99A6-C29896039587}"/>
            </c:ext>
          </c:extLst>
        </c:ser>
        <c:ser>
          <c:idx val="1"/>
          <c:order val="1"/>
          <c:tx>
            <c:strRef>
              <c:f>List14!$I$24</c:f>
              <c:strCache>
                <c:ptCount val="1"/>
                <c:pt idx="0">
                  <c:v>veřejné</c:v>
                </c:pt>
              </c:strCache>
            </c:strRef>
          </c:tx>
          <c:spPr>
            <a:solidFill>
              <a:srgbClr val="6288CC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List14!$G$25:$G$30</c:f>
              <c:strCache>
                <c:ptCount val="6"/>
                <c:pt idx="0">
                  <c:v>doktorský</c:v>
                </c:pt>
                <c:pt idx="1">
                  <c:v>magisterský</c:v>
                </c:pt>
                <c:pt idx="2">
                  <c:v>bakalářský</c:v>
                </c:pt>
                <c:pt idx="4">
                  <c:v>distanční a kombinované</c:v>
                </c:pt>
                <c:pt idx="5">
                  <c:v>prezenční</c:v>
                </c:pt>
              </c:strCache>
            </c:strRef>
          </c:cat>
          <c:val>
            <c:numRef>
              <c:f>List14!$I$25:$I$30</c:f>
              <c:numCache>
                <c:formatCode>0.0%</c:formatCode>
                <c:ptCount val="6"/>
                <c:pt idx="0">
                  <c:v>7.3765869458341765E-2</c:v>
                </c:pt>
                <c:pt idx="1">
                  <c:v>0.3488461204777466</c:v>
                </c:pt>
                <c:pt idx="2">
                  <c:v>0.58472266404465134</c:v>
                </c:pt>
                <c:pt idx="4">
                  <c:v>0.1720661384077041</c:v>
                </c:pt>
                <c:pt idx="5">
                  <c:v>0.83470097457994741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DE-4C10-99A6-C298960395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axId val="389971951"/>
        <c:axId val="389976111"/>
      </c:barChart>
      <c:catAx>
        <c:axId val="3899719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89976111"/>
        <c:crosses val="autoZero"/>
        <c:auto val="1"/>
        <c:lblAlgn val="ctr"/>
        <c:lblOffset val="100"/>
        <c:noMultiLvlLbl val="0"/>
      </c:catAx>
      <c:valAx>
        <c:axId val="389976111"/>
        <c:scaling>
          <c:orientation val="minMax"/>
        </c:scaling>
        <c:delete val="0"/>
        <c:axPos val="b"/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89971951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78684901229451587"/>
          <c:y val="0.70260388592365541"/>
          <c:w val="0.15714981351015331"/>
          <c:h val="0.19507794747133114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7037651904175378"/>
          <c:y val="3.3794162826420893E-2"/>
          <c:w val="0.56652812174413747"/>
          <c:h val="0.904536449072898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List14!$H$34</c:f>
              <c:strCache>
                <c:ptCount val="1"/>
                <c:pt idx="0">
                  <c:v>soukromé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List14!$G$35:$G$44</c:f>
              <c:strCache>
                <c:ptCount val="10"/>
                <c:pt idx="0">
                  <c:v>Služby </c:v>
                </c:pt>
                <c:pt idx="1">
                  <c:v>Zemědělství, lesnictví, rybářství a veterinářství </c:v>
                </c:pt>
                <c:pt idx="2">
                  <c:v>Informační a komunikační technologie </c:v>
                </c:pt>
                <c:pt idx="3">
                  <c:v>Společenské vědy, žurnalistika a informační vědy </c:v>
                </c:pt>
                <c:pt idx="4">
                  <c:v>Přírodní vědy, matematika a statistika </c:v>
                </c:pt>
                <c:pt idx="5">
                  <c:v>Umění a humanitní vědy </c:v>
                </c:pt>
                <c:pt idx="6">
                  <c:v>Technika, výroba a stavebnictví </c:v>
                </c:pt>
                <c:pt idx="7">
                  <c:v>Vzdělávání a výchova </c:v>
                </c:pt>
                <c:pt idx="8">
                  <c:v>Zdravotní a sociální péče</c:v>
                </c:pt>
                <c:pt idx="9">
                  <c:v>Obchod, administrativa a právo </c:v>
                </c:pt>
              </c:strCache>
            </c:strRef>
          </c:cat>
          <c:val>
            <c:numRef>
              <c:f>List14!$H$35:$H$44</c:f>
              <c:numCache>
                <c:formatCode>0.0%</c:formatCode>
                <c:ptCount val="10"/>
                <c:pt idx="0">
                  <c:v>0.24851987595150832</c:v>
                </c:pt>
                <c:pt idx="1">
                  <c:v>0</c:v>
                </c:pt>
                <c:pt idx="2">
                  <c:v>2.9919650408796166E-2</c:v>
                </c:pt>
                <c:pt idx="3">
                  <c:v>0.13856780377784042</c:v>
                </c:pt>
                <c:pt idx="4">
                  <c:v>0</c:v>
                </c:pt>
                <c:pt idx="5">
                  <c:v>2.5197349873132224E-2</c:v>
                </c:pt>
                <c:pt idx="6">
                  <c:v>3.3478996334930927E-3</c:v>
                </c:pt>
                <c:pt idx="7">
                  <c:v>3.4360022554271216E-2</c:v>
                </c:pt>
                <c:pt idx="8">
                  <c:v>3.6756413870876796E-2</c:v>
                </c:pt>
                <c:pt idx="9">
                  <c:v>0.48470538483225262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B7-4233-BF10-FFDA9F7F3420}"/>
            </c:ext>
          </c:extLst>
        </c:ser>
        <c:ser>
          <c:idx val="1"/>
          <c:order val="1"/>
          <c:tx>
            <c:strRef>
              <c:f>List14!$I$34</c:f>
              <c:strCache>
                <c:ptCount val="1"/>
                <c:pt idx="0">
                  <c:v>veřejné</c:v>
                </c:pt>
              </c:strCache>
            </c:strRef>
          </c:tx>
          <c:spPr>
            <a:solidFill>
              <a:srgbClr val="6288CC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List14!$G$35:$G$44</c:f>
              <c:strCache>
                <c:ptCount val="10"/>
                <c:pt idx="0">
                  <c:v>Služby </c:v>
                </c:pt>
                <c:pt idx="1">
                  <c:v>Zemědělství, lesnictví, rybářství a veterinářství </c:v>
                </c:pt>
                <c:pt idx="2">
                  <c:v>Informační a komunikační technologie </c:v>
                </c:pt>
                <c:pt idx="3">
                  <c:v>Společenské vědy, žurnalistika a informační vědy </c:v>
                </c:pt>
                <c:pt idx="4">
                  <c:v>Přírodní vědy, matematika a statistika </c:v>
                </c:pt>
                <c:pt idx="5">
                  <c:v>Umění a humanitní vědy </c:v>
                </c:pt>
                <c:pt idx="6">
                  <c:v>Technika, výroba a stavebnictví </c:v>
                </c:pt>
                <c:pt idx="7">
                  <c:v>Vzdělávání a výchova </c:v>
                </c:pt>
                <c:pt idx="8">
                  <c:v>Zdravotní a sociální péče</c:v>
                </c:pt>
                <c:pt idx="9">
                  <c:v>Obchod, administrativa a právo </c:v>
                </c:pt>
              </c:strCache>
            </c:strRef>
          </c:cat>
          <c:val>
            <c:numRef>
              <c:f>List14!$I$35:$I$44</c:f>
              <c:numCache>
                <c:formatCode>0.0%</c:formatCode>
                <c:ptCount val="10"/>
                <c:pt idx="0">
                  <c:v>3.585991497729836E-2</c:v>
                </c:pt>
                <c:pt idx="1">
                  <c:v>4.1697995893461348E-2</c:v>
                </c:pt>
                <c:pt idx="2">
                  <c:v>8.1859654703721918E-2</c:v>
                </c:pt>
                <c:pt idx="3">
                  <c:v>8.4050290638827033E-2</c:v>
                </c:pt>
                <c:pt idx="4">
                  <c:v>8.4361172966251188E-2</c:v>
                </c:pt>
                <c:pt idx="5">
                  <c:v>0.10418534370571735</c:v>
                </c:pt>
                <c:pt idx="6">
                  <c:v>0.13338659301888428</c:v>
                </c:pt>
                <c:pt idx="7">
                  <c:v>0.13567844645594146</c:v>
                </c:pt>
                <c:pt idx="8">
                  <c:v>0.14178041585933659</c:v>
                </c:pt>
                <c:pt idx="9">
                  <c:v>0.17362055004482491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B7-4233-BF10-FFDA9F7F34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axId val="180861535"/>
        <c:axId val="180862367"/>
      </c:barChart>
      <c:catAx>
        <c:axId val="1808615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0862367"/>
        <c:crosses val="autoZero"/>
        <c:auto val="1"/>
        <c:lblAlgn val="ctr"/>
        <c:lblOffset val="100"/>
        <c:noMultiLvlLbl val="0"/>
      </c:catAx>
      <c:valAx>
        <c:axId val="180862367"/>
        <c:scaling>
          <c:orientation val="minMax"/>
          <c:max val="0.5"/>
        </c:scaling>
        <c:delete val="0"/>
        <c:axPos val="b"/>
        <c:numFmt formatCode="0\ 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08615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2912300747663026"/>
          <c:y val="0.6808752131789978"/>
          <c:w val="0.11574265179344378"/>
          <c:h val="0.168587152412400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51029046144768"/>
          <c:y val="3.5216821422615369E-2"/>
          <c:w val="0.758967968265159"/>
          <c:h val="0.86952867544803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List14!$I$51</c:f>
              <c:strCache>
                <c:ptCount val="1"/>
                <c:pt idx="0">
                  <c:v>veřejné</c:v>
                </c:pt>
              </c:strCache>
            </c:strRef>
          </c:tx>
          <c:spPr>
            <a:solidFill>
              <a:srgbClr val="6288CC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List14!$G$52:$G$62</c:f>
              <c:strCache>
                <c:ptCount val="11"/>
                <c:pt idx="0">
                  <c:v>Liberec</c:v>
                </c:pt>
                <c:pt idx="1">
                  <c:v>Pardubice</c:v>
                </c:pt>
                <c:pt idx="2">
                  <c:v>Zlín</c:v>
                </c:pt>
                <c:pt idx="3">
                  <c:v>Ústí nad Labem</c:v>
                </c:pt>
                <c:pt idx="4">
                  <c:v>Hradec Králové</c:v>
                </c:pt>
                <c:pt idx="5">
                  <c:v>České Budějovice</c:v>
                </c:pt>
                <c:pt idx="6">
                  <c:v>Plzeň</c:v>
                </c:pt>
                <c:pt idx="7">
                  <c:v>Ostrava</c:v>
                </c:pt>
                <c:pt idx="8">
                  <c:v>Olomouc</c:v>
                </c:pt>
                <c:pt idx="9">
                  <c:v>Brno</c:v>
                </c:pt>
                <c:pt idx="10">
                  <c:v>Praha</c:v>
                </c:pt>
              </c:strCache>
            </c:strRef>
          </c:cat>
          <c:val>
            <c:numRef>
              <c:f>List14!$I$52:$I$62</c:f>
              <c:numCache>
                <c:formatCode>0.0%</c:formatCode>
                <c:ptCount val="11"/>
                <c:pt idx="0">
                  <c:v>2.2195552213771366E-2</c:v>
                </c:pt>
                <c:pt idx="1">
                  <c:v>2.3504149917580035E-2</c:v>
                </c:pt>
                <c:pt idx="2">
                  <c:v>2.8058937505422366E-2</c:v>
                </c:pt>
                <c:pt idx="3">
                  <c:v>2.8478267156366581E-2</c:v>
                </c:pt>
                <c:pt idx="4">
                  <c:v>3.4482633968593655E-2</c:v>
                </c:pt>
                <c:pt idx="5">
                  <c:v>4.0949709361172967E-2</c:v>
                </c:pt>
                <c:pt idx="6">
                  <c:v>4.7814424939992481E-2</c:v>
                </c:pt>
                <c:pt idx="7">
                  <c:v>7.0024436796899847E-2</c:v>
                </c:pt>
                <c:pt idx="8">
                  <c:v>8.2116313369386046E-2</c:v>
                </c:pt>
                <c:pt idx="9">
                  <c:v>0.21768992741259147</c:v>
                </c:pt>
                <c:pt idx="10">
                  <c:v>0.36105728910610485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50-4A75-8612-F3FDB73949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4"/>
        <c:axId val="180861535"/>
        <c:axId val="180862367"/>
      </c:barChart>
      <c:catAx>
        <c:axId val="1808615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0862367"/>
        <c:crosses val="autoZero"/>
        <c:auto val="1"/>
        <c:lblAlgn val="ctr"/>
        <c:lblOffset val="100"/>
        <c:noMultiLvlLbl val="0"/>
      </c:catAx>
      <c:valAx>
        <c:axId val="180862367"/>
        <c:scaling>
          <c:orientation val="minMax"/>
          <c:max val="0.5"/>
        </c:scaling>
        <c:delete val="0"/>
        <c:axPos val="b"/>
        <c:numFmt formatCode="0\ 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08615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91442378454719"/>
          <c:y val="4.5128205128205132E-2"/>
          <c:w val="0.58256843502341782"/>
          <c:h val="0.8057582337091585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List1!$N$2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List1!$M$3:$M$12</c:f>
              <c:strCache>
                <c:ptCount val="10"/>
                <c:pt idx="0">
                  <c:v>Vzdělávání a výchova </c:v>
                </c:pt>
                <c:pt idx="1">
                  <c:v>Zdravotní a sociální péče</c:v>
                </c:pt>
                <c:pt idx="2">
                  <c:v>Umění a humanitní vědy </c:v>
                </c:pt>
                <c:pt idx="3">
                  <c:v>Zemědělství, lesnictví, rybářství a veter.</c:v>
                </c:pt>
                <c:pt idx="4">
                  <c:v>Společenské vědy, žurnalistika a infor. vědy </c:v>
                </c:pt>
                <c:pt idx="5">
                  <c:v>Přírodní vědy, matematika a statistika </c:v>
                </c:pt>
                <c:pt idx="6">
                  <c:v>Obchod, administrativa a právo </c:v>
                </c:pt>
                <c:pt idx="7">
                  <c:v>Služby </c:v>
                </c:pt>
                <c:pt idx="8">
                  <c:v>Technika, výroba a stavebnictví </c:v>
                </c:pt>
                <c:pt idx="9">
                  <c:v>Informační a komunikační technologie </c:v>
                </c:pt>
              </c:strCache>
            </c:strRef>
          </c:cat>
          <c:val>
            <c:numRef>
              <c:f>List1!$N$3:$N$12</c:f>
              <c:numCache>
                <c:formatCode>0.0%</c:formatCode>
                <c:ptCount val="10"/>
                <c:pt idx="0">
                  <c:v>0.22947805930780912</c:v>
                </c:pt>
                <c:pt idx="1">
                  <c:v>0.26591806821851788</c:v>
                </c:pt>
                <c:pt idx="2">
                  <c:v>0.33747587281162167</c:v>
                </c:pt>
                <c:pt idx="3">
                  <c:v>0.37824013870827916</c:v>
                </c:pt>
                <c:pt idx="4">
                  <c:v>0.38059481743227325</c:v>
                </c:pt>
                <c:pt idx="5">
                  <c:v>0.43407464541286367</c:v>
                </c:pt>
                <c:pt idx="6">
                  <c:v>0.44593959241905934</c:v>
                </c:pt>
                <c:pt idx="7">
                  <c:v>0.55739637993042868</c:v>
                </c:pt>
                <c:pt idx="8">
                  <c:v>0.71545968156137651</c:v>
                </c:pt>
                <c:pt idx="9">
                  <c:v>0.82233480926430513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EC-4712-8693-513F91687903}"/>
            </c:ext>
          </c:extLst>
        </c:ser>
        <c:ser>
          <c:idx val="1"/>
          <c:order val="1"/>
          <c:tx>
            <c:strRef>
              <c:f>List1!$O$2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List1!$M$3:$M$12</c:f>
              <c:strCache>
                <c:ptCount val="10"/>
                <c:pt idx="0">
                  <c:v>Vzdělávání a výchova </c:v>
                </c:pt>
                <c:pt idx="1">
                  <c:v>Zdravotní a sociální péče</c:v>
                </c:pt>
                <c:pt idx="2">
                  <c:v>Umění a humanitní vědy </c:v>
                </c:pt>
                <c:pt idx="3">
                  <c:v>Zemědělství, lesnictví, rybářství a veter.</c:v>
                </c:pt>
                <c:pt idx="4">
                  <c:v>Společenské vědy, žurnalistika a infor. vědy </c:v>
                </c:pt>
                <c:pt idx="5">
                  <c:v>Přírodní vědy, matematika a statistika </c:v>
                </c:pt>
                <c:pt idx="6">
                  <c:v>Obchod, administrativa a právo </c:v>
                </c:pt>
                <c:pt idx="7">
                  <c:v>Služby </c:v>
                </c:pt>
                <c:pt idx="8">
                  <c:v>Technika, výroba a stavebnictví </c:v>
                </c:pt>
                <c:pt idx="9">
                  <c:v>Informační a komunikační technologie </c:v>
                </c:pt>
              </c:strCache>
            </c:strRef>
          </c:cat>
          <c:val>
            <c:numRef>
              <c:f>List1!$O$3:$O$12</c:f>
              <c:numCache>
                <c:formatCode>0.0%</c:formatCode>
                <c:ptCount val="10"/>
                <c:pt idx="0">
                  <c:v>0.77052194069219082</c:v>
                </c:pt>
                <c:pt idx="1">
                  <c:v>0.73408193178148218</c:v>
                </c:pt>
                <c:pt idx="2">
                  <c:v>0.66252412718837828</c:v>
                </c:pt>
                <c:pt idx="3">
                  <c:v>0.62175986129172089</c:v>
                </c:pt>
                <c:pt idx="4">
                  <c:v>0.6194051825677267</c:v>
                </c:pt>
                <c:pt idx="5">
                  <c:v>0.56592535458713633</c:v>
                </c:pt>
                <c:pt idx="6">
                  <c:v>0.55406040758094066</c:v>
                </c:pt>
                <c:pt idx="7">
                  <c:v>0.44260362006957138</c:v>
                </c:pt>
                <c:pt idx="8">
                  <c:v>0.28454031843862354</c:v>
                </c:pt>
                <c:pt idx="9">
                  <c:v>0.17766519073569481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EC-4712-8693-513F916879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7"/>
        <c:overlap val="100"/>
        <c:axId val="172390047"/>
        <c:axId val="172390463"/>
      </c:barChart>
      <c:catAx>
        <c:axId val="1723900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72390463"/>
        <c:crosses val="autoZero"/>
        <c:auto val="1"/>
        <c:lblAlgn val="ctr"/>
        <c:lblOffset val="100"/>
        <c:noMultiLvlLbl val="0"/>
      </c:catAx>
      <c:valAx>
        <c:axId val="172390463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72390047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974938424431144"/>
          <c:y val="0.93074322632747841"/>
          <c:w val="0.2691935695538058"/>
          <c:h val="6.87295858850976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730998891375215E-2"/>
          <c:y val="4.6634877948145491E-2"/>
          <c:w val="0.9485380022172496"/>
          <c:h val="0.805099258515455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cizinci!$X$10</c:f>
              <c:strCache>
                <c:ptCount val="1"/>
                <c:pt idx="0">
                  <c:v>počet cizinců (v tis.)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cizinci!$Y$9:$AT$9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cizinci!$Y$10:$AT$10</c:f>
              <c:numCache>
                <c:formatCode>#,##0</c:formatCode>
                <c:ptCount val="22"/>
                <c:pt idx="0">
                  <c:v>8.7629999999999999</c:v>
                </c:pt>
                <c:pt idx="1">
                  <c:v>11.051</c:v>
                </c:pt>
                <c:pt idx="2">
                  <c:v>13.061</c:v>
                </c:pt>
                <c:pt idx="3">
                  <c:v>17.048999999999999</c:v>
                </c:pt>
                <c:pt idx="4">
                  <c:v>20.873999999999999</c:v>
                </c:pt>
                <c:pt idx="5">
                  <c:v>23.858000000000001</c:v>
                </c:pt>
                <c:pt idx="6">
                  <c:v>27.038</c:v>
                </c:pt>
                <c:pt idx="7">
                  <c:v>30.116</c:v>
                </c:pt>
                <c:pt idx="8">
                  <c:v>34.423999999999999</c:v>
                </c:pt>
                <c:pt idx="9">
                  <c:v>37.497999999999998</c:v>
                </c:pt>
                <c:pt idx="10">
                  <c:v>38.706000000000003</c:v>
                </c:pt>
                <c:pt idx="11">
                  <c:v>39.426000000000002</c:v>
                </c:pt>
                <c:pt idx="12">
                  <c:v>40.323999999999998</c:v>
                </c:pt>
                <c:pt idx="13">
                  <c:v>40.902000000000001</c:v>
                </c:pt>
                <c:pt idx="14">
                  <c:v>42.011000000000003</c:v>
                </c:pt>
                <c:pt idx="15">
                  <c:v>43.435000000000002</c:v>
                </c:pt>
                <c:pt idx="16">
                  <c:v>43.65</c:v>
                </c:pt>
                <c:pt idx="17">
                  <c:v>44.65</c:v>
                </c:pt>
                <c:pt idx="18">
                  <c:v>46.293999999999997</c:v>
                </c:pt>
                <c:pt idx="19">
                  <c:v>49.860999999999997</c:v>
                </c:pt>
                <c:pt idx="20">
                  <c:v>51.749000000000002</c:v>
                </c:pt>
                <c:pt idx="21">
                  <c:v>54.77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DC-436E-9EE2-D5D98165D9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-27"/>
        <c:axId val="78588928"/>
        <c:axId val="78593920"/>
      </c:barChart>
      <c:lineChart>
        <c:grouping val="standard"/>
        <c:varyColors val="0"/>
        <c:ser>
          <c:idx val="1"/>
          <c:order val="1"/>
          <c:tx>
            <c:strRef>
              <c:f>cizinci!$X$11</c:f>
              <c:strCache>
                <c:ptCount val="1"/>
                <c:pt idx="0">
                  <c:v>podíl ze všech studentů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BDC-436E-9EE2-D5D98165D90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DC-436E-9EE2-D5D98165D901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DC-436E-9EE2-D5D98165D901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BDC-436E-9EE2-D5D98165D901}"/>
                </c:ext>
              </c:extLst>
            </c:dLbl>
            <c:dLbl>
              <c:idx val="4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BDC-436E-9EE2-D5D98165D901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BDC-436E-9EE2-D5D98165D901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BDC-436E-9EE2-D5D98165D901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BDC-436E-9EE2-D5D98165D901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BDC-436E-9EE2-D5D98165D901}"/>
                </c:ext>
              </c:extLst>
            </c:dLbl>
            <c:dLbl>
              <c:idx val="9"/>
              <c:numFmt formatCode="0.0\ %" sourceLinked="0"/>
              <c:spPr>
                <a:solidFill>
                  <a:schemeClr val="accent2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FBDC-436E-9EE2-D5D98165D901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BDC-436E-9EE2-D5D98165D901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BDC-436E-9EE2-D5D98165D901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BDC-436E-9EE2-D5D98165D901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BDC-436E-9EE2-D5D98165D901}"/>
                </c:ext>
              </c:extLst>
            </c:dLbl>
            <c:dLbl>
              <c:idx val="14"/>
              <c:layout>
                <c:manualLayout>
                  <c:x val="-4.6684357265618134E-2"/>
                  <c:y val="-7.0365588066812396E-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FBDC-436E-9EE2-D5D98165D901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BDC-436E-9EE2-D5D98165D901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BDC-436E-9EE2-D5D98165D901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BDC-436E-9EE2-D5D98165D901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BDC-436E-9EE2-D5D98165D901}"/>
                </c:ext>
              </c:extLst>
            </c:dLbl>
            <c:dLbl>
              <c:idx val="19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FBDC-436E-9EE2-D5D98165D901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BDC-436E-9EE2-D5D98165D901}"/>
                </c:ext>
              </c:extLst>
            </c:dLbl>
            <c:dLbl>
              <c:idx val="21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FBDC-436E-9EE2-D5D98165D901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cizinci!$Y$9:$AT$9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cizinci!$Y$11:$AT$11</c:f>
              <c:numCache>
                <c:formatCode>0.0%</c:formatCode>
                <c:ptCount val="22"/>
                <c:pt idx="0">
                  <c:v>4.3072431284652588E-2</c:v>
                </c:pt>
                <c:pt idx="1">
                  <c:v>5.0191436889411703E-2</c:v>
                </c:pt>
                <c:pt idx="2">
                  <c:v>5.3590845119544386E-2</c:v>
                </c:pt>
                <c:pt idx="3">
                  <c:v>6.4391979423572998E-2</c:v>
                </c:pt>
                <c:pt idx="4">
                  <c:v>7.2112843437675975E-2</c:v>
                </c:pt>
                <c:pt idx="5">
                  <c:v>7.5457734117282405E-2</c:v>
                </c:pt>
                <c:pt idx="6">
                  <c:v>7.861186301218516E-2</c:v>
                </c:pt>
                <c:pt idx="7">
                  <c:v>8.1825838880586879E-2</c:v>
                </c:pt>
                <c:pt idx="8">
                  <c:v>8.849539322145443E-2</c:v>
                </c:pt>
                <c:pt idx="9">
                  <c:v>9.4695745282637689E-2</c:v>
                </c:pt>
                <c:pt idx="10">
                  <c:v>9.8729973293473355E-2</c:v>
                </c:pt>
                <c:pt idx="11">
                  <c:v>0.10350992803715499</c:v>
                </c:pt>
                <c:pt idx="12">
                  <c:v>0.10964521111135281</c:v>
                </c:pt>
                <c:pt idx="13">
                  <c:v>0.11794151655569941</c:v>
                </c:pt>
                <c:pt idx="14">
                  <c:v>0.12870110255711148</c:v>
                </c:pt>
                <c:pt idx="15">
                  <c:v>0.13964217396196693</c:v>
                </c:pt>
                <c:pt idx="16">
                  <c:v>0.14615134784020786</c:v>
                </c:pt>
                <c:pt idx="17">
                  <c:v>0.1541520944315361</c:v>
                </c:pt>
                <c:pt idx="18">
                  <c:v>0.16042165522546842</c:v>
                </c:pt>
                <c:pt idx="19">
                  <c:v>0.16676700581298121</c:v>
                </c:pt>
                <c:pt idx="20">
                  <c:v>0.17043272635056136</c:v>
                </c:pt>
                <c:pt idx="21">
                  <c:v>0.17985800510971436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FBDC-436E-9EE2-D5D98165D9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6953216"/>
        <c:axId val="78601824"/>
      </c:lineChart>
      <c:catAx>
        <c:axId val="78588928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8593920"/>
        <c:crosses val="autoZero"/>
        <c:auto val="1"/>
        <c:lblAlgn val="ctr"/>
        <c:lblOffset val="100"/>
        <c:noMultiLvlLbl val="0"/>
      </c:catAx>
      <c:valAx>
        <c:axId val="78593920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8588928"/>
        <c:crosses val="autoZero"/>
        <c:crossBetween val="between"/>
      </c:valAx>
      <c:valAx>
        <c:axId val="78601824"/>
        <c:scaling>
          <c:orientation val="minMax"/>
          <c:max val="0.2"/>
        </c:scaling>
        <c:delete val="0"/>
        <c:axPos val="r"/>
        <c:numFmt formatCode="0\ %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56953216"/>
        <c:crosses val="max"/>
        <c:crossBetween val="between"/>
      </c:valAx>
      <c:catAx>
        <c:axId val="256953216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786018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56085989056682E-2"/>
          <c:y val="4.251985904716632E-2"/>
          <c:w val="0.25497031317687235"/>
          <c:h val="0.222282836962976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List1!$N$15</c:f>
              <c:strCache>
                <c:ptCount val="1"/>
                <c:pt idx="0">
                  <c:v>občané ČR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List1!$M$16:$M$25</c:f>
              <c:strCache>
                <c:ptCount val="10"/>
                <c:pt idx="0">
                  <c:v>Informační a komunikační technologie </c:v>
                </c:pt>
                <c:pt idx="1">
                  <c:v>Zdravotní a sociální péče</c:v>
                </c:pt>
                <c:pt idx="2">
                  <c:v>Přírodní vědy, matematika a statistika </c:v>
                </c:pt>
                <c:pt idx="3">
                  <c:v>Společenské vědy, žurnalistika a infor. vědy </c:v>
                </c:pt>
                <c:pt idx="4">
                  <c:v>Obchod, administrativa a právo </c:v>
                </c:pt>
                <c:pt idx="5">
                  <c:v>Umění a humanitní vědy </c:v>
                </c:pt>
                <c:pt idx="6">
                  <c:v>Technika, výroba a stavebnictví </c:v>
                </c:pt>
                <c:pt idx="7">
                  <c:v>Zemědělství, lesnictví, rybářství a veter.</c:v>
                </c:pt>
                <c:pt idx="8">
                  <c:v>Služby </c:v>
                </c:pt>
                <c:pt idx="9">
                  <c:v>Vzdělávání a výchova </c:v>
                </c:pt>
              </c:strCache>
            </c:strRef>
          </c:cat>
          <c:val>
            <c:numRef>
              <c:f>List1!$N$16:$N$25</c:f>
              <c:numCache>
                <c:formatCode>0.0%</c:formatCode>
                <c:ptCount val="10"/>
                <c:pt idx="0">
                  <c:v>0.6763879427792916</c:v>
                </c:pt>
                <c:pt idx="1">
                  <c:v>0.77263806424365888</c:v>
                </c:pt>
                <c:pt idx="2">
                  <c:v>0.77464969790461502</c:v>
                </c:pt>
                <c:pt idx="3">
                  <c:v>0.78437868080094231</c:v>
                </c:pt>
                <c:pt idx="4">
                  <c:v>0.80940646228173996</c:v>
                </c:pt>
                <c:pt idx="5">
                  <c:v>0.81991805221631509</c:v>
                </c:pt>
                <c:pt idx="6">
                  <c:v>0.84324061308896281</c:v>
                </c:pt>
                <c:pt idx="7">
                  <c:v>0.84768097095795403</c:v>
                </c:pt>
                <c:pt idx="8">
                  <c:v>0.90065444254466132</c:v>
                </c:pt>
                <c:pt idx="9">
                  <c:v>0.97522180481176568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D2-45D1-A006-1EBF606BFD85}"/>
            </c:ext>
          </c:extLst>
        </c:ser>
        <c:ser>
          <c:idx val="1"/>
          <c:order val="1"/>
          <c:tx>
            <c:strRef>
              <c:f>List1!$O$15</c:f>
              <c:strCache>
                <c:ptCount val="1"/>
                <c:pt idx="0">
                  <c:v>cizinci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-2.4363233665559248E-2"/>
                  <c:y val="-9.013334094173446E-18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6D2-45D1-A006-1EBF606BFD85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List1!$M$16:$M$25</c:f>
              <c:strCache>
                <c:ptCount val="10"/>
                <c:pt idx="0">
                  <c:v>Informační a komunikační technologie </c:v>
                </c:pt>
                <c:pt idx="1">
                  <c:v>Zdravotní a sociální péče</c:v>
                </c:pt>
                <c:pt idx="2">
                  <c:v>Přírodní vědy, matematika a statistika </c:v>
                </c:pt>
                <c:pt idx="3">
                  <c:v>Společenské vědy, žurnalistika a infor. vědy </c:v>
                </c:pt>
                <c:pt idx="4">
                  <c:v>Obchod, administrativa a právo </c:v>
                </c:pt>
                <c:pt idx="5">
                  <c:v>Umění a humanitní vědy </c:v>
                </c:pt>
                <c:pt idx="6">
                  <c:v>Technika, výroba a stavebnictví </c:v>
                </c:pt>
                <c:pt idx="7">
                  <c:v>Zemědělství, lesnictví, rybářství a veter.</c:v>
                </c:pt>
                <c:pt idx="8">
                  <c:v>Služby </c:v>
                </c:pt>
                <c:pt idx="9">
                  <c:v>Vzdělávání a výchova </c:v>
                </c:pt>
              </c:strCache>
            </c:strRef>
          </c:cat>
          <c:val>
            <c:numRef>
              <c:f>List1!$O$16:$O$25</c:f>
              <c:numCache>
                <c:formatCode>0.0%</c:formatCode>
                <c:ptCount val="10"/>
                <c:pt idx="0">
                  <c:v>0.32361205722070846</c:v>
                </c:pt>
                <c:pt idx="1">
                  <c:v>0.22738677862519563</c:v>
                </c:pt>
                <c:pt idx="2">
                  <c:v>0.22535030209538501</c:v>
                </c:pt>
                <c:pt idx="3">
                  <c:v>0.21565812720848057</c:v>
                </c:pt>
                <c:pt idx="4">
                  <c:v>0.19060975016617759</c:v>
                </c:pt>
                <c:pt idx="5">
                  <c:v>0.18011581050421591</c:v>
                </c:pt>
                <c:pt idx="6">
                  <c:v>0.15684048333468495</c:v>
                </c:pt>
                <c:pt idx="7">
                  <c:v>0.15231902904204594</c:v>
                </c:pt>
                <c:pt idx="8">
                  <c:v>9.9345557455338712E-2</c:v>
                </c:pt>
                <c:pt idx="9">
                  <c:v>2.4778195188234355E-2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D2-45D1-A006-1EBF606BFD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7"/>
        <c:overlap val="100"/>
        <c:axId val="172390047"/>
        <c:axId val="172390463"/>
      </c:barChart>
      <c:catAx>
        <c:axId val="1723900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72390463"/>
        <c:crosses val="autoZero"/>
        <c:auto val="1"/>
        <c:lblAlgn val="ctr"/>
        <c:lblOffset val="100"/>
        <c:noMultiLvlLbl val="0"/>
      </c:catAx>
      <c:valAx>
        <c:axId val="172390463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72390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20697725284339"/>
          <c:y val="0.92664078448527287"/>
          <c:w val="0.2691935695538058"/>
          <c:h val="6.87295858850976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154273334104037"/>
          <c:y val="4.0930232558139532E-2"/>
          <c:w val="0.48088802113438922"/>
          <c:h val="0.8061125801135323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List15!$B$26</c:f>
              <c:strCache>
                <c:ptCount val="1"/>
                <c:pt idx="0">
                  <c:v>bakalářský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List15!$A$27:$A$36</c:f>
              <c:strCache>
                <c:ptCount val="10"/>
                <c:pt idx="0">
                  <c:v>Vzdělávání a výchova </c:v>
                </c:pt>
                <c:pt idx="1">
                  <c:v>Obchod, administrativa a právo </c:v>
                </c:pt>
                <c:pt idx="2">
                  <c:v>Služby </c:v>
                </c:pt>
                <c:pt idx="3">
                  <c:v>Informační a komunikační technologie </c:v>
                </c:pt>
                <c:pt idx="4">
                  <c:v>Společenské vědy, žurnalistika a informační vědy </c:v>
                </c:pt>
                <c:pt idx="5">
                  <c:v>Zdravotní a sociální péče, péče o příznivé životní podmínky </c:v>
                </c:pt>
                <c:pt idx="6">
                  <c:v>Zemědělství, lesnictví, rybářství a veterinářství </c:v>
                </c:pt>
                <c:pt idx="7">
                  <c:v>Umění a humanitní vědy </c:v>
                </c:pt>
                <c:pt idx="8">
                  <c:v>Technika, výroba a stavebnictví </c:v>
                </c:pt>
                <c:pt idx="9">
                  <c:v>Přírodní vědy, matematika a statistika </c:v>
                </c:pt>
              </c:strCache>
            </c:strRef>
          </c:cat>
          <c:val>
            <c:numRef>
              <c:f>List15!$B$27:$B$36</c:f>
              <c:numCache>
                <c:formatCode>0.0</c:formatCode>
                <c:ptCount val="10"/>
                <c:pt idx="0">
                  <c:v>60.565369141821868</c:v>
                </c:pt>
                <c:pt idx="1">
                  <c:v>60.193576628135084</c:v>
                </c:pt>
                <c:pt idx="2">
                  <c:v>76.145274453157242</c:v>
                </c:pt>
                <c:pt idx="3">
                  <c:v>73.194822888283383</c:v>
                </c:pt>
                <c:pt idx="4">
                  <c:v>57.01192579505301</c:v>
                </c:pt>
                <c:pt idx="5">
                  <c:v>39.604501527836433</c:v>
                </c:pt>
                <c:pt idx="6">
                  <c:v>61.378413524057216</c:v>
                </c:pt>
                <c:pt idx="7">
                  <c:v>68.392536656394981</c:v>
                </c:pt>
                <c:pt idx="8">
                  <c:v>63.168707593328463</c:v>
                </c:pt>
                <c:pt idx="9">
                  <c:v>58.619359814886231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D9-4840-BDD7-09DB7DE154BC}"/>
            </c:ext>
          </c:extLst>
        </c:ser>
        <c:ser>
          <c:idx val="1"/>
          <c:order val="1"/>
          <c:tx>
            <c:strRef>
              <c:f>List15!$C$26</c:f>
              <c:strCache>
                <c:ptCount val="1"/>
                <c:pt idx="0">
                  <c:v>magisterský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List15!$A$27:$A$36</c:f>
              <c:strCache>
                <c:ptCount val="10"/>
                <c:pt idx="0">
                  <c:v>Vzdělávání a výchova </c:v>
                </c:pt>
                <c:pt idx="1">
                  <c:v>Obchod, administrativa a právo </c:v>
                </c:pt>
                <c:pt idx="2">
                  <c:v>Služby </c:v>
                </c:pt>
                <c:pt idx="3">
                  <c:v>Informační a komunikační technologie </c:v>
                </c:pt>
                <c:pt idx="4">
                  <c:v>Společenské vědy, žurnalistika a informační vědy </c:v>
                </c:pt>
                <c:pt idx="5">
                  <c:v>Zdravotní a sociální péče, péče o příznivé životní podmínky </c:v>
                </c:pt>
                <c:pt idx="6">
                  <c:v>Zemědělství, lesnictví, rybářství a veterinářství </c:v>
                </c:pt>
                <c:pt idx="7">
                  <c:v>Umění a humanitní vědy </c:v>
                </c:pt>
                <c:pt idx="8">
                  <c:v>Technika, výroba a stavebnictví </c:v>
                </c:pt>
                <c:pt idx="9">
                  <c:v>Přírodní vědy, matematika a statistika </c:v>
                </c:pt>
              </c:strCache>
            </c:strRef>
          </c:cat>
          <c:val>
            <c:numRef>
              <c:f>List15!$C$27:$C$36</c:f>
              <c:numCache>
                <c:formatCode>0.0</c:formatCode>
                <c:ptCount val="10"/>
                <c:pt idx="0">
                  <c:v>37.966589401326836</c:v>
                </c:pt>
                <c:pt idx="1">
                  <c:v>37.745821241549258</c:v>
                </c:pt>
                <c:pt idx="2">
                  <c:v>20.865515005011499</c:v>
                </c:pt>
                <c:pt idx="3">
                  <c:v>23.045810626702998</c:v>
                </c:pt>
                <c:pt idx="4">
                  <c:v>37.776060070671377</c:v>
                </c:pt>
                <c:pt idx="5">
                  <c:v>53.459369487988475</c:v>
                </c:pt>
                <c:pt idx="6">
                  <c:v>31.634156913740792</c:v>
                </c:pt>
                <c:pt idx="7">
                  <c:v>22.599979682367682</c:v>
                </c:pt>
                <c:pt idx="8">
                  <c:v>25.345335604033199</c:v>
                </c:pt>
                <c:pt idx="9">
                  <c:v>21.270943137506961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D9-4840-BDD7-09DB7DE154BC}"/>
            </c:ext>
          </c:extLst>
        </c:ser>
        <c:ser>
          <c:idx val="2"/>
          <c:order val="2"/>
          <c:tx>
            <c:strRef>
              <c:f>List15!$D$26</c:f>
              <c:strCache>
                <c:ptCount val="1"/>
                <c:pt idx="0">
                  <c:v>doktorský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List15!$A$27:$A$36</c:f>
              <c:strCache>
                <c:ptCount val="10"/>
                <c:pt idx="0">
                  <c:v>Vzdělávání a výchova </c:v>
                </c:pt>
                <c:pt idx="1">
                  <c:v>Obchod, administrativa a právo </c:v>
                </c:pt>
                <c:pt idx="2">
                  <c:v>Služby </c:v>
                </c:pt>
                <c:pt idx="3">
                  <c:v>Informační a komunikační technologie </c:v>
                </c:pt>
                <c:pt idx="4">
                  <c:v>Společenské vědy, žurnalistika a informační vědy </c:v>
                </c:pt>
                <c:pt idx="5">
                  <c:v>Zdravotní a sociální péče, péče o příznivé životní podmínky </c:v>
                </c:pt>
                <c:pt idx="6">
                  <c:v>Zemědělství, lesnictví, rybářství a veterinářství </c:v>
                </c:pt>
                <c:pt idx="7">
                  <c:v>Umění a humanitní vědy </c:v>
                </c:pt>
                <c:pt idx="8">
                  <c:v>Technika, výroba a stavebnictví </c:v>
                </c:pt>
                <c:pt idx="9">
                  <c:v>Přírodní vědy, matematika a statistika </c:v>
                </c:pt>
              </c:strCache>
            </c:strRef>
          </c:cat>
          <c:val>
            <c:numRef>
              <c:f>List15!$D$27:$D$36</c:f>
              <c:numCache>
                <c:formatCode>0.0</c:formatCode>
                <c:ptCount val="10"/>
                <c:pt idx="0">
                  <c:v>1.819731969200437</c:v>
                </c:pt>
                <c:pt idx="1">
                  <c:v>2.4059272709586419</c:v>
                </c:pt>
                <c:pt idx="2">
                  <c:v>3.0658569659807795</c:v>
                </c:pt>
                <c:pt idx="3">
                  <c:v>3.8019414168937331</c:v>
                </c:pt>
                <c:pt idx="4">
                  <c:v>5.362926972909305</c:v>
                </c:pt>
                <c:pt idx="5">
                  <c:v>7.1646833776364494</c:v>
                </c:pt>
                <c:pt idx="6">
                  <c:v>7.1781534460338099</c:v>
                </c:pt>
                <c:pt idx="7">
                  <c:v>9.4409264840337279</c:v>
                </c:pt>
                <c:pt idx="8">
                  <c:v>11.596788581623549</c:v>
                </c:pt>
                <c:pt idx="9">
                  <c:v>20.242533316193171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D9-4840-BDD7-09DB7DE154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"/>
        <c:overlap val="100"/>
        <c:axId val="186177999"/>
        <c:axId val="186175087"/>
      </c:barChart>
      <c:catAx>
        <c:axId val="1861779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6175087"/>
        <c:crosses val="autoZero"/>
        <c:auto val="1"/>
        <c:lblAlgn val="ctr"/>
        <c:lblOffset val="100"/>
        <c:noMultiLvlLbl val="0"/>
      </c:catAx>
      <c:valAx>
        <c:axId val="186175087"/>
        <c:scaling>
          <c:orientation val="minMax"/>
          <c:max val="105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43546141561016138"/>
              <c:y val="0.851737337483977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86177999"/>
        <c:crosses val="autoZero"/>
        <c:crossBetween val="between"/>
        <c:majorUnit val="10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9352586189884155"/>
          <c:y val="0.93510604791422347"/>
          <c:w val="0.72723399048803106"/>
          <c:h val="4.78726754900318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7834218397118963"/>
          <c:y val="5.0056882821387941E-2"/>
          <c:w val="0.57216731629476547"/>
          <c:h val="0.8038350666917488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List1!$N$32</c:f>
              <c:strCache>
                <c:ptCount val="1"/>
                <c:pt idx="0">
                  <c:v>prezenční</c:v>
                </c:pt>
              </c:strCache>
            </c:strRef>
          </c:tx>
          <c:spPr>
            <a:solidFill>
              <a:srgbClr val="739BCB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List1!$M$33:$M$42</c:f>
              <c:strCache>
                <c:ptCount val="10"/>
                <c:pt idx="0">
                  <c:v>Služby </c:v>
                </c:pt>
                <c:pt idx="1">
                  <c:v>Vzdělávání a výchova </c:v>
                </c:pt>
                <c:pt idx="2">
                  <c:v>Obchod, administrativa a právo </c:v>
                </c:pt>
                <c:pt idx="3">
                  <c:v>Zdravotní a sociální péče</c:v>
                </c:pt>
                <c:pt idx="4">
                  <c:v>Zemědělství, lesnictví, rybářství a veter.</c:v>
                </c:pt>
                <c:pt idx="5">
                  <c:v>Společenské vědy, žurnalistika a infor. vědy </c:v>
                </c:pt>
                <c:pt idx="6">
                  <c:v>Technika, výroba a stavebnictví </c:v>
                </c:pt>
                <c:pt idx="7">
                  <c:v>Umění a humanitní vědy </c:v>
                </c:pt>
                <c:pt idx="8">
                  <c:v>Informační a komunikační technologie </c:v>
                </c:pt>
                <c:pt idx="9">
                  <c:v>Přírodní vědy, matematika a statistika </c:v>
                </c:pt>
              </c:strCache>
            </c:strRef>
          </c:cat>
          <c:val>
            <c:numRef>
              <c:f>List1!$N$33:$N$42</c:f>
              <c:numCache>
                <c:formatCode>0.0%</c:formatCode>
                <c:ptCount val="10"/>
                <c:pt idx="0">
                  <c:v>0.6164141265255586</c:v>
                </c:pt>
                <c:pt idx="1">
                  <c:v>0.67593850744678019</c:v>
                </c:pt>
                <c:pt idx="2">
                  <c:v>0.78781148165561521</c:v>
                </c:pt>
                <c:pt idx="3">
                  <c:v>0.80669763744317191</c:v>
                </c:pt>
                <c:pt idx="4">
                  <c:v>0.8089293454703077</c:v>
                </c:pt>
                <c:pt idx="5">
                  <c:v>0.82074499411071844</c:v>
                </c:pt>
                <c:pt idx="6">
                  <c:v>0.86143324412726729</c:v>
                </c:pt>
                <c:pt idx="7">
                  <c:v>0.87714604991365008</c:v>
                </c:pt>
                <c:pt idx="8">
                  <c:v>0.89092302452316074</c:v>
                </c:pt>
                <c:pt idx="9">
                  <c:v>0.91755581265801089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58-46BD-8037-5743C145FA80}"/>
            </c:ext>
          </c:extLst>
        </c:ser>
        <c:ser>
          <c:idx val="1"/>
          <c:order val="1"/>
          <c:tx>
            <c:strRef>
              <c:f>List1!$O$32</c:f>
              <c:strCache>
                <c:ptCount val="1"/>
                <c:pt idx="0">
                  <c:v>distanční a kombinované</c:v>
                </c:pt>
              </c:strCache>
            </c:strRef>
          </c:tx>
          <c:spPr>
            <a:solidFill>
              <a:srgbClr val="F6882E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List1!$M$33:$M$42</c:f>
              <c:strCache>
                <c:ptCount val="10"/>
                <c:pt idx="0">
                  <c:v>Služby </c:v>
                </c:pt>
                <c:pt idx="1">
                  <c:v>Vzdělávání a výchova </c:v>
                </c:pt>
                <c:pt idx="2">
                  <c:v>Obchod, administrativa a právo </c:v>
                </c:pt>
                <c:pt idx="3">
                  <c:v>Zdravotní a sociální péče</c:v>
                </c:pt>
                <c:pt idx="4">
                  <c:v>Zemědělství, lesnictví, rybářství a veter.</c:v>
                </c:pt>
                <c:pt idx="5">
                  <c:v>Společenské vědy, žurnalistika a infor. vědy </c:v>
                </c:pt>
                <c:pt idx="6">
                  <c:v>Technika, výroba a stavebnictví </c:v>
                </c:pt>
                <c:pt idx="7">
                  <c:v>Umění a humanitní vědy </c:v>
                </c:pt>
                <c:pt idx="8">
                  <c:v>Informační a komunikační technologie </c:v>
                </c:pt>
                <c:pt idx="9">
                  <c:v>Přírodní vědy, matematika a statistika </c:v>
                </c:pt>
              </c:strCache>
            </c:strRef>
          </c:cat>
          <c:val>
            <c:numRef>
              <c:f>List1!$O$33:$O$42</c:f>
              <c:numCache>
                <c:formatCode>0.0%</c:formatCode>
                <c:ptCount val="10"/>
                <c:pt idx="0">
                  <c:v>0.38618006013796358</c:v>
                </c:pt>
                <c:pt idx="1">
                  <c:v>0.32773825700050624</c:v>
                </c:pt>
                <c:pt idx="2">
                  <c:v>0.21497705938619671</c:v>
                </c:pt>
                <c:pt idx="3">
                  <c:v>0.19499167763893374</c:v>
                </c:pt>
                <c:pt idx="4">
                  <c:v>0.19349804941482446</c:v>
                </c:pt>
                <c:pt idx="5">
                  <c:v>0.18113221436984689</c:v>
                </c:pt>
                <c:pt idx="6">
                  <c:v>0.14048603789906197</c:v>
                </c:pt>
                <c:pt idx="7">
                  <c:v>0.1254952422877654</c:v>
                </c:pt>
                <c:pt idx="8">
                  <c:v>0.1098433242506812</c:v>
                </c:pt>
                <c:pt idx="9">
                  <c:v>8.2958392252646007E-2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58-46BD-8037-5743C145FA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7"/>
        <c:axId val="172390047"/>
        <c:axId val="172390463"/>
      </c:barChart>
      <c:catAx>
        <c:axId val="1723900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72390463"/>
        <c:crosses val="autoZero"/>
        <c:auto val="1"/>
        <c:lblAlgn val="ctr"/>
        <c:lblOffset val="100"/>
        <c:noMultiLvlLbl val="0"/>
      </c:catAx>
      <c:valAx>
        <c:axId val="172390463"/>
        <c:scaling>
          <c:orientation val="minMax"/>
          <c:max val="1.05"/>
          <c:min val="0"/>
        </c:scaling>
        <c:delete val="0"/>
        <c:axPos val="b"/>
        <c:numFmt formatCode="0\ 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72390047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161711267573033"/>
          <c:y val="0.92664078448527287"/>
          <c:w val="0.55079952215275418"/>
          <c:h val="6.75567260577069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257252785165584"/>
          <c:y val="4.5548593836696787E-2"/>
          <c:w val="0.77894724889838018"/>
          <c:h val="0.8256428815963221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List2!$C$2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List2!$B$3:$B$17</c:f>
              <c:strCache>
                <c:ptCount val="15"/>
                <c:pt idx="0">
                  <c:v>Zlínský</c:v>
                </c:pt>
                <c:pt idx="1">
                  <c:v>Vysočina</c:v>
                </c:pt>
                <c:pt idx="2">
                  <c:v>Liberecký</c:v>
                </c:pt>
                <c:pt idx="3">
                  <c:v>Plzeňský</c:v>
                </c:pt>
                <c:pt idx="4">
                  <c:v>Jihočeský</c:v>
                </c:pt>
                <c:pt idx="5">
                  <c:v>Ústecký</c:v>
                </c:pt>
                <c:pt idx="6">
                  <c:v>Olomoucký</c:v>
                </c:pt>
                <c:pt idx="7">
                  <c:v>Středočeský</c:v>
                </c:pt>
                <c:pt idx="8">
                  <c:v>Karlovarský</c:v>
                </c:pt>
                <c:pt idx="9">
                  <c:v>Pardubický</c:v>
                </c:pt>
                <c:pt idx="10">
                  <c:v>Jihomoravský</c:v>
                </c:pt>
                <c:pt idx="11">
                  <c:v>Královéhradecký</c:v>
                </c:pt>
                <c:pt idx="12">
                  <c:v>Moravskoslezský</c:v>
                </c:pt>
                <c:pt idx="13">
                  <c:v>Praha</c:v>
                </c:pt>
                <c:pt idx="14">
                  <c:v>bydliště v zahraničí</c:v>
                </c:pt>
              </c:strCache>
            </c:strRef>
          </c:cat>
          <c:val>
            <c:numRef>
              <c:f>List2!$C$3:$C$17</c:f>
              <c:numCache>
                <c:formatCode>0.0</c:formatCode>
                <c:ptCount val="15"/>
                <c:pt idx="0">
                  <c:v>0.42094171880144882</c:v>
                </c:pt>
                <c:pt idx="1">
                  <c:v>0.42121451104100949</c:v>
                </c:pt>
                <c:pt idx="2">
                  <c:v>0.42437849085532803</c:v>
                </c:pt>
                <c:pt idx="3">
                  <c:v>0.42601083784910382</c:v>
                </c:pt>
                <c:pt idx="4">
                  <c:v>0.42949726294595103</c:v>
                </c:pt>
                <c:pt idx="5">
                  <c:v>0.42957383803270249</c:v>
                </c:pt>
                <c:pt idx="6">
                  <c:v>0.43080610571464617</c:v>
                </c:pt>
                <c:pt idx="7">
                  <c:v>0.43104594921402667</c:v>
                </c:pt>
                <c:pt idx="8">
                  <c:v>0.43217665615141954</c:v>
                </c:pt>
                <c:pt idx="9">
                  <c:v>0.43320610687022909</c:v>
                </c:pt>
                <c:pt idx="10">
                  <c:v>0.43770632984067748</c:v>
                </c:pt>
                <c:pt idx="11">
                  <c:v>0.43897002305918525</c:v>
                </c:pt>
                <c:pt idx="12">
                  <c:v>0.44105148730111671</c:v>
                </c:pt>
                <c:pt idx="13">
                  <c:v>0.46032578685808945</c:v>
                </c:pt>
                <c:pt idx="14">
                  <c:v>0.48725957261747088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5A-4609-A73C-F4A60B4B0EDF}"/>
            </c:ext>
          </c:extLst>
        </c:ser>
        <c:ser>
          <c:idx val="1"/>
          <c:order val="1"/>
          <c:tx>
            <c:strRef>
              <c:f>List2!$D$2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List2!$B$3:$B$17</c:f>
              <c:strCache>
                <c:ptCount val="15"/>
                <c:pt idx="0">
                  <c:v>Zlínský</c:v>
                </c:pt>
                <c:pt idx="1">
                  <c:v>Vysočina</c:v>
                </c:pt>
                <c:pt idx="2">
                  <c:v>Liberecký</c:v>
                </c:pt>
                <c:pt idx="3">
                  <c:v>Plzeňský</c:v>
                </c:pt>
                <c:pt idx="4">
                  <c:v>Jihočeský</c:v>
                </c:pt>
                <c:pt idx="5">
                  <c:v>Ústecký</c:v>
                </c:pt>
                <c:pt idx="6">
                  <c:v>Olomoucký</c:v>
                </c:pt>
                <c:pt idx="7">
                  <c:v>Středočeský</c:v>
                </c:pt>
                <c:pt idx="8">
                  <c:v>Karlovarský</c:v>
                </c:pt>
                <c:pt idx="9">
                  <c:v>Pardubický</c:v>
                </c:pt>
                <c:pt idx="10">
                  <c:v>Jihomoravský</c:v>
                </c:pt>
                <c:pt idx="11">
                  <c:v>Královéhradecký</c:v>
                </c:pt>
                <c:pt idx="12">
                  <c:v>Moravskoslezský</c:v>
                </c:pt>
                <c:pt idx="13">
                  <c:v>Praha</c:v>
                </c:pt>
                <c:pt idx="14">
                  <c:v>bydliště v zahraničí</c:v>
                </c:pt>
              </c:strCache>
            </c:strRef>
          </c:cat>
          <c:val>
            <c:numRef>
              <c:f>List2!$D$3:$D$17</c:f>
              <c:numCache>
                <c:formatCode>0.0</c:formatCode>
                <c:ptCount val="15"/>
                <c:pt idx="0">
                  <c:v>0.57905828119855118</c:v>
                </c:pt>
                <c:pt idx="1">
                  <c:v>0.57878548895899051</c:v>
                </c:pt>
                <c:pt idx="2">
                  <c:v>0.57562150914467203</c:v>
                </c:pt>
                <c:pt idx="3">
                  <c:v>0.57398916215089624</c:v>
                </c:pt>
                <c:pt idx="4">
                  <c:v>0.57050273705404897</c:v>
                </c:pt>
                <c:pt idx="5">
                  <c:v>0.57042616196729756</c:v>
                </c:pt>
                <c:pt idx="6">
                  <c:v>0.56919389428535383</c:v>
                </c:pt>
                <c:pt idx="7">
                  <c:v>0.56895405078597339</c:v>
                </c:pt>
                <c:pt idx="8">
                  <c:v>0.56782334384858046</c:v>
                </c:pt>
                <c:pt idx="9">
                  <c:v>0.56679389312977102</c:v>
                </c:pt>
                <c:pt idx="10">
                  <c:v>0.56229367015932252</c:v>
                </c:pt>
                <c:pt idx="11">
                  <c:v>0.5610299769408148</c:v>
                </c:pt>
                <c:pt idx="12">
                  <c:v>0.55894851269888324</c:v>
                </c:pt>
                <c:pt idx="13">
                  <c:v>0.53967421314191055</c:v>
                </c:pt>
                <c:pt idx="14">
                  <c:v>0.51274042738252912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5A-4609-A73C-F4A60B4B0E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"/>
        <c:overlap val="100"/>
        <c:axId val="2126518943"/>
        <c:axId val="2126507295"/>
      </c:barChart>
      <c:catAx>
        <c:axId val="21265189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26507295"/>
        <c:crosses val="autoZero"/>
        <c:auto val="1"/>
        <c:lblAlgn val="ctr"/>
        <c:lblOffset val="100"/>
        <c:noMultiLvlLbl val="0"/>
      </c:catAx>
      <c:valAx>
        <c:axId val="2126507295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26518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609633595800527"/>
          <c:y val="0.93438678860794577"/>
          <c:w val="0.27500732808398948"/>
          <c:h val="6.14724246425718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231979335916345"/>
          <c:y val="3.7986704653371322E-3"/>
          <c:w val="0.78038928467274926"/>
          <c:h val="0.8552431373428748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List2!$C$30</c:f>
              <c:strCache>
                <c:ptCount val="1"/>
                <c:pt idx="0">
                  <c:v>méně než 20 let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List2!$B$31:$B$45</c:f>
              <c:strCache>
                <c:ptCount val="15"/>
                <c:pt idx="0">
                  <c:v>Hl. m. Praha</c:v>
                </c:pt>
                <c:pt idx="1">
                  <c:v>Ústecký</c:v>
                </c:pt>
                <c:pt idx="2">
                  <c:v>Karlovarský</c:v>
                </c:pt>
                <c:pt idx="3">
                  <c:v>Středočeský</c:v>
                </c:pt>
                <c:pt idx="4">
                  <c:v>Olomoucký</c:v>
                </c:pt>
                <c:pt idx="5">
                  <c:v>Moravskoslezský</c:v>
                </c:pt>
                <c:pt idx="6">
                  <c:v>Liberecký</c:v>
                </c:pt>
                <c:pt idx="7">
                  <c:v>Jihomoravský</c:v>
                </c:pt>
                <c:pt idx="8">
                  <c:v>Plzeňský</c:v>
                </c:pt>
                <c:pt idx="9">
                  <c:v>Královéhradecký</c:v>
                </c:pt>
                <c:pt idx="10">
                  <c:v>Jihočeský</c:v>
                </c:pt>
                <c:pt idx="11">
                  <c:v>Pardubický</c:v>
                </c:pt>
                <c:pt idx="12">
                  <c:v>Zlínský</c:v>
                </c:pt>
                <c:pt idx="13">
                  <c:v>bydliště v zahraničí</c:v>
                </c:pt>
                <c:pt idx="14">
                  <c:v>Vysočina</c:v>
                </c:pt>
              </c:strCache>
            </c:strRef>
          </c:cat>
          <c:val>
            <c:numRef>
              <c:f>List2!$C$31:$C$45</c:f>
              <c:numCache>
                <c:formatCode>General</c:formatCode>
                <c:ptCount val="15"/>
                <c:pt idx="0">
                  <c:v>6.9878520154610713E-2</c:v>
                </c:pt>
                <c:pt idx="1">
                  <c:v>8.2528646839191436E-2</c:v>
                </c:pt>
                <c:pt idx="2">
                  <c:v>7.7681388012618299E-2</c:v>
                </c:pt>
                <c:pt idx="3">
                  <c:v>8.6970979443772675E-2</c:v>
                </c:pt>
                <c:pt idx="4">
                  <c:v>8.1367478238930244E-2</c:v>
                </c:pt>
                <c:pt idx="5">
                  <c:v>8.3440392660671325E-2</c:v>
                </c:pt>
                <c:pt idx="6">
                  <c:v>8.6408936589639704E-2</c:v>
                </c:pt>
                <c:pt idx="7">
                  <c:v>8.1060714798335015E-2</c:v>
                </c:pt>
                <c:pt idx="8">
                  <c:v>8.7869945810754496E-2</c:v>
                </c:pt>
                <c:pt idx="9">
                  <c:v>8.3551114527286696E-2</c:v>
                </c:pt>
                <c:pt idx="10">
                  <c:v>8.1671175989429315E-2</c:v>
                </c:pt>
                <c:pt idx="11">
                  <c:v>8.8698971125124454E-2</c:v>
                </c:pt>
                <c:pt idx="12">
                  <c:v>7.5930194270661833E-2</c:v>
                </c:pt>
                <c:pt idx="13">
                  <c:v>0.14980133235811571</c:v>
                </c:pt>
                <c:pt idx="14">
                  <c:v>9.2507886435331213E-2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CD-4308-B98C-519AF72F60AB}"/>
            </c:ext>
          </c:extLst>
        </c:ser>
        <c:ser>
          <c:idx val="1"/>
          <c:order val="1"/>
          <c:tx>
            <c:strRef>
              <c:f>List2!$D$30</c:f>
              <c:strCache>
                <c:ptCount val="1"/>
                <c:pt idx="0">
                  <c:v>20-24 let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List2!$B$31:$B$45</c:f>
              <c:strCache>
                <c:ptCount val="15"/>
                <c:pt idx="0">
                  <c:v>Hl. m. Praha</c:v>
                </c:pt>
                <c:pt idx="1">
                  <c:v>Ústecký</c:v>
                </c:pt>
                <c:pt idx="2">
                  <c:v>Karlovarský</c:v>
                </c:pt>
                <c:pt idx="3">
                  <c:v>Středočeský</c:v>
                </c:pt>
                <c:pt idx="4">
                  <c:v>Olomoucký</c:v>
                </c:pt>
                <c:pt idx="5">
                  <c:v>Moravskoslezský</c:v>
                </c:pt>
                <c:pt idx="6">
                  <c:v>Liberecký</c:v>
                </c:pt>
                <c:pt idx="7">
                  <c:v>Jihomoravský</c:v>
                </c:pt>
                <c:pt idx="8">
                  <c:v>Plzeňský</c:v>
                </c:pt>
                <c:pt idx="9">
                  <c:v>Královéhradecký</c:v>
                </c:pt>
                <c:pt idx="10">
                  <c:v>Jihočeský</c:v>
                </c:pt>
                <c:pt idx="11">
                  <c:v>Pardubický</c:v>
                </c:pt>
                <c:pt idx="12">
                  <c:v>Zlínský</c:v>
                </c:pt>
                <c:pt idx="13">
                  <c:v>bydliště v zahraničí</c:v>
                </c:pt>
                <c:pt idx="14">
                  <c:v>Vysočina</c:v>
                </c:pt>
              </c:strCache>
            </c:strRef>
          </c:cat>
          <c:val>
            <c:numRef>
              <c:f>List2!$D$31:$D$45</c:f>
              <c:numCache>
                <c:formatCode>General</c:formatCode>
                <c:ptCount val="15"/>
                <c:pt idx="0">
                  <c:v>0.53754831584759799</c:v>
                </c:pt>
                <c:pt idx="1">
                  <c:v>0.60338612076734899</c:v>
                </c:pt>
                <c:pt idx="2">
                  <c:v>0.60883280757097791</c:v>
                </c:pt>
                <c:pt idx="3">
                  <c:v>0.61009673518742447</c:v>
                </c:pt>
                <c:pt idx="4">
                  <c:v>0.6132837138892393</c:v>
                </c:pt>
                <c:pt idx="5">
                  <c:v>0.62394175972592814</c:v>
                </c:pt>
                <c:pt idx="6">
                  <c:v>0.62797064943598735</c:v>
                </c:pt>
                <c:pt idx="7">
                  <c:v>0.62516147552748669</c:v>
                </c:pt>
                <c:pt idx="8">
                  <c:v>0.64301792413505643</c:v>
                </c:pt>
                <c:pt idx="9">
                  <c:v>0.63305149884704071</c:v>
                </c:pt>
                <c:pt idx="10">
                  <c:v>0.64412005285345753</c:v>
                </c:pt>
                <c:pt idx="11">
                  <c:v>0.64744440756720878</c:v>
                </c:pt>
                <c:pt idx="12">
                  <c:v>0.66480079025353978</c:v>
                </c:pt>
                <c:pt idx="13">
                  <c:v>0.54324233498724972</c:v>
                </c:pt>
                <c:pt idx="14">
                  <c:v>0.64913249211356472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CD-4308-B98C-519AF72F60AB}"/>
            </c:ext>
          </c:extLst>
        </c:ser>
        <c:ser>
          <c:idx val="2"/>
          <c:order val="2"/>
          <c:tx>
            <c:strRef>
              <c:f>List2!$E$30</c:f>
              <c:strCache>
                <c:ptCount val="1"/>
                <c:pt idx="0">
                  <c:v>25-29 let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List2!$B$31:$B$45</c:f>
              <c:strCache>
                <c:ptCount val="15"/>
                <c:pt idx="0">
                  <c:v>Hl. m. Praha</c:v>
                </c:pt>
                <c:pt idx="1">
                  <c:v>Ústecký</c:v>
                </c:pt>
                <c:pt idx="2">
                  <c:v>Karlovarský</c:v>
                </c:pt>
                <c:pt idx="3">
                  <c:v>Středočeský</c:v>
                </c:pt>
                <c:pt idx="4">
                  <c:v>Olomoucký</c:v>
                </c:pt>
                <c:pt idx="5">
                  <c:v>Moravskoslezský</c:v>
                </c:pt>
                <c:pt idx="6">
                  <c:v>Liberecký</c:v>
                </c:pt>
                <c:pt idx="7">
                  <c:v>Jihomoravský</c:v>
                </c:pt>
                <c:pt idx="8">
                  <c:v>Plzeňský</c:v>
                </c:pt>
                <c:pt idx="9">
                  <c:v>Královéhradecký</c:v>
                </c:pt>
                <c:pt idx="10">
                  <c:v>Jihočeský</c:v>
                </c:pt>
                <c:pt idx="11">
                  <c:v>Pardubický</c:v>
                </c:pt>
                <c:pt idx="12">
                  <c:v>Zlínský</c:v>
                </c:pt>
                <c:pt idx="13">
                  <c:v>bydliště v zahraničí</c:v>
                </c:pt>
                <c:pt idx="14">
                  <c:v>Vysočina</c:v>
                </c:pt>
              </c:strCache>
            </c:strRef>
          </c:cat>
          <c:val>
            <c:numRef>
              <c:f>List2!$E$31:$E$45</c:f>
              <c:numCache>
                <c:formatCode>General</c:formatCode>
                <c:ptCount val="15"/>
                <c:pt idx="0">
                  <c:v>0.1869409166206516</c:v>
                </c:pt>
                <c:pt idx="1">
                  <c:v>0.15327668340414574</c:v>
                </c:pt>
                <c:pt idx="2">
                  <c:v>0.15634858044164038</c:v>
                </c:pt>
                <c:pt idx="3">
                  <c:v>0.1501813784764208</c:v>
                </c:pt>
                <c:pt idx="4">
                  <c:v>0.1608426895420714</c:v>
                </c:pt>
                <c:pt idx="5">
                  <c:v>0.15696544454326844</c:v>
                </c:pt>
                <c:pt idx="6">
                  <c:v>0.15113350125944586</c:v>
                </c:pt>
                <c:pt idx="7">
                  <c:v>0.16179847854169657</c:v>
                </c:pt>
                <c:pt idx="8">
                  <c:v>0.14747811588161733</c:v>
                </c:pt>
                <c:pt idx="9">
                  <c:v>0.16518063028439664</c:v>
                </c:pt>
                <c:pt idx="10">
                  <c:v>0.15616938274712139</c:v>
                </c:pt>
                <c:pt idx="11">
                  <c:v>0.15151012280119483</c:v>
                </c:pt>
                <c:pt idx="12">
                  <c:v>0.15271649654264077</c:v>
                </c:pt>
                <c:pt idx="13">
                  <c:v>0.20044675509518256</c:v>
                </c:pt>
                <c:pt idx="14">
                  <c:v>0.1583596214511041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CD-4308-B98C-519AF72F60AB}"/>
            </c:ext>
          </c:extLst>
        </c:ser>
        <c:ser>
          <c:idx val="3"/>
          <c:order val="3"/>
          <c:tx>
            <c:strRef>
              <c:f>List2!$F$30</c:f>
              <c:strCache>
                <c:ptCount val="1"/>
                <c:pt idx="0">
                  <c:v>30 a více let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List2!$B$31:$B$45</c:f>
              <c:strCache>
                <c:ptCount val="15"/>
                <c:pt idx="0">
                  <c:v>Hl. m. Praha</c:v>
                </c:pt>
                <c:pt idx="1">
                  <c:v>Ústecký</c:v>
                </c:pt>
                <c:pt idx="2">
                  <c:v>Karlovarský</c:v>
                </c:pt>
                <c:pt idx="3">
                  <c:v>Středočeský</c:v>
                </c:pt>
                <c:pt idx="4">
                  <c:v>Olomoucký</c:v>
                </c:pt>
                <c:pt idx="5">
                  <c:v>Moravskoslezský</c:v>
                </c:pt>
                <c:pt idx="6">
                  <c:v>Liberecký</c:v>
                </c:pt>
                <c:pt idx="7">
                  <c:v>Jihomoravský</c:v>
                </c:pt>
                <c:pt idx="8">
                  <c:v>Plzeňský</c:v>
                </c:pt>
                <c:pt idx="9">
                  <c:v>Královéhradecký</c:v>
                </c:pt>
                <c:pt idx="10">
                  <c:v>Jihočeský</c:v>
                </c:pt>
                <c:pt idx="11">
                  <c:v>Pardubický</c:v>
                </c:pt>
                <c:pt idx="12">
                  <c:v>Zlínský</c:v>
                </c:pt>
                <c:pt idx="13">
                  <c:v>bydliště v zahraničí</c:v>
                </c:pt>
                <c:pt idx="14">
                  <c:v>Vysočina</c:v>
                </c:pt>
              </c:strCache>
            </c:strRef>
          </c:cat>
          <c:val>
            <c:numRef>
              <c:f>List2!$F$31:$F$45</c:f>
              <c:numCache>
                <c:formatCode>General</c:formatCode>
                <c:ptCount val="15"/>
                <c:pt idx="0">
                  <c:v>0.2056322473771397</c:v>
                </c:pt>
                <c:pt idx="1">
                  <c:v>0.16080854898931377</c:v>
                </c:pt>
                <c:pt idx="2">
                  <c:v>0.1571372239747634</c:v>
                </c:pt>
                <c:pt idx="3">
                  <c:v>0.1527509068923821</c:v>
                </c:pt>
                <c:pt idx="4">
                  <c:v>0.14450611832975904</c:v>
                </c:pt>
                <c:pt idx="5">
                  <c:v>0.1356524030701321</c:v>
                </c:pt>
                <c:pt idx="6">
                  <c:v>0.13448691271492716</c:v>
                </c:pt>
                <c:pt idx="7">
                  <c:v>0.1319793311324817</c:v>
                </c:pt>
                <c:pt idx="8">
                  <c:v>0.12163401417257189</c:v>
                </c:pt>
                <c:pt idx="9">
                  <c:v>0.11821675634127594</c:v>
                </c:pt>
                <c:pt idx="10">
                  <c:v>0.11803938840999181</c:v>
                </c:pt>
                <c:pt idx="11">
                  <c:v>0.11234649850647195</c:v>
                </c:pt>
                <c:pt idx="12">
                  <c:v>0.10655251893315772</c:v>
                </c:pt>
                <c:pt idx="13">
                  <c:v>0.10650957755945203</c:v>
                </c:pt>
                <c:pt idx="1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1CD-4308-B98C-519AF72F60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"/>
        <c:overlap val="100"/>
        <c:axId val="2126518943"/>
        <c:axId val="2126507295"/>
      </c:barChart>
      <c:catAx>
        <c:axId val="21265189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26507295"/>
        <c:crosses val="autoZero"/>
        <c:auto val="1"/>
        <c:lblAlgn val="ctr"/>
        <c:lblOffset val="100"/>
        <c:noMultiLvlLbl val="0"/>
      </c:catAx>
      <c:valAx>
        <c:axId val="2126507295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26518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759820720084412"/>
          <c:y val="0.93794946478085228"/>
          <c:w val="0.70004168083640705"/>
          <c:h val="6.20505352191477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949978474912859"/>
          <c:y val="4.0612885360900866E-2"/>
          <c:w val="0.78201999292517721"/>
          <c:h val="0.833460424240398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List2!$B$50</c:f>
              <c:strCache>
                <c:ptCount val="1"/>
                <c:pt idx="0">
                  <c:v>občané ČR</c:v>
                </c:pt>
              </c:strCache>
            </c:strRef>
          </c:tx>
          <c:spPr>
            <a:solidFill>
              <a:srgbClr val="8BB8E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86596119929452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0F5-44C1-83A5-A06A7B3CB5F6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List2!$C$49:$Q$49</c:f>
              <c:strCache>
                <c:ptCount val="15"/>
                <c:pt idx="0">
                  <c:v>bydliště v zahraničí</c:v>
                </c:pt>
                <c:pt idx="1">
                  <c:v>Hl. m. Praha</c:v>
                </c:pt>
                <c:pt idx="2">
                  <c:v>Jihomoravský</c:v>
                </c:pt>
                <c:pt idx="3">
                  <c:v>Středočeský</c:v>
                </c:pt>
                <c:pt idx="4">
                  <c:v>Karlovarský</c:v>
                </c:pt>
                <c:pt idx="5">
                  <c:v>Plzeňský</c:v>
                </c:pt>
                <c:pt idx="6">
                  <c:v>Ústecký</c:v>
                </c:pt>
                <c:pt idx="7">
                  <c:v>Liberecký</c:v>
                </c:pt>
                <c:pt idx="8">
                  <c:v>Olomoucký</c:v>
                </c:pt>
                <c:pt idx="9">
                  <c:v>Jihočeský</c:v>
                </c:pt>
                <c:pt idx="10">
                  <c:v>Královéhradecký</c:v>
                </c:pt>
                <c:pt idx="11">
                  <c:v>Pardubický</c:v>
                </c:pt>
                <c:pt idx="12">
                  <c:v>Moravskoslezský</c:v>
                </c:pt>
                <c:pt idx="13">
                  <c:v>Zlínský</c:v>
                </c:pt>
                <c:pt idx="14">
                  <c:v>Vysočina</c:v>
                </c:pt>
              </c:strCache>
            </c:strRef>
          </c:cat>
          <c:val>
            <c:numRef>
              <c:f>List2!$C$50:$Q$50</c:f>
              <c:numCache>
                <c:formatCode>0.0%</c:formatCode>
                <c:ptCount val="15"/>
                <c:pt idx="0">
                  <c:v>6.7408622768695518E-3</c:v>
                </c:pt>
                <c:pt idx="1">
                  <c:v>0.93376587520706789</c:v>
                </c:pt>
                <c:pt idx="2">
                  <c:v>0.9830988947897229</c:v>
                </c:pt>
                <c:pt idx="3">
                  <c:v>0.9836759371221282</c:v>
                </c:pt>
                <c:pt idx="4">
                  <c:v>0.98481861198738174</c:v>
                </c:pt>
                <c:pt idx="5">
                  <c:v>0.98874531054606085</c:v>
                </c:pt>
                <c:pt idx="6">
                  <c:v>0.99124501094373629</c:v>
                </c:pt>
                <c:pt idx="7">
                  <c:v>0.99134815463804626</c:v>
                </c:pt>
                <c:pt idx="8">
                  <c:v>0.99167402548252814</c:v>
                </c:pt>
                <c:pt idx="9">
                  <c:v>0.99244950607185556</c:v>
                </c:pt>
                <c:pt idx="10">
                  <c:v>0.9938508839354343</c:v>
                </c:pt>
                <c:pt idx="11">
                  <c:v>0.99419183538001987</c:v>
                </c:pt>
                <c:pt idx="12">
                  <c:v>0.99436703231544632</c:v>
                </c:pt>
                <c:pt idx="13">
                  <c:v>0.9963780046098123</c:v>
                </c:pt>
                <c:pt idx="14">
                  <c:v>0.99684542586750791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F5-44C1-83A5-A06A7B3CB5F6}"/>
            </c:ext>
          </c:extLst>
        </c:ser>
        <c:ser>
          <c:idx val="1"/>
          <c:order val="1"/>
          <c:tx>
            <c:strRef>
              <c:f>List2!$B$51</c:f>
              <c:strCache>
                <c:ptCount val="1"/>
                <c:pt idx="0">
                  <c:v>cizinci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List2!$C$49:$Q$49</c:f>
              <c:strCache>
                <c:ptCount val="15"/>
                <c:pt idx="0">
                  <c:v>bydliště v zahraničí</c:v>
                </c:pt>
                <c:pt idx="1">
                  <c:v>Hl. m. Praha</c:v>
                </c:pt>
                <c:pt idx="2">
                  <c:v>Jihomoravský</c:v>
                </c:pt>
                <c:pt idx="3">
                  <c:v>Středočeský</c:v>
                </c:pt>
                <c:pt idx="4">
                  <c:v>Karlovarský</c:v>
                </c:pt>
                <c:pt idx="5">
                  <c:v>Plzeňský</c:v>
                </c:pt>
                <c:pt idx="6">
                  <c:v>Ústecký</c:v>
                </c:pt>
                <c:pt idx="7">
                  <c:v>Liberecký</c:v>
                </c:pt>
                <c:pt idx="8">
                  <c:v>Olomoucký</c:v>
                </c:pt>
                <c:pt idx="9">
                  <c:v>Jihočeský</c:v>
                </c:pt>
                <c:pt idx="10">
                  <c:v>Královéhradecký</c:v>
                </c:pt>
                <c:pt idx="11">
                  <c:v>Pardubický</c:v>
                </c:pt>
                <c:pt idx="12">
                  <c:v>Moravskoslezský</c:v>
                </c:pt>
                <c:pt idx="13">
                  <c:v>Zlínský</c:v>
                </c:pt>
                <c:pt idx="14">
                  <c:v>Vysočina</c:v>
                </c:pt>
              </c:strCache>
            </c:strRef>
          </c:cat>
          <c:val>
            <c:numRef>
              <c:f>List2!$C$51:$Q$51</c:f>
              <c:numCache>
                <c:formatCode>0.0%</c:formatCode>
                <c:ptCount val="15"/>
                <c:pt idx="0">
                  <c:v>0.99337774527052403</c:v>
                </c:pt>
                <c:pt idx="1">
                  <c:v>6.6372170071783546E-2</c:v>
                </c:pt>
                <c:pt idx="2">
                  <c:v>1.6901105210277021E-2</c:v>
                </c:pt>
                <c:pt idx="3">
                  <c:v>1.635429262394196E-2</c:v>
                </c:pt>
                <c:pt idx="4">
                  <c:v>1.5181388012618296E-2</c:v>
                </c:pt>
                <c:pt idx="5">
                  <c:v>1.133805752396832E-2</c:v>
                </c:pt>
                <c:pt idx="6">
                  <c:v>8.8193639757950301E-3</c:v>
                </c:pt>
                <c:pt idx="7">
                  <c:v>8.6518453619537847E-3</c:v>
                </c:pt>
                <c:pt idx="8">
                  <c:v>8.4521256465245366E-3</c:v>
                </c:pt>
                <c:pt idx="9">
                  <c:v>7.5504939281444659E-3</c:v>
                </c:pt>
                <c:pt idx="10">
                  <c:v>6.1491160645657187E-3</c:v>
                </c:pt>
                <c:pt idx="11">
                  <c:v>5.8911384002655158E-3</c:v>
                </c:pt>
                <c:pt idx="12">
                  <c:v>5.6988503475310474E-3</c:v>
                </c:pt>
                <c:pt idx="13">
                  <c:v>3.6219953901876854E-3</c:v>
                </c:pt>
                <c:pt idx="14">
                  <c:v>3.1545741324921135E-3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F5-44C1-83A5-A06A7B3CB5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8"/>
        <c:overlap val="100"/>
        <c:axId val="2126518943"/>
        <c:axId val="2126507295"/>
      </c:barChart>
      <c:catAx>
        <c:axId val="21265189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26507295"/>
        <c:crosses val="autoZero"/>
        <c:auto val="1"/>
        <c:lblAlgn val="ctr"/>
        <c:lblOffset val="100"/>
        <c:noMultiLvlLbl val="0"/>
      </c:catAx>
      <c:valAx>
        <c:axId val="2126507295"/>
        <c:scaling>
          <c:orientation val="minMax"/>
          <c:max val="1.05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26518943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697989140246359"/>
          <c:y val="0.94768052051745955"/>
          <c:w val="0.20604021719507284"/>
          <c:h val="1.59760127071494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949978474912859"/>
          <c:y val="2.2598870056497175E-2"/>
          <c:w val="0.77123883820078043"/>
          <c:h val="0.84432481654078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List2!$C$59</c:f>
              <c:strCache>
                <c:ptCount val="1"/>
                <c:pt idx="0">
                  <c:v>veřejný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List2!$B$60:$B$74</c:f>
              <c:strCache>
                <c:ptCount val="15"/>
                <c:pt idx="0">
                  <c:v>Zlínský</c:v>
                </c:pt>
                <c:pt idx="1">
                  <c:v>Moravskoslezský</c:v>
                </c:pt>
                <c:pt idx="2">
                  <c:v>Vysočina</c:v>
                </c:pt>
                <c:pt idx="3">
                  <c:v>Jihočeský</c:v>
                </c:pt>
                <c:pt idx="4">
                  <c:v>Olomoucký</c:v>
                </c:pt>
                <c:pt idx="5">
                  <c:v>Jihomoravský</c:v>
                </c:pt>
                <c:pt idx="6">
                  <c:v>Pardubický</c:v>
                </c:pt>
                <c:pt idx="7">
                  <c:v>Plzeňský</c:v>
                </c:pt>
                <c:pt idx="8">
                  <c:v>Královéhradecký</c:v>
                </c:pt>
                <c:pt idx="9">
                  <c:v>bydliště v zahraničí</c:v>
                </c:pt>
                <c:pt idx="10">
                  <c:v>Liberecký</c:v>
                </c:pt>
                <c:pt idx="11">
                  <c:v>Ústecký</c:v>
                </c:pt>
                <c:pt idx="12">
                  <c:v>Karlovarský</c:v>
                </c:pt>
                <c:pt idx="13">
                  <c:v>Středočeský</c:v>
                </c:pt>
                <c:pt idx="14">
                  <c:v>Praha</c:v>
                </c:pt>
              </c:strCache>
            </c:strRef>
          </c:cat>
          <c:val>
            <c:numRef>
              <c:f>List2!$C$60:$C$74</c:f>
              <c:numCache>
                <c:formatCode>0.0%</c:formatCode>
                <c:ptCount val="15"/>
                <c:pt idx="0">
                  <c:v>0.96582153440895624</c:v>
                </c:pt>
                <c:pt idx="1">
                  <c:v>0.95944922093751028</c:v>
                </c:pt>
                <c:pt idx="2">
                  <c:v>0.95212933753943219</c:v>
                </c:pt>
                <c:pt idx="3">
                  <c:v>0.93777134587554267</c:v>
                </c:pt>
                <c:pt idx="4">
                  <c:v>0.93749211555443424</c:v>
                </c:pt>
                <c:pt idx="5">
                  <c:v>0.93770632984067748</c:v>
                </c:pt>
                <c:pt idx="6">
                  <c:v>0.93586126783936274</c:v>
                </c:pt>
                <c:pt idx="7">
                  <c:v>0.92947061275531473</c:v>
                </c:pt>
                <c:pt idx="8">
                  <c:v>0.92828593389700231</c:v>
                </c:pt>
                <c:pt idx="9">
                  <c:v>0.92013758475497653</c:v>
                </c:pt>
                <c:pt idx="10">
                  <c:v>0.89322089584930453</c:v>
                </c:pt>
                <c:pt idx="11">
                  <c:v>0.88579889275138401</c:v>
                </c:pt>
                <c:pt idx="12">
                  <c:v>0.85134069400630918</c:v>
                </c:pt>
                <c:pt idx="13">
                  <c:v>0.83252720677146319</c:v>
                </c:pt>
                <c:pt idx="14">
                  <c:v>0.829431253451132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0E-4DF0-BD65-48D27E894312}"/>
            </c:ext>
          </c:extLst>
        </c:ser>
        <c:ser>
          <c:idx val="1"/>
          <c:order val="1"/>
          <c:tx>
            <c:strRef>
              <c:f>List2!$D$59</c:f>
              <c:strCache>
                <c:ptCount val="1"/>
                <c:pt idx="0">
                  <c:v>soukromý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List2!$B$60:$B$74</c:f>
              <c:strCache>
                <c:ptCount val="15"/>
                <c:pt idx="0">
                  <c:v>Zlínský</c:v>
                </c:pt>
                <c:pt idx="1">
                  <c:v>Moravskoslezský</c:v>
                </c:pt>
                <c:pt idx="2">
                  <c:v>Vysočina</c:v>
                </c:pt>
                <c:pt idx="3">
                  <c:v>Jihočeský</c:v>
                </c:pt>
                <c:pt idx="4">
                  <c:v>Olomoucký</c:v>
                </c:pt>
                <c:pt idx="5">
                  <c:v>Jihomoravský</c:v>
                </c:pt>
                <c:pt idx="6">
                  <c:v>Pardubický</c:v>
                </c:pt>
                <c:pt idx="7">
                  <c:v>Plzeňský</c:v>
                </c:pt>
                <c:pt idx="8">
                  <c:v>Královéhradecký</c:v>
                </c:pt>
                <c:pt idx="9">
                  <c:v>bydliště v zahraničí</c:v>
                </c:pt>
                <c:pt idx="10">
                  <c:v>Liberecký</c:v>
                </c:pt>
                <c:pt idx="11">
                  <c:v>Ústecký</c:v>
                </c:pt>
                <c:pt idx="12">
                  <c:v>Karlovarský</c:v>
                </c:pt>
                <c:pt idx="13">
                  <c:v>Středočeský</c:v>
                </c:pt>
                <c:pt idx="14">
                  <c:v>Praha</c:v>
                </c:pt>
              </c:strCache>
            </c:strRef>
          </c:cat>
          <c:val>
            <c:numRef>
              <c:f>List2!$D$60:$D$74</c:f>
              <c:numCache>
                <c:formatCode>0.0%</c:formatCode>
                <c:ptCount val="15"/>
                <c:pt idx="0">
                  <c:v>3.5034573592360882E-2</c:v>
                </c:pt>
                <c:pt idx="1">
                  <c:v>4.1473136344171033E-2</c:v>
                </c:pt>
                <c:pt idx="2">
                  <c:v>4.9053627760252363E-2</c:v>
                </c:pt>
                <c:pt idx="3">
                  <c:v>6.3361228213678983E-2</c:v>
                </c:pt>
                <c:pt idx="4">
                  <c:v>6.358016904251293E-2</c:v>
                </c:pt>
                <c:pt idx="5">
                  <c:v>6.3693124730874115E-2</c:v>
                </c:pt>
                <c:pt idx="6">
                  <c:v>6.5134417524062391E-2</c:v>
                </c:pt>
                <c:pt idx="7">
                  <c:v>7.2363484785327226E-2</c:v>
                </c:pt>
                <c:pt idx="8">
                  <c:v>7.27901614142967E-2</c:v>
                </c:pt>
                <c:pt idx="9">
                  <c:v>8.15822246822306E-2</c:v>
                </c:pt>
                <c:pt idx="10">
                  <c:v>0.10820282553937137</c:v>
                </c:pt>
                <c:pt idx="11">
                  <c:v>0.11587485515643106</c:v>
                </c:pt>
                <c:pt idx="12">
                  <c:v>0.1512223974763407</c:v>
                </c:pt>
                <c:pt idx="13">
                  <c:v>0.16964933494558646</c:v>
                </c:pt>
                <c:pt idx="14">
                  <c:v>0.17335726118166758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0E-4DF0-BD65-48D27E8943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"/>
        <c:axId val="2126518943"/>
        <c:axId val="2126507295"/>
      </c:barChart>
      <c:catAx>
        <c:axId val="21265189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26507295"/>
        <c:crosses val="autoZero"/>
        <c:auto val="1"/>
        <c:lblAlgn val="ctr"/>
        <c:lblOffset val="100"/>
        <c:noMultiLvlLbl val="0"/>
      </c:catAx>
      <c:valAx>
        <c:axId val="2126507295"/>
        <c:scaling>
          <c:orientation val="minMax"/>
          <c:max val="1"/>
        </c:scaling>
        <c:delete val="0"/>
        <c:axPos val="b"/>
        <c:numFmt formatCode="0\ 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26518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094380563540666"/>
          <c:y val="0.92440659203313869"/>
          <c:w val="0.20252155980502437"/>
          <c:h val="7.18270930419411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25597081263719"/>
          <c:y val="3.5746201966041107E-3"/>
          <c:w val="0.7779217485454768"/>
          <c:h val="0.8745049362127322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List2!$C$83</c:f>
              <c:strCache>
                <c:ptCount val="1"/>
                <c:pt idx="0">
                  <c:v>prezenční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List2!$B$84:$B$98</c:f>
              <c:strCache>
                <c:ptCount val="15"/>
                <c:pt idx="0">
                  <c:v>bydliště v zahraničí</c:v>
                </c:pt>
                <c:pt idx="1">
                  <c:v>Plzeňský</c:v>
                </c:pt>
                <c:pt idx="2">
                  <c:v>Pardubický</c:v>
                </c:pt>
                <c:pt idx="3">
                  <c:v>Jihočeský</c:v>
                </c:pt>
                <c:pt idx="4">
                  <c:v>Vysočina</c:v>
                </c:pt>
                <c:pt idx="5">
                  <c:v>Jihomoravský</c:v>
                </c:pt>
                <c:pt idx="6">
                  <c:v>Zlínský</c:v>
                </c:pt>
                <c:pt idx="7">
                  <c:v>Královéhradecký</c:v>
                </c:pt>
                <c:pt idx="8">
                  <c:v>Liberecký</c:v>
                </c:pt>
                <c:pt idx="9">
                  <c:v>Praha</c:v>
                </c:pt>
                <c:pt idx="10">
                  <c:v>Moravskoslezský</c:v>
                </c:pt>
                <c:pt idx="11">
                  <c:v>Olomoucký</c:v>
                </c:pt>
                <c:pt idx="12">
                  <c:v>Středočeský</c:v>
                </c:pt>
                <c:pt idx="13">
                  <c:v>Karlovarský</c:v>
                </c:pt>
                <c:pt idx="14">
                  <c:v>Ústecký</c:v>
                </c:pt>
              </c:strCache>
            </c:strRef>
          </c:cat>
          <c:val>
            <c:numRef>
              <c:f>List2!$C$84:$C$98</c:f>
              <c:numCache>
                <c:formatCode>0.0%</c:formatCode>
                <c:ptCount val="15"/>
                <c:pt idx="0">
                  <c:v>0.93257160930673888</c:v>
                </c:pt>
                <c:pt idx="1">
                  <c:v>0.81942476031679878</c:v>
                </c:pt>
                <c:pt idx="2">
                  <c:v>0.80758380351808834</c:v>
                </c:pt>
                <c:pt idx="3">
                  <c:v>0.80601522682942173</c:v>
                </c:pt>
                <c:pt idx="4">
                  <c:v>0.80417981072555189</c:v>
                </c:pt>
                <c:pt idx="5">
                  <c:v>0.8047222620927228</c:v>
                </c:pt>
                <c:pt idx="6">
                  <c:v>0.80164636154099445</c:v>
                </c:pt>
                <c:pt idx="7">
                  <c:v>0.79331283627978477</c:v>
                </c:pt>
                <c:pt idx="8">
                  <c:v>0.78666082575840546</c:v>
                </c:pt>
                <c:pt idx="9">
                  <c:v>0.77818884594146875</c:v>
                </c:pt>
                <c:pt idx="10">
                  <c:v>0.7745165859604044</c:v>
                </c:pt>
                <c:pt idx="11">
                  <c:v>0.76945881165636432</c:v>
                </c:pt>
                <c:pt idx="12">
                  <c:v>0.76668681983071341</c:v>
                </c:pt>
                <c:pt idx="13">
                  <c:v>0.74171924290220825</c:v>
                </c:pt>
                <c:pt idx="14">
                  <c:v>0.73792970258787161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4E-4EBD-9EA9-BA00DEF343AC}"/>
            </c:ext>
          </c:extLst>
        </c:ser>
        <c:ser>
          <c:idx val="1"/>
          <c:order val="1"/>
          <c:tx>
            <c:strRef>
              <c:f>List2!$D$83</c:f>
              <c:strCache>
                <c:ptCount val="1"/>
                <c:pt idx="0">
                  <c:v>distanční a kombinované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List2!$B$84:$B$98</c:f>
              <c:strCache>
                <c:ptCount val="15"/>
                <c:pt idx="0">
                  <c:v>bydliště v zahraničí</c:v>
                </c:pt>
                <c:pt idx="1">
                  <c:v>Plzeňský</c:v>
                </c:pt>
                <c:pt idx="2">
                  <c:v>Pardubický</c:v>
                </c:pt>
                <c:pt idx="3">
                  <c:v>Jihočeský</c:v>
                </c:pt>
                <c:pt idx="4">
                  <c:v>Vysočina</c:v>
                </c:pt>
                <c:pt idx="5">
                  <c:v>Jihomoravský</c:v>
                </c:pt>
                <c:pt idx="6">
                  <c:v>Zlínský</c:v>
                </c:pt>
                <c:pt idx="7">
                  <c:v>Královéhradecký</c:v>
                </c:pt>
                <c:pt idx="8">
                  <c:v>Liberecký</c:v>
                </c:pt>
                <c:pt idx="9">
                  <c:v>Praha</c:v>
                </c:pt>
                <c:pt idx="10">
                  <c:v>Moravskoslezský</c:v>
                </c:pt>
                <c:pt idx="11">
                  <c:v>Olomoucký</c:v>
                </c:pt>
                <c:pt idx="12">
                  <c:v>Středočeský</c:v>
                </c:pt>
                <c:pt idx="13">
                  <c:v>Karlovarský</c:v>
                </c:pt>
                <c:pt idx="14">
                  <c:v>Ústecký</c:v>
                </c:pt>
              </c:strCache>
            </c:strRef>
          </c:cat>
          <c:val>
            <c:numRef>
              <c:f>List2!$D$84:$D$98</c:f>
              <c:numCache>
                <c:formatCode>0.0%</c:formatCode>
                <c:ptCount val="15"/>
                <c:pt idx="0">
                  <c:v>6.92865756024275E-2</c:v>
                </c:pt>
                <c:pt idx="1">
                  <c:v>0.18691121300541894</c:v>
                </c:pt>
                <c:pt idx="2">
                  <c:v>0.1998838367076004</c:v>
                </c:pt>
                <c:pt idx="3">
                  <c:v>0.20046561379223557</c:v>
                </c:pt>
                <c:pt idx="4">
                  <c:v>0.20315457413249211</c:v>
                </c:pt>
                <c:pt idx="5">
                  <c:v>0.20493038610592795</c:v>
                </c:pt>
                <c:pt idx="6">
                  <c:v>0.20770497201185381</c:v>
                </c:pt>
                <c:pt idx="7">
                  <c:v>0.21460415065334359</c:v>
                </c:pt>
                <c:pt idx="8">
                  <c:v>0.21947212791589091</c:v>
                </c:pt>
                <c:pt idx="9">
                  <c:v>0.22937603533959139</c:v>
                </c:pt>
                <c:pt idx="10">
                  <c:v>0.23572816813255593</c:v>
                </c:pt>
                <c:pt idx="11">
                  <c:v>0.23918254068373912</c:v>
                </c:pt>
                <c:pt idx="12">
                  <c:v>0.24011487303506651</c:v>
                </c:pt>
                <c:pt idx="13">
                  <c:v>0.26301261829652994</c:v>
                </c:pt>
                <c:pt idx="14">
                  <c:v>0.26805716492854381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4E-4EBD-9EA9-BA00DEF343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"/>
        <c:axId val="2126518943"/>
        <c:axId val="2126507295"/>
      </c:barChart>
      <c:catAx>
        <c:axId val="21265189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26507295"/>
        <c:crosses val="autoZero"/>
        <c:auto val="1"/>
        <c:lblAlgn val="ctr"/>
        <c:lblOffset val="100"/>
        <c:noMultiLvlLbl val="0"/>
      </c:catAx>
      <c:valAx>
        <c:axId val="2126507295"/>
        <c:scaling>
          <c:orientation val="minMax"/>
          <c:max val="1"/>
        </c:scaling>
        <c:delete val="0"/>
        <c:axPos val="b"/>
        <c:numFmt formatCode="0\ 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26518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270084217000966"/>
          <c:y val="0.94335803198862878"/>
          <c:w val="0.35887851097264528"/>
          <c:h val="5.30673478147671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259375169518754"/>
          <c:y val="3.9646783204180934E-2"/>
          <c:w val="0.79063897616931433"/>
          <c:h val="0.8121923081834990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List2!$C$85</c:f>
              <c:strCache>
                <c:ptCount val="1"/>
                <c:pt idx="0">
                  <c:v>bakalářský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List2!$B$86:$B$100</c:f>
              <c:strCache>
                <c:ptCount val="15"/>
                <c:pt idx="0">
                  <c:v>Ústecký</c:v>
                </c:pt>
                <c:pt idx="1">
                  <c:v>Karlovarský</c:v>
                </c:pt>
                <c:pt idx="2">
                  <c:v>Vysočina</c:v>
                </c:pt>
                <c:pt idx="3">
                  <c:v>Pardubický</c:v>
                </c:pt>
                <c:pt idx="4">
                  <c:v>Středočeský</c:v>
                </c:pt>
                <c:pt idx="5">
                  <c:v>Jihočeský</c:v>
                </c:pt>
                <c:pt idx="6">
                  <c:v>Zlínský</c:v>
                </c:pt>
                <c:pt idx="7">
                  <c:v>Liberecký</c:v>
                </c:pt>
                <c:pt idx="8">
                  <c:v>Královéhradecký</c:v>
                </c:pt>
                <c:pt idx="9">
                  <c:v>Moravskoslezský</c:v>
                </c:pt>
                <c:pt idx="10">
                  <c:v>Olomoucký</c:v>
                </c:pt>
                <c:pt idx="11">
                  <c:v>Plzeňský</c:v>
                </c:pt>
                <c:pt idx="12">
                  <c:v>Jihomoravský</c:v>
                </c:pt>
                <c:pt idx="13">
                  <c:v>Praha</c:v>
                </c:pt>
                <c:pt idx="14">
                  <c:v>bydliště v zahraničí</c:v>
                </c:pt>
              </c:strCache>
            </c:strRef>
          </c:cat>
          <c:val>
            <c:numRef>
              <c:f>List2!$C$86:$C$100</c:f>
              <c:numCache>
                <c:formatCode>0.0%</c:formatCode>
                <c:ptCount val="15"/>
                <c:pt idx="0">
                  <c:v>0.65018668726664086</c:v>
                </c:pt>
                <c:pt idx="1">
                  <c:v>0.62973186119873814</c:v>
                </c:pt>
                <c:pt idx="2">
                  <c:v>0.61600946372239751</c:v>
                </c:pt>
                <c:pt idx="3">
                  <c:v>0.62952207102555591</c:v>
                </c:pt>
                <c:pt idx="4">
                  <c:v>0.64464933494558641</c:v>
                </c:pt>
                <c:pt idx="5">
                  <c:v>0.6440571320707229</c:v>
                </c:pt>
                <c:pt idx="6">
                  <c:v>0.60658544616397758</c:v>
                </c:pt>
                <c:pt idx="7">
                  <c:v>0.6474646807578579</c:v>
                </c:pt>
                <c:pt idx="8">
                  <c:v>0.62390468870099924</c:v>
                </c:pt>
                <c:pt idx="9">
                  <c:v>0.62608294627268835</c:v>
                </c:pt>
                <c:pt idx="10">
                  <c:v>0.61523905638955467</c:v>
                </c:pt>
                <c:pt idx="11">
                  <c:v>0.60967069612338476</c:v>
                </c:pt>
                <c:pt idx="12">
                  <c:v>0.6094445241854457</c:v>
                </c:pt>
                <c:pt idx="13">
                  <c:v>0.58931529541689676</c:v>
                </c:pt>
                <c:pt idx="14">
                  <c:v>0.51517188210409792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F8-4B36-9646-AAB0D058564F}"/>
            </c:ext>
          </c:extLst>
        </c:ser>
        <c:ser>
          <c:idx val="1"/>
          <c:order val="1"/>
          <c:tx>
            <c:strRef>
              <c:f>List2!$D$85</c:f>
              <c:strCache>
                <c:ptCount val="1"/>
                <c:pt idx="0">
                  <c:v>magisterský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List2!$B$86:$B$100</c:f>
              <c:strCache>
                <c:ptCount val="15"/>
                <c:pt idx="0">
                  <c:v>Ústecký</c:v>
                </c:pt>
                <c:pt idx="1">
                  <c:v>Karlovarský</c:v>
                </c:pt>
                <c:pt idx="2">
                  <c:v>Vysočina</c:v>
                </c:pt>
                <c:pt idx="3">
                  <c:v>Pardubický</c:v>
                </c:pt>
                <c:pt idx="4">
                  <c:v>Středočeský</c:v>
                </c:pt>
                <c:pt idx="5">
                  <c:v>Jihočeský</c:v>
                </c:pt>
                <c:pt idx="6">
                  <c:v>Zlínský</c:v>
                </c:pt>
                <c:pt idx="7">
                  <c:v>Liberecký</c:v>
                </c:pt>
                <c:pt idx="8">
                  <c:v>Královéhradecký</c:v>
                </c:pt>
                <c:pt idx="9">
                  <c:v>Moravskoslezský</c:v>
                </c:pt>
                <c:pt idx="10">
                  <c:v>Olomoucký</c:v>
                </c:pt>
                <c:pt idx="11">
                  <c:v>Plzeňský</c:v>
                </c:pt>
                <c:pt idx="12">
                  <c:v>Jihomoravský</c:v>
                </c:pt>
                <c:pt idx="13">
                  <c:v>Praha</c:v>
                </c:pt>
                <c:pt idx="14">
                  <c:v>bydliště v zahraničí</c:v>
                </c:pt>
              </c:strCache>
            </c:strRef>
          </c:cat>
          <c:val>
            <c:numRef>
              <c:f>List2!$D$86:$D$100</c:f>
              <c:numCache>
                <c:formatCode>0.0%</c:formatCode>
                <c:ptCount val="15"/>
                <c:pt idx="0">
                  <c:v>0.31254023432470707</c:v>
                </c:pt>
                <c:pt idx="1">
                  <c:v>0.32965299684542587</c:v>
                </c:pt>
                <c:pt idx="2">
                  <c:v>0.34589905362776024</c:v>
                </c:pt>
                <c:pt idx="3">
                  <c:v>0.33230999004314637</c:v>
                </c:pt>
                <c:pt idx="4">
                  <c:v>0.31327085852478836</c:v>
                </c:pt>
                <c:pt idx="5">
                  <c:v>0.31353426036619897</c:v>
                </c:pt>
                <c:pt idx="6">
                  <c:v>0.35107013500164636</c:v>
                </c:pt>
                <c:pt idx="7">
                  <c:v>0.30555251341583617</c:v>
                </c:pt>
                <c:pt idx="8">
                  <c:v>0.32990007686395084</c:v>
                </c:pt>
                <c:pt idx="9">
                  <c:v>0.32799683763217707</c:v>
                </c:pt>
                <c:pt idx="10">
                  <c:v>0.33221899836003532</c:v>
                </c:pt>
                <c:pt idx="11">
                  <c:v>0.33380575239683202</c:v>
                </c:pt>
                <c:pt idx="12">
                  <c:v>0.32664705038036457</c:v>
                </c:pt>
                <c:pt idx="13">
                  <c:v>0.32390944229707341</c:v>
                </c:pt>
                <c:pt idx="14">
                  <c:v>0.38464427619744201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F8-4B36-9646-AAB0D058564F}"/>
            </c:ext>
          </c:extLst>
        </c:ser>
        <c:ser>
          <c:idx val="2"/>
          <c:order val="2"/>
          <c:tx>
            <c:strRef>
              <c:f>List2!$E$85</c:f>
              <c:strCache>
                <c:ptCount val="1"/>
                <c:pt idx="0">
                  <c:v>doktorský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List2!$B$86:$B$100</c:f>
              <c:strCache>
                <c:ptCount val="15"/>
                <c:pt idx="0">
                  <c:v>Ústecký</c:v>
                </c:pt>
                <c:pt idx="1">
                  <c:v>Karlovarský</c:v>
                </c:pt>
                <c:pt idx="2">
                  <c:v>Vysočina</c:v>
                </c:pt>
                <c:pt idx="3">
                  <c:v>Pardubický</c:v>
                </c:pt>
                <c:pt idx="4">
                  <c:v>Středočeský</c:v>
                </c:pt>
                <c:pt idx="5">
                  <c:v>Jihočeský</c:v>
                </c:pt>
                <c:pt idx="6">
                  <c:v>Zlínský</c:v>
                </c:pt>
                <c:pt idx="7">
                  <c:v>Liberecký</c:v>
                </c:pt>
                <c:pt idx="8">
                  <c:v>Královéhradecký</c:v>
                </c:pt>
                <c:pt idx="9">
                  <c:v>Moravskoslezský</c:v>
                </c:pt>
                <c:pt idx="10">
                  <c:v>Olomoucký</c:v>
                </c:pt>
                <c:pt idx="11">
                  <c:v>Plzeňský</c:v>
                </c:pt>
                <c:pt idx="12">
                  <c:v>Jihomoravský</c:v>
                </c:pt>
                <c:pt idx="13">
                  <c:v>Praha</c:v>
                </c:pt>
                <c:pt idx="14">
                  <c:v>bydliště v zahraničí</c:v>
                </c:pt>
              </c:strCache>
            </c:strRef>
          </c:cat>
          <c:val>
            <c:numRef>
              <c:f>List2!$E$86:$E$100</c:f>
              <c:numCache>
                <c:formatCode>0.0%</c:formatCode>
                <c:ptCount val="15"/>
                <c:pt idx="0">
                  <c:v>4.3646195442255696E-2</c:v>
                </c:pt>
                <c:pt idx="1">
                  <c:v>4.3769716088328074E-2</c:v>
                </c:pt>
                <c:pt idx="2">
                  <c:v>4.5662460567823346E-2</c:v>
                </c:pt>
                <c:pt idx="3">
                  <c:v>4.6133421838698972E-2</c:v>
                </c:pt>
                <c:pt idx="4">
                  <c:v>4.8276904474002416E-2</c:v>
                </c:pt>
                <c:pt idx="5">
                  <c:v>4.9141131315673568E-2</c:v>
                </c:pt>
                <c:pt idx="6">
                  <c:v>5.1037207770826473E-2</c:v>
                </c:pt>
                <c:pt idx="7">
                  <c:v>5.2239623261417151E-2</c:v>
                </c:pt>
                <c:pt idx="8">
                  <c:v>5.2805534204458111E-2</c:v>
                </c:pt>
                <c:pt idx="9">
                  <c:v>5.5143788911947829E-2</c:v>
                </c:pt>
                <c:pt idx="10">
                  <c:v>6.0489466380724111E-2</c:v>
                </c:pt>
                <c:pt idx="11">
                  <c:v>6.3359733222175904E-2</c:v>
                </c:pt>
                <c:pt idx="12">
                  <c:v>7.3955791588919184E-2</c:v>
                </c:pt>
                <c:pt idx="13">
                  <c:v>9.6051905024848144E-2</c:v>
                </c:pt>
                <c:pt idx="14">
                  <c:v>0.10312926245873445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F8-4B36-9646-AAB0D05856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8"/>
        <c:overlap val="100"/>
        <c:axId val="695669776"/>
        <c:axId val="695670192"/>
      </c:barChart>
      <c:catAx>
        <c:axId val="695669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95670192"/>
        <c:crosses val="autoZero"/>
        <c:auto val="1"/>
        <c:lblAlgn val="ctr"/>
        <c:lblOffset val="100"/>
        <c:noMultiLvlLbl val="0"/>
      </c:catAx>
      <c:valAx>
        <c:axId val="695670192"/>
        <c:scaling>
          <c:orientation val="minMax"/>
          <c:max val="1.05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9566977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387582405042184"/>
          <c:y val="0.93120261113492619"/>
          <c:w val="0.56834838788964082"/>
          <c:h val="4.85150018012454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316094592761921E-2"/>
          <c:y val="2.6043475334813913E-2"/>
          <c:w val="0.95280126625393202"/>
          <c:h val="0.684607963827530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List5!$AE$1</c:f>
              <c:strCache>
                <c:ptCount val="1"/>
                <c:pt idx="0">
                  <c:v>2002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6137566137566186E-3"/>
                  <c:y val="-8.067380218943361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7A6-4601-AD27-9CE508D6DB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FF7C8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List5!$AD$2:$AD$16</c:f>
              <c:strCache>
                <c:ptCount val="15"/>
                <c:pt idx="0">
                  <c:v>zahraničí</c:v>
                </c:pt>
                <c:pt idx="1">
                  <c:v>Praha</c:v>
                </c:pt>
                <c:pt idx="2">
                  <c:v>Jihomoravský</c:v>
                </c:pt>
                <c:pt idx="3">
                  <c:v>Plzeňský</c:v>
                </c:pt>
                <c:pt idx="4">
                  <c:v>Olomoucký</c:v>
                </c:pt>
                <c:pt idx="5">
                  <c:v>Moravskoslezský</c:v>
                </c:pt>
                <c:pt idx="6">
                  <c:v>Královéhradecký</c:v>
                </c:pt>
                <c:pt idx="7">
                  <c:v>Liberecký</c:v>
                </c:pt>
                <c:pt idx="8">
                  <c:v>Zlínský</c:v>
                </c:pt>
                <c:pt idx="9">
                  <c:v>Jihočeský</c:v>
                </c:pt>
                <c:pt idx="10">
                  <c:v>Středočeský</c:v>
                </c:pt>
                <c:pt idx="11">
                  <c:v>Pardubický</c:v>
                </c:pt>
                <c:pt idx="12">
                  <c:v>Vysočina</c:v>
                </c:pt>
                <c:pt idx="13">
                  <c:v>Karlovarský</c:v>
                </c:pt>
                <c:pt idx="14">
                  <c:v>Ústecký</c:v>
                </c:pt>
              </c:strCache>
            </c:strRef>
          </c:cat>
          <c:val>
            <c:numRef>
              <c:f>List5!$AE$2:$AE$16</c:f>
              <c:numCache>
                <c:formatCode>0.0</c:formatCode>
                <c:ptCount val="15"/>
                <c:pt idx="0">
                  <c:v>3.3403805496828753</c:v>
                </c:pt>
                <c:pt idx="1">
                  <c:v>12.583509269167365</c:v>
                </c:pt>
                <c:pt idx="2">
                  <c:v>10.223025919228451</c:v>
                </c:pt>
                <c:pt idx="3">
                  <c:v>7.7031517470546778</c:v>
                </c:pt>
                <c:pt idx="4">
                  <c:v>8.0059857837635615</c:v>
                </c:pt>
                <c:pt idx="5">
                  <c:v>7.862887483407512</c:v>
                </c:pt>
                <c:pt idx="6">
                  <c:v>8.1002046983136768</c:v>
                </c:pt>
                <c:pt idx="7">
                  <c:v>7.5203252032520336</c:v>
                </c:pt>
                <c:pt idx="8">
                  <c:v>6.1735006119951041</c:v>
                </c:pt>
                <c:pt idx="9">
                  <c:v>6.5780204297287774</c:v>
                </c:pt>
                <c:pt idx="10">
                  <c:v>7.3597113350752768</c:v>
                </c:pt>
                <c:pt idx="11">
                  <c:v>7.7588903952445509</c:v>
                </c:pt>
                <c:pt idx="12">
                  <c:v>6.6139176303509837</c:v>
                </c:pt>
                <c:pt idx="13">
                  <c:v>6.5268614514608858</c:v>
                </c:pt>
                <c:pt idx="14">
                  <c:v>6.0236060236060238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EA-4548-A11E-942FF710E18C}"/>
            </c:ext>
          </c:extLst>
        </c:ser>
        <c:ser>
          <c:idx val="1"/>
          <c:order val="1"/>
          <c:tx>
            <c:strRef>
              <c:f>List5!$AF$1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List5!$AD$2:$AD$16</c:f>
              <c:strCache>
                <c:ptCount val="15"/>
                <c:pt idx="0">
                  <c:v>zahraničí</c:v>
                </c:pt>
                <c:pt idx="1">
                  <c:v>Praha</c:v>
                </c:pt>
                <c:pt idx="2">
                  <c:v>Jihomoravský</c:v>
                </c:pt>
                <c:pt idx="3">
                  <c:v>Plzeňský</c:v>
                </c:pt>
                <c:pt idx="4">
                  <c:v>Olomoucký</c:v>
                </c:pt>
                <c:pt idx="5">
                  <c:v>Moravskoslezský</c:v>
                </c:pt>
                <c:pt idx="6">
                  <c:v>Královéhradecký</c:v>
                </c:pt>
                <c:pt idx="7">
                  <c:v>Liberecký</c:v>
                </c:pt>
                <c:pt idx="8">
                  <c:v>Zlínský</c:v>
                </c:pt>
                <c:pt idx="9">
                  <c:v>Jihočeský</c:v>
                </c:pt>
                <c:pt idx="10">
                  <c:v>Středočeský</c:v>
                </c:pt>
                <c:pt idx="11">
                  <c:v>Pardubický</c:v>
                </c:pt>
                <c:pt idx="12">
                  <c:v>Vysočina</c:v>
                </c:pt>
                <c:pt idx="13">
                  <c:v>Karlovarský</c:v>
                </c:pt>
                <c:pt idx="14">
                  <c:v>Ústecký</c:v>
                </c:pt>
              </c:strCache>
            </c:strRef>
          </c:cat>
          <c:val>
            <c:numRef>
              <c:f>List5!$AF$2:$AF$16</c:f>
              <c:numCache>
                <c:formatCode>0.0</c:formatCode>
                <c:ptCount val="15"/>
                <c:pt idx="0">
                  <c:v>8.1676947681060081</c:v>
                </c:pt>
                <c:pt idx="1">
                  <c:v>9.8631098631098624</c:v>
                </c:pt>
                <c:pt idx="2">
                  <c:v>7.9395282158217135</c:v>
                </c:pt>
                <c:pt idx="3">
                  <c:v>6.2123002300851935</c:v>
                </c:pt>
                <c:pt idx="4">
                  <c:v>6.32095177549723</c:v>
                </c:pt>
                <c:pt idx="5">
                  <c:v>5.9928932622659561</c:v>
                </c:pt>
                <c:pt idx="6">
                  <c:v>5.6065972990923179</c:v>
                </c:pt>
                <c:pt idx="7">
                  <c:v>5.7834290401968831</c:v>
                </c:pt>
                <c:pt idx="8">
                  <c:v>5.7421403336165646</c:v>
                </c:pt>
                <c:pt idx="9">
                  <c:v>4.8360056742466577</c:v>
                </c:pt>
                <c:pt idx="10">
                  <c:v>5.241935483870968</c:v>
                </c:pt>
                <c:pt idx="11">
                  <c:v>5.5184638109305757</c:v>
                </c:pt>
                <c:pt idx="12">
                  <c:v>4.6565262753280985</c:v>
                </c:pt>
                <c:pt idx="13">
                  <c:v>4.0088471108653581</c:v>
                </c:pt>
                <c:pt idx="14">
                  <c:v>4.3410338950956255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EA-4548-A11E-942FF710E18C}"/>
            </c:ext>
          </c:extLst>
        </c:ser>
        <c:ser>
          <c:idx val="2"/>
          <c:order val="2"/>
          <c:tx>
            <c:strRef>
              <c:f>List5!$AG$1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6EA92D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List5!$AD$2:$AD$16</c:f>
              <c:strCache>
                <c:ptCount val="15"/>
                <c:pt idx="0">
                  <c:v>zahraničí</c:v>
                </c:pt>
                <c:pt idx="1">
                  <c:v>Praha</c:v>
                </c:pt>
                <c:pt idx="2">
                  <c:v>Jihomoravský</c:v>
                </c:pt>
                <c:pt idx="3">
                  <c:v>Plzeňský</c:v>
                </c:pt>
                <c:pt idx="4">
                  <c:v>Olomoucký</c:v>
                </c:pt>
                <c:pt idx="5">
                  <c:v>Moravskoslezský</c:v>
                </c:pt>
                <c:pt idx="6">
                  <c:v>Královéhradecký</c:v>
                </c:pt>
                <c:pt idx="7">
                  <c:v>Liberecký</c:v>
                </c:pt>
                <c:pt idx="8">
                  <c:v>Zlínský</c:v>
                </c:pt>
                <c:pt idx="9">
                  <c:v>Jihočeský</c:v>
                </c:pt>
                <c:pt idx="10">
                  <c:v>Středočeský</c:v>
                </c:pt>
                <c:pt idx="11">
                  <c:v>Pardubický</c:v>
                </c:pt>
                <c:pt idx="12">
                  <c:v>Vysočina</c:v>
                </c:pt>
                <c:pt idx="13">
                  <c:v>Karlovarský</c:v>
                </c:pt>
                <c:pt idx="14">
                  <c:v>Ústecký</c:v>
                </c:pt>
              </c:strCache>
            </c:strRef>
          </c:cat>
          <c:val>
            <c:numRef>
              <c:f>List5!$AG$2:$AG$16</c:f>
              <c:numCache>
                <c:formatCode>0.0</c:formatCode>
                <c:ptCount val="15"/>
                <c:pt idx="0">
                  <c:v>10.312926245873445</c:v>
                </c:pt>
                <c:pt idx="1">
                  <c:v>9.605190502484815</c:v>
                </c:pt>
                <c:pt idx="2">
                  <c:v>7.395579158891918</c:v>
                </c:pt>
                <c:pt idx="3">
                  <c:v>6.3359733222175905</c:v>
                </c:pt>
                <c:pt idx="4">
                  <c:v>6.0489466380724108</c:v>
                </c:pt>
                <c:pt idx="5">
                  <c:v>5.5143788911947826</c:v>
                </c:pt>
                <c:pt idx="6">
                  <c:v>5.2805534204458109</c:v>
                </c:pt>
                <c:pt idx="7">
                  <c:v>5.2239623261417147</c:v>
                </c:pt>
                <c:pt idx="8">
                  <c:v>5.1037207770826472</c:v>
                </c:pt>
                <c:pt idx="9">
                  <c:v>4.9141131315673565</c:v>
                </c:pt>
                <c:pt idx="10">
                  <c:v>4.8276904474002418</c:v>
                </c:pt>
                <c:pt idx="11">
                  <c:v>4.6133421838698974</c:v>
                </c:pt>
                <c:pt idx="12">
                  <c:v>4.5662460567823349</c:v>
                </c:pt>
                <c:pt idx="13">
                  <c:v>4.3769716088328074</c:v>
                </c:pt>
                <c:pt idx="14">
                  <c:v>4.3646195442255697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EA-4548-A11E-942FF710E1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axId val="843404352"/>
        <c:axId val="843396448"/>
      </c:barChart>
      <c:catAx>
        <c:axId val="84340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43396448"/>
        <c:crosses val="autoZero"/>
        <c:auto val="1"/>
        <c:lblAlgn val="ctr"/>
        <c:lblOffset val="100"/>
        <c:noMultiLvlLbl val="0"/>
      </c:catAx>
      <c:valAx>
        <c:axId val="843396448"/>
        <c:scaling>
          <c:orientation val="minMax"/>
        </c:scaling>
        <c:delete val="0"/>
        <c:axPos val="l"/>
        <c:numFmt formatCode="#\ 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43404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ayout>
        <c:manualLayout>
          <c:xMode val="edge"/>
          <c:yMode val="edge"/>
          <c:x val="0.66328149892240851"/>
          <c:y val="4.45451241671714E-2"/>
          <c:w val="0.31242800398030757"/>
          <c:h val="6.65791776027996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8713453739181974E-2"/>
          <c:y val="3.8155809230300854E-2"/>
          <c:w val="0.9485380022172496"/>
          <c:h val="0.805099258515455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Češi!$Y$19</c:f>
              <c:strCache>
                <c:ptCount val="1"/>
                <c:pt idx="0">
                  <c:v>počet Čechů (v tis.)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Češi!$Z$18:$AU$18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Češi!$Z$19:$AU$19</c:f>
              <c:numCache>
                <c:formatCode>0.0</c:formatCode>
                <c:ptCount val="22"/>
                <c:pt idx="0">
                  <c:v>194.69200000000001</c:v>
                </c:pt>
                <c:pt idx="1">
                  <c:v>209.13499999999999</c:v>
                </c:pt>
                <c:pt idx="2">
                  <c:v>230.672</c:v>
                </c:pt>
                <c:pt idx="3">
                  <c:v>247.74100000000001</c:v>
                </c:pt>
                <c:pt idx="4">
                  <c:v>268.608</c:v>
                </c:pt>
                <c:pt idx="5">
                  <c:v>292.334</c:v>
                </c:pt>
                <c:pt idx="6">
                  <c:v>316.923</c:v>
                </c:pt>
                <c:pt idx="7">
                  <c:v>337.95600000000002</c:v>
                </c:pt>
                <c:pt idx="8">
                  <c:v>354.601</c:v>
                </c:pt>
                <c:pt idx="9">
                  <c:v>358.50599999999997</c:v>
                </c:pt>
                <c:pt idx="10">
                  <c:v>353.35700000000003</c:v>
                </c:pt>
                <c:pt idx="11">
                  <c:v>341.488</c:v>
                </c:pt>
                <c:pt idx="12">
                  <c:v>327.46600000000001</c:v>
                </c:pt>
                <c:pt idx="13">
                  <c:v>305.928</c:v>
                </c:pt>
                <c:pt idx="14">
                  <c:v>284.43</c:v>
                </c:pt>
                <c:pt idx="15">
                  <c:v>267.62400000000002</c:v>
                </c:pt>
                <c:pt idx="16">
                  <c:v>255.03100000000001</c:v>
                </c:pt>
                <c:pt idx="17">
                  <c:v>245.01499999999999</c:v>
                </c:pt>
                <c:pt idx="18">
                  <c:v>242.292</c:v>
                </c:pt>
                <c:pt idx="19">
                  <c:v>249.14099999999999</c:v>
                </c:pt>
                <c:pt idx="20">
                  <c:v>251.89699999999999</c:v>
                </c:pt>
                <c:pt idx="21">
                  <c:v>249.767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FE-414D-A0EA-D99BD19445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overlap val="-27"/>
        <c:axId val="78588928"/>
        <c:axId val="78593920"/>
      </c:barChart>
      <c:lineChart>
        <c:grouping val="standard"/>
        <c:varyColors val="0"/>
        <c:ser>
          <c:idx val="1"/>
          <c:order val="1"/>
          <c:tx>
            <c:strRef>
              <c:f>Češi!$Y$20</c:f>
              <c:strCache>
                <c:ptCount val="1"/>
                <c:pt idx="0">
                  <c:v>podíl ze všech studentů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7FE-414D-A0EA-D99BD19445B9}"/>
                </c:ext>
              </c:extLst>
            </c:dLbl>
            <c:dLbl>
              <c:idx val="21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7FE-414D-A0EA-D99BD19445B9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Češi!$Z$18:$AU$18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Češi!$Z$20:$AU$20</c:f>
              <c:numCache>
                <c:formatCode>0.0%</c:formatCode>
                <c:ptCount val="22"/>
                <c:pt idx="0">
                  <c:v>0.95696197554166174</c:v>
                </c:pt>
                <c:pt idx="1">
                  <c:v>0.9498494393147332</c:v>
                </c:pt>
                <c:pt idx="2">
                  <c:v>0.94647480479408497</c:v>
                </c:pt>
                <c:pt idx="3">
                  <c:v>0.9356873349976772</c:v>
                </c:pt>
                <c:pt idx="4">
                  <c:v>0.92795279534862829</c:v>
                </c:pt>
                <c:pt idx="5">
                  <c:v>0.92458970766374526</c:v>
                </c:pt>
                <c:pt idx="6">
                  <c:v>0.92144047124087425</c:v>
                </c:pt>
                <c:pt idx="7">
                  <c:v>0.91823393560657518</c:v>
                </c:pt>
                <c:pt idx="8">
                  <c:v>0.91158944142810139</c:v>
                </c:pt>
                <c:pt idx="9">
                  <c:v>0.9053547618085579</c:v>
                </c:pt>
                <c:pt idx="10">
                  <c:v>0.90133124510571649</c:v>
                </c:pt>
                <c:pt idx="11">
                  <c:v>0.89655045669233457</c:v>
                </c:pt>
                <c:pt idx="12">
                  <c:v>0.89041460921015425</c:v>
                </c:pt>
                <c:pt idx="13">
                  <c:v>0.88214787239870929</c:v>
                </c:pt>
                <c:pt idx="14">
                  <c:v>0.87135404061601052</c:v>
                </c:pt>
                <c:pt idx="15">
                  <c:v>0.86040283560256559</c:v>
                </c:pt>
                <c:pt idx="16">
                  <c:v>0.85390892075683966</c:v>
                </c:pt>
                <c:pt idx="17">
                  <c:v>0.84590314484082463</c:v>
                </c:pt>
                <c:pt idx="18">
                  <c:v>0.83960953229120827</c:v>
                </c:pt>
                <c:pt idx="19">
                  <c:v>0.83328650839838658</c:v>
                </c:pt>
                <c:pt idx="20">
                  <c:v>0.82961008849499229</c:v>
                </c:pt>
                <c:pt idx="21">
                  <c:v>0.82020438857473121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7FE-414D-A0EA-D99BD19445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62503279"/>
        <c:axId val="1962505359"/>
      </c:lineChart>
      <c:catAx>
        <c:axId val="7858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8593920"/>
        <c:crosses val="autoZero"/>
        <c:auto val="1"/>
        <c:lblAlgn val="ctr"/>
        <c:lblOffset val="100"/>
        <c:noMultiLvlLbl val="0"/>
      </c:catAx>
      <c:valAx>
        <c:axId val="78593920"/>
        <c:scaling>
          <c:orientation val="minMax"/>
        </c:scaling>
        <c:delete val="0"/>
        <c:axPos val="l"/>
        <c:numFmt formatCode="0.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8588928"/>
        <c:crosses val="autoZero"/>
        <c:crossBetween val="between"/>
      </c:valAx>
      <c:valAx>
        <c:axId val="1962505359"/>
        <c:scaling>
          <c:orientation val="minMax"/>
          <c:min val="0"/>
        </c:scaling>
        <c:delete val="0"/>
        <c:axPos val="r"/>
        <c:numFmt formatCode="0.0%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962503279"/>
        <c:crosses val="max"/>
        <c:crossBetween val="between"/>
      </c:valAx>
      <c:catAx>
        <c:axId val="1962503279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62505359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9588670946115526"/>
          <c:y val="3.645907897876402E-2"/>
          <c:w val="0.49625850647115283"/>
          <c:h val="8.11200190885230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List1!$A$18</c:f>
              <c:strCache>
                <c:ptCount val="1"/>
                <c:pt idx="0">
                  <c:v>poprvé zapsaní celkem (tis.)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2D-40BA-9AAD-E29B069D2C0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2D-40BA-9AAD-E29B069D2C0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12D-40BA-9AAD-E29B069D2C0C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2D-40BA-9AAD-E29B069D2C0C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2D-40BA-9AAD-E29B069D2C0C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2D-40BA-9AAD-E29B069D2C0C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12D-40BA-9AAD-E29B069D2C0C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12D-40BA-9AAD-E29B069D2C0C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12D-40BA-9AAD-E29B069D2C0C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12D-40BA-9AAD-E29B069D2C0C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12D-40BA-9AAD-E29B069D2C0C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12D-40BA-9AAD-E29B069D2C0C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12D-40BA-9AAD-E29B069D2C0C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12D-40BA-9AAD-E29B069D2C0C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12D-40BA-9AAD-E29B069D2C0C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12D-40BA-9AAD-E29B069D2C0C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5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List1!$B$17:$W$17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List1!$B$18:$W$18</c:f>
              <c:numCache>
                <c:formatCode>#\ ##0.0</c:formatCode>
                <c:ptCount val="22"/>
                <c:pt idx="0">
                  <c:v>47.076000000000001</c:v>
                </c:pt>
                <c:pt idx="1">
                  <c:v>50.036999999999999</c:v>
                </c:pt>
                <c:pt idx="2">
                  <c:v>56.996000000000002</c:v>
                </c:pt>
                <c:pt idx="3">
                  <c:v>64.284999999999997</c:v>
                </c:pt>
                <c:pt idx="4">
                  <c:v>69.593000000000004</c:v>
                </c:pt>
                <c:pt idx="5">
                  <c:v>74.956999999999994</c:v>
                </c:pt>
                <c:pt idx="6">
                  <c:v>80.896000000000001</c:v>
                </c:pt>
                <c:pt idx="7">
                  <c:v>84.632000000000005</c:v>
                </c:pt>
                <c:pt idx="8">
                  <c:v>85.991</c:v>
                </c:pt>
                <c:pt idx="9">
                  <c:v>84.417000000000002</c:v>
                </c:pt>
                <c:pt idx="10">
                  <c:v>78.230999999999995</c:v>
                </c:pt>
                <c:pt idx="11">
                  <c:v>74.313000000000002</c:v>
                </c:pt>
                <c:pt idx="12">
                  <c:v>69.838999999999999</c:v>
                </c:pt>
                <c:pt idx="13">
                  <c:v>61.414000000000001</c:v>
                </c:pt>
                <c:pt idx="14">
                  <c:v>58.113999999999997</c:v>
                </c:pt>
                <c:pt idx="15">
                  <c:v>56.024000000000001</c:v>
                </c:pt>
                <c:pt idx="16">
                  <c:v>56.057000000000002</c:v>
                </c:pt>
                <c:pt idx="17">
                  <c:v>56.615000000000002</c:v>
                </c:pt>
                <c:pt idx="18">
                  <c:v>59.970999999999997</c:v>
                </c:pt>
                <c:pt idx="19">
                  <c:v>64.447000000000003</c:v>
                </c:pt>
                <c:pt idx="20">
                  <c:v>65.415000000000006</c:v>
                </c:pt>
                <c:pt idx="21">
                  <c:v>64.477999999999994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12D-40BA-9AAD-E29B069D2C0C}"/>
            </c:ext>
          </c:extLst>
        </c:ser>
        <c:ser>
          <c:idx val="2"/>
          <c:order val="2"/>
          <c:tx>
            <c:strRef>
              <c:f>List1!$A$20</c:f>
              <c:strCache>
                <c:ptCount val="1"/>
                <c:pt idx="0">
                  <c:v>absolventi celkem (tis.)</c:v>
                </c:pt>
              </c:strCache>
            </c:strRef>
          </c:tx>
          <c:spPr>
            <a:solidFill>
              <a:srgbClr val="FF3B3B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12D-40BA-9AAD-E29B069D2C0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12D-40BA-9AAD-E29B069D2C0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12D-40BA-9AAD-E29B069D2C0C}"/>
                </c:ext>
              </c:extLst>
            </c:dLbl>
            <c:dLbl>
              <c:idx val="4"/>
              <c:layout>
                <c:manualLayout>
                  <c:x val="-4.2809382782793341E-17"/>
                  <c:y val="0.2373312190142898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D12D-40BA-9AAD-E29B069D2C0C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12D-40BA-9AAD-E29B069D2C0C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D12D-40BA-9AAD-E29B069D2C0C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D12D-40BA-9AAD-E29B069D2C0C}"/>
                </c:ext>
              </c:extLst>
            </c:dLbl>
            <c:dLbl>
              <c:idx val="8"/>
              <c:layout>
                <c:manualLayout>
                  <c:x val="-8.5618765565586681E-17"/>
                  <c:y val="0.4748312190142898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D12D-40BA-9AAD-E29B069D2C0C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D12D-40BA-9AAD-E29B069D2C0C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D12D-40BA-9AAD-E29B069D2C0C}"/>
                </c:ext>
              </c:extLst>
            </c:dLbl>
            <c:dLbl>
              <c:idx val="11"/>
              <c:layout>
                <c:manualLayout>
                  <c:x val="-9.3403368699133769E-3"/>
                  <c:y val="0.556630941965587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D12D-40BA-9AAD-E29B069D2C0C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D12D-40BA-9AAD-E29B069D2C0C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D12D-40BA-9AAD-E29B069D2C0C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D12D-40BA-9AAD-E29B069D2C0C}"/>
                </c:ext>
              </c:extLst>
            </c:dLbl>
            <c:dLbl>
              <c:idx val="15"/>
              <c:layout>
                <c:manualLayout>
                  <c:x val="2.3350842174783442E-3"/>
                  <c:y val="0.4467056722076406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D12D-40BA-9AAD-E29B069D2C0C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D12D-40BA-9AAD-E29B069D2C0C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D12D-40BA-9AAD-E29B069D2C0C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D12D-40BA-9AAD-E29B069D2C0C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D12D-40BA-9AAD-E29B069D2C0C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D12D-40BA-9AAD-E29B069D2C0C}"/>
                </c:ext>
              </c:extLst>
            </c:dLbl>
            <c:dLbl>
              <c:idx val="21"/>
              <c:layout>
                <c:manualLayout>
                  <c:x val="-4.6701684349566884E-3"/>
                  <c:y val="0.330353601633129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5-D12D-40BA-9AAD-E29B069D2C0C}"/>
                </c:ext>
              </c:extLst>
            </c:dLbl>
            <c:spPr>
              <a:solidFill>
                <a:srgbClr val="FFBDBD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List1!$B$17:$W$17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List1!$B$20:$W$20</c:f>
              <c:numCache>
                <c:formatCode>#\ ##0.0</c:formatCode>
                <c:ptCount val="22"/>
                <c:pt idx="0">
                  <c:v>30.105</c:v>
                </c:pt>
                <c:pt idx="1">
                  <c:v>31.234000000000002</c:v>
                </c:pt>
                <c:pt idx="2">
                  <c:v>32.969000000000001</c:v>
                </c:pt>
                <c:pt idx="3">
                  <c:v>38.381999999999998</c:v>
                </c:pt>
                <c:pt idx="4">
                  <c:v>44.34</c:v>
                </c:pt>
                <c:pt idx="5">
                  <c:v>53.496000000000002</c:v>
                </c:pt>
                <c:pt idx="6">
                  <c:v>63.793999999999997</c:v>
                </c:pt>
                <c:pt idx="7">
                  <c:v>73.248999999999995</c:v>
                </c:pt>
                <c:pt idx="8">
                  <c:v>81.757000000000005</c:v>
                </c:pt>
                <c:pt idx="9">
                  <c:v>88.075000000000003</c:v>
                </c:pt>
                <c:pt idx="10">
                  <c:v>93.105000000000004</c:v>
                </c:pt>
                <c:pt idx="11">
                  <c:v>94.09</c:v>
                </c:pt>
                <c:pt idx="12">
                  <c:v>91.692999999999998</c:v>
                </c:pt>
                <c:pt idx="13">
                  <c:v>88.257000000000005</c:v>
                </c:pt>
                <c:pt idx="14">
                  <c:v>82.039000000000001</c:v>
                </c:pt>
                <c:pt idx="15">
                  <c:v>77.382000000000005</c:v>
                </c:pt>
                <c:pt idx="16">
                  <c:v>72.084000000000003</c:v>
                </c:pt>
                <c:pt idx="17">
                  <c:v>68.575999999999993</c:v>
                </c:pt>
                <c:pt idx="18">
                  <c:v>64.253</c:v>
                </c:pt>
                <c:pt idx="19">
                  <c:v>62.960999999999999</c:v>
                </c:pt>
                <c:pt idx="20">
                  <c:v>60.594999999999999</c:v>
                </c:pt>
                <c:pt idx="21">
                  <c:v>58.698999999999998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6-D12D-40BA-9AAD-E29B069D2C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26"/>
        <c:axId val="1333108191"/>
        <c:axId val="1333103199"/>
      </c:barChart>
      <c:lineChart>
        <c:grouping val="standard"/>
        <c:varyColors val="0"/>
        <c:ser>
          <c:idx val="1"/>
          <c:order val="1"/>
          <c:tx>
            <c:strRef>
              <c:f>List1!$A$19</c:f>
              <c:strCache>
                <c:ptCount val="1"/>
                <c:pt idx="0">
                  <c:v>poprvé zapsané ženy (%)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7625272331154695E-2"/>
                  <c:y val="7.0888326459192602E-2"/>
                </c:manualLayout>
              </c:layout>
              <c:numFmt formatCode="0.0\ %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1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7-D12D-40BA-9AAD-E29B069D2C0C}"/>
                </c:ext>
              </c:extLst>
            </c:dLbl>
            <c:dLbl>
              <c:idx val="8"/>
              <c:layout/>
              <c:numFmt formatCode="0.0\ %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1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7F0-4699-BAFC-B3174C90A559}"/>
                </c:ext>
              </c:extLst>
            </c:dLbl>
            <c:dLbl>
              <c:idx val="21"/>
              <c:layout/>
              <c:numFmt formatCode="0.0\ %" sourceLinked="0"/>
              <c:spPr>
                <a:solidFill>
                  <a:schemeClr val="bg1"/>
                </a:solidFill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1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8-D12D-40BA-9AAD-E29B069D2C0C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1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List1!$B$17:$W$17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List1!$B$19:$W$19</c:f>
              <c:numCache>
                <c:formatCode>0.0%</c:formatCode>
                <c:ptCount val="22"/>
                <c:pt idx="0">
                  <c:v>0.49993627326026002</c:v>
                </c:pt>
                <c:pt idx="1">
                  <c:v>0.51705737754061998</c:v>
                </c:pt>
                <c:pt idx="2">
                  <c:v>0.52273843778510776</c:v>
                </c:pt>
                <c:pt idx="3">
                  <c:v>0.52432138134868167</c:v>
                </c:pt>
                <c:pt idx="4">
                  <c:v>0.54172115011567257</c:v>
                </c:pt>
                <c:pt idx="5">
                  <c:v>0.54935496351241375</c:v>
                </c:pt>
                <c:pt idx="6">
                  <c:v>0.55582476265822789</c:v>
                </c:pt>
                <c:pt idx="7">
                  <c:v>0.5636874940920692</c:v>
                </c:pt>
                <c:pt idx="8">
                  <c:v>0.56752450837878388</c:v>
                </c:pt>
                <c:pt idx="9">
                  <c:v>0.56192473080066807</c:v>
                </c:pt>
                <c:pt idx="10">
                  <c:v>0.55956078792294617</c:v>
                </c:pt>
                <c:pt idx="11">
                  <c:v>0.56403321087831204</c:v>
                </c:pt>
                <c:pt idx="12">
                  <c:v>0.56279442718251982</c:v>
                </c:pt>
                <c:pt idx="13">
                  <c:v>0.56088188360960045</c:v>
                </c:pt>
                <c:pt idx="14">
                  <c:v>0.55626871321884575</c:v>
                </c:pt>
                <c:pt idx="15">
                  <c:v>0.56147365414822215</c:v>
                </c:pt>
                <c:pt idx="16">
                  <c:v>0.56051875769306236</c:v>
                </c:pt>
                <c:pt idx="17">
                  <c:v>0.55068444758456236</c:v>
                </c:pt>
                <c:pt idx="18">
                  <c:v>0.55411782361474715</c:v>
                </c:pt>
                <c:pt idx="19">
                  <c:v>0.54325259515570934</c:v>
                </c:pt>
                <c:pt idx="20">
                  <c:v>0.54380493770541927</c:v>
                </c:pt>
                <c:pt idx="21">
                  <c:v>0.53902106144731532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9-D12D-40BA-9AAD-E29B069D2C0C}"/>
            </c:ext>
          </c:extLst>
        </c:ser>
        <c:ser>
          <c:idx val="3"/>
          <c:order val="3"/>
          <c:tx>
            <c:strRef>
              <c:f>List1!$A$21</c:f>
              <c:strCache>
                <c:ptCount val="1"/>
                <c:pt idx="0">
                  <c:v>absolventky ženy (%)</c:v>
                </c:pt>
              </c:strCache>
            </c:strRef>
          </c:tx>
          <c:spPr>
            <a:ln w="28575" cap="rnd">
              <a:solidFill>
                <a:srgbClr val="A88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4926976216707581E-2"/>
                  <c:y val="-5.3692038495188103E-2"/>
                </c:manualLayout>
              </c:layout>
              <c:numFmt formatCode="0.0\ %" sourceLinked="0"/>
              <c:spPr>
                <a:solidFill>
                  <a:srgbClr val="FFCE43"/>
                </a:solidFill>
                <a:ln>
                  <a:solidFill>
                    <a:srgbClr val="A88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1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A-D12D-40BA-9AAD-E29B069D2C0C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F0-4699-BAFC-B3174C90A559}"/>
                </c:ext>
              </c:extLst>
            </c:dLbl>
            <c:dLbl>
              <c:idx val="21"/>
              <c:layout>
                <c:manualLayout>
                  <c:x val="-1.2386978246576067E-3"/>
                  <c:y val="-8.1469816272965873E-2"/>
                </c:manualLayout>
              </c:layout>
              <c:numFmt formatCode="0.0\ %" sourceLinked="0"/>
              <c:spPr>
                <a:solidFill>
                  <a:srgbClr val="FFCE43"/>
                </a:solidFill>
                <a:ln>
                  <a:solidFill>
                    <a:srgbClr val="A880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1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B-D12D-40BA-9AAD-E29B069D2C0C}"/>
                </c:ext>
              </c:extLst>
            </c:dLbl>
            <c:numFmt formatCode="0.0\ %" sourceLinked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solidFill>
                  <a:srgbClr val="A88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1" u="none" strike="noStrike" kern="1200" baseline="0">
                    <a:solidFill>
                      <a:srgbClr val="CC99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List1!$B$17:$W$17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List1!$B$21:$W$21</c:f>
              <c:numCache>
                <c:formatCode>0.0%</c:formatCode>
                <c:ptCount val="22"/>
                <c:pt idx="0">
                  <c:v>0.51403421358578305</c:v>
                </c:pt>
                <c:pt idx="1">
                  <c:v>0.52638150733175382</c:v>
                </c:pt>
                <c:pt idx="2">
                  <c:v>0.53789923867875888</c:v>
                </c:pt>
                <c:pt idx="3">
                  <c:v>0.54025324370798811</c:v>
                </c:pt>
                <c:pt idx="4">
                  <c:v>0.55293188994136222</c:v>
                </c:pt>
                <c:pt idx="5">
                  <c:v>0.55675190668461194</c:v>
                </c:pt>
                <c:pt idx="6">
                  <c:v>0.55914349311847511</c:v>
                </c:pt>
                <c:pt idx="7">
                  <c:v>0.56929104834195687</c:v>
                </c:pt>
                <c:pt idx="8">
                  <c:v>0.58721577357290511</c:v>
                </c:pt>
                <c:pt idx="9">
                  <c:v>0.60018166335509504</c:v>
                </c:pt>
                <c:pt idx="10">
                  <c:v>0.61036464207078034</c:v>
                </c:pt>
                <c:pt idx="11">
                  <c:v>0.61011797215432029</c:v>
                </c:pt>
                <c:pt idx="12">
                  <c:v>0.6111807880645197</c:v>
                </c:pt>
                <c:pt idx="13">
                  <c:v>0.60664876440395665</c:v>
                </c:pt>
                <c:pt idx="14">
                  <c:v>0.60404198003388632</c:v>
                </c:pt>
                <c:pt idx="15">
                  <c:v>0.60183246749890151</c:v>
                </c:pt>
                <c:pt idx="16">
                  <c:v>0.59841296265468069</c:v>
                </c:pt>
                <c:pt idx="17">
                  <c:v>0.59811012599160052</c:v>
                </c:pt>
                <c:pt idx="18">
                  <c:v>0.59769971830109103</c:v>
                </c:pt>
                <c:pt idx="19">
                  <c:v>0.59462206762916725</c:v>
                </c:pt>
                <c:pt idx="20">
                  <c:v>0.59359683142173447</c:v>
                </c:pt>
                <c:pt idx="21">
                  <c:v>0.59041891684696501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C-D12D-40BA-9AAD-E29B069D2C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5371967"/>
        <c:axId val="1365365727"/>
      </c:lineChart>
      <c:catAx>
        <c:axId val="1333108191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33103199"/>
        <c:crosses val="autoZero"/>
        <c:auto val="1"/>
        <c:lblAlgn val="ctr"/>
        <c:lblOffset val="100"/>
        <c:noMultiLvlLbl val="0"/>
      </c:catAx>
      <c:valAx>
        <c:axId val="1333103199"/>
        <c:scaling>
          <c:orientation val="minMax"/>
          <c:max val="10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33108191"/>
        <c:crosses val="autoZero"/>
        <c:crossBetween val="between"/>
      </c:valAx>
      <c:valAx>
        <c:axId val="1365365727"/>
        <c:scaling>
          <c:orientation val="minMax"/>
          <c:max val="1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65371967"/>
        <c:crosses val="max"/>
        <c:crossBetween val="between"/>
      </c:valAx>
      <c:catAx>
        <c:axId val="1365371967"/>
        <c:scaling>
          <c:orientation val="minMax"/>
        </c:scaling>
        <c:delete val="1"/>
        <c:axPos val="b"/>
        <c:numFmt formatCode="0" sourceLinked="1"/>
        <c:majorTickMark val="out"/>
        <c:minorTickMark val="none"/>
        <c:tickLblPos val="nextTo"/>
        <c:crossAx val="136536572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893812293071209E-2"/>
          <c:y val="0.85361236095488069"/>
          <c:w val="0.88034878321774002"/>
          <c:h val="0.130514727325750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03603437530177E-2"/>
          <c:y val="4.0515653775322284E-2"/>
          <c:w val="0.90497019812322788"/>
          <c:h val="0.87062020562346831"/>
        </c:manualLayout>
      </c:layout>
      <c:lineChart>
        <c:grouping val="standard"/>
        <c:varyColors val="0"/>
        <c:ser>
          <c:idx val="0"/>
          <c:order val="0"/>
          <c:tx>
            <c:strRef>
              <c:f>List3!$A$25</c:f>
              <c:strCache>
                <c:ptCount val="1"/>
                <c:pt idx="0">
                  <c:v>poprvé zapsaní - podíl cizinců</c:v>
                </c:pt>
              </c:strCache>
            </c:strRef>
          </c:tx>
          <c:spPr>
            <a:ln w="28575" cap="rnd">
              <a:solidFill>
                <a:schemeClr val="accent4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6822742474916398E-2"/>
                  <c:y val="-4.0404040404040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C14-4C32-82EF-3C2752184CD6}"/>
                </c:ext>
              </c:extLst>
            </c:dLbl>
            <c:dLbl>
              <c:idx val="15"/>
              <c:layout>
                <c:manualLayout>
                  <c:x val="-6.688963210702341E-3"/>
                  <c:y val="-4.0404040404040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C14-4C32-82EF-3C2752184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accent4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List3!$H$24:$W$24</c:f>
              <c:numCache>
                <c:formatCode>0</c:formatCode>
                <c:ptCount val="16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</c:numCache>
            </c:numRef>
          </c:cat>
          <c:val>
            <c:numRef>
              <c:f>List3!$H$25:$W$25</c:f>
              <c:numCache>
                <c:formatCode>0.0%</c:formatCode>
                <c:ptCount val="16"/>
                <c:pt idx="0">
                  <c:v>9.7211234177215194E-2</c:v>
                </c:pt>
                <c:pt idx="1">
                  <c:v>0.10345968428017771</c:v>
                </c:pt>
                <c:pt idx="2">
                  <c:v>0.12328034329173983</c:v>
                </c:pt>
                <c:pt idx="3">
                  <c:v>0.13056611819894098</c:v>
                </c:pt>
                <c:pt idx="4">
                  <c:v>0.12923265713080492</c:v>
                </c:pt>
                <c:pt idx="5">
                  <c:v>0.13623457537712111</c:v>
                </c:pt>
                <c:pt idx="6">
                  <c:v>0.14848437119660934</c:v>
                </c:pt>
                <c:pt idx="7">
                  <c:v>0.17002637835021331</c:v>
                </c:pt>
                <c:pt idx="8">
                  <c:v>0.18568675362219086</c:v>
                </c:pt>
                <c:pt idx="9">
                  <c:v>0.18945451949164643</c:v>
                </c:pt>
                <c:pt idx="10">
                  <c:v>0.1771768021834918</c:v>
                </c:pt>
                <c:pt idx="11">
                  <c:v>0.19339397686125584</c:v>
                </c:pt>
                <c:pt idx="12">
                  <c:v>0.19832919244301411</c:v>
                </c:pt>
                <c:pt idx="13">
                  <c:v>0.2093813521187953</c:v>
                </c:pt>
                <c:pt idx="14">
                  <c:v>0.21501184743560345</c:v>
                </c:pt>
                <c:pt idx="15">
                  <c:v>0.24930984211669097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C14-4C32-82EF-3C2752184CD6}"/>
            </c:ext>
          </c:extLst>
        </c:ser>
        <c:ser>
          <c:idx val="1"/>
          <c:order val="1"/>
          <c:tx>
            <c:strRef>
              <c:f>List3!$A$26</c:f>
              <c:strCache>
                <c:ptCount val="1"/>
                <c:pt idx="0">
                  <c:v>poprvé zapsaní - podíl bydlících v cizině</c:v>
                </c:pt>
              </c:strCache>
            </c:strRef>
          </c:tx>
          <c:spPr>
            <a:ln w="28575" cap="rnd">
              <a:solidFill>
                <a:schemeClr val="accent4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5741360089186176E-2"/>
                  <c:y val="-8.230357597103833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C14-4C32-82EF-3C2752184CD6}"/>
                </c:ext>
              </c:extLst>
            </c:dLbl>
            <c:dLbl>
              <c:idx val="15"/>
              <c:layout>
                <c:manualLayout>
                  <c:x val="0"/>
                  <c:y val="2.2446689113355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C14-4C32-82EF-3C2752184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accent4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List3!$H$24:$W$24</c:f>
              <c:numCache>
                <c:formatCode>0</c:formatCode>
                <c:ptCount val="16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</c:numCache>
            </c:numRef>
          </c:cat>
          <c:val>
            <c:numRef>
              <c:f>List3!$H$26:$W$26</c:f>
              <c:numCache>
                <c:formatCode>0.0%</c:formatCode>
                <c:ptCount val="16"/>
                <c:pt idx="0">
                  <c:v>8.6654469936708861E-2</c:v>
                </c:pt>
                <c:pt idx="1">
                  <c:v>9.3014462614613852E-2</c:v>
                </c:pt>
                <c:pt idx="2">
                  <c:v>0.11032549918014677</c:v>
                </c:pt>
                <c:pt idx="3">
                  <c:v>0.11791463804683891</c:v>
                </c:pt>
                <c:pt idx="4">
                  <c:v>0.11518451764645729</c:v>
                </c:pt>
                <c:pt idx="5">
                  <c:v>0.12078640345565379</c:v>
                </c:pt>
                <c:pt idx="6">
                  <c:v>0.13114448946863499</c:v>
                </c:pt>
                <c:pt idx="7">
                  <c:v>0.1514638356075162</c:v>
                </c:pt>
                <c:pt idx="8">
                  <c:v>0.16999346112812747</c:v>
                </c:pt>
                <c:pt idx="9">
                  <c:v>0.17412180494073967</c:v>
                </c:pt>
                <c:pt idx="10">
                  <c:v>0.16399379203310915</c:v>
                </c:pt>
                <c:pt idx="11">
                  <c:v>0.18088845712267068</c:v>
                </c:pt>
                <c:pt idx="12">
                  <c:v>0.18508945990562106</c:v>
                </c:pt>
                <c:pt idx="13">
                  <c:v>0.19476469036572688</c:v>
                </c:pt>
                <c:pt idx="14">
                  <c:v>0.20278223649010166</c:v>
                </c:pt>
                <c:pt idx="15">
                  <c:v>0.23211017711467477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C14-4C32-82EF-3C2752184CD6}"/>
            </c:ext>
          </c:extLst>
        </c:ser>
        <c:ser>
          <c:idx val="2"/>
          <c:order val="2"/>
          <c:tx>
            <c:strRef>
              <c:f>List3!$A$27</c:f>
              <c:strCache>
                <c:ptCount val="1"/>
                <c:pt idx="0">
                  <c:v>absolventi - podíl cizinců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9052396878483846E-2"/>
                  <c:y val="-4.48933782267123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C14-4C32-82EF-3C2752184CD6}"/>
                </c:ext>
              </c:extLst>
            </c:dLbl>
            <c:dLbl>
              <c:idx val="15"/>
              <c:layout>
                <c:manualLayout>
                  <c:x val="-6.688963210702341E-3"/>
                  <c:y val="-3.1425364758698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2C14-4C32-82EF-3C2752184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rgbClr val="6CA62C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List3!$H$24:$W$24</c:f>
              <c:numCache>
                <c:formatCode>0</c:formatCode>
                <c:ptCount val="16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</c:numCache>
            </c:numRef>
          </c:cat>
          <c:val>
            <c:numRef>
              <c:f>List3!$H$27:$W$27</c:f>
              <c:numCache>
                <c:formatCode>0.0%</c:formatCode>
                <c:ptCount val="16"/>
                <c:pt idx="0">
                  <c:v>6.5397999811894536E-2</c:v>
                </c:pt>
                <c:pt idx="1">
                  <c:v>6.6553809608322301E-2</c:v>
                </c:pt>
                <c:pt idx="2">
                  <c:v>7.0061279156524825E-2</c:v>
                </c:pt>
                <c:pt idx="3">
                  <c:v>7.6559750212886746E-2</c:v>
                </c:pt>
                <c:pt idx="4">
                  <c:v>8.1316792868267013E-2</c:v>
                </c:pt>
                <c:pt idx="5">
                  <c:v>8.7543841003294723E-2</c:v>
                </c:pt>
                <c:pt idx="6">
                  <c:v>9.0246801827838549E-2</c:v>
                </c:pt>
                <c:pt idx="7">
                  <c:v>9.4077523595862078E-2</c:v>
                </c:pt>
                <c:pt idx="8">
                  <c:v>9.6515072099854951E-2</c:v>
                </c:pt>
                <c:pt idx="9">
                  <c:v>0.10454627691194335</c:v>
                </c:pt>
                <c:pt idx="10">
                  <c:v>0.11490760779091061</c:v>
                </c:pt>
                <c:pt idx="11">
                  <c:v>0.12516040597293515</c:v>
                </c:pt>
                <c:pt idx="12">
                  <c:v>0.13762781504365554</c:v>
                </c:pt>
                <c:pt idx="13">
                  <c:v>0.14161147376947633</c:v>
                </c:pt>
                <c:pt idx="14">
                  <c:v>0.14733888934730588</c:v>
                </c:pt>
                <c:pt idx="15">
                  <c:v>0.14761750626075401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C14-4C32-82EF-3C2752184CD6}"/>
            </c:ext>
          </c:extLst>
        </c:ser>
        <c:ser>
          <c:idx val="3"/>
          <c:order val="3"/>
          <c:tx>
            <c:strRef>
              <c:f>List3!$A$28</c:f>
              <c:strCache>
                <c:ptCount val="1"/>
                <c:pt idx="0">
                  <c:v>absolventi - podíl bydlících v cizině</c:v>
                </c:pt>
              </c:strCache>
            </c:strRef>
          </c:tx>
          <c:spPr>
            <a:ln w="28575" cap="rnd">
              <a:solidFill>
                <a:srgbClr val="476D1D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9052396878483846E-2"/>
                  <c:y val="2.6936026936026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C14-4C32-82EF-3C2752184CD6}"/>
                </c:ext>
              </c:extLst>
            </c:dLbl>
            <c:dLbl>
              <c:idx val="15"/>
              <c:layout>
                <c:manualLayout>
                  <c:x val="0"/>
                  <c:y val="3.1425364758698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2C14-4C32-82EF-3C2752184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accent3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List3!$H$24:$W$24</c:f>
              <c:numCache>
                <c:formatCode>0</c:formatCode>
                <c:ptCount val="16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</c:numCache>
            </c:numRef>
          </c:cat>
          <c:val>
            <c:numRef>
              <c:f>List3!$H$28:$W$28</c:f>
              <c:numCache>
                <c:formatCode>0.0%</c:formatCode>
                <c:ptCount val="16"/>
                <c:pt idx="0">
                  <c:v>5.9268896761450918E-2</c:v>
                </c:pt>
                <c:pt idx="1">
                  <c:v>5.8867697852530411E-2</c:v>
                </c:pt>
                <c:pt idx="2">
                  <c:v>6.2759152121530881E-2</c:v>
                </c:pt>
                <c:pt idx="3">
                  <c:v>6.9849560034061883E-2</c:v>
                </c:pt>
                <c:pt idx="4">
                  <c:v>7.461468234788679E-2</c:v>
                </c:pt>
                <c:pt idx="5">
                  <c:v>7.9679030715272617E-2</c:v>
                </c:pt>
                <c:pt idx="6">
                  <c:v>8.2230922753100025E-2</c:v>
                </c:pt>
                <c:pt idx="7">
                  <c:v>8.5545622443545549E-2</c:v>
                </c:pt>
                <c:pt idx="8">
                  <c:v>8.837260327405258E-2</c:v>
                </c:pt>
                <c:pt idx="9">
                  <c:v>9.4789485926959752E-2</c:v>
                </c:pt>
                <c:pt idx="10">
                  <c:v>0.10469729759724765</c:v>
                </c:pt>
                <c:pt idx="11">
                  <c:v>0.11528814745683622</c:v>
                </c:pt>
                <c:pt idx="12">
                  <c:v>0.12673338209889032</c:v>
                </c:pt>
                <c:pt idx="13">
                  <c:v>0.13125585680024143</c:v>
                </c:pt>
                <c:pt idx="14">
                  <c:v>0.13613334433534119</c:v>
                </c:pt>
                <c:pt idx="15">
                  <c:v>0.1376173359001005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2C14-4C32-82EF-3C2752184C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37964271"/>
        <c:axId val="1337969263"/>
      </c:lineChart>
      <c:catAx>
        <c:axId val="1337964271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37969263"/>
        <c:crosses val="autoZero"/>
        <c:auto val="1"/>
        <c:lblAlgn val="ctr"/>
        <c:lblOffset val="100"/>
        <c:noMultiLvlLbl val="0"/>
      </c:catAx>
      <c:valAx>
        <c:axId val="1337969263"/>
        <c:scaling>
          <c:orientation val="minMax"/>
          <c:max val="0.26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379642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4898410273966588"/>
          <c:y val="0.66290552064830277"/>
          <c:w val="0.51897716798778082"/>
          <c:h val="0.21583286937617646"/>
        </c:manualLayout>
      </c:layout>
      <c:overlay val="0"/>
      <c:spPr>
        <a:solidFill>
          <a:schemeClr val="bg1"/>
        </a:solidFill>
        <a:ln>
          <a:solidFill>
            <a:schemeClr val="bg1">
              <a:lumMod val="8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881953780167717"/>
          <c:y val="2.9064486830154404E-2"/>
          <c:w val="0.62460853978618514"/>
          <c:h val="0.9484168293677186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214803149606302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C13-42E5-B875-0998E8A5B3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List4!$D$58:$D$72</c:f>
              <c:strCache>
                <c:ptCount val="15"/>
                <c:pt idx="0">
                  <c:v>Karlovarský</c:v>
                </c:pt>
                <c:pt idx="1">
                  <c:v>Liberecký</c:v>
                </c:pt>
                <c:pt idx="2">
                  <c:v>Plzeňský</c:v>
                </c:pt>
                <c:pt idx="3">
                  <c:v>Pardubický</c:v>
                </c:pt>
                <c:pt idx="4">
                  <c:v>Královéhradecký</c:v>
                </c:pt>
                <c:pt idx="5">
                  <c:v>Ústecký</c:v>
                </c:pt>
                <c:pt idx="6">
                  <c:v>Vysočina</c:v>
                </c:pt>
                <c:pt idx="7">
                  <c:v>Jihočeský</c:v>
                </c:pt>
                <c:pt idx="8">
                  <c:v>Zlínský</c:v>
                </c:pt>
                <c:pt idx="9">
                  <c:v>Olomoucký</c:v>
                </c:pt>
                <c:pt idx="10">
                  <c:v>Jihomoravský</c:v>
                </c:pt>
                <c:pt idx="11">
                  <c:v>Středočeský</c:v>
                </c:pt>
                <c:pt idx="12">
                  <c:v>Moravskoslezský</c:v>
                </c:pt>
                <c:pt idx="13">
                  <c:v>Praha</c:v>
                </c:pt>
                <c:pt idx="14">
                  <c:v>bydliště v zahraničí</c:v>
                </c:pt>
              </c:strCache>
            </c:strRef>
          </c:cat>
          <c:val>
            <c:numRef>
              <c:f>List4!$E$58:$E$72</c:f>
              <c:numCache>
                <c:formatCode>#,##0</c:formatCode>
                <c:ptCount val="15"/>
                <c:pt idx="0">
                  <c:v>918</c:v>
                </c:pt>
                <c:pt idx="1">
                  <c:v>1740</c:v>
                </c:pt>
                <c:pt idx="2">
                  <c:v>2387</c:v>
                </c:pt>
                <c:pt idx="3">
                  <c:v>2482</c:v>
                </c:pt>
                <c:pt idx="4">
                  <c:v>2684</c:v>
                </c:pt>
                <c:pt idx="5">
                  <c:v>2729</c:v>
                </c:pt>
                <c:pt idx="6">
                  <c:v>2826</c:v>
                </c:pt>
                <c:pt idx="7">
                  <c:v>3188</c:v>
                </c:pt>
                <c:pt idx="8">
                  <c:v>3253</c:v>
                </c:pt>
                <c:pt idx="9">
                  <c:v>3288</c:v>
                </c:pt>
                <c:pt idx="10">
                  <c:v>5917</c:v>
                </c:pt>
                <c:pt idx="11">
                  <c:v>6206</c:v>
                </c:pt>
                <c:pt idx="12">
                  <c:v>6255</c:v>
                </c:pt>
                <c:pt idx="13">
                  <c:v>6748</c:v>
                </c:pt>
                <c:pt idx="14">
                  <c:v>8078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13-42E5-B875-0998E8A5B3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274257136"/>
        <c:axId val="274248400"/>
      </c:barChart>
      <c:catAx>
        <c:axId val="274257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4248400"/>
        <c:crosses val="autoZero"/>
        <c:auto val="1"/>
        <c:lblAlgn val="ctr"/>
        <c:lblOffset val="100"/>
        <c:noMultiLvlLbl val="0"/>
      </c:catAx>
      <c:valAx>
        <c:axId val="274248400"/>
        <c:scaling>
          <c:orientation val="minMax"/>
          <c:max val="8200"/>
          <c:min val="0"/>
        </c:scaling>
        <c:delete val="0"/>
        <c:axPos val="b"/>
        <c:numFmt formatCode="#,##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4257136"/>
        <c:crosses val="autoZero"/>
        <c:crossBetween val="between"/>
      </c:valAx>
      <c:spPr>
        <a:noFill/>
        <a:ln>
          <a:solidFill>
            <a:schemeClr val="bg1">
              <a:lumMod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717858555351814"/>
          <c:y val="1.9556147030916911E-2"/>
          <c:w val="0.57798583396253556"/>
          <c:h val="0.9608083496605176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4"/>
              <c:layout>
                <c:manualLayout>
                  <c:x val="-2.5707330851374656E-3"/>
                  <c:y val="0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A91-4134-9AEB-45A668C6F7F8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List4!$A$57:$A$71</c:f>
              <c:strCache>
                <c:ptCount val="15"/>
                <c:pt idx="0">
                  <c:v>Ústecký</c:v>
                </c:pt>
                <c:pt idx="1">
                  <c:v>Karlovarský</c:v>
                </c:pt>
                <c:pt idx="2">
                  <c:v>Praha</c:v>
                </c:pt>
                <c:pt idx="3">
                  <c:v>Moravskoslezský</c:v>
                </c:pt>
                <c:pt idx="4">
                  <c:v>Zlínský</c:v>
                </c:pt>
                <c:pt idx="5">
                  <c:v>Olomoucký</c:v>
                </c:pt>
                <c:pt idx="6">
                  <c:v>Jihočeský</c:v>
                </c:pt>
                <c:pt idx="7">
                  <c:v>Liberecký</c:v>
                </c:pt>
                <c:pt idx="8">
                  <c:v>Vysočina</c:v>
                </c:pt>
                <c:pt idx="9">
                  <c:v>Pardubický</c:v>
                </c:pt>
                <c:pt idx="10">
                  <c:v>Jihomoravský</c:v>
                </c:pt>
                <c:pt idx="11">
                  <c:v>Královéhradecký</c:v>
                </c:pt>
                <c:pt idx="12">
                  <c:v>Plzeňský</c:v>
                </c:pt>
                <c:pt idx="13">
                  <c:v>Středočeský</c:v>
                </c:pt>
                <c:pt idx="14">
                  <c:v>bydliště v zahraničí</c:v>
                </c:pt>
              </c:strCache>
            </c:strRef>
          </c:cat>
          <c:val>
            <c:numRef>
              <c:f>List4!$B$57:$B$71</c:f>
              <c:numCache>
                <c:formatCode>0.0%</c:formatCode>
                <c:ptCount val="15"/>
                <c:pt idx="0">
                  <c:v>-0.48028946867263378</c:v>
                </c:pt>
                <c:pt idx="1">
                  <c:v>-0.47058823529411764</c:v>
                </c:pt>
                <c:pt idx="2">
                  <c:v>-0.44688524590163925</c:v>
                </c:pt>
                <c:pt idx="3">
                  <c:v>-0.44547872340425532</c:v>
                </c:pt>
                <c:pt idx="4">
                  <c:v>-0.44326544583262018</c:v>
                </c:pt>
                <c:pt idx="5">
                  <c:v>-0.4299583911234397</c:v>
                </c:pt>
                <c:pt idx="6">
                  <c:v>-0.41547488082141537</c:v>
                </c:pt>
                <c:pt idx="7">
                  <c:v>-0.41473259334006052</c:v>
                </c:pt>
                <c:pt idx="8">
                  <c:v>-0.403167898627244</c:v>
                </c:pt>
                <c:pt idx="9">
                  <c:v>-0.40307840307840304</c:v>
                </c:pt>
                <c:pt idx="10">
                  <c:v>-0.3939983613273248</c:v>
                </c:pt>
                <c:pt idx="11">
                  <c:v>-0.39055404178019981</c:v>
                </c:pt>
                <c:pt idx="12">
                  <c:v>-0.38841916474506788</c:v>
                </c:pt>
                <c:pt idx="13">
                  <c:v>-0.31749697569558999</c:v>
                </c:pt>
                <c:pt idx="14">
                  <c:v>7.7497665732959797E-2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91-4134-9AEB-45A668C6F7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axId val="270615648"/>
        <c:axId val="270619808"/>
      </c:barChart>
      <c:catAx>
        <c:axId val="270615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0619808"/>
        <c:crosses val="autoZero"/>
        <c:auto val="1"/>
        <c:lblAlgn val="ctr"/>
        <c:lblOffset val="100"/>
        <c:noMultiLvlLbl val="0"/>
      </c:catAx>
      <c:valAx>
        <c:axId val="270619808"/>
        <c:scaling>
          <c:orientation val="minMax"/>
          <c:min val="-0.5"/>
        </c:scaling>
        <c:delete val="0"/>
        <c:axPos val="b"/>
        <c:numFmt formatCode="0\ %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0615648"/>
        <c:crosses val="autoZero"/>
        <c:crossBetween val="between"/>
      </c:valAx>
      <c:spPr>
        <a:noFill/>
        <a:ln>
          <a:solidFill>
            <a:schemeClr val="bg1">
              <a:lumMod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67383582352559"/>
          <c:y val="4.3596730245231606E-2"/>
          <c:w val="0.61381449226973839"/>
          <c:h val="0.9193523425375642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4"/>
              <c:layout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739-464C-A526-5F57353AE0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List1!$A$3:$A$17</c:f>
              <c:strCache>
                <c:ptCount val="15"/>
                <c:pt idx="0">
                  <c:v>Karlovarský</c:v>
                </c:pt>
                <c:pt idx="1">
                  <c:v>Liberecký</c:v>
                </c:pt>
                <c:pt idx="2">
                  <c:v>Pardubický</c:v>
                </c:pt>
                <c:pt idx="3">
                  <c:v>Plzeňský</c:v>
                </c:pt>
                <c:pt idx="4">
                  <c:v>Královéhradecký</c:v>
                </c:pt>
                <c:pt idx="5">
                  <c:v>Vysočina</c:v>
                </c:pt>
                <c:pt idx="6">
                  <c:v>Zlínský</c:v>
                </c:pt>
                <c:pt idx="7">
                  <c:v>Olomoucký</c:v>
                </c:pt>
                <c:pt idx="8">
                  <c:v>Ústecký</c:v>
                </c:pt>
                <c:pt idx="9">
                  <c:v>Jihočeský</c:v>
                </c:pt>
                <c:pt idx="10">
                  <c:v>Jihomoravský</c:v>
                </c:pt>
                <c:pt idx="11">
                  <c:v>Moravskoslezský</c:v>
                </c:pt>
                <c:pt idx="12">
                  <c:v>Praha</c:v>
                </c:pt>
                <c:pt idx="13">
                  <c:v>Středočeský</c:v>
                </c:pt>
                <c:pt idx="14">
                  <c:v>zahraničí</c:v>
                </c:pt>
              </c:strCache>
            </c:strRef>
          </c:cat>
          <c:val>
            <c:numRef>
              <c:f>List1!$B$3:$B$17</c:f>
              <c:numCache>
                <c:formatCode>#,##0</c:formatCode>
                <c:ptCount val="15"/>
                <c:pt idx="0">
                  <c:v>1028</c:v>
                </c:pt>
                <c:pt idx="1">
                  <c:v>1868</c:v>
                </c:pt>
                <c:pt idx="2">
                  <c:v>2412</c:v>
                </c:pt>
                <c:pt idx="3">
                  <c:v>2448</c:v>
                </c:pt>
                <c:pt idx="4">
                  <c:v>2516</c:v>
                </c:pt>
                <c:pt idx="5">
                  <c:v>2551</c:v>
                </c:pt>
                <c:pt idx="6">
                  <c:v>2918</c:v>
                </c:pt>
                <c:pt idx="7">
                  <c:v>2995</c:v>
                </c:pt>
                <c:pt idx="8">
                  <c:v>3226</c:v>
                </c:pt>
                <c:pt idx="9">
                  <c:v>3240</c:v>
                </c:pt>
                <c:pt idx="10">
                  <c:v>5431</c:v>
                </c:pt>
                <c:pt idx="11">
                  <c:v>5927</c:v>
                </c:pt>
                <c:pt idx="12">
                  <c:v>6159</c:v>
                </c:pt>
                <c:pt idx="13">
                  <c:v>6793</c:v>
                </c:pt>
                <c:pt idx="14">
                  <c:v>14966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39-464C-A526-5F57353AE0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274257136"/>
        <c:axId val="274248400"/>
      </c:barChart>
      <c:catAx>
        <c:axId val="274257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4248400"/>
        <c:crosses val="autoZero"/>
        <c:auto val="1"/>
        <c:lblAlgn val="ctr"/>
        <c:lblOffset val="100"/>
        <c:noMultiLvlLbl val="0"/>
      </c:catAx>
      <c:valAx>
        <c:axId val="274248400"/>
        <c:scaling>
          <c:orientation val="minMax"/>
          <c:max val="15500"/>
          <c:min val="0"/>
        </c:scaling>
        <c:delete val="0"/>
        <c:axPos val="b"/>
        <c:numFmt formatCode="#,##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4257136"/>
        <c:crosses val="autoZero"/>
        <c:crossBetween val="between"/>
      </c:valAx>
      <c:spPr>
        <a:noFill/>
        <a:ln>
          <a:solidFill>
            <a:schemeClr val="bg1">
              <a:lumMod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List1!$A$20:$A$34</c:f>
              <c:strCache>
                <c:ptCount val="15"/>
                <c:pt idx="0">
                  <c:v>Zlínský</c:v>
                </c:pt>
                <c:pt idx="1">
                  <c:v>Karlovarský</c:v>
                </c:pt>
                <c:pt idx="2">
                  <c:v>Moravskoslezský</c:v>
                </c:pt>
                <c:pt idx="3">
                  <c:v>Jihočeský</c:v>
                </c:pt>
                <c:pt idx="4">
                  <c:v>Vysočina</c:v>
                </c:pt>
                <c:pt idx="5">
                  <c:v>Královéhradecký</c:v>
                </c:pt>
                <c:pt idx="6">
                  <c:v>Pardubický</c:v>
                </c:pt>
                <c:pt idx="7">
                  <c:v>Ústecký</c:v>
                </c:pt>
                <c:pt idx="8">
                  <c:v>Olomoucký</c:v>
                </c:pt>
                <c:pt idx="9">
                  <c:v>Plzeňský</c:v>
                </c:pt>
                <c:pt idx="10">
                  <c:v>Jihomoravský</c:v>
                </c:pt>
                <c:pt idx="11">
                  <c:v>Liberecký</c:v>
                </c:pt>
                <c:pt idx="12">
                  <c:v>Praha</c:v>
                </c:pt>
                <c:pt idx="13">
                  <c:v>Středočeský</c:v>
                </c:pt>
                <c:pt idx="14">
                  <c:v>zahraničí</c:v>
                </c:pt>
              </c:strCache>
            </c:strRef>
          </c:cat>
          <c:val>
            <c:numRef>
              <c:f>List1!$B$20:$B$34</c:f>
              <c:numCache>
                <c:formatCode>General</c:formatCode>
                <c:ptCount val="15"/>
                <c:pt idx="0">
                  <c:v>-0.31114258734655331</c:v>
                </c:pt>
                <c:pt idx="1">
                  <c:v>-0.30115567641060503</c:v>
                </c:pt>
                <c:pt idx="2">
                  <c:v>-0.29774881516587681</c:v>
                </c:pt>
                <c:pt idx="3">
                  <c:v>-0.29164844774814169</c:v>
                </c:pt>
                <c:pt idx="4">
                  <c:v>-0.28423120089786758</c:v>
                </c:pt>
                <c:pt idx="5">
                  <c:v>-0.28073184676958263</c:v>
                </c:pt>
                <c:pt idx="6">
                  <c:v>-0.27956989247311825</c:v>
                </c:pt>
                <c:pt idx="7">
                  <c:v>-0.27538185085354894</c:v>
                </c:pt>
                <c:pt idx="8">
                  <c:v>-0.26358495205311039</c:v>
                </c:pt>
                <c:pt idx="9">
                  <c:v>-0.23880597014925375</c:v>
                </c:pt>
                <c:pt idx="10">
                  <c:v>-0.21743515850144091</c:v>
                </c:pt>
                <c:pt idx="11">
                  <c:v>-0.2167714884696017</c:v>
                </c:pt>
                <c:pt idx="12">
                  <c:v>-0.20199533557916599</c:v>
                </c:pt>
                <c:pt idx="13">
                  <c:v>-8.5487345180398466E-2</c:v>
                </c:pt>
                <c:pt idx="14">
                  <c:v>0.66733511586452754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5A-44BE-88FE-CE1D2720C1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axId val="270615648"/>
        <c:axId val="270619808"/>
      </c:barChart>
      <c:catAx>
        <c:axId val="270615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0619808"/>
        <c:crosses val="autoZero"/>
        <c:auto val="1"/>
        <c:lblAlgn val="ctr"/>
        <c:lblOffset val="100"/>
        <c:noMultiLvlLbl val="0"/>
      </c:catAx>
      <c:valAx>
        <c:axId val="270619808"/>
        <c:scaling>
          <c:orientation val="minMax"/>
        </c:scaling>
        <c:delete val="0"/>
        <c:axPos val="b"/>
        <c:numFmt formatCode="0\ %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70615648"/>
        <c:crosses val="autoZero"/>
        <c:crossBetween val="between"/>
      </c:valAx>
      <c:spPr>
        <a:noFill/>
        <a:ln>
          <a:solidFill>
            <a:schemeClr val="bg1">
              <a:lumMod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39109180859126E-2"/>
          <c:y val="4.1904761904761903E-2"/>
          <c:w val="0.93453762225910098"/>
          <c:h val="0.6973693288338958"/>
        </c:manualLayout>
      </c:layout>
      <c:lineChart>
        <c:grouping val="standard"/>
        <c:varyColors val="0"/>
        <c:ser>
          <c:idx val="0"/>
          <c:order val="0"/>
          <c:tx>
            <c:strRef>
              <c:f>List1!$B$16</c:f>
              <c:strCache>
                <c:ptCount val="1"/>
                <c:pt idx="0">
                  <c:v>poprvé zapsaní do studia - veřejný zřizovatel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7266348650863083E-2"/>
                  <c:y val="3.7609610879177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159-451B-9D7F-EC43243619F8}"/>
                </c:ext>
              </c:extLst>
            </c:dLbl>
            <c:dLbl>
              <c:idx val="7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159-451B-9D7F-EC43243619F8}"/>
                </c:ext>
              </c:extLst>
            </c:dLbl>
            <c:dLbl>
              <c:idx val="21"/>
              <c:layout>
                <c:manualLayout>
                  <c:x val="-1.195814648729447E-2"/>
                  <c:y val="-2.6666666666666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159-451B-9D7F-EC43243619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602B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List1!$C$15:$X$15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List1!$C$16:$X$16</c:f>
              <c:numCache>
                <c:formatCode>0.0</c:formatCode>
                <c:ptCount val="22"/>
                <c:pt idx="0">
                  <c:v>94.402668026170446</c:v>
                </c:pt>
                <c:pt idx="1">
                  <c:v>92.353658292863287</c:v>
                </c:pt>
                <c:pt idx="2">
                  <c:v>91.364306267106471</c:v>
                </c:pt>
                <c:pt idx="3">
                  <c:v>90.084778719763548</c:v>
                </c:pt>
                <c:pt idx="4">
                  <c:v>88.553446467317116</c:v>
                </c:pt>
                <c:pt idx="5">
                  <c:v>87.424790213055488</c:v>
                </c:pt>
                <c:pt idx="6">
                  <c:v>84.08203125</c:v>
                </c:pt>
                <c:pt idx="7">
                  <c:v>83.68583987144342</c:v>
                </c:pt>
                <c:pt idx="8">
                  <c:v>83.743647591026971</c:v>
                </c:pt>
                <c:pt idx="9">
                  <c:v>85.881990594311574</c:v>
                </c:pt>
                <c:pt idx="10">
                  <c:v>88.622157456762665</c:v>
                </c:pt>
                <c:pt idx="11">
                  <c:v>89.949268634020967</c:v>
                </c:pt>
                <c:pt idx="12">
                  <c:v>90.639900342215668</c:v>
                </c:pt>
                <c:pt idx="13">
                  <c:v>91.168137558211484</c:v>
                </c:pt>
                <c:pt idx="14">
                  <c:v>91.738651615789664</c:v>
                </c:pt>
                <c:pt idx="15">
                  <c:v>92.560331286591463</c:v>
                </c:pt>
                <c:pt idx="16">
                  <c:v>92.666393135558451</c:v>
                </c:pt>
                <c:pt idx="17">
                  <c:v>92.581471341517258</c:v>
                </c:pt>
                <c:pt idx="18">
                  <c:v>92.694802487869126</c:v>
                </c:pt>
                <c:pt idx="19">
                  <c:v>94.18592021350878</c:v>
                </c:pt>
                <c:pt idx="20">
                  <c:v>92.897653443399832</c:v>
                </c:pt>
                <c:pt idx="21">
                  <c:v>92.688979186699342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159-451B-9D7F-EC43243619F8}"/>
            </c:ext>
          </c:extLst>
        </c:ser>
        <c:ser>
          <c:idx val="1"/>
          <c:order val="1"/>
          <c:tx>
            <c:strRef>
              <c:f>List1!$B$17</c:f>
              <c:strCache>
                <c:ptCount val="1"/>
                <c:pt idx="0">
                  <c:v>poprvé zapsaní do studia - soukromý zřizovatel</c:v>
                </c:pt>
              </c:strCache>
            </c:strRef>
          </c:tx>
          <c:spPr>
            <a:ln w="28575" cap="rnd">
              <a:solidFill>
                <a:schemeClr val="accent3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208668360899331E-2"/>
                  <c:y val="-3.3620814176751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159-451B-9D7F-EC43243619F8}"/>
                </c:ext>
              </c:extLst>
            </c:dLbl>
            <c:dLbl>
              <c:idx val="8"/>
              <c:layout>
                <c:manualLayout>
                  <c:x val="-3.1164680803788414E-2"/>
                  <c:y val="-2.7331466117070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159-451B-9D7F-EC43243619F8}"/>
                </c:ext>
              </c:extLst>
            </c:dLbl>
            <c:dLbl>
              <c:idx val="21"/>
              <c:layout>
                <c:manualLayout>
                  <c:x val="-1.5944195316392625E-2"/>
                  <c:y val="-3.4285714285714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159-451B-9D7F-EC43243619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602B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List1!$C$15:$X$15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List1!$C$17:$X$17</c:f>
              <c:numCache>
                <c:formatCode>0.0</c:formatCode>
                <c:ptCount val="22"/>
                <c:pt idx="0">
                  <c:v>6.4916305548474798</c:v>
                </c:pt>
                <c:pt idx="1">
                  <c:v>8.9293922497351961</c:v>
                </c:pt>
                <c:pt idx="2">
                  <c:v>10.484946312021897</c:v>
                </c:pt>
                <c:pt idx="3">
                  <c:v>11.948354981722019</c:v>
                </c:pt>
                <c:pt idx="4">
                  <c:v>14.231316368025521</c:v>
                </c:pt>
                <c:pt idx="5">
                  <c:v>16.270661846125112</c:v>
                </c:pt>
                <c:pt idx="6">
                  <c:v>20.420045490506329</c:v>
                </c:pt>
                <c:pt idx="7">
                  <c:v>22.085026940164475</c:v>
                </c:pt>
                <c:pt idx="8">
                  <c:v>22.580270028258774</c:v>
                </c:pt>
                <c:pt idx="9">
                  <c:v>20.508902235331746</c:v>
                </c:pt>
                <c:pt idx="10">
                  <c:v>18.249798673160257</c:v>
                </c:pt>
                <c:pt idx="11">
                  <c:v>17.20425766689543</c:v>
                </c:pt>
                <c:pt idx="12">
                  <c:v>16.629676828133277</c:v>
                </c:pt>
                <c:pt idx="13">
                  <c:v>17.139414465756992</c:v>
                </c:pt>
                <c:pt idx="14">
                  <c:v>15.684688715283754</c:v>
                </c:pt>
                <c:pt idx="15">
                  <c:v>14.820434099671569</c:v>
                </c:pt>
                <c:pt idx="16">
                  <c:v>14.924095117469719</c:v>
                </c:pt>
                <c:pt idx="17">
                  <c:v>14.669257263975979</c:v>
                </c:pt>
                <c:pt idx="18">
                  <c:v>14.203531706991711</c:v>
                </c:pt>
                <c:pt idx="19">
                  <c:v>12.321752758080283</c:v>
                </c:pt>
                <c:pt idx="20">
                  <c:v>13.749140105480395</c:v>
                </c:pt>
                <c:pt idx="21">
                  <c:v>13.845032414156766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159-451B-9D7F-EC43243619F8}"/>
            </c:ext>
          </c:extLst>
        </c:ser>
        <c:ser>
          <c:idx val="2"/>
          <c:order val="2"/>
          <c:tx>
            <c:strRef>
              <c:f>List1!$B$18</c:f>
              <c:strCache>
                <c:ptCount val="1"/>
                <c:pt idx="0">
                  <c:v>absolventi - veřejný zřizovatel</c:v>
                </c:pt>
              </c:strCache>
            </c:strRef>
          </c:tx>
          <c:spPr>
            <a:ln w="28575" cap="rnd">
              <a:solidFill>
                <a:srgbClr val="F4CA76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420100265244636E-2"/>
                  <c:y val="4.47427293064876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159-451B-9D7F-EC43243619F8}"/>
                </c:ext>
              </c:extLst>
            </c:dLbl>
            <c:dLbl>
              <c:idx val="11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159-451B-9D7F-EC43243619F8}"/>
                </c:ext>
              </c:extLst>
            </c:dLbl>
            <c:dLbl>
              <c:idx val="21"/>
              <c:layout>
                <c:manualLayout>
                  <c:x val="-3.9860488290983029E-3"/>
                  <c:y val="2.285714285714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159-451B-9D7F-EC43243619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4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List1!$C$15:$X$15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List1!$C$18:$X$18</c:f>
              <c:numCache>
                <c:formatCode>0.0</c:formatCode>
                <c:ptCount val="22"/>
                <c:pt idx="0">
                  <c:v>99.581464872944693</c:v>
                </c:pt>
                <c:pt idx="1">
                  <c:v>98.88262790548761</c:v>
                </c:pt>
                <c:pt idx="2">
                  <c:v>97.734235190633626</c:v>
                </c:pt>
                <c:pt idx="3">
                  <c:v>95.510916575478092</c:v>
                </c:pt>
                <c:pt idx="4">
                  <c:v>93.143888137122232</c:v>
                </c:pt>
                <c:pt idx="5">
                  <c:v>90.761926125317785</c:v>
                </c:pt>
                <c:pt idx="6">
                  <c:v>88.903345142176377</c:v>
                </c:pt>
                <c:pt idx="7">
                  <c:v>87.085147920108113</c:v>
                </c:pt>
                <c:pt idx="8">
                  <c:v>85.272209107477039</c:v>
                </c:pt>
                <c:pt idx="9">
                  <c:v>82.980414419528813</c:v>
                </c:pt>
                <c:pt idx="10">
                  <c:v>82.314591053112068</c:v>
                </c:pt>
                <c:pt idx="11">
                  <c:v>81.697311085131247</c:v>
                </c:pt>
                <c:pt idx="12">
                  <c:v>83.534184725115338</c:v>
                </c:pt>
                <c:pt idx="13">
                  <c:v>84.328721801103583</c:v>
                </c:pt>
                <c:pt idx="14">
                  <c:v>86.059069466960835</c:v>
                </c:pt>
                <c:pt idx="15">
                  <c:v>87.122328190018351</c:v>
                </c:pt>
                <c:pt idx="16">
                  <c:v>87.528439043338324</c:v>
                </c:pt>
                <c:pt idx="17">
                  <c:v>87.81789547363509</c:v>
                </c:pt>
                <c:pt idx="18">
                  <c:v>88.52038037134453</c:v>
                </c:pt>
                <c:pt idx="19">
                  <c:v>88.489699972999162</c:v>
                </c:pt>
                <c:pt idx="20">
                  <c:v>89.099760706328908</c:v>
                </c:pt>
                <c:pt idx="21">
                  <c:v>89.493858498441199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159-451B-9D7F-EC43243619F8}"/>
            </c:ext>
          </c:extLst>
        </c:ser>
        <c:ser>
          <c:idx val="3"/>
          <c:order val="3"/>
          <c:tx>
            <c:strRef>
              <c:f>List1!$B$19</c:f>
              <c:strCache>
                <c:ptCount val="1"/>
                <c:pt idx="0">
                  <c:v>absolventi - soukromý zřizovatel</c:v>
                </c:pt>
              </c:strCache>
            </c:strRef>
          </c:tx>
          <c:spPr>
            <a:ln w="28575" cap="rnd">
              <a:solidFill>
                <a:srgbClr val="E7A01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9047896790678945E-2"/>
                  <c:y val="-1.2579048424316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7159-451B-9D7F-EC43243619F8}"/>
                </c:ext>
              </c:extLst>
            </c:dLbl>
            <c:dLbl>
              <c:idx val="11"/>
              <c:layout>
                <c:manualLayout>
                  <c:x val="-3.3881415047334405E-2"/>
                  <c:y val="-3.4285714285714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7159-451B-9D7F-EC43243619F8}"/>
                </c:ext>
              </c:extLst>
            </c:dLbl>
            <c:dLbl>
              <c:idx val="21"/>
              <c:layout>
                <c:manualLayout>
                  <c:x val="-2.1923268560040007E-2"/>
                  <c:y val="2.28571428571428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7159-451B-9D7F-EC43243619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8C590E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List1!$C$15:$X$15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List1!$C$19:$X$19</c:f>
              <c:numCache>
                <c:formatCode>0.0</c:formatCode>
                <c:ptCount val="22"/>
                <c:pt idx="0">
                  <c:v>0.41853512705530649</c:v>
                </c:pt>
                <c:pt idx="1">
                  <c:v>1.1173720945123902</c:v>
                </c:pt>
                <c:pt idx="2">
                  <c:v>2.2687979617216176</c:v>
                </c:pt>
                <c:pt idx="3">
                  <c:v>4.4968995883487048</c:v>
                </c:pt>
                <c:pt idx="4">
                  <c:v>6.8561118628777633</c:v>
                </c:pt>
                <c:pt idx="5">
                  <c:v>9.2418124719605199</c:v>
                </c:pt>
                <c:pt idx="6">
                  <c:v>11.104492585509609</c:v>
                </c:pt>
                <c:pt idx="7">
                  <c:v>12.923043317997514</c:v>
                </c:pt>
                <c:pt idx="8">
                  <c:v>14.736352850520445</c:v>
                </c:pt>
                <c:pt idx="9">
                  <c:v>17.038887311950042</c:v>
                </c:pt>
                <c:pt idx="10">
                  <c:v>17.698297620965576</c:v>
                </c:pt>
                <c:pt idx="11">
                  <c:v>18.314379849080666</c:v>
                </c:pt>
                <c:pt idx="12">
                  <c:v>16.475630637017002</c:v>
                </c:pt>
                <c:pt idx="13">
                  <c:v>15.678076526507812</c:v>
                </c:pt>
                <c:pt idx="14">
                  <c:v>13.953119857628687</c:v>
                </c:pt>
                <c:pt idx="15">
                  <c:v>12.881548680571708</c:v>
                </c:pt>
                <c:pt idx="16">
                  <c:v>12.485433660729148</c:v>
                </c:pt>
                <c:pt idx="17">
                  <c:v>12.189395706952871</c:v>
                </c:pt>
                <c:pt idx="18">
                  <c:v>11.488957714036699</c:v>
                </c:pt>
                <c:pt idx="19">
                  <c:v>11.5230063054907</c:v>
                </c:pt>
                <c:pt idx="20">
                  <c:v>10.905190197210992</c:v>
                </c:pt>
                <c:pt idx="21">
                  <c:v>10.514659534233974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7159-451B-9D7F-EC43243619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98272464"/>
        <c:axId val="1998273712"/>
      </c:lineChart>
      <c:catAx>
        <c:axId val="1998272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998273712"/>
        <c:crosses val="autoZero"/>
        <c:auto val="1"/>
        <c:lblAlgn val="ctr"/>
        <c:lblOffset val="100"/>
        <c:noMultiLvlLbl val="0"/>
      </c:catAx>
      <c:valAx>
        <c:axId val="19982737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>
                    <a:solidFill>
                      <a:sysClr val="windowText" lastClr="000000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1.6790435917732504E-2"/>
              <c:y val="0.803259525445225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99827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042702995458904E-2"/>
          <c:y val="0.86616449167630272"/>
          <c:w val="0.90873293616075768"/>
          <c:h val="0.109020786550538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134313128891672E-2"/>
          <c:y val="1.3656973323485594E-2"/>
          <c:w val="0.96317087413253688"/>
          <c:h val="0.78649421463162172"/>
        </c:manualLayout>
      </c:layout>
      <c:lineChart>
        <c:grouping val="standard"/>
        <c:varyColors val="0"/>
        <c:ser>
          <c:idx val="0"/>
          <c:order val="0"/>
          <c:tx>
            <c:strRef>
              <c:f>List4!$A$3</c:f>
              <c:strCache>
                <c:ptCount val="1"/>
                <c:pt idx="0">
                  <c:v>Vzdělávání a výchova </c:v>
                </c:pt>
              </c:strCache>
            </c:strRef>
          </c:tx>
          <c:spPr>
            <a:ln w="28575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007056494987311E-2"/>
                  <c:y val="1.14520820032630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2AA-4EF7-83D3-DAB42880055C}"/>
                </c:ext>
              </c:extLst>
            </c:dLbl>
            <c:dLbl>
              <c:idx val="3"/>
              <c:layout>
                <c:manualLayout>
                  <c:x val="-2.0394253996938908E-2"/>
                  <c:y val="-1.39851199045271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2AA-4EF7-83D3-DAB42880055C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AA-4EF7-83D3-DAB42880055C}"/>
                </c:ext>
              </c:extLst>
            </c:dLbl>
            <c:dLbl>
              <c:idx val="8"/>
              <c:layout>
                <c:manualLayout>
                  <c:x val="-2.1955534246743746E-2"/>
                  <c:y val="-1.82246535558253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2AA-4EF7-83D3-DAB42880055C}"/>
                </c:ext>
              </c:extLst>
            </c:dLbl>
            <c:dLbl>
              <c:idx val="10"/>
              <c:layout>
                <c:manualLayout>
                  <c:x val="-1.0563436514880084E-2"/>
                  <c:y val="-1.27008957839265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2AA-4EF7-83D3-DAB4288005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List4!$M$2:$W$2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List4!$M$3:$W$3</c:f>
              <c:numCache>
                <c:formatCode>0.0</c:formatCode>
                <c:ptCount val="11"/>
                <c:pt idx="0">
                  <c:v>6.6989999999999998</c:v>
                </c:pt>
                <c:pt idx="1">
                  <c:v>6.1379999999999999</c:v>
                </c:pt>
                <c:pt idx="2">
                  <c:v>5.343</c:v>
                </c:pt>
                <c:pt idx="3">
                  <c:v>4.4930000000000003</c:v>
                </c:pt>
                <c:pt idx="4">
                  <c:v>4.601</c:v>
                </c:pt>
                <c:pt idx="5">
                  <c:v>4.9809999999999999</c:v>
                </c:pt>
                <c:pt idx="6">
                  <c:v>5.1369999999999996</c:v>
                </c:pt>
                <c:pt idx="7">
                  <c:v>6.11</c:v>
                </c:pt>
                <c:pt idx="8">
                  <c:v>6.4870000000000001</c:v>
                </c:pt>
                <c:pt idx="9">
                  <c:v>6.476</c:v>
                </c:pt>
                <c:pt idx="10">
                  <c:v>6.3849999999999998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2AA-4EF7-83D3-DAB42880055C}"/>
            </c:ext>
          </c:extLst>
        </c:ser>
        <c:ser>
          <c:idx val="1"/>
          <c:order val="1"/>
          <c:tx>
            <c:strRef>
              <c:f>List4!$A$4</c:f>
              <c:strCache>
                <c:ptCount val="1"/>
                <c:pt idx="0">
                  <c:v>Umění a humanitní vědy </c:v>
                </c:pt>
              </c:strCache>
            </c:strRef>
          </c:tx>
          <c:spPr>
            <a:ln w="28575" cap="rnd">
              <a:solidFill>
                <a:srgbClr val="7422B8"/>
              </a:solidFill>
              <a:round/>
            </a:ln>
            <a:effectLst/>
          </c:spPr>
          <c:marker>
            <c:symbol val="none"/>
          </c:marker>
          <c:dLbls>
            <c:dLbl>
              <c:idx val="3"/>
              <c:layout>
                <c:manualLayout>
                  <c:x val="-3.1002027524337276E-2"/>
                  <c:y val="-2.25292965139921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5CD-4C61-A589-77D72C98F29C}"/>
                </c:ext>
              </c:extLst>
            </c:dLbl>
            <c:dLbl>
              <c:idx val="4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5CD-4C61-A589-77D72C98F2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7030A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List4!$M$2:$W$2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List4!$M$4:$W$4</c:f>
              <c:numCache>
                <c:formatCode>0.0</c:formatCode>
                <c:ptCount val="11"/>
                <c:pt idx="0">
                  <c:v>6.6239999999999997</c:v>
                </c:pt>
                <c:pt idx="1">
                  <c:v>6.1429999999999998</c:v>
                </c:pt>
                <c:pt idx="2">
                  <c:v>5.7009999999999996</c:v>
                </c:pt>
                <c:pt idx="3">
                  <c:v>5.5960000000000001</c:v>
                </c:pt>
                <c:pt idx="4">
                  <c:v>5.125</c:v>
                </c:pt>
                <c:pt idx="5">
                  <c:v>5.3250000000000002</c:v>
                </c:pt>
                <c:pt idx="6">
                  <c:v>5.48</c:v>
                </c:pt>
                <c:pt idx="7">
                  <c:v>5.61</c:v>
                </c:pt>
                <c:pt idx="8">
                  <c:v>6.0819999999999999</c:v>
                </c:pt>
                <c:pt idx="9">
                  <c:v>5.891</c:v>
                </c:pt>
                <c:pt idx="10">
                  <c:v>5.851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2AA-4EF7-83D3-DAB42880055C}"/>
            </c:ext>
          </c:extLst>
        </c:ser>
        <c:ser>
          <c:idx val="2"/>
          <c:order val="2"/>
          <c:tx>
            <c:strRef>
              <c:f>List4!$A$5</c:f>
              <c:strCache>
                <c:ptCount val="1"/>
                <c:pt idx="0">
                  <c:v>Společenské vědy, žurnalistika a informační vědy 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9032006245121001E-2"/>
                  <c:y val="-8.47906730259671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2AA-4EF7-83D3-DAB42880055C}"/>
                </c:ext>
              </c:extLst>
            </c:dLbl>
            <c:dLbl>
              <c:idx val="10"/>
              <c:layout>
                <c:manualLayout>
                  <c:x val="-4.6838407494146344E-3"/>
                  <c:y val="-1.2718600953895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2AA-4EF7-83D3-DAB4288005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7CBF33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List4!$M$2:$W$2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List4!$M$5:$W$5</c:f>
              <c:numCache>
                <c:formatCode>0.0</c:formatCode>
                <c:ptCount val="11"/>
                <c:pt idx="0">
                  <c:v>6.7489999999999997</c:v>
                </c:pt>
                <c:pt idx="1">
                  <c:v>5.8529999999999998</c:v>
                </c:pt>
                <c:pt idx="2">
                  <c:v>4.9909999999999997</c:v>
                </c:pt>
                <c:pt idx="3">
                  <c:v>5.0469999999999997</c:v>
                </c:pt>
                <c:pt idx="4">
                  <c:v>5.0330000000000004</c:v>
                </c:pt>
                <c:pt idx="5">
                  <c:v>4.7889999999999997</c:v>
                </c:pt>
                <c:pt idx="6">
                  <c:v>4.6740000000000004</c:v>
                </c:pt>
                <c:pt idx="7">
                  <c:v>4.92</c:v>
                </c:pt>
                <c:pt idx="8">
                  <c:v>5.2430000000000003</c:v>
                </c:pt>
                <c:pt idx="9">
                  <c:v>5.298</c:v>
                </c:pt>
                <c:pt idx="10">
                  <c:v>4.9690000000000003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2AA-4EF7-83D3-DAB42880055C}"/>
            </c:ext>
          </c:extLst>
        </c:ser>
        <c:ser>
          <c:idx val="3"/>
          <c:order val="3"/>
          <c:tx>
            <c:strRef>
              <c:f>List4!$A$6</c:f>
              <c:strCache>
                <c:ptCount val="1"/>
                <c:pt idx="0">
                  <c:v>Obchod, administrativa a právo </c:v>
                </c:pt>
              </c:strCache>
            </c:strRef>
          </c:tx>
          <c:spPr>
            <a:ln w="28575" cap="rnd">
              <a:solidFill>
                <a:schemeClr val="bg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List4!$M$2:$W$2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List4!$M$6:$W$6</c:f>
              <c:numCache>
                <c:formatCode>0.0</c:formatCode>
                <c:ptCount val="11"/>
                <c:pt idx="0">
                  <c:v>15.722</c:v>
                </c:pt>
                <c:pt idx="1">
                  <c:v>14.186</c:v>
                </c:pt>
                <c:pt idx="2">
                  <c:v>12.112</c:v>
                </c:pt>
                <c:pt idx="3">
                  <c:v>11.574</c:v>
                </c:pt>
                <c:pt idx="4">
                  <c:v>11.069000000000001</c:v>
                </c:pt>
                <c:pt idx="5">
                  <c:v>10.983000000000001</c:v>
                </c:pt>
                <c:pt idx="6">
                  <c:v>11.347</c:v>
                </c:pt>
                <c:pt idx="7">
                  <c:v>12.488</c:v>
                </c:pt>
                <c:pt idx="8">
                  <c:v>12.862</c:v>
                </c:pt>
                <c:pt idx="9">
                  <c:v>13.422000000000001</c:v>
                </c:pt>
                <c:pt idx="10">
                  <c:v>13.457000000000001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72AA-4EF7-83D3-DAB42880055C}"/>
            </c:ext>
          </c:extLst>
        </c:ser>
        <c:ser>
          <c:idx val="4"/>
          <c:order val="4"/>
          <c:tx>
            <c:strRef>
              <c:f>List4!$A$7</c:f>
              <c:strCache>
                <c:ptCount val="1"/>
                <c:pt idx="0">
                  <c:v>Přírodní vědy, matematika a statistika 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7470725995316159E-2"/>
                  <c:y val="6.35930047694753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72AA-4EF7-83D3-DAB42880055C}"/>
                </c:ext>
              </c:extLst>
            </c:dLbl>
            <c:dLbl>
              <c:idx val="4"/>
              <c:layout>
                <c:manualLayout>
                  <c:x val="-1.8735362997658139E-2"/>
                  <c:y val="-1.483836777954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72AA-4EF7-83D3-DAB42880055C}"/>
                </c:ext>
              </c:extLst>
            </c:dLbl>
            <c:dLbl>
              <c:idx val="8"/>
              <c:layout>
                <c:manualLayout>
                  <c:x val="-1.405152224824356E-2"/>
                  <c:y val="1.2718600953894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72AA-4EF7-83D3-DAB42880055C}"/>
                </c:ext>
              </c:extLst>
            </c:dLbl>
            <c:dLbl>
              <c:idx val="10"/>
              <c:layout>
                <c:manualLayout>
                  <c:x val="-1.56128024980484E-3"/>
                  <c:y val="1.2718600953895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72AA-4EF7-83D3-DAB4288005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List4!$M$2:$W$2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List4!$M$7:$W$7</c:f>
              <c:numCache>
                <c:formatCode>0.0</c:formatCode>
                <c:ptCount val="11"/>
                <c:pt idx="0">
                  <c:v>4.55</c:v>
                </c:pt>
                <c:pt idx="1">
                  <c:v>4.6360000000000001</c:v>
                </c:pt>
                <c:pt idx="2">
                  <c:v>4.2519999999999998</c:v>
                </c:pt>
                <c:pt idx="3">
                  <c:v>4.0049999999999999</c:v>
                </c:pt>
                <c:pt idx="4">
                  <c:v>3.5950000000000002</c:v>
                </c:pt>
                <c:pt idx="5">
                  <c:v>3.6339999999999999</c:v>
                </c:pt>
                <c:pt idx="6">
                  <c:v>3.8650000000000002</c:v>
                </c:pt>
                <c:pt idx="7">
                  <c:v>4.657</c:v>
                </c:pt>
                <c:pt idx="8">
                  <c:v>5.16</c:v>
                </c:pt>
                <c:pt idx="9">
                  <c:v>5.09</c:v>
                </c:pt>
                <c:pt idx="10">
                  <c:v>4.7270000000000003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72AA-4EF7-83D3-DAB42880055C}"/>
            </c:ext>
          </c:extLst>
        </c:ser>
        <c:ser>
          <c:idx val="6"/>
          <c:order val="5"/>
          <c:tx>
            <c:strRef>
              <c:f>List4!$A$8</c:f>
              <c:strCache>
                <c:ptCount val="1"/>
                <c:pt idx="0">
                  <c:v>Informační a komunikační technologie </c:v>
                </c:pt>
              </c:strCache>
            </c:strRef>
          </c:tx>
          <c:spPr>
            <a:ln w="28575" cap="rnd">
              <a:solidFill>
                <a:srgbClr val="CC99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1323215745572786E-2"/>
                  <c:y val="-1.1451915092489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72AA-4EF7-83D3-DAB42880055C}"/>
                </c:ext>
              </c:extLst>
            </c:dLbl>
            <c:dLbl>
              <c:idx val="3"/>
              <c:layout>
                <c:manualLayout>
                  <c:x val="-1.4149132997719548E-2"/>
                  <c:y val="3.386452687054817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72AA-4EF7-83D3-DAB42880055C}"/>
                </c:ext>
              </c:extLst>
            </c:dLbl>
            <c:dLbl>
              <c:idx val="10"/>
              <c:layout>
                <c:manualLayout>
                  <c:x val="-6.5229551224129769E-3"/>
                  <c:y val="-4.572353734002723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72AA-4EF7-83D3-DAB4288005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C99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List4!$M$2:$W$2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List4!$M$8:$W$8</c:f>
              <c:numCache>
                <c:formatCode>0.0</c:formatCode>
                <c:ptCount val="11"/>
                <c:pt idx="0">
                  <c:v>5.5030000000000001</c:v>
                </c:pt>
                <c:pt idx="1">
                  <c:v>5.274</c:v>
                </c:pt>
                <c:pt idx="2">
                  <c:v>4.6399999999999997</c:v>
                </c:pt>
                <c:pt idx="3">
                  <c:v>4.2889999999999997</c:v>
                </c:pt>
                <c:pt idx="4">
                  <c:v>4.306</c:v>
                </c:pt>
                <c:pt idx="5">
                  <c:v>4.399</c:v>
                </c:pt>
                <c:pt idx="6">
                  <c:v>4.71</c:v>
                </c:pt>
                <c:pt idx="7">
                  <c:v>4.944</c:v>
                </c:pt>
                <c:pt idx="8">
                  <c:v>5.3579999999999997</c:v>
                </c:pt>
                <c:pt idx="9">
                  <c:v>5.6319999999999997</c:v>
                </c:pt>
                <c:pt idx="10">
                  <c:v>5.9619999999999997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72AA-4EF7-83D3-DAB42880055C}"/>
            </c:ext>
          </c:extLst>
        </c:ser>
        <c:ser>
          <c:idx val="7"/>
          <c:order val="6"/>
          <c:tx>
            <c:strRef>
              <c:f>List4!$A$9</c:f>
              <c:strCache>
                <c:ptCount val="1"/>
                <c:pt idx="0">
                  <c:v>Technika, výroba a stavebnictví </c:v>
                </c:pt>
              </c:strCache>
            </c:strRef>
          </c:tx>
          <c:spPr>
            <a:ln w="28575" cap="rnd">
              <a:solidFill>
                <a:srgbClr val="99663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4D4D4D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List4!$M$2:$W$2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List4!$M$9:$W$9</c:f>
              <c:numCache>
                <c:formatCode>0.0</c:formatCode>
                <c:ptCount val="11"/>
                <c:pt idx="0">
                  <c:v>12.638999999999999</c:v>
                </c:pt>
                <c:pt idx="1">
                  <c:v>12.39</c:v>
                </c:pt>
                <c:pt idx="2">
                  <c:v>10.917</c:v>
                </c:pt>
                <c:pt idx="3">
                  <c:v>10.052</c:v>
                </c:pt>
                <c:pt idx="4">
                  <c:v>9.2810000000000006</c:v>
                </c:pt>
                <c:pt idx="5">
                  <c:v>9.0890000000000004</c:v>
                </c:pt>
                <c:pt idx="6">
                  <c:v>8.9149999999999991</c:v>
                </c:pt>
                <c:pt idx="7">
                  <c:v>8.5549999999999997</c:v>
                </c:pt>
                <c:pt idx="8">
                  <c:v>8.4290000000000003</c:v>
                </c:pt>
                <c:pt idx="9">
                  <c:v>8.516</c:v>
                </c:pt>
                <c:pt idx="10">
                  <c:v>8.4450000000000003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72AA-4EF7-83D3-DAB42880055C}"/>
            </c:ext>
          </c:extLst>
        </c:ser>
        <c:ser>
          <c:idx val="8"/>
          <c:order val="7"/>
          <c:tx>
            <c:strRef>
              <c:f>List4!$A$10</c:f>
              <c:strCache>
                <c:ptCount val="1"/>
                <c:pt idx="0">
                  <c:v>Zemědělství, lesnictví, rybářství a veter.</c:v>
                </c:pt>
              </c:strCache>
            </c:strRef>
          </c:tx>
          <c:spPr>
            <a:ln w="28575" cap="rnd">
              <a:solidFill>
                <a:srgbClr val="60951F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50830B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List4!$M$2:$W$2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List4!$M$10:$W$10</c:f>
              <c:numCache>
                <c:formatCode>0.0</c:formatCode>
                <c:ptCount val="11"/>
                <c:pt idx="0">
                  <c:v>3.5070000000000001</c:v>
                </c:pt>
                <c:pt idx="1">
                  <c:v>3.0920000000000001</c:v>
                </c:pt>
                <c:pt idx="2">
                  <c:v>2.738</c:v>
                </c:pt>
                <c:pt idx="3">
                  <c:v>2.581</c:v>
                </c:pt>
                <c:pt idx="4">
                  <c:v>2.6920000000000002</c:v>
                </c:pt>
                <c:pt idx="5">
                  <c:v>2.706</c:v>
                </c:pt>
                <c:pt idx="6">
                  <c:v>2.52</c:v>
                </c:pt>
                <c:pt idx="7">
                  <c:v>2.6339999999999999</c:v>
                </c:pt>
                <c:pt idx="8">
                  <c:v>2.9039999999999999</c:v>
                </c:pt>
                <c:pt idx="9">
                  <c:v>2.7949999999999999</c:v>
                </c:pt>
                <c:pt idx="10">
                  <c:v>2.9580000000000002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72AA-4EF7-83D3-DAB42880055C}"/>
            </c:ext>
          </c:extLst>
        </c:ser>
        <c:ser>
          <c:idx val="9"/>
          <c:order val="8"/>
          <c:tx>
            <c:strRef>
              <c:f>List4!$A$11</c:f>
              <c:strCache>
                <c:ptCount val="1"/>
                <c:pt idx="0">
                  <c:v>Zdravotní a sociální péče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3419203747072601E-2"/>
                  <c:y val="-2.119766825649178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FF212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E-72AA-4EF7-83D3-DAB42880055C}"/>
                </c:ext>
              </c:extLst>
            </c:dLbl>
            <c:dLbl>
              <c:idx val="2"/>
              <c:layout>
                <c:manualLayout>
                  <c:x val="-1.5612802498048372E-2"/>
                  <c:y val="-1.9077901430842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72AA-4EF7-83D3-DAB42880055C}"/>
                </c:ext>
              </c:extLst>
            </c:dLbl>
            <c:dLbl>
              <c:idx val="4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5CD-4C61-A589-77D72C98F29C}"/>
                </c:ext>
              </c:extLst>
            </c:dLbl>
            <c:dLbl>
              <c:idx val="6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5CD-4C61-A589-77D72C98F29C}"/>
                </c:ext>
              </c:extLst>
            </c:dLbl>
            <c:dLbl>
              <c:idx val="9"/>
              <c:layout>
                <c:manualLayout>
                  <c:x val="-1.405152224824356E-2"/>
                  <c:y val="2.1197668256491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0-72AA-4EF7-83D3-DAB42880055C}"/>
                </c:ext>
              </c:extLst>
            </c:dLbl>
            <c:dLbl>
              <c:idx val="10"/>
              <c:layout>
                <c:manualLayout>
                  <c:x val="-6.144393241167547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1-72AA-4EF7-83D3-DAB4288005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FF212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List4!$M$2:$W$2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List4!$M$11:$W$11</c:f>
              <c:numCache>
                <c:formatCode>0.0</c:formatCode>
                <c:ptCount val="11"/>
                <c:pt idx="0">
                  <c:v>7.1760000000000002</c:v>
                </c:pt>
                <c:pt idx="1">
                  <c:v>6.9790000000000001</c:v>
                </c:pt>
                <c:pt idx="2">
                  <c:v>6.4980000000000002</c:v>
                </c:pt>
                <c:pt idx="3">
                  <c:v>6.8019999999999996</c:v>
                </c:pt>
                <c:pt idx="4">
                  <c:v>6.9089999999999998</c:v>
                </c:pt>
                <c:pt idx="5">
                  <c:v>6.8259999999999996</c:v>
                </c:pt>
                <c:pt idx="6">
                  <c:v>6.6449999999999996</c:v>
                </c:pt>
                <c:pt idx="7">
                  <c:v>7.181</c:v>
                </c:pt>
                <c:pt idx="8">
                  <c:v>7.7629999999999999</c:v>
                </c:pt>
                <c:pt idx="9">
                  <c:v>8.3119999999999994</c:v>
                </c:pt>
                <c:pt idx="10">
                  <c:v>7.9690000000000003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2-72AA-4EF7-83D3-DAB42880055C}"/>
            </c:ext>
          </c:extLst>
        </c:ser>
        <c:ser>
          <c:idx val="5"/>
          <c:order val="9"/>
          <c:tx>
            <c:strRef>
              <c:f>List4!$A$12</c:f>
              <c:strCache>
                <c:ptCount val="1"/>
                <c:pt idx="0">
                  <c:v>Služby </c:v>
                </c:pt>
              </c:strCache>
            </c:strRef>
          </c:tx>
          <c:spPr>
            <a:ln w="28575" cap="rnd">
              <a:solidFill>
                <a:srgbClr val="F9B5B5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7470725995316166E-2"/>
                  <c:y val="-2.11976682564917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3-72AA-4EF7-83D3-DAB42880055C}"/>
                </c:ext>
              </c:extLst>
            </c:dLbl>
            <c:dLbl>
              <c:idx val="7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4-72AA-4EF7-83D3-DAB42880055C}"/>
                </c:ext>
              </c:extLst>
            </c:dLbl>
            <c:dLbl>
              <c:idx val="8"/>
              <c:layout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5CD-4C61-A589-77D72C98F29C}"/>
                </c:ext>
              </c:extLst>
            </c:dLbl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5-72AA-4EF7-83D3-DAB4288005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FF6565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List4!$M$2:$W$2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List4!$M$12:$W$12</c:f>
              <c:numCache>
                <c:formatCode>0.0</c:formatCode>
                <c:ptCount val="11"/>
                <c:pt idx="0">
                  <c:v>5.1959999999999997</c:v>
                </c:pt>
                <c:pt idx="1">
                  <c:v>5.1890000000000001</c:v>
                </c:pt>
                <c:pt idx="2">
                  <c:v>4.2720000000000002</c:v>
                </c:pt>
                <c:pt idx="3">
                  <c:v>3.7189999999999999</c:v>
                </c:pt>
                <c:pt idx="4">
                  <c:v>3.46</c:v>
                </c:pt>
                <c:pt idx="5">
                  <c:v>3.371</c:v>
                </c:pt>
                <c:pt idx="6">
                  <c:v>3.3639999999999999</c:v>
                </c:pt>
                <c:pt idx="7">
                  <c:v>2.9260000000000002</c:v>
                </c:pt>
                <c:pt idx="8">
                  <c:v>4.2720000000000002</c:v>
                </c:pt>
                <c:pt idx="9">
                  <c:v>4.077</c:v>
                </c:pt>
                <c:pt idx="10">
                  <c:v>3.8570000000000002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6-72AA-4EF7-83D3-DAB4288005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729824"/>
        <c:axId val="56726912"/>
      </c:lineChart>
      <c:catAx>
        <c:axId val="56729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6912"/>
        <c:crosses val="autoZero"/>
        <c:auto val="1"/>
        <c:lblAlgn val="ctr"/>
        <c:lblOffset val="100"/>
        <c:noMultiLvlLbl val="0"/>
      </c:catAx>
      <c:valAx>
        <c:axId val="56726912"/>
        <c:scaling>
          <c:orientation val="minMax"/>
          <c:max val="16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tis.</a:t>
                </a:r>
              </a:p>
            </c:rich>
          </c:tx>
          <c:layout>
            <c:manualLayout>
              <c:xMode val="edge"/>
              <c:yMode val="edge"/>
              <c:x val="6.6137566137566134E-3"/>
              <c:y val="0.8188734242726701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982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2.5995014512074882E-3"/>
          <c:y val="0.85763128575541725"/>
          <c:w val="0.98598265494590942"/>
          <c:h val="0.129507070757649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134313128891672E-2"/>
          <c:y val="1.3656973323485594E-2"/>
          <c:w val="0.96317087413253688"/>
          <c:h val="0.92602396203065307"/>
        </c:manualLayout>
      </c:layout>
      <c:lineChart>
        <c:grouping val="standard"/>
        <c:varyColors val="0"/>
        <c:ser>
          <c:idx val="0"/>
          <c:order val="0"/>
          <c:tx>
            <c:strRef>
              <c:f>List2!$A$44</c:f>
              <c:strCache>
                <c:ptCount val="1"/>
                <c:pt idx="0">
                  <c:v>Vzdělávání a výchova </c:v>
                </c:pt>
              </c:strCache>
            </c:strRef>
          </c:tx>
          <c:spPr>
            <a:ln w="28575" cap="rnd">
              <a:solidFill>
                <a:srgbClr val="69A4D9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5411198600174977E-2"/>
                  <c:y val="3.6148998324361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49D-42B2-8602-F354FEEE58B2}"/>
                </c:ext>
              </c:extLst>
            </c:dLbl>
            <c:dLbl>
              <c:idx val="1"/>
              <c:layout>
                <c:manualLayout>
                  <c:x val="-3.1002027524337235E-2"/>
                  <c:y val="2.12679259248438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26C-4048-AF08-620FF3EDCA13}"/>
                </c:ext>
              </c:extLst>
            </c:dLbl>
            <c:dLbl>
              <c:idx val="2"/>
              <c:layout>
                <c:manualLayout>
                  <c:x val="-3.1002027524337235E-2"/>
                  <c:y val="2.12679259248437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26C-4048-AF08-620FF3EDCA13}"/>
                </c:ext>
              </c:extLst>
            </c:dLbl>
            <c:dLbl>
              <c:idx val="3"/>
              <c:layout>
                <c:manualLayout>
                  <c:x val="-3.5411198600174977E-2"/>
                  <c:y val="2.12679259248437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26C-4048-AF08-620FF3EDCA13}"/>
                </c:ext>
              </c:extLst>
            </c:dLbl>
            <c:dLbl>
              <c:idx val="4"/>
              <c:layout>
                <c:manualLayout>
                  <c:x val="-3.1002027524337318E-2"/>
                  <c:y val="2.12679259248438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26C-4048-AF08-620FF3EDCA13}"/>
                </c:ext>
              </c:extLst>
            </c:dLbl>
            <c:dLbl>
              <c:idx val="5"/>
              <c:layout>
                <c:manualLayout>
                  <c:x val="-3.1002027524337235E-2"/>
                  <c:y val="2.1267925924843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26C-4048-AF08-620FF3EDCA13}"/>
                </c:ext>
              </c:extLst>
            </c:dLbl>
            <c:dLbl>
              <c:idx val="6"/>
              <c:layout>
                <c:manualLayout>
                  <c:x val="-4.4229540751850545E-2"/>
                  <c:y val="2.12679259248437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26C-4048-AF08-620FF3EDCA13}"/>
                </c:ext>
              </c:extLst>
            </c:dLbl>
            <c:dLbl>
              <c:idx val="7"/>
              <c:layout>
                <c:manualLayout>
                  <c:x val="-2.4388270910580542E-2"/>
                  <c:y val="6.425625368257448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26C-4048-AF08-620FF3EDCA13}"/>
                </c:ext>
              </c:extLst>
            </c:dLbl>
            <c:dLbl>
              <c:idx val="8"/>
              <c:layout>
                <c:manualLayout>
                  <c:x val="-3.5411198600175137E-2"/>
                  <c:y val="1.63204924059816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26C-4048-AF08-620FF3EDCA13}"/>
                </c:ext>
              </c:extLst>
            </c:dLbl>
            <c:dLbl>
              <c:idx val="9"/>
              <c:layout>
                <c:manualLayout>
                  <c:x val="-3.1002027524337235E-2"/>
                  <c:y val="1.3846775646550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26C-4048-AF08-620FF3EDCA13}"/>
                </c:ext>
              </c:extLst>
            </c:dLbl>
            <c:dLbl>
              <c:idx val="10"/>
              <c:layout>
                <c:manualLayout>
                  <c:x val="-7.2095154772320123E-3"/>
                  <c:y val="2.547266337470527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26C-4048-AF08-620FF3EDCA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List2!$B$43:$L$43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List2!$B$44:$L$44</c:f>
              <c:numCache>
                <c:formatCode>0.0</c:formatCode>
                <c:ptCount val="11"/>
                <c:pt idx="0">
                  <c:v>1.1439999999999999</c:v>
                </c:pt>
                <c:pt idx="1">
                  <c:v>0.99</c:v>
                </c:pt>
                <c:pt idx="2">
                  <c:v>0.84499999999999997</c:v>
                </c:pt>
                <c:pt idx="3">
                  <c:v>0.73</c:v>
                </c:pt>
                <c:pt idx="4">
                  <c:v>0.72899999999999998</c:v>
                </c:pt>
                <c:pt idx="5">
                  <c:v>0.76100000000000001</c:v>
                </c:pt>
                <c:pt idx="6">
                  <c:v>0.84599999999999997</c:v>
                </c:pt>
                <c:pt idx="7">
                  <c:v>1.2829999999999999</c:v>
                </c:pt>
                <c:pt idx="8">
                  <c:v>1.5229999999999999</c:v>
                </c:pt>
                <c:pt idx="9">
                  <c:v>1.5529999999999999</c:v>
                </c:pt>
                <c:pt idx="10">
                  <c:v>1.494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726C-4048-AF08-620FF3EDCA13}"/>
            </c:ext>
          </c:extLst>
        </c:ser>
        <c:ser>
          <c:idx val="1"/>
          <c:order val="1"/>
          <c:tx>
            <c:strRef>
              <c:f>List2!$A$45</c:f>
              <c:strCache>
                <c:ptCount val="1"/>
                <c:pt idx="0">
                  <c:v>Umění a humanitní vědy </c:v>
                </c:pt>
              </c:strCache>
            </c:strRef>
          </c:tx>
          <c:spPr>
            <a:ln w="28575" cap="rnd">
              <a:solidFill>
                <a:srgbClr val="8F45C7"/>
              </a:solidFill>
              <a:round/>
            </a:ln>
            <a:effectLst/>
          </c:spPr>
          <c:marker>
            <c:symbol val="none"/>
          </c:marker>
          <c:cat>
            <c:numRef>
              <c:f>List2!$B$43:$L$43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List2!$B$45:$L$45</c:f>
              <c:numCache>
                <c:formatCode>0.0</c:formatCode>
                <c:ptCount val="11"/>
                <c:pt idx="0">
                  <c:v>1.9550000000000001</c:v>
                </c:pt>
                <c:pt idx="1">
                  <c:v>1.8959999999999999</c:v>
                </c:pt>
                <c:pt idx="2">
                  <c:v>1.7709999999999999</c:v>
                </c:pt>
                <c:pt idx="3">
                  <c:v>1.7190000000000001</c:v>
                </c:pt>
                <c:pt idx="4">
                  <c:v>1.5489999999999999</c:v>
                </c:pt>
                <c:pt idx="5">
                  <c:v>1.665</c:v>
                </c:pt>
                <c:pt idx="6">
                  <c:v>1.694</c:v>
                </c:pt>
                <c:pt idx="7">
                  <c:v>1.675</c:v>
                </c:pt>
                <c:pt idx="8">
                  <c:v>1.9450000000000001</c:v>
                </c:pt>
                <c:pt idx="9">
                  <c:v>1.8460000000000001</c:v>
                </c:pt>
                <c:pt idx="10">
                  <c:v>1.7370000000000001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26C-4048-AF08-620FF3EDCA13}"/>
            </c:ext>
          </c:extLst>
        </c:ser>
        <c:ser>
          <c:idx val="2"/>
          <c:order val="2"/>
          <c:tx>
            <c:strRef>
              <c:f>List2!$A$46</c:f>
              <c:strCache>
                <c:ptCount val="1"/>
                <c:pt idx="0">
                  <c:v>Společ. vědy, žurnalistika a infor. vědy 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l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49D-42B2-8602-F354FEEE58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92D05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l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List2!$B$43:$L$43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List2!$B$46:$L$46</c:f>
              <c:numCache>
                <c:formatCode>0.0</c:formatCode>
                <c:ptCount val="11"/>
                <c:pt idx="0">
                  <c:v>2.4209999999999998</c:v>
                </c:pt>
                <c:pt idx="1">
                  <c:v>2.109</c:v>
                </c:pt>
                <c:pt idx="2">
                  <c:v>1.8140000000000001</c:v>
                </c:pt>
                <c:pt idx="3">
                  <c:v>1.85</c:v>
                </c:pt>
                <c:pt idx="4">
                  <c:v>1.845</c:v>
                </c:pt>
                <c:pt idx="5">
                  <c:v>1.764</c:v>
                </c:pt>
                <c:pt idx="6">
                  <c:v>1.762</c:v>
                </c:pt>
                <c:pt idx="7">
                  <c:v>1.8680000000000001</c:v>
                </c:pt>
                <c:pt idx="8">
                  <c:v>2.0579999999999998</c:v>
                </c:pt>
                <c:pt idx="9">
                  <c:v>1.962</c:v>
                </c:pt>
                <c:pt idx="10">
                  <c:v>1.966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726C-4048-AF08-620FF3EDCA13}"/>
            </c:ext>
          </c:extLst>
        </c:ser>
        <c:ser>
          <c:idx val="3"/>
          <c:order val="3"/>
          <c:tx>
            <c:strRef>
              <c:f>List2!$A$47</c:f>
              <c:strCache>
                <c:ptCount val="1"/>
                <c:pt idx="0">
                  <c:v>Obchod, administrativa a právo </c:v>
                </c:pt>
              </c:strCache>
            </c:strRef>
          </c:tx>
          <c:spPr>
            <a:ln w="28575" cap="rnd">
              <a:solidFill>
                <a:schemeClr val="bg1">
                  <a:lumMod val="8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2.4388270910580621E-2"/>
                  <c:y val="3.23825199816124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B39-4382-AA68-DD1E49E192E5}"/>
                </c:ext>
              </c:extLst>
            </c:dLbl>
            <c:dLbl>
              <c:idx val="4"/>
              <c:layout>
                <c:manualLayout>
                  <c:x val="-3.1002027524337318E-2"/>
                  <c:y val="3.6148998324361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B39-4382-AA68-DD1E49E192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List2!$B$43:$L$43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List2!$B$47:$L$47</c:f>
              <c:numCache>
                <c:formatCode>0.0</c:formatCode>
                <c:ptCount val="11"/>
                <c:pt idx="0">
                  <c:v>6.0650000000000004</c:v>
                </c:pt>
                <c:pt idx="1">
                  <c:v>5.3789999999999996</c:v>
                </c:pt>
                <c:pt idx="2">
                  <c:v>4.6769999999999996</c:v>
                </c:pt>
                <c:pt idx="3">
                  <c:v>4.6589999999999998</c:v>
                </c:pt>
                <c:pt idx="4">
                  <c:v>4.3529999999999998</c:v>
                </c:pt>
                <c:pt idx="5">
                  <c:v>4.5439999999999996</c:v>
                </c:pt>
                <c:pt idx="6">
                  <c:v>4.8760000000000003</c:v>
                </c:pt>
                <c:pt idx="7">
                  <c:v>5.2549999999999999</c:v>
                </c:pt>
                <c:pt idx="8">
                  <c:v>5.5949999999999998</c:v>
                </c:pt>
                <c:pt idx="9">
                  <c:v>5.819</c:v>
                </c:pt>
                <c:pt idx="10">
                  <c:v>6.1459999999999999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726C-4048-AF08-620FF3EDCA13}"/>
            </c:ext>
          </c:extLst>
        </c:ser>
        <c:ser>
          <c:idx val="4"/>
          <c:order val="4"/>
          <c:tx>
            <c:strRef>
              <c:f>List2!$A$48</c:f>
              <c:strCache>
                <c:ptCount val="1"/>
                <c:pt idx="0">
                  <c:v>Přírodní vědy, matematika a statistika 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numRef>
              <c:f>List2!$B$43:$L$43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List2!$B$48:$L$48</c:f>
              <c:numCache>
                <c:formatCode>0.0</c:formatCode>
                <c:ptCount val="11"/>
                <c:pt idx="0">
                  <c:v>1.8109999999999999</c:v>
                </c:pt>
                <c:pt idx="1">
                  <c:v>1.837</c:v>
                </c:pt>
                <c:pt idx="2">
                  <c:v>1.67</c:v>
                </c:pt>
                <c:pt idx="3">
                  <c:v>1.5860000000000001</c:v>
                </c:pt>
                <c:pt idx="4">
                  <c:v>1.43</c:v>
                </c:pt>
                <c:pt idx="5">
                  <c:v>1.4590000000000001</c:v>
                </c:pt>
                <c:pt idx="6">
                  <c:v>1.5860000000000001</c:v>
                </c:pt>
                <c:pt idx="7">
                  <c:v>1.8859999999999999</c:v>
                </c:pt>
                <c:pt idx="8">
                  <c:v>2.15</c:v>
                </c:pt>
                <c:pt idx="9">
                  <c:v>2.2679999999999998</c:v>
                </c:pt>
                <c:pt idx="10">
                  <c:v>2.0750000000000002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726C-4048-AF08-620FF3EDCA13}"/>
            </c:ext>
          </c:extLst>
        </c:ser>
        <c:ser>
          <c:idx val="6"/>
          <c:order val="5"/>
          <c:tx>
            <c:strRef>
              <c:f>List2!$A$49</c:f>
              <c:strCache>
                <c:ptCount val="1"/>
                <c:pt idx="0">
                  <c:v>Informační a komunikační technologie </c:v>
                </c:pt>
              </c:strCache>
            </c:strRef>
          </c:tx>
          <c:spPr>
            <a:ln w="28575" cap="rnd">
              <a:solidFill>
                <a:srgbClr val="FEBB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C99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List2!$B$43:$L$43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List2!$B$49:$L$49</c:f>
              <c:numCache>
                <c:formatCode>0.0</c:formatCode>
                <c:ptCount val="11"/>
                <c:pt idx="0">
                  <c:v>4.718</c:v>
                </c:pt>
                <c:pt idx="1">
                  <c:v>4.556</c:v>
                </c:pt>
                <c:pt idx="2">
                  <c:v>4.0060000000000002</c:v>
                </c:pt>
                <c:pt idx="3">
                  <c:v>3.677</c:v>
                </c:pt>
                <c:pt idx="4">
                  <c:v>3.6240000000000001</c:v>
                </c:pt>
                <c:pt idx="5">
                  <c:v>3.7490000000000001</c:v>
                </c:pt>
                <c:pt idx="6">
                  <c:v>3.9990000000000001</c:v>
                </c:pt>
                <c:pt idx="7">
                  <c:v>4.1680000000000001</c:v>
                </c:pt>
                <c:pt idx="8">
                  <c:v>4.4749999999999996</c:v>
                </c:pt>
                <c:pt idx="9">
                  <c:v>4.718</c:v>
                </c:pt>
                <c:pt idx="10">
                  <c:v>4.8890000000000002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726C-4048-AF08-620FF3EDCA13}"/>
            </c:ext>
          </c:extLst>
        </c:ser>
        <c:ser>
          <c:idx val="7"/>
          <c:order val="6"/>
          <c:tx>
            <c:strRef>
              <c:f>List2!$A$50</c:f>
              <c:strCache>
                <c:ptCount val="1"/>
                <c:pt idx="0">
                  <c:v>Technika, výroba a stavebnictví </c:v>
                </c:pt>
              </c:strCache>
            </c:strRef>
          </c:tx>
          <c:spPr>
            <a:ln w="28575" cap="rnd">
              <a:solidFill>
                <a:srgbClr val="99663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accent4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List2!$B$43:$L$43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List2!$B$50:$L$50</c:f>
              <c:numCache>
                <c:formatCode>0.0</c:formatCode>
                <c:ptCount val="11"/>
                <c:pt idx="0">
                  <c:v>8.5440000000000005</c:v>
                </c:pt>
                <c:pt idx="1">
                  <c:v>8.3040000000000003</c:v>
                </c:pt>
                <c:pt idx="2">
                  <c:v>7.2489999999999997</c:v>
                </c:pt>
                <c:pt idx="3">
                  <c:v>6.8760000000000003</c:v>
                </c:pt>
                <c:pt idx="4">
                  <c:v>6.3769999999999998</c:v>
                </c:pt>
                <c:pt idx="5">
                  <c:v>6.1529999999999996</c:v>
                </c:pt>
                <c:pt idx="6">
                  <c:v>6.2140000000000004</c:v>
                </c:pt>
                <c:pt idx="7">
                  <c:v>6.2530000000000001</c:v>
                </c:pt>
                <c:pt idx="8">
                  <c:v>6.3609999999999998</c:v>
                </c:pt>
                <c:pt idx="9">
                  <c:v>6.4109999999999996</c:v>
                </c:pt>
                <c:pt idx="10">
                  <c:v>6.2640000000000002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726C-4048-AF08-620FF3EDCA13}"/>
            </c:ext>
          </c:extLst>
        </c:ser>
        <c:ser>
          <c:idx val="8"/>
          <c:order val="7"/>
          <c:tx>
            <c:strRef>
              <c:f>List2!$A$51</c:f>
              <c:strCache>
                <c:ptCount val="1"/>
                <c:pt idx="0">
                  <c:v>Zemědělství, lesnictví, rybářství a veter.</c:v>
                </c:pt>
              </c:strCache>
            </c:strRef>
          </c:tx>
          <c:spPr>
            <a:ln w="28575" cap="rnd">
              <a:solidFill>
                <a:srgbClr val="60783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5390124845505422E-2"/>
                  <c:y val="1.12994350282485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49D-42B2-8602-F354FEEE58B2}"/>
                </c:ext>
              </c:extLst>
            </c:dLbl>
            <c:dLbl>
              <c:idx val="10"/>
              <c:layout>
                <c:manualLayout>
                  <c:x val="-7.2095154772320123E-3"/>
                  <c:y val="6.017171582365763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49D-42B2-8602-F354FEEE58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60783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l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List2!$B$43:$L$43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List2!$B$51:$L$51</c:f>
              <c:numCache>
                <c:formatCode>0.0</c:formatCode>
                <c:ptCount val="11"/>
                <c:pt idx="0">
                  <c:v>1.3919999999999999</c:v>
                </c:pt>
                <c:pt idx="1">
                  <c:v>1.218</c:v>
                </c:pt>
                <c:pt idx="2">
                  <c:v>1.0640000000000001</c:v>
                </c:pt>
                <c:pt idx="3">
                  <c:v>1.0029999999999999</c:v>
                </c:pt>
                <c:pt idx="4">
                  <c:v>1.1080000000000001</c:v>
                </c:pt>
                <c:pt idx="5">
                  <c:v>1.056</c:v>
                </c:pt>
                <c:pt idx="6">
                  <c:v>0.95299999999999996</c:v>
                </c:pt>
                <c:pt idx="7">
                  <c:v>0.98599999999999999</c:v>
                </c:pt>
                <c:pt idx="8">
                  <c:v>1.0629999999999999</c:v>
                </c:pt>
                <c:pt idx="9">
                  <c:v>1.046</c:v>
                </c:pt>
                <c:pt idx="10">
                  <c:v>1.127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726C-4048-AF08-620FF3EDCA13}"/>
            </c:ext>
          </c:extLst>
        </c:ser>
        <c:ser>
          <c:idx val="9"/>
          <c:order val="8"/>
          <c:tx>
            <c:strRef>
              <c:f>List2!$A$52</c:f>
              <c:strCache>
                <c:ptCount val="1"/>
                <c:pt idx="0">
                  <c:v>Zdravotní a sociální péče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5114638447971778E-2"/>
                  <c:y val="3.7664783427495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49D-42B2-8602-F354FEEE58B2}"/>
                </c:ext>
              </c:extLst>
            </c:dLbl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49D-42B2-8602-F354FEEE58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List2!$B$43:$L$43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List2!$B$52:$L$52</c:f>
              <c:numCache>
                <c:formatCode>0.0</c:formatCode>
                <c:ptCount val="11"/>
                <c:pt idx="0">
                  <c:v>1.62</c:v>
                </c:pt>
                <c:pt idx="1">
                  <c:v>1.5309999999999999</c:v>
                </c:pt>
                <c:pt idx="2">
                  <c:v>1.57</c:v>
                </c:pt>
                <c:pt idx="3">
                  <c:v>1.6020000000000001</c:v>
                </c:pt>
                <c:pt idx="4">
                  <c:v>1.627</c:v>
                </c:pt>
                <c:pt idx="5">
                  <c:v>1.585</c:v>
                </c:pt>
                <c:pt idx="6">
                  <c:v>1.6020000000000001</c:v>
                </c:pt>
                <c:pt idx="7">
                  <c:v>1.694</c:v>
                </c:pt>
                <c:pt idx="8">
                  <c:v>1.833</c:v>
                </c:pt>
                <c:pt idx="9">
                  <c:v>1.9930000000000001</c:v>
                </c:pt>
                <c:pt idx="10">
                  <c:v>1.97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726C-4048-AF08-620FF3EDCA13}"/>
            </c:ext>
          </c:extLst>
        </c:ser>
        <c:ser>
          <c:idx val="5"/>
          <c:order val="9"/>
          <c:tx>
            <c:strRef>
              <c:f>List2!$A$53</c:f>
              <c:strCache>
                <c:ptCount val="1"/>
                <c:pt idx="0">
                  <c:v>Služby </c:v>
                </c:pt>
              </c:strCache>
            </c:strRef>
          </c:tx>
          <c:spPr>
            <a:ln w="28575" cap="rnd">
              <a:solidFill>
                <a:srgbClr val="F084A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l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49D-42B2-8602-F354FEEE58B2}"/>
                </c:ext>
              </c:extLst>
            </c:dLbl>
            <c:dLbl>
              <c:idx val="10"/>
              <c:layout>
                <c:manualLayout>
                  <c:x val="-1.616677385145396E-16"/>
                  <c:y val="-1.88323917137476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49D-42B2-8602-F354FEEE58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FF57AB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l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List2!$B$43:$L$43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List2!$B$53:$L$53</c:f>
              <c:numCache>
                <c:formatCode>0.0</c:formatCode>
                <c:ptCount val="11"/>
                <c:pt idx="0">
                  <c:v>2.7549999999999999</c:v>
                </c:pt>
                <c:pt idx="1">
                  <c:v>2.7330000000000001</c:v>
                </c:pt>
                <c:pt idx="2">
                  <c:v>2.3250000000000002</c:v>
                </c:pt>
                <c:pt idx="3">
                  <c:v>2.1040000000000001</c:v>
                </c:pt>
                <c:pt idx="4">
                  <c:v>1.9430000000000001</c:v>
                </c:pt>
                <c:pt idx="5">
                  <c:v>1.917</c:v>
                </c:pt>
                <c:pt idx="6">
                  <c:v>1.9279999999999999</c:v>
                </c:pt>
                <c:pt idx="7">
                  <c:v>1.6950000000000001</c:v>
                </c:pt>
                <c:pt idx="8">
                  <c:v>2.472</c:v>
                </c:pt>
                <c:pt idx="9">
                  <c:v>2.2570000000000001</c:v>
                </c:pt>
                <c:pt idx="10">
                  <c:v>2.097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726C-4048-AF08-620FF3EDCA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729824"/>
        <c:axId val="56726912"/>
      </c:lineChart>
      <c:catAx>
        <c:axId val="56729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6912"/>
        <c:crosses val="autoZero"/>
        <c:auto val="1"/>
        <c:lblAlgn val="ctr"/>
        <c:lblOffset val="100"/>
        <c:noMultiLvlLbl val="0"/>
      </c:catAx>
      <c:valAx>
        <c:axId val="56726912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>
                    <a:solidFill>
                      <a:sysClr val="windowText" lastClr="000000"/>
                    </a:solidFill>
                  </a:rPr>
                  <a:t>tis.</a:t>
                </a:r>
              </a:p>
            </c:rich>
          </c:tx>
          <c:layout>
            <c:manualLayout>
              <c:xMode val="edge"/>
              <c:yMode val="edge"/>
              <c:x val="4.4091710758377423E-3"/>
              <c:y val="0.957331538220934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982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134313128891672E-2"/>
          <c:y val="1.3656973323485594E-2"/>
          <c:w val="0.96317087413253688"/>
          <c:h val="0.75832521729696345"/>
        </c:manualLayout>
      </c:layout>
      <c:lineChart>
        <c:grouping val="standard"/>
        <c:varyColors val="0"/>
        <c:ser>
          <c:idx val="0"/>
          <c:order val="0"/>
          <c:tx>
            <c:strRef>
              <c:f>List2!$A$30</c:f>
              <c:strCache>
                <c:ptCount val="1"/>
                <c:pt idx="0">
                  <c:v>Vzdělávání a výchova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4.6434126289769333E-2"/>
                  <c:y val="1.3364303488038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9C9-4BD6-B943-DD344AF70944}"/>
                </c:ext>
              </c:extLst>
            </c:dLbl>
            <c:dLbl>
              <c:idx val="2"/>
              <c:layout>
                <c:manualLayout>
                  <c:x val="-7.0684567206876922E-2"/>
                  <c:y val="-3.951713827979294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9C9-4BD6-B943-DD344AF709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List2!$B$29:$L$29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List2!$B$30:$L$30</c:f>
              <c:numCache>
                <c:formatCode>0.0</c:formatCode>
                <c:ptCount val="11"/>
                <c:pt idx="0">
                  <c:v>5.5549999999999997</c:v>
                </c:pt>
                <c:pt idx="1">
                  <c:v>5.1479999999999997</c:v>
                </c:pt>
                <c:pt idx="2">
                  <c:v>4.4980000000000002</c:v>
                </c:pt>
                <c:pt idx="3">
                  <c:v>3.7629999999999999</c:v>
                </c:pt>
                <c:pt idx="4">
                  <c:v>3.8719999999999999</c:v>
                </c:pt>
                <c:pt idx="5">
                  <c:v>4.22</c:v>
                </c:pt>
                <c:pt idx="6">
                  <c:v>4.2910000000000004</c:v>
                </c:pt>
                <c:pt idx="7">
                  <c:v>4.827</c:v>
                </c:pt>
                <c:pt idx="8">
                  <c:v>4.9640000000000004</c:v>
                </c:pt>
                <c:pt idx="9">
                  <c:v>4.923</c:v>
                </c:pt>
                <c:pt idx="10">
                  <c:v>4.891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9C9-4BD6-B943-DD344AF70944}"/>
            </c:ext>
          </c:extLst>
        </c:ser>
        <c:ser>
          <c:idx val="1"/>
          <c:order val="1"/>
          <c:tx>
            <c:strRef>
              <c:f>List2!$A$31</c:f>
              <c:strCache>
                <c:ptCount val="1"/>
                <c:pt idx="0">
                  <c:v>Umění a humanitní vědy </c:v>
                </c:pt>
              </c:strCache>
            </c:strRef>
          </c:tx>
          <c:spPr>
            <a:ln w="28575" cap="rnd">
              <a:solidFill>
                <a:srgbClr val="8F45C7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1002027524337245E-2"/>
                  <c:y val="-1.38465808657034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9C9-4BD6-B943-DD344AF70944}"/>
                </c:ext>
              </c:extLst>
            </c:dLbl>
            <c:dLbl>
              <c:idx val="4"/>
              <c:layout>
                <c:manualLayout>
                  <c:x val="-2.4388270910580621E-2"/>
                  <c:y val="-1.38465808657034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9C9-4BD6-B943-DD344AF70944}"/>
                </c:ext>
              </c:extLst>
            </c:dLbl>
            <c:dLbl>
              <c:idx val="10"/>
              <c:layout>
                <c:manualLayout>
                  <c:x val="-2.4846199780582983E-2"/>
                  <c:y val="-1.63202976251345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9C9-4BD6-B943-DD344AF709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8F45C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List2!$B$29:$L$29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List2!$B$31:$L$31</c:f>
              <c:numCache>
                <c:formatCode>0.0</c:formatCode>
                <c:ptCount val="11"/>
                <c:pt idx="0">
                  <c:v>4.6689999999999996</c:v>
                </c:pt>
                <c:pt idx="1">
                  <c:v>4.2469999999999999</c:v>
                </c:pt>
                <c:pt idx="2">
                  <c:v>3.93</c:v>
                </c:pt>
                <c:pt idx="3">
                  <c:v>3.8769999999999998</c:v>
                </c:pt>
                <c:pt idx="4">
                  <c:v>3.5760000000000001</c:v>
                </c:pt>
                <c:pt idx="5">
                  <c:v>3.66</c:v>
                </c:pt>
                <c:pt idx="6">
                  <c:v>3.786</c:v>
                </c:pt>
                <c:pt idx="7">
                  <c:v>3.9350000000000001</c:v>
                </c:pt>
                <c:pt idx="8">
                  <c:v>4.1369999999999996</c:v>
                </c:pt>
                <c:pt idx="9">
                  <c:v>4.0449999999999999</c:v>
                </c:pt>
                <c:pt idx="10">
                  <c:v>4.1139999999999999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9C9-4BD6-B943-DD344AF70944}"/>
            </c:ext>
          </c:extLst>
        </c:ser>
        <c:ser>
          <c:idx val="2"/>
          <c:order val="2"/>
          <c:tx>
            <c:strRef>
              <c:f>List2!$A$32</c:f>
              <c:strCache>
                <c:ptCount val="1"/>
                <c:pt idx="0">
                  <c:v>Společenské vědy, žurnalistika a informační vědy 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318553930758655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9C9-4BD6-B943-DD344AF70944}"/>
                </c:ext>
              </c:extLst>
            </c:dLbl>
            <c:dLbl>
              <c:idx val="10"/>
              <c:layout>
                <c:manualLayout>
                  <c:x val="-1.1756342957130359E-2"/>
                  <c:y val="-2.078132215655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09C9-4BD6-B943-DD344AF709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92D05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l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List2!$B$29:$L$29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List2!$B$32:$L$32</c:f>
              <c:numCache>
                <c:formatCode>0.0</c:formatCode>
                <c:ptCount val="11"/>
                <c:pt idx="0">
                  <c:v>4.3280000000000003</c:v>
                </c:pt>
                <c:pt idx="1">
                  <c:v>3.7440000000000002</c:v>
                </c:pt>
                <c:pt idx="2">
                  <c:v>3.177</c:v>
                </c:pt>
                <c:pt idx="3">
                  <c:v>3.1970000000000001</c:v>
                </c:pt>
                <c:pt idx="4">
                  <c:v>3.1880000000000002</c:v>
                </c:pt>
                <c:pt idx="5">
                  <c:v>3.0249999999999999</c:v>
                </c:pt>
                <c:pt idx="6">
                  <c:v>2.9119999999999999</c:v>
                </c:pt>
                <c:pt idx="7">
                  <c:v>3.052</c:v>
                </c:pt>
                <c:pt idx="8">
                  <c:v>3.1850000000000001</c:v>
                </c:pt>
                <c:pt idx="9">
                  <c:v>3.3359999999999999</c:v>
                </c:pt>
                <c:pt idx="10">
                  <c:v>3.0030000000000001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9C9-4BD6-B943-DD344AF70944}"/>
            </c:ext>
          </c:extLst>
        </c:ser>
        <c:ser>
          <c:idx val="3"/>
          <c:order val="3"/>
          <c:tx>
            <c:strRef>
              <c:f>List2!$A$33</c:f>
              <c:strCache>
                <c:ptCount val="1"/>
                <c:pt idx="0">
                  <c:v>Obchod, administrativa a právo </c:v>
                </c:pt>
              </c:strCache>
            </c:strRef>
          </c:tx>
          <c:spPr>
            <a:ln w="28575" cap="rnd">
              <a:solidFill>
                <a:schemeClr val="bg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List2!$B$29:$L$29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List2!$B$33:$L$33</c:f>
              <c:numCache>
                <c:formatCode>0.0</c:formatCode>
                <c:ptCount val="11"/>
                <c:pt idx="0">
                  <c:v>9.657</c:v>
                </c:pt>
                <c:pt idx="1">
                  <c:v>8.8070000000000004</c:v>
                </c:pt>
                <c:pt idx="2">
                  <c:v>7.4349999999999996</c:v>
                </c:pt>
                <c:pt idx="3">
                  <c:v>6.915</c:v>
                </c:pt>
                <c:pt idx="4">
                  <c:v>6.7160000000000002</c:v>
                </c:pt>
                <c:pt idx="5">
                  <c:v>6.4390000000000001</c:v>
                </c:pt>
                <c:pt idx="6">
                  <c:v>6.4710000000000001</c:v>
                </c:pt>
                <c:pt idx="7">
                  <c:v>7.2329999999999997</c:v>
                </c:pt>
                <c:pt idx="8">
                  <c:v>7.2670000000000003</c:v>
                </c:pt>
                <c:pt idx="9">
                  <c:v>7.6029999999999998</c:v>
                </c:pt>
                <c:pt idx="10">
                  <c:v>7.3109999999999999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09C9-4BD6-B943-DD344AF70944}"/>
            </c:ext>
          </c:extLst>
        </c:ser>
        <c:ser>
          <c:idx val="4"/>
          <c:order val="4"/>
          <c:tx>
            <c:strRef>
              <c:f>List2!$A$34</c:f>
              <c:strCache>
                <c:ptCount val="1"/>
                <c:pt idx="0">
                  <c:v>Přírodní vědy, matematika a statistika 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968253968253968E-2"/>
                  <c:y val="-7.42115027829313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09C9-4BD6-B943-DD344AF70944}"/>
                </c:ext>
              </c:extLst>
            </c:dLbl>
            <c:dLbl>
              <c:idx val="4"/>
              <c:layout>
                <c:manualLayout>
                  <c:x val="-4.4091710758377423E-3"/>
                  <c:y val="-2.7216386370412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09C9-4BD6-B943-DD344AF70944}"/>
                </c:ext>
              </c:extLst>
            </c:dLbl>
            <c:dLbl>
              <c:idx val="8"/>
              <c:layout>
                <c:manualLayout>
                  <c:x val="-2.6455026455026617E-2"/>
                  <c:y val="1.9789734075448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09C9-4BD6-B943-DD344AF70944}"/>
                </c:ext>
              </c:extLst>
            </c:dLbl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09C9-4BD6-B943-DD344AF709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List2!$B$29:$L$29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List2!$B$34:$L$34</c:f>
              <c:numCache>
                <c:formatCode>0.0</c:formatCode>
                <c:ptCount val="11"/>
                <c:pt idx="0">
                  <c:v>2.7389999999999999</c:v>
                </c:pt>
                <c:pt idx="1">
                  <c:v>2.7989999999999999</c:v>
                </c:pt>
                <c:pt idx="2">
                  <c:v>2.5819999999999999</c:v>
                </c:pt>
                <c:pt idx="3">
                  <c:v>2.419</c:v>
                </c:pt>
                <c:pt idx="4">
                  <c:v>2.165</c:v>
                </c:pt>
                <c:pt idx="5">
                  <c:v>2.1749999999999998</c:v>
                </c:pt>
                <c:pt idx="6">
                  <c:v>2.2789999999999999</c:v>
                </c:pt>
                <c:pt idx="7">
                  <c:v>2.7709999999999999</c:v>
                </c:pt>
                <c:pt idx="8">
                  <c:v>3.01</c:v>
                </c:pt>
                <c:pt idx="9">
                  <c:v>2.8220000000000001</c:v>
                </c:pt>
                <c:pt idx="10">
                  <c:v>2.6520000000000001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09C9-4BD6-B943-DD344AF70944}"/>
            </c:ext>
          </c:extLst>
        </c:ser>
        <c:ser>
          <c:idx val="6"/>
          <c:order val="5"/>
          <c:tx>
            <c:strRef>
              <c:f>List2!$A$35</c:f>
              <c:strCache>
                <c:ptCount val="1"/>
                <c:pt idx="0">
                  <c:v>Informační a komunikační technologie </c:v>
                </c:pt>
              </c:strCache>
            </c:strRef>
          </c:tx>
          <c:spPr>
            <a:ln w="28575" cap="rnd">
              <a:solidFill>
                <a:srgbClr val="FEBB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C99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List2!$B$29:$L$29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List2!$B$35:$L$35</c:f>
              <c:numCache>
                <c:formatCode>0.0</c:formatCode>
                <c:ptCount val="11"/>
                <c:pt idx="0">
                  <c:v>0.78500000000000003</c:v>
                </c:pt>
                <c:pt idx="1">
                  <c:v>0.71799999999999997</c:v>
                </c:pt>
                <c:pt idx="2">
                  <c:v>0.63400000000000001</c:v>
                </c:pt>
                <c:pt idx="3">
                  <c:v>0.61199999999999999</c:v>
                </c:pt>
                <c:pt idx="4">
                  <c:v>0.68200000000000005</c:v>
                </c:pt>
                <c:pt idx="5">
                  <c:v>0.65</c:v>
                </c:pt>
                <c:pt idx="6">
                  <c:v>0.71099999999999997</c:v>
                </c:pt>
                <c:pt idx="7">
                  <c:v>0.77600000000000002</c:v>
                </c:pt>
                <c:pt idx="8">
                  <c:v>0.88300000000000001</c:v>
                </c:pt>
                <c:pt idx="9">
                  <c:v>0.91400000000000003</c:v>
                </c:pt>
                <c:pt idx="10">
                  <c:v>1.073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09C9-4BD6-B943-DD344AF70944}"/>
            </c:ext>
          </c:extLst>
        </c:ser>
        <c:ser>
          <c:idx val="7"/>
          <c:order val="6"/>
          <c:tx>
            <c:strRef>
              <c:f>List2!$A$36</c:f>
              <c:strCache>
                <c:ptCount val="1"/>
                <c:pt idx="0">
                  <c:v>Technika, výroba a stavebnictví </c:v>
                </c:pt>
              </c:strCache>
            </c:strRef>
          </c:tx>
          <c:spPr>
            <a:ln w="28575" cap="rnd">
              <a:solidFill>
                <a:srgbClr val="84582C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6296296296296308E-2"/>
                  <c:y val="9.8948670377241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09C9-4BD6-B943-DD344AF70944}"/>
                </c:ext>
              </c:extLst>
            </c:dLbl>
            <c:dLbl>
              <c:idx val="8"/>
              <c:layout>
                <c:manualLayout>
                  <c:x val="-2.4250440917107582E-2"/>
                  <c:y val="-1.9789734075448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09C9-4BD6-B943-DD344AF70944}"/>
                </c:ext>
              </c:extLst>
            </c:dLbl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09C9-4BD6-B943-DD344AF709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4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List2!$B$29:$L$29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List2!$B$36:$L$36</c:f>
              <c:numCache>
                <c:formatCode>0.0</c:formatCode>
                <c:ptCount val="11"/>
                <c:pt idx="0">
                  <c:v>4.0949999999999998</c:v>
                </c:pt>
                <c:pt idx="1">
                  <c:v>4.0860000000000003</c:v>
                </c:pt>
                <c:pt idx="2">
                  <c:v>3.6680000000000001</c:v>
                </c:pt>
                <c:pt idx="3">
                  <c:v>3.1760000000000002</c:v>
                </c:pt>
                <c:pt idx="4">
                  <c:v>2.9039999999999999</c:v>
                </c:pt>
                <c:pt idx="5">
                  <c:v>2.9359999999999999</c:v>
                </c:pt>
                <c:pt idx="6">
                  <c:v>2.7010000000000001</c:v>
                </c:pt>
                <c:pt idx="7">
                  <c:v>2.302</c:v>
                </c:pt>
                <c:pt idx="8">
                  <c:v>2.0680000000000001</c:v>
                </c:pt>
                <c:pt idx="9">
                  <c:v>2.105</c:v>
                </c:pt>
                <c:pt idx="10">
                  <c:v>2.181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09C9-4BD6-B943-DD344AF70944}"/>
            </c:ext>
          </c:extLst>
        </c:ser>
        <c:ser>
          <c:idx val="8"/>
          <c:order val="7"/>
          <c:tx>
            <c:strRef>
              <c:f>List2!$A$37</c:f>
              <c:strCache>
                <c:ptCount val="1"/>
                <c:pt idx="0">
                  <c:v>Zemědělství, lesnictví, rybářství a veterinářství</c:v>
                </c:pt>
              </c:strCache>
            </c:strRef>
          </c:tx>
          <c:spPr>
            <a:ln w="28575" cap="rnd">
              <a:solidFill>
                <a:srgbClr val="60783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4091710758377436E-2"/>
                  <c:y val="7.42115027829313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09C9-4BD6-B943-DD344AF7094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9C9-4BD6-B943-DD344AF7094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9C9-4BD6-B943-DD344AF7094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9C9-4BD6-B943-DD344AF70944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09C9-4BD6-B943-DD344AF7094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09C9-4BD6-B943-DD344AF70944}"/>
                </c:ext>
              </c:extLst>
            </c:dLbl>
            <c:dLbl>
              <c:idx val="6"/>
              <c:layout>
                <c:manualLayout>
                  <c:x val="-1.7636684303350969E-2"/>
                  <c:y val="-1.4842300556586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09C9-4BD6-B943-DD344AF70944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09C9-4BD6-B943-DD344AF70944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09C9-4BD6-B943-DD344AF70944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09C9-4BD6-B943-DD344AF709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416529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List2!$B$29:$L$29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List2!$B$37:$L$37</c:f>
              <c:numCache>
                <c:formatCode>0.0</c:formatCode>
                <c:ptCount val="11"/>
                <c:pt idx="0">
                  <c:v>2.1150000000000002</c:v>
                </c:pt>
                <c:pt idx="1">
                  <c:v>1.8740000000000001</c:v>
                </c:pt>
                <c:pt idx="2">
                  <c:v>1.6739999999999999</c:v>
                </c:pt>
                <c:pt idx="3">
                  <c:v>1.5780000000000001</c:v>
                </c:pt>
                <c:pt idx="4">
                  <c:v>1.5840000000000001</c:v>
                </c:pt>
                <c:pt idx="5">
                  <c:v>1.65</c:v>
                </c:pt>
                <c:pt idx="6">
                  <c:v>1.5669999999999999</c:v>
                </c:pt>
                <c:pt idx="7">
                  <c:v>1.6479999999999999</c:v>
                </c:pt>
                <c:pt idx="8">
                  <c:v>1.841</c:v>
                </c:pt>
                <c:pt idx="9">
                  <c:v>1.7490000000000001</c:v>
                </c:pt>
                <c:pt idx="10">
                  <c:v>1.831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F-09C9-4BD6-B943-DD344AF70944}"/>
            </c:ext>
          </c:extLst>
        </c:ser>
        <c:ser>
          <c:idx val="9"/>
          <c:order val="8"/>
          <c:tx>
            <c:strRef>
              <c:f>List2!$A$38</c:f>
              <c:strCache>
                <c:ptCount val="1"/>
                <c:pt idx="0">
                  <c:v>Zdravotní a sociální péče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FF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List2!$B$29:$L$29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List2!$B$38:$L$38</c:f>
              <c:numCache>
                <c:formatCode>0.0</c:formatCode>
                <c:ptCount val="11"/>
                <c:pt idx="0">
                  <c:v>5.556</c:v>
                </c:pt>
                <c:pt idx="1">
                  <c:v>5.4480000000000004</c:v>
                </c:pt>
                <c:pt idx="2">
                  <c:v>4.9279999999999999</c:v>
                </c:pt>
                <c:pt idx="3">
                  <c:v>5.2</c:v>
                </c:pt>
                <c:pt idx="4">
                  <c:v>5.282</c:v>
                </c:pt>
                <c:pt idx="5">
                  <c:v>5.2409999999999997</c:v>
                </c:pt>
                <c:pt idx="6">
                  <c:v>5.0430000000000001</c:v>
                </c:pt>
                <c:pt idx="7">
                  <c:v>5.4870000000000001</c:v>
                </c:pt>
                <c:pt idx="8">
                  <c:v>5.93</c:v>
                </c:pt>
                <c:pt idx="9">
                  <c:v>6.319</c:v>
                </c:pt>
                <c:pt idx="10">
                  <c:v>5.9989999999999997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0-09C9-4BD6-B943-DD344AF70944}"/>
            </c:ext>
          </c:extLst>
        </c:ser>
        <c:ser>
          <c:idx val="5"/>
          <c:order val="9"/>
          <c:tx>
            <c:strRef>
              <c:f>List2!$A$39</c:f>
              <c:strCache>
                <c:ptCount val="1"/>
                <c:pt idx="0">
                  <c:v>Služby </c:v>
                </c:pt>
              </c:strCache>
            </c:strRef>
          </c:tx>
          <c:spPr>
            <a:ln w="28575" cap="rnd">
              <a:solidFill>
                <a:srgbClr val="F084A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29100529100529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1-09C9-4BD6-B943-DD344AF70944}"/>
                </c:ext>
              </c:extLst>
            </c:dLbl>
            <c:dLbl>
              <c:idx val="7"/>
              <c:layout>
                <c:manualLayout>
                  <c:x val="-1.9841269841269923E-2"/>
                  <c:y val="7.42115027829313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2-09C9-4BD6-B943-DD344AF70944}"/>
                </c:ext>
              </c:extLst>
            </c:dLbl>
            <c:dLbl>
              <c:idx val="10"/>
              <c:layout>
                <c:manualLayout>
                  <c:x val="-1.1022927689594356E-2"/>
                  <c:y val="2.2263450834879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3-09C9-4BD6-B943-DD344AF709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E41C55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List2!$B$29:$L$29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List2!$B$39:$L$39</c:f>
              <c:numCache>
                <c:formatCode>0.0</c:formatCode>
                <c:ptCount val="11"/>
                <c:pt idx="0">
                  <c:v>2.4409999999999998</c:v>
                </c:pt>
                <c:pt idx="1">
                  <c:v>2.456</c:v>
                </c:pt>
                <c:pt idx="2">
                  <c:v>1.9470000000000001</c:v>
                </c:pt>
                <c:pt idx="3">
                  <c:v>1.615</c:v>
                </c:pt>
                <c:pt idx="4">
                  <c:v>1.5169999999999999</c:v>
                </c:pt>
                <c:pt idx="5">
                  <c:v>1.454</c:v>
                </c:pt>
                <c:pt idx="6">
                  <c:v>1.4359999999999999</c:v>
                </c:pt>
                <c:pt idx="7">
                  <c:v>1.2310000000000001</c:v>
                </c:pt>
                <c:pt idx="8">
                  <c:v>1.8</c:v>
                </c:pt>
                <c:pt idx="9">
                  <c:v>1.82</c:v>
                </c:pt>
                <c:pt idx="10">
                  <c:v>1.76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4-09C9-4BD6-B943-DD344AF70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729824"/>
        <c:axId val="56726912"/>
      </c:lineChart>
      <c:catAx>
        <c:axId val="56729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6912"/>
        <c:crosses val="autoZero"/>
        <c:auto val="1"/>
        <c:lblAlgn val="ctr"/>
        <c:lblOffset val="100"/>
        <c:noMultiLvlLbl val="0"/>
      </c:catAx>
      <c:valAx>
        <c:axId val="56726912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>
                    <a:solidFill>
                      <a:sysClr val="windowText" lastClr="000000"/>
                    </a:solidFill>
                  </a:rPr>
                  <a:t>tis.</a:t>
                </a:r>
              </a:p>
            </c:rich>
          </c:tx>
          <c:layout>
            <c:manualLayout>
              <c:xMode val="edge"/>
              <c:yMode val="edge"/>
              <c:x val="0"/>
              <c:y val="0.793051777618706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982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2.5995014512074882E-3"/>
          <c:y val="0.8304204831538915"/>
          <c:w val="0.98598265494590942"/>
          <c:h val="0.156717942724691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66317294450343E-2"/>
          <c:y val="2.7312228429546864E-2"/>
          <c:w val="0.94075516261401904"/>
          <c:h val="0.8872870480673311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List1!$A$39</c:f>
              <c:strCache>
                <c:ptCount val="1"/>
                <c:pt idx="0">
                  <c:v>Slovenská republika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List1!$B$38:$W$38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List1!$B$39:$W$39</c:f>
              <c:numCache>
                <c:formatCode>0.0</c:formatCode>
                <c:ptCount val="22"/>
                <c:pt idx="0">
                  <c:v>2.5293932601942513</c:v>
                </c:pt>
                <c:pt idx="1">
                  <c:v>3.1660891010414347</c:v>
                </c:pt>
                <c:pt idx="2">
                  <c:v>3.4700082472703992</c:v>
                </c:pt>
                <c:pt idx="3">
                  <c:v>4.3906197477801401</c:v>
                </c:pt>
                <c:pt idx="4">
                  <c:v>4.9868204226446906</c:v>
                </c:pt>
                <c:pt idx="5">
                  <c:v>5.1335169857390008</c:v>
                </c:pt>
                <c:pt idx="6">
                  <c:v>5.2595924324670076</c:v>
                </c:pt>
                <c:pt idx="7">
                  <c:v>5.3954625730199695</c:v>
                </c:pt>
                <c:pt idx="8">
                  <c:v>5.7129709608423829</c:v>
                </c:pt>
                <c:pt idx="9">
                  <c:v>6.1441876439452097</c:v>
                </c:pt>
                <c:pt idx="10">
                  <c:v>6.2628973137876587</c:v>
                </c:pt>
                <c:pt idx="11">
                  <c:v>6.3138798238866238</c:v>
                </c:pt>
                <c:pt idx="12">
                  <c:v>6.3589001761980377</c:v>
                </c:pt>
                <c:pt idx="13">
                  <c:v>6.5314490526212587</c:v>
                </c:pt>
                <c:pt idx="14">
                  <c:v>6.8077310728717038</c:v>
                </c:pt>
                <c:pt idx="15">
                  <c:v>7.1308010095002334</c:v>
                </c:pt>
                <c:pt idx="16">
                  <c:v>7.1910481043852101</c:v>
                </c:pt>
                <c:pt idx="17">
                  <c:v>7.3447517512575571</c:v>
                </c:pt>
                <c:pt idx="18">
                  <c:v>7.3016907099318376</c:v>
                </c:pt>
                <c:pt idx="19">
                  <c:v>7.1571913066163635</c:v>
                </c:pt>
                <c:pt idx="20">
                  <c:v>6.8707946764679733</c:v>
                </c:pt>
                <c:pt idx="21">
                  <c:v>6.8698730452715431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8B-4CA4-9E68-35DB25C54628}"/>
            </c:ext>
          </c:extLst>
        </c:ser>
        <c:ser>
          <c:idx val="1"/>
          <c:order val="1"/>
          <c:tx>
            <c:strRef>
              <c:f>List1!$A$40</c:f>
              <c:strCache>
                <c:ptCount val="1"/>
                <c:pt idx="0">
                  <c:v>Ruská federace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8B-4CA4-9E68-35DB25C5462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8B-4CA4-9E68-35DB25C5462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8B-4CA4-9E68-35DB25C5462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48B-4CA4-9E68-35DB25C546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List1!$B$38:$W$38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List1!$B$40:$W$40</c:f>
              <c:numCache>
                <c:formatCode>0.0</c:formatCode>
                <c:ptCount val="22"/>
                <c:pt idx="0">
                  <c:v>0.11993236600998781</c:v>
                </c:pt>
                <c:pt idx="1">
                  <c:v>0.14806269501355726</c:v>
                </c:pt>
                <c:pt idx="2">
                  <c:v>0.16986915151589754</c:v>
                </c:pt>
                <c:pt idx="3">
                  <c:v>0.20432905664938117</c:v>
                </c:pt>
                <c:pt idx="4">
                  <c:v>0.25530033199407176</c:v>
                </c:pt>
                <c:pt idx="5">
                  <c:v>0.32481806076975872</c:v>
                </c:pt>
                <c:pt idx="6">
                  <c:v>0.38756421848969164</c:v>
                </c:pt>
                <c:pt idx="7">
                  <c:v>0.46814291536476027</c:v>
                </c:pt>
                <c:pt idx="8">
                  <c:v>0.5779039157617637</c:v>
                </c:pt>
                <c:pt idx="9">
                  <c:v>0.64219766455210314</c:v>
                </c:pt>
                <c:pt idx="10">
                  <c:v>0.7264583370532014</c:v>
                </c:pt>
                <c:pt idx="11">
                  <c:v>0.88791806579835175</c:v>
                </c:pt>
                <c:pt idx="12">
                  <c:v>1.1629614322072612</c:v>
                </c:pt>
                <c:pt idx="13">
                  <c:v>1.4985625679428141</c:v>
                </c:pt>
                <c:pt idx="14">
                  <c:v>1.7311892850687607</c:v>
                </c:pt>
                <c:pt idx="15">
                  <c:v>1.886543747689241</c:v>
                </c:pt>
                <c:pt idx="16">
                  <c:v>1.9262513267461989</c:v>
                </c:pt>
                <c:pt idx="17">
                  <c:v>1.9906852776981794</c:v>
                </c:pt>
                <c:pt idx="18">
                  <c:v>2.1508990668001955</c:v>
                </c:pt>
                <c:pt idx="19">
                  <c:v>2.5078097302214819</c:v>
                </c:pt>
                <c:pt idx="20">
                  <c:v>2.6581432189518268</c:v>
                </c:pt>
                <c:pt idx="21">
                  <c:v>2.5105248294025313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48B-4CA4-9E68-35DB25C54628}"/>
            </c:ext>
          </c:extLst>
        </c:ser>
        <c:ser>
          <c:idx val="2"/>
          <c:order val="2"/>
          <c:tx>
            <c:strRef>
              <c:f>List1!$A$41</c:f>
              <c:strCache>
                <c:ptCount val="1"/>
                <c:pt idx="0">
                  <c:v>Ukrajina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48B-4CA4-9E68-35DB25C5462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8B-4CA4-9E68-35DB25C5462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48B-4CA4-9E68-35DB25C5462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48B-4CA4-9E68-35DB25C54628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48B-4CA4-9E68-35DB25C54628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48B-4CA4-9E68-35DB25C5462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48B-4CA4-9E68-35DB25C546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List1!$B$38:$W$38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List1!$B$41:$W$41</c:f>
              <c:numCache>
                <c:formatCode>0.0</c:formatCode>
                <c:ptCount val="22"/>
                <c:pt idx="0">
                  <c:v>0.14598324879084582</c:v>
                </c:pt>
                <c:pt idx="1">
                  <c:v>0.17122587736230396</c:v>
                </c:pt>
                <c:pt idx="2">
                  <c:v>0.18628162992323063</c:v>
                </c:pt>
                <c:pt idx="3">
                  <c:v>0.19979680400651131</c:v>
                </c:pt>
                <c:pt idx="4">
                  <c:v>0.21488065832247988</c:v>
                </c:pt>
                <c:pt idx="5">
                  <c:v>0.22139497812933895</c:v>
                </c:pt>
                <c:pt idx="6">
                  <c:v>0.23812085142014811</c:v>
                </c:pt>
                <c:pt idx="7">
                  <c:v>0.27632115201738894</c:v>
                </c:pt>
                <c:pt idx="8">
                  <c:v>0.35064988483053638</c:v>
                </c:pt>
                <c:pt idx="9">
                  <c:v>0.36870176572790819</c:v>
                </c:pt>
                <c:pt idx="10">
                  <c:v>0.41194881121521071</c:v>
                </c:pt>
                <c:pt idx="11">
                  <c:v>0.45577343649495522</c:v>
                </c:pt>
                <c:pt idx="12">
                  <c:v>0.53240086141262977</c:v>
                </c:pt>
                <c:pt idx="13">
                  <c:v>0.63206641310961109</c:v>
                </c:pt>
                <c:pt idx="14">
                  <c:v>0.77139172178431048</c:v>
                </c:pt>
                <c:pt idx="15">
                  <c:v>0.91980260090983623</c:v>
                </c:pt>
                <c:pt idx="16">
                  <c:v>1.0215527199552674</c:v>
                </c:pt>
                <c:pt idx="17">
                  <c:v>1.1482863741977358</c:v>
                </c:pt>
                <c:pt idx="18">
                  <c:v>1.2468076111401809</c:v>
                </c:pt>
                <c:pt idx="19">
                  <c:v>1.3522372284989932</c:v>
                </c:pt>
                <c:pt idx="20">
                  <c:v>1.4415429152957682</c:v>
                </c:pt>
                <c:pt idx="21">
                  <c:v>2.0438857473121499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448B-4CA4-9E68-35DB25C54628}"/>
            </c:ext>
          </c:extLst>
        </c:ser>
        <c:ser>
          <c:idx val="3"/>
          <c:order val="3"/>
          <c:tx>
            <c:strRef>
              <c:f>List1!$A$42</c:f>
              <c:strCache>
                <c:ptCount val="1"/>
                <c:pt idx="0">
                  <c:v>Republika Kazachstán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48B-4CA4-9E68-35DB25C5462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48B-4CA4-9E68-35DB25C5462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48B-4CA4-9E68-35DB25C5462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48B-4CA4-9E68-35DB25C54628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48B-4CA4-9E68-35DB25C54628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48B-4CA4-9E68-35DB25C5462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48B-4CA4-9E68-35DB25C54628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48B-4CA4-9E68-35DB25C54628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448B-4CA4-9E68-35DB25C54628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448B-4CA4-9E68-35DB25C54628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448B-4CA4-9E68-35DB25C546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List1!$B$38:$W$38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List1!$B$42:$W$42</c:f>
              <c:numCache>
                <c:formatCode>0.0</c:formatCode>
                <c:ptCount val="22"/>
                <c:pt idx="0">
                  <c:v>1.7694939247375249E-2</c:v>
                </c:pt>
                <c:pt idx="1">
                  <c:v>1.9983922026369692E-2</c:v>
                </c:pt>
                <c:pt idx="2">
                  <c:v>3.0773397013749555E-2</c:v>
                </c:pt>
                <c:pt idx="3">
                  <c:v>3.8901835184632638E-2</c:v>
                </c:pt>
                <c:pt idx="4">
                  <c:v>4.7674486894698116E-2</c:v>
                </c:pt>
                <c:pt idx="5">
                  <c:v>7.0530114461203691E-2</c:v>
                </c:pt>
                <c:pt idx="6">
                  <c:v>9.1003451153243417E-2</c:v>
                </c:pt>
                <c:pt idx="7">
                  <c:v>0.12933025404157045</c:v>
                </c:pt>
                <c:pt idx="8">
                  <c:v>0.16684147745969069</c:v>
                </c:pt>
                <c:pt idx="9">
                  <c:v>0.20228090023839346</c:v>
                </c:pt>
                <c:pt idx="10">
                  <c:v>0.24410836676963263</c:v>
                </c:pt>
                <c:pt idx="11">
                  <c:v>0.30349890126046564</c:v>
                </c:pt>
                <c:pt idx="12">
                  <c:v>0.37061408279132496</c:v>
                </c:pt>
                <c:pt idx="13">
                  <c:v>0.41003578441691008</c:v>
                </c:pt>
                <c:pt idx="14">
                  <c:v>0.45370577440927878</c:v>
                </c:pt>
                <c:pt idx="15">
                  <c:v>0.51921747657091422</c:v>
                </c:pt>
                <c:pt idx="16">
                  <c:v>0.54643527989740948</c:v>
                </c:pt>
                <c:pt idx="17">
                  <c:v>0.57655990526464784</c:v>
                </c:pt>
                <c:pt idx="18">
                  <c:v>0.68023439151422327</c:v>
                </c:pt>
                <c:pt idx="19">
                  <c:v>0.784317660358679</c:v>
                </c:pt>
                <c:pt idx="20">
                  <c:v>0.84476983727065236</c:v>
                </c:pt>
                <c:pt idx="21">
                  <c:v>0.90208132195797941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448B-4CA4-9E68-35DB25C54628}"/>
            </c:ext>
          </c:extLst>
        </c:ser>
        <c:ser>
          <c:idx val="4"/>
          <c:order val="4"/>
          <c:tx>
            <c:strRef>
              <c:f>List1!$A$43</c:f>
              <c:strCache>
                <c:ptCount val="1"/>
                <c:pt idx="0">
                  <c:v>ostatní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List1!$B$38:$W$38</c:f>
              <c:numCache>
                <c:formatCode>0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List1!$B$43:$W$43</c:f>
              <c:numCache>
                <c:formatCode>0.0</c:formatCode>
                <c:ptCount val="22"/>
                <c:pt idx="0">
                  <c:v>1.494239314222799</c:v>
                </c:pt>
                <c:pt idx="1">
                  <c:v>1.5137820934975044</c:v>
                </c:pt>
                <c:pt idx="2">
                  <c:v>1.5021520862311617</c:v>
                </c:pt>
                <c:pt idx="3">
                  <c:v>1.6055504987366347</c:v>
                </c:pt>
                <c:pt idx="4">
                  <c:v>1.7066084439116571</c:v>
                </c:pt>
                <c:pt idx="5">
                  <c:v>1.7955132726289389</c:v>
                </c:pt>
                <c:pt idx="6">
                  <c:v>1.8849053476884252</c:v>
                </c:pt>
                <c:pt idx="7">
                  <c:v>1.9133269936149979</c:v>
                </c:pt>
                <c:pt idx="8">
                  <c:v>2.0411730832510697</c:v>
                </c:pt>
                <c:pt idx="9">
                  <c:v>2.1122065538001533</c:v>
                </c:pt>
                <c:pt idx="10">
                  <c:v>2.2275845005216319</c:v>
                </c:pt>
                <c:pt idx="11">
                  <c:v>2.3899225762751022</c:v>
                </c:pt>
                <c:pt idx="12">
                  <c:v>2.5396445585260272</c:v>
                </c:pt>
                <c:pt idx="13">
                  <c:v>2.7220378374793466</c:v>
                </c:pt>
                <c:pt idx="14">
                  <c:v>3.1060924015770945</c:v>
                </c:pt>
                <c:pt idx="15">
                  <c:v>3.5078525615264673</c:v>
                </c:pt>
                <c:pt idx="16">
                  <c:v>3.9298473530367</c:v>
                </c:pt>
                <c:pt idx="17">
                  <c:v>4.3549261347354902</c:v>
                </c:pt>
                <c:pt idx="18">
                  <c:v>4.6625337431604041</c:v>
                </c:pt>
                <c:pt idx="19">
                  <c:v>4.8751446556026039</c:v>
                </c:pt>
                <c:pt idx="20">
                  <c:v>5.2280219870699165</c:v>
                </c:pt>
                <c:pt idx="21">
                  <c:v>5.659435567027236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448B-4CA4-9E68-35DB25C546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"/>
        <c:overlap val="100"/>
        <c:axId val="1963729007"/>
        <c:axId val="1963726927"/>
      </c:barChart>
      <c:catAx>
        <c:axId val="1963729007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963726927"/>
        <c:crosses val="autoZero"/>
        <c:auto val="1"/>
        <c:lblAlgn val="ctr"/>
        <c:lblOffset val="100"/>
        <c:noMultiLvlLbl val="0"/>
      </c:catAx>
      <c:valAx>
        <c:axId val="1963726927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4.3010752688172043E-3"/>
              <c:y val="0.943054138958018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9637290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295148590297189E-2"/>
          <c:y val="2.8807711305459512E-2"/>
          <c:w val="0.27819050038100074"/>
          <c:h val="0.22136250496363227"/>
        </c:manualLayout>
      </c:layout>
      <c:overlay val="0"/>
      <c:spPr>
        <a:solidFill>
          <a:schemeClr val="bg1">
            <a:lumMod val="95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134313128891672E-2"/>
          <c:y val="1.3656973323485594E-2"/>
          <c:w val="0.96317087413253688"/>
          <c:h val="0.80398734404774741"/>
        </c:manualLayout>
      </c:layout>
      <c:lineChart>
        <c:grouping val="standard"/>
        <c:varyColors val="0"/>
        <c:ser>
          <c:idx val="0"/>
          <c:order val="0"/>
          <c:tx>
            <c:strRef>
              <c:f>List1!$A$17</c:f>
              <c:strCache>
                <c:ptCount val="1"/>
                <c:pt idx="0">
                  <c:v>Vzdělávání a výchova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2910052910052907E-2"/>
                  <c:y val="-1.4842300556586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9A5-4B6D-B2A7-50C34259C28C}"/>
                </c:ext>
              </c:extLst>
            </c:dLbl>
            <c:dLbl>
              <c:idx val="2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34A-42ED-B36F-81B2BA53E900}"/>
                </c:ext>
              </c:extLst>
            </c:dLbl>
            <c:dLbl>
              <c:idx val="10"/>
              <c:layout>
                <c:manualLayout>
                  <c:x val="-2.2045855379190329E-3"/>
                  <c:y val="-1.484230055658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9A5-4B6D-B2A7-50C34259C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List1!$M$16:$W$16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List1!$M$17:$W$17</c:f>
              <c:numCache>
                <c:formatCode>0.0</c:formatCode>
                <c:ptCount val="11"/>
                <c:pt idx="0">
                  <c:v>12.552</c:v>
                </c:pt>
                <c:pt idx="1">
                  <c:v>12.103999999999999</c:v>
                </c:pt>
                <c:pt idx="2">
                  <c:v>11.217000000000001</c:v>
                </c:pt>
                <c:pt idx="3">
                  <c:v>9.8680000000000003</c:v>
                </c:pt>
                <c:pt idx="4">
                  <c:v>8.8610000000000007</c:v>
                </c:pt>
                <c:pt idx="5">
                  <c:v>8.3650000000000002</c:v>
                </c:pt>
                <c:pt idx="6">
                  <c:v>7.492</c:v>
                </c:pt>
                <c:pt idx="7">
                  <c:v>7.2030000000000003</c:v>
                </c:pt>
                <c:pt idx="8">
                  <c:v>7.2690000000000001</c:v>
                </c:pt>
                <c:pt idx="9">
                  <c:v>7.0549999999999997</c:v>
                </c:pt>
                <c:pt idx="10">
                  <c:v>7.0830000000000002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9A5-4B6D-B2A7-50C34259C28C}"/>
            </c:ext>
          </c:extLst>
        </c:ser>
        <c:ser>
          <c:idx val="1"/>
          <c:order val="1"/>
          <c:tx>
            <c:strRef>
              <c:f>List1!$A$18</c:f>
              <c:strCache>
                <c:ptCount val="1"/>
                <c:pt idx="0">
                  <c:v>Umění a humanitní vědy </c:v>
                </c:pt>
              </c:strCache>
            </c:strRef>
          </c:tx>
          <c:spPr>
            <a:ln w="28575" cap="rnd">
              <a:solidFill>
                <a:srgbClr val="8F4AD4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8500881834215179E-2"/>
                  <c:y val="-2.47371675943104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9A5-4B6D-B2A7-50C34259C28C}"/>
                </c:ext>
              </c:extLst>
            </c:dLbl>
            <c:dLbl>
              <c:idx val="2"/>
              <c:layout>
                <c:manualLayout>
                  <c:x val="-3.3068783068783067E-2"/>
                  <c:y val="1.6438356164383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34A-42ED-B36F-81B2BA53E900}"/>
                </c:ext>
              </c:extLst>
            </c:dLbl>
            <c:dLbl>
              <c:idx val="7"/>
              <c:layout>
                <c:manualLayout>
                  <c:x val="-3.1002027524337235E-2"/>
                  <c:y val="1.3876820191996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34A-42ED-B36F-81B2BA53E900}"/>
                </c:ext>
              </c:extLst>
            </c:dLbl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9A5-4B6D-B2A7-50C34259C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8F4AD4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List1!$M$16:$W$16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List1!$M$18:$W$18</c:f>
              <c:numCache>
                <c:formatCode>0.0</c:formatCode>
                <c:ptCount val="11"/>
                <c:pt idx="0">
                  <c:v>7.59</c:v>
                </c:pt>
                <c:pt idx="1">
                  <c:v>7.43</c:v>
                </c:pt>
                <c:pt idx="2">
                  <c:v>7.1509999999999998</c:v>
                </c:pt>
                <c:pt idx="3">
                  <c:v>6.8940000000000001</c:v>
                </c:pt>
                <c:pt idx="4">
                  <c:v>6.6660000000000004</c:v>
                </c:pt>
                <c:pt idx="5">
                  <c:v>6.26</c:v>
                </c:pt>
                <c:pt idx="6">
                  <c:v>6.1710000000000003</c:v>
                </c:pt>
                <c:pt idx="7">
                  <c:v>5.7290000000000001</c:v>
                </c:pt>
                <c:pt idx="8">
                  <c:v>5.4640000000000004</c:v>
                </c:pt>
                <c:pt idx="9">
                  <c:v>5.3630000000000004</c:v>
                </c:pt>
                <c:pt idx="10">
                  <c:v>5.0410000000000004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9A5-4B6D-B2A7-50C34259C28C}"/>
            </c:ext>
          </c:extLst>
        </c:ser>
        <c:ser>
          <c:idx val="2"/>
          <c:order val="2"/>
          <c:tx>
            <c:strRef>
              <c:f>List1!$A$19</c:f>
              <c:strCache>
                <c:ptCount val="1"/>
                <c:pt idx="0">
                  <c:v>Společenské vědy, žurnalistika a informační vědy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9523722729103307E-2"/>
                  <c:y val="-2.47361936900749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50830B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177776389062467E-2"/>
                      <c:h val="4.00619403094093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39A5-4B6D-B2A7-50C34259C28C}"/>
                </c:ext>
              </c:extLst>
            </c:dLbl>
            <c:dLbl>
              <c:idx val="2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50830B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34A-42ED-B36F-81B2BA53E900}"/>
                </c:ext>
              </c:extLst>
            </c:dLbl>
            <c:dLbl>
              <c:idx val="5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50830B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34A-42ED-B36F-81B2BA53E900}"/>
                </c:ext>
              </c:extLst>
            </c:dLbl>
            <c:dLbl>
              <c:idx val="10"/>
              <c:layout>
                <c:manualLayout>
                  <c:x val="-1.9841269841270003E-2"/>
                  <c:y val="1.341001697496976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50830B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9A5-4B6D-B2A7-50C34259C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50830B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List1!$M$16:$W$16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List1!$M$19:$W$19</c:f>
              <c:numCache>
                <c:formatCode>0.0</c:formatCode>
                <c:ptCount val="11"/>
                <c:pt idx="0">
                  <c:v>11.657</c:v>
                </c:pt>
                <c:pt idx="1">
                  <c:v>11.662000000000001</c:v>
                </c:pt>
                <c:pt idx="2">
                  <c:v>11.073</c:v>
                </c:pt>
                <c:pt idx="3">
                  <c:v>10.36</c:v>
                </c:pt>
                <c:pt idx="4">
                  <c:v>9.5259999999999998</c:v>
                </c:pt>
                <c:pt idx="5">
                  <c:v>8.391</c:v>
                </c:pt>
                <c:pt idx="6">
                  <c:v>8.0310000000000006</c:v>
                </c:pt>
                <c:pt idx="7">
                  <c:v>7.4610000000000003</c:v>
                </c:pt>
                <c:pt idx="8">
                  <c:v>7.1059999999999999</c:v>
                </c:pt>
                <c:pt idx="9">
                  <c:v>6.907</c:v>
                </c:pt>
                <c:pt idx="10">
                  <c:v>6.6319999999999997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9A5-4B6D-B2A7-50C34259C28C}"/>
            </c:ext>
          </c:extLst>
        </c:ser>
        <c:ser>
          <c:idx val="3"/>
          <c:order val="3"/>
          <c:tx>
            <c:strRef>
              <c:f>List1!$A$20</c:f>
              <c:strCache>
                <c:ptCount val="1"/>
                <c:pt idx="0">
                  <c:v>Obchod, administrativa a právo </c:v>
                </c:pt>
              </c:strCache>
            </c:strRef>
          </c:tx>
          <c:spPr>
            <a:ln w="28575" cap="rnd">
              <a:solidFill>
                <a:schemeClr val="bg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List1!$M$16:$W$16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List1!$M$20:$W$20</c:f>
              <c:numCache>
                <c:formatCode>0.0</c:formatCode>
                <c:ptCount val="11"/>
                <c:pt idx="0">
                  <c:v>23.626999999999999</c:v>
                </c:pt>
                <c:pt idx="1">
                  <c:v>21.922000000000001</c:v>
                </c:pt>
                <c:pt idx="2">
                  <c:v>21.233000000000001</c:v>
                </c:pt>
                <c:pt idx="3">
                  <c:v>18.788</c:v>
                </c:pt>
                <c:pt idx="4">
                  <c:v>17.224</c:v>
                </c:pt>
                <c:pt idx="5">
                  <c:v>15.275</c:v>
                </c:pt>
                <c:pt idx="6">
                  <c:v>14.298</c:v>
                </c:pt>
                <c:pt idx="7">
                  <c:v>13.006</c:v>
                </c:pt>
                <c:pt idx="8">
                  <c:v>12.75</c:v>
                </c:pt>
                <c:pt idx="9">
                  <c:v>12.1</c:v>
                </c:pt>
                <c:pt idx="10">
                  <c:v>11.976000000000001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9A5-4B6D-B2A7-50C34259C28C}"/>
            </c:ext>
          </c:extLst>
        </c:ser>
        <c:ser>
          <c:idx val="4"/>
          <c:order val="4"/>
          <c:tx>
            <c:strRef>
              <c:f>List1!$A$21</c:f>
              <c:strCache>
                <c:ptCount val="1"/>
                <c:pt idx="0">
                  <c:v>Přírodní vědy, matematika a statistika 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29100529100529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39A5-4B6D-B2A7-50C34259C28C}"/>
                </c:ext>
              </c:extLst>
            </c:dLbl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39A5-4B6D-B2A7-50C34259C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List1!$M$16:$W$16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List1!$M$21:$W$21</c:f>
              <c:numCache>
                <c:formatCode>0.0</c:formatCode>
                <c:ptCount val="11"/>
                <c:pt idx="0">
                  <c:v>4.3490000000000002</c:v>
                </c:pt>
                <c:pt idx="1">
                  <c:v>4.5039999999999996</c:v>
                </c:pt>
                <c:pt idx="2">
                  <c:v>4.2919999999999998</c:v>
                </c:pt>
                <c:pt idx="3">
                  <c:v>4.1020000000000003</c:v>
                </c:pt>
                <c:pt idx="4">
                  <c:v>4.149</c:v>
                </c:pt>
                <c:pt idx="5">
                  <c:v>3.9359999999999999</c:v>
                </c:pt>
                <c:pt idx="6">
                  <c:v>4.03</c:v>
                </c:pt>
                <c:pt idx="7">
                  <c:v>3.82</c:v>
                </c:pt>
                <c:pt idx="8">
                  <c:v>3.7389999999999999</c:v>
                </c:pt>
                <c:pt idx="9">
                  <c:v>3.7360000000000002</c:v>
                </c:pt>
                <c:pt idx="10">
                  <c:v>4.1630000000000003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39A5-4B6D-B2A7-50C34259C28C}"/>
            </c:ext>
          </c:extLst>
        </c:ser>
        <c:ser>
          <c:idx val="6"/>
          <c:order val="5"/>
          <c:tx>
            <c:strRef>
              <c:f>List1!$A$22</c:f>
              <c:strCache>
                <c:ptCount val="1"/>
                <c:pt idx="0">
                  <c:v>Informační a komunikační technologie </c:v>
                </c:pt>
              </c:strCache>
            </c:strRef>
          </c:tx>
          <c:spPr>
            <a:ln w="28575" cap="rnd">
              <a:solidFill>
                <a:srgbClr val="FEBB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6296296296296308E-2"/>
                  <c:y val="-2.4737167594311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39A5-4B6D-B2A7-50C34259C28C}"/>
                </c:ext>
              </c:extLst>
            </c:dLbl>
            <c:dLbl>
              <c:idx val="10"/>
              <c:layout>
                <c:manualLayout>
                  <c:x val="0"/>
                  <c:y val="7.42115027829304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39A5-4B6D-B2A7-50C34259C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8986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List1!$M$16:$W$16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List1!$M$22:$W$22</c:f>
              <c:numCache>
                <c:formatCode>0.0</c:formatCode>
                <c:ptCount val="11"/>
                <c:pt idx="0">
                  <c:v>4.8929999999999998</c:v>
                </c:pt>
                <c:pt idx="1">
                  <c:v>4.9340000000000002</c:v>
                </c:pt>
                <c:pt idx="2">
                  <c:v>4.7110000000000003</c:v>
                </c:pt>
                <c:pt idx="3">
                  <c:v>4.4790000000000001</c:v>
                </c:pt>
                <c:pt idx="4">
                  <c:v>4.3609999999999998</c:v>
                </c:pt>
                <c:pt idx="5">
                  <c:v>3.9159999999999999</c:v>
                </c:pt>
                <c:pt idx="6">
                  <c:v>3.802</c:v>
                </c:pt>
                <c:pt idx="7">
                  <c:v>3.6059999999999999</c:v>
                </c:pt>
                <c:pt idx="8">
                  <c:v>3.673</c:v>
                </c:pt>
                <c:pt idx="9">
                  <c:v>3.8010000000000002</c:v>
                </c:pt>
                <c:pt idx="10">
                  <c:v>3.5840000000000001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39A5-4B6D-B2A7-50C34259C28C}"/>
            </c:ext>
          </c:extLst>
        </c:ser>
        <c:ser>
          <c:idx val="7"/>
          <c:order val="6"/>
          <c:tx>
            <c:strRef>
              <c:f>List1!$A$23</c:f>
              <c:strCache>
                <c:ptCount val="1"/>
                <c:pt idx="0">
                  <c:v>Technika, výroba a stavebnictví </c:v>
                </c:pt>
              </c:strCache>
            </c:strRef>
          </c:tx>
          <c:spPr>
            <a:ln w="28575" cap="rnd">
              <a:solidFill>
                <a:srgbClr val="99663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4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List1!$M$16:$W$16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List1!$M$23:$W$23</c:f>
              <c:numCache>
                <c:formatCode>0.0</c:formatCode>
                <c:ptCount val="11"/>
                <c:pt idx="0">
                  <c:v>14.247999999999999</c:v>
                </c:pt>
                <c:pt idx="1">
                  <c:v>13.965999999999999</c:v>
                </c:pt>
                <c:pt idx="2">
                  <c:v>13.731</c:v>
                </c:pt>
                <c:pt idx="3">
                  <c:v>13.416</c:v>
                </c:pt>
                <c:pt idx="4">
                  <c:v>12.586</c:v>
                </c:pt>
                <c:pt idx="5">
                  <c:v>12.278</c:v>
                </c:pt>
                <c:pt idx="6">
                  <c:v>11.52</c:v>
                </c:pt>
                <c:pt idx="7">
                  <c:v>10.792999999999999</c:v>
                </c:pt>
                <c:pt idx="8">
                  <c:v>10.388</c:v>
                </c:pt>
                <c:pt idx="9">
                  <c:v>9.3550000000000004</c:v>
                </c:pt>
                <c:pt idx="10">
                  <c:v>8.484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39A5-4B6D-B2A7-50C34259C28C}"/>
            </c:ext>
          </c:extLst>
        </c:ser>
        <c:ser>
          <c:idx val="8"/>
          <c:order val="7"/>
          <c:tx>
            <c:strRef>
              <c:f>List1!$A$24</c:f>
              <c:strCache>
                <c:ptCount val="1"/>
                <c:pt idx="0">
                  <c:v>Zemědělství, lesnictví, rybářství a veterinářství</c:v>
                </c:pt>
              </c:strCache>
            </c:strRef>
          </c:tx>
          <c:spPr>
            <a:ln w="28575" cap="rnd">
              <a:solidFill>
                <a:srgbClr val="60951F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3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List1!$M$16:$W$16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List1!$M$24:$W$24</c:f>
              <c:numCache>
                <c:formatCode>0.0</c:formatCode>
                <c:ptCount val="11"/>
                <c:pt idx="0">
                  <c:v>3.1890000000000001</c:v>
                </c:pt>
                <c:pt idx="1">
                  <c:v>3.1019999999999999</c:v>
                </c:pt>
                <c:pt idx="2">
                  <c:v>2.8690000000000002</c:v>
                </c:pt>
                <c:pt idx="3">
                  <c:v>2.8290000000000002</c:v>
                </c:pt>
                <c:pt idx="4">
                  <c:v>2.7869999999999999</c:v>
                </c:pt>
                <c:pt idx="5">
                  <c:v>2.6579999999999999</c:v>
                </c:pt>
                <c:pt idx="6">
                  <c:v>2.609</c:v>
                </c:pt>
                <c:pt idx="7">
                  <c:v>2.5259999999999998</c:v>
                </c:pt>
                <c:pt idx="8">
                  <c:v>2.4359999999999999</c:v>
                </c:pt>
                <c:pt idx="9">
                  <c:v>2.2010000000000001</c:v>
                </c:pt>
                <c:pt idx="10">
                  <c:v>1.9990000000000001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C-39A5-4B6D-B2A7-50C34259C28C}"/>
            </c:ext>
          </c:extLst>
        </c:ser>
        <c:ser>
          <c:idx val="9"/>
          <c:order val="8"/>
          <c:tx>
            <c:strRef>
              <c:f>List1!$A$25</c:f>
              <c:strCache>
                <c:ptCount val="1"/>
                <c:pt idx="0">
                  <c:v>Zdravotní a sociální péče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2910052910052907E-2"/>
                  <c:y val="4.947433518862090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D-39A5-4B6D-B2A7-50C34259C28C}"/>
                </c:ext>
              </c:extLst>
            </c:dLbl>
            <c:dLbl>
              <c:idx val="2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34A-42ED-B36F-81B2BA53E900}"/>
                </c:ext>
              </c:extLst>
            </c:dLbl>
            <c:dLbl>
              <c:idx val="3"/>
              <c:layout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34A-42ED-B36F-81B2BA53E900}"/>
                </c:ext>
              </c:extLst>
            </c:dLbl>
            <c:dLbl>
              <c:idx val="7"/>
              <c:layout>
                <c:manualLayout>
                  <c:x val="-1.7636684303351132E-2"/>
                  <c:y val="1.0624169986719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E-39A5-4B6D-B2A7-50C34259C28C}"/>
                </c:ext>
              </c:extLst>
            </c:dLbl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39A5-4B6D-B2A7-50C34259C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List1!$M$16:$W$16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List1!$M$25:$W$25</c:f>
              <c:numCache>
                <c:formatCode>0.0</c:formatCode>
                <c:ptCount val="11"/>
                <c:pt idx="0">
                  <c:v>7.1079999999999997</c:v>
                </c:pt>
                <c:pt idx="1">
                  <c:v>7.0709999999999997</c:v>
                </c:pt>
                <c:pt idx="2">
                  <c:v>7.327</c:v>
                </c:pt>
                <c:pt idx="3">
                  <c:v>6.8650000000000002</c:v>
                </c:pt>
                <c:pt idx="4">
                  <c:v>6.9550000000000001</c:v>
                </c:pt>
                <c:pt idx="5">
                  <c:v>6.8170000000000002</c:v>
                </c:pt>
                <c:pt idx="6">
                  <c:v>6.7039999999999997</c:v>
                </c:pt>
                <c:pt idx="7">
                  <c:v>6.5250000000000004</c:v>
                </c:pt>
                <c:pt idx="8">
                  <c:v>6.7060000000000004</c:v>
                </c:pt>
                <c:pt idx="9">
                  <c:v>6.7009999999999996</c:v>
                </c:pt>
                <c:pt idx="10">
                  <c:v>6.774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0-39A5-4B6D-B2A7-50C34259C28C}"/>
            </c:ext>
          </c:extLst>
        </c:ser>
        <c:ser>
          <c:idx val="5"/>
          <c:order val="9"/>
          <c:tx>
            <c:strRef>
              <c:f>List1!$A$26</c:f>
              <c:strCache>
                <c:ptCount val="1"/>
                <c:pt idx="0">
                  <c:v>Služby </c:v>
                </c:pt>
              </c:strCache>
            </c:strRef>
          </c:tx>
          <c:spPr>
            <a:ln w="28575" cap="rnd">
              <a:solidFill>
                <a:srgbClr val="FF9999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4091710758377436E-2"/>
                  <c:y val="-1.73160173160173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FF717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1-39A5-4B6D-B2A7-50C34259C28C}"/>
                </c:ext>
              </c:extLst>
            </c:dLbl>
            <c:dLbl>
              <c:idx val="10"/>
              <c:layout>
                <c:manualLayout>
                  <c:x val="0"/>
                  <c:y val="1.48423005565861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FF717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2-39A5-4B6D-B2A7-50C34259C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List1!$M$16:$W$16</c:f>
              <c:numCache>
                <c:formatCode>0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List1!$M$26:$W$26</c:f>
              <c:numCache>
                <c:formatCode>0.0</c:formatCode>
                <c:ptCount val="11"/>
                <c:pt idx="0">
                  <c:v>5.149</c:v>
                </c:pt>
                <c:pt idx="1">
                  <c:v>5.2530000000000001</c:v>
                </c:pt>
                <c:pt idx="2">
                  <c:v>4.8600000000000003</c:v>
                </c:pt>
                <c:pt idx="3">
                  <c:v>4.6239999999999997</c:v>
                </c:pt>
                <c:pt idx="4">
                  <c:v>4.4429999999999996</c:v>
                </c:pt>
                <c:pt idx="5">
                  <c:v>4.3250000000000002</c:v>
                </c:pt>
                <c:pt idx="6">
                  <c:v>4.0209999999999999</c:v>
                </c:pt>
                <c:pt idx="7">
                  <c:v>3.6890000000000001</c:v>
                </c:pt>
                <c:pt idx="8">
                  <c:v>3.5</c:v>
                </c:pt>
                <c:pt idx="9">
                  <c:v>3.4430000000000001</c:v>
                </c:pt>
                <c:pt idx="10">
                  <c:v>3.03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3-39A5-4B6D-B2A7-50C34259C2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729824"/>
        <c:axId val="56726912"/>
      </c:lineChart>
      <c:catAx>
        <c:axId val="56729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6912"/>
        <c:crosses val="autoZero"/>
        <c:auto val="1"/>
        <c:lblAlgn val="ctr"/>
        <c:lblOffset val="100"/>
        <c:noMultiLvlLbl val="0"/>
      </c:catAx>
      <c:valAx>
        <c:axId val="56726912"/>
        <c:scaling>
          <c:orientation val="minMax"/>
          <c:max val="2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tis.</a:t>
                </a:r>
              </a:p>
            </c:rich>
          </c:tx>
          <c:layout>
            <c:manualLayout>
              <c:xMode val="edge"/>
              <c:yMode val="edge"/>
              <c:x val="4.4091710758377423E-3"/>
              <c:y val="0.8350608708158057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982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2.5995014512074882E-3"/>
          <c:y val="0.86493725955488443"/>
          <c:w val="0.98598265494590942"/>
          <c:h val="0.122201128968468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134313128891672E-2"/>
          <c:y val="1.3656973323485594E-2"/>
          <c:w val="0.96317087413253688"/>
          <c:h val="0.75832521729696345"/>
        </c:manualLayout>
      </c:layout>
      <c:lineChart>
        <c:grouping val="standard"/>
        <c:varyColors val="0"/>
        <c:ser>
          <c:idx val="0"/>
          <c:order val="0"/>
          <c:tx>
            <c:strRef>
              <c:f>List3!$A$39</c:f>
              <c:strCache>
                <c:ptCount val="1"/>
                <c:pt idx="0">
                  <c:v>Vzdělávání a výchova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3.7615784138093848E-2"/>
                  <c:y val="2.0785453766331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B55-46C1-9DF7-7EA0CC904D1C}"/>
                </c:ext>
              </c:extLst>
            </c:dLbl>
            <c:dLbl>
              <c:idx val="8"/>
              <c:layout>
                <c:manualLayout>
                  <c:x val="-3.9820369676012719E-2"/>
                  <c:y val="1.831173700690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B55-46C1-9DF7-7EA0CC904D1C}"/>
                </c:ext>
              </c:extLst>
            </c:dLbl>
            <c:dLbl>
              <c:idx val="9"/>
              <c:layout>
                <c:manualLayout>
                  <c:x val="-3.1002027524337235E-2"/>
                  <c:y val="2.3259170525762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B55-46C1-9DF7-7EA0CC904D1C}"/>
                </c:ext>
              </c:extLst>
            </c:dLbl>
            <c:dLbl>
              <c:idx val="10"/>
              <c:layout>
                <c:manualLayout>
                  <c:x val="-3.8073713008096213E-2"/>
                  <c:y val="2.0785453766331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B55-46C1-9DF7-7EA0CC904D1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70C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List3!$M$38:$W$38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List3!$M$39:$W$39</c:f>
              <c:numCache>
                <c:formatCode>General</c:formatCode>
                <c:ptCount val="11"/>
                <c:pt idx="0">
                  <c:v>6.3769999999999998</c:v>
                </c:pt>
                <c:pt idx="1">
                  <c:v>5.58</c:v>
                </c:pt>
                <c:pt idx="2">
                  <c:v>5.0469999999999997</c:v>
                </c:pt>
                <c:pt idx="3">
                  <c:v>4.758</c:v>
                </c:pt>
                <c:pt idx="4">
                  <c:v>4.133</c:v>
                </c:pt>
                <c:pt idx="5">
                  <c:v>4.024</c:v>
                </c:pt>
                <c:pt idx="6">
                  <c:v>3.677</c:v>
                </c:pt>
                <c:pt idx="7">
                  <c:v>3.605</c:v>
                </c:pt>
                <c:pt idx="8">
                  <c:v>3.5030000000000001</c:v>
                </c:pt>
                <c:pt idx="9">
                  <c:v>3.27</c:v>
                </c:pt>
                <c:pt idx="10">
                  <c:v>3.165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B55-46C1-9DF7-7EA0CC904D1C}"/>
            </c:ext>
          </c:extLst>
        </c:ser>
        <c:ser>
          <c:idx val="1"/>
          <c:order val="1"/>
          <c:tx>
            <c:strRef>
              <c:f>List3!$A$40</c:f>
              <c:strCache>
                <c:ptCount val="1"/>
                <c:pt idx="0">
                  <c:v>Umění a humanitní vědy </c:v>
                </c:pt>
              </c:strCache>
            </c:strRef>
          </c:tx>
          <c:spPr>
            <a:ln w="28575" cap="rnd">
              <a:solidFill>
                <a:srgbClr val="8F4AD4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1002027524337245E-2"/>
                  <c:y val="-1.38465808657034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B55-46C1-9DF7-7EA0CC904D1C}"/>
                </c:ext>
              </c:extLst>
            </c:dLbl>
            <c:dLbl>
              <c:idx val="1"/>
              <c:layout>
                <c:manualLayout>
                  <c:x val="-3.1002027524337235E-2"/>
                  <c:y val="-1.63202976251345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B55-46C1-9DF7-7EA0CC904D1C}"/>
                </c:ext>
              </c:extLst>
            </c:dLbl>
            <c:dLbl>
              <c:idx val="2"/>
              <c:layout>
                <c:manualLayout>
                  <c:x val="-3.1002027524337235E-2"/>
                  <c:y val="-2.12677311439966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B55-46C1-9DF7-7EA0CC904D1C}"/>
                </c:ext>
              </c:extLst>
            </c:dLbl>
            <c:dLbl>
              <c:idx val="3"/>
              <c:layout>
                <c:manualLayout>
                  <c:x val="-3.1002027524337276E-2"/>
                  <c:y val="-1.63202976251345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0B55-46C1-9DF7-7EA0CC904D1C}"/>
                </c:ext>
              </c:extLst>
            </c:dLbl>
            <c:dLbl>
              <c:idx val="4"/>
              <c:layout>
                <c:manualLayout>
                  <c:x val="-3.1002027524337318E-2"/>
                  <c:y val="-2.12677311439966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0B55-46C1-9DF7-7EA0CC904D1C}"/>
                </c:ext>
              </c:extLst>
            </c:dLbl>
            <c:dLbl>
              <c:idx val="5"/>
              <c:layout>
                <c:manualLayout>
                  <c:x val="-3.1002027524337235E-2"/>
                  <c:y val="-2.12677311439967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0B55-46C1-9DF7-7EA0CC904D1C}"/>
                </c:ext>
              </c:extLst>
            </c:dLbl>
            <c:dLbl>
              <c:idx val="6"/>
              <c:layout>
                <c:manualLayout>
                  <c:x val="-3.1002027524337318E-2"/>
                  <c:y val="-1.87940143845655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0B55-46C1-9DF7-7EA0CC904D1C}"/>
                </c:ext>
              </c:extLst>
            </c:dLbl>
            <c:dLbl>
              <c:idx val="7"/>
              <c:layout>
                <c:manualLayout>
                  <c:x val="-3.1002027524337235E-2"/>
                  <c:y val="-2.12677311439966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0B55-46C1-9DF7-7EA0CC904D1C}"/>
                </c:ext>
              </c:extLst>
            </c:dLbl>
            <c:dLbl>
              <c:idx val="8"/>
              <c:layout>
                <c:manualLayout>
                  <c:x val="-3.1002027524337398E-2"/>
                  <c:y val="-2.37414479034277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0B55-46C1-9DF7-7EA0CC904D1C}"/>
                </c:ext>
              </c:extLst>
            </c:dLbl>
            <c:dLbl>
              <c:idx val="9"/>
              <c:layout>
                <c:manualLayout>
                  <c:x val="-3.1002027524337235E-2"/>
                  <c:y val="-2.12677311439966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0B55-46C1-9DF7-7EA0CC904D1C}"/>
                </c:ext>
              </c:extLst>
            </c:dLbl>
            <c:dLbl>
              <c:idx val="10"/>
              <c:layout>
                <c:manualLayout>
                  <c:x val="-7.2095154772320123E-3"/>
                  <c:y val="8.416869969175930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0B55-46C1-9DF7-7EA0CC904D1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8F4AD4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List3!$M$38:$W$38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List3!$M$40:$W$40</c:f>
              <c:numCache>
                <c:formatCode>General</c:formatCode>
                <c:ptCount val="11"/>
                <c:pt idx="0">
                  <c:v>3.0289999999999999</c:v>
                </c:pt>
                <c:pt idx="1">
                  <c:v>3</c:v>
                </c:pt>
                <c:pt idx="2">
                  <c:v>2.899</c:v>
                </c:pt>
                <c:pt idx="3">
                  <c:v>2.7890000000000001</c:v>
                </c:pt>
                <c:pt idx="4">
                  <c:v>2.819</c:v>
                </c:pt>
                <c:pt idx="5">
                  <c:v>2.6459999999999999</c:v>
                </c:pt>
                <c:pt idx="6">
                  <c:v>2.6040000000000001</c:v>
                </c:pt>
                <c:pt idx="7">
                  <c:v>2.4980000000000002</c:v>
                </c:pt>
                <c:pt idx="8">
                  <c:v>2.2810000000000001</c:v>
                </c:pt>
                <c:pt idx="9">
                  <c:v>2.0870000000000002</c:v>
                </c:pt>
                <c:pt idx="10">
                  <c:v>1.931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0B55-46C1-9DF7-7EA0CC904D1C}"/>
            </c:ext>
          </c:extLst>
        </c:ser>
        <c:ser>
          <c:idx val="2"/>
          <c:order val="2"/>
          <c:tx>
            <c:strRef>
              <c:f>List3!$A$41</c:f>
              <c:strCache>
                <c:ptCount val="1"/>
                <c:pt idx="0">
                  <c:v>Společenské vědy, žurnalistika a informační vědy 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3.1002027524337235E-2"/>
                  <c:y val="-2.12677311439966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0B55-46C1-9DF7-7EA0CC904D1C}"/>
                </c:ext>
              </c:extLst>
            </c:dLbl>
            <c:dLbl>
              <c:idx val="10"/>
              <c:layout>
                <c:manualLayout>
                  <c:x val="-1.1618686553069755E-2"/>
                  <c:y val="1.58380202474690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0B55-46C1-9DF7-7EA0CC904D1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78B83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List3!$M$38:$W$38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List3!$M$41:$W$41</c:f>
              <c:numCache>
                <c:formatCode>General</c:formatCode>
                <c:ptCount val="11"/>
                <c:pt idx="0">
                  <c:v>5.3979999999999997</c:v>
                </c:pt>
                <c:pt idx="1">
                  <c:v>5.6749999999999998</c:v>
                </c:pt>
                <c:pt idx="2">
                  <c:v>5.7389999999999999</c:v>
                </c:pt>
                <c:pt idx="3">
                  <c:v>5.7270000000000003</c:v>
                </c:pt>
                <c:pt idx="4">
                  <c:v>5.3019999999999996</c:v>
                </c:pt>
                <c:pt idx="5">
                  <c:v>4.6840000000000002</c:v>
                </c:pt>
                <c:pt idx="6">
                  <c:v>4.5919999999999996</c:v>
                </c:pt>
                <c:pt idx="7">
                  <c:v>4.1150000000000002</c:v>
                </c:pt>
                <c:pt idx="8">
                  <c:v>3.8170000000000002</c:v>
                </c:pt>
                <c:pt idx="9">
                  <c:v>3.7440000000000002</c:v>
                </c:pt>
                <c:pt idx="10">
                  <c:v>3.5569999999999999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0B55-46C1-9DF7-7EA0CC904D1C}"/>
            </c:ext>
          </c:extLst>
        </c:ser>
        <c:ser>
          <c:idx val="3"/>
          <c:order val="3"/>
          <c:tx>
            <c:strRef>
              <c:f>List3!$A$42</c:f>
              <c:strCache>
                <c:ptCount val="1"/>
                <c:pt idx="0">
                  <c:v>Obchod, administrativa a právo </c:v>
                </c:pt>
              </c:strCache>
            </c:strRef>
          </c:tx>
          <c:spPr>
            <a:ln w="28575" cap="rnd">
              <a:solidFill>
                <a:schemeClr val="bg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List3!$M$38:$W$38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List3!$M$42:$W$42</c:f>
              <c:numCache>
                <c:formatCode>General</c:formatCode>
                <c:ptCount val="11"/>
                <c:pt idx="0">
                  <c:v>9.4809999999999999</c:v>
                </c:pt>
                <c:pt idx="1">
                  <c:v>9.2479999999999993</c:v>
                </c:pt>
                <c:pt idx="2">
                  <c:v>9.1129999999999995</c:v>
                </c:pt>
                <c:pt idx="3">
                  <c:v>8.2200000000000006</c:v>
                </c:pt>
                <c:pt idx="4">
                  <c:v>7.5110000000000001</c:v>
                </c:pt>
                <c:pt idx="5">
                  <c:v>6.8620000000000001</c:v>
                </c:pt>
                <c:pt idx="6">
                  <c:v>6.5910000000000002</c:v>
                </c:pt>
                <c:pt idx="7">
                  <c:v>6.1420000000000003</c:v>
                </c:pt>
                <c:pt idx="8">
                  <c:v>5.8490000000000002</c:v>
                </c:pt>
                <c:pt idx="9">
                  <c:v>5.3220000000000001</c:v>
                </c:pt>
                <c:pt idx="10">
                  <c:v>5.1550000000000002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0B55-46C1-9DF7-7EA0CC904D1C}"/>
            </c:ext>
          </c:extLst>
        </c:ser>
        <c:ser>
          <c:idx val="4"/>
          <c:order val="4"/>
          <c:tx>
            <c:strRef>
              <c:f>List3!$A$43</c:f>
              <c:strCache>
                <c:ptCount val="1"/>
                <c:pt idx="0">
                  <c:v>Přírodní vědy, matematika a statistika 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8500881834215179E-2"/>
                  <c:y val="-1.7316017316017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0B55-46C1-9DF7-7EA0CC904D1C}"/>
                </c:ext>
              </c:extLst>
            </c:dLbl>
            <c:dLbl>
              <c:idx val="8"/>
              <c:layout>
                <c:manualLayout>
                  <c:x val="-2.8659611992945325E-2"/>
                  <c:y val="-1.2368583797155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0B55-46C1-9DF7-7EA0CC904D1C}"/>
                </c:ext>
              </c:extLst>
            </c:dLbl>
            <c:dLbl>
              <c:idx val="10"/>
              <c:layout>
                <c:manualLayout>
                  <c:x val="0"/>
                  <c:y val="-1.731601731601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0B55-46C1-9DF7-7EA0CC904D1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List3!$M$38:$W$38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List3!$M$43:$W$43</c:f>
              <c:numCache>
                <c:formatCode>General</c:formatCode>
                <c:ptCount val="11"/>
                <c:pt idx="0">
                  <c:v>1.9870000000000001</c:v>
                </c:pt>
                <c:pt idx="1">
                  <c:v>1.9630000000000001</c:v>
                </c:pt>
                <c:pt idx="2">
                  <c:v>1.883</c:v>
                </c:pt>
                <c:pt idx="3">
                  <c:v>1.9059999999999999</c:v>
                </c:pt>
                <c:pt idx="4">
                  <c:v>1.9379999999999999</c:v>
                </c:pt>
                <c:pt idx="5">
                  <c:v>1.96</c:v>
                </c:pt>
                <c:pt idx="6">
                  <c:v>1.9710000000000001</c:v>
                </c:pt>
                <c:pt idx="7">
                  <c:v>1.8360000000000001</c:v>
                </c:pt>
                <c:pt idx="8">
                  <c:v>1.782</c:v>
                </c:pt>
                <c:pt idx="9">
                  <c:v>1.804</c:v>
                </c:pt>
                <c:pt idx="10">
                  <c:v>2.0259999999999998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8-0B55-46C1-9DF7-7EA0CC904D1C}"/>
            </c:ext>
          </c:extLst>
        </c:ser>
        <c:ser>
          <c:idx val="6"/>
          <c:order val="5"/>
          <c:tx>
            <c:strRef>
              <c:f>List3!$A$44</c:f>
              <c:strCache>
                <c:ptCount val="1"/>
                <c:pt idx="0">
                  <c:v>Informační a komunikační technologie </c:v>
                </c:pt>
              </c:strCache>
            </c:strRef>
          </c:tx>
          <c:spPr>
            <a:ln w="28575" cap="rnd">
              <a:solidFill>
                <a:srgbClr val="FAB9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6434126289769333E-2"/>
                  <c:y val="8.416869969175930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0B55-46C1-9DF7-7EA0CC904D1C}"/>
                </c:ext>
              </c:extLst>
            </c:dLbl>
            <c:dLbl>
              <c:idx val="4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A-0B55-46C1-9DF7-7EA0CC904D1C}"/>
                </c:ext>
              </c:extLst>
            </c:dLbl>
            <c:dLbl>
              <c:idx val="10"/>
              <c:layout>
                <c:manualLayout>
                  <c:x val="-1.1618686553069755E-2"/>
                  <c:y val="-8.899147346841385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0B55-46C1-9DF7-7EA0CC904D1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C99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List3!$M$38:$W$38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List3!$M$44:$W$44</c:f>
              <c:numCache>
                <c:formatCode>General</c:formatCode>
                <c:ptCount val="11"/>
                <c:pt idx="0">
                  <c:v>1.9550000000000001</c:v>
                </c:pt>
                <c:pt idx="1">
                  <c:v>2.0379999999999998</c:v>
                </c:pt>
                <c:pt idx="2">
                  <c:v>1.972</c:v>
                </c:pt>
                <c:pt idx="3">
                  <c:v>1.9</c:v>
                </c:pt>
                <c:pt idx="4">
                  <c:v>2.0699999999999998</c:v>
                </c:pt>
                <c:pt idx="5">
                  <c:v>1.8360000000000001</c:v>
                </c:pt>
                <c:pt idx="6">
                  <c:v>1.7470000000000001</c:v>
                </c:pt>
                <c:pt idx="7">
                  <c:v>1.649</c:v>
                </c:pt>
                <c:pt idx="8">
                  <c:v>1.5920000000000001</c:v>
                </c:pt>
                <c:pt idx="9">
                  <c:v>1.56</c:v>
                </c:pt>
                <c:pt idx="10">
                  <c:v>1.387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C-0B55-46C1-9DF7-7EA0CC904D1C}"/>
            </c:ext>
          </c:extLst>
        </c:ser>
        <c:ser>
          <c:idx val="7"/>
          <c:order val="6"/>
          <c:tx>
            <c:strRef>
              <c:f>List3!$A$45</c:f>
              <c:strCache>
                <c:ptCount val="1"/>
                <c:pt idx="0">
                  <c:v>Technika, výroba a stavebnictví </c:v>
                </c:pt>
              </c:strCache>
            </c:strRef>
          </c:tx>
          <c:spPr>
            <a:ln w="28575" cap="rnd">
              <a:solidFill>
                <a:srgbClr val="996633"/>
              </a:solidFill>
              <a:round/>
            </a:ln>
            <a:effectLst/>
          </c:spPr>
          <c:marker>
            <c:symbol val="none"/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4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List3!$M$38:$W$38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List3!$M$45:$W$45</c:f>
              <c:numCache>
                <c:formatCode>General</c:formatCode>
                <c:ptCount val="11"/>
                <c:pt idx="0">
                  <c:v>7.1870000000000003</c:v>
                </c:pt>
                <c:pt idx="1">
                  <c:v>7.0069999999999997</c:v>
                </c:pt>
                <c:pt idx="2">
                  <c:v>6.9480000000000004</c:v>
                </c:pt>
                <c:pt idx="3">
                  <c:v>6.9160000000000004</c:v>
                </c:pt>
                <c:pt idx="4">
                  <c:v>6.3079999999999998</c:v>
                </c:pt>
                <c:pt idx="5">
                  <c:v>6.4340000000000002</c:v>
                </c:pt>
                <c:pt idx="6">
                  <c:v>6.1349999999999998</c:v>
                </c:pt>
                <c:pt idx="7">
                  <c:v>5.8</c:v>
                </c:pt>
                <c:pt idx="8">
                  <c:v>5.5069999999999997</c:v>
                </c:pt>
                <c:pt idx="9">
                  <c:v>4.8369999999999997</c:v>
                </c:pt>
                <c:pt idx="10">
                  <c:v>4.4189999999999996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0B55-46C1-9DF7-7EA0CC904D1C}"/>
            </c:ext>
          </c:extLst>
        </c:ser>
        <c:ser>
          <c:idx val="8"/>
          <c:order val="7"/>
          <c:tx>
            <c:strRef>
              <c:f>List3!$A$46</c:f>
              <c:strCache>
                <c:ptCount val="1"/>
                <c:pt idx="0">
                  <c:v>Zemědělství, lesnictví, rybářství a veterinářství</c:v>
                </c:pt>
              </c:strCache>
            </c:strRef>
          </c:tx>
          <c:spPr>
            <a:ln w="28575" cap="rnd">
              <a:solidFill>
                <a:srgbClr val="5A8B25"/>
              </a:solidFill>
              <a:round/>
            </a:ln>
            <a:effectLst/>
          </c:spPr>
          <c:marker>
            <c:symbol val="none"/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5A8B25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List3!$M$38:$W$38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List3!$M$46:$W$46</c:f>
              <c:numCache>
                <c:formatCode>General</c:formatCode>
                <c:ptCount val="11"/>
                <c:pt idx="0">
                  <c:v>1.415</c:v>
                </c:pt>
                <c:pt idx="1">
                  <c:v>1.399</c:v>
                </c:pt>
                <c:pt idx="2">
                  <c:v>1.355</c:v>
                </c:pt>
                <c:pt idx="3">
                  <c:v>1.3280000000000001</c:v>
                </c:pt>
                <c:pt idx="4">
                  <c:v>1.302</c:v>
                </c:pt>
                <c:pt idx="5">
                  <c:v>1.331</c:v>
                </c:pt>
                <c:pt idx="6">
                  <c:v>1.3879999999999999</c:v>
                </c:pt>
                <c:pt idx="7">
                  <c:v>1.2869999999999999</c:v>
                </c:pt>
                <c:pt idx="8">
                  <c:v>1.2090000000000001</c:v>
                </c:pt>
                <c:pt idx="9">
                  <c:v>1.097</c:v>
                </c:pt>
                <c:pt idx="10">
                  <c:v>1.0169999999999999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E-0B55-46C1-9DF7-7EA0CC904D1C}"/>
            </c:ext>
          </c:extLst>
        </c:ser>
        <c:ser>
          <c:idx val="9"/>
          <c:order val="8"/>
          <c:tx>
            <c:strRef>
              <c:f>List3!$A$47</c:f>
              <c:strCache>
                <c:ptCount val="1"/>
                <c:pt idx="0">
                  <c:v>Zdravotní a sociální péče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5"/>
              <c:layout>
                <c:manualLayout>
                  <c:x val="-3.1002027524337235E-2"/>
                  <c:y val="2.0785453766331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0B55-46C1-9DF7-7EA0CC904D1C}"/>
                </c:ext>
              </c:extLst>
            </c:dLbl>
            <c:dLbl>
              <c:idx val="6"/>
              <c:layout>
                <c:manualLayout>
                  <c:x val="-3.1002027524337318E-2"/>
                  <c:y val="1.58380202474690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0-0B55-46C1-9DF7-7EA0CC904D1C}"/>
                </c:ext>
              </c:extLst>
            </c:dLbl>
            <c:dLbl>
              <c:idx val="7"/>
              <c:layout>
                <c:manualLayout>
                  <c:x val="-3.1002027524337235E-2"/>
                  <c:y val="1.58380202474690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1-0B55-46C1-9DF7-7EA0CC904D1C}"/>
                </c:ext>
              </c:extLst>
            </c:dLbl>
            <c:dLbl>
              <c:idx val="8"/>
              <c:layout>
                <c:manualLayout>
                  <c:x val="-1.1160757683067556E-2"/>
                  <c:y val="1.08905867286069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2-0B55-46C1-9DF7-7EA0CC904D1C}"/>
                </c:ext>
              </c:extLst>
            </c:dLbl>
            <c:dLbl>
              <c:idx val="9"/>
              <c:layout>
                <c:manualLayout>
                  <c:x val="-1.9979099834743042E-2"/>
                  <c:y val="1.33643034880379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3-0B55-46C1-9DF7-7EA0CC904D1C}"/>
                </c:ext>
              </c:extLst>
            </c:dLbl>
            <c:dLbl>
              <c:idx val="10"/>
              <c:layout>
                <c:manualLayout>
                  <c:x val="-1.823244316682637E-2"/>
                  <c:y val="-1.87940143845655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4-0B55-46C1-9DF7-7EA0CC904D1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FF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List3!$M$38:$W$38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List3!$M$47:$W$47</c:f>
              <c:numCache>
                <c:formatCode>General</c:formatCode>
                <c:ptCount val="11"/>
                <c:pt idx="0">
                  <c:v>3.4550000000000001</c:v>
                </c:pt>
                <c:pt idx="1">
                  <c:v>3.3690000000000002</c:v>
                </c:pt>
                <c:pt idx="2">
                  <c:v>3.5630000000000002</c:v>
                </c:pt>
                <c:pt idx="3">
                  <c:v>3.423</c:v>
                </c:pt>
                <c:pt idx="4">
                  <c:v>3.53</c:v>
                </c:pt>
                <c:pt idx="5">
                  <c:v>3.6720000000000002</c:v>
                </c:pt>
                <c:pt idx="6">
                  <c:v>3.5680000000000001</c:v>
                </c:pt>
                <c:pt idx="7">
                  <c:v>3.395</c:v>
                </c:pt>
                <c:pt idx="8">
                  <c:v>3.6240000000000001</c:v>
                </c:pt>
                <c:pt idx="9">
                  <c:v>3.7189999999999999</c:v>
                </c:pt>
                <c:pt idx="10">
                  <c:v>3.73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5-0B55-46C1-9DF7-7EA0CC904D1C}"/>
            </c:ext>
          </c:extLst>
        </c:ser>
        <c:ser>
          <c:idx val="5"/>
          <c:order val="9"/>
          <c:tx>
            <c:strRef>
              <c:f>List3!$A$48</c:f>
              <c:strCache>
                <c:ptCount val="1"/>
                <c:pt idx="0">
                  <c:v>Služby </c:v>
                </c:pt>
              </c:strCache>
            </c:strRef>
          </c:tx>
          <c:spPr>
            <a:ln w="28575" cap="rnd">
              <a:solidFill>
                <a:srgbClr val="FF9999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29100529100529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6-0B55-46C1-9DF7-7EA0CC904D1C}"/>
                </c:ext>
              </c:extLst>
            </c:dLbl>
            <c:dLbl>
              <c:idx val="10"/>
              <c:layout>
                <c:manualLayout>
                  <c:x val="-1.616677385145396E-16"/>
                  <c:y val="7.42115027829304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7-0B55-46C1-9DF7-7EA0CC904D1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FF57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List3!$M$38:$W$38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List3!$M$48:$W$48</c:f>
              <c:numCache>
                <c:formatCode>General</c:formatCode>
                <c:ptCount val="11"/>
                <c:pt idx="0">
                  <c:v>1.5289999999999999</c:v>
                </c:pt>
                <c:pt idx="1">
                  <c:v>1.706</c:v>
                </c:pt>
                <c:pt idx="2">
                  <c:v>1.5940000000000001</c:v>
                </c:pt>
                <c:pt idx="3">
                  <c:v>1.6870000000000001</c:v>
                </c:pt>
                <c:pt idx="4">
                  <c:v>1.5720000000000001</c:v>
                </c:pt>
                <c:pt idx="5">
                  <c:v>1.6379999999999999</c:v>
                </c:pt>
                <c:pt idx="6">
                  <c:v>1.6120000000000001</c:v>
                </c:pt>
                <c:pt idx="7">
                  <c:v>1.4790000000000001</c:v>
                </c:pt>
                <c:pt idx="8">
                  <c:v>1.333</c:v>
                </c:pt>
                <c:pt idx="9">
                  <c:v>1.3260000000000001</c:v>
                </c:pt>
                <c:pt idx="10">
                  <c:v>1.3480000000000001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8-0B55-46C1-9DF7-7EA0CC904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729824"/>
        <c:axId val="56726912"/>
      </c:lineChart>
      <c:catAx>
        <c:axId val="56729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6912"/>
        <c:crosses val="autoZero"/>
        <c:auto val="1"/>
        <c:lblAlgn val="ctr"/>
        <c:lblOffset val="100"/>
        <c:noMultiLvlLbl val="0"/>
      </c:catAx>
      <c:valAx>
        <c:axId val="56726912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tis.</a:t>
                </a:r>
              </a:p>
            </c:rich>
          </c:tx>
          <c:layout>
            <c:manualLayout>
              <c:xMode val="edge"/>
              <c:yMode val="edge"/>
              <c:x val="0"/>
              <c:y val="0.793051777618706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672982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2.5995014512074882E-3"/>
          <c:y val="0.8304204831538915"/>
          <c:w val="0.98598265494590942"/>
          <c:h val="0.156717942724691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List1!$C$26</c:f>
              <c:strCache>
                <c:ptCount val="1"/>
                <c:pt idx="0">
                  <c:v>bakalářský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DD9-442D-90BE-9332AD69AD59}"/>
                </c:ext>
              </c:extLst>
            </c:dLbl>
            <c:dLbl>
              <c:idx val="9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DD9-442D-90BE-9332AD69AD59}"/>
                </c:ext>
              </c:extLst>
            </c:dLbl>
            <c:dLbl>
              <c:idx val="21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DD9-442D-90BE-9332AD69AD59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4D86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List1!$B$27:$B$48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List1!$C$27:$C$48</c:f>
              <c:numCache>
                <c:formatCode>0.0%</c:formatCode>
                <c:ptCount val="22"/>
                <c:pt idx="0">
                  <c:v>0.21125299830915026</c:v>
                </c:pt>
                <c:pt idx="1">
                  <c:v>0.27600975578738923</c:v>
                </c:pt>
                <c:pt idx="2">
                  <c:v>0.36962132309194679</c:v>
                </c:pt>
                <c:pt idx="3">
                  <c:v>0.46509598933409879</c:v>
                </c:pt>
                <c:pt idx="4">
                  <c:v>0.53184690271295465</c:v>
                </c:pt>
                <c:pt idx="5">
                  <c:v>0.57508610683256534</c:v>
                </c:pt>
                <c:pt idx="6">
                  <c:v>0.60417859936094065</c:v>
                </c:pt>
                <c:pt idx="7">
                  <c:v>0.62192636869990492</c:v>
                </c:pt>
                <c:pt idx="8">
                  <c:v>0.62563754524514648</c:v>
                </c:pt>
                <c:pt idx="9">
                  <c:v>0.62636621681684113</c:v>
                </c:pt>
                <c:pt idx="10">
                  <c:v>0.62210137256752518</c:v>
                </c:pt>
                <c:pt idx="11">
                  <c:v>0.61763601660317524</c:v>
                </c:pt>
                <c:pt idx="12">
                  <c:v>0.61033042570316065</c:v>
                </c:pt>
                <c:pt idx="13">
                  <c:v>0.59732871202050752</c:v>
                </c:pt>
                <c:pt idx="14">
                  <c:v>0.58902405774102928</c:v>
                </c:pt>
                <c:pt idx="15">
                  <c:v>0.57787779903229441</c:v>
                </c:pt>
                <c:pt idx="16">
                  <c:v>0.57626153892514309</c:v>
                </c:pt>
                <c:pt idx="17">
                  <c:v>0.57968092415302663</c:v>
                </c:pt>
                <c:pt idx="18">
                  <c:v>0.58921535673321157</c:v>
                </c:pt>
                <c:pt idx="19">
                  <c:v>0.59718180784384556</c:v>
                </c:pt>
                <c:pt idx="20">
                  <c:v>0.59984916000566468</c:v>
                </c:pt>
                <c:pt idx="21">
                  <c:v>0.60408908504587577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DD9-442D-90BE-9332AD69AD59}"/>
            </c:ext>
          </c:extLst>
        </c:ser>
        <c:ser>
          <c:idx val="1"/>
          <c:order val="1"/>
          <c:tx>
            <c:strRef>
              <c:f>List1!$D$26</c:f>
              <c:strCache>
                <c:ptCount val="1"/>
                <c:pt idx="0">
                  <c:v>magisterský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DD9-442D-90BE-9332AD69AD59}"/>
                </c:ext>
              </c:extLst>
            </c:dLbl>
            <c:dLbl>
              <c:idx val="9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DD9-442D-90BE-9332AD69AD59}"/>
                </c:ext>
              </c:extLst>
            </c:dLbl>
            <c:dLbl>
              <c:idx val="21"/>
              <c:layout>
                <c:manualLayout>
                  <c:x val="-2.2045855379188711E-3"/>
                  <c:y val="-2.7844742936544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DD9-442D-90BE-9332AD69AD59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List1!$B$27:$B$48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List1!$D$27:$D$48</c:f>
              <c:numCache>
                <c:formatCode>0.0%</c:formatCode>
                <c:ptCount val="22"/>
                <c:pt idx="0">
                  <c:v>0.66392886634422554</c:v>
                </c:pt>
                <c:pt idx="1">
                  <c:v>0.60112999995458205</c:v>
                </c:pt>
                <c:pt idx="2">
                  <c:v>0.50830266251430967</c:v>
                </c:pt>
                <c:pt idx="3">
                  <c:v>0.40521360129018125</c:v>
                </c:pt>
                <c:pt idx="4">
                  <c:v>0.32281500571748373</c:v>
                </c:pt>
                <c:pt idx="5">
                  <c:v>0.2513307419578274</c:v>
                </c:pt>
                <c:pt idx="6">
                  <c:v>0.18951396016200359</c:v>
                </c:pt>
                <c:pt idx="7">
                  <c:v>0.14497758456731422</c:v>
                </c:pt>
                <c:pt idx="8">
                  <c:v>0.11844459526159921</c:v>
                </c:pt>
                <c:pt idx="9">
                  <c:v>0.10287789405632551</c:v>
                </c:pt>
                <c:pt idx="10">
                  <c:v>9.5612936468055479E-2</c:v>
                </c:pt>
                <c:pt idx="11">
                  <c:v>9.0563967119202088E-2</c:v>
                </c:pt>
                <c:pt idx="12">
                  <c:v>9.0241674098888433E-2</c:v>
                </c:pt>
                <c:pt idx="13">
                  <c:v>9.3901654849062419E-2</c:v>
                </c:pt>
                <c:pt idx="14">
                  <c:v>9.7324637050698021E-2</c:v>
                </c:pt>
                <c:pt idx="15">
                  <c:v>0.10033917921844106</c:v>
                </c:pt>
                <c:pt idx="16">
                  <c:v>0.10314300733602756</c:v>
                </c:pt>
                <c:pt idx="17">
                  <c:v>0.10608011765965013</c:v>
                </c:pt>
                <c:pt idx="18">
                  <c:v>0.10693506412499956</c:v>
                </c:pt>
                <c:pt idx="19">
                  <c:v>0.10638959683731011</c:v>
                </c:pt>
                <c:pt idx="20">
                  <c:v>0.10706346148145952</c:v>
                </c:pt>
                <c:pt idx="21">
                  <c:v>0.10914297348596799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DD9-442D-90BE-9332AD69AD59}"/>
            </c:ext>
          </c:extLst>
        </c:ser>
        <c:ser>
          <c:idx val="2"/>
          <c:order val="2"/>
          <c:tx>
            <c:strRef>
              <c:f>List1!$E$26</c:f>
              <c:strCache>
                <c:ptCount val="1"/>
                <c:pt idx="0">
                  <c:v>navazující magisterský</c:v>
                </c:pt>
              </c:strCache>
            </c:strRef>
          </c:tx>
          <c:spPr>
            <a:ln w="28575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1049382716049382E-2"/>
                  <c:y val="2.58126910606762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DD9-442D-90BE-9332AD69AD59}"/>
                </c:ext>
              </c:extLst>
            </c:dLbl>
            <c:dLbl>
              <c:idx val="9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1DD9-442D-90BE-9332AD69AD59}"/>
                </c:ext>
              </c:extLst>
            </c:dLbl>
            <c:dLbl>
              <c:idx val="21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1DD9-442D-90BE-9332AD69AD59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l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List1!$B$27:$B$48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List1!$E$27:$E$48</c:f>
              <c:numCache>
                <c:formatCode>0.0%</c:formatCode>
                <c:ptCount val="22"/>
                <c:pt idx="0">
                  <c:v>5.9145334434351778E-2</c:v>
                </c:pt>
                <c:pt idx="1">
                  <c:v>5.8348510516538964E-2</c:v>
                </c:pt>
                <c:pt idx="2">
                  <c:v>5.826840146563432E-2</c:v>
                </c:pt>
                <c:pt idx="3">
                  <c:v>6.4966064758336509E-2</c:v>
                </c:pt>
                <c:pt idx="4">
                  <c:v>8.2901787102323959E-2</c:v>
                </c:pt>
                <c:pt idx="5">
                  <c:v>0.11365785620079892</c:v>
                </c:pt>
                <c:pt idx="6">
                  <c:v>0.1496207220382447</c:v>
                </c:pt>
                <c:pt idx="7">
                  <c:v>0.1800081510664312</c:v>
                </c:pt>
                <c:pt idx="8">
                  <c:v>0.20372398404080289</c:v>
                </c:pt>
                <c:pt idx="9">
                  <c:v>0.21769061376217222</c:v>
                </c:pt>
                <c:pt idx="10">
                  <c:v>0.22864817020755587</c:v>
                </c:pt>
                <c:pt idx="11">
                  <c:v>0.23707832424499398</c:v>
                </c:pt>
                <c:pt idx="12">
                  <c:v>0.24181821148115115</c:v>
                </c:pt>
                <c:pt idx="13">
                  <c:v>0.24825042748104811</c:v>
                </c:pt>
                <c:pt idx="14">
                  <c:v>0.24921344390560715</c:v>
                </c:pt>
                <c:pt idx="15">
                  <c:v>0.25580543008246392</c:v>
                </c:pt>
                <c:pt idx="16">
                  <c:v>0.25421963885717347</c:v>
                </c:pt>
                <c:pt idx="17">
                  <c:v>0.24785516262787027</c:v>
                </c:pt>
                <c:pt idx="18">
                  <c:v>0.23879588463391052</c:v>
                </c:pt>
                <c:pt idx="19">
                  <c:v>0.2321780952954319</c:v>
                </c:pt>
                <c:pt idx="20">
                  <c:v>0.23042620532023858</c:v>
                </c:pt>
                <c:pt idx="21">
                  <c:v>0.22694224971922841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1DD9-442D-90BE-9332AD69AD59}"/>
            </c:ext>
          </c:extLst>
        </c:ser>
        <c:ser>
          <c:idx val="3"/>
          <c:order val="3"/>
          <c:tx>
            <c:strRef>
              <c:f>List1!$F$26</c:f>
              <c:strCache>
                <c:ptCount val="1"/>
                <c:pt idx="0">
                  <c:v>doktorský</c:v>
                </c:pt>
              </c:strCache>
            </c:strRef>
          </c:tx>
          <c:spPr>
            <a:ln w="28575" cap="rnd">
              <a:solidFill>
                <a:srgbClr val="FAB9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1DD9-442D-90BE-9332AD69AD59}"/>
                </c:ext>
              </c:extLst>
            </c:dLbl>
            <c:dLbl>
              <c:idx val="21"/>
              <c:layout>
                <c:manualLayout>
                  <c:x val="-1.4198572400672137E-2"/>
                  <c:y val="1.9036505787095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1DD9-442D-90BE-9332AD69AD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C66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List1!$B$27:$B$48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List1!$F$27:$F$48</c:f>
              <c:numCache>
                <c:formatCode>0.0%</c:formatCode>
                <c:ptCount val="22"/>
                <c:pt idx="0">
                  <c:v>8.1057567535684799E-2</c:v>
                </c:pt>
                <c:pt idx="1">
                  <c:v>8.2070334321931906E-2</c:v>
                </c:pt>
                <c:pt idx="2">
                  <c:v>8.2230619940340643E-2</c:v>
                </c:pt>
                <c:pt idx="3">
                  <c:v>8.0908263429631117E-2</c:v>
                </c:pt>
                <c:pt idx="4">
                  <c:v>7.707375381309528E-2</c:v>
                </c:pt>
                <c:pt idx="5">
                  <c:v>7.3696062648453242E-2</c:v>
                </c:pt>
                <c:pt idx="6">
                  <c:v>6.9674335573045532E-2</c:v>
                </c:pt>
                <c:pt idx="7">
                  <c:v>6.6567042521396544E-2</c:v>
                </c:pt>
                <c:pt idx="8">
                  <c:v>6.5518056926620605E-2</c:v>
                </c:pt>
                <c:pt idx="9">
                  <c:v>6.544456341670371E-2</c:v>
                </c:pt>
                <c:pt idx="10">
                  <c:v>6.5427164134180524E-2</c:v>
                </c:pt>
                <c:pt idx="11">
                  <c:v>6.5102614658786903E-2</c:v>
                </c:pt>
                <c:pt idx="12">
                  <c:v>6.7213569424202216E-2</c:v>
                </c:pt>
                <c:pt idx="13">
                  <c:v>6.9804122849258507E-2</c:v>
                </c:pt>
                <c:pt idx="14">
                  <c:v>7.3101466502054083E-2</c:v>
                </c:pt>
                <c:pt idx="15">
                  <c:v>7.4529408927968624E-2</c:v>
                </c:pt>
                <c:pt idx="16">
                  <c:v>7.4113633091477685E-2</c:v>
                </c:pt>
                <c:pt idx="17">
                  <c:v>7.3682284420108476E-2</c:v>
                </c:pt>
                <c:pt idx="18">
                  <c:v>7.2334247012062633E-2</c:v>
                </c:pt>
                <c:pt idx="19">
                  <c:v>7.2247529984681563E-2</c:v>
                </c:pt>
                <c:pt idx="20">
                  <c:v>7.0278922251533926E-2</c:v>
                </c:pt>
                <c:pt idx="21">
                  <c:v>6.7326069394912619E-2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1DD9-442D-90BE-9332AD69AD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8581440"/>
        <c:axId val="78584768"/>
      </c:lineChart>
      <c:catAx>
        <c:axId val="78581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8584768"/>
        <c:crosses val="autoZero"/>
        <c:auto val="1"/>
        <c:lblAlgn val="ctr"/>
        <c:lblOffset val="100"/>
        <c:noMultiLvlLbl val="0"/>
      </c:catAx>
      <c:valAx>
        <c:axId val="78584768"/>
        <c:scaling>
          <c:orientation val="minMax"/>
          <c:max val="0.70000000000000007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8581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670784207529613E-2"/>
          <c:y val="0.91447962850797493"/>
          <c:w val="0.92263831604382784"/>
          <c:h val="7.49588010663019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947825966198671E-2"/>
          <c:y val="1.5938862905294733E-2"/>
          <c:w val="0.88062915746642778"/>
          <c:h val="0.884869457107335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věk!$B$34</c:f>
              <c:strCache>
                <c:ptCount val="1"/>
                <c:pt idx="0">
                  <c:v>méně než 20 let</c:v>
                </c:pt>
              </c:strCache>
            </c:strRef>
          </c:tx>
          <c:spPr>
            <a:solidFill>
              <a:srgbClr val="B0DD7F"/>
            </a:solidFill>
            <a:ln>
              <a:solidFill>
                <a:srgbClr val="92D05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věk!$C$33:$X$33</c:f>
              <c:numCache>
                <c:formatCode>General</c:formatCode>
                <c:ptCount val="22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  <c:pt idx="5">
                  <c:v>2017</c:v>
                </c:pt>
                <c:pt idx="6">
                  <c:v>2016</c:v>
                </c:pt>
                <c:pt idx="7">
                  <c:v>2015</c:v>
                </c:pt>
                <c:pt idx="8">
                  <c:v>2014</c:v>
                </c:pt>
                <c:pt idx="9">
                  <c:v>2013</c:v>
                </c:pt>
                <c:pt idx="10">
                  <c:v>2012</c:v>
                </c:pt>
                <c:pt idx="11">
                  <c:v>2011</c:v>
                </c:pt>
                <c:pt idx="12">
                  <c:v>2010</c:v>
                </c:pt>
                <c:pt idx="13">
                  <c:v>2009</c:v>
                </c:pt>
                <c:pt idx="14">
                  <c:v>2008</c:v>
                </c:pt>
                <c:pt idx="15">
                  <c:v>2007</c:v>
                </c:pt>
                <c:pt idx="16">
                  <c:v>2006</c:v>
                </c:pt>
                <c:pt idx="17">
                  <c:v>2005</c:v>
                </c:pt>
                <c:pt idx="18">
                  <c:v>2004</c:v>
                </c:pt>
                <c:pt idx="19">
                  <c:v>2003</c:v>
                </c:pt>
                <c:pt idx="20">
                  <c:v>2002</c:v>
                </c:pt>
                <c:pt idx="21">
                  <c:v>2001</c:v>
                </c:pt>
              </c:numCache>
            </c:numRef>
          </c:cat>
          <c:val>
            <c:numRef>
              <c:f>věk!$C$34:$X$34</c:f>
              <c:numCache>
                <c:formatCode>0.0</c:formatCode>
                <c:ptCount val="22"/>
                <c:pt idx="0">
                  <c:v>9.3153770877255209</c:v>
                </c:pt>
                <c:pt idx="1">
                  <c:v>8.9637819341112461</c:v>
                </c:pt>
                <c:pt idx="2">
                  <c:v>8.8091081187747911</c:v>
                </c:pt>
                <c:pt idx="3">
                  <c:v>8.3811253149072868</c:v>
                </c:pt>
                <c:pt idx="4">
                  <c:v>7.5715780133886188</c:v>
                </c:pt>
                <c:pt idx="5">
                  <c:v>7.2041063004121701</c:v>
                </c:pt>
                <c:pt idx="6">
                  <c:v>7.0954363516532979</c:v>
                </c:pt>
                <c:pt idx="7">
                  <c:v>6.7660673420684203</c:v>
                </c:pt>
                <c:pt idx="8">
                  <c:v>6.5343325672796064</c:v>
                </c:pt>
                <c:pt idx="9">
                  <c:v>6.8124469774423009</c:v>
                </c:pt>
                <c:pt idx="10">
                  <c:v>7.1243479105570886</c:v>
                </c:pt>
                <c:pt idx="11">
                  <c:v>6.9819584276054165</c:v>
                </c:pt>
                <c:pt idx="12">
                  <c:v>7.5578811265101615</c:v>
                </c:pt>
                <c:pt idx="13">
                  <c:v>7.6214935011516953</c:v>
                </c:pt>
                <c:pt idx="14">
                  <c:v>7.6821084091835345</c:v>
                </c:pt>
                <c:pt idx="15">
                  <c:v>8.082153147469203</c:v>
                </c:pt>
                <c:pt idx="16">
                  <c:v>8.1511305376418903</c:v>
                </c:pt>
                <c:pt idx="17">
                  <c:v>8.3274891782369416</c:v>
                </c:pt>
                <c:pt idx="18">
                  <c:v>8.6634009268456662</c:v>
                </c:pt>
                <c:pt idx="19">
                  <c:v>8.7933956186888889</c:v>
                </c:pt>
                <c:pt idx="20">
                  <c:v>9.9719770911584771</c:v>
                </c:pt>
                <c:pt idx="21">
                  <c:v>12.441999921355826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03-4866-99B8-42A1863FB47A}"/>
            </c:ext>
          </c:extLst>
        </c:ser>
        <c:ser>
          <c:idx val="1"/>
          <c:order val="1"/>
          <c:tx>
            <c:strRef>
              <c:f>věk!$B$35</c:f>
              <c:strCache>
                <c:ptCount val="1"/>
                <c:pt idx="0">
                  <c:v>20-24 let</c:v>
                </c:pt>
              </c:strCache>
            </c:strRef>
          </c:tx>
          <c:spPr>
            <a:solidFill>
              <a:srgbClr val="6BA42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věk!$C$33:$X$33</c:f>
              <c:numCache>
                <c:formatCode>General</c:formatCode>
                <c:ptCount val="22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  <c:pt idx="5">
                  <c:v>2017</c:v>
                </c:pt>
                <c:pt idx="6">
                  <c:v>2016</c:v>
                </c:pt>
                <c:pt idx="7">
                  <c:v>2015</c:v>
                </c:pt>
                <c:pt idx="8">
                  <c:v>2014</c:v>
                </c:pt>
                <c:pt idx="9">
                  <c:v>2013</c:v>
                </c:pt>
                <c:pt idx="10">
                  <c:v>2012</c:v>
                </c:pt>
                <c:pt idx="11">
                  <c:v>2011</c:v>
                </c:pt>
                <c:pt idx="12">
                  <c:v>2010</c:v>
                </c:pt>
                <c:pt idx="13">
                  <c:v>2009</c:v>
                </c:pt>
                <c:pt idx="14">
                  <c:v>2008</c:v>
                </c:pt>
                <c:pt idx="15">
                  <c:v>2007</c:v>
                </c:pt>
                <c:pt idx="16">
                  <c:v>2006</c:v>
                </c:pt>
                <c:pt idx="17">
                  <c:v>2005</c:v>
                </c:pt>
                <c:pt idx="18">
                  <c:v>2004</c:v>
                </c:pt>
                <c:pt idx="19">
                  <c:v>2003</c:v>
                </c:pt>
                <c:pt idx="20">
                  <c:v>2002</c:v>
                </c:pt>
                <c:pt idx="21">
                  <c:v>2001</c:v>
                </c:pt>
              </c:numCache>
            </c:numRef>
          </c:cat>
          <c:val>
            <c:numRef>
              <c:f>věk!$C$35:$X$35</c:f>
              <c:numCache>
                <c:formatCode>0.0</c:formatCode>
                <c:ptCount val="22"/>
                <c:pt idx="0">
                  <c:v>60.334364471065747</c:v>
                </c:pt>
                <c:pt idx="1">
                  <c:v>59.598923700651774</c:v>
                </c:pt>
                <c:pt idx="2">
                  <c:v>58.860281083395208</c:v>
                </c:pt>
                <c:pt idx="3">
                  <c:v>58.54624588931204</c:v>
                </c:pt>
                <c:pt idx="4">
                  <c:v>58.166263304896617</c:v>
                </c:pt>
                <c:pt idx="5">
                  <c:v>58.433083441872611</c:v>
                </c:pt>
                <c:pt idx="6">
                  <c:v>58.804031570994553</c:v>
                </c:pt>
                <c:pt idx="7">
                  <c:v>59.87507007778251</c:v>
                </c:pt>
                <c:pt idx="8">
                  <c:v>60.515745431791899</c:v>
                </c:pt>
                <c:pt idx="9">
                  <c:v>60.176796241108519</c:v>
                </c:pt>
                <c:pt idx="10">
                  <c:v>59.323533504335892</c:v>
                </c:pt>
                <c:pt idx="11">
                  <c:v>58.150082007147255</c:v>
                </c:pt>
                <c:pt idx="12">
                  <c:v>56.967200694977571</c:v>
                </c:pt>
                <c:pt idx="13">
                  <c:v>56.628671026653507</c:v>
                </c:pt>
                <c:pt idx="14">
                  <c:v>57.140877598152429</c:v>
                </c:pt>
                <c:pt idx="15">
                  <c:v>57.699386235509955</c:v>
                </c:pt>
                <c:pt idx="16">
                  <c:v>59.25320311091572</c:v>
                </c:pt>
                <c:pt idx="17">
                  <c:v>60.114764235843609</c:v>
                </c:pt>
                <c:pt idx="18">
                  <c:v>60.307664416906817</c:v>
                </c:pt>
                <c:pt idx="19">
                  <c:v>62.119179211954844</c:v>
                </c:pt>
                <c:pt idx="20">
                  <c:v>63.384913047230185</c:v>
                </c:pt>
                <c:pt idx="21">
                  <c:v>62.995458298926508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03-4866-99B8-42A1863FB47A}"/>
            </c:ext>
          </c:extLst>
        </c:ser>
        <c:ser>
          <c:idx val="2"/>
          <c:order val="2"/>
          <c:tx>
            <c:strRef>
              <c:f>věk!$B$36</c:f>
              <c:strCache>
                <c:ptCount val="1"/>
                <c:pt idx="0">
                  <c:v>25-29 let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věk!$C$33:$X$33</c:f>
              <c:numCache>
                <c:formatCode>General</c:formatCode>
                <c:ptCount val="22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  <c:pt idx="5">
                  <c:v>2017</c:v>
                </c:pt>
                <c:pt idx="6">
                  <c:v>2016</c:v>
                </c:pt>
                <c:pt idx="7">
                  <c:v>2015</c:v>
                </c:pt>
                <c:pt idx="8">
                  <c:v>2014</c:v>
                </c:pt>
                <c:pt idx="9">
                  <c:v>2013</c:v>
                </c:pt>
                <c:pt idx="10">
                  <c:v>2012</c:v>
                </c:pt>
                <c:pt idx="11">
                  <c:v>2011</c:v>
                </c:pt>
                <c:pt idx="12">
                  <c:v>2010</c:v>
                </c:pt>
                <c:pt idx="13">
                  <c:v>2009</c:v>
                </c:pt>
                <c:pt idx="14">
                  <c:v>2008</c:v>
                </c:pt>
                <c:pt idx="15">
                  <c:v>2007</c:v>
                </c:pt>
                <c:pt idx="16">
                  <c:v>2006</c:v>
                </c:pt>
                <c:pt idx="17">
                  <c:v>2005</c:v>
                </c:pt>
                <c:pt idx="18">
                  <c:v>2004</c:v>
                </c:pt>
                <c:pt idx="19">
                  <c:v>2003</c:v>
                </c:pt>
                <c:pt idx="20">
                  <c:v>2002</c:v>
                </c:pt>
                <c:pt idx="21">
                  <c:v>2001</c:v>
                </c:pt>
              </c:numCache>
            </c:numRef>
          </c:cat>
          <c:val>
            <c:numRef>
              <c:f>věk!$C$36:$X$36</c:f>
              <c:numCache>
                <c:formatCode>0.0</c:formatCode>
                <c:ptCount val="22"/>
                <c:pt idx="0">
                  <c:v>16.68538477200034</c:v>
                </c:pt>
                <c:pt idx="1">
                  <c:v>17.196747389117782</c:v>
                </c:pt>
                <c:pt idx="2">
                  <c:v>17.95301452241911</c:v>
                </c:pt>
                <c:pt idx="3">
                  <c:v>18.790478797686578</c:v>
                </c:pt>
                <c:pt idx="4">
                  <c:v>19.844708595576023</c:v>
                </c:pt>
                <c:pt idx="5">
                  <c:v>19.801582385498037</c:v>
                </c:pt>
                <c:pt idx="6">
                  <c:v>19.493963895899309</c:v>
                </c:pt>
                <c:pt idx="7">
                  <c:v>18.875814510619655</c:v>
                </c:pt>
                <c:pt idx="8">
                  <c:v>18.236500105248286</c:v>
                </c:pt>
                <c:pt idx="9">
                  <c:v>17.938754867198885</c:v>
                </c:pt>
                <c:pt idx="10">
                  <c:v>17.649931345187994</c:v>
                </c:pt>
                <c:pt idx="11">
                  <c:v>17.929338662735084</c:v>
                </c:pt>
                <c:pt idx="12">
                  <c:v>17.911834821608956</c:v>
                </c:pt>
                <c:pt idx="13">
                  <c:v>17.966436327739387</c:v>
                </c:pt>
                <c:pt idx="14">
                  <c:v>18.134764298329031</c:v>
                </c:pt>
                <c:pt idx="15">
                  <c:v>18.48271370546864</c:v>
                </c:pt>
                <c:pt idx="16">
                  <c:v>18.290704257425432</c:v>
                </c:pt>
                <c:pt idx="17">
                  <c:v>18.527411102627969</c:v>
                </c:pt>
                <c:pt idx="18">
                  <c:v>19.104955640577259</c:v>
                </c:pt>
                <c:pt idx="19">
                  <c:v>18.739767845492928</c:v>
                </c:pt>
                <c:pt idx="20">
                  <c:v>17.368299141145531</c:v>
                </c:pt>
                <c:pt idx="21">
                  <c:v>16.153513428492786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03-4866-99B8-42A1863FB47A}"/>
            </c:ext>
          </c:extLst>
        </c:ser>
        <c:ser>
          <c:idx val="3"/>
          <c:order val="3"/>
          <c:tx>
            <c:strRef>
              <c:f>věk!$B$37</c:f>
              <c:strCache>
                <c:ptCount val="1"/>
                <c:pt idx="0">
                  <c:v>30 a více let</c:v>
                </c:pt>
              </c:strCache>
            </c:strRef>
          </c:tx>
          <c:spPr>
            <a:solidFill>
              <a:srgbClr val="9672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věk!$C$33:$X$33</c:f>
              <c:numCache>
                <c:formatCode>General</c:formatCode>
                <c:ptCount val="22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  <c:pt idx="5">
                  <c:v>2017</c:v>
                </c:pt>
                <c:pt idx="6">
                  <c:v>2016</c:v>
                </c:pt>
                <c:pt idx="7">
                  <c:v>2015</c:v>
                </c:pt>
                <c:pt idx="8">
                  <c:v>2014</c:v>
                </c:pt>
                <c:pt idx="9">
                  <c:v>2013</c:v>
                </c:pt>
                <c:pt idx="10">
                  <c:v>2012</c:v>
                </c:pt>
                <c:pt idx="11">
                  <c:v>2011</c:v>
                </c:pt>
                <c:pt idx="12">
                  <c:v>2010</c:v>
                </c:pt>
                <c:pt idx="13">
                  <c:v>2009</c:v>
                </c:pt>
                <c:pt idx="14">
                  <c:v>2008</c:v>
                </c:pt>
                <c:pt idx="15">
                  <c:v>2007</c:v>
                </c:pt>
                <c:pt idx="16">
                  <c:v>2006</c:v>
                </c:pt>
                <c:pt idx="17">
                  <c:v>2005</c:v>
                </c:pt>
                <c:pt idx="18">
                  <c:v>2004</c:v>
                </c:pt>
                <c:pt idx="19">
                  <c:v>2003</c:v>
                </c:pt>
                <c:pt idx="20">
                  <c:v>2002</c:v>
                </c:pt>
                <c:pt idx="21">
                  <c:v>2001</c:v>
                </c:pt>
              </c:numCache>
            </c:numRef>
          </c:cat>
          <c:val>
            <c:numRef>
              <c:f>věk!$C$37:$X$37</c:f>
              <c:numCache>
                <c:formatCode>0.0</c:formatCode>
                <c:ptCount val="22"/>
                <c:pt idx="0">
                  <c:v>13.664873669208388</c:v>
                </c:pt>
                <c:pt idx="1">
                  <c:v>14.240546976119198</c:v>
                </c:pt>
                <c:pt idx="2">
                  <c:v>14.377596275410889</c:v>
                </c:pt>
                <c:pt idx="3">
                  <c:v>14.282149998094095</c:v>
                </c:pt>
                <c:pt idx="4">
                  <c:v>14.417450086138741</c:v>
                </c:pt>
                <c:pt idx="5">
                  <c:v>14.561227872217181</c:v>
                </c:pt>
                <c:pt idx="6">
                  <c:v>14.606568181452845</c:v>
                </c:pt>
                <c:pt idx="7">
                  <c:v>14.483048069529413</c:v>
                </c:pt>
                <c:pt idx="8">
                  <c:v>14.713421895680206</c:v>
                </c:pt>
                <c:pt idx="9">
                  <c:v>15.072001914250288</c:v>
                </c:pt>
                <c:pt idx="10">
                  <c:v>15.902187239919034</c:v>
                </c:pt>
                <c:pt idx="11">
                  <c:v>16.938620902512248</c:v>
                </c:pt>
                <c:pt idx="12">
                  <c:v>17.563083356903309</c:v>
                </c:pt>
                <c:pt idx="13">
                  <c:v>17.783399144455416</c:v>
                </c:pt>
                <c:pt idx="14">
                  <c:v>17.042249694335009</c:v>
                </c:pt>
                <c:pt idx="15">
                  <c:v>15.735746911552203</c:v>
                </c:pt>
                <c:pt idx="16">
                  <c:v>14.304962094016959</c:v>
                </c:pt>
                <c:pt idx="17">
                  <c:v>13.030335483291475</c:v>
                </c:pt>
                <c:pt idx="18">
                  <c:v>11.923979015670264</c:v>
                </c:pt>
                <c:pt idx="19">
                  <c:v>10.347657323863334</c:v>
                </c:pt>
                <c:pt idx="20">
                  <c:v>9.2748107204658066</c:v>
                </c:pt>
                <c:pt idx="21">
                  <c:v>8.4090283512248831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203-4866-99B8-42A1863FB4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507539440"/>
        <c:axId val="588633488"/>
      </c:barChart>
      <c:catAx>
        <c:axId val="507539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88633488"/>
        <c:crosses val="autoZero"/>
        <c:auto val="1"/>
        <c:lblAlgn val="ctr"/>
        <c:lblOffset val="100"/>
        <c:tickLblSkip val="1"/>
        <c:noMultiLvlLbl val="0"/>
      </c:catAx>
      <c:valAx>
        <c:axId val="588633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0753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413225263644654"/>
          <c:y val="0.94611489353304523"/>
          <c:w val="0.81783663665206607"/>
          <c:h val="4.13537781461527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474630868912182E-2"/>
          <c:y val="1.4847809948032665E-2"/>
          <c:w val="0.94552984108507787"/>
          <c:h val="0.763650417484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List12!$A$15</c:f>
              <c:strCache>
                <c:ptCount val="1"/>
                <c:pt idx="0">
                  <c:v>prezenční (tis.)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List12!$B$14:$W$14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List12!$B$15:$W$15</c:f>
              <c:numCache>
                <c:formatCode>#,##0</c:formatCode>
                <c:ptCount val="22"/>
                <c:pt idx="0">
                  <c:v>168.125</c:v>
                </c:pt>
                <c:pt idx="1">
                  <c:v>179.38</c:v>
                </c:pt>
                <c:pt idx="2">
                  <c:v>195.59100000000001</c:v>
                </c:pt>
                <c:pt idx="3">
                  <c:v>207.988</c:v>
                </c:pt>
                <c:pt idx="4">
                  <c:v>223.15199999999999</c:v>
                </c:pt>
                <c:pt idx="5">
                  <c:v>238.18</c:v>
                </c:pt>
                <c:pt idx="6">
                  <c:v>251.91499999999999</c:v>
                </c:pt>
                <c:pt idx="7">
                  <c:v>263.90300000000002</c:v>
                </c:pt>
                <c:pt idx="8">
                  <c:v>277.04300000000001</c:v>
                </c:pt>
                <c:pt idx="9">
                  <c:v>283.517</c:v>
                </c:pt>
                <c:pt idx="10">
                  <c:v>284.15499999999997</c:v>
                </c:pt>
                <c:pt idx="11">
                  <c:v>281.66000000000003</c:v>
                </c:pt>
                <c:pt idx="12">
                  <c:v>277.07400000000001</c:v>
                </c:pt>
                <c:pt idx="13">
                  <c:v>263.52999999999997</c:v>
                </c:pt>
                <c:pt idx="14">
                  <c:v>249.26400000000001</c:v>
                </c:pt>
                <c:pt idx="15">
                  <c:v>236.68299999999999</c:v>
                </c:pt>
                <c:pt idx="16">
                  <c:v>227.38900000000001</c:v>
                </c:pt>
                <c:pt idx="17">
                  <c:v>222.27699999999999</c:v>
                </c:pt>
                <c:pt idx="18">
                  <c:v>224.667</c:v>
                </c:pt>
                <c:pt idx="19">
                  <c:v>235.512</c:v>
                </c:pt>
                <c:pt idx="20">
                  <c:v>241.55</c:v>
                </c:pt>
                <c:pt idx="21">
                  <c:v>246.33199999999999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95-49A5-A9C0-2DE6D16AA8BA}"/>
            </c:ext>
          </c:extLst>
        </c:ser>
        <c:ser>
          <c:idx val="1"/>
          <c:order val="1"/>
          <c:tx>
            <c:strRef>
              <c:f>List12!$A$16</c:f>
              <c:strCache>
                <c:ptCount val="1"/>
                <c:pt idx="0">
                  <c:v>distanční a kombinované (tis.)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List12!$B$14:$W$14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List12!$B$16:$W$16</c:f>
              <c:numCache>
                <c:formatCode>#,##0</c:formatCode>
                <c:ptCount val="22"/>
                <c:pt idx="0">
                  <c:v>36.639000000000003</c:v>
                </c:pt>
                <c:pt idx="1">
                  <c:v>42.335999999999999</c:v>
                </c:pt>
                <c:pt idx="2">
                  <c:v>49.92</c:v>
                </c:pt>
                <c:pt idx="3">
                  <c:v>58.841999999999999</c:v>
                </c:pt>
                <c:pt idx="4">
                  <c:v>68.680999999999997</c:v>
                </c:pt>
                <c:pt idx="5">
                  <c:v>80.772000000000006</c:v>
                </c:pt>
                <c:pt idx="6">
                  <c:v>95.34</c:v>
                </c:pt>
                <c:pt idx="7">
                  <c:v>107.98</c:v>
                </c:pt>
                <c:pt idx="8">
                  <c:v>116.289</c:v>
                </c:pt>
                <c:pt idx="9">
                  <c:v>116.74</c:v>
                </c:pt>
                <c:pt idx="10">
                  <c:v>111.97799999999999</c:v>
                </c:pt>
                <c:pt idx="11">
                  <c:v>102.75700000000001</c:v>
                </c:pt>
                <c:pt idx="12">
                  <c:v>93.953000000000003</c:v>
                </c:pt>
                <c:pt idx="13">
                  <c:v>86.141999999999996</c:v>
                </c:pt>
                <c:pt idx="14">
                  <c:v>79.805999999999997</c:v>
                </c:pt>
                <c:pt idx="15">
                  <c:v>76.837999999999994</c:v>
                </c:pt>
                <c:pt idx="16">
                  <c:v>73.491</c:v>
                </c:pt>
                <c:pt idx="17">
                  <c:v>69.313000000000002</c:v>
                </c:pt>
                <c:pt idx="18">
                  <c:v>65.903999999999996</c:v>
                </c:pt>
                <c:pt idx="19">
                  <c:v>65.700999999999993</c:v>
                </c:pt>
                <c:pt idx="20">
                  <c:v>64.287000000000006</c:v>
                </c:pt>
                <c:pt idx="21">
                  <c:v>60.276000000000003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95-49A5-A9C0-2DE6D16AA8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"/>
        <c:overlap val="29"/>
        <c:axId val="83818960"/>
        <c:axId val="83812720"/>
      </c:barChart>
      <c:lineChart>
        <c:grouping val="standard"/>
        <c:varyColors val="0"/>
        <c:ser>
          <c:idx val="2"/>
          <c:order val="2"/>
          <c:tx>
            <c:strRef>
              <c:f>List12!$A$17</c:f>
              <c:strCache>
                <c:ptCount val="1"/>
                <c:pt idx="0">
                  <c:v>prezenční (%)</c:v>
                </c:pt>
              </c:strCache>
            </c:strRef>
          </c:tx>
          <c:spPr>
            <a:ln w="25400" cap="rnd">
              <a:solidFill>
                <a:srgbClr val="3078BA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595-49A5-A9C0-2DE6D16AA8B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595-49A5-A9C0-2DE6D16AA8BA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595-49A5-A9C0-2DE6D16AA8BA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595-49A5-A9C0-2DE6D16AA8BA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595-49A5-A9C0-2DE6D16AA8BA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595-49A5-A9C0-2DE6D16AA8BA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595-49A5-A9C0-2DE6D16AA8BA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595-49A5-A9C0-2DE6D16AA8BA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595-49A5-A9C0-2DE6D16AA8BA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595-49A5-A9C0-2DE6D16AA8BA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595-49A5-A9C0-2DE6D16AA8BA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595-49A5-A9C0-2DE6D16AA8BA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595-49A5-A9C0-2DE6D16AA8BA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595-49A5-A9C0-2DE6D16AA8BA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595-49A5-A9C0-2DE6D16AA8BA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595-49A5-A9C0-2DE6D16AA8BA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3078BA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List12!$B$14:$W$14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List12!$B$17:$W$17</c:f>
              <c:numCache>
                <c:formatCode>0.0%</c:formatCode>
                <c:ptCount val="22"/>
                <c:pt idx="0">
                  <c:v>0.82637823915693442</c:v>
                </c:pt>
                <c:pt idx="1">
                  <c:v>0.8147081666114081</c:v>
                </c:pt>
                <c:pt idx="2">
                  <c:v>0.8025332660421719</c:v>
                </c:pt>
                <c:pt idx="3">
                  <c:v>0.78554513557100714</c:v>
                </c:pt>
                <c:pt idx="4">
                  <c:v>0.77091718112504881</c:v>
                </c:pt>
                <c:pt idx="5">
                  <c:v>0.753312227012085</c:v>
                </c:pt>
                <c:pt idx="6">
                  <c:v>0.73243240885844452</c:v>
                </c:pt>
                <c:pt idx="7">
                  <c:v>0.71703029479690261</c:v>
                </c:pt>
                <c:pt idx="8">
                  <c:v>0.71220744899638044</c:v>
                </c:pt>
                <c:pt idx="9">
                  <c:v>0.71598094872520102</c:v>
                </c:pt>
                <c:pt idx="10">
                  <c:v>0.72481309257497339</c:v>
                </c:pt>
                <c:pt idx="11">
                  <c:v>0.73947664817493719</c:v>
                </c:pt>
                <c:pt idx="12">
                  <c:v>0.75339344369276284</c:v>
                </c:pt>
                <c:pt idx="13">
                  <c:v>0.75989261791412321</c:v>
                </c:pt>
                <c:pt idx="14">
                  <c:v>0.76362266139334545</c:v>
                </c:pt>
                <c:pt idx="15">
                  <c:v>0.76092848301692684</c:v>
                </c:pt>
                <c:pt idx="16">
                  <c:v>0.76135644522421597</c:v>
                </c:pt>
                <c:pt idx="17">
                  <c:v>0.76740123390724635</c:v>
                </c:pt>
                <c:pt idx="18">
                  <c:v>0.77853397879941921</c:v>
                </c:pt>
                <c:pt idx="19">
                  <c:v>0.7877024342276896</c:v>
                </c:pt>
                <c:pt idx="20">
                  <c:v>0.79553276488392233</c:v>
                </c:pt>
                <c:pt idx="21">
                  <c:v>0.80892426720259558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2595-49A5-A9C0-2DE6D16AA8BA}"/>
            </c:ext>
          </c:extLst>
        </c:ser>
        <c:ser>
          <c:idx val="3"/>
          <c:order val="3"/>
          <c:tx>
            <c:strRef>
              <c:f>List12!$A$18</c:f>
              <c:strCache>
                <c:ptCount val="1"/>
                <c:pt idx="0">
                  <c:v>distanční a kombinované (%)</c:v>
                </c:pt>
              </c:strCache>
            </c:strRef>
          </c:tx>
          <c:spPr>
            <a:ln w="25400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numFmt formatCode="0.0\ %" sourceLinked="0"/>
              <c:spPr>
                <a:solidFill>
                  <a:schemeClr val="accent4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2595-49A5-A9C0-2DE6D16AA8B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595-49A5-A9C0-2DE6D16AA8B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2595-49A5-A9C0-2DE6D16AA8BA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2595-49A5-A9C0-2DE6D16AA8BA}"/>
                </c:ext>
              </c:extLst>
            </c:dLbl>
            <c:dLbl>
              <c:idx val="4"/>
              <c:layout>
                <c:manualLayout>
                  <c:x val="-2.6539671507962232E-2"/>
                  <c:y val="-4.0378560697730152E-2"/>
                </c:manualLayout>
              </c:layout>
              <c:numFmt formatCode="0.0\ %" sourceLinked="0"/>
              <c:spPr>
                <a:solidFill>
                  <a:schemeClr val="accent4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2595-49A5-A9C0-2DE6D16AA8BA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2595-49A5-A9C0-2DE6D16AA8BA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2595-49A5-A9C0-2DE6D16AA8BA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2595-49A5-A9C0-2DE6D16AA8BA}"/>
                </c:ext>
              </c:extLst>
            </c:dLbl>
            <c:dLbl>
              <c:idx val="8"/>
              <c:numFmt formatCode="0.0\ %" sourceLinked="0"/>
              <c:spPr>
                <a:solidFill>
                  <a:schemeClr val="accent4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2595-49A5-A9C0-2DE6D16AA8BA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2595-49A5-A9C0-2DE6D16AA8BA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2595-49A5-A9C0-2DE6D16AA8BA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2595-49A5-A9C0-2DE6D16AA8BA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2595-49A5-A9C0-2DE6D16AA8BA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2595-49A5-A9C0-2DE6D16AA8BA}"/>
                </c:ext>
              </c:extLst>
            </c:dLbl>
            <c:dLbl>
              <c:idx val="14"/>
              <c:numFmt formatCode="0.0\ %" sourceLinked="0"/>
              <c:spPr>
                <a:solidFill>
                  <a:schemeClr val="accent4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1-2595-49A5-A9C0-2DE6D16AA8BA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2595-49A5-A9C0-2DE6D16AA8BA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2595-49A5-A9C0-2DE6D16AA8BA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2595-49A5-A9C0-2DE6D16AA8BA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2595-49A5-A9C0-2DE6D16AA8BA}"/>
                </c:ext>
              </c:extLst>
            </c:dLbl>
            <c:dLbl>
              <c:idx val="19"/>
              <c:numFmt formatCode="0.0\ %" sourceLinked="0"/>
              <c:spPr>
                <a:solidFill>
                  <a:schemeClr val="accent4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6-2595-49A5-A9C0-2DE6D16AA8BA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2595-49A5-A9C0-2DE6D16AA8BA}"/>
                </c:ext>
              </c:extLst>
            </c:dLbl>
            <c:dLbl>
              <c:idx val="21"/>
              <c:numFmt formatCode="0.0\ %" sourceLinked="0"/>
              <c:spPr>
                <a:solidFill>
                  <a:schemeClr val="accent4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8-2595-49A5-A9C0-2DE6D16AA8BA}"/>
                </c:ext>
              </c:extLst>
            </c:dLbl>
            <c:numFmt formatCode="0.0\ %" sourceLinked="0"/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List12!$B$14:$W$14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List12!$B$18:$W$18</c:f>
              <c:numCache>
                <c:formatCode>0.0%</c:formatCode>
                <c:ptCount val="22"/>
                <c:pt idx="0">
                  <c:v>0.18009024419016162</c:v>
                </c:pt>
                <c:pt idx="1">
                  <c:v>0.19228166429736077</c:v>
                </c:pt>
                <c:pt idx="2">
                  <c:v>0.20482773052351702</c:v>
                </c:pt>
                <c:pt idx="3">
                  <c:v>0.22223900834312174</c:v>
                </c:pt>
                <c:pt idx="4">
                  <c:v>0.23727039379817111</c:v>
                </c:pt>
                <c:pt idx="5">
                  <c:v>0.25546450247804237</c:v>
                </c:pt>
                <c:pt idx="6">
                  <c:v>0.27719709370448009</c:v>
                </c:pt>
                <c:pt idx="7">
                  <c:v>0.29338405108001631</c:v>
                </c:pt>
                <c:pt idx="8">
                  <c:v>0.29894959279368211</c:v>
                </c:pt>
                <c:pt idx="9">
                  <c:v>0.29480989130873975</c:v>
                </c:pt>
                <c:pt idx="10">
                  <c:v>0.28562974602016639</c:v>
                </c:pt>
                <c:pt idx="11">
                  <c:v>0.26978059339811128</c:v>
                </c:pt>
                <c:pt idx="12">
                  <c:v>0.25546812120684781</c:v>
                </c:pt>
                <c:pt idx="13">
                  <c:v>0.2483917196993071</c:v>
                </c:pt>
                <c:pt idx="14">
                  <c:v>0.24448644856520527</c:v>
                </c:pt>
                <c:pt idx="15">
                  <c:v>0.24703177996752881</c:v>
                </c:pt>
                <c:pt idx="16">
                  <c:v>0.24606663697880218</c:v>
                </c:pt>
                <c:pt idx="17">
                  <c:v>0.23929998032100921</c:v>
                </c:pt>
                <c:pt idx="18">
                  <c:v>0.22837578878427595</c:v>
                </c:pt>
                <c:pt idx="19">
                  <c:v>0.21974607506706001</c:v>
                </c:pt>
                <c:pt idx="20">
                  <c:v>0.2117259981622551</c:v>
                </c:pt>
                <c:pt idx="21">
                  <c:v>0.19793903808641855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9-2595-49A5-A9C0-2DE6D16AA8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14384"/>
        <c:axId val="83813136"/>
      </c:lineChart>
      <c:catAx>
        <c:axId val="8381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3812720"/>
        <c:crosses val="autoZero"/>
        <c:auto val="1"/>
        <c:lblAlgn val="ctr"/>
        <c:lblOffset val="100"/>
        <c:noMultiLvlLbl val="0"/>
      </c:catAx>
      <c:valAx>
        <c:axId val="83812720"/>
        <c:scaling>
          <c:orientation val="minMax"/>
          <c:max val="3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3818960"/>
        <c:crosses val="autoZero"/>
        <c:crossBetween val="between"/>
      </c:valAx>
      <c:valAx>
        <c:axId val="83813136"/>
        <c:scaling>
          <c:orientation val="minMax"/>
          <c:max val="0.9"/>
        </c:scaling>
        <c:delete val="0"/>
        <c:axPos val="r"/>
        <c:numFmt formatCode="0\ %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3814384"/>
        <c:crosses val="max"/>
        <c:crossBetween val="between"/>
      </c:valAx>
      <c:catAx>
        <c:axId val="838143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38131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ayout>
        <c:manualLayout>
          <c:xMode val="edge"/>
          <c:yMode val="edge"/>
          <c:x val="4.8599827799303006E-3"/>
          <c:y val="0.92816711470388236"/>
          <c:w val="0.99248461997805826"/>
          <c:h val="5.24624252476914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528364509991806E-2"/>
          <c:y val="2.7156769397337674E-2"/>
          <c:w val="0.94552984108507787"/>
          <c:h val="0.787176229139581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List13!$A$15</c:f>
              <c:strCache>
                <c:ptCount val="1"/>
                <c:pt idx="0">
                  <c:v>veřejný (tis.)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List13!$B$14:$W$14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List13!$B$15:$W$15</c:f>
              <c:numCache>
                <c:formatCode>#\ ##0.0</c:formatCode>
                <c:ptCount val="22"/>
                <c:pt idx="0">
                  <c:v>198.77</c:v>
                </c:pt>
                <c:pt idx="1">
                  <c:v>211.86500000000001</c:v>
                </c:pt>
                <c:pt idx="2">
                  <c:v>230.98</c:v>
                </c:pt>
                <c:pt idx="3">
                  <c:v>246.96100000000001</c:v>
                </c:pt>
                <c:pt idx="4">
                  <c:v>265.36900000000003</c:v>
                </c:pt>
                <c:pt idx="5">
                  <c:v>285.14800000000002</c:v>
                </c:pt>
                <c:pt idx="6">
                  <c:v>303.13299999999998</c:v>
                </c:pt>
                <c:pt idx="7">
                  <c:v>319.154</c:v>
                </c:pt>
                <c:pt idx="8">
                  <c:v>333.149</c:v>
                </c:pt>
                <c:pt idx="9">
                  <c:v>339.36099999999999</c:v>
                </c:pt>
                <c:pt idx="10">
                  <c:v>339.03899999999999</c:v>
                </c:pt>
                <c:pt idx="11">
                  <c:v>333.28399999999999</c:v>
                </c:pt>
                <c:pt idx="12">
                  <c:v>324.94400000000002</c:v>
                </c:pt>
                <c:pt idx="13">
                  <c:v>308.21199999999999</c:v>
                </c:pt>
                <c:pt idx="14">
                  <c:v>292.43200000000002</c:v>
                </c:pt>
                <c:pt idx="15">
                  <c:v>280.17099999999999</c:v>
                </c:pt>
                <c:pt idx="16">
                  <c:v>269.46100000000001</c:v>
                </c:pt>
                <c:pt idx="17">
                  <c:v>261.565</c:v>
                </c:pt>
                <c:pt idx="18">
                  <c:v>261.11700000000002</c:v>
                </c:pt>
                <c:pt idx="19">
                  <c:v>272.08800000000002</c:v>
                </c:pt>
                <c:pt idx="20">
                  <c:v>276.24700000000001</c:v>
                </c:pt>
                <c:pt idx="21">
                  <c:v>276.63200000000001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6D-4E45-9E24-AB090A18B404}"/>
            </c:ext>
          </c:extLst>
        </c:ser>
        <c:ser>
          <c:idx val="1"/>
          <c:order val="1"/>
          <c:tx>
            <c:strRef>
              <c:f>List13!$A$16</c:f>
              <c:strCache>
                <c:ptCount val="1"/>
                <c:pt idx="0">
                  <c:v>soukromý (tis.)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020846731431745E-17"/>
                  <c:y val="3.7413248717044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BB44-4D3A-8458-F72C0426ED37}"/>
                </c:ext>
              </c:extLst>
            </c:dLbl>
            <c:dLbl>
              <c:idx val="3"/>
              <c:layout>
                <c:manualLayout>
                  <c:x val="-4.04169346286349E-17"/>
                  <c:y val="5.93802640341599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BB44-4D3A-8458-F72C0426ED37}"/>
                </c:ext>
              </c:extLst>
            </c:dLbl>
            <c:dLbl>
              <c:idx val="10"/>
              <c:layout>
                <c:manualLayout>
                  <c:x val="2.2045855379188711E-3"/>
                  <c:y val="0.1135519254123085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B44-4D3A-8458-F72C0426ED37}"/>
                </c:ext>
              </c:extLst>
            </c:dLbl>
            <c:dLbl>
              <c:idx val="15"/>
              <c:layout>
                <c:manualLayout>
                  <c:x val="-8.0833869257269799E-17"/>
                  <c:y val="7.75878089865632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B44-4D3A-8458-F72C0426ED37}"/>
                </c:ext>
              </c:extLst>
            </c:dLbl>
            <c:dLbl>
              <c:idx val="16"/>
              <c:layout>
                <c:manualLayout>
                  <c:x val="0"/>
                  <c:y val="7.42915344537156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B44-4D3A-8458-F72C0426ED37}"/>
                </c:ext>
              </c:extLst>
            </c:dLbl>
            <c:dLbl>
              <c:idx val="17"/>
              <c:layout>
                <c:manualLayout>
                  <c:x val="-1.616677385145396E-16"/>
                  <c:y val="7.59750852039017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B44-4D3A-8458-F72C0426ED37}"/>
                </c:ext>
              </c:extLst>
            </c:dLbl>
            <c:dLbl>
              <c:idx val="18"/>
              <c:layout>
                <c:manualLayout>
                  <c:x val="0"/>
                  <c:y val="7.08789908724096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B44-4D3A-8458-F72C0426ED37}"/>
                </c:ext>
              </c:extLst>
            </c:dLbl>
            <c:dLbl>
              <c:idx val="19"/>
              <c:layout>
                <c:manualLayout>
                  <c:x val="-2.2045855379190329E-3"/>
                  <c:y val="6.98479257257021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B44-4D3A-8458-F72C0426ED37}"/>
                </c:ext>
              </c:extLst>
            </c:dLbl>
            <c:dLbl>
              <c:idx val="20"/>
              <c:layout>
                <c:manualLayout>
                  <c:x val="0"/>
                  <c:y val="7.0831981823167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B44-4D3A-8458-F72C0426ED37}"/>
                </c:ext>
              </c:extLst>
            </c:dLbl>
            <c:dLbl>
              <c:idx val="21"/>
              <c:layout>
                <c:manualLayout>
                  <c:x val="0"/>
                  <c:y val="7.17627609981588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B44-4D3A-8458-F72C0426ED37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List13!$B$14:$W$14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List13!$B$16:$W$16</c:f>
              <c:numCache>
                <c:formatCode>#\ ##0.0</c:formatCode>
                <c:ptCount val="22"/>
                <c:pt idx="0">
                  <c:v>4.7839999999999998</c:v>
                </c:pt>
                <c:pt idx="1">
                  <c:v>8.4309999999999992</c:v>
                </c:pt>
                <c:pt idx="2">
                  <c:v>12.944000000000001</c:v>
                </c:pt>
                <c:pt idx="3">
                  <c:v>18.039000000000001</c:v>
                </c:pt>
                <c:pt idx="4">
                  <c:v>24.359000000000002</c:v>
                </c:pt>
                <c:pt idx="5">
                  <c:v>31.376999999999999</c:v>
                </c:pt>
                <c:pt idx="6">
                  <c:v>41.301000000000002</c:v>
                </c:pt>
                <c:pt idx="7">
                  <c:v>49.527999999999999</c:v>
                </c:pt>
                <c:pt idx="8">
                  <c:v>56.534999999999997</c:v>
                </c:pt>
                <c:pt idx="9">
                  <c:v>57.322000000000003</c:v>
                </c:pt>
                <c:pt idx="10">
                  <c:v>53.655999999999999</c:v>
                </c:pt>
                <c:pt idx="11">
                  <c:v>48.19</c:v>
                </c:pt>
                <c:pt idx="12">
                  <c:v>43.363999999999997</c:v>
                </c:pt>
                <c:pt idx="13">
                  <c:v>39.110999999999997</c:v>
                </c:pt>
                <c:pt idx="14">
                  <c:v>34.451000000000001</c:v>
                </c:pt>
                <c:pt idx="15">
                  <c:v>31.335999999999999</c:v>
                </c:pt>
                <c:pt idx="16">
                  <c:v>29.661000000000001</c:v>
                </c:pt>
                <c:pt idx="17">
                  <c:v>28.494</c:v>
                </c:pt>
                <c:pt idx="18">
                  <c:v>27.927</c:v>
                </c:pt>
                <c:pt idx="19">
                  <c:v>27.402999999999999</c:v>
                </c:pt>
                <c:pt idx="20">
                  <c:v>27.902999999999999</c:v>
                </c:pt>
                <c:pt idx="21">
                  <c:v>28.376000000000001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6D-4E45-9E24-AB090A18B4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"/>
        <c:overlap val="29"/>
        <c:axId val="83818960"/>
        <c:axId val="83812720"/>
      </c:barChart>
      <c:lineChart>
        <c:grouping val="standard"/>
        <c:varyColors val="0"/>
        <c:ser>
          <c:idx val="2"/>
          <c:order val="2"/>
          <c:tx>
            <c:strRef>
              <c:f>List13!$A$17</c:f>
              <c:strCache>
                <c:ptCount val="1"/>
                <c:pt idx="0">
                  <c:v>veřejný (%)</c:v>
                </c:pt>
              </c:strCache>
            </c:strRef>
          </c:tx>
          <c:spPr>
            <a:ln w="25400" cap="rnd">
              <a:solidFill>
                <a:srgbClr val="245A8C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56D-4E45-9E24-AB090A18B40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6D-4E45-9E24-AB090A18B40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56D-4E45-9E24-AB090A18B40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6D-4E45-9E24-AB090A18B404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56D-4E45-9E24-AB090A18B404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56D-4E45-9E24-AB090A18B404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56D-4E45-9E24-AB090A18B404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56D-4E45-9E24-AB090A18B404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56D-4E45-9E24-AB090A18B404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56D-4E45-9E24-AB090A18B404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56D-4E45-9E24-AB090A18B404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56D-4E45-9E24-AB090A18B404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56D-4E45-9E24-AB090A18B404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56D-4E45-9E24-AB090A18B404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56D-4E45-9E24-AB090A18B404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56D-4E45-9E24-AB090A18B404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1" u="none" strike="noStrike" kern="1200" baseline="0">
                    <a:solidFill>
                      <a:srgbClr val="245A8C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List13!$B$14:$W$14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List13!$B$17:$W$17</c:f>
              <c:numCache>
                <c:formatCode>0.0%</c:formatCode>
                <c:ptCount val="22"/>
                <c:pt idx="0">
                  <c:v>0.97700640950021622</c:v>
                </c:pt>
                <c:pt idx="1">
                  <c:v>0.96224855457200342</c:v>
                </c:pt>
                <c:pt idx="2">
                  <c:v>0.94773856563144954</c:v>
                </c:pt>
                <c:pt idx="3">
                  <c:v>0.93274137077981178</c:v>
                </c:pt>
                <c:pt idx="4">
                  <c:v>0.91676310962022778</c:v>
                </c:pt>
                <c:pt idx="5">
                  <c:v>0.90186193176606777</c:v>
                </c:pt>
                <c:pt idx="6">
                  <c:v>0.88134661848038776</c:v>
                </c:pt>
                <c:pt idx="7">
                  <c:v>0.86714848526015487</c:v>
                </c:pt>
                <c:pt idx="8">
                  <c:v>0.85644177772293517</c:v>
                </c:pt>
                <c:pt idx="9">
                  <c:v>0.85700684876156608</c:v>
                </c:pt>
                <c:pt idx="10">
                  <c:v>0.86480936845568934</c:v>
                </c:pt>
                <c:pt idx="11">
                  <c:v>0.87501148622571812</c:v>
                </c:pt>
                <c:pt idx="12">
                  <c:v>0.88355702508102929</c:v>
                </c:pt>
                <c:pt idx="13">
                  <c:v>0.8887338198783733</c:v>
                </c:pt>
                <c:pt idx="14">
                  <c:v>0.8958682445783539</c:v>
                </c:pt>
                <c:pt idx="15">
                  <c:v>0.90074105033033802</c:v>
                </c:pt>
                <c:pt idx="16">
                  <c:v>0.90222424605659224</c:v>
                </c:pt>
                <c:pt idx="17">
                  <c:v>0.90304126718890798</c:v>
                </c:pt>
                <c:pt idx="18">
                  <c:v>0.90484342133988505</c:v>
                </c:pt>
                <c:pt idx="19">
                  <c:v>0.91003592141438061</c:v>
                </c:pt>
                <c:pt idx="20">
                  <c:v>0.90980558766668973</c:v>
                </c:pt>
                <c:pt idx="21">
                  <c:v>0.9084257745026566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556D-4E45-9E24-AB090A18B404}"/>
            </c:ext>
          </c:extLst>
        </c:ser>
        <c:ser>
          <c:idx val="3"/>
          <c:order val="3"/>
          <c:tx>
            <c:strRef>
              <c:f>List13!$A$18</c:f>
              <c:strCache>
                <c:ptCount val="1"/>
                <c:pt idx="0">
                  <c:v>soukromý (%)</c:v>
                </c:pt>
              </c:strCache>
            </c:strRef>
          </c:tx>
          <c:spPr>
            <a:ln w="2222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8578545737338399E-2"/>
                  <c:y val="-8.10531683539557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556D-4E45-9E24-AB090A18B40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56D-4E45-9E24-AB090A18B40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56D-4E45-9E24-AB090A18B40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56D-4E45-9E24-AB090A18B404}"/>
                </c:ext>
              </c:extLst>
            </c:dLbl>
            <c:dLbl>
              <c:idx val="4"/>
              <c:layout>
                <c:manualLayout>
                  <c:x val="-2.6539738088294518E-2"/>
                  <c:y val="-5.94261717285339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556D-4E45-9E24-AB090A18B40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556D-4E45-9E24-AB090A18B404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556D-4E45-9E24-AB090A18B404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556D-4E45-9E24-AB090A18B404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556D-4E45-9E24-AB090A18B404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556D-4E45-9E24-AB090A18B404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556D-4E45-9E24-AB090A18B404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556D-4E45-9E24-AB090A18B404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556D-4E45-9E24-AB090A18B404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556D-4E45-9E24-AB090A18B404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556D-4E45-9E24-AB090A18B404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556D-4E45-9E24-AB090A18B404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556D-4E45-9E24-AB090A18B404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556D-4E45-9E24-AB090A18B404}"/>
                </c:ext>
              </c:extLst>
            </c:dLbl>
            <c:numFmt formatCode="0.0\ %" sourceLinked="0"/>
            <c:spPr>
              <a:solidFill>
                <a:srgbClr val="FFFF99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1" u="none" strike="noStrike" kern="1200" baseline="0">
                    <a:solidFill>
                      <a:srgbClr val="75713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List13!$B$14:$W$14</c:f>
              <c:numCache>
                <c:formatCode>General</c:formatCode>
                <c:ptCount val="22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</c:numCache>
            </c:numRef>
          </c:cat>
          <c:val>
            <c:numRef>
              <c:f>List13!$B$18:$W$18</c:f>
              <c:numCache>
                <c:formatCode>0.0%</c:formatCode>
                <c:ptCount val="22"/>
                <c:pt idx="0">
                  <c:v>2.3514608155400889E-2</c:v>
                </c:pt>
                <c:pt idx="1">
                  <c:v>3.8291919682800657E-2</c:v>
                </c:pt>
                <c:pt idx="2">
                  <c:v>5.3110780126129895E-2</c:v>
                </c:pt>
                <c:pt idx="3">
                  <c:v>6.8131087853940606E-2</c:v>
                </c:pt>
                <c:pt idx="4">
                  <c:v>8.4152378715068935E-2</c:v>
                </c:pt>
                <c:pt idx="5">
                  <c:v>9.9238717553775252E-2</c:v>
                </c:pt>
                <c:pt idx="6">
                  <c:v>0.12008094364473183</c:v>
                </c:pt>
                <c:pt idx="7">
                  <c:v>0.13456867273468279</c:v>
                </c:pt>
                <c:pt idx="8">
                  <c:v>0.14533717917077987</c:v>
                </c:pt>
                <c:pt idx="9">
                  <c:v>0.14475837407572023</c:v>
                </c:pt>
                <c:pt idx="10">
                  <c:v>0.1368639344555006</c:v>
                </c:pt>
                <c:pt idx="11">
                  <c:v>0.12651913539569062</c:v>
                </c:pt>
                <c:pt idx="12">
                  <c:v>0.11791129190141611</c:v>
                </c:pt>
                <c:pt idx="13">
                  <c:v>0.11277714180260036</c:v>
                </c:pt>
                <c:pt idx="14">
                  <c:v>0.10554096984587483</c:v>
                </c:pt>
                <c:pt idx="15">
                  <c:v>0.10074426529923323</c:v>
                </c:pt>
                <c:pt idx="16">
                  <c:v>9.9312603168119254E-2</c:v>
                </c:pt>
                <c:pt idx="17">
                  <c:v>9.8374239165334595E-2</c:v>
                </c:pt>
                <c:pt idx="18">
                  <c:v>9.677486424767047E-2</c:v>
                </c:pt>
                <c:pt idx="19">
                  <c:v>9.1653120881914199E-2</c:v>
                </c:pt>
                <c:pt idx="20">
                  <c:v>9.1897125806483487E-2</c:v>
                </c:pt>
                <c:pt idx="21">
                  <c:v>9.3183325780413634E-2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9-556D-4E45-9E24-AB090A18B4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14384"/>
        <c:axId val="83813136"/>
      </c:lineChart>
      <c:catAx>
        <c:axId val="8381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3812720"/>
        <c:crosses val="autoZero"/>
        <c:auto val="1"/>
        <c:lblAlgn val="ctr"/>
        <c:lblOffset val="100"/>
        <c:noMultiLvlLbl val="0"/>
      </c:catAx>
      <c:valAx>
        <c:axId val="83812720"/>
        <c:scaling>
          <c:orientation val="minMax"/>
          <c:max val="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3818960"/>
        <c:crosses val="autoZero"/>
        <c:crossBetween val="between"/>
      </c:valAx>
      <c:valAx>
        <c:axId val="83813136"/>
        <c:scaling>
          <c:orientation val="minMax"/>
          <c:max val="1"/>
        </c:scaling>
        <c:delete val="0"/>
        <c:axPos val="r"/>
        <c:numFmt formatCode="0\ %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3814384"/>
        <c:crosses val="max"/>
        <c:crossBetween val="between"/>
      </c:valAx>
      <c:catAx>
        <c:axId val="838143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38131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000074806714756E-2"/>
          <c:y val="0.93207091875208248"/>
          <c:w val="0.93328413921715558"/>
          <c:h val="5.01117093102783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0.79215</cdr:y>
    </cdr:from>
    <cdr:to>
      <cdr:x>0.05119</cdr:x>
      <cdr:y>0.87451</cdr:y>
    </cdr:to>
    <cdr:sp macro="" textlink="">
      <cdr:nvSpPr>
        <cdr:cNvPr id="4" name="Obdélník 3"/>
        <cdr:cNvSpPr/>
      </cdr:nvSpPr>
      <cdr:spPr>
        <a:xfrm xmlns:a="http://schemas.openxmlformats.org/drawingml/2006/main">
          <a:off x="0" y="2565391"/>
          <a:ext cx="319368" cy="2667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0.87963</cdr:x>
      <cdr:y>0.01965</cdr:y>
    </cdr:from>
    <cdr:to>
      <cdr:x>0.9871</cdr:x>
      <cdr:y>0.07626</cdr:y>
    </cdr:to>
    <cdr:sp macro="" textlink="">
      <cdr:nvSpPr>
        <cdr:cNvPr id="3" name="Obdélník 2"/>
        <cdr:cNvSpPr/>
      </cdr:nvSpPr>
      <cdr:spPr>
        <a:xfrm xmlns:a="http://schemas.openxmlformats.org/drawingml/2006/main">
          <a:off x="5067300" y="79375"/>
          <a:ext cx="619125" cy="22860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75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ct val="107000"/>
            </a:lnSpc>
            <a:spcAft>
              <a:spcPts val="0"/>
            </a:spcAft>
          </a:pPr>
          <a:r>
            <a:rPr lang="cs-CZ" sz="900" b="1">
              <a:ln>
                <a:noFill/>
              </a:ln>
              <a:effectLst/>
              <a:latin typeface="Arial" panose="020B0604020202020204" pitchFamily="34" charset="0"/>
              <a:ea typeface="Calibri" panose="020F0502020204030204" pitchFamily="34" charset="0"/>
              <a:cs typeface="Times New Roman" panose="02020603050405020304" pitchFamily="18" charset="0"/>
            </a:rPr>
            <a:t>Ženy</a:t>
          </a:r>
          <a:endParaRPr lang="cs-CZ" sz="1100">
            <a:effectLst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3E391-8761-4A3D-AA27-1C400C2E8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3949</TotalTime>
  <Pages>46</Pages>
  <Words>12246</Words>
  <Characters>72255</Characters>
  <Application>Microsoft Office Word</Application>
  <DocSecurity>0</DocSecurity>
  <Lines>602</Lines>
  <Paragraphs>168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Manager/>
  <Company>CSU</Company>
  <LinksUpToDate>false</LinksUpToDate>
  <CharactersWithSpaces>84333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Ondrušová</dc:creator>
  <cp:keywords/>
  <dc:description/>
  <cp:lastModifiedBy>Kašparová Vendula</cp:lastModifiedBy>
  <cp:revision>293</cp:revision>
  <cp:lastPrinted>2023-05-19T13:51:00Z</cp:lastPrinted>
  <dcterms:created xsi:type="dcterms:W3CDTF">2023-04-06T13:21:00Z</dcterms:created>
  <dcterms:modified xsi:type="dcterms:W3CDTF">2023-05-19T13:51:00Z</dcterms:modified>
  <cp:category/>
</cp:coreProperties>
</file>