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6B1D99" w:rsidRDefault="00085A7D" w:rsidP="006B1D9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  <w:color w:val="0071BC"/>
          <w:sz w:val="24"/>
          <w:szCs w:val="24"/>
          <w:lang w:val="cs-CZ"/>
        </w:rPr>
      </w:pPr>
      <w:bookmarkStart w:id="0" w:name="_GoBack"/>
      <w:bookmarkEnd w:id="0"/>
      <w:r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>9</w:t>
      </w:r>
      <w:r w:rsidR="009855A4"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 xml:space="preserve"> CESTOVNÍ RUCH</w:t>
      </w:r>
    </w:p>
    <w:p w:rsidR="00085A7D" w:rsidRDefault="00085A7D" w:rsidP="006B1D9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17785D" w:rsidRPr="0017785D" w:rsidRDefault="0017785D" w:rsidP="0017785D">
      <w:pPr>
        <w:widowControl/>
        <w:autoSpaceDE/>
        <w:autoSpaceDN/>
        <w:adjustRightInd/>
        <w:jc w:val="both"/>
        <w:rPr>
          <w:rFonts w:ascii="Arial" w:hAnsi="Arial" w:cs="Arial"/>
          <w:b/>
          <w:color w:val="0071BC"/>
          <w:lang w:val="cs-CZ"/>
        </w:rPr>
      </w:pPr>
      <w:r w:rsidRPr="0017785D">
        <w:rPr>
          <w:rFonts w:ascii="Arial" w:hAnsi="Arial" w:cs="Arial"/>
          <w:b/>
          <w:color w:val="0071BC"/>
          <w:lang w:val="cs-CZ"/>
        </w:rPr>
        <w:t>Metodické vysvětlivky</w:t>
      </w:r>
    </w:p>
    <w:p w:rsidR="0017785D" w:rsidRPr="006B1D99" w:rsidRDefault="0017785D" w:rsidP="006B1D9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3879D3" w:rsidRPr="006B1D99" w:rsidRDefault="00AD50E1" w:rsidP="006B1D99">
      <w:pPr>
        <w:pStyle w:val="Zkladntext2"/>
        <w:widowControl/>
        <w:rPr>
          <w:rFonts w:cs="Arial"/>
          <w:sz w:val="18"/>
          <w:szCs w:val="18"/>
          <w:lang w:val="cs-CZ"/>
        </w:rPr>
      </w:pPr>
      <w:r w:rsidRPr="006B1D99">
        <w:rPr>
          <w:rFonts w:cs="Arial"/>
          <w:sz w:val="18"/>
          <w:szCs w:val="18"/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 a modulu zaměstnanosti cestovního ruchu.</w:t>
      </w:r>
    </w:p>
    <w:p w:rsidR="00400E61" w:rsidRPr="006B1D99" w:rsidRDefault="00400E6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AD50E1" w:rsidRPr="006B1D99" w:rsidRDefault="00AD50E1" w:rsidP="006B1D99">
      <w:pPr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>Poznámky k tabulkám</w:t>
      </w: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="006B1D99">
        <w:rPr>
          <w:rFonts w:ascii="Arial" w:hAnsi="Arial" w:cs="Arial"/>
          <w:b/>
          <w:color w:val="0071BC"/>
          <w:lang w:val="cs-CZ"/>
        </w:rPr>
        <w:t>-1</w:t>
      </w:r>
      <w:r w:rsidRPr="006B1D99">
        <w:rPr>
          <w:rFonts w:ascii="Arial" w:hAnsi="Arial" w:cs="Arial"/>
          <w:b/>
          <w:color w:val="0071BC"/>
          <w:lang w:val="cs-CZ"/>
        </w:rPr>
        <w:t xml:space="preserve"> až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-4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Hromadná ubytovací zařízení cestovního ruchu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6B1D99">
        <w:rPr>
          <w:rFonts w:ascii="Arial" w:hAnsi="Arial" w:cs="Arial"/>
          <w:bCs/>
          <w:sz w:val="18"/>
          <w:szCs w:val="18"/>
          <w:lang w:val="cs-CZ"/>
        </w:rPr>
        <w:t xml:space="preserve">Údaje o ubytovacích zařízeních jsou získávány ze šetření o kapacitách a návštěvnosti hromadných ubytovacích zařízení. 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Uváděné údaje jsou souhrnem dat za zpracované dotazníky </w:t>
      </w:r>
      <w:r w:rsidR="00856909" w:rsidRPr="006B1D99">
        <w:rPr>
          <w:rFonts w:ascii="Arial" w:hAnsi="Arial" w:cs="Arial"/>
          <w:sz w:val="18"/>
          <w:szCs w:val="18"/>
          <w:lang w:val="cs-CZ"/>
        </w:rPr>
        <w:t>a </w:t>
      </w:r>
      <w:r w:rsidRPr="006B1D99">
        <w:rPr>
          <w:rFonts w:ascii="Arial" w:hAnsi="Arial" w:cs="Arial"/>
          <w:sz w:val="18"/>
          <w:szCs w:val="18"/>
          <w:lang w:val="cs-CZ"/>
        </w:rPr>
        <w:t>dopočtenou non-response.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Hromadná ubytovací zařízení </w:t>
      </w:r>
      <w:r w:rsidRPr="006B1D99">
        <w:rPr>
          <w:rFonts w:ascii="Arial" w:hAnsi="Arial" w:cs="Arial"/>
          <w:sz w:val="18"/>
          <w:szCs w:val="18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Pr="006B1D99" w:rsidRDefault="00AD50E1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Maximální kapacita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6B1D99" w:rsidRDefault="00A975A2" w:rsidP="006B1D99">
      <w:pPr>
        <w:widowControl/>
        <w:suppressAutoHyphens/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Pokoje </w:t>
      </w:r>
      <w:r w:rsidRPr="006B1D99">
        <w:rPr>
          <w:rFonts w:ascii="Arial" w:hAnsi="Arial" w:cs="Arial"/>
          <w:bCs/>
          <w:sz w:val="18"/>
          <w:szCs w:val="18"/>
          <w:lang w:val="cs-CZ"/>
        </w:rPr>
        <w:t>udávají maximální počet pokojů sloužících pro cestovní ruch. Nezapočítávají se pokoje pro ubytování personálu, majitelů zařízení a pokoje dlouhodobě sloužící pro ubytování zaměstnanců jiných podniků (déle než 1 rok).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Lůžka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 hromadných ubytovacích zařízeních udávají maximální počet všech </w:t>
      </w:r>
      <w:r w:rsidRPr="006B1D99">
        <w:rPr>
          <w:rFonts w:ascii="Arial" w:hAnsi="Arial" w:cs="Arial"/>
          <w:bCs/>
          <w:sz w:val="18"/>
          <w:szCs w:val="18"/>
          <w:lang w:val="cs-CZ"/>
        </w:rPr>
        <w:t>stálých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lůžek, která jsou využívána výhradně pro noční odpočinek hostů (bez lůžek příležitostných – přistýlek).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Místa pro stany a karavany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udávají maximální počet stanovišť pro umístění stanů, obytných přívěsů a karavanů.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Host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Pr="006B1D99" w:rsidRDefault="00C9547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sz w:val="18"/>
          <w:szCs w:val="18"/>
          <w:lang w:val="cs-CZ"/>
        </w:rPr>
        <w:t>Nerezidentem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osoba, která trvale žije v jiné zemi a na území ČR se zdržuje dobu kratší než 1 rok (včetně občanů České republiky).</w:t>
      </w:r>
    </w:p>
    <w:p w:rsidR="00AD50E1" w:rsidRPr="006B1D99" w:rsidRDefault="00AD50E1" w:rsidP="006B1D9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Počet přenocování </w:t>
      </w:r>
      <w:r w:rsidRPr="006B1D99">
        <w:rPr>
          <w:rFonts w:ascii="Arial" w:hAnsi="Arial" w:cs="Arial"/>
          <w:sz w:val="18"/>
          <w:szCs w:val="18"/>
          <w:lang w:val="cs-CZ"/>
        </w:rPr>
        <w:t>je celkový počet přenocování (strávených nocí) hostů v hromadných ubytovacích zařízeních ve sledovaném období.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Čisté využití lůžek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sz w:val="18"/>
          <w:szCs w:val="18"/>
          <w:lang w:val="cs-CZ"/>
        </w:rPr>
        <w:t xml:space="preserve">Využití pokojů 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je podílem počtu realizovaných </w:t>
      </w:r>
      <w:proofErr w:type="spellStart"/>
      <w:r w:rsidRPr="006B1D99">
        <w:rPr>
          <w:rFonts w:ascii="Arial" w:hAnsi="Arial" w:cs="Arial"/>
          <w:sz w:val="18"/>
          <w:szCs w:val="18"/>
          <w:lang w:val="cs-CZ"/>
        </w:rPr>
        <w:t>pokojodnů</w:t>
      </w:r>
      <w:proofErr w:type="spellEnd"/>
      <w:r w:rsidRPr="006B1D99">
        <w:rPr>
          <w:rFonts w:ascii="Arial" w:hAnsi="Arial" w:cs="Arial"/>
          <w:sz w:val="18"/>
          <w:szCs w:val="18"/>
          <w:lang w:val="cs-CZ"/>
        </w:rPr>
        <w:t xml:space="preserve"> (tj. počtu obsazených pokojů za jednotlivé dny sledovaného období) a součinu průměrného počtu pokojů k dispozici s počtem provozních dnů.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Průměrný počet přenocování </w:t>
      </w:r>
      <w:r w:rsidRPr="006B1D99">
        <w:rPr>
          <w:rFonts w:ascii="Arial" w:hAnsi="Arial" w:cs="Arial"/>
          <w:sz w:val="18"/>
          <w:szCs w:val="18"/>
          <w:lang w:val="cs-CZ"/>
        </w:rPr>
        <w:t>je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sz w:val="18"/>
          <w:szCs w:val="18"/>
          <w:lang w:val="cs-CZ"/>
        </w:rPr>
        <w:t>průměrný počet přenocování připadající na jednoho hosta ve sledovaném období.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Průměrná doba pobytu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o jeden den vyšší než průměrný počet přenocování.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-5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Delší cesty za účelem trávení volného času</w:t>
      </w:r>
    </w:p>
    <w:p w:rsidR="00AD50E1" w:rsidRPr="006B1D99" w:rsidRDefault="00164103" w:rsidP="006B1D99">
      <w:pPr>
        <w:pStyle w:val="Zkladntext"/>
        <w:widowControl/>
        <w:tabs>
          <w:tab w:val="left" w:pos="540"/>
        </w:tabs>
        <w:spacing w:before="120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Zdrojem údajů je </w:t>
      </w:r>
      <w:r w:rsidRPr="006B1D99">
        <w:rPr>
          <w:rFonts w:ascii="Arial" w:hAnsi="Arial" w:cs="Arial"/>
          <w:b w:val="0"/>
          <w:sz w:val="18"/>
          <w:szCs w:val="18"/>
          <w:lang w:val="cs-CZ"/>
        </w:rPr>
        <w:t xml:space="preserve">výběrové šetření cestovního ruchu </w:t>
      </w: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>(VŠCR). Šetření se provádí každý měsíc v náhodně vybraném vzorku domácností, dotazovány jsou osoby ve věku 15 a více let.</w:t>
      </w:r>
      <w:r w:rsidRPr="006B1D99">
        <w:rPr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6B1D99" w:rsidRDefault="00164103" w:rsidP="006B1D99">
      <w:pPr>
        <w:pStyle w:val="Zkladntext"/>
        <w:widowControl/>
        <w:tabs>
          <w:tab w:val="left" w:pos="540"/>
        </w:tabs>
        <w:spacing w:before="120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sz w:val="18"/>
          <w:szCs w:val="18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3879D3" w:rsidRPr="006B1D99" w:rsidRDefault="00164103" w:rsidP="006B1D99">
      <w:pPr>
        <w:pStyle w:val="Zkladntext2"/>
        <w:keepNext/>
        <w:widowControl/>
        <w:rPr>
          <w:rFonts w:cs="Arial"/>
          <w:b/>
          <w:bCs/>
          <w:color w:val="0071BC"/>
          <w:lang w:val="cs-CZ"/>
        </w:rPr>
      </w:pPr>
      <w:r w:rsidRPr="006B1D99">
        <w:rPr>
          <w:rFonts w:cs="Arial"/>
          <w:b/>
          <w:color w:val="0071BC"/>
          <w:lang w:val="cs-CZ"/>
        </w:rPr>
        <w:lastRenderedPageBreak/>
        <w:t xml:space="preserve">Tab. </w:t>
      </w:r>
      <w:r w:rsidRPr="006B1D99">
        <w:rPr>
          <w:rFonts w:cs="Arial"/>
          <w:b/>
          <w:bCs/>
          <w:color w:val="0071BC"/>
          <w:lang w:val="cs-CZ"/>
        </w:rPr>
        <w:t>1</w:t>
      </w:r>
      <w:r w:rsidR="00854A81" w:rsidRPr="006B1D99">
        <w:rPr>
          <w:rFonts w:cs="Arial"/>
          <w:b/>
          <w:bCs/>
          <w:color w:val="0071BC"/>
          <w:lang w:val="cs-CZ"/>
        </w:rPr>
        <w:t>9</w:t>
      </w:r>
      <w:r w:rsidR="00C8011B" w:rsidRPr="006B1D99">
        <w:rPr>
          <w:rFonts w:cs="Arial"/>
          <w:b/>
          <w:color w:val="0071BC"/>
          <w:lang w:val="cs-CZ"/>
        </w:rPr>
        <w:t xml:space="preserve">-6 </w:t>
      </w:r>
      <w:r w:rsidRPr="006B1D99">
        <w:rPr>
          <w:rFonts w:cs="Arial"/>
          <w:b/>
          <w:color w:val="0071BC"/>
          <w:lang w:val="cs-CZ"/>
        </w:rPr>
        <w:t xml:space="preserve"> </w:t>
      </w:r>
      <w:r w:rsidRPr="006B1D99">
        <w:rPr>
          <w:rFonts w:cs="Arial"/>
          <w:b/>
          <w:bCs/>
          <w:color w:val="0071BC"/>
          <w:lang w:val="cs-CZ"/>
        </w:rPr>
        <w:t>Satelitní účet cestovního ruchu České republiky</w:t>
      </w:r>
    </w:p>
    <w:p w:rsidR="008B1FC6" w:rsidRPr="006B1D99" w:rsidRDefault="008B1FC6" w:rsidP="006B1D99">
      <w:pPr>
        <w:keepNext/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Vnitřní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(domácí a příjezdový) je cestovní ruch rezidentů i nerezidentů na 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Spotřeba ve vnitřním cestovním ruchu </w:t>
      </w:r>
      <w:r w:rsidRPr="006B1D99">
        <w:rPr>
          <w:rFonts w:ascii="Arial" w:hAnsi="Arial" w:cs="Arial"/>
          <w:sz w:val="18"/>
          <w:szCs w:val="18"/>
          <w:lang w:val="cs-CZ"/>
        </w:rPr>
        <w:t>v České republice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sz w:val="18"/>
          <w:szCs w:val="18"/>
          <w:lang w:val="cs-CZ"/>
        </w:rPr>
        <w:t>vyjadřuje celkový objem financí utracených za cestovní ruch v národním hospodářství, tj. všechny výdaje za cestovní ruch realizované v České republice.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Domácí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cestovní ruch rezidentů na 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Spotřeba v domácím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cestovním ruchu </w:t>
      </w:r>
      <w:r w:rsidRPr="006B1D99">
        <w:rPr>
          <w:rFonts w:ascii="Arial" w:hAnsi="Arial" w:cs="Arial"/>
          <w:sz w:val="18"/>
          <w:szCs w:val="18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Příjezdový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zahrnuje návštěvu a pobyt nerezidentů na 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Spotřeba v příjezdovém 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vyjadřuje celkový objem prostředků vydaných nerezidenty na cestovní ruch plynoucích do navštívené země. Započítávají se do ní i výdaje zaplacené v zemi nerezidenta, jako jsou např. platby za ubytování v rámci zájezdu, které směřují různými formami plateb do České republiky.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Výjezdový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zahrnuje návštěvu a pobyt rezidentů mimo 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Spotřeba ve výjezdovém 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Saldo cestovního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vyjadřuje rozdíl mezi objemy finančních prostředků mířících ze zahraničí do České republiky a</w:t>
      </w:r>
      <w:r w:rsidR="00CB7FB5">
        <w:rPr>
          <w:rFonts w:ascii="Arial" w:hAnsi="Arial" w:cs="Arial"/>
          <w:sz w:val="18"/>
          <w:szCs w:val="18"/>
          <w:lang w:val="cs-CZ"/>
        </w:rPr>
        <w:t> </w:t>
      </w:r>
      <w:r w:rsidRPr="006B1D99">
        <w:rPr>
          <w:rFonts w:ascii="Arial" w:hAnsi="Arial" w:cs="Arial"/>
          <w:sz w:val="18"/>
          <w:szCs w:val="18"/>
          <w:lang w:val="cs-CZ"/>
        </w:rPr>
        <w:t>naopak.</w:t>
      </w: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Pr="006B1D99">
        <w:rPr>
          <w:rFonts w:ascii="Arial" w:hAnsi="Arial" w:cs="Arial"/>
          <w:b/>
          <w:color w:val="0071BC"/>
          <w:lang w:val="cs-CZ"/>
        </w:rPr>
        <w:t>-</w:t>
      </w:r>
      <w:r w:rsidR="003A272C" w:rsidRPr="006B1D99">
        <w:rPr>
          <w:rFonts w:ascii="Arial" w:hAnsi="Arial" w:cs="Arial"/>
          <w:b/>
          <w:color w:val="0071BC"/>
          <w:lang w:val="cs-CZ"/>
        </w:rPr>
        <w:t>7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Modul zaměstnanosti cestovního ruchu České republiky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Počet zaměstnaných osob v 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</w:t>
      </w:r>
      <w:r w:rsidR="002C488C" w:rsidRPr="006B1D99">
        <w:rPr>
          <w:rFonts w:ascii="Arial" w:hAnsi="Arial" w:cs="Arial"/>
          <w:sz w:val="18"/>
          <w:szCs w:val="18"/>
          <w:lang w:val="cs-CZ"/>
        </w:rPr>
        <w:t>i 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osoby </w:t>
      </w:r>
      <w:proofErr w:type="spellStart"/>
      <w:r w:rsidRPr="006B1D99">
        <w:rPr>
          <w:rFonts w:ascii="Arial" w:hAnsi="Arial" w:cs="Arial"/>
          <w:sz w:val="18"/>
          <w:szCs w:val="18"/>
          <w:lang w:val="cs-CZ"/>
        </w:rPr>
        <w:t>sebezaměstnané</w:t>
      </w:r>
      <w:proofErr w:type="spellEnd"/>
      <w:r w:rsidRPr="006B1D99">
        <w:rPr>
          <w:rFonts w:ascii="Arial" w:hAnsi="Arial" w:cs="Arial"/>
          <w:sz w:val="18"/>
          <w:szCs w:val="18"/>
          <w:lang w:val="cs-CZ"/>
        </w:rPr>
        <w:t>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Počet pracovních míst v 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zahrnuje navíc druhá </w:t>
      </w:r>
      <w:r w:rsidR="002B321A" w:rsidRPr="006B1D99">
        <w:rPr>
          <w:rFonts w:ascii="Arial" w:hAnsi="Arial" w:cs="Arial"/>
          <w:sz w:val="18"/>
          <w:szCs w:val="18"/>
          <w:lang w:val="cs-CZ"/>
        </w:rPr>
        <w:t>a </w:t>
      </w:r>
      <w:r w:rsidRPr="006B1D99">
        <w:rPr>
          <w:rFonts w:ascii="Arial" w:hAnsi="Arial" w:cs="Arial"/>
          <w:sz w:val="18"/>
          <w:szCs w:val="18"/>
          <w:lang w:val="cs-CZ"/>
        </w:rPr>
        <w:t>další zaměstnání a zároveň je přepočítán na ekvivalent plné pracovní doby (plný úvazek).</w:t>
      </w:r>
    </w:p>
    <w:p w:rsidR="00AD50E1" w:rsidRPr="006B1D99" w:rsidRDefault="00164103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b/>
          <w:bCs/>
          <w:sz w:val="18"/>
          <w:szCs w:val="18"/>
          <w:lang w:val="cs-CZ"/>
        </w:rPr>
        <w:t>Podíly cestovního ruchu</w:t>
      </w:r>
      <w:r w:rsidRPr="006B1D99">
        <w:rPr>
          <w:rFonts w:cs="Arial"/>
          <w:sz w:val="18"/>
          <w:szCs w:val="18"/>
          <w:lang w:val="cs-CZ"/>
        </w:rPr>
        <w:t xml:space="preserve"> na hlavních makroekonomických ukazatelích vyjadřují tzv. přímý vliv cestovního ruchu.</w:t>
      </w:r>
    </w:p>
    <w:p w:rsidR="00AD50E1" w:rsidRPr="006B1D99" w:rsidRDefault="00AD50E1" w:rsidP="006B1D99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2331CA" w:rsidRPr="006B1D99" w:rsidRDefault="002331CA" w:rsidP="006B1D99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3A272C" w:rsidRPr="006B1D99" w:rsidRDefault="003A272C" w:rsidP="006B1D99">
      <w:pPr>
        <w:widowControl/>
        <w:suppressAutoHyphens/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19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-8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Regionální satelit</w:t>
      </w:r>
      <w:r w:rsidR="005D02B8" w:rsidRPr="006B1D99">
        <w:rPr>
          <w:rFonts w:ascii="Arial" w:hAnsi="Arial" w:cs="Arial"/>
          <w:b/>
          <w:bCs/>
          <w:color w:val="0071BC"/>
          <w:lang w:val="cs-CZ"/>
        </w:rPr>
        <w:t>ní účet cestovního ruchu Česk</w:t>
      </w:r>
      <w:r w:rsidR="00BE3095" w:rsidRPr="006B1D99">
        <w:rPr>
          <w:rFonts w:ascii="Arial" w:hAnsi="Arial" w:cs="Arial"/>
          <w:b/>
          <w:bCs/>
          <w:color w:val="0071BC"/>
          <w:lang w:val="cs-CZ"/>
        </w:rPr>
        <w:t>é r</w:t>
      </w:r>
      <w:r w:rsidRPr="006B1D99">
        <w:rPr>
          <w:rFonts w:ascii="Arial" w:hAnsi="Arial" w:cs="Arial"/>
          <w:b/>
          <w:bCs/>
          <w:color w:val="0071BC"/>
          <w:lang w:val="cs-CZ"/>
        </w:rPr>
        <w:t>epubliky</w:t>
      </w:r>
    </w:p>
    <w:p w:rsidR="003A272C" w:rsidRPr="006B1D99" w:rsidRDefault="003A272C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b/>
          <w:bCs/>
          <w:sz w:val="18"/>
          <w:szCs w:val="18"/>
          <w:lang w:val="cs-CZ"/>
        </w:rPr>
        <w:t>Regionální satelitní účet cestovního ruchu</w:t>
      </w:r>
      <w:r w:rsidRPr="006B1D99">
        <w:rPr>
          <w:rFonts w:cs="Arial"/>
          <w:sz w:val="18"/>
          <w:szCs w:val="18"/>
          <w:lang w:val="cs-CZ"/>
        </w:rPr>
        <w:t xml:space="preserve"> </w:t>
      </w:r>
      <w:r w:rsidR="00A775C9" w:rsidRPr="006B1D99">
        <w:rPr>
          <w:rFonts w:cs="Arial"/>
          <w:sz w:val="18"/>
          <w:szCs w:val="18"/>
          <w:lang w:val="cs-CZ"/>
        </w:rPr>
        <w:t>poskytuje informace o</w:t>
      </w:r>
      <w:r w:rsidR="002B321A" w:rsidRPr="006B1D99">
        <w:rPr>
          <w:rFonts w:cs="Arial"/>
          <w:sz w:val="18"/>
          <w:szCs w:val="18"/>
          <w:lang w:val="cs-CZ"/>
        </w:rPr>
        <w:t> </w:t>
      </w:r>
      <w:r w:rsidRPr="006B1D99">
        <w:rPr>
          <w:rFonts w:cs="Arial"/>
          <w:sz w:val="18"/>
          <w:szCs w:val="18"/>
          <w:lang w:val="cs-CZ"/>
        </w:rPr>
        <w:t>ekonomické</w:t>
      </w:r>
      <w:r w:rsidR="00A775C9" w:rsidRPr="006B1D99">
        <w:rPr>
          <w:rFonts w:cs="Arial"/>
          <w:sz w:val="18"/>
          <w:szCs w:val="18"/>
          <w:lang w:val="cs-CZ"/>
        </w:rPr>
        <w:t>m</w:t>
      </w:r>
      <w:r w:rsidRPr="006B1D99">
        <w:rPr>
          <w:rFonts w:cs="Arial"/>
          <w:sz w:val="18"/>
          <w:szCs w:val="18"/>
          <w:lang w:val="cs-CZ"/>
        </w:rPr>
        <w:t xml:space="preserve"> významu cestovního ruchu v</w:t>
      </w:r>
      <w:r w:rsidR="00A775C9" w:rsidRPr="006B1D99">
        <w:rPr>
          <w:rFonts w:cs="Arial"/>
          <w:sz w:val="18"/>
          <w:szCs w:val="18"/>
          <w:lang w:val="cs-CZ"/>
        </w:rPr>
        <w:t> </w:t>
      </w:r>
      <w:r w:rsidRPr="006B1D99">
        <w:rPr>
          <w:rFonts w:cs="Arial"/>
          <w:sz w:val="18"/>
          <w:szCs w:val="18"/>
          <w:lang w:val="cs-CZ"/>
        </w:rPr>
        <w:t>regionech</w:t>
      </w:r>
      <w:r w:rsidR="00A775C9" w:rsidRPr="006B1D99">
        <w:rPr>
          <w:rFonts w:cs="Arial"/>
          <w:sz w:val="18"/>
          <w:szCs w:val="18"/>
          <w:lang w:val="cs-CZ"/>
        </w:rPr>
        <w:t xml:space="preserve"> České republiky. P</w:t>
      </w:r>
      <w:r w:rsidR="002331CA" w:rsidRPr="006B1D99">
        <w:rPr>
          <w:rFonts w:cs="Arial"/>
          <w:sz w:val="18"/>
          <w:szCs w:val="18"/>
          <w:lang w:val="cs-CZ"/>
        </w:rPr>
        <w:t>ředstavuje</w:t>
      </w:r>
      <w:r w:rsidRPr="006B1D99">
        <w:rPr>
          <w:rFonts w:cs="Arial"/>
          <w:sz w:val="18"/>
          <w:szCs w:val="18"/>
          <w:lang w:val="cs-CZ"/>
        </w:rPr>
        <w:t xml:space="preserve"> </w:t>
      </w:r>
      <w:r w:rsidR="00A775C9" w:rsidRPr="006B1D99">
        <w:rPr>
          <w:rFonts w:cs="Arial"/>
          <w:sz w:val="18"/>
          <w:szCs w:val="18"/>
          <w:lang w:val="cs-CZ"/>
        </w:rPr>
        <w:t>regionální specifikac</w:t>
      </w:r>
      <w:r w:rsidR="002331CA" w:rsidRPr="006B1D99">
        <w:rPr>
          <w:rFonts w:cs="Arial"/>
          <w:sz w:val="18"/>
          <w:szCs w:val="18"/>
          <w:lang w:val="cs-CZ"/>
        </w:rPr>
        <w:t>i</w:t>
      </w:r>
      <w:r w:rsidR="00A775C9" w:rsidRPr="006B1D99">
        <w:rPr>
          <w:rFonts w:cs="Arial"/>
          <w:sz w:val="18"/>
          <w:szCs w:val="18"/>
          <w:lang w:val="cs-CZ"/>
        </w:rPr>
        <w:t xml:space="preserve"> satelitního účtu cestovního ruchu (TSA)</w:t>
      </w:r>
      <w:r w:rsidR="002331CA" w:rsidRPr="006B1D99">
        <w:rPr>
          <w:rFonts w:cs="Arial"/>
          <w:sz w:val="18"/>
          <w:szCs w:val="18"/>
          <w:lang w:val="cs-CZ"/>
        </w:rPr>
        <w:t xml:space="preserve"> na národní úrovni. Při sest</w:t>
      </w:r>
      <w:r w:rsidR="00F40701" w:rsidRPr="006B1D99">
        <w:rPr>
          <w:rFonts w:cs="Arial"/>
          <w:sz w:val="18"/>
          <w:szCs w:val="18"/>
          <w:lang w:val="cs-CZ"/>
        </w:rPr>
        <w:t>avování je využívána metoda „top-</w:t>
      </w:r>
      <w:proofErr w:type="spellStart"/>
      <w:r w:rsidR="002331CA" w:rsidRPr="006B1D99">
        <w:rPr>
          <w:rFonts w:cs="Arial"/>
          <w:sz w:val="18"/>
          <w:szCs w:val="18"/>
          <w:lang w:val="cs-CZ"/>
        </w:rPr>
        <w:t>down</w:t>
      </w:r>
      <w:proofErr w:type="spellEnd"/>
      <w:r w:rsidR="00F40701" w:rsidRPr="006B1D99">
        <w:rPr>
          <w:rFonts w:cs="Arial"/>
          <w:sz w:val="18"/>
          <w:szCs w:val="18"/>
          <w:lang w:val="cs-CZ"/>
        </w:rPr>
        <w:t>“</w:t>
      </w:r>
      <w:r w:rsidR="002331CA" w:rsidRPr="006B1D99">
        <w:rPr>
          <w:rFonts w:cs="Arial"/>
          <w:sz w:val="18"/>
          <w:szCs w:val="18"/>
          <w:lang w:val="cs-CZ"/>
        </w:rPr>
        <w:t>.</w:t>
      </w:r>
    </w:p>
    <w:p w:rsidR="00A775C9" w:rsidRPr="006B1D99" w:rsidRDefault="002331CA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sz w:val="18"/>
          <w:szCs w:val="18"/>
          <w:lang w:val="cs-CZ"/>
        </w:rPr>
        <w:t xml:space="preserve">Data jsou rozdělena podle </w:t>
      </w:r>
      <w:r w:rsidR="00A775C9" w:rsidRPr="006B1D99">
        <w:rPr>
          <w:rFonts w:cs="Arial"/>
          <w:sz w:val="18"/>
          <w:szCs w:val="18"/>
          <w:lang w:val="cs-CZ"/>
        </w:rPr>
        <w:t xml:space="preserve">klasifikace NUTS </w:t>
      </w:r>
      <w:r w:rsidRPr="006B1D99">
        <w:rPr>
          <w:rFonts w:cs="Arial"/>
          <w:sz w:val="18"/>
          <w:szCs w:val="18"/>
          <w:lang w:val="cs-CZ"/>
        </w:rPr>
        <w:t>(</w:t>
      </w:r>
      <w:r w:rsidR="00A775C9" w:rsidRPr="006B1D99">
        <w:rPr>
          <w:rFonts w:cs="Arial"/>
          <w:sz w:val="18"/>
          <w:szCs w:val="18"/>
          <w:lang w:val="cs-CZ"/>
        </w:rPr>
        <w:t>jednotn</w:t>
      </w:r>
      <w:r w:rsidRPr="006B1D99">
        <w:rPr>
          <w:rFonts w:cs="Arial"/>
          <w:sz w:val="18"/>
          <w:szCs w:val="18"/>
          <w:lang w:val="cs-CZ"/>
        </w:rPr>
        <w:t>á</w:t>
      </w:r>
      <w:r w:rsidR="00A775C9" w:rsidRPr="006B1D99">
        <w:rPr>
          <w:rFonts w:cs="Arial"/>
          <w:sz w:val="18"/>
          <w:szCs w:val="18"/>
          <w:lang w:val="cs-CZ"/>
        </w:rPr>
        <w:t xml:space="preserve"> klasifikace územního členění Evropské unie</w:t>
      </w:r>
      <w:r w:rsidR="00FD72C0" w:rsidRPr="006B1D99">
        <w:rPr>
          <w:rFonts w:cs="Arial"/>
          <w:sz w:val="18"/>
          <w:szCs w:val="18"/>
          <w:lang w:val="cs-CZ"/>
        </w:rPr>
        <w:t>) do úrovně</w:t>
      </w:r>
      <w:r w:rsidR="00A775C9" w:rsidRPr="006B1D99">
        <w:rPr>
          <w:rFonts w:cs="Arial"/>
          <w:sz w:val="18"/>
          <w:szCs w:val="18"/>
          <w:lang w:val="cs-CZ"/>
        </w:rPr>
        <w:t xml:space="preserve"> NUTS 2 – regiony soudržnosti a</w:t>
      </w:r>
      <w:r w:rsidR="002B321A" w:rsidRPr="006B1D99">
        <w:rPr>
          <w:rFonts w:cs="Arial"/>
          <w:sz w:val="18"/>
          <w:szCs w:val="18"/>
          <w:lang w:val="cs-CZ"/>
        </w:rPr>
        <w:t> </w:t>
      </w:r>
      <w:r w:rsidR="00A775C9" w:rsidRPr="006B1D99">
        <w:rPr>
          <w:rFonts w:cs="Arial"/>
          <w:sz w:val="18"/>
          <w:szCs w:val="18"/>
          <w:lang w:val="cs-CZ"/>
        </w:rPr>
        <w:t>NUTS 3 – kraje</w:t>
      </w:r>
      <w:r w:rsidR="00FD72C0" w:rsidRPr="006B1D99">
        <w:rPr>
          <w:rFonts w:cs="Arial"/>
          <w:sz w:val="18"/>
          <w:szCs w:val="18"/>
          <w:lang w:val="cs-CZ"/>
        </w:rPr>
        <w:t>.</w:t>
      </w:r>
    </w:p>
    <w:p w:rsidR="00FD72C0" w:rsidRPr="006B1D99" w:rsidRDefault="00FD72C0" w:rsidP="006B1D99">
      <w:pPr>
        <w:pStyle w:val="Zkladntext2"/>
        <w:widowControl/>
        <w:rPr>
          <w:rFonts w:cs="Arial"/>
          <w:sz w:val="18"/>
          <w:szCs w:val="18"/>
          <w:lang w:val="cs-CZ"/>
        </w:rPr>
      </w:pPr>
    </w:p>
    <w:p w:rsidR="00AD50E1" w:rsidRPr="006B1D99" w:rsidRDefault="00AD50E1" w:rsidP="006B1D99">
      <w:pPr>
        <w:pStyle w:val="Zkladntext2"/>
        <w:widowControl/>
        <w:rPr>
          <w:rFonts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color w:val="0071BC"/>
          <w:lang w:val="cs-CZ"/>
        </w:rPr>
      </w:pPr>
      <w:r w:rsidRPr="006B1D99">
        <w:rPr>
          <w:rFonts w:ascii="Arial" w:hAnsi="Arial" w:cs="Arial"/>
          <w:color w:val="0071BC"/>
          <w:lang w:val="cs-CZ"/>
        </w:rPr>
        <w:t>*          *          *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164103" w:rsidP="006B1D99">
      <w:pPr>
        <w:pStyle w:val="Zkladntextodsazen2"/>
        <w:widowControl/>
        <w:spacing w:before="0"/>
        <w:ind w:left="0" w:firstLine="0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sz w:val="18"/>
          <w:szCs w:val="18"/>
          <w:lang w:val="cs-CZ"/>
        </w:rPr>
        <w:t>Další informace jsou dostupné na internetových stránkách Českého statistického úřadu:</w:t>
      </w:r>
    </w:p>
    <w:p w:rsidR="0054710E" w:rsidRPr="006B1D99" w:rsidRDefault="00164103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sz w:val="18"/>
          <w:szCs w:val="18"/>
          <w:lang w:val="cs-CZ"/>
        </w:rPr>
        <w:t>–</w:t>
      </w:r>
      <w:r w:rsidRPr="006B1D99">
        <w:rPr>
          <w:rFonts w:cs="Arial"/>
          <w:sz w:val="18"/>
          <w:szCs w:val="18"/>
          <w:u w:val="single"/>
          <w:lang w:val="cs-CZ"/>
        </w:rPr>
        <w:t> </w:t>
      </w:r>
      <w:hyperlink r:id="rId6" w:history="1">
        <w:r w:rsidRPr="006B1D99">
          <w:rPr>
            <w:rStyle w:val="Hypertextovodkaz"/>
            <w:rFonts w:cs="Arial"/>
            <w:sz w:val="18"/>
            <w:szCs w:val="18"/>
            <w:lang w:val="cs-CZ"/>
          </w:rPr>
          <w:t>www.czso.cz/csu/czso/cestovni_ruch</w:t>
        </w:r>
      </w:hyperlink>
    </w:p>
    <w:sectPr w:rsidR="0054710E" w:rsidRPr="006B1D99" w:rsidSect="00390C29">
      <w:footnotePr>
        <w:numRestart w:val="eachSect"/>
      </w:footnotePr>
      <w:endnotePr>
        <w:numFmt w:val="decimal"/>
      </w:endnotePr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37D6B"/>
    <w:rsid w:val="000407A7"/>
    <w:rsid w:val="000535C7"/>
    <w:rsid w:val="00062CDC"/>
    <w:rsid w:val="00085A7D"/>
    <w:rsid w:val="00085F1C"/>
    <w:rsid w:val="00097DA3"/>
    <w:rsid w:val="000B1B79"/>
    <w:rsid w:val="000B25AB"/>
    <w:rsid w:val="000C74FE"/>
    <w:rsid w:val="000F0DAB"/>
    <w:rsid w:val="001038CB"/>
    <w:rsid w:val="00115C6E"/>
    <w:rsid w:val="00126D7A"/>
    <w:rsid w:val="00134DCA"/>
    <w:rsid w:val="00160537"/>
    <w:rsid w:val="00164103"/>
    <w:rsid w:val="0016503F"/>
    <w:rsid w:val="00177605"/>
    <w:rsid w:val="0017785D"/>
    <w:rsid w:val="0018065B"/>
    <w:rsid w:val="0018635B"/>
    <w:rsid w:val="001A1FDC"/>
    <w:rsid w:val="001D71A0"/>
    <w:rsid w:val="001E3653"/>
    <w:rsid w:val="001E7E5C"/>
    <w:rsid w:val="00212F32"/>
    <w:rsid w:val="0023206A"/>
    <w:rsid w:val="002331CA"/>
    <w:rsid w:val="0026185D"/>
    <w:rsid w:val="00285CC9"/>
    <w:rsid w:val="002915EF"/>
    <w:rsid w:val="002A15E7"/>
    <w:rsid w:val="002A16D3"/>
    <w:rsid w:val="002A18B0"/>
    <w:rsid w:val="002A457F"/>
    <w:rsid w:val="002B321A"/>
    <w:rsid w:val="002B5DFC"/>
    <w:rsid w:val="002C488C"/>
    <w:rsid w:val="002D02F4"/>
    <w:rsid w:val="00312923"/>
    <w:rsid w:val="00340E46"/>
    <w:rsid w:val="003522AA"/>
    <w:rsid w:val="00361029"/>
    <w:rsid w:val="003879D3"/>
    <w:rsid w:val="00390C29"/>
    <w:rsid w:val="003A272C"/>
    <w:rsid w:val="003E29C7"/>
    <w:rsid w:val="003E6FC9"/>
    <w:rsid w:val="00400E61"/>
    <w:rsid w:val="00417114"/>
    <w:rsid w:val="00421C96"/>
    <w:rsid w:val="004245AD"/>
    <w:rsid w:val="00435AE8"/>
    <w:rsid w:val="00435E6E"/>
    <w:rsid w:val="0044794C"/>
    <w:rsid w:val="004519E6"/>
    <w:rsid w:val="00460D95"/>
    <w:rsid w:val="004828D4"/>
    <w:rsid w:val="004A4F85"/>
    <w:rsid w:val="004C5995"/>
    <w:rsid w:val="004D09AE"/>
    <w:rsid w:val="004E0F88"/>
    <w:rsid w:val="004E59C8"/>
    <w:rsid w:val="0050671F"/>
    <w:rsid w:val="00513093"/>
    <w:rsid w:val="005139B3"/>
    <w:rsid w:val="00516A90"/>
    <w:rsid w:val="00535D97"/>
    <w:rsid w:val="0054710E"/>
    <w:rsid w:val="00547525"/>
    <w:rsid w:val="00565177"/>
    <w:rsid w:val="0056716C"/>
    <w:rsid w:val="005955AA"/>
    <w:rsid w:val="005A7EE2"/>
    <w:rsid w:val="005C3EDD"/>
    <w:rsid w:val="005D02B8"/>
    <w:rsid w:val="005E4D78"/>
    <w:rsid w:val="005E7C64"/>
    <w:rsid w:val="005F7B4D"/>
    <w:rsid w:val="0061133A"/>
    <w:rsid w:val="006A4CA9"/>
    <w:rsid w:val="006B1D99"/>
    <w:rsid w:val="006B7B3E"/>
    <w:rsid w:val="006B7CFF"/>
    <w:rsid w:val="006C5C55"/>
    <w:rsid w:val="006D69D0"/>
    <w:rsid w:val="006D7F06"/>
    <w:rsid w:val="006F06A4"/>
    <w:rsid w:val="006F4BE9"/>
    <w:rsid w:val="006F5186"/>
    <w:rsid w:val="00705711"/>
    <w:rsid w:val="00756121"/>
    <w:rsid w:val="00780AA1"/>
    <w:rsid w:val="00782CAA"/>
    <w:rsid w:val="00794043"/>
    <w:rsid w:val="007A0C58"/>
    <w:rsid w:val="007A4CB9"/>
    <w:rsid w:val="007F431F"/>
    <w:rsid w:val="00805398"/>
    <w:rsid w:val="00831010"/>
    <w:rsid w:val="00844CD2"/>
    <w:rsid w:val="00854A81"/>
    <w:rsid w:val="00856909"/>
    <w:rsid w:val="00860E9C"/>
    <w:rsid w:val="008701C1"/>
    <w:rsid w:val="00871C6C"/>
    <w:rsid w:val="00885281"/>
    <w:rsid w:val="008B1FC6"/>
    <w:rsid w:val="008C1D0C"/>
    <w:rsid w:val="008C4D3B"/>
    <w:rsid w:val="008E1E6C"/>
    <w:rsid w:val="00905EED"/>
    <w:rsid w:val="0091536F"/>
    <w:rsid w:val="00935CE8"/>
    <w:rsid w:val="00972D22"/>
    <w:rsid w:val="009815AA"/>
    <w:rsid w:val="009855A4"/>
    <w:rsid w:val="00987918"/>
    <w:rsid w:val="0099712C"/>
    <w:rsid w:val="009C3516"/>
    <w:rsid w:val="009D74C7"/>
    <w:rsid w:val="009D7869"/>
    <w:rsid w:val="00A22D72"/>
    <w:rsid w:val="00A4568C"/>
    <w:rsid w:val="00A50980"/>
    <w:rsid w:val="00A61710"/>
    <w:rsid w:val="00A775C9"/>
    <w:rsid w:val="00A83D2F"/>
    <w:rsid w:val="00A9257D"/>
    <w:rsid w:val="00A957EB"/>
    <w:rsid w:val="00A975A2"/>
    <w:rsid w:val="00AD50E1"/>
    <w:rsid w:val="00AF59D9"/>
    <w:rsid w:val="00B173B1"/>
    <w:rsid w:val="00B455C6"/>
    <w:rsid w:val="00B74F8A"/>
    <w:rsid w:val="00B95867"/>
    <w:rsid w:val="00BA2570"/>
    <w:rsid w:val="00BC2E6F"/>
    <w:rsid w:val="00BC4203"/>
    <w:rsid w:val="00BD0003"/>
    <w:rsid w:val="00BE0C67"/>
    <w:rsid w:val="00BE3095"/>
    <w:rsid w:val="00C1674E"/>
    <w:rsid w:val="00C16B4F"/>
    <w:rsid w:val="00C32CB2"/>
    <w:rsid w:val="00C504CB"/>
    <w:rsid w:val="00C8011B"/>
    <w:rsid w:val="00C813F2"/>
    <w:rsid w:val="00C95471"/>
    <w:rsid w:val="00CA58B7"/>
    <w:rsid w:val="00CB7FB5"/>
    <w:rsid w:val="00CC007A"/>
    <w:rsid w:val="00CE3D4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96A21"/>
    <w:rsid w:val="00DA5346"/>
    <w:rsid w:val="00DA65BF"/>
    <w:rsid w:val="00DB2123"/>
    <w:rsid w:val="00DC68CB"/>
    <w:rsid w:val="00DE00F9"/>
    <w:rsid w:val="00DE76CD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45E0"/>
    <w:rsid w:val="00EA7047"/>
    <w:rsid w:val="00EB1BA0"/>
    <w:rsid w:val="00EB524B"/>
    <w:rsid w:val="00ED031E"/>
    <w:rsid w:val="00EE2DC0"/>
    <w:rsid w:val="00EF56FF"/>
    <w:rsid w:val="00EF5744"/>
    <w:rsid w:val="00EF789B"/>
    <w:rsid w:val="00F0175E"/>
    <w:rsid w:val="00F03476"/>
    <w:rsid w:val="00F036E5"/>
    <w:rsid w:val="00F059E3"/>
    <w:rsid w:val="00F0608A"/>
    <w:rsid w:val="00F17BAC"/>
    <w:rsid w:val="00F21165"/>
    <w:rsid w:val="00F24F0C"/>
    <w:rsid w:val="00F40701"/>
    <w:rsid w:val="00F601F5"/>
    <w:rsid w:val="00F61486"/>
    <w:rsid w:val="00F87CF5"/>
    <w:rsid w:val="00FB071E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387"/>
  <w15:docId w15:val="{941DDBB8-769C-4606-B592-68A336E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cestovni_r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1DE2-1F2A-4F56-B04C-E0E0CA67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7254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Lošanová Jitka</cp:lastModifiedBy>
  <cp:revision>13</cp:revision>
  <cp:lastPrinted>2015-08-04T11:02:00Z</cp:lastPrinted>
  <dcterms:created xsi:type="dcterms:W3CDTF">2022-01-27T08:53:00Z</dcterms:created>
  <dcterms:modified xsi:type="dcterms:W3CDTF">2022-11-02T12:17:00Z</dcterms:modified>
</cp:coreProperties>
</file>