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E0" w:rsidRDefault="00EE38E0" w:rsidP="00DA2910">
      <w:pPr>
        <w:pStyle w:val="Nadpis1"/>
        <w:numPr>
          <w:ilvl w:val="0"/>
          <w:numId w:val="39"/>
        </w:numPr>
        <w:jc w:val="left"/>
      </w:pPr>
      <w:r>
        <w:t>Nehody podle místa a druhu komunikace</w:t>
      </w:r>
    </w:p>
    <w:p w:rsidR="00EE38E0" w:rsidRDefault="00EE38E0">
      <w:pPr>
        <w:rPr>
          <w:lang/>
        </w:rPr>
      </w:pPr>
    </w:p>
    <w:p w:rsidR="00EE38E0" w:rsidRDefault="00EE38E0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E38E0">
        <w:tc>
          <w:tcPr>
            <w:tcW w:w="1054" w:type="pct"/>
          </w:tcPr>
          <w:p w:rsidR="00EE38E0" w:rsidRDefault="0023076D" w:rsidP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 většině nehod dochází na komunikacích v obcích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>Navzdory citelnému poklesu v poslední dekádě je stále většina nehod soustředěna na komunikace v obcích. V </w:t>
            </w:r>
            <w:proofErr w:type="spellStart"/>
            <w:r>
              <w:t>intravilánu</w:t>
            </w:r>
            <w:proofErr w:type="spellEnd"/>
            <w:r>
              <w:t xml:space="preserve"> (vymezeného dle dopravního značení) se v roce 2011 stalo sedm z deseti nehod v celé ČR, v případě nehod se zraněním či usmrcením osob pak šest z deseti nehod. Dopravní nehody vzniklé v </w:t>
            </w:r>
            <w:proofErr w:type="spellStart"/>
            <w:r>
              <w:t>extravilánu</w:t>
            </w:r>
            <w:proofErr w:type="spellEnd"/>
            <w:r>
              <w:t xml:space="preserve"> se dlouhodobě vyznačují závažnějšími materiálními i nemateriálními důsledky - v období let 2009-2011 zde na jednu nehodu připadalo 4,5krát více zemřelých a 2,2krát více těžce zraněných osob než u nehod v </w:t>
            </w:r>
            <w:proofErr w:type="spellStart"/>
            <w:r>
              <w:t>intravilánu</w:t>
            </w:r>
            <w:proofErr w:type="spellEnd"/>
            <w:r>
              <w:t>. Vyšší závažnost nehod mimo obce je způsobena jiným zastoupením hlavních příčin nehodovosti a zčásti i odlišnou strukturou jejich účastníků. V </w:t>
            </w:r>
            <w:proofErr w:type="spellStart"/>
            <w:r>
              <w:t>extravilánu</w:t>
            </w:r>
            <w:proofErr w:type="spellEnd"/>
            <w:r>
              <w:t xml:space="preserve"> připadá větší podíl nehod vlivem nepřiměřené rychlosti (v roce 2011 třetina nehod, v </w:t>
            </w:r>
            <w:proofErr w:type="spellStart"/>
            <w:r>
              <w:t>intravilánu</w:t>
            </w:r>
            <w:proofErr w:type="spellEnd"/>
            <w:r>
              <w:t xml:space="preserve"> jen osmina) a nesprávného předjíždění. Mezi účastníky nacházíme u nehod mimo obce častěji spolujezdce v osobních automobilech, osádky nákladních aut a motocyklisty.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</w:tbl>
    <w:p w:rsidR="008B55C7" w:rsidRDefault="008B55C7" w:rsidP="008B55C7"/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46"/>
        <w:gridCol w:w="8364"/>
      </w:tblGrid>
      <w:tr w:rsidR="008B55C7" w:rsidTr="008B55C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8B55C7" w:rsidRDefault="00B40861" w:rsidP="00B40861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D6563D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</w:t>
            </w:r>
          </w:p>
        </w:tc>
        <w:tc>
          <w:tcPr>
            <w:tcW w:w="4307" w:type="pct"/>
            <w:tcBorders>
              <w:top w:val="nil"/>
              <w:left w:val="nil"/>
              <w:bottom w:val="nil"/>
              <w:right w:val="nil"/>
            </w:tcBorders>
          </w:tcPr>
          <w:p w:rsidR="00B40861" w:rsidRPr="00B40861" w:rsidRDefault="008B55C7" w:rsidP="00B40861">
            <w:pPr>
              <w:pStyle w:val="Nadpis2"/>
              <w:numPr>
                <w:ilvl w:val="0"/>
                <w:numId w:val="0"/>
              </w:numPr>
              <w:spacing w:before="0" w:after="0"/>
              <w:jc w:val="left"/>
              <w:rPr>
                <w:rFonts w:cs="Arial"/>
                <w:sz w:val="20"/>
                <w:szCs w:val="20"/>
                <w:lang w:val="cs-CZ"/>
              </w:rPr>
            </w:pPr>
            <w:r w:rsidRPr="008B55C7">
              <w:rPr>
                <w:rFonts w:cs="Arial"/>
                <w:sz w:val="20"/>
                <w:szCs w:val="20"/>
              </w:rPr>
              <w:t>Vývoj počtu dopravních nehod s následky podle místa vzniku v</w:t>
            </w:r>
            <w:r w:rsidR="00B40861">
              <w:rPr>
                <w:rFonts w:cs="Arial"/>
                <w:sz w:val="20"/>
                <w:szCs w:val="20"/>
              </w:rPr>
              <w:t> </w:t>
            </w:r>
            <w:r w:rsidRPr="008B55C7">
              <w:rPr>
                <w:rFonts w:cs="Arial"/>
                <w:sz w:val="20"/>
                <w:szCs w:val="20"/>
              </w:rPr>
              <w:t>ČR</w:t>
            </w:r>
          </w:p>
        </w:tc>
      </w:tr>
    </w:tbl>
    <w:p w:rsidR="008B55C7" w:rsidRDefault="001A6A25" w:rsidP="008B55C7">
      <w:r w:rsidRPr="001A6A2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36.75pt;height:201.6pt">
            <v:imagedata r:id="rId8" o:title=""/>
          </v:shape>
        </w:pict>
      </w:r>
      <w:r w:rsidRPr="001A6A25">
        <w:pict>
          <v:shape id="_x0000_i1029" type="#_x0000_t75" style="width:242.5pt;height:201.6pt">
            <v:imagedata r:id="rId9" o:title=""/>
          </v:shape>
        </w:pict>
      </w:r>
    </w:p>
    <w:p w:rsidR="008B55C7" w:rsidRDefault="008B55C7" w:rsidP="008B55C7">
      <w:r>
        <w:rPr>
          <w:sz w:val="18"/>
        </w:rPr>
        <w:t>Pramen: Policejní prezidium ČR, vlastní výpočty</w:t>
      </w:r>
    </w:p>
    <w:p w:rsidR="008B55C7" w:rsidRDefault="008B55C7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E38E0">
        <w:tc>
          <w:tcPr>
            <w:tcW w:w="1054" w:type="pct"/>
          </w:tcPr>
          <w:p w:rsidR="00EE38E0" w:rsidRDefault="0023076D" w:rsidP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 i když počet usmrcených řidičů klesl v roce 2011 proti roku 2001 o 54 % a spolujezdců dokonce o 72 %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23076D" w:rsidRDefault="008B55C7" w:rsidP="008B55C7">
            <w:r>
              <w:t>Počet nehod i jejich důsledků se v poslední dekádě vyvíjel v </w:t>
            </w:r>
            <w:proofErr w:type="spellStart"/>
            <w:r>
              <w:t>intravilánu</w:t>
            </w:r>
            <w:proofErr w:type="spellEnd"/>
            <w:r>
              <w:t xml:space="preserve"> příznivěji než na komunikacích mimo obce. Četnost nehod se zraněním či usmrcením osob v obcích od roku 2003 nepřetržitě klesá, vyjma roku 2011, kdy se tento pozitivní trend zastavil. </w:t>
            </w:r>
          </w:p>
          <w:p w:rsidR="0023076D" w:rsidRDefault="0023076D" w:rsidP="008B55C7"/>
          <w:p w:rsidR="008B55C7" w:rsidRDefault="008B55C7" w:rsidP="008B55C7">
            <w:r>
              <w:t>V roce 2011 zemřelo při nehodách v </w:t>
            </w:r>
            <w:proofErr w:type="spellStart"/>
            <w:r>
              <w:t>intravilánu</w:t>
            </w:r>
            <w:proofErr w:type="spellEnd"/>
            <w:r>
              <w:t xml:space="preserve"> o 53 % méně než </w:t>
            </w:r>
            <w:r w:rsidR="0023076D">
              <w:t xml:space="preserve">před deseti </w:t>
            </w:r>
            <w:proofErr w:type="spellStart"/>
            <w:r w:rsidR="0023076D">
              <w:t>elty</w:t>
            </w:r>
            <w:proofErr w:type="spellEnd"/>
            <w:r>
              <w:t>, významný byl i pokles počtu lehce zraněných osob, kterých bylo o téměř o čtvrtinu méně. Na příznivém vývoji důsledků nehod v obcích se významně podílely osobní automobily (s redukcí počtu usmrcených řidičů o 54 % a spolujezdců dokonce o 72 %), z méně četných obětí nehod pak řidiči malých motocyklů a nákladních aut</w:t>
            </w:r>
            <w:r w:rsidR="0023076D">
              <w:t>omobilů</w:t>
            </w:r>
            <w:r>
              <w:t>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c>
          <w:tcPr>
            <w:tcW w:w="1054" w:type="pct"/>
          </w:tcPr>
          <w:p w:rsidR="00EE38E0" w:rsidRDefault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 nehod mimo obec klesl v roce 2011 proti roku 2001 počet usmrcených i těžce zraněných o 42 %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>U nehodovosti v </w:t>
            </w:r>
            <w:proofErr w:type="spellStart"/>
            <w:r>
              <w:t>extravilánu</w:t>
            </w:r>
            <w:proofErr w:type="spellEnd"/>
            <w:r>
              <w:t xml:space="preserve"> pozorujeme příznivý vývoj až od roku 2007. Zatímco četnost nejzávažnějších nehod se zde snižovala plynule již od roku 2004, do celkově méně příznivého vývoje však více promlouvaly početněji zastoupené nehody s lehkým zraněním osob, jejichž četnost se zde mezi roky 2000 a 2003 dokonce navýšila o pětinu. Za poslední dekádu klesl u nehod mimo obce počet usmrcených i těžce zraněných  o 42, resp. 44 % (tedy mírně pomalejším tempem než u nehod v </w:t>
            </w:r>
            <w:proofErr w:type="spellStart"/>
            <w:r>
              <w:t>intravilánu</w:t>
            </w:r>
            <w:proofErr w:type="spellEnd"/>
            <w:r>
              <w:t>), v případě lehce zraněných byly ale ještě v roce 2009 jejich počty na úrovni roku 2000. Hlubšímu poklesu usmrcených bránil stále relativně vysoký počet obětí nehod za volantem osobních i nákladních aut (mezi roky 2000 a 2011 se snížil pouze o třetinu, resp. pětinu) a stagnující počet zemřelých motocyklistů.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c>
          <w:tcPr>
            <w:tcW w:w="1054" w:type="pct"/>
          </w:tcPr>
          <w:p w:rsidR="00EE38E0" w:rsidRDefault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Podíl nehod na dálnicích představoval v roce 2011 jen 3 % nehod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E38E0" w:rsidRDefault="008B55C7" w:rsidP="0023076D">
            <w:r>
              <w:t>Nehodovost se neodlišuje pouze podle přítomnosti zástavby podél dopravních cest, ale také v závislosti na druhu komunikace. Vzhledem k délce sítě (blížící se 100 tis. km) není překvapivé, že největší díl z celkového počtu nehod je dlouhodobě situováno na místní komunikace. Téměř třetina z veškerých dopravních nehod v ČR se v roce 2011 udála na tzv. ostatních místních komunikacích. Ty zahrnují 70-80 % komunikační sítě ve čtyřech největších městech ČR (nejsou v nich zahrnuty nejvytíženější úseky) a ostatní komunikace v </w:t>
            </w:r>
            <w:proofErr w:type="spellStart"/>
            <w:r>
              <w:t>intravilánu</w:t>
            </w:r>
            <w:proofErr w:type="spellEnd"/>
            <w:r>
              <w:t xml:space="preserve"> jiných měst i obcí ČR a dále komunikace v </w:t>
            </w:r>
            <w:proofErr w:type="spellStart"/>
            <w:r>
              <w:t>extravilánu</w:t>
            </w:r>
            <w:proofErr w:type="spellEnd"/>
            <w:r>
              <w:t xml:space="preserve">, které mají pouze místní význam a slouží k dopravní obsluze malých území. Šestina z republikového počtu nehod pak připadá na nejvytíženější úseky v rámci Prahy, Ostravy, Brna, Plzně (viz místní komunikace a uzlové křižovatky ve vybraných městech). Zbývají polovina nehod v ČR je přibližně srovnatelně rozložena mezi silnice I., II. a III. třídy. Podíl dálnic na celkové nehodovosti byl v roce 2011 necelá 3 %, na účelové komunikace (lesní a polní cesty, ale např. i parkoviště) připadala každá dvacátá nehoda. </w:t>
            </w:r>
          </w:p>
        </w:tc>
      </w:tr>
    </w:tbl>
    <w:p w:rsidR="008B55C7" w:rsidRDefault="008B55C7" w:rsidP="008B55C7"/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78"/>
        <w:gridCol w:w="8432"/>
      </w:tblGrid>
      <w:tr w:rsidR="008B55C7" w:rsidTr="008B55C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B40861" w:rsidRDefault="008B55C7" w:rsidP="008B55C7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="00B40861"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č.3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</w:t>
            </w:r>
          </w:p>
        </w:tc>
        <w:tc>
          <w:tcPr>
            <w:tcW w:w="4342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8B55C7" w:rsidRDefault="008B55C7" w:rsidP="008B55C7">
            <w:pPr>
              <w:pStyle w:val="Nadpis2"/>
              <w:numPr>
                <w:ilvl w:val="0"/>
                <w:numId w:val="0"/>
              </w:numPr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8B55C7">
              <w:rPr>
                <w:rFonts w:cs="Arial"/>
                <w:sz w:val="20"/>
                <w:szCs w:val="20"/>
              </w:rPr>
              <w:t>Vývoj počtu osob s následky na zdraví podle druhu komunikace vzniku nehody</w:t>
            </w:r>
          </w:p>
        </w:tc>
      </w:tr>
    </w:tbl>
    <w:p w:rsidR="008B55C7" w:rsidRDefault="000616DD" w:rsidP="008B55C7">
      <w:r>
        <w:rPr>
          <w:noProof/>
        </w:rPr>
      </w:r>
      <w:r>
        <w:pict>
          <v:shape id="_x0000_s1117" type="#_x0000_t75" style="width:242.15pt;height:200.85pt;mso-position-horizontal-relative:char;mso-position-vertical-relative:line">
            <v:imagedata r:id="rId10" o:title=""/>
            <w10:anchorlock/>
          </v:shape>
        </w:pict>
      </w:r>
      <w:r>
        <w:rPr>
          <w:noProof/>
        </w:rPr>
      </w:r>
      <w:r>
        <w:pict>
          <v:shape id="_x0000_s1118" type="#_x0000_t75" style="width:238.1pt;height:199.95pt;mso-position-horizontal-relative:char;mso-position-vertical-relative:line">
            <v:imagedata r:id="rId11" o:title=""/>
            <w10:anchorlock/>
          </v:shape>
        </w:pict>
      </w:r>
    </w:p>
    <w:p w:rsidR="008B55C7" w:rsidRDefault="008B55C7" w:rsidP="008B55C7">
      <w:r>
        <w:rPr>
          <w:sz w:val="18"/>
        </w:rPr>
        <w:t>Pramen: Policejní prezidium ČR, vlastní výpočty</w:t>
      </w:r>
    </w:p>
    <w:p w:rsidR="00EE38E0" w:rsidRDefault="00EE38E0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E38E0">
        <w:tc>
          <w:tcPr>
            <w:tcW w:w="1054" w:type="pct"/>
          </w:tcPr>
          <w:p w:rsidR="00EE38E0" w:rsidRDefault="0023076D" w:rsidP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Nepřiměřená rychlost jako příčina nehody je častěji zastoupena na silnicích III. třídy (třetina nehod) 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>Nehody na jednotlivých komunikacích se liší také skladbou hlavních příčin. Nepřiměřená rychlost bývá častěji zastoupena mezi nehodami na dálnicích a trochu překvapivě na silnicích III. třídy, v obou případech zde měla v roce 2011 na svědomí každou třetí nehodu. Podíl nehod vlivem vysoké rychlosti klesal v posledních letech s rostoucím významem silnice (u silnic II. třídy byl nižší než u silnic III. třídy; na silnicích I. třídy nedosahoval váhy typické pro silnice II, třídy). Na silnicích I. a II. třídy jsou naopak častěji zastoupeny nehody vinou nesprávného předjíždění. Nedání přednosti tvoří převládající příčinu nehod především ve velkých městech. Nesprávný způsob jízdy jde na vrub více než ¾ nehod na ostatních místních komunikacích a na účelových komunikacích.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c>
          <w:tcPr>
            <w:tcW w:w="1054" w:type="pct"/>
          </w:tcPr>
          <w:p w:rsidR="00EE38E0" w:rsidRDefault="0023076D" w:rsidP="0023076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Nehody s následky na zdraví nejčastější na silnicích I. a II. třídy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 xml:space="preserve">Sledujeme-li pouze nehody s následky na zdraví, je jejich rozložení odlišné. Dlouhodobě nejvíce se soustřeďují na silnice I. a II. třídy – každá z nich zahrnuje pětinu z celkového počtu nehod. Každá šestá nehoda se stane na silnicích III. třídy, které zajišťují kratší dopravní vazby, především uvnitř okresů. Ve velkých městech a na ostatních místních či účelových komunikacích se v roce 2011 přihodilo 36 % nehod s následky na zdraví, na veškerých nehodách se však tyto komunikace podílely 54 %. 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c>
          <w:tcPr>
            <w:tcW w:w="1054" w:type="pct"/>
          </w:tcPr>
          <w:p w:rsidR="00EE38E0" w:rsidRDefault="00205DEC" w:rsidP="00205DEC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letech 2000-2004 rudce rostl počty zraněných na dálnici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 xml:space="preserve">Za poslední desetiletí došlo v ČR k postupnému poklesu počtu usmrcených i těžce zraněných osob na všech druzích komunikací. Plynule a nejintenzivněji se snižovaly na vytíženějších komunikacích v největších městech, mezi roky 2000 a 2011 zde v úhrnu zaznamenaly téměř 60% pokles těžce zraněných a usmrcených. Pomalejší (40 %) byla v tomto období redukce počtu vážných nehod na silnicích II. tříd a dálnicích, a to především vlivem méně příznivého vývoje v prvních letech po </w:t>
            </w:r>
            <w:r>
              <w:lastRenderedPageBreak/>
              <w:t>roce 2000. V případě lehce zraněných osob byl v poslední dekádě vývo</w:t>
            </w:r>
            <w:r w:rsidR="00AB57A2">
              <w:t>j na různých druzích komunikací</w:t>
            </w:r>
            <w:r>
              <w:t xml:space="preserve"> mnohem diferencovanější. Významně</w:t>
            </w:r>
            <w:r w:rsidR="00AB57A2">
              <w:t xml:space="preserve">jší poklesy byly patrné pouze </w:t>
            </w:r>
            <w:r>
              <w:t>na vytíženějších komunikacích v největších měst, a to především v období 2004-2007. V dlouhodobém pohledu se snižuje počet lehce zraněných osob také na silnicích I. třídy, v roce 2011 byl o pětinu pod úrovní roku 2000. Rozšiřující se síť dálnic v kombinaci s rychle rostoucími dopravními výkony (za poslední dekádu o dvojnásobek) zřejmě stojí za nepříznivým vývojem počtu zraněných osob na dálnicích (ty prudce rostly mezi roky 2000 a 2004, od té doby spíše stagnují).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rPr>
          <w:cantSplit/>
          <w:trHeight w:val="110"/>
        </w:trPr>
        <w:tc>
          <w:tcPr>
            <w:tcW w:w="1054" w:type="pct"/>
          </w:tcPr>
          <w:p w:rsidR="00EE38E0" w:rsidRDefault="00205DEC" w:rsidP="00205DEC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Délka komunikací jako faktor četnosti nehod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spacing w:val="-2"/>
                <w:lang w:val="cs-CZ" w:eastAsia="cs-CZ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>Četnost nehod podle druhů komunikace odráží především délku jednotlivých komunikací v celé ČR a také jejich hierarchii v dopravním systému, vyjádřenou např. intenzit</w:t>
            </w:r>
            <w:r w:rsidR="00AB57A2">
              <w:t>o</w:t>
            </w:r>
            <w:r>
              <w:t>u dopravu. Chceme-li porovnat riziko nehodovosti, popř. závažnost jejich následků, je potřeba provést vhodnou relativizaci počtu nehod.</w:t>
            </w:r>
          </w:p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EE38E0">
        <w:trPr>
          <w:cantSplit/>
          <w:trHeight w:val="107"/>
        </w:trPr>
        <w:tc>
          <w:tcPr>
            <w:tcW w:w="1054" w:type="pct"/>
          </w:tcPr>
          <w:p w:rsidR="00EE38E0" w:rsidRDefault="00205DEC" w:rsidP="00205DEC">
            <w:pPr>
              <w:jc w:val="lef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Komunikace ve velkých městech relativně bezpečné</w:t>
            </w:r>
          </w:p>
        </w:tc>
        <w:tc>
          <w:tcPr>
            <w:tcW w:w="142" w:type="pct"/>
          </w:tcPr>
          <w:p w:rsidR="00EE38E0" w:rsidRDefault="00EE38E0">
            <w:pPr>
              <w:jc w:val="left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3804" w:type="pct"/>
          </w:tcPr>
          <w:p w:rsidR="008B55C7" w:rsidRDefault="008B55C7" w:rsidP="008B55C7">
            <w:r>
              <w:t>Jednou z takových možností je poměření četnosti zraněných, resp. usmrcených osob a počtu všech dopravních nehod. S ohledem na měnící se metodické vymezení celkového počtu nehod (viz výše) byly sledovány celkové nehody pouze v období 2009-2011, kdy jejich vývoj plně vyjadřuje skutečné te</w:t>
            </w:r>
            <w:r w:rsidR="00AB57A2">
              <w:t>ndence (viz graf 18). Silnice I. až III</w:t>
            </w:r>
            <w:r>
              <w:t>. třídy se vyznačují vyšší</w:t>
            </w:r>
            <w:r>
              <w:rPr>
                <w:i/>
                <w:iCs/>
              </w:rPr>
              <w:t xml:space="preserve"> závažností nehod</w:t>
            </w:r>
            <w:r>
              <w:t>, a to jak z pohledu zraněných osob, tak i usmrcených. Lepší bilanci oproti těmto vytíženým komunikacím měly dálnice, především u zraněných osob. Naopak bezpečnější byly, z pohledu relace zraněných a především usmrcených ke všem nehodám, komunikace ve velkých městech a všechny ostatní místní či účel</w:t>
            </w:r>
            <w:r w:rsidR="00AB57A2">
              <w:t>ové komunikace. Nižší závažnost</w:t>
            </w:r>
            <w:r>
              <w:t xml:space="preserve"> nehod na těchto komunikacích je způsobena odlišným charakterem dopravy, kdy v</w:t>
            </w:r>
            <w:r w:rsidR="00AB57A2">
              <w:t>yšší rychlosti vozidel zde brání</w:t>
            </w:r>
            <w:r>
              <w:t xml:space="preserve"> usměrňování provozu (velká města) či horší technický stav vozovky a terénní podmínky (místní komunikace). Největší rozdíly u závažnosti nehod podle druhu komunikací jsou patrné v případě usmrcených osob - např. na silnicích první I. připadalo v období 2009-2011 na tis. nehod 25 obětí, zatímco na místní komunikace (převážně mimo čtyři největší města ČR) pak 2,7 usmrcených osob.</w:t>
            </w:r>
          </w:p>
          <w:p w:rsidR="00EE38E0" w:rsidRDefault="00EE38E0">
            <w:pPr>
              <w:pStyle w:val="Bezmezer"/>
              <w:rPr>
                <w:rFonts w:cs="Arial"/>
                <w:bCs/>
                <w:iCs/>
                <w:sz w:val="16"/>
                <w:szCs w:val="16"/>
                <w:lang/>
              </w:rPr>
            </w:pPr>
          </w:p>
        </w:tc>
      </w:tr>
    </w:tbl>
    <w:p w:rsidR="00EE38E0" w:rsidRDefault="00EE38E0"/>
    <w:p w:rsidR="006A4820" w:rsidRDefault="006A4820" w:rsidP="006A4820">
      <w:pPr>
        <w:rPr>
          <w:b/>
          <w:bCs/>
        </w:rPr>
      </w:pPr>
      <w:r>
        <w:rPr>
          <w:b/>
          <w:bCs/>
        </w:rPr>
        <w:t xml:space="preserve">Kartogram č.10: </w:t>
      </w:r>
      <w:r w:rsidR="008449EC">
        <w:rPr>
          <w:b/>
          <w:bCs/>
        </w:rPr>
        <w:t>Intenzita celkové nehodovosti na 1 km silnic 1. třídy</w:t>
      </w:r>
    </w:p>
    <w:p w:rsidR="006A4820" w:rsidRPr="006F1942" w:rsidRDefault="006A4820" w:rsidP="006A4820">
      <w:pPr>
        <w:rPr>
          <w:lang/>
        </w:rPr>
      </w:pPr>
      <w:r w:rsidRPr="006F1942">
        <w:rPr>
          <w:bCs/>
        </w:rPr>
        <w:t>(</w:t>
      </w:r>
      <w:r w:rsidR="0029731D">
        <w:rPr>
          <w:bCs/>
        </w:rPr>
        <w:t xml:space="preserve">roční průměr za </w:t>
      </w:r>
      <w:r w:rsidRPr="006F1942">
        <w:rPr>
          <w:bCs/>
        </w:rPr>
        <w:t xml:space="preserve">období 2009—2013, </w:t>
      </w:r>
      <w:r w:rsidR="008449EC">
        <w:rPr>
          <w:bCs/>
        </w:rPr>
        <w:t>nehody na silnicích 1. třídy na 1 km silnic této kategorie</w:t>
      </w:r>
      <w:r w:rsidRPr="006F1942">
        <w:rPr>
          <w:bCs/>
        </w:rPr>
        <w:t>)</w:t>
      </w:r>
    </w:p>
    <w:p w:rsidR="006A4820" w:rsidRDefault="00AD5288">
      <w:r>
        <w:rPr>
          <w:noProof/>
        </w:rPr>
        <w:pict>
          <v:shape id="_x0000_i1030" type="#_x0000_t75" style="width:433.15pt;height:306.45pt">
            <v:imagedata r:id="rId12" o:title="Mapa-22"/>
          </v:shape>
        </w:pict>
      </w:r>
    </w:p>
    <w:p w:rsidR="008449EC" w:rsidRDefault="008449EC" w:rsidP="008B55C7">
      <w:r>
        <w:rPr>
          <w:sz w:val="18"/>
        </w:rPr>
        <w:t xml:space="preserve">Pramen: Policejní prezidium ČR, </w:t>
      </w:r>
      <w:r w:rsidR="00B40861">
        <w:rPr>
          <w:sz w:val="18"/>
        </w:rPr>
        <w:t xml:space="preserve">Ředitelství silnic a dálnic ČR, </w:t>
      </w:r>
      <w:r>
        <w:rPr>
          <w:sz w:val="18"/>
        </w:rPr>
        <w:t>vlastní výpočty</w:t>
      </w:r>
    </w:p>
    <w:p w:rsidR="008449EC" w:rsidRDefault="008449EC" w:rsidP="008449EC">
      <w:pPr>
        <w:rPr>
          <w:b/>
          <w:bCs/>
        </w:rPr>
      </w:pPr>
      <w:r>
        <w:rPr>
          <w:b/>
          <w:bCs/>
        </w:rPr>
        <w:lastRenderedPageBreak/>
        <w:t>Kartogram č.11: Intenzita celkové nehodovosti na 1 km silnic 2. třídy</w:t>
      </w:r>
    </w:p>
    <w:p w:rsidR="008449EC" w:rsidRPr="006F1942" w:rsidRDefault="008449EC" w:rsidP="008449EC">
      <w:pPr>
        <w:rPr>
          <w:lang/>
        </w:rPr>
      </w:pPr>
      <w:r w:rsidRPr="006F1942">
        <w:rPr>
          <w:bCs/>
        </w:rPr>
        <w:t>(</w:t>
      </w:r>
      <w:r w:rsidR="0029731D">
        <w:rPr>
          <w:bCs/>
        </w:rPr>
        <w:t>roční průměr za</w:t>
      </w:r>
      <w:r w:rsidR="0029731D" w:rsidRPr="006F1942">
        <w:rPr>
          <w:bCs/>
        </w:rPr>
        <w:t xml:space="preserve"> </w:t>
      </w:r>
      <w:r w:rsidRPr="006F1942">
        <w:rPr>
          <w:bCs/>
        </w:rPr>
        <w:t xml:space="preserve">období 2009—2013, </w:t>
      </w:r>
      <w:r>
        <w:rPr>
          <w:bCs/>
        </w:rPr>
        <w:t>nehody na silnicích 2. třídy na 1 km silnic této kategorie</w:t>
      </w:r>
      <w:r w:rsidRPr="006F1942">
        <w:rPr>
          <w:bCs/>
        </w:rPr>
        <w:t>)</w:t>
      </w:r>
    </w:p>
    <w:p w:rsidR="008449EC" w:rsidRDefault="00081687" w:rsidP="008449EC">
      <w:r>
        <w:pict>
          <v:shape id="_x0000_i1031" type="#_x0000_t75" style="width:434.3pt;height:307pt">
            <v:imagedata r:id="rId13" o:title="Mapa-23"/>
          </v:shape>
        </w:pict>
      </w:r>
    </w:p>
    <w:p w:rsidR="008449EC" w:rsidRDefault="008449EC" w:rsidP="008449EC">
      <w:r>
        <w:rPr>
          <w:sz w:val="18"/>
        </w:rPr>
        <w:t xml:space="preserve">Pramen: Policejní prezidium ČR, </w:t>
      </w:r>
      <w:r w:rsidR="00B40861">
        <w:rPr>
          <w:sz w:val="18"/>
        </w:rPr>
        <w:t xml:space="preserve">Ředitelství silnic a dálnic ČR, </w:t>
      </w:r>
      <w:r>
        <w:rPr>
          <w:sz w:val="18"/>
        </w:rPr>
        <w:t>vlastní výpočty</w:t>
      </w:r>
    </w:p>
    <w:p w:rsidR="008449EC" w:rsidRDefault="008449EC" w:rsidP="008B55C7"/>
    <w:p w:rsidR="008449EC" w:rsidRDefault="008449EC" w:rsidP="008449EC">
      <w:pPr>
        <w:rPr>
          <w:b/>
          <w:bCs/>
        </w:rPr>
      </w:pPr>
      <w:r>
        <w:rPr>
          <w:b/>
          <w:bCs/>
        </w:rPr>
        <w:t>Kartogram č.12: Intenzita celkové nehodovosti na 1 km silnic 3. třídy</w:t>
      </w:r>
    </w:p>
    <w:p w:rsidR="008449EC" w:rsidRPr="006F1942" w:rsidRDefault="008449EC" w:rsidP="008449EC">
      <w:pPr>
        <w:rPr>
          <w:lang/>
        </w:rPr>
      </w:pPr>
      <w:r w:rsidRPr="006F1942">
        <w:rPr>
          <w:bCs/>
        </w:rPr>
        <w:t>(</w:t>
      </w:r>
      <w:r w:rsidR="0029731D">
        <w:rPr>
          <w:bCs/>
        </w:rPr>
        <w:t>roční průměr za</w:t>
      </w:r>
      <w:r w:rsidR="0029731D" w:rsidRPr="006F1942">
        <w:rPr>
          <w:bCs/>
        </w:rPr>
        <w:t xml:space="preserve"> </w:t>
      </w:r>
      <w:r w:rsidRPr="006F1942">
        <w:rPr>
          <w:bCs/>
        </w:rPr>
        <w:t xml:space="preserve">období 2009—2013, </w:t>
      </w:r>
      <w:r>
        <w:rPr>
          <w:bCs/>
        </w:rPr>
        <w:t>nehody na silnicích 3. třídy na 1 km silnic této kategorie</w:t>
      </w:r>
      <w:r w:rsidRPr="006F1942">
        <w:rPr>
          <w:bCs/>
        </w:rPr>
        <w:t>)</w:t>
      </w:r>
    </w:p>
    <w:p w:rsidR="008449EC" w:rsidRDefault="00550C2F" w:rsidP="008449EC">
      <w:r>
        <w:pict>
          <v:shape id="_x0000_i1032" type="#_x0000_t75" style="width:433.15pt;height:306.45pt">
            <v:imagedata r:id="rId14" o:title="Mapa-24"/>
          </v:shape>
        </w:pict>
      </w:r>
    </w:p>
    <w:p w:rsidR="008449EC" w:rsidRDefault="008449EC" w:rsidP="008449EC">
      <w:r>
        <w:rPr>
          <w:sz w:val="18"/>
        </w:rPr>
        <w:t xml:space="preserve">Pramen: Policejní prezidium ČR, </w:t>
      </w:r>
      <w:r w:rsidR="00B40861">
        <w:rPr>
          <w:sz w:val="18"/>
        </w:rPr>
        <w:t xml:space="preserve">Ředitelství silnic a dálnic ČR, </w:t>
      </w:r>
      <w:r>
        <w:rPr>
          <w:sz w:val="18"/>
        </w:rPr>
        <w:t>vlastní výpočty</w:t>
      </w:r>
    </w:p>
    <w:p w:rsidR="008449EC" w:rsidRDefault="008449EC" w:rsidP="008B55C7"/>
    <w:p w:rsidR="002D1D44" w:rsidRDefault="002D1D44" w:rsidP="008B55C7"/>
    <w:p w:rsidR="00936460" w:rsidRDefault="00936460" w:rsidP="008B55C7"/>
    <w:p w:rsidR="002D1D44" w:rsidRDefault="002D1D44" w:rsidP="002D1D44">
      <w:pPr>
        <w:rPr>
          <w:b/>
          <w:bCs/>
        </w:rPr>
      </w:pPr>
      <w:r>
        <w:rPr>
          <w:b/>
          <w:bCs/>
        </w:rPr>
        <w:lastRenderedPageBreak/>
        <w:t>Kartogram č.</w:t>
      </w:r>
      <w:r w:rsidR="00205DEC">
        <w:rPr>
          <w:b/>
          <w:bCs/>
        </w:rPr>
        <w:t xml:space="preserve"> </w:t>
      </w:r>
      <w:r>
        <w:rPr>
          <w:b/>
          <w:bCs/>
        </w:rPr>
        <w:t>1</w:t>
      </w:r>
      <w:r w:rsidR="00550C2F">
        <w:rPr>
          <w:b/>
          <w:bCs/>
        </w:rPr>
        <w:t>3</w:t>
      </w:r>
      <w:r>
        <w:rPr>
          <w:b/>
          <w:bCs/>
        </w:rPr>
        <w:t>: Intenzita celkové nehodovosti na 1 km místních komunikací</w:t>
      </w:r>
    </w:p>
    <w:p w:rsidR="002D1D44" w:rsidRPr="006F1942" w:rsidRDefault="002D1D44" w:rsidP="002D1D44">
      <w:pPr>
        <w:rPr>
          <w:lang/>
        </w:rPr>
      </w:pPr>
      <w:r w:rsidRPr="006F1942">
        <w:rPr>
          <w:bCs/>
        </w:rPr>
        <w:t>(</w:t>
      </w:r>
      <w:r>
        <w:rPr>
          <w:bCs/>
        </w:rPr>
        <w:t xml:space="preserve">roční průměr za </w:t>
      </w:r>
      <w:r w:rsidRPr="006F1942">
        <w:rPr>
          <w:bCs/>
        </w:rPr>
        <w:t xml:space="preserve">období 2009—2013, </w:t>
      </w:r>
      <w:r>
        <w:rPr>
          <w:bCs/>
        </w:rPr>
        <w:t>nehody na místních komunikacích na 1 km místních komunikací</w:t>
      </w:r>
      <w:r w:rsidRPr="006F1942">
        <w:rPr>
          <w:bCs/>
        </w:rPr>
        <w:t>)</w:t>
      </w:r>
    </w:p>
    <w:p w:rsidR="002D1D44" w:rsidRDefault="00AD5288" w:rsidP="008B55C7">
      <w:r>
        <w:pict>
          <v:shape id="_x0000_i1033" type="#_x0000_t75" style="width:430.85pt;height:305.3pt">
            <v:imagedata r:id="rId15" o:title="Mapa-25"/>
          </v:shape>
        </w:pict>
      </w:r>
    </w:p>
    <w:p w:rsidR="00E85786" w:rsidRDefault="00E85786" w:rsidP="00E85786">
      <w:r>
        <w:rPr>
          <w:sz w:val="18"/>
        </w:rPr>
        <w:t>Pramen: Policejní prezidium ČR, ČSÚ, vlastní výpočty</w:t>
      </w:r>
    </w:p>
    <w:p w:rsidR="008449EC" w:rsidRDefault="008449EC" w:rsidP="008B55C7"/>
    <w:p w:rsidR="008449EC" w:rsidRDefault="008449EC" w:rsidP="008B55C7"/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9"/>
        <w:gridCol w:w="3806"/>
        <w:gridCol w:w="773"/>
        <w:gridCol w:w="4352"/>
      </w:tblGrid>
      <w:tr w:rsidR="008B55C7" w:rsidTr="00FA771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B40861" w:rsidRDefault="00B40861" w:rsidP="008B55C7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</w:t>
            </w:r>
          </w:p>
        </w:tc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8B55C7" w:rsidRDefault="008B55C7" w:rsidP="008B55C7">
            <w:pPr>
              <w:tabs>
                <w:tab w:val="left" w:pos="1072"/>
              </w:tabs>
              <w:jc w:val="left"/>
              <w:rPr>
                <w:rFonts w:cs="Arial"/>
                <w:szCs w:val="20"/>
              </w:rPr>
            </w:pPr>
            <w:r w:rsidRPr="008B55C7">
              <w:rPr>
                <w:rFonts w:cs="Arial"/>
                <w:b/>
                <w:bCs/>
                <w:szCs w:val="20"/>
              </w:rPr>
              <w:t>Srovnání míry závažnosti dopravních nehod dle druhu pozemních komunikací v ČR,</w:t>
            </w:r>
            <w:r w:rsidR="00FA7710">
              <w:rPr>
                <w:rFonts w:cs="Arial"/>
                <w:szCs w:val="20"/>
              </w:rPr>
              <w:t xml:space="preserve"> období 2009-2013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8B55C7" w:rsidRDefault="00B40861" w:rsidP="008B55C7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</w:t>
            </w:r>
          </w:p>
        </w:tc>
        <w:tc>
          <w:tcPr>
            <w:tcW w:w="2241" w:type="pct"/>
            <w:tcBorders>
              <w:top w:val="nil"/>
              <w:left w:val="nil"/>
              <w:bottom w:val="nil"/>
              <w:right w:val="nil"/>
            </w:tcBorders>
          </w:tcPr>
          <w:p w:rsidR="008B55C7" w:rsidRPr="008B55C7" w:rsidRDefault="008B55C7" w:rsidP="008B55C7">
            <w:pPr>
              <w:pStyle w:val="Nadpis2"/>
              <w:numPr>
                <w:ilvl w:val="0"/>
                <w:numId w:val="0"/>
              </w:numPr>
              <w:spacing w:before="0" w:after="0"/>
              <w:jc w:val="left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8B55C7">
              <w:rPr>
                <w:rFonts w:cs="Arial"/>
                <w:iCs w:val="0"/>
                <w:sz w:val="20"/>
                <w:szCs w:val="20"/>
              </w:rPr>
              <w:t xml:space="preserve">Počet nehod s následky na zdraví v relaci k intenzitě dopravy </w:t>
            </w:r>
            <w:r w:rsidRPr="00EB1E28">
              <w:rPr>
                <w:rFonts w:cs="Arial"/>
                <w:b w:val="0"/>
                <w:iCs w:val="0"/>
                <w:sz w:val="20"/>
                <w:szCs w:val="20"/>
              </w:rPr>
              <w:t xml:space="preserve">(ujeté </w:t>
            </w:r>
            <w:proofErr w:type="spellStart"/>
            <w:r w:rsidRPr="00EB1E28">
              <w:rPr>
                <w:rFonts w:cs="Arial"/>
                <w:b w:val="0"/>
                <w:iCs w:val="0"/>
                <w:sz w:val="20"/>
                <w:szCs w:val="20"/>
              </w:rPr>
              <w:t>vozokm</w:t>
            </w:r>
            <w:proofErr w:type="spellEnd"/>
            <w:r w:rsidRPr="00EB1E28">
              <w:rPr>
                <w:rFonts w:cs="Arial"/>
                <w:b w:val="0"/>
                <w:iCs w:val="0"/>
                <w:sz w:val="20"/>
                <w:szCs w:val="20"/>
              </w:rPr>
              <w:t xml:space="preserve">) </w:t>
            </w:r>
            <w:r w:rsidRPr="008B55C7">
              <w:rPr>
                <w:rFonts w:cs="Arial"/>
                <w:iCs w:val="0"/>
                <w:sz w:val="20"/>
                <w:szCs w:val="20"/>
              </w:rPr>
              <w:t xml:space="preserve">podle hlavních druhů </w:t>
            </w:r>
            <w:r w:rsidRPr="008B55C7">
              <w:rPr>
                <w:rFonts w:cs="Arial"/>
                <w:sz w:val="20"/>
                <w:szCs w:val="20"/>
              </w:rPr>
              <w:t>pozemních komunikací v ČR</w:t>
            </w:r>
          </w:p>
        </w:tc>
      </w:tr>
    </w:tbl>
    <w:p w:rsidR="008B55C7" w:rsidRDefault="00B40861" w:rsidP="008B55C7">
      <w:r w:rsidRPr="00B40861">
        <w:pict>
          <v:shape id="_x0000_i1034" type="#_x0000_t75" style="width:226.35pt;height:231.55pt">
            <v:imagedata r:id="rId16" o:title=""/>
          </v:shape>
        </w:pict>
      </w:r>
      <w:r w:rsidRPr="00B40861">
        <w:pict>
          <v:shape id="_x0000_i1035" type="#_x0000_t75" style="width:241.35pt;height:231pt">
            <v:imagedata r:id="rId17" o:title=""/>
          </v:shape>
        </w:pict>
      </w:r>
    </w:p>
    <w:p w:rsidR="00FA7710" w:rsidRPr="00FA7710" w:rsidRDefault="00FA7710" w:rsidP="00FA7710">
      <w:pPr>
        <w:autoSpaceDE w:val="0"/>
        <w:autoSpaceDN w:val="0"/>
        <w:adjustRightInd w:val="0"/>
        <w:jc w:val="left"/>
        <w:rPr>
          <w:sz w:val="18"/>
        </w:rPr>
      </w:pPr>
      <w:r w:rsidRPr="00FA7710">
        <w:rPr>
          <w:sz w:val="18"/>
        </w:rPr>
        <w:t>Pozn.: Pro výpočet relativní nehodovosti byly použity dopravní výkony podle celostátního sčítání dopravy, které byly od roku 2010 oproti předchozím sčítáním vypočtené podle nové metodiky</w:t>
      </w:r>
    </w:p>
    <w:p w:rsidR="008B55C7" w:rsidRDefault="008B55C7" w:rsidP="008B55C7">
      <w:pPr>
        <w:rPr>
          <w:sz w:val="18"/>
        </w:rPr>
      </w:pPr>
      <w:r>
        <w:rPr>
          <w:sz w:val="18"/>
        </w:rPr>
        <w:t>Pramen: Policejní prezidium ČR, Ředitelství silnic a dálnic ČR. Centrum dopravního výzkumu – observatoř bezpečnosti silničního provozu, vlastní výpočty</w:t>
      </w:r>
    </w:p>
    <w:p w:rsidR="00205DEC" w:rsidRDefault="00205DEC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8B55C7" w:rsidTr="00E615DF">
        <w:tc>
          <w:tcPr>
            <w:tcW w:w="1054" w:type="pct"/>
          </w:tcPr>
          <w:p w:rsidR="008B55C7" w:rsidRDefault="00205DEC" w:rsidP="00E615DF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Relace počtu nehod a dopravního výkonu</w:t>
            </w:r>
          </w:p>
        </w:tc>
        <w:tc>
          <w:tcPr>
            <w:tcW w:w="142" w:type="pct"/>
          </w:tcPr>
          <w:p w:rsidR="008B55C7" w:rsidRDefault="008B55C7" w:rsidP="00E615DF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205DEC" w:rsidRDefault="00557ACF" w:rsidP="00557ACF">
            <w:r>
              <w:t xml:space="preserve">Pro porovnání </w:t>
            </w:r>
            <w:r>
              <w:rPr>
                <w:i/>
                <w:iCs/>
              </w:rPr>
              <w:t>rizikovosti nehod</w:t>
            </w:r>
            <w:r>
              <w:t xml:space="preserve"> na dálnicích a silnicích nebo jejich vybraných úsecích je nejobjektivnějším měřítkem relativní nehodovost vyjádřená jako poměr počtu osobních nehod (tj. nehody s usmrcením, těžkým a lehkým zraněním) </w:t>
            </w:r>
            <w:r>
              <w:lastRenderedPageBreak/>
              <w:t xml:space="preserve">vztažený k dopravnímu výkonu za rok (v tzv. </w:t>
            </w:r>
            <w:proofErr w:type="spellStart"/>
            <w:r>
              <w:t>vozokilometrech</w:t>
            </w:r>
            <w:proofErr w:type="spellEnd"/>
            <w:r>
              <w:t xml:space="preserve">). S ohledem na dostupnost srovnatelných údajů v dlouhé časové řadě byly sledovány pouze čtyři nejvýznamnější druhy pozemních komunikací, na kterých se v ČR realizuje drtivá většina všech výkonů silniční dopravy (viz graf 19). Z výsledků vyplývá, že navzdory převládajícímu mínění laické veřejnosti, jsou nejmenšímu riziku osobních nehod vystaveni řidiči na dálnicích. </w:t>
            </w:r>
          </w:p>
          <w:p w:rsidR="00205DEC" w:rsidRDefault="00205DEC" w:rsidP="00557ACF"/>
          <w:p w:rsidR="00557ACF" w:rsidRDefault="00557ACF" w:rsidP="00557ACF">
            <w:pPr>
              <w:rPr>
                <w:sz w:val="18"/>
              </w:rPr>
            </w:pPr>
            <w:r>
              <w:t>Relativní nehodovost byla v roce 2010 v ČR oproti dálnicím na silnicích I. tříd vyšší 4,2krát, na silnicích II. tříd 6,7krát a na silnicích III. 8,4krát. K poklesu hodnot relativní nehodovosti dochází dlouhodobě na všech hodnocených komunikacích, byť v případě silnic nižší třídy započal později – až v druhé polovině 90.let. K relativně nejmenší redukci rizika osobních nehod došlo od roku 1989 na silnicích II. tříd.</w:t>
            </w:r>
            <w:r>
              <w:rPr>
                <w:sz w:val="18"/>
              </w:rPr>
              <w:t xml:space="preserve"> </w:t>
            </w:r>
          </w:p>
          <w:p w:rsidR="008B55C7" w:rsidRDefault="008B55C7" w:rsidP="008B55C7"/>
        </w:tc>
      </w:tr>
      <w:tr w:rsidR="008B55C7" w:rsidTr="00E615DF">
        <w:tc>
          <w:tcPr>
            <w:tcW w:w="1054" w:type="pct"/>
          </w:tcPr>
          <w:p w:rsidR="008B55C7" w:rsidRDefault="00205DEC" w:rsidP="00E615DF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Obchvaty a mimoúrovňové křižovatky  snižují riziko vážných nehod</w:t>
            </w:r>
          </w:p>
        </w:tc>
        <w:tc>
          <w:tcPr>
            <w:tcW w:w="142" w:type="pct"/>
          </w:tcPr>
          <w:p w:rsidR="008B55C7" w:rsidRDefault="008B55C7" w:rsidP="00E615DF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8B55C7" w:rsidRPr="00205DEC" w:rsidRDefault="00557ACF" w:rsidP="00205DEC">
            <w:pPr>
              <w:rPr>
                <w:rFonts w:cs="Arial"/>
              </w:rPr>
            </w:pPr>
            <w:r>
              <w:rPr>
                <w:rFonts w:cs="Arial"/>
              </w:rPr>
              <w:t>Dálnice jsou bezpečnější díky svému řešení a vybavení. Významný vliv na to má pevné oddělení protisměrných dopravních proudů a jejich trasováni mimo zastavěná území. Pozitivní roli zřejmě sehrává i telematika a celkově vyspělejší metody řízení dopravy na dálnicích. Rizikovost vážných nehod na silnicích I. tříd mohou zmírnit např. obchvaty měst či jiné rozšiřování mimoúrovňového křížení s jinými komunikacemi.</w:t>
            </w:r>
          </w:p>
        </w:tc>
      </w:tr>
    </w:tbl>
    <w:p w:rsidR="008B55C7" w:rsidRDefault="008B55C7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921"/>
        <w:gridCol w:w="757"/>
        <w:gridCol w:w="4253"/>
      </w:tblGrid>
      <w:tr w:rsidR="00557ACF" w:rsidTr="00B40861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57ACF" w:rsidRPr="00557ACF" w:rsidRDefault="00B40861" w:rsidP="00557ACF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9</w:t>
            </w:r>
          </w:p>
        </w:tc>
        <w:tc>
          <w:tcPr>
            <w:tcW w:w="2019" w:type="pct"/>
            <w:tcBorders>
              <w:top w:val="nil"/>
              <w:left w:val="nil"/>
              <w:bottom w:val="nil"/>
              <w:right w:val="nil"/>
            </w:tcBorders>
          </w:tcPr>
          <w:p w:rsidR="00557ACF" w:rsidRPr="00557ACF" w:rsidRDefault="00557ACF" w:rsidP="00557ACF">
            <w:pPr>
              <w:tabs>
                <w:tab w:val="left" w:pos="1072"/>
              </w:tabs>
              <w:jc w:val="left"/>
              <w:rPr>
                <w:rFonts w:cs="Arial"/>
                <w:szCs w:val="20"/>
              </w:rPr>
            </w:pPr>
            <w:r w:rsidRPr="00557ACF">
              <w:rPr>
                <w:rFonts w:cs="Arial"/>
                <w:b/>
                <w:bCs/>
                <w:szCs w:val="20"/>
              </w:rPr>
              <w:t xml:space="preserve">Srovnání míry závažnosti dopravních nehod dle </w:t>
            </w:r>
            <w:r w:rsidRPr="00557ACF">
              <w:rPr>
                <w:rFonts w:cs="Arial"/>
                <w:b/>
                <w:bCs/>
                <w:iCs/>
                <w:szCs w:val="20"/>
              </w:rPr>
              <w:t>směrových poměrů komunikace</w:t>
            </w:r>
            <w:r w:rsidRPr="00557ACF">
              <w:rPr>
                <w:rFonts w:cs="Arial"/>
                <w:b/>
                <w:bCs/>
                <w:szCs w:val="20"/>
              </w:rPr>
              <w:t xml:space="preserve"> v ČR,</w:t>
            </w:r>
            <w:r w:rsidR="00F03E6D">
              <w:rPr>
                <w:rFonts w:cs="Arial"/>
                <w:szCs w:val="20"/>
              </w:rPr>
              <w:t xml:space="preserve"> období 2009-201</w:t>
            </w:r>
            <w:r w:rsidR="00981FEA">
              <w:rPr>
                <w:rFonts w:cs="Arial"/>
                <w:szCs w:val="20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</w:tcPr>
          <w:p w:rsidR="00557ACF" w:rsidRPr="00557ACF" w:rsidRDefault="00B40861" w:rsidP="00557ACF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40</w:t>
            </w:r>
          </w:p>
        </w:tc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</w:tcPr>
          <w:p w:rsidR="00557ACF" w:rsidRPr="00557ACF" w:rsidRDefault="00557ACF" w:rsidP="00557ACF">
            <w:pPr>
              <w:pStyle w:val="Nadpis2"/>
              <w:numPr>
                <w:ilvl w:val="0"/>
                <w:numId w:val="0"/>
              </w:numPr>
              <w:spacing w:before="0" w:after="0"/>
              <w:jc w:val="left"/>
              <w:rPr>
                <w:rFonts w:cs="Arial"/>
                <w:iCs w:val="0"/>
                <w:sz w:val="20"/>
                <w:szCs w:val="20"/>
              </w:rPr>
            </w:pPr>
            <w:r w:rsidRPr="00557ACF">
              <w:rPr>
                <w:rFonts w:cs="Arial"/>
                <w:iCs w:val="0"/>
                <w:sz w:val="20"/>
                <w:szCs w:val="20"/>
              </w:rPr>
              <w:t xml:space="preserve">Zraněné či usmrcené osoby při nehodách podle směrových poměrů komunikace </w:t>
            </w:r>
          </w:p>
          <w:p w:rsidR="00557ACF" w:rsidRPr="00557ACF" w:rsidRDefault="00557ACF" w:rsidP="00557AC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557ACF">
              <w:rPr>
                <w:rFonts w:ascii="Arial" w:hAnsi="Arial" w:cs="Arial"/>
                <w:sz w:val="20"/>
                <w:szCs w:val="20"/>
              </w:rPr>
              <w:t>ČR a</w:t>
            </w:r>
            <w:r w:rsidR="00F03E6D">
              <w:rPr>
                <w:rFonts w:ascii="Arial" w:hAnsi="Arial" w:cs="Arial"/>
                <w:sz w:val="20"/>
                <w:szCs w:val="20"/>
              </w:rPr>
              <w:t xml:space="preserve"> Praha, srovnání let 2000 a 2012</w:t>
            </w:r>
          </w:p>
        </w:tc>
      </w:tr>
    </w:tbl>
    <w:p w:rsidR="00557ACF" w:rsidRDefault="00981FEA" w:rsidP="00557ACF">
      <w:pPr>
        <w:rPr>
          <w:noProof/>
        </w:rPr>
      </w:pPr>
      <w:r w:rsidRPr="00981FEA">
        <w:pict>
          <v:shape id="_x0000_i1036" type="#_x0000_t75" style="width:228.65pt;height:210.8pt">
            <v:imagedata r:id="rId18" o:title=""/>
          </v:shape>
        </w:pict>
      </w:r>
      <w:r w:rsidR="007E7B58">
        <w:rPr>
          <w:noProof/>
        </w:rPr>
      </w:r>
      <w:r>
        <w:rPr>
          <w:noProof/>
        </w:rPr>
        <w:pict>
          <v:shape id="_x0000_s1126" type="#_x0000_t75" style="width:252.65pt;height:211.65pt;mso-position-horizontal-relative:char;mso-position-vertical-relative:line">
            <v:imagedata r:id="rId19" o:title=""/>
            <w10:anchorlock/>
          </v:shape>
        </w:pict>
      </w:r>
    </w:p>
    <w:p w:rsidR="00557ACF" w:rsidRDefault="00557ACF" w:rsidP="00557ACF">
      <w:pPr>
        <w:rPr>
          <w:sz w:val="18"/>
        </w:rPr>
      </w:pPr>
      <w:r>
        <w:rPr>
          <w:sz w:val="18"/>
        </w:rPr>
        <w:t>Pramen: Policejní prezidium ČR, vlastní výpočty</w:t>
      </w:r>
    </w:p>
    <w:p w:rsidR="00C83D48" w:rsidRDefault="00C83D48" w:rsidP="00557ACF"/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8B55C7" w:rsidTr="00E615DF">
        <w:tc>
          <w:tcPr>
            <w:tcW w:w="1054" w:type="pct"/>
          </w:tcPr>
          <w:p w:rsidR="008B55C7" w:rsidRDefault="00205DEC" w:rsidP="00E615DF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Desetina nehod připadá na tříramenné křižovatky, podobný podíl i na místa, kde se sbíhají více než tři komunikace</w:t>
            </w:r>
          </w:p>
        </w:tc>
        <w:tc>
          <w:tcPr>
            <w:tcW w:w="142" w:type="pct"/>
          </w:tcPr>
          <w:p w:rsidR="008B55C7" w:rsidRDefault="008B55C7" w:rsidP="00E615DF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205DEC" w:rsidRDefault="005A2384" w:rsidP="005A2384">
            <w:r>
              <w:t>Jiný pohled na místa dopravních nehod poskytuje jejich členění podle směrových poměrů komunikace. Většina nehod v ČR vzniká na přímých úsecích komunikací (57 %). K pětin</w:t>
            </w:r>
            <w:r w:rsidR="00205DEC">
              <w:t>ě</w:t>
            </w:r>
            <w:r>
              <w:t xml:space="preserve"> nehod došlo v zatáčkách či v úsecích, které na ně přímo navazují. Desetina nehod připadá na tříramenné křižovatky, obdobný podíl pak na místa, kde se sbíhá více než tři komunikace. Toto rozložení nehod je v ČR dlouhodobě stabilní. </w:t>
            </w:r>
          </w:p>
          <w:p w:rsidR="00205DEC" w:rsidRDefault="00205DEC" w:rsidP="005A2384"/>
          <w:p w:rsidR="00205DEC" w:rsidRDefault="005A2384" w:rsidP="005A2384">
            <w:r>
              <w:t xml:space="preserve">Rozložení nehod na území Prahy je vlivem odlišného uspořádání dopravní sítě jiné. Vyšší zastoupení zde mají nehody na přímých úsecích (62 %) a především na čtyř a více ramenných křižovatkách, na kterých vzniká každá pátá nehoda. V poslední desetiletí v metropoli posílil podíl nehod na přímých úsecích a kruhových objezdech na úkor ostatních typů křižovatek. </w:t>
            </w:r>
          </w:p>
          <w:p w:rsidR="00205DEC" w:rsidRDefault="00205DEC" w:rsidP="005A2384"/>
          <w:p w:rsidR="005A2384" w:rsidRDefault="005A2384" w:rsidP="005A2384">
            <w:r>
              <w:t>Nehody na kruhových objezdech, v</w:t>
            </w:r>
            <w:r w:rsidR="00205DEC">
              <w:t> Praze i</w:t>
            </w:r>
            <w:r>
              <w:t xml:space="preserve"> v celé </w:t>
            </w:r>
            <w:r w:rsidR="00205DEC">
              <w:t>České republice</w:t>
            </w:r>
            <w:r>
              <w:t xml:space="preserve"> se na celkové nehodovosti podílí </w:t>
            </w:r>
            <w:r w:rsidR="00205DEC">
              <w:t>jedním procentem,</w:t>
            </w:r>
            <w:r>
              <w:t xml:space="preserve"> za poslední dekádu svojí váhu zdvojnásobily. Za tímto jevem stojí rostoucí počet křižovatek řešených formou kruhových objezdů, které vzniká ve srovnání s klasickými křižovatkami méně závažných dopravních nehod.</w:t>
            </w:r>
          </w:p>
          <w:p w:rsidR="008B55C7" w:rsidRDefault="008B55C7" w:rsidP="00E615DF"/>
        </w:tc>
      </w:tr>
      <w:tr w:rsidR="008B55C7" w:rsidTr="00E615DF">
        <w:tc>
          <w:tcPr>
            <w:tcW w:w="1054" w:type="pct"/>
          </w:tcPr>
          <w:p w:rsidR="008B55C7" w:rsidRDefault="00205DEC" w:rsidP="00205DEC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Nehody na delších přímých úsecích končily častěji pouze s hmotnou škodou</w:t>
            </w:r>
          </w:p>
        </w:tc>
        <w:tc>
          <w:tcPr>
            <w:tcW w:w="142" w:type="pct"/>
          </w:tcPr>
          <w:p w:rsidR="008B55C7" w:rsidRDefault="008B55C7" w:rsidP="00E615DF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205DEC" w:rsidRDefault="005A2384" w:rsidP="00205DEC">
            <w:r>
              <w:t xml:space="preserve">Podle </w:t>
            </w:r>
            <w:r>
              <w:rPr>
                <w:iCs/>
              </w:rPr>
              <w:t>směrových poměrů komunikace</w:t>
            </w:r>
            <w:r>
              <w:t xml:space="preserve"> se významně liší i míra závažnosti dopravních nehod. Ta je v ČR nejvyšší v zatáčkách a v přímých úsecích v blízkosti zatáček. Naopak nehody na delších přímých úsecích končily v letech 2009-2011 oproti nehodách na všech komunikacích častěji pouze s hmotnou škodou na vozidlech. </w:t>
            </w:r>
          </w:p>
          <w:p w:rsidR="00205DEC" w:rsidRDefault="00205DEC" w:rsidP="00205DEC"/>
          <w:p w:rsidR="008B55C7" w:rsidRPr="00205DEC" w:rsidRDefault="005A2384" w:rsidP="00205DEC">
            <w:pPr>
              <w:rPr>
                <w:iCs/>
              </w:rPr>
            </w:pPr>
            <w:r>
              <w:t>Nehody na křižovatkách vedly v tomto období častěji ke zraněním osob, avšak počet smrtelných obětí byl u nich nižší. Oproti všem typům křižovatek vykazují ve všech parametrech nižší závažnost nehody na kruhových objezdech. Je pro ně typická především nízká úmrtnost – na tis. nehod na kruhových objezdech připadalo 2,7 obětí, zatímco u nehod na silnici těsně za zatáčkou byla proporce usmrcených téměř desetinásobná.</w:t>
            </w:r>
          </w:p>
        </w:tc>
      </w:tr>
    </w:tbl>
    <w:p w:rsidR="008B55C7" w:rsidRDefault="008B55C7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111"/>
        <w:gridCol w:w="851"/>
        <w:gridCol w:w="3969"/>
      </w:tblGrid>
      <w:tr w:rsidR="005A2384" w:rsidTr="00B40861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A2384" w:rsidRPr="005A2384" w:rsidRDefault="00B40861" w:rsidP="005A2384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Graf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1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5A2384" w:rsidRPr="005A2384" w:rsidRDefault="005A2384" w:rsidP="005A2384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 w:rsidRPr="005A2384">
              <w:rPr>
                <w:rFonts w:cs="Arial"/>
                <w:b/>
                <w:bCs/>
                <w:iCs/>
                <w:szCs w:val="20"/>
              </w:rPr>
              <w:t>Vývoj počtu nehod s následky na zdraví v ČR po</w:t>
            </w:r>
            <w:r w:rsidRPr="005A2384">
              <w:rPr>
                <w:rFonts w:cs="Arial"/>
                <w:b/>
                <w:bCs/>
                <w:szCs w:val="20"/>
              </w:rPr>
              <w:t>dle</w:t>
            </w:r>
            <w:r w:rsidRPr="005A2384">
              <w:rPr>
                <w:rFonts w:cs="Arial"/>
                <w:b/>
                <w:bCs/>
                <w:iCs/>
                <w:szCs w:val="20"/>
              </w:rPr>
              <w:t xml:space="preserve"> druhu srážky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5A2384" w:rsidRPr="005A2384" w:rsidRDefault="00B40861" w:rsidP="005A2384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</w:tcPr>
          <w:p w:rsidR="005A2384" w:rsidRPr="005A2384" w:rsidRDefault="005A2384" w:rsidP="005A2384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5A2384">
              <w:rPr>
                <w:rFonts w:ascii="Arial" w:hAnsi="Arial" w:cs="Arial"/>
                <w:b/>
                <w:bCs/>
                <w:sz w:val="20"/>
                <w:szCs w:val="20"/>
              </w:rPr>
              <w:t>Počet všech dopravních nehod v ČR dle</w:t>
            </w:r>
            <w:r w:rsidRPr="005A238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druhu a směru srážky</w:t>
            </w:r>
            <w:r w:rsidRPr="005A2384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72626E">
              <w:rPr>
                <w:rFonts w:ascii="Arial" w:hAnsi="Arial" w:cs="Arial"/>
                <w:sz w:val="20"/>
                <w:szCs w:val="20"/>
              </w:rPr>
              <w:t xml:space="preserve"> období 2009-201</w:t>
            </w:r>
            <w:r w:rsidR="00E5180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5A2384" w:rsidRDefault="00D6000C" w:rsidP="005A2384">
      <w:r w:rsidRPr="00D6000C">
        <w:pict>
          <v:shape id="_x0000_i1037" type="#_x0000_t75" style="width:240.75pt;height:192.95pt">
            <v:imagedata r:id="rId20" o:title=""/>
          </v:shape>
        </w:pict>
      </w:r>
      <w:r w:rsidRPr="00D6000C">
        <w:pict>
          <v:shape id="_x0000_i1038" type="#_x0000_t75" style="width:237.9pt;height:192.95pt">
            <v:imagedata r:id="rId21" o:title=""/>
          </v:shape>
        </w:pict>
      </w:r>
    </w:p>
    <w:p w:rsidR="005A2384" w:rsidRDefault="005A2384" w:rsidP="005A2384">
      <w:r>
        <w:rPr>
          <w:sz w:val="18"/>
        </w:rPr>
        <w:t>Pramen: Policejní prezidium ČR, vlastní výpočty</w:t>
      </w:r>
    </w:p>
    <w:p w:rsidR="005A2384" w:rsidRPr="00CB3257" w:rsidRDefault="00CB3257">
      <w:pPr>
        <w:rPr>
          <w:sz w:val="18"/>
        </w:rPr>
      </w:pPr>
      <w:r w:rsidRPr="00CB3257">
        <w:rPr>
          <w:sz w:val="18"/>
        </w:rPr>
        <w:t>Pozn.:V ostatních nehodách jsou zahrnuty také srážky s kolejovými vozidly a se zvířaty</w:t>
      </w: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3"/>
        <w:gridCol w:w="876"/>
        <w:gridCol w:w="1168"/>
        <w:gridCol w:w="275"/>
        <w:gridCol w:w="2386"/>
        <w:gridCol w:w="851"/>
        <w:gridCol w:w="4111"/>
        <w:gridCol w:w="27"/>
      </w:tblGrid>
      <w:tr w:rsidR="008B55C7" w:rsidTr="00205DEC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8B55C7" w:rsidRDefault="008B55C7" w:rsidP="00E615DF">
            <w:pPr>
              <w:jc w:val="left"/>
              <w:rPr>
                <w:sz w:val="16"/>
                <w:szCs w:val="16"/>
              </w:rPr>
            </w:pPr>
          </w:p>
          <w:p w:rsidR="00205DEC" w:rsidRDefault="00205DEC" w:rsidP="00E615D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1" w:type="pct"/>
          </w:tcPr>
          <w:p w:rsidR="008B55C7" w:rsidRDefault="008B55C7" w:rsidP="00E615DF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8B55C7" w:rsidRDefault="008B55C7" w:rsidP="00E615DF"/>
        </w:tc>
      </w:tr>
      <w:tr w:rsidR="00334F6C" w:rsidTr="00205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4F6C" w:rsidRPr="00334F6C" w:rsidRDefault="00B40861" w:rsidP="00334F6C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</w:p>
        </w:tc>
        <w:tc>
          <w:tcPr>
            <w:tcW w:w="19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34F6C" w:rsidRPr="00334F6C" w:rsidRDefault="00334F6C" w:rsidP="00334F6C">
            <w:pPr>
              <w:tabs>
                <w:tab w:val="left" w:pos="1072"/>
              </w:tabs>
              <w:jc w:val="left"/>
              <w:rPr>
                <w:rFonts w:cs="Arial"/>
                <w:szCs w:val="20"/>
              </w:rPr>
            </w:pPr>
            <w:r w:rsidRPr="00334F6C">
              <w:rPr>
                <w:rFonts w:cs="Arial"/>
                <w:b/>
                <w:bCs/>
                <w:szCs w:val="20"/>
              </w:rPr>
              <w:t>Srovnání míry závažnosti dopravních nehod v ČR dle</w:t>
            </w:r>
            <w:r w:rsidRPr="00334F6C">
              <w:rPr>
                <w:rFonts w:cs="Arial"/>
                <w:b/>
                <w:bCs/>
                <w:iCs/>
                <w:szCs w:val="20"/>
              </w:rPr>
              <w:t xml:space="preserve"> druhu srážky</w:t>
            </w:r>
            <w:r w:rsidRPr="00334F6C">
              <w:rPr>
                <w:rFonts w:cs="Arial"/>
                <w:b/>
                <w:bCs/>
                <w:szCs w:val="20"/>
              </w:rPr>
              <w:t>,</w:t>
            </w:r>
            <w:r w:rsidRPr="00334F6C">
              <w:rPr>
                <w:rFonts w:cs="Arial"/>
                <w:szCs w:val="20"/>
              </w:rPr>
              <w:t xml:space="preserve"> </w:t>
            </w:r>
          </w:p>
          <w:p w:rsidR="00334F6C" w:rsidRPr="00334F6C" w:rsidRDefault="00334F6C" w:rsidP="00334F6C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 w:rsidRPr="00334F6C">
              <w:rPr>
                <w:rFonts w:cs="Arial"/>
                <w:szCs w:val="20"/>
              </w:rPr>
              <w:t>období 2009-201</w:t>
            </w:r>
            <w:r w:rsidR="001549E6">
              <w:rPr>
                <w:rFonts w:cs="Arial"/>
                <w:szCs w:val="20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334F6C" w:rsidRPr="00334F6C" w:rsidRDefault="00B40861" w:rsidP="00334F6C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4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</w:tcPr>
          <w:p w:rsidR="00334F6C" w:rsidRPr="00334F6C" w:rsidRDefault="00334F6C" w:rsidP="00334F6C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334F6C">
              <w:rPr>
                <w:rFonts w:ascii="Arial" w:hAnsi="Arial" w:cs="Arial"/>
                <w:b/>
                <w:bCs/>
                <w:sz w:val="20"/>
                <w:szCs w:val="20"/>
              </w:rPr>
              <w:t>Srovnání míry závažnosti dopravních nehod v ČR dle</w:t>
            </w:r>
            <w:r w:rsidRPr="00334F6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směru srážky</w:t>
            </w:r>
            <w:r w:rsidRPr="00334F6C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334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34F6C" w:rsidRPr="00334F6C" w:rsidRDefault="001549E6" w:rsidP="00334F6C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období 2009-201</w:t>
            </w:r>
            <w:r w:rsidR="00E5180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334F6C" w:rsidRDefault="00486E71" w:rsidP="00334F6C">
      <w:r w:rsidRPr="00486E71">
        <w:pict>
          <v:shape id="_x0000_i1039" type="#_x0000_t75" style="width:233.85pt;height:202.75pt">
            <v:imagedata r:id="rId22" o:title=""/>
          </v:shape>
        </w:pict>
      </w:r>
      <w:r w:rsidRPr="00486E71">
        <w:pict>
          <v:shape id="_x0000_i1043" type="#_x0000_t75" style="width:239.6pt;height:202.75pt">
            <v:imagedata r:id="rId23" o:title=""/>
          </v:shape>
        </w:pict>
      </w:r>
    </w:p>
    <w:p w:rsidR="008D12E0" w:rsidRDefault="00334F6C">
      <w:r>
        <w:rPr>
          <w:sz w:val="18"/>
        </w:rPr>
        <w:t>Pramen: Policejní prezidium ČR, vlastní výpočty</w:t>
      </w:r>
    </w:p>
    <w:p w:rsidR="00205DEC" w:rsidRDefault="00205DEC">
      <w:pPr>
        <w:rPr>
          <w:lang/>
        </w:rPr>
      </w:pPr>
    </w:p>
    <w:p w:rsidR="00205DEC" w:rsidRDefault="00205DEC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0"/>
        <w:gridCol w:w="3828"/>
        <w:gridCol w:w="851"/>
        <w:gridCol w:w="4111"/>
      </w:tblGrid>
      <w:tr w:rsidR="00452EF4" w:rsidTr="000705C4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:rsidR="00452EF4" w:rsidRPr="00334F6C" w:rsidRDefault="00452EF4" w:rsidP="000705C4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</w:t>
            </w:r>
          </w:p>
        </w:tc>
        <w:tc>
          <w:tcPr>
            <w:tcW w:w="1971" w:type="pct"/>
            <w:tcBorders>
              <w:top w:val="nil"/>
              <w:left w:val="nil"/>
              <w:bottom w:val="nil"/>
              <w:right w:val="nil"/>
            </w:tcBorders>
          </w:tcPr>
          <w:p w:rsidR="00452EF4" w:rsidRPr="00334F6C" w:rsidRDefault="00604EA3" w:rsidP="000705C4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Vývoj počtu usmrcených při nehodách ČR podle druhu pevné překážky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452EF4" w:rsidRPr="00334F6C" w:rsidRDefault="00452EF4" w:rsidP="000705C4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604EA3" w:rsidRDefault="00452EF4" w:rsidP="00604EA3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4F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Srovnání míry závažnosti dopravních nehod </w:t>
            </w:r>
            <w:r w:rsidR="008D12E0">
              <w:rPr>
                <w:rFonts w:ascii="Arial" w:hAnsi="Arial" w:cs="Arial"/>
                <w:b/>
                <w:bCs/>
                <w:sz w:val="20"/>
                <w:szCs w:val="20"/>
              </w:rPr>
              <w:t>formou srážky se stromem</w:t>
            </w:r>
            <w:r w:rsidR="008D12E0" w:rsidRPr="00334F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D12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 </w:t>
            </w:r>
            <w:r w:rsidRPr="00334F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ČR </w:t>
            </w:r>
          </w:p>
          <w:p w:rsidR="00452EF4" w:rsidRPr="00334F6C" w:rsidRDefault="00452EF4" w:rsidP="00604EA3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období 2009-2013</w:t>
            </w:r>
          </w:p>
        </w:tc>
      </w:tr>
    </w:tbl>
    <w:p w:rsidR="003D5184" w:rsidRDefault="008D12E0">
      <w:pPr>
        <w:rPr>
          <w:lang/>
        </w:rPr>
      </w:pPr>
      <w:r w:rsidRPr="008D12E0">
        <w:lastRenderedPageBreak/>
        <w:pict>
          <v:shape id="_x0000_i1040" type="#_x0000_t75" style="width:233.3pt;height:194.1pt">
            <v:imagedata r:id="rId24" o:title=""/>
          </v:shape>
        </w:pict>
      </w:r>
      <w:r w:rsidRPr="00604EA3">
        <w:pict>
          <v:shape id="_x0000_i1041" type="#_x0000_t75" style="width:241.35pt;height:194.1pt">
            <v:imagedata r:id="rId25" o:title="" cropleft="529f"/>
          </v:shape>
        </w:pict>
      </w:r>
    </w:p>
    <w:p w:rsidR="008D12E0" w:rsidRDefault="008D12E0" w:rsidP="008D12E0">
      <w:r>
        <w:rPr>
          <w:sz w:val="18"/>
        </w:rPr>
        <w:t>Pramen: Policejní prezidium ČR, vlastní výpočty</w:t>
      </w:r>
    </w:p>
    <w:p w:rsidR="003D5184" w:rsidRDefault="003D5184">
      <w:pPr>
        <w:rPr>
          <w:lang/>
        </w:rPr>
      </w:pPr>
    </w:p>
    <w:p w:rsidR="008D12E0" w:rsidRDefault="008D12E0">
      <w:pPr>
        <w:rPr>
          <w:lang/>
        </w:rPr>
      </w:pPr>
    </w:p>
    <w:p w:rsidR="00100E80" w:rsidRDefault="00100E80" w:rsidP="00100E80">
      <w:pPr>
        <w:rPr>
          <w:b/>
          <w:bCs/>
        </w:rPr>
      </w:pPr>
      <w:r>
        <w:rPr>
          <w:b/>
          <w:bCs/>
        </w:rPr>
        <w:t>Kartogram č.14: Usmrcené a zraněné osoby při nehodách s pevnou překážkou</w:t>
      </w:r>
    </w:p>
    <w:p w:rsidR="00100E80" w:rsidRPr="006F1942" w:rsidRDefault="00100E80" w:rsidP="00100E80">
      <w:pPr>
        <w:rPr>
          <w:lang/>
        </w:rPr>
      </w:pPr>
      <w:r w:rsidRPr="006F1942">
        <w:rPr>
          <w:bCs/>
        </w:rPr>
        <w:t>(období 2009—2013,</w:t>
      </w:r>
      <w:r>
        <w:rPr>
          <w:bCs/>
        </w:rPr>
        <w:t xml:space="preserve"> na 100 tis. obyvatel</w:t>
      </w:r>
      <w:r w:rsidRPr="006F1942">
        <w:rPr>
          <w:bCs/>
        </w:rPr>
        <w:t>)</w:t>
      </w:r>
    </w:p>
    <w:p w:rsidR="00100E80" w:rsidRDefault="00100E80" w:rsidP="00100E80">
      <w:pPr>
        <w:rPr>
          <w:lang/>
        </w:rPr>
      </w:pPr>
      <w:r>
        <w:rPr>
          <w:lang/>
        </w:rPr>
        <w:pict>
          <v:shape id="_x0000_i1042" type="#_x0000_t75" style="width:432.6pt;height:306.45pt">
            <v:imagedata r:id="rId26" o:title="Mapa-31-pevná přek"/>
          </v:shape>
        </w:pict>
      </w:r>
    </w:p>
    <w:p w:rsidR="00100E80" w:rsidRPr="00A937FE" w:rsidRDefault="00100E80" w:rsidP="00100E80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02336E" w:rsidRDefault="0002336E">
      <w:pPr>
        <w:rPr>
          <w:lang/>
        </w:rPr>
      </w:pPr>
    </w:p>
    <w:p w:rsidR="0002336E" w:rsidRDefault="0002336E">
      <w:pPr>
        <w:rPr>
          <w:lang/>
        </w:rPr>
      </w:pPr>
    </w:p>
    <w:sectPr w:rsidR="0002336E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F76" w:rsidRDefault="00A47F76">
      <w:r>
        <w:separator/>
      </w:r>
    </w:p>
  </w:endnote>
  <w:endnote w:type="continuationSeparator" w:id="0">
    <w:p w:rsidR="00A47F76" w:rsidRDefault="00A47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B94" w:rsidRDefault="00685B94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45.7pt;margin-top:-4.15pt;width:36.75pt;height:17.25pt;z-index:2">
          <v:imagedata r:id="rId1" o:title="3"/>
        </v:shape>
      </w:pict>
    </w:r>
    <w:r>
      <w:rPr>
        <w:rFonts w:ascii="Arial" w:hAnsi="Arial" w:cs="Arial"/>
        <w:sz w:val="16"/>
        <w:szCs w:val="16"/>
      </w:rPr>
      <w:tab/>
    </w:r>
    <w:r w:rsidR="0086691A">
      <w:rPr>
        <w:rFonts w:ascii="Arial" w:hAnsi="Arial" w:cs="Arial"/>
        <w:sz w:val="16"/>
        <w:szCs w:val="16"/>
      </w:rPr>
      <w:t>říjen 2014</w:t>
    </w: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B94" w:rsidRDefault="00685B94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.3pt;margin-top:7.1pt;width:39pt;height:21pt;z-index:1">
          <v:imagedata r:id="rId1" o:title="3"/>
        </v:shape>
      </w:pict>
    </w:r>
    <w:r>
      <w:tab/>
    </w:r>
    <w:r>
      <w:tab/>
    </w:r>
  </w:p>
  <w:p w:rsidR="00685B94" w:rsidRDefault="0086691A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říjen</w:t>
    </w:r>
    <w:r w:rsidR="00685B94">
      <w:rPr>
        <w:rFonts w:ascii="Arial" w:hAnsi="Arial" w:cs="Arial"/>
        <w:sz w:val="16"/>
        <w:szCs w:val="16"/>
      </w:rPr>
      <w:t xml:space="preserve"> 2014</w:t>
    </w:r>
    <w:r w:rsidR="00685B94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F76" w:rsidRDefault="00A47F76">
      <w:r>
        <w:separator/>
      </w:r>
    </w:p>
  </w:footnote>
  <w:footnote w:type="continuationSeparator" w:id="0">
    <w:p w:rsidR="00A47F76" w:rsidRDefault="00A47F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518"/>
      <w:gridCol w:w="3260"/>
    </w:tblGrid>
    <w:tr w:rsidR="00685B94">
      <w:tc>
        <w:tcPr>
          <w:tcW w:w="6518" w:type="dxa"/>
        </w:tcPr>
        <w:p w:rsidR="00685B94" w:rsidRDefault="00685B94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Dopravní nehodovost a její důsledky v ČR v dlouhodobém pohledu</w:t>
          </w:r>
        </w:p>
      </w:tc>
      <w:tc>
        <w:tcPr>
          <w:tcW w:w="3260" w:type="dxa"/>
        </w:tcPr>
        <w:p w:rsidR="00685B94" w:rsidRDefault="0086691A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86691A">
            <w:rPr>
              <w:rFonts w:ascii="Arial" w:hAnsi="Arial" w:cs="Arial"/>
              <w:sz w:val="16"/>
              <w:szCs w:val="16"/>
            </w:rPr>
            <w:t>kód : 320254-14</w:t>
          </w:r>
        </w:p>
      </w:tc>
    </w:tr>
  </w:tbl>
  <w:p w:rsidR="00685B94" w:rsidRDefault="00685B94">
    <w:pPr>
      <w:pStyle w:val="Zhlav"/>
      <w:rPr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518"/>
      <w:gridCol w:w="3260"/>
    </w:tblGrid>
    <w:tr w:rsidR="00685B94" w:rsidRPr="0086691A">
      <w:tc>
        <w:tcPr>
          <w:tcW w:w="6518" w:type="dxa"/>
        </w:tcPr>
        <w:p w:rsidR="00685B94" w:rsidRDefault="00685B94" w:rsidP="00B75BBF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Dopravní nehodovost a její důsledky v ČR v dlouhodobém pohledu</w:t>
          </w:r>
        </w:p>
      </w:tc>
      <w:tc>
        <w:tcPr>
          <w:tcW w:w="3260" w:type="dxa"/>
        </w:tcPr>
        <w:p w:rsidR="00685B94" w:rsidRDefault="0086691A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jc w:val="right"/>
            <w:rPr>
              <w:rFonts w:ascii="Arial" w:hAnsi="Arial" w:cs="Arial"/>
              <w:sz w:val="16"/>
              <w:szCs w:val="16"/>
              <w:highlight w:val="yellow"/>
            </w:rPr>
          </w:pPr>
          <w:r w:rsidRPr="0086691A">
            <w:rPr>
              <w:rFonts w:ascii="Arial" w:hAnsi="Arial" w:cs="Arial"/>
              <w:sz w:val="16"/>
              <w:szCs w:val="16"/>
            </w:rPr>
            <w:t>kód : 320254-14</w:t>
          </w:r>
        </w:p>
      </w:tc>
    </w:tr>
  </w:tbl>
  <w:p w:rsidR="00685B94" w:rsidRDefault="00685B94">
    <w:pPr>
      <w:pStyle w:val="Zhlav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F6E"/>
    <w:multiLevelType w:val="multilevel"/>
    <w:tmpl w:val="376451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2">
      <w:start w:val="1"/>
      <w:numFmt w:val="decimal"/>
      <w:pStyle w:val="Nadpis3"/>
      <w:lvlText w:val="%1.%2.%3"/>
      <w:lvlJc w:val="left"/>
      <w:pPr>
        <w:ind w:left="1854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4F43100"/>
    <w:multiLevelType w:val="hybridMultilevel"/>
    <w:tmpl w:val="A346433C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64123"/>
    <w:multiLevelType w:val="hybridMultilevel"/>
    <w:tmpl w:val="F96EBE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8E4B7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3F00B0"/>
    <w:multiLevelType w:val="hybridMultilevel"/>
    <w:tmpl w:val="0290A0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91254A"/>
    <w:multiLevelType w:val="hybridMultilevel"/>
    <w:tmpl w:val="196EFAB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D4816"/>
    <w:multiLevelType w:val="multilevel"/>
    <w:tmpl w:val="0B6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A12F56"/>
    <w:multiLevelType w:val="multilevel"/>
    <w:tmpl w:val="B7724A2A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3EB0369"/>
    <w:multiLevelType w:val="hybridMultilevel"/>
    <w:tmpl w:val="E9201280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9423F"/>
    <w:multiLevelType w:val="hybridMultilevel"/>
    <w:tmpl w:val="80D04F0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F2685"/>
    <w:multiLevelType w:val="hybridMultilevel"/>
    <w:tmpl w:val="0290A026"/>
    <w:lvl w:ilvl="0" w:tplc="E3860FD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203756"/>
    <w:multiLevelType w:val="hybridMultilevel"/>
    <w:tmpl w:val="1E04F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767461"/>
    <w:multiLevelType w:val="hybridMultilevel"/>
    <w:tmpl w:val="61845866"/>
    <w:lvl w:ilvl="0" w:tplc="69566B4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E612E"/>
    <w:multiLevelType w:val="hybridMultilevel"/>
    <w:tmpl w:val="98160A84"/>
    <w:lvl w:ilvl="0" w:tplc="F642FA9A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AC7CE2"/>
    <w:multiLevelType w:val="hybridMultilevel"/>
    <w:tmpl w:val="5DE0B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34C17"/>
    <w:multiLevelType w:val="hybridMultilevel"/>
    <w:tmpl w:val="F490C598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5F6C65"/>
    <w:multiLevelType w:val="multilevel"/>
    <w:tmpl w:val="41584756"/>
    <w:lvl w:ilvl="0">
      <w:start w:val="1"/>
      <w:numFmt w:val="decimal"/>
      <w:pStyle w:val="Nadpis1"/>
      <w:lvlText w:val="%1."/>
      <w:lvlJc w:val="left"/>
      <w:pPr>
        <w:ind w:left="284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2986" w:hanging="576"/>
      </w:pPr>
    </w:lvl>
    <w:lvl w:ilvl="2">
      <w:start w:val="1"/>
      <w:numFmt w:val="decimal"/>
      <w:lvlText w:val="%1.%2.%3"/>
      <w:lvlJc w:val="left"/>
      <w:pPr>
        <w:ind w:left="3130" w:hanging="720"/>
      </w:pPr>
    </w:lvl>
    <w:lvl w:ilvl="3">
      <w:start w:val="1"/>
      <w:numFmt w:val="decimal"/>
      <w:lvlText w:val="%1.%2.%3.%4"/>
      <w:lvlJc w:val="left"/>
      <w:pPr>
        <w:ind w:left="3274" w:hanging="864"/>
      </w:pPr>
    </w:lvl>
    <w:lvl w:ilvl="4">
      <w:start w:val="1"/>
      <w:numFmt w:val="decimal"/>
      <w:lvlText w:val="%1.%2.%3.%4.%5"/>
      <w:lvlJc w:val="left"/>
      <w:pPr>
        <w:ind w:left="3418" w:hanging="1008"/>
      </w:pPr>
    </w:lvl>
    <w:lvl w:ilvl="5">
      <w:start w:val="1"/>
      <w:numFmt w:val="decimal"/>
      <w:lvlText w:val="%1.%2.%3.%4.%5.%6"/>
      <w:lvlJc w:val="left"/>
      <w:pPr>
        <w:ind w:left="3562" w:hanging="1152"/>
      </w:pPr>
    </w:lvl>
    <w:lvl w:ilvl="6">
      <w:start w:val="1"/>
      <w:numFmt w:val="decimal"/>
      <w:lvlText w:val="%1.%2.%3.%4.%5.%6.%7"/>
      <w:lvlJc w:val="left"/>
      <w:pPr>
        <w:ind w:left="3706" w:hanging="1296"/>
      </w:pPr>
    </w:lvl>
    <w:lvl w:ilvl="7">
      <w:start w:val="1"/>
      <w:numFmt w:val="decimal"/>
      <w:lvlText w:val="%1.%2.%3.%4.%5.%6.%7.%8"/>
      <w:lvlJc w:val="left"/>
      <w:pPr>
        <w:ind w:left="3850" w:hanging="1440"/>
      </w:pPr>
    </w:lvl>
    <w:lvl w:ilvl="8">
      <w:start w:val="1"/>
      <w:numFmt w:val="decimal"/>
      <w:lvlText w:val="%1.%2.%3.%4.%5.%6.%7.%8.%9"/>
      <w:lvlJc w:val="left"/>
      <w:pPr>
        <w:ind w:left="3994" w:hanging="1584"/>
      </w:pPr>
    </w:lvl>
  </w:abstractNum>
  <w:abstractNum w:abstractNumId="18">
    <w:nsid w:val="5BEF31DE"/>
    <w:multiLevelType w:val="hybridMultilevel"/>
    <w:tmpl w:val="280C96C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5A591A"/>
    <w:multiLevelType w:val="hybridMultilevel"/>
    <w:tmpl w:val="605AD6D0"/>
    <w:lvl w:ilvl="0" w:tplc="1974D26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306567"/>
    <w:multiLevelType w:val="hybridMultilevel"/>
    <w:tmpl w:val="213C4E38"/>
    <w:lvl w:ilvl="0" w:tplc="9D96ED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9636F2"/>
    <w:multiLevelType w:val="hybridMultilevel"/>
    <w:tmpl w:val="DFBCC8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550A0F"/>
    <w:multiLevelType w:val="hybridMultilevel"/>
    <w:tmpl w:val="5A76F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0"/>
  </w:num>
  <w:num w:numId="5">
    <w:abstractNumId w:val="17"/>
  </w:num>
  <w:num w:numId="6">
    <w:abstractNumId w:val="22"/>
  </w:num>
  <w:num w:numId="7">
    <w:abstractNumId w:val="11"/>
  </w:num>
  <w:num w:numId="8">
    <w:abstractNumId w:val="14"/>
  </w:num>
  <w:num w:numId="9">
    <w:abstractNumId w:val="4"/>
  </w:num>
  <w:num w:numId="10">
    <w:abstractNumId w:val="17"/>
  </w:num>
  <w:num w:numId="11">
    <w:abstractNumId w:val="17"/>
  </w:num>
  <w:num w:numId="12">
    <w:abstractNumId w:val="17"/>
  </w:num>
  <w:num w:numId="13">
    <w:abstractNumId w:val="17"/>
  </w:num>
  <w:num w:numId="14">
    <w:abstractNumId w:val="17"/>
  </w:num>
  <w:num w:numId="15">
    <w:abstractNumId w:val="17"/>
  </w:num>
  <w:num w:numId="16">
    <w:abstractNumId w:val="17"/>
  </w:num>
  <w:num w:numId="17">
    <w:abstractNumId w:val="21"/>
  </w:num>
  <w:num w:numId="18">
    <w:abstractNumId w:val="2"/>
  </w:num>
  <w:num w:numId="19">
    <w:abstractNumId w:val="3"/>
  </w:num>
  <w:num w:numId="20">
    <w:abstractNumId w:val="0"/>
  </w:num>
  <w:num w:numId="21">
    <w:abstractNumId w:val="0"/>
  </w:num>
  <w:num w:numId="22">
    <w:abstractNumId w:val="0"/>
  </w:num>
  <w:num w:numId="23">
    <w:abstractNumId w:val="17"/>
  </w:num>
  <w:num w:numId="24">
    <w:abstractNumId w:val="0"/>
  </w:num>
  <w:num w:numId="25">
    <w:abstractNumId w:val="0"/>
  </w:num>
  <w:num w:numId="26">
    <w:abstractNumId w:val="0"/>
  </w:num>
  <w:num w:numId="27">
    <w:abstractNumId w:val="19"/>
  </w:num>
  <w:num w:numId="28">
    <w:abstractNumId w:val="13"/>
  </w:num>
  <w:num w:numId="29">
    <w:abstractNumId w:val="20"/>
  </w:num>
  <w:num w:numId="30">
    <w:abstractNumId w:val="8"/>
  </w:num>
  <w:num w:numId="31">
    <w:abstractNumId w:val="18"/>
  </w:num>
  <w:num w:numId="32">
    <w:abstractNumId w:val="6"/>
  </w:num>
  <w:num w:numId="33">
    <w:abstractNumId w:val="16"/>
  </w:num>
  <w:num w:numId="34">
    <w:abstractNumId w:val="1"/>
  </w:num>
  <w:num w:numId="35">
    <w:abstractNumId w:val="0"/>
  </w:num>
  <w:num w:numId="36">
    <w:abstractNumId w:val="0"/>
  </w:num>
  <w:num w:numId="37">
    <w:abstractNumId w:val="9"/>
  </w:num>
  <w:num w:numId="38">
    <w:abstractNumId w:val="15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59AB"/>
    <w:rsid w:val="00001DD7"/>
    <w:rsid w:val="0000373F"/>
    <w:rsid w:val="00005800"/>
    <w:rsid w:val="0001070A"/>
    <w:rsid w:val="000124A7"/>
    <w:rsid w:val="00014521"/>
    <w:rsid w:val="0001612E"/>
    <w:rsid w:val="000162DA"/>
    <w:rsid w:val="00016E79"/>
    <w:rsid w:val="00020310"/>
    <w:rsid w:val="00020843"/>
    <w:rsid w:val="000217A8"/>
    <w:rsid w:val="00022498"/>
    <w:rsid w:val="0002336E"/>
    <w:rsid w:val="00030A7A"/>
    <w:rsid w:val="00032F16"/>
    <w:rsid w:val="00040F48"/>
    <w:rsid w:val="000421B1"/>
    <w:rsid w:val="00043998"/>
    <w:rsid w:val="0004417A"/>
    <w:rsid w:val="00045D51"/>
    <w:rsid w:val="00051290"/>
    <w:rsid w:val="00053458"/>
    <w:rsid w:val="00054809"/>
    <w:rsid w:val="00054B25"/>
    <w:rsid w:val="00054D5B"/>
    <w:rsid w:val="0005570C"/>
    <w:rsid w:val="00055719"/>
    <w:rsid w:val="00056F9B"/>
    <w:rsid w:val="00057357"/>
    <w:rsid w:val="00060D72"/>
    <w:rsid w:val="000616DD"/>
    <w:rsid w:val="000630F4"/>
    <w:rsid w:val="00063196"/>
    <w:rsid w:val="000705C4"/>
    <w:rsid w:val="00071465"/>
    <w:rsid w:val="00074EB7"/>
    <w:rsid w:val="00074ED6"/>
    <w:rsid w:val="00080BC0"/>
    <w:rsid w:val="00081687"/>
    <w:rsid w:val="00083E44"/>
    <w:rsid w:val="000862A6"/>
    <w:rsid w:val="00087E95"/>
    <w:rsid w:val="000905B3"/>
    <w:rsid w:val="00090E50"/>
    <w:rsid w:val="00092F94"/>
    <w:rsid w:val="00094786"/>
    <w:rsid w:val="0009665E"/>
    <w:rsid w:val="00097BAA"/>
    <w:rsid w:val="000A03AF"/>
    <w:rsid w:val="000A2679"/>
    <w:rsid w:val="000B0A1A"/>
    <w:rsid w:val="000B1272"/>
    <w:rsid w:val="000B1A54"/>
    <w:rsid w:val="000B6A1C"/>
    <w:rsid w:val="000B7F7B"/>
    <w:rsid w:val="000C126C"/>
    <w:rsid w:val="000C44D3"/>
    <w:rsid w:val="000C46AC"/>
    <w:rsid w:val="000C7133"/>
    <w:rsid w:val="000D222D"/>
    <w:rsid w:val="000D2717"/>
    <w:rsid w:val="000D3038"/>
    <w:rsid w:val="000D3A1D"/>
    <w:rsid w:val="000D56D3"/>
    <w:rsid w:val="000E0F6F"/>
    <w:rsid w:val="000E21C6"/>
    <w:rsid w:val="000E3FAF"/>
    <w:rsid w:val="000E4BA2"/>
    <w:rsid w:val="000E54EF"/>
    <w:rsid w:val="000F1280"/>
    <w:rsid w:val="000F1499"/>
    <w:rsid w:val="001000EA"/>
    <w:rsid w:val="00100E80"/>
    <w:rsid w:val="00101017"/>
    <w:rsid w:val="00103AE8"/>
    <w:rsid w:val="00106185"/>
    <w:rsid w:val="00107C20"/>
    <w:rsid w:val="0011597C"/>
    <w:rsid w:val="00116DE8"/>
    <w:rsid w:val="00120887"/>
    <w:rsid w:val="00131152"/>
    <w:rsid w:val="00131AE5"/>
    <w:rsid w:val="001324DB"/>
    <w:rsid w:val="001328B8"/>
    <w:rsid w:val="00136973"/>
    <w:rsid w:val="00140349"/>
    <w:rsid w:val="001406A6"/>
    <w:rsid w:val="00141D9C"/>
    <w:rsid w:val="001429DB"/>
    <w:rsid w:val="00142D85"/>
    <w:rsid w:val="001463C5"/>
    <w:rsid w:val="00152E0B"/>
    <w:rsid w:val="0015495A"/>
    <w:rsid w:val="001549E6"/>
    <w:rsid w:val="00160668"/>
    <w:rsid w:val="001642DB"/>
    <w:rsid w:val="001649F5"/>
    <w:rsid w:val="00164B15"/>
    <w:rsid w:val="00170306"/>
    <w:rsid w:val="00175609"/>
    <w:rsid w:val="001764CB"/>
    <w:rsid w:val="001768D4"/>
    <w:rsid w:val="001779B6"/>
    <w:rsid w:val="00181BF3"/>
    <w:rsid w:val="001843E0"/>
    <w:rsid w:val="00184967"/>
    <w:rsid w:val="00184B9C"/>
    <w:rsid w:val="00185232"/>
    <w:rsid w:val="00194858"/>
    <w:rsid w:val="001972EE"/>
    <w:rsid w:val="001A0112"/>
    <w:rsid w:val="001A0382"/>
    <w:rsid w:val="001A6A25"/>
    <w:rsid w:val="001B11BB"/>
    <w:rsid w:val="001B30E3"/>
    <w:rsid w:val="001B38C6"/>
    <w:rsid w:val="001B497C"/>
    <w:rsid w:val="001B5961"/>
    <w:rsid w:val="001B7668"/>
    <w:rsid w:val="001B7D59"/>
    <w:rsid w:val="001C6A8E"/>
    <w:rsid w:val="001D0EA9"/>
    <w:rsid w:val="001D433E"/>
    <w:rsid w:val="001D4BFC"/>
    <w:rsid w:val="001D5E35"/>
    <w:rsid w:val="001D7367"/>
    <w:rsid w:val="001E4717"/>
    <w:rsid w:val="001E5CAB"/>
    <w:rsid w:val="001F1E91"/>
    <w:rsid w:val="001F1EF2"/>
    <w:rsid w:val="001F1F74"/>
    <w:rsid w:val="001F4705"/>
    <w:rsid w:val="00203FF4"/>
    <w:rsid w:val="00205BAC"/>
    <w:rsid w:val="00205DEC"/>
    <w:rsid w:val="002062BD"/>
    <w:rsid w:val="00213FE7"/>
    <w:rsid w:val="00214A41"/>
    <w:rsid w:val="00217B11"/>
    <w:rsid w:val="00220C0E"/>
    <w:rsid w:val="00222C70"/>
    <w:rsid w:val="00224F57"/>
    <w:rsid w:val="00225892"/>
    <w:rsid w:val="00226758"/>
    <w:rsid w:val="0023076D"/>
    <w:rsid w:val="002329D5"/>
    <w:rsid w:val="00233029"/>
    <w:rsid w:val="002335A9"/>
    <w:rsid w:val="0023708F"/>
    <w:rsid w:val="0024140C"/>
    <w:rsid w:val="0024249F"/>
    <w:rsid w:val="00244340"/>
    <w:rsid w:val="00245159"/>
    <w:rsid w:val="00257C4F"/>
    <w:rsid w:val="00265D38"/>
    <w:rsid w:val="002706D0"/>
    <w:rsid w:val="002802C9"/>
    <w:rsid w:val="00281A9A"/>
    <w:rsid w:val="00284B2E"/>
    <w:rsid w:val="00286F00"/>
    <w:rsid w:val="00287D8E"/>
    <w:rsid w:val="002915E0"/>
    <w:rsid w:val="0029731D"/>
    <w:rsid w:val="002A7920"/>
    <w:rsid w:val="002B13EC"/>
    <w:rsid w:val="002B1C65"/>
    <w:rsid w:val="002B4B5F"/>
    <w:rsid w:val="002C4EA8"/>
    <w:rsid w:val="002C6ED9"/>
    <w:rsid w:val="002C72CA"/>
    <w:rsid w:val="002C75DC"/>
    <w:rsid w:val="002C7F6E"/>
    <w:rsid w:val="002D1957"/>
    <w:rsid w:val="002D1D14"/>
    <w:rsid w:val="002D1D44"/>
    <w:rsid w:val="002D32BC"/>
    <w:rsid w:val="002D5139"/>
    <w:rsid w:val="002D786E"/>
    <w:rsid w:val="002E0962"/>
    <w:rsid w:val="002E2960"/>
    <w:rsid w:val="002E2B63"/>
    <w:rsid w:val="002E5831"/>
    <w:rsid w:val="002E5F5C"/>
    <w:rsid w:val="002F2741"/>
    <w:rsid w:val="002F60B4"/>
    <w:rsid w:val="002F6845"/>
    <w:rsid w:val="002F70E5"/>
    <w:rsid w:val="0030074E"/>
    <w:rsid w:val="00300C48"/>
    <w:rsid w:val="003024D4"/>
    <w:rsid w:val="003026CD"/>
    <w:rsid w:val="00304881"/>
    <w:rsid w:val="00306810"/>
    <w:rsid w:val="00311401"/>
    <w:rsid w:val="00311BF5"/>
    <w:rsid w:val="00316C37"/>
    <w:rsid w:val="003175FF"/>
    <w:rsid w:val="00322507"/>
    <w:rsid w:val="003266F3"/>
    <w:rsid w:val="00326794"/>
    <w:rsid w:val="003270C2"/>
    <w:rsid w:val="003279AA"/>
    <w:rsid w:val="003304FF"/>
    <w:rsid w:val="00331834"/>
    <w:rsid w:val="003321B5"/>
    <w:rsid w:val="00334A30"/>
    <w:rsid w:val="00334F6C"/>
    <w:rsid w:val="00336BAF"/>
    <w:rsid w:val="00337330"/>
    <w:rsid w:val="00342A90"/>
    <w:rsid w:val="00343A08"/>
    <w:rsid w:val="00346F3E"/>
    <w:rsid w:val="00350C31"/>
    <w:rsid w:val="00352B50"/>
    <w:rsid w:val="00353088"/>
    <w:rsid w:val="003557B5"/>
    <w:rsid w:val="00355DEB"/>
    <w:rsid w:val="003611E9"/>
    <w:rsid w:val="00364A29"/>
    <w:rsid w:val="00365894"/>
    <w:rsid w:val="00366A7A"/>
    <w:rsid w:val="0036731C"/>
    <w:rsid w:val="00370CCC"/>
    <w:rsid w:val="003710FC"/>
    <w:rsid w:val="00371BEE"/>
    <w:rsid w:val="003722A4"/>
    <w:rsid w:val="00372502"/>
    <w:rsid w:val="00375009"/>
    <w:rsid w:val="00376262"/>
    <w:rsid w:val="00380CDD"/>
    <w:rsid w:val="0038416B"/>
    <w:rsid w:val="003876A7"/>
    <w:rsid w:val="00387B5E"/>
    <w:rsid w:val="003921B0"/>
    <w:rsid w:val="0039431A"/>
    <w:rsid w:val="00394840"/>
    <w:rsid w:val="00395C0E"/>
    <w:rsid w:val="0039614C"/>
    <w:rsid w:val="003A1872"/>
    <w:rsid w:val="003A1E81"/>
    <w:rsid w:val="003A21A8"/>
    <w:rsid w:val="003A328F"/>
    <w:rsid w:val="003B2F98"/>
    <w:rsid w:val="003B3FD1"/>
    <w:rsid w:val="003B5C56"/>
    <w:rsid w:val="003C2C27"/>
    <w:rsid w:val="003C2E72"/>
    <w:rsid w:val="003C331A"/>
    <w:rsid w:val="003C5C58"/>
    <w:rsid w:val="003C648B"/>
    <w:rsid w:val="003C719F"/>
    <w:rsid w:val="003C7C62"/>
    <w:rsid w:val="003D0B76"/>
    <w:rsid w:val="003D5184"/>
    <w:rsid w:val="003D6B07"/>
    <w:rsid w:val="003E13D1"/>
    <w:rsid w:val="003E17E1"/>
    <w:rsid w:val="003E20FD"/>
    <w:rsid w:val="003E3C3B"/>
    <w:rsid w:val="003E5662"/>
    <w:rsid w:val="003E78AD"/>
    <w:rsid w:val="003F0DC6"/>
    <w:rsid w:val="003F160E"/>
    <w:rsid w:val="003F3007"/>
    <w:rsid w:val="00400252"/>
    <w:rsid w:val="00402542"/>
    <w:rsid w:val="004026AE"/>
    <w:rsid w:val="0040316B"/>
    <w:rsid w:val="00404D35"/>
    <w:rsid w:val="00411890"/>
    <w:rsid w:val="004130CC"/>
    <w:rsid w:val="00415163"/>
    <w:rsid w:val="00417003"/>
    <w:rsid w:val="00417553"/>
    <w:rsid w:val="004178F2"/>
    <w:rsid w:val="00421BB3"/>
    <w:rsid w:val="0042352F"/>
    <w:rsid w:val="00437986"/>
    <w:rsid w:val="004419BC"/>
    <w:rsid w:val="00447192"/>
    <w:rsid w:val="00450385"/>
    <w:rsid w:val="004519F0"/>
    <w:rsid w:val="00452EF4"/>
    <w:rsid w:val="00460619"/>
    <w:rsid w:val="0046132E"/>
    <w:rsid w:val="00461BE8"/>
    <w:rsid w:val="00465185"/>
    <w:rsid w:val="00467F46"/>
    <w:rsid w:val="00470380"/>
    <w:rsid w:val="004711BA"/>
    <w:rsid w:val="00471A7C"/>
    <w:rsid w:val="004724A0"/>
    <w:rsid w:val="00476322"/>
    <w:rsid w:val="004779D0"/>
    <w:rsid w:val="00481DC9"/>
    <w:rsid w:val="00483783"/>
    <w:rsid w:val="00486E71"/>
    <w:rsid w:val="00493E93"/>
    <w:rsid w:val="004947B9"/>
    <w:rsid w:val="004A3F65"/>
    <w:rsid w:val="004A40F8"/>
    <w:rsid w:val="004A5847"/>
    <w:rsid w:val="004A6CCA"/>
    <w:rsid w:val="004B16F6"/>
    <w:rsid w:val="004B3EFB"/>
    <w:rsid w:val="004B42B5"/>
    <w:rsid w:val="004B435A"/>
    <w:rsid w:val="004B7927"/>
    <w:rsid w:val="004C259A"/>
    <w:rsid w:val="004C313C"/>
    <w:rsid w:val="004C4BCC"/>
    <w:rsid w:val="004C526C"/>
    <w:rsid w:val="004C5C1F"/>
    <w:rsid w:val="004D03E4"/>
    <w:rsid w:val="004D39F8"/>
    <w:rsid w:val="004D560B"/>
    <w:rsid w:val="004E0E01"/>
    <w:rsid w:val="004E3CF7"/>
    <w:rsid w:val="004E64B1"/>
    <w:rsid w:val="004F08FD"/>
    <w:rsid w:val="004F1BFA"/>
    <w:rsid w:val="004F24C3"/>
    <w:rsid w:val="004F5E15"/>
    <w:rsid w:val="004F6603"/>
    <w:rsid w:val="0050158F"/>
    <w:rsid w:val="00503CD7"/>
    <w:rsid w:val="00503DE4"/>
    <w:rsid w:val="0050498C"/>
    <w:rsid w:val="00504F27"/>
    <w:rsid w:val="00506508"/>
    <w:rsid w:val="0051155F"/>
    <w:rsid w:val="00512422"/>
    <w:rsid w:val="005154B4"/>
    <w:rsid w:val="00516BF8"/>
    <w:rsid w:val="00517914"/>
    <w:rsid w:val="005208C1"/>
    <w:rsid w:val="0052140D"/>
    <w:rsid w:val="00522F6B"/>
    <w:rsid w:val="00524A3E"/>
    <w:rsid w:val="00535E17"/>
    <w:rsid w:val="005368B9"/>
    <w:rsid w:val="005405FF"/>
    <w:rsid w:val="0054160F"/>
    <w:rsid w:val="0054384C"/>
    <w:rsid w:val="00543C96"/>
    <w:rsid w:val="00544FF0"/>
    <w:rsid w:val="00545DD6"/>
    <w:rsid w:val="005461F2"/>
    <w:rsid w:val="00547418"/>
    <w:rsid w:val="00547B96"/>
    <w:rsid w:val="00550C2F"/>
    <w:rsid w:val="00550F22"/>
    <w:rsid w:val="00552459"/>
    <w:rsid w:val="00552C98"/>
    <w:rsid w:val="00555455"/>
    <w:rsid w:val="005573FD"/>
    <w:rsid w:val="00557ACF"/>
    <w:rsid w:val="00562C45"/>
    <w:rsid w:val="00562FE3"/>
    <w:rsid w:val="0056786E"/>
    <w:rsid w:val="00570106"/>
    <w:rsid w:val="00575C06"/>
    <w:rsid w:val="00580054"/>
    <w:rsid w:val="005811EC"/>
    <w:rsid w:val="005828A6"/>
    <w:rsid w:val="00585E3A"/>
    <w:rsid w:val="00587618"/>
    <w:rsid w:val="00591383"/>
    <w:rsid w:val="00591B2B"/>
    <w:rsid w:val="00594F0B"/>
    <w:rsid w:val="005952D0"/>
    <w:rsid w:val="005973F6"/>
    <w:rsid w:val="005A1F89"/>
    <w:rsid w:val="005A2384"/>
    <w:rsid w:val="005A2824"/>
    <w:rsid w:val="005A3E80"/>
    <w:rsid w:val="005A52CD"/>
    <w:rsid w:val="005A738A"/>
    <w:rsid w:val="005B2ADF"/>
    <w:rsid w:val="005B3B6C"/>
    <w:rsid w:val="005B5E1F"/>
    <w:rsid w:val="005C1B29"/>
    <w:rsid w:val="005C2E7E"/>
    <w:rsid w:val="005C4AB5"/>
    <w:rsid w:val="005C521B"/>
    <w:rsid w:val="005D019B"/>
    <w:rsid w:val="005D3516"/>
    <w:rsid w:val="005D5D20"/>
    <w:rsid w:val="005E0B29"/>
    <w:rsid w:val="005E1C26"/>
    <w:rsid w:val="005E1E8A"/>
    <w:rsid w:val="005E21C7"/>
    <w:rsid w:val="005E6E54"/>
    <w:rsid w:val="005F18E4"/>
    <w:rsid w:val="005F5282"/>
    <w:rsid w:val="00602D54"/>
    <w:rsid w:val="00604EA3"/>
    <w:rsid w:val="00605801"/>
    <w:rsid w:val="006059AB"/>
    <w:rsid w:val="0060740F"/>
    <w:rsid w:val="0061176D"/>
    <w:rsid w:val="00614128"/>
    <w:rsid w:val="0061755D"/>
    <w:rsid w:val="00620024"/>
    <w:rsid w:val="00625FDD"/>
    <w:rsid w:val="006266FB"/>
    <w:rsid w:val="006267A5"/>
    <w:rsid w:val="0063254B"/>
    <w:rsid w:val="006416FA"/>
    <w:rsid w:val="00645582"/>
    <w:rsid w:val="0064571A"/>
    <w:rsid w:val="006457C5"/>
    <w:rsid w:val="00647E04"/>
    <w:rsid w:val="006512E9"/>
    <w:rsid w:val="006532F4"/>
    <w:rsid w:val="0065586C"/>
    <w:rsid w:val="006649E5"/>
    <w:rsid w:val="00666A4A"/>
    <w:rsid w:val="006700A2"/>
    <w:rsid w:val="006704BC"/>
    <w:rsid w:val="006722A1"/>
    <w:rsid w:val="00683B9E"/>
    <w:rsid w:val="00683CD2"/>
    <w:rsid w:val="00685B94"/>
    <w:rsid w:val="006873F2"/>
    <w:rsid w:val="00690C2A"/>
    <w:rsid w:val="00691B43"/>
    <w:rsid w:val="00692045"/>
    <w:rsid w:val="006921FF"/>
    <w:rsid w:val="0069221A"/>
    <w:rsid w:val="006933AC"/>
    <w:rsid w:val="00697393"/>
    <w:rsid w:val="0069784E"/>
    <w:rsid w:val="006A4820"/>
    <w:rsid w:val="006B24FC"/>
    <w:rsid w:val="006C1611"/>
    <w:rsid w:val="006C66FB"/>
    <w:rsid w:val="006D38BE"/>
    <w:rsid w:val="006D3EAA"/>
    <w:rsid w:val="006D419F"/>
    <w:rsid w:val="006D52BA"/>
    <w:rsid w:val="006E0372"/>
    <w:rsid w:val="006E0539"/>
    <w:rsid w:val="006E22F0"/>
    <w:rsid w:val="006F0A06"/>
    <w:rsid w:val="006F0FAD"/>
    <w:rsid w:val="006F1330"/>
    <w:rsid w:val="006F13C6"/>
    <w:rsid w:val="006F1942"/>
    <w:rsid w:val="006F366C"/>
    <w:rsid w:val="006F52AC"/>
    <w:rsid w:val="006F5C2E"/>
    <w:rsid w:val="006F762F"/>
    <w:rsid w:val="006F7EF0"/>
    <w:rsid w:val="0070242E"/>
    <w:rsid w:val="00704198"/>
    <w:rsid w:val="007053F7"/>
    <w:rsid w:val="00706359"/>
    <w:rsid w:val="00710C8B"/>
    <w:rsid w:val="0071217B"/>
    <w:rsid w:val="00714AEB"/>
    <w:rsid w:val="00715D94"/>
    <w:rsid w:val="00717295"/>
    <w:rsid w:val="00720C53"/>
    <w:rsid w:val="00721EBD"/>
    <w:rsid w:val="0072216C"/>
    <w:rsid w:val="00722EFB"/>
    <w:rsid w:val="007252DF"/>
    <w:rsid w:val="0072626E"/>
    <w:rsid w:val="00736072"/>
    <w:rsid w:val="00736D3F"/>
    <w:rsid w:val="00743F52"/>
    <w:rsid w:val="00744AAD"/>
    <w:rsid w:val="00745816"/>
    <w:rsid w:val="00746384"/>
    <w:rsid w:val="00750525"/>
    <w:rsid w:val="00762235"/>
    <w:rsid w:val="007649BD"/>
    <w:rsid w:val="00765B01"/>
    <w:rsid w:val="00765BCF"/>
    <w:rsid w:val="00771297"/>
    <w:rsid w:val="00771514"/>
    <w:rsid w:val="00773740"/>
    <w:rsid w:val="00773D36"/>
    <w:rsid w:val="00775A37"/>
    <w:rsid w:val="00775EB8"/>
    <w:rsid w:val="00776983"/>
    <w:rsid w:val="00780C60"/>
    <w:rsid w:val="00782697"/>
    <w:rsid w:val="00791527"/>
    <w:rsid w:val="00792DA6"/>
    <w:rsid w:val="00796D59"/>
    <w:rsid w:val="00796F09"/>
    <w:rsid w:val="007A0371"/>
    <w:rsid w:val="007A1117"/>
    <w:rsid w:val="007A11E2"/>
    <w:rsid w:val="007A72D7"/>
    <w:rsid w:val="007B304C"/>
    <w:rsid w:val="007B394C"/>
    <w:rsid w:val="007C11BE"/>
    <w:rsid w:val="007C43C0"/>
    <w:rsid w:val="007C529E"/>
    <w:rsid w:val="007D1C2C"/>
    <w:rsid w:val="007D49C2"/>
    <w:rsid w:val="007D53D8"/>
    <w:rsid w:val="007D73DF"/>
    <w:rsid w:val="007E4BCB"/>
    <w:rsid w:val="007E51AC"/>
    <w:rsid w:val="007E5C2D"/>
    <w:rsid w:val="007E6854"/>
    <w:rsid w:val="007E6BDA"/>
    <w:rsid w:val="007E7B58"/>
    <w:rsid w:val="007F2B54"/>
    <w:rsid w:val="007F2F60"/>
    <w:rsid w:val="007F6AEB"/>
    <w:rsid w:val="00813973"/>
    <w:rsid w:val="008146D3"/>
    <w:rsid w:val="00816636"/>
    <w:rsid w:val="00816A7D"/>
    <w:rsid w:val="00817BAF"/>
    <w:rsid w:val="00820D0F"/>
    <w:rsid w:val="008238A2"/>
    <w:rsid w:val="00825290"/>
    <w:rsid w:val="00827E30"/>
    <w:rsid w:val="00827E5E"/>
    <w:rsid w:val="008373CC"/>
    <w:rsid w:val="00837660"/>
    <w:rsid w:val="00837BDE"/>
    <w:rsid w:val="00837F6F"/>
    <w:rsid w:val="008421EE"/>
    <w:rsid w:val="00843397"/>
    <w:rsid w:val="008449EC"/>
    <w:rsid w:val="00845380"/>
    <w:rsid w:val="00854197"/>
    <w:rsid w:val="00855AB2"/>
    <w:rsid w:val="0085794E"/>
    <w:rsid w:val="0086085B"/>
    <w:rsid w:val="00861142"/>
    <w:rsid w:val="00861E37"/>
    <w:rsid w:val="00862AFC"/>
    <w:rsid w:val="008636B6"/>
    <w:rsid w:val="0086453F"/>
    <w:rsid w:val="0086691A"/>
    <w:rsid w:val="008701C7"/>
    <w:rsid w:val="0087031C"/>
    <w:rsid w:val="00870DB2"/>
    <w:rsid w:val="00871E2D"/>
    <w:rsid w:val="00876E08"/>
    <w:rsid w:val="00877613"/>
    <w:rsid w:val="00881E38"/>
    <w:rsid w:val="00884794"/>
    <w:rsid w:val="00884908"/>
    <w:rsid w:val="008855AD"/>
    <w:rsid w:val="00885F79"/>
    <w:rsid w:val="008912E5"/>
    <w:rsid w:val="00892ACB"/>
    <w:rsid w:val="00892BEE"/>
    <w:rsid w:val="00895F97"/>
    <w:rsid w:val="008A1905"/>
    <w:rsid w:val="008A536F"/>
    <w:rsid w:val="008A74E1"/>
    <w:rsid w:val="008B0B07"/>
    <w:rsid w:val="008B1F5C"/>
    <w:rsid w:val="008B55C7"/>
    <w:rsid w:val="008C031C"/>
    <w:rsid w:val="008C2BFE"/>
    <w:rsid w:val="008D12E0"/>
    <w:rsid w:val="008D53BC"/>
    <w:rsid w:val="008D7AE7"/>
    <w:rsid w:val="008D7CAB"/>
    <w:rsid w:val="008E12B1"/>
    <w:rsid w:val="008E43BC"/>
    <w:rsid w:val="008E4E91"/>
    <w:rsid w:val="008E64F8"/>
    <w:rsid w:val="008F14A6"/>
    <w:rsid w:val="0090254C"/>
    <w:rsid w:val="00902DB1"/>
    <w:rsid w:val="009079AE"/>
    <w:rsid w:val="00916222"/>
    <w:rsid w:val="00916CBB"/>
    <w:rsid w:val="00916ECB"/>
    <w:rsid w:val="0092001D"/>
    <w:rsid w:val="00921B55"/>
    <w:rsid w:val="009239E0"/>
    <w:rsid w:val="00924182"/>
    <w:rsid w:val="009245E2"/>
    <w:rsid w:val="009264B0"/>
    <w:rsid w:val="0092726A"/>
    <w:rsid w:val="00927836"/>
    <w:rsid w:val="009304B6"/>
    <w:rsid w:val="009324A3"/>
    <w:rsid w:val="009331C6"/>
    <w:rsid w:val="00933576"/>
    <w:rsid w:val="00934ED7"/>
    <w:rsid w:val="00936460"/>
    <w:rsid w:val="00940137"/>
    <w:rsid w:val="009409A3"/>
    <w:rsid w:val="009427BC"/>
    <w:rsid w:val="0094690C"/>
    <w:rsid w:val="00947700"/>
    <w:rsid w:val="0095013C"/>
    <w:rsid w:val="009513F0"/>
    <w:rsid w:val="009530DD"/>
    <w:rsid w:val="00956A39"/>
    <w:rsid w:val="00960330"/>
    <w:rsid w:val="00961BE8"/>
    <w:rsid w:val="00963403"/>
    <w:rsid w:val="00967824"/>
    <w:rsid w:val="0097040D"/>
    <w:rsid w:val="0097075F"/>
    <w:rsid w:val="009778C7"/>
    <w:rsid w:val="00981FEA"/>
    <w:rsid w:val="0098217E"/>
    <w:rsid w:val="0098243E"/>
    <w:rsid w:val="00982DE4"/>
    <w:rsid w:val="00985308"/>
    <w:rsid w:val="00991BC1"/>
    <w:rsid w:val="00991DF7"/>
    <w:rsid w:val="00996925"/>
    <w:rsid w:val="009A62AC"/>
    <w:rsid w:val="009B2451"/>
    <w:rsid w:val="009B478E"/>
    <w:rsid w:val="009D5203"/>
    <w:rsid w:val="009D5370"/>
    <w:rsid w:val="009D735E"/>
    <w:rsid w:val="009D765C"/>
    <w:rsid w:val="009E5FC0"/>
    <w:rsid w:val="009E623E"/>
    <w:rsid w:val="009F3BAE"/>
    <w:rsid w:val="009F5C2B"/>
    <w:rsid w:val="00A006E5"/>
    <w:rsid w:val="00A01751"/>
    <w:rsid w:val="00A03078"/>
    <w:rsid w:val="00A049CA"/>
    <w:rsid w:val="00A238DA"/>
    <w:rsid w:val="00A256CB"/>
    <w:rsid w:val="00A25A9E"/>
    <w:rsid w:val="00A2738E"/>
    <w:rsid w:val="00A32AC9"/>
    <w:rsid w:val="00A353EF"/>
    <w:rsid w:val="00A36231"/>
    <w:rsid w:val="00A376EE"/>
    <w:rsid w:val="00A41341"/>
    <w:rsid w:val="00A4326D"/>
    <w:rsid w:val="00A44044"/>
    <w:rsid w:val="00A45812"/>
    <w:rsid w:val="00A47F76"/>
    <w:rsid w:val="00A535DC"/>
    <w:rsid w:val="00A57BE3"/>
    <w:rsid w:val="00A64FE3"/>
    <w:rsid w:val="00A653CB"/>
    <w:rsid w:val="00A71933"/>
    <w:rsid w:val="00A7266D"/>
    <w:rsid w:val="00A77556"/>
    <w:rsid w:val="00A80FAA"/>
    <w:rsid w:val="00A84610"/>
    <w:rsid w:val="00A847BA"/>
    <w:rsid w:val="00A851DA"/>
    <w:rsid w:val="00A87325"/>
    <w:rsid w:val="00A92C50"/>
    <w:rsid w:val="00A937FE"/>
    <w:rsid w:val="00A93871"/>
    <w:rsid w:val="00A945D6"/>
    <w:rsid w:val="00A95852"/>
    <w:rsid w:val="00A964D6"/>
    <w:rsid w:val="00A966CF"/>
    <w:rsid w:val="00AA0882"/>
    <w:rsid w:val="00AA13E4"/>
    <w:rsid w:val="00AA3E9A"/>
    <w:rsid w:val="00AA400D"/>
    <w:rsid w:val="00AA4835"/>
    <w:rsid w:val="00AA5B67"/>
    <w:rsid w:val="00AA64D1"/>
    <w:rsid w:val="00AB42C8"/>
    <w:rsid w:val="00AB4406"/>
    <w:rsid w:val="00AB57A2"/>
    <w:rsid w:val="00AB5E18"/>
    <w:rsid w:val="00AC1BD4"/>
    <w:rsid w:val="00AC3783"/>
    <w:rsid w:val="00AC3A84"/>
    <w:rsid w:val="00AC5721"/>
    <w:rsid w:val="00AC639F"/>
    <w:rsid w:val="00AD0B0C"/>
    <w:rsid w:val="00AD308E"/>
    <w:rsid w:val="00AD42CE"/>
    <w:rsid w:val="00AD485A"/>
    <w:rsid w:val="00AD5288"/>
    <w:rsid w:val="00AD5715"/>
    <w:rsid w:val="00AD78FE"/>
    <w:rsid w:val="00AD7EE2"/>
    <w:rsid w:val="00AE3DBC"/>
    <w:rsid w:val="00AE3F7F"/>
    <w:rsid w:val="00AE7B7B"/>
    <w:rsid w:val="00AE7DA7"/>
    <w:rsid w:val="00AF1C70"/>
    <w:rsid w:val="00AF32AA"/>
    <w:rsid w:val="00AF36DA"/>
    <w:rsid w:val="00AF3B7D"/>
    <w:rsid w:val="00AF5FBF"/>
    <w:rsid w:val="00AF63C0"/>
    <w:rsid w:val="00AF683F"/>
    <w:rsid w:val="00AF7AF5"/>
    <w:rsid w:val="00B00B48"/>
    <w:rsid w:val="00B03872"/>
    <w:rsid w:val="00B041C4"/>
    <w:rsid w:val="00B05CBF"/>
    <w:rsid w:val="00B109F9"/>
    <w:rsid w:val="00B171F3"/>
    <w:rsid w:val="00B177CD"/>
    <w:rsid w:val="00B202DB"/>
    <w:rsid w:val="00B22640"/>
    <w:rsid w:val="00B23763"/>
    <w:rsid w:val="00B27BAF"/>
    <w:rsid w:val="00B3089E"/>
    <w:rsid w:val="00B320B3"/>
    <w:rsid w:val="00B3351F"/>
    <w:rsid w:val="00B361BB"/>
    <w:rsid w:val="00B40662"/>
    <w:rsid w:val="00B40861"/>
    <w:rsid w:val="00B50E03"/>
    <w:rsid w:val="00B51F46"/>
    <w:rsid w:val="00B529BE"/>
    <w:rsid w:val="00B52E36"/>
    <w:rsid w:val="00B53005"/>
    <w:rsid w:val="00B54AFA"/>
    <w:rsid w:val="00B56A51"/>
    <w:rsid w:val="00B604A7"/>
    <w:rsid w:val="00B657C2"/>
    <w:rsid w:val="00B74975"/>
    <w:rsid w:val="00B75185"/>
    <w:rsid w:val="00B75BBF"/>
    <w:rsid w:val="00B76512"/>
    <w:rsid w:val="00B817D3"/>
    <w:rsid w:val="00B81B15"/>
    <w:rsid w:val="00B8469E"/>
    <w:rsid w:val="00B85627"/>
    <w:rsid w:val="00B8657F"/>
    <w:rsid w:val="00B91650"/>
    <w:rsid w:val="00BA4771"/>
    <w:rsid w:val="00BB007D"/>
    <w:rsid w:val="00BB5CCA"/>
    <w:rsid w:val="00BB6ADE"/>
    <w:rsid w:val="00BC0071"/>
    <w:rsid w:val="00BC2CD5"/>
    <w:rsid w:val="00BC322D"/>
    <w:rsid w:val="00BC4383"/>
    <w:rsid w:val="00BC578F"/>
    <w:rsid w:val="00BD1290"/>
    <w:rsid w:val="00BE2CC0"/>
    <w:rsid w:val="00BE582F"/>
    <w:rsid w:val="00BE7EF1"/>
    <w:rsid w:val="00BF173F"/>
    <w:rsid w:val="00BF198B"/>
    <w:rsid w:val="00C04BCE"/>
    <w:rsid w:val="00C133E6"/>
    <w:rsid w:val="00C13ABB"/>
    <w:rsid w:val="00C151CD"/>
    <w:rsid w:val="00C246F0"/>
    <w:rsid w:val="00C33A45"/>
    <w:rsid w:val="00C40D0B"/>
    <w:rsid w:val="00C43AB7"/>
    <w:rsid w:val="00C45B2E"/>
    <w:rsid w:val="00C539A6"/>
    <w:rsid w:val="00C5600A"/>
    <w:rsid w:val="00C6183C"/>
    <w:rsid w:val="00C6237C"/>
    <w:rsid w:val="00C62FFA"/>
    <w:rsid w:val="00C718DA"/>
    <w:rsid w:val="00C7399D"/>
    <w:rsid w:val="00C77E52"/>
    <w:rsid w:val="00C809E8"/>
    <w:rsid w:val="00C839C1"/>
    <w:rsid w:val="00C83D48"/>
    <w:rsid w:val="00C84569"/>
    <w:rsid w:val="00C84785"/>
    <w:rsid w:val="00C9082F"/>
    <w:rsid w:val="00C92CDD"/>
    <w:rsid w:val="00C97722"/>
    <w:rsid w:val="00CA022A"/>
    <w:rsid w:val="00CA24C4"/>
    <w:rsid w:val="00CA33FE"/>
    <w:rsid w:val="00CA401B"/>
    <w:rsid w:val="00CA473A"/>
    <w:rsid w:val="00CA5ABC"/>
    <w:rsid w:val="00CA6D70"/>
    <w:rsid w:val="00CB20B5"/>
    <w:rsid w:val="00CB2ACF"/>
    <w:rsid w:val="00CB3257"/>
    <w:rsid w:val="00CB3AA8"/>
    <w:rsid w:val="00CB5878"/>
    <w:rsid w:val="00CB7FEA"/>
    <w:rsid w:val="00CD2D5C"/>
    <w:rsid w:val="00CD30C2"/>
    <w:rsid w:val="00CD33C2"/>
    <w:rsid w:val="00CD6B5E"/>
    <w:rsid w:val="00CD6D77"/>
    <w:rsid w:val="00CE059E"/>
    <w:rsid w:val="00CE1BA5"/>
    <w:rsid w:val="00CE296E"/>
    <w:rsid w:val="00CE2DAD"/>
    <w:rsid w:val="00CE2DB1"/>
    <w:rsid w:val="00CE33C0"/>
    <w:rsid w:val="00CE3E47"/>
    <w:rsid w:val="00CE504D"/>
    <w:rsid w:val="00CE56C1"/>
    <w:rsid w:val="00CF0CE5"/>
    <w:rsid w:val="00CF5C9C"/>
    <w:rsid w:val="00D00D87"/>
    <w:rsid w:val="00D02105"/>
    <w:rsid w:val="00D0275F"/>
    <w:rsid w:val="00D02FE2"/>
    <w:rsid w:val="00D10A3F"/>
    <w:rsid w:val="00D115B6"/>
    <w:rsid w:val="00D123C1"/>
    <w:rsid w:val="00D15E58"/>
    <w:rsid w:val="00D1762B"/>
    <w:rsid w:val="00D22067"/>
    <w:rsid w:val="00D2277F"/>
    <w:rsid w:val="00D254FC"/>
    <w:rsid w:val="00D26F91"/>
    <w:rsid w:val="00D27CDB"/>
    <w:rsid w:val="00D338D7"/>
    <w:rsid w:val="00D36ED0"/>
    <w:rsid w:val="00D50CB6"/>
    <w:rsid w:val="00D54271"/>
    <w:rsid w:val="00D6000C"/>
    <w:rsid w:val="00D60951"/>
    <w:rsid w:val="00D60C33"/>
    <w:rsid w:val="00D61589"/>
    <w:rsid w:val="00D6212A"/>
    <w:rsid w:val="00D63523"/>
    <w:rsid w:val="00D6376B"/>
    <w:rsid w:val="00D639FD"/>
    <w:rsid w:val="00D652F8"/>
    <w:rsid w:val="00D6563D"/>
    <w:rsid w:val="00D66335"/>
    <w:rsid w:val="00D6768E"/>
    <w:rsid w:val="00D72091"/>
    <w:rsid w:val="00D75F5B"/>
    <w:rsid w:val="00D76415"/>
    <w:rsid w:val="00D8144F"/>
    <w:rsid w:val="00D818A3"/>
    <w:rsid w:val="00D93460"/>
    <w:rsid w:val="00D93D32"/>
    <w:rsid w:val="00D95B3E"/>
    <w:rsid w:val="00DA0967"/>
    <w:rsid w:val="00DA0DD3"/>
    <w:rsid w:val="00DA1FBA"/>
    <w:rsid w:val="00DA2910"/>
    <w:rsid w:val="00DA3E19"/>
    <w:rsid w:val="00DA6281"/>
    <w:rsid w:val="00DB5179"/>
    <w:rsid w:val="00DB5798"/>
    <w:rsid w:val="00DB58DB"/>
    <w:rsid w:val="00DB7E77"/>
    <w:rsid w:val="00DC338D"/>
    <w:rsid w:val="00DD022C"/>
    <w:rsid w:val="00DD0B20"/>
    <w:rsid w:val="00DD0CEC"/>
    <w:rsid w:val="00DD1E2B"/>
    <w:rsid w:val="00DD2F40"/>
    <w:rsid w:val="00DD6077"/>
    <w:rsid w:val="00DD66B3"/>
    <w:rsid w:val="00DF08CE"/>
    <w:rsid w:val="00DF1599"/>
    <w:rsid w:val="00DF1B0C"/>
    <w:rsid w:val="00DF2DE2"/>
    <w:rsid w:val="00DF4F68"/>
    <w:rsid w:val="00E01837"/>
    <w:rsid w:val="00E04FDF"/>
    <w:rsid w:val="00E052B8"/>
    <w:rsid w:val="00E05343"/>
    <w:rsid w:val="00E068AD"/>
    <w:rsid w:val="00E10159"/>
    <w:rsid w:val="00E118A7"/>
    <w:rsid w:val="00E27382"/>
    <w:rsid w:val="00E27589"/>
    <w:rsid w:val="00E32EE9"/>
    <w:rsid w:val="00E3510D"/>
    <w:rsid w:val="00E41C0F"/>
    <w:rsid w:val="00E41E11"/>
    <w:rsid w:val="00E4391D"/>
    <w:rsid w:val="00E43CD8"/>
    <w:rsid w:val="00E46E44"/>
    <w:rsid w:val="00E473DC"/>
    <w:rsid w:val="00E51805"/>
    <w:rsid w:val="00E55A30"/>
    <w:rsid w:val="00E55E8D"/>
    <w:rsid w:val="00E56C74"/>
    <w:rsid w:val="00E57DCA"/>
    <w:rsid w:val="00E615DF"/>
    <w:rsid w:val="00E62925"/>
    <w:rsid w:val="00E647CF"/>
    <w:rsid w:val="00E64D14"/>
    <w:rsid w:val="00E70305"/>
    <w:rsid w:val="00E71DC8"/>
    <w:rsid w:val="00E775EF"/>
    <w:rsid w:val="00E8107A"/>
    <w:rsid w:val="00E82D6F"/>
    <w:rsid w:val="00E82EC2"/>
    <w:rsid w:val="00E85786"/>
    <w:rsid w:val="00E877E4"/>
    <w:rsid w:val="00E87CEE"/>
    <w:rsid w:val="00E94247"/>
    <w:rsid w:val="00E97183"/>
    <w:rsid w:val="00EA21A6"/>
    <w:rsid w:val="00EA5BF5"/>
    <w:rsid w:val="00EA76B0"/>
    <w:rsid w:val="00EB1E28"/>
    <w:rsid w:val="00EB23A7"/>
    <w:rsid w:val="00EB53D5"/>
    <w:rsid w:val="00EB651F"/>
    <w:rsid w:val="00EC1AEE"/>
    <w:rsid w:val="00ED0BD0"/>
    <w:rsid w:val="00ED397C"/>
    <w:rsid w:val="00ED5D81"/>
    <w:rsid w:val="00ED63CA"/>
    <w:rsid w:val="00ED6D4C"/>
    <w:rsid w:val="00EE295E"/>
    <w:rsid w:val="00EE38E0"/>
    <w:rsid w:val="00EE6AAC"/>
    <w:rsid w:val="00EF2CFF"/>
    <w:rsid w:val="00EF3975"/>
    <w:rsid w:val="00EF7DE7"/>
    <w:rsid w:val="00EF7DF4"/>
    <w:rsid w:val="00F01023"/>
    <w:rsid w:val="00F03E6D"/>
    <w:rsid w:val="00F056D4"/>
    <w:rsid w:val="00F05DAC"/>
    <w:rsid w:val="00F1295F"/>
    <w:rsid w:val="00F169A6"/>
    <w:rsid w:val="00F21BE0"/>
    <w:rsid w:val="00F23A60"/>
    <w:rsid w:val="00F23DBB"/>
    <w:rsid w:val="00F2751F"/>
    <w:rsid w:val="00F32831"/>
    <w:rsid w:val="00F41529"/>
    <w:rsid w:val="00F42750"/>
    <w:rsid w:val="00F45E96"/>
    <w:rsid w:val="00F5026B"/>
    <w:rsid w:val="00F50406"/>
    <w:rsid w:val="00F50B68"/>
    <w:rsid w:val="00F52766"/>
    <w:rsid w:val="00F537CF"/>
    <w:rsid w:val="00F56770"/>
    <w:rsid w:val="00F667D7"/>
    <w:rsid w:val="00F71D4D"/>
    <w:rsid w:val="00F76F2C"/>
    <w:rsid w:val="00F773BE"/>
    <w:rsid w:val="00F77B2C"/>
    <w:rsid w:val="00F804D3"/>
    <w:rsid w:val="00F85E54"/>
    <w:rsid w:val="00F9085F"/>
    <w:rsid w:val="00F90C69"/>
    <w:rsid w:val="00F91490"/>
    <w:rsid w:val="00F925BA"/>
    <w:rsid w:val="00F937A7"/>
    <w:rsid w:val="00F947E2"/>
    <w:rsid w:val="00F97EA2"/>
    <w:rsid w:val="00FA28AE"/>
    <w:rsid w:val="00FA35A9"/>
    <w:rsid w:val="00FA5D55"/>
    <w:rsid w:val="00FA5F6A"/>
    <w:rsid w:val="00FA7710"/>
    <w:rsid w:val="00FB3A9D"/>
    <w:rsid w:val="00FB6D44"/>
    <w:rsid w:val="00FB7488"/>
    <w:rsid w:val="00FC0100"/>
    <w:rsid w:val="00FC2924"/>
    <w:rsid w:val="00FC48CD"/>
    <w:rsid w:val="00FC4DD1"/>
    <w:rsid w:val="00FC5124"/>
    <w:rsid w:val="00FC6912"/>
    <w:rsid w:val="00FC70D9"/>
    <w:rsid w:val="00FD3FE8"/>
    <w:rsid w:val="00FD6A7E"/>
    <w:rsid w:val="00FD7B8F"/>
    <w:rsid w:val="00FE1CCC"/>
    <w:rsid w:val="00FE2B3B"/>
    <w:rsid w:val="00FF19D7"/>
    <w:rsid w:val="00FF2BC9"/>
    <w:rsid w:val="00FF31B0"/>
    <w:rsid w:val="00FF711D"/>
    <w:rsid w:val="00FF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pPr>
      <w:jc w:val="both"/>
    </w:pPr>
    <w:rPr>
      <w:rFonts w:ascii="Arial" w:eastAsia="Times New Roman" w:hAnsi="Arial"/>
      <w:szCs w:val="24"/>
    </w:rPr>
  </w:style>
  <w:style w:type="paragraph" w:styleId="Nadpis1">
    <w:name w:val="heading 1"/>
    <w:basedOn w:val="Normln"/>
    <w:next w:val="Normln"/>
    <w:qFormat/>
    <w:pPr>
      <w:keepNext/>
      <w:numPr>
        <w:numId w:val="5"/>
      </w:numPr>
      <w:outlineLvl w:val="0"/>
    </w:pPr>
    <w:rPr>
      <w:b/>
      <w:bCs/>
      <w:sz w:val="28"/>
      <w:szCs w:val="28"/>
      <w:lang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4"/>
      </w:numPr>
      <w:spacing w:before="240" w:after="60"/>
      <w:outlineLvl w:val="1"/>
    </w:pPr>
    <w:rPr>
      <w:b/>
      <w:bCs/>
      <w:iCs/>
      <w:sz w:val="24"/>
      <w:lang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Nadpis5">
    <w:name w:val="heading 5"/>
    <w:basedOn w:val="Normln"/>
    <w:next w:val="Normln"/>
    <w:qFormat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Nadpis6">
    <w:name w:val="heading 6"/>
    <w:basedOn w:val="Normln"/>
    <w:next w:val="Normln"/>
    <w:qFormat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Nadpis7">
    <w:name w:val="heading 7"/>
    <w:basedOn w:val="Normln"/>
    <w:next w:val="Normln"/>
    <w:qFormat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  <w:lang/>
    </w:rPr>
  </w:style>
  <w:style w:type="paragraph" w:styleId="Nadpis8">
    <w:name w:val="heading 8"/>
    <w:basedOn w:val="Normln"/>
    <w:next w:val="Normln"/>
    <w:qFormat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  <w:lang/>
    </w:rPr>
  </w:style>
  <w:style w:type="paragraph" w:styleId="Nadpis9">
    <w:name w:val="heading 9"/>
    <w:basedOn w:val="Normln"/>
    <w:next w:val="Normln"/>
    <w:qFormat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Standardnpsmoodstavce">
    <w:name w:val="Default Paragraph Font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Pr>
      <w:color w:val="0000FF"/>
      <w:u w:val="single"/>
    </w:rPr>
  </w:style>
  <w:style w:type="paragraph" w:customStyle="1" w:styleId="Styl1">
    <w:name w:val="Styl1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unhideWhenUsed/>
    <w:pPr>
      <w:tabs>
        <w:tab w:val="center" w:pos="4536"/>
        <w:tab w:val="right" w:pos="9072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nhideWhenUsed/>
    <w:pPr>
      <w:tabs>
        <w:tab w:val="center" w:pos="4536"/>
        <w:tab w:val="right" w:pos="9072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semiHidden/>
    <w:unhideWhenUsed/>
    <w:rPr>
      <w:rFonts w:ascii="Tahoma" w:eastAsia="Calibri" w:hAnsi="Tahoma"/>
      <w:sz w:val="16"/>
      <w:szCs w:val="16"/>
      <w:lang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="Calibri" w:hAnsi="Minion Pro" w:cs="Minion Pro"/>
      <w:color w:val="000000"/>
      <w:sz w:val="24"/>
    </w:rPr>
  </w:style>
  <w:style w:type="character" w:customStyle="1" w:styleId="Nadpis1Char">
    <w:name w:val="Nadpis 1 Char"/>
    <w:rPr>
      <w:rFonts w:ascii="Arial" w:eastAsia="Times New Roman" w:hAnsi="Arial" w:cs="Arial"/>
      <w:b/>
      <w:bCs/>
      <w:sz w:val="28"/>
      <w:szCs w:val="28"/>
    </w:rPr>
  </w:style>
  <w:style w:type="paragraph" w:styleId="Textpoznpodarou">
    <w:name w:val="footnote text"/>
    <w:aliases w:val="Text pozn. pod čarou_martin_ang"/>
    <w:basedOn w:val="Normln"/>
    <w:semiHidden/>
    <w:pPr>
      <w:jc w:val="left"/>
    </w:pPr>
    <w:rPr>
      <w:szCs w:val="20"/>
      <w:lang/>
    </w:rPr>
  </w:style>
  <w:style w:type="character" w:customStyle="1" w:styleId="TextpoznpodarouChar">
    <w:name w:val="Text pozn. pod čarou Char"/>
    <w:aliases w:val="Text pozn. pod čarou_martin_ang Char1"/>
    <w:semiHidden/>
    <w:rPr>
      <w:rFonts w:ascii="Arial" w:eastAsia="Times New Roman" w:hAnsi="Arial"/>
    </w:rPr>
  </w:style>
  <w:style w:type="character" w:styleId="Znakapoznpodarou">
    <w:name w:val="footnote reference"/>
    <w:semiHidden/>
    <w:rPr>
      <w:vertAlign w:val="superscript"/>
    </w:rPr>
  </w:style>
  <w:style w:type="paragraph" w:styleId="Odstavecseseznamem">
    <w:name w:val="List Paragraph"/>
    <w:basedOn w:val="Normln"/>
    <w:qFormat/>
    <w:pPr>
      <w:ind w:left="708"/>
      <w:jc w:val="left"/>
    </w:pPr>
    <w:rPr>
      <w:sz w:val="18"/>
      <w:szCs w:val="20"/>
    </w:rPr>
  </w:style>
  <w:style w:type="character" w:styleId="Odkaznakoment">
    <w:name w:val="annotation reference"/>
    <w:semiHidden/>
    <w:unhideWhenUsed/>
    <w:rPr>
      <w:sz w:val="16"/>
      <w:szCs w:val="16"/>
    </w:rPr>
  </w:style>
  <w:style w:type="paragraph" w:styleId="Textkomente">
    <w:name w:val="annotation text"/>
    <w:basedOn w:val="Normln"/>
    <w:semiHidden/>
    <w:unhideWhenUsed/>
    <w:pPr>
      <w:jc w:val="left"/>
    </w:pPr>
    <w:rPr>
      <w:szCs w:val="20"/>
      <w:lang/>
    </w:rPr>
  </w:style>
  <w:style w:type="character" w:customStyle="1" w:styleId="TextkomenteChar">
    <w:name w:val="Text komentáře Char"/>
    <w:semiHidden/>
    <w:rPr>
      <w:rFonts w:ascii="Arial" w:eastAsia="Times New Roman" w:hAnsi="Arial"/>
    </w:rPr>
  </w:style>
  <w:style w:type="character" w:customStyle="1" w:styleId="Nadpis2Char">
    <w:name w:val="Nadpis 2 Char"/>
    <w:rPr>
      <w:rFonts w:ascii="Arial" w:eastAsia="Times New Roman" w:hAnsi="Arial" w:cs="Arial"/>
      <w:b/>
      <w:bCs/>
      <w:iCs/>
      <w:sz w:val="24"/>
      <w:szCs w:val="24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semiHidden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semiHidden/>
    <w:rPr>
      <w:rFonts w:ascii="Cambria" w:eastAsia="Times New Roman" w:hAnsi="Cambria" w:cs="Times New Roman"/>
      <w:sz w:val="22"/>
      <w:szCs w:val="22"/>
    </w:rPr>
  </w:style>
  <w:style w:type="paragraph" w:styleId="Nadpisobsahu">
    <w:name w:val="TOC Heading"/>
    <w:basedOn w:val="Nadpis1"/>
    <w:next w:val="Normln"/>
    <w:qFormat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Obsah2">
    <w:name w:val="toc 2"/>
    <w:basedOn w:val="Normln"/>
    <w:next w:val="Normln"/>
    <w:autoRedefine/>
    <w:semiHidden/>
    <w:unhideWhenUsed/>
    <w:qFormat/>
    <w:pPr>
      <w:tabs>
        <w:tab w:val="left" w:pos="880"/>
        <w:tab w:val="right" w:leader="dot" w:pos="9628"/>
      </w:tabs>
      <w:spacing w:after="100" w:line="276" w:lineRule="auto"/>
      <w:ind w:left="851" w:hanging="567"/>
      <w:jc w:val="left"/>
    </w:pPr>
    <w:rPr>
      <w:rFonts w:ascii="Calibri" w:hAnsi="Calibri"/>
      <w:sz w:val="22"/>
      <w:szCs w:val="22"/>
    </w:rPr>
  </w:style>
  <w:style w:type="paragraph" w:styleId="Obsah1">
    <w:name w:val="toc 1"/>
    <w:basedOn w:val="Normln"/>
    <w:next w:val="Normln"/>
    <w:autoRedefine/>
    <w:semiHidden/>
    <w:unhideWhenUsed/>
    <w:qFormat/>
    <w:pPr>
      <w:tabs>
        <w:tab w:val="left" w:pos="851"/>
        <w:tab w:val="right" w:leader="dot" w:pos="9628"/>
      </w:tabs>
      <w:spacing w:after="100" w:line="276" w:lineRule="auto"/>
      <w:jc w:val="left"/>
    </w:pPr>
    <w:rPr>
      <w:szCs w:val="22"/>
    </w:rPr>
  </w:style>
  <w:style w:type="paragraph" w:styleId="Obsah3">
    <w:name w:val="toc 3"/>
    <w:basedOn w:val="Normln"/>
    <w:next w:val="Normln"/>
    <w:autoRedefine/>
    <w:semiHidden/>
    <w:unhideWhenUsed/>
    <w:qFormat/>
    <w:pPr>
      <w:tabs>
        <w:tab w:val="right" w:leader="dot" w:pos="9638"/>
      </w:tabs>
      <w:spacing w:after="100" w:line="276" w:lineRule="auto"/>
      <w:ind w:left="446"/>
      <w:jc w:val="left"/>
    </w:pPr>
    <w:rPr>
      <w:rFonts w:ascii="Calibri" w:hAnsi="Calibri"/>
      <w:sz w:val="22"/>
      <w:szCs w:val="22"/>
    </w:rPr>
  </w:style>
  <w:style w:type="paragraph" w:styleId="Bezmezer">
    <w:name w:val="No Spacing"/>
    <w:qFormat/>
    <w:pPr>
      <w:jc w:val="both"/>
    </w:pPr>
    <w:rPr>
      <w:rFonts w:ascii="Arial" w:eastAsia="Times New Roman" w:hAnsi="Arial"/>
      <w:szCs w:val="24"/>
    </w:rPr>
  </w:style>
  <w:style w:type="paragraph" w:styleId="Obsah10">
    <w:name w:val="toc 1"/>
    <w:basedOn w:val="Normln"/>
    <w:next w:val="Normln"/>
    <w:autoRedefine/>
    <w:semiHidden/>
    <w:unhideWhenUsed/>
    <w:qFormat/>
    <w:pPr>
      <w:tabs>
        <w:tab w:val="left" w:pos="851"/>
        <w:tab w:val="right" w:leader="dot" w:pos="9498"/>
      </w:tabs>
      <w:spacing w:after="100" w:line="276" w:lineRule="auto"/>
      <w:jc w:val="left"/>
    </w:pPr>
    <w:rPr>
      <w:szCs w:val="22"/>
    </w:rPr>
  </w:style>
  <w:style w:type="paragraph" w:styleId="Zkladntext">
    <w:name w:val="Body Text"/>
    <w:basedOn w:val="Normln"/>
    <w:semiHidden/>
    <w:rPr>
      <w:color w:val="000000"/>
    </w:rPr>
  </w:style>
  <w:style w:type="paragraph" w:styleId="Zkladntext3">
    <w:name w:val="Body Text 3"/>
    <w:basedOn w:val="Normln"/>
    <w:semiHidden/>
    <w:rPr>
      <w:sz w:val="18"/>
    </w:rPr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card">
    <w:name w:val="card"/>
    <w:basedOn w:val="Standardnpsmoodstavce"/>
  </w:style>
  <w:style w:type="paragraph" w:styleId="Zkladntext2">
    <w:name w:val="Body Text 2"/>
    <w:basedOn w:val="Normln"/>
    <w:semiHidden/>
    <w:pPr>
      <w:jc w:val="left"/>
    </w:pPr>
    <w:rPr>
      <w:b/>
      <w:bCs/>
    </w:rPr>
  </w:style>
  <w:style w:type="paragraph" w:customStyle="1" w:styleId="normalnsodrkami">
    <w:name w:val="normalní s odrážkami"/>
    <w:basedOn w:val="Normln"/>
    <w:pPr>
      <w:numPr>
        <w:numId w:val="19"/>
      </w:numPr>
    </w:pPr>
  </w:style>
  <w:style w:type="paragraph" w:styleId="Normlnweb">
    <w:name w:val="Normal (Web)"/>
    <w:basedOn w:val="Normln"/>
    <w:uiPriority w:val="99"/>
    <w:semiHidden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Default">
    <w:name w:val="Default"/>
    <w:rsid w:val="004D03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E13D1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E13D1"/>
    <w:rPr>
      <w:rFonts w:ascii="Arial" w:eastAsia="Times New Roman" w:hAnsi="Arial"/>
    </w:rPr>
  </w:style>
  <w:style w:type="character" w:styleId="Odkaznavysvtlivky">
    <w:name w:val="endnote reference"/>
    <w:basedOn w:val="Standardnpsmoodstavce"/>
    <w:uiPriority w:val="99"/>
    <w:semiHidden/>
    <w:unhideWhenUsed/>
    <w:rsid w:val="003E13D1"/>
    <w:rPr>
      <w:vertAlign w:val="superscript"/>
    </w:rPr>
  </w:style>
  <w:style w:type="character" w:customStyle="1" w:styleId="hps">
    <w:name w:val="hps"/>
    <w:basedOn w:val="Standardnpsmoodstavce"/>
    <w:rsid w:val="00FF1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1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82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D3886-21AC-4D8A-A6CB-DCA9866E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2148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VÍCETÉMATICKÉ INFORMACE</vt:lpstr>
    </vt:vector>
  </TitlesOfParts>
  <Company>ČSÚ</Company>
  <LinksUpToDate>false</LinksUpToDate>
  <CharactersWithSpaces>14799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VÍCETÉMATICKÉ INFORMACE</dc:title>
  <dc:creator>SystemService</dc:creator>
  <cp:lastModifiedBy>Jiří Kamenický</cp:lastModifiedBy>
  <cp:revision>2</cp:revision>
  <cp:lastPrinted>2014-06-02T17:09:00Z</cp:lastPrinted>
  <dcterms:created xsi:type="dcterms:W3CDTF">2014-10-24T06:29:00Z</dcterms:created>
  <dcterms:modified xsi:type="dcterms:W3CDTF">2014-10-24T06:29:00Z</dcterms:modified>
</cp:coreProperties>
</file>