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E0" w:rsidRDefault="00EE38E0" w:rsidP="00650DA9">
      <w:pPr>
        <w:pStyle w:val="Nadpis1"/>
        <w:numPr>
          <w:ilvl w:val="0"/>
          <w:numId w:val="41"/>
        </w:numPr>
        <w:jc w:val="left"/>
      </w:pPr>
      <w:r>
        <w:t>Vliv alkoholu na dopravní nehodovost</w:t>
      </w:r>
    </w:p>
    <w:p w:rsidR="00EE38E0" w:rsidRPr="00F169A6" w:rsidRDefault="00EE38E0"/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EE38E0">
        <w:tc>
          <w:tcPr>
            <w:tcW w:w="1054" w:type="pct"/>
          </w:tcPr>
          <w:p w:rsidR="00EE38E0" w:rsidRDefault="00F169A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Řidiči, kteří před jízdou pili alkohol zaviňují častěji nehody s následky na zdraví osob</w:t>
            </w:r>
          </w:p>
        </w:tc>
        <w:tc>
          <w:tcPr>
            <w:tcW w:w="142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804" w:type="pct"/>
          </w:tcPr>
          <w:p w:rsidR="00EE38E0" w:rsidRDefault="00EE38E0" w:rsidP="00F169A6">
            <w:r>
              <w:rPr>
                <w:rFonts w:cs="Arial"/>
                <w:szCs w:val="16"/>
              </w:rPr>
              <w:t>Význam nehod způsobených pod vlivem alkoholu podtrhuje fakt, že častěji končí s následky na zdraví osob. U nehod zaviněných pod vlivem alkoholu takto končí čtyři z deseti událostí (u všech nehod pětina). Tento podíl je však proti skutečnosti zřejmě navýšený, neboť u ne každého viníka dopravní nehody se musí zjišťovat přítomnost alkoholu v krvi, kdežto u nehod s následky na zdraví by toto zjišťování mělo mít plošný charakter. K hodnocení nehodovosti zaviněné pod vlivem alkoholu je tedy třeba přistupovat obezřetněji, neboť více závisí na důslednosti policejních kontrol a také ochotě viníků se zkoušce na alkohol vystavit.</w:t>
            </w:r>
          </w:p>
        </w:tc>
      </w:tr>
    </w:tbl>
    <w:p w:rsidR="00087E95" w:rsidRPr="00087E95" w:rsidRDefault="00087E95"/>
    <w:p w:rsidR="00EE38E0" w:rsidRDefault="00F925BA">
      <w:pPr>
        <w:rPr>
          <w:lang/>
        </w:rPr>
      </w:pPr>
      <w:r>
        <w:rPr>
          <w:bCs/>
          <w:lang/>
        </w:rPr>
        <w:t>Tab. č. 5</w:t>
      </w:r>
      <w:r w:rsidR="00547B96">
        <w:rPr>
          <w:b/>
          <w:bCs/>
          <w:lang/>
        </w:rPr>
        <w:t xml:space="preserve">  </w:t>
      </w:r>
      <w:r w:rsidR="00EE38E0">
        <w:rPr>
          <w:b/>
          <w:bCs/>
          <w:lang/>
        </w:rPr>
        <w:t>Nehody a jejich následky podle výsledků zjišťování alkoholu u viníka v ČR v 2013</w:t>
      </w:r>
    </w:p>
    <w:p w:rsidR="00EE38E0" w:rsidRDefault="00087E95">
      <w:pPr>
        <w:rPr>
          <w:lang/>
        </w:rPr>
      </w:pPr>
      <w:r w:rsidRPr="00087E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81.55pt;height:198.7pt">
            <v:imagedata r:id="rId8" o:title=""/>
          </v:shape>
        </w:pict>
      </w:r>
    </w:p>
    <w:p w:rsidR="00EE38E0" w:rsidRDefault="00EE38E0">
      <w:pPr>
        <w:spacing w:before="40"/>
        <w:rPr>
          <w:sz w:val="18"/>
        </w:rPr>
      </w:pPr>
      <w:r>
        <w:rPr>
          <w:sz w:val="18"/>
          <w:vertAlign w:val="superscript"/>
        </w:rPr>
        <w:t>*)</w:t>
      </w:r>
      <w:r>
        <w:rPr>
          <w:sz w:val="18"/>
        </w:rPr>
        <w:t xml:space="preserve"> Údaje za rok 2013 jsou předběžné. Vychází z webové aplikace „Nehody v mapě“. Oproti konečným hodnotám mohou být za úhrn všech evidovaných nehod v ČR o několik desítek nižší (zejména u nehod pouze s hmotnou škodou)</w:t>
      </w:r>
    </w:p>
    <w:p w:rsidR="00EE38E0" w:rsidRDefault="00EE38E0">
      <w:pPr>
        <w:rPr>
          <w:lang/>
        </w:rPr>
      </w:pPr>
      <w:r>
        <w:rPr>
          <w:sz w:val="18"/>
        </w:rPr>
        <w:t>Pramen: Policejní prezidium ČR, vlastní výpočty</w:t>
      </w:r>
    </w:p>
    <w:p w:rsidR="00EE38E0" w:rsidRDefault="00EE38E0">
      <w:pPr>
        <w:rPr>
          <w:lang/>
        </w:rPr>
      </w:pPr>
    </w:p>
    <w:tbl>
      <w:tblPr>
        <w:tblW w:w="5029" w:type="pct"/>
        <w:tblInd w:w="-42" w:type="dxa"/>
        <w:tblCellMar>
          <w:left w:w="28" w:type="dxa"/>
          <w:right w:w="28" w:type="dxa"/>
        </w:tblCellMar>
        <w:tblLook w:val="04A0"/>
      </w:tblPr>
      <w:tblGrid>
        <w:gridCol w:w="43"/>
        <w:gridCol w:w="686"/>
        <w:gridCol w:w="1357"/>
        <w:gridCol w:w="275"/>
        <w:gridCol w:w="2299"/>
        <w:gridCol w:w="579"/>
        <w:gridCol w:w="4497"/>
        <w:gridCol w:w="14"/>
      </w:tblGrid>
      <w:tr w:rsidR="007252DF" w:rsidTr="00F169A6">
        <w:trPr>
          <w:gridBefore w:val="1"/>
          <w:gridAfter w:val="1"/>
          <w:wBefore w:w="22" w:type="pct"/>
          <w:wAfter w:w="8" w:type="pct"/>
        </w:trPr>
        <w:tc>
          <w:tcPr>
            <w:tcW w:w="1048" w:type="pct"/>
            <w:gridSpan w:val="2"/>
          </w:tcPr>
          <w:p w:rsidR="007252DF" w:rsidRDefault="00F169A6" w:rsidP="008E64F8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Podlivem</w:t>
            </w:r>
            <w:proofErr w:type="spellEnd"/>
            <w:r>
              <w:rPr>
                <w:sz w:val="16"/>
                <w:szCs w:val="16"/>
              </w:rPr>
              <w:t xml:space="preserve"> alkoholu a drog bylo v roce 2013 zaviněno 6,4 % všech dopravních nehod…</w:t>
            </w:r>
          </w:p>
        </w:tc>
        <w:tc>
          <w:tcPr>
            <w:tcW w:w="141" w:type="pct"/>
          </w:tcPr>
          <w:p w:rsidR="007252DF" w:rsidRDefault="007252DF" w:rsidP="008E64F8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82" w:type="pct"/>
            <w:gridSpan w:val="3"/>
          </w:tcPr>
          <w:p w:rsidR="007252DF" w:rsidRDefault="00991DF7" w:rsidP="00991DF7">
            <w:pPr>
              <w:pStyle w:val="Textpoznpodarou"/>
              <w:jc w:val="both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Při kontrolách na místě nehod v roce 2013 zjistila Policie ČR stopy alkoholu či drog u téměř 5 tis. viníků dopravních nehod. </w:t>
            </w:r>
            <w:r w:rsidR="00F169A6">
              <w:rPr>
                <w:lang w:val="cs-CZ" w:eastAsia="cs-CZ"/>
              </w:rPr>
              <w:t xml:space="preserve"> </w:t>
            </w:r>
            <w:r>
              <w:rPr>
                <w:lang w:val="cs-CZ" w:eastAsia="cs-CZ"/>
              </w:rPr>
              <w:t>V relaci k celkovému počtu nehod zaviněných osobami, u kterých přichází v úvahu možnost testování alkoholu (tj. řidiči motorových a nemotorových vozidel a chodci) tak bylo v roce 2013 pod vlivem alkoholu či drog zaviněno 6,4 % nehod. V případě nehod s následky na zdraví byla takto zaviněna každá desátá nehoda, překvapivě bez významnějšího rozdílu podle závažnosti následků (viníci nehod pod vlivem alkoholu či drog stáli za úmrtím 10,7 % osob, resp. za 9,7 % lehce zraněných osob).</w:t>
            </w:r>
            <w:r w:rsidR="00395C0E">
              <w:rPr>
                <w:lang w:val="cs-CZ" w:eastAsia="cs-CZ"/>
              </w:rPr>
              <w:t xml:space="preserve"> </w:t>
            </w:r>
            <w:r w:rsidR="00F169A6">
              <w:rPr>
                <w:lang w:val="cs-CZ" w:eastAsia="cs-CZ"/>
              </w:rPr>
              <w:t xml:space="preserve"> </w:t>
            </w:r>
            <w:r w:rsidR="00395C0E">
              <w:rPr>
                <w:lang w:val="cs-CZ" w:eastAsia="cs-CZ"/>
              </w:rPr>
              <w:t xml:space="preserve">Relativně „nižší“ podíl u smrtelných případů je třeba posunovat v kontextu skutečnosti, že u plné čtvrtiny usmrcených osob </w:t>
            </w:r>
            <w:r w:rsidR="002329D5">
              <w:rPr>
                <w:lang w:val="cs-CZ" w:eastAsia="cs-CZ"/>
              </w:rPr>
              <w:t>nebyl u viník nehody</w:t>
            </w:r>
            <w:r w:rsidR="00395C0E">
              <w:rPr>
                <w:lang w:val="cs-CZ" w:eastAsia="cs-CZ"/>
              </w:rPr>
              <w:t xml:space="preserve"> </w:t>
            </w:r>
            <w:r w:rsidR="002329D5">
              <w:rPr>
                <w:lang w:val="cs-CZ" w:eastAsia="cs-CZ"/>
              </w:rPr>
              <w:t>testován na přítomnost alkoholu či drog (často šlo o případy, kdy viník nehody zemřel na místě nehody).</w:t>
            </w:r>
          </w:p>
          <w:p w:rsidR="00F169A6" w:rsidRDefault="00F169A6" w:rsidP="00991DF7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F169A6" w:rsidTr="00F169A6">
        <w:trPr>
          <w:gridBefore w:val="1"/>
          <w:gridAfter w:val="1"/>
          <w:wBefore w:w="22" w:type="pct"/>
          <w:wAfter w:w="8" w:type="pct"/>
        </w:trPr>
        <w:tc>
          <w:tcPr>
            <w:tcW w:w="1048" w:type="pct"/>
            <w:gridSpan w:val="2"/>
          </w:tcPr>
          <w:p w:rsidR="00F169A6" w:rsidRDefault="00F169A6" w:rsidP="009E623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v roce 2011 na takovéto nehody připadala osmina úmrtí i těžkýc</w:t>
            </w:r>
            <w:r w:rsidR="009E623E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 xml:space="preserve"> zranění ze všech dopravních nehod v ČR</w:t>
            </w:r>
          </w:p>
        </w:tc>
        <w:tc>
          <w:tcPr>
            <w:tcW w:w="141" w:type="pct"/>
          </w:tcPr>
          <w:p w:rsidR="00F169A6" w:rsidRDefault="00F169A6" w:rsidP="008E64F8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82" w:type="pct"/>
            <w:gridSpan w:val="3"/>
          </w:tcPr>
          <w:p w:rsidR="00F169A6" w:rsidRDefault="00F169A6" w:rsidP="00F169A6">
            <w:pPr>
              <w:pStyle w:val="Textpoznpodarou"/>
              <w:jc w:val="both"/>
            </w:pPr>
            <w:r>
              <w:t>Na více než 5,2 tis. nehod, u kterých policie v roce 2011 zjistila přítomnost alkoholu v krvi viníka, připadala osmina úmrtí i těžkých zranění z veškerých nehod pozemních komunikacích na území ČR. U nehod pouze s hmotnou škodou je podíl viníků pod vlivem alkoholu dlouhodobě nejnižší, mírné zvýšení jejich podílu mezi roky 2008 a 2009 souvisí se změnou metodiky evidence nehod, kdy nehody s menší škodou (obvykle bez vlivu alkoholu) již jejich účastníci policii nehlásí. Zatímco počet hlášených nehod pod vlivem alkoholu i jejich podíl na celkové nehodovosti vykazuje dlouhodobě příznivé tendence, počet úmrtí při těchto nehodách se od roku 2009 přehoupl přes stovku a vrátil se na relativně vysokou úroveň z období 2000-2003. V sedmi z deseti případů nehod pod vlivem alkoholu měl viník v krvi více než 1,1 promile alkoholu, při kterých v roce 2011 zemřelo 62 osob. Dalších osm osob bylo v tomto roce usmrceno v případech (149), kdy byl viník nehody pouze pod vlivem drog. Viníci nehod pod vlivem návykových látek tak měli v roce 2011 na svědomí 13,7 % obětí všech nehod na pozemních komunikacích ČR.</w:t>
            </w:r>
          </w:p>
          <w:p w:rsidR="00F169A6" w:rsidRDefault="00F169A6" w:rsidP="00991DF7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7252DF" w:rsidTr="00F169A6">
        <w:trPr>
          <w:gridBefore w:val="1"/>
          <w:gridAfter w:val="1"/>
          <w:wBefore w:w="22" w:type="pct"/>
          <w:wAfter w:w="8" w:type="pct"/>
        </w:trPr>
        <w:tc>
          <w:tcPr>
            <w:tcW w:w="1048" w:type="pct"/>
            <w:gridSpan w:val="2"/>
          </w:tcPr>
          <w:p w:rsidR="007252DF" w:rsidRDefault="007252DF" w:rsidP="007252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" w:type="pct"/>
          </w:tcPr>
          <w:p w:rsidR="007252DF" w:rsidRDefault="007252DF" w:rsidP="008E64F8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82" w:type="pct"/>
            <w:gridSpan w:val="3"/>
          </w:tcPr>
          <w:p w:rsidR="007252DF" w:rsidRDefault="007252DF" w:rsidP="008E64F8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 w:rsidTr="00F16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9"/>
        </w:trPr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8E0" w:rsidRDefault="00547B96">
            <w:pPr>
              <w:pStyle w:val="Nadpis5"/>
              <w:numPr>
                <w:ilvl w:val="0"/>
                <w:numId w:val="0"/>
              </w:numPr>
              <w:spacing w:before="20"/>
              <w:rPr>
                <w:rFonts w:ascii="Arial" w:hAnsi="Arial"/>
                <w:i w:val="0"/>
                <w:iCs w:val="0"/>
                <w:sz w:val="20"/>
                <w:szCs w:val="24"/>
              </w:rPr>
            </w:pPr>
            <w:r w:rsidRPr="00547B96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lastRenderedPageBreak/>
              <w:t xml:space="preserve">Graf </w:t>
            </w:r>
            <w:r w:rsidRPr="00547B96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90</w:t>
            </w:r>
          </w:p>
        </w:tc>
        <w:tc>
          <w:tcPr>
            <w:tcW w:w="20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8E0" w:rsidRDefault="00EE38E0">
            <w:pPr>
              <w:spacing w:before="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Vývoj následků nehod pod vlivem alkoholu podle kategorie viníka v ČR</w:t>
            </w:r>
          </w:p>
          <w:p w:rsidR="00EE38E0" w:rsidRDefault="00EE38E0">
            <w:pPr>
              <w:pStyle w:val="Zpat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EE38E0" w:rsidRDefault="00547B96">
            <w:pPr>
              <w:pStyle w:val="Nadpis5"/>
              <w:numPr>
                <w:ilvl w:val="0"/>
                <w:numId w:val="0"/>
              </w:numPr>
              <w:spacing w:before="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547B96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547B96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91</w:t>
            </w:r>
          </w:p>
        </w:tc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8E0" w:rsidRPr="00F169A6" w:rsidRDefault="00EE38E0" w:rsidP="00F169A6">
            <w:pPr>
              <w:pStyle w:val="Nadpis2"/>
              <w:numPr>
                <w:ilvl w:val="0"/>
                <w:numId w:val="0"/>
              </w:numPr>
              <w:spacing w:before="20" w:after="0"/>
              <w:jc w:val="left"/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 xml:space="preserve">Následky na zdraví podle kategorií účastníků silničního provozu </w:t>
            </w:r>
            <w:r w:rsidR="00F169A6">
              <w:rPr>
                <w:iCs w:val="0"/>
                <w:sz w:val="20"/>
                <w:lang w:val="cs-CZ"/>
              </w:rPr>
              <w:t xml:space="preserve"> </w:t>
            </w:r>
            <w:r>
              <w:rPr>
                <w:b w:val="0"/>
                <w:bCs w:val="0"/>
                <w:iCs w:val="0"/>
                <w:sz w:val="20"/>
              </w:rPr>
              <w:t>(</w:t>
            </w:r>
            <w:r w:rsidR="00F169A6" w:rsidRPr="00F169A6">
              <w:rPr>
                <w:b w:val="0"/>
                <w:iCs w:val="0"/>
                <w:sz w:val="20"/>
              </w:rPr>
              <w:t>2000-2012</w:t>
            </w:r>
            <w:r w:rsidR="00F169A6">
              <w:rPr>
                <w:b w:val="0"/>
                <w:bCs w:val="0"/>
                <w:iCs w:val="0"/>
                <w:sz w:val="20"/>
                <w:lang w:val="cs-CZ"/>
              </w:rPr>
              <w:t xml:space="preserve"> </w:t>
            </w:r>
            <w:r>
              <w:rPr>
                <w:b w:val="0"/>
                <w:bCs w:val="0"/>
                <w:iCs w:val="0"/>
                <w:sz w:val="20"/>
              </w:rPr>
              <w:t>v důsledku všech nehod</w:t>
            </w:r>
            <w:r w:rsidR="00F169A6">
              <w:rPr>
                <w:b w:val="0"/>
                <w:bCs w:val="0"/>
                <w:iCs w:val="0"/>
                <w:sz w:val="20"/>
                <w:lang w:val="cs-CZ"/>
              </w:rPr>
              <w:t xml:space="preserve"> pod </w:t>
            </w:r>
            <w:r>
              <w:rPr>
                <w:b w:val="0"/>
                <w:bCs w:val="0"/>
                <w:iCs w:val="0"/>
                <w:sz w:val="20"/>
              </w:rPr>
              <w:t>vlivem alkoholu)</w:t>
            </w:r>
          </w:p>
        </w:tc>
      </w:tr>
    </w:tbl>
    <w:p w:rsidR="00EE38E0" w:rsidRDefault="000D3038">
      <w:pPr>
        <w:rPr>
          <w:lang/>
        </w:rPr>
      </w:pPr>
      <w:r w:rsidRPr="000D3038">
        <w:pict>
          <v:shape id="_x0000_i1025" type="#_x0000_t75" style="width:239.6pt;height:210.8pt">
            <v:imagedata r:id="rId9" o:title=""/>
          </v:shape>
        </w:pict>
      </w:r>
      <w:r w:rsidRPr="003E78AD">
        <w:pict>
          <v:shape id="_x0000_i1026" type="#_x0000_t75" style="width:236.15pt;height:210.8pt">
            <v:imagedata r:id="rId10" o:title=""/>
          </v:shape>
        </w:pict>
      </w:r>
    </w:p>
    <w:p w:rsidR="00EE38E0" w:rsidRDefault="00EE38E0">
      <w:pPr>
        <w:rPr>
          <w:lang/>
        </w:rPr>
      </w:pPr>
      <w:r>
        <w:rPr>
          <w:sz w:val="18"/>
        </w:rPr>
        <w:t>Pramen: Policejní prezidium ČR, vlastní výpočty</w:t>
      </w:r>
    </w:p>
    <w:p w:rsidR="00EE38E0" w:rsidRDefault="00EE38E0">
      <w:pPr>
        <w:rPr>
          <w:lang/>
        </w:rPr>
      </w:pPr>
    </w:p>
    <w:tbl>
      <w:tblPr>
        <w:tblW w:w="5029" w:type="pct"/>
        <w:tblInd w:w="-42" w:type="dxa"/>
        <w:tblCellMar>
          <w:left w:w="28" w:type="dxa"/>
          <w:right w:w="28" w:type="dxa"/>
        </w:tblCellMar>
        <w:tblLook w:val="04A0"/>
      </w:tblPr>
      <w:tblGrid>
        <w:gridCol w:w="43"/>
        <w:gridCol w:w="577"/>
        <w:gridCol w:w="1466"/>
        <w:gridCol w:w="275"/>
        <w:gridCol w:w="2549"/>
        <w:gridCol w:w="659"/>
        <w:gridCol w:w="4167"/>
        <w:gridCol w:w="14"/>
      </w:tblGrid>
      <w:tr w:rsidR="00EE38E0" w:rsidTr="009E623E">
        <w:trPr>
          <w:gridBefore w:val="1"/>
          <w:gridAfter w:val="1"/>
          <w:wBefore w:w="22" w:type="pct"/>
          <w:wAfter w:w="8" w:type="pct"/>
        </w:trPr>
        <w:tc>
          <w:tcPr>
            <w:tcW w:w="1048" w:type="pct"/>
            <w:gridSpan w:val="2"/>
          </w:tcPr>
          <w:p w:rsidR="00EE38E0" w:rsidRDefault="00EE3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82" w:type="pct"/>
            <w:gridSpan w:val="3"/>
          </w:tcPr>
          <w:p w:rsidR="00EE38E0" w:rsidRDefault="00EE38E0" w:rsidP="009E623E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 w:rsidTr="009E623E">
        <w:trPr>
          <w:gridBefore w:val="1"/>
          <w:gridAfter w:val="1"/>
          <w:wBefore w:w="22" w:type="pct"/>
          <w:wAfter w:w="8" w:type="pct"/>
        </w:trPr>
        <w:tc>
          <w:tcPr>
            <w:tcW w:w="1048" w:type="pct"/>
            <w:gridSpan w:val="2"/>
          </w:tcPr>
          <w:p w:rsidR="00EE38E0" w:rsidRDefault="009E623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Vliv alkoholu u cyklistů a chodců</w:t>
            </w:r>
          </w:p>
        </w:tc>
        <w:tc>
          <w:tcPr>
            <w:tcW w:w="141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82" w:type="pct"/>
            <w:gridSpan w:val="3"/>
          </w:tcPr>
          <w:p w:rsidR="009E623E" w:rsidRDefault="00EE38E0">
            <w:pPr>
              <w:pStyle w:val="Textpoznpodarou"/>
              <w:jc w:val="both"/>
              <w:rPr>
                <w:lang w:val="cs-CZ"/>
              </w:rPr>
            </w:pPr>
            <w:r>
              <w:t>Přestože drtivá většina obětí jde i u nehod pod vlivem alkoholu na vrub řidičů motorových vozidel, alkohol výrazně přispívá k celkové nehodovosti hlavně u nemotorových účastníků silničního provozu.</w:t>
            </w:r>
          </w:p>
          <w:p w:rsidR="009E623E" w:rsidRDefault="009E623E">
            <w:pPr>
              <w:pStyle w:val="Textpoznpodarou"/>
              <w:jc w:val="both"/>
              <w:rPr>
                <w:lang w:val="cs-CZ"/>
              </w:rPr>
            </w:pPr>
          </w:p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  <w:r>
              <w:t>Nejvyšší podíl těchto nehod byl v roce 2011 v kategorii cyklistů, kteří pod vlivem alkoholu způsobili 27 % z celkového počtu jimi zaviněných nehod, následuji řidiči mopedů (27 %), chodci (16%), ale i méně frekventovaní účastníci provozu – vozkové a traktoristé.</w:t>
            </w:r>
          </w:p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 w:rsidTr="009E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9"/>
        </w:trPr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8E0" w:rsidRDefault="00547B96">
            <w:pPr>
              <w:pStyle w:val="Nadpis5"/>
              <w:numPr>
                <w:ilvl w:val="0"/>
                <w:numId w:val="0"/>
              </w:numPr>
              <w:spacing w:before="20"/>
              <w:rPr>
                <w:rFonts w:ascii="Arial" w:hAnsi="Arial" w:cs="Arial"/>
                <w:i w:val="0"/>
                <w:iCs w:val="0"/>
                <w:sz w:val="20"/>
                <w:szCs w:val="24"/>
              </w:rPr>
            </w:pPr>
            <w:r w:rsidRPr="00547B96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547B96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92</w:t>
            </w:r>
          </w:p>
        </w:tc>
        <w:tc>
          <w:tcPr>
            <w:tcW w:w="22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8E0" w:rsidRDefault="00EE38E0">
            <w:pPr>
              <w:pStyle w:val="Zkladntext2"/>
              <w:spacing w:before="20"/>
              <w:rPr>
                <w:rFonts w:cs="Arial"/>
              </w:rPr>
            </w:pPr>
            <w:r>
              <w:rPr>
                <w:rFonts w:cs="Arial"/>
              </w:rPr>
              <w:t>Podíl nehod pod vlivem alkoholu ze všech nehod v ČR (v %)</w:t>
            </w:r>
          </w:p>
          <w:p w:rsidR="00EE38E0" w:rsidRDefault="00EE38E0">
            <w:pPr>
              <w:pStyle w:val="Zpat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(v rámci kategorií dle závažnosti následků)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EE38E0" w:rsidRDefault="00547B96">
            <w:pPr>
              <w:pStyle w:val="Nadpis5"/>
              <w:numPr>
                <w:ilvl w:val="0"/>
                <w:numId w:val="0"/>
              </w:numPr>
              <w:spacing w:before="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547B96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547B96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9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3</w:t>
            </w:r>
          </w:p>
        </w:tc>
        <w:tc>
          <w:tcPr>
            <w:tcW w:w="21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8E0" w:rsidRPr="009E623E" w:rsidRDefault="00EE38E0" w:rsidP="009E623E">
            <w:pPr>
              <w:pStyle w:val="Nadpis2"/>
              <w:numPr>
                <w:ilvl w:val="0"/>
                <w:numId w:val="0"/>
              </w:numPr>
              <w:spacing w:before="20" w:after="0"/>
              <w:jc w:val="left"/>
              <w:rPr>
                <w:rFonts w:cs="Arial"/>
                <w:iCs w:val="0"/>
                <w:sz w:val="20"/>
              </w:rPr>
            </w:pPr>
            <w:r>
              <w:rPr>
                <w:rFonts w:cs="Arial"/>
                <w:iCs w:val="0"/>
                <w:sz w:val="20"/>
              </w:rPr>
              <w:t xml:space="preserve">Usmrcené a zraněné osoby při nehodách zaviněných pod vlivem alkoholu </w:t>
            </w:r>
            <w:r>
              <w:rPr>
                <w:rFonts w:cs="Arial"/>
                <w:b w:val="0"/>
                <w:bCs w:val="0"/>
                <w:iCs w:val="0"/>
                <w:sz w:val="20"/>
              </w:rPr>
              <w:t>(jako % usmrcených a zraněných při všech nehodách v krajích)</w:t>
            </w:r>
          </w:p>
        </w:tc>
      </w:tr>
    </w:tbl>
    <w:p w:rsidR="00EE38E0" w:rsidRDefault="000D3038">
      <w:pPr>
        <w:rPr>
          <w:lang/>
        </w:rPr>
      </w:pPr>
      <w:r w:rsidRPr="000D3038">
        <w:pict>
          <v:shape id="_x0000_i1027" type="#_x0000_t75" style="width:236.15pt;height:200.45pt">
            <v:imagedata r:id="rId11" o:title=""/>
          </v:shape>
        </w:pict>
      </w:r>
      <w:r>
        <w:pict>
          <v:shape id="_x0000_i1028" type="#_x0000_t75" style="width:242.5pt;height:199.85pt" o:allowoverlap="f">
            <v:imagedata r:id="rId12" o:title="" croptop="1683f" cropbottom="1402f" cropleft="778f" cropright="778f"/>
          </v:shape>
        </w:pict>
      </w:r>
    </w:p>
    <w:p w:rsidR="00EE38E0" w:rsidRDefault="00EE38E0">
      <w:pPr>
        <w:rPr>
          <w:lang/>
        </w:rPr>
      </w:pPr>
      <w:r>
        <w:rPr>
          <w:sz w:val="18"/>
        </w:rPr>
        <w:t>Pramen: Policejn</w:t>
      </w:r>
      <w:r w:rsidR="00060D72">
        <w:rPr>
          <w:sz w:val="18"/>
        </w:rPr>
        <w:t>í prezidium ČR, vlastní výpočty</w:t>
      </w:r>
    </w:p>
    <w:p w:rsidR="00EE38E0" w:rsidRDefault="00EE38E0">
      <w:pPr>
        <w:rPr>
          <w:lang/>
        </w:rPr>
      </w:pPr>
    </w:p>
    <w:p w:rsidR="00881E38" w:rsidRDefault="00881E38">
      <w:pPr>
        <w:rPr>
          <w:lang/>
        </w:rPr>
      </w:pPr>
    </w:p>
    <w:p w:rsidR="009E623E" w:rsidRDefault="009E623E">
      <w:pPr>
        <w:rPr>
          <w:lang/>
        </w:rPr>
      </w:pPr>
    </w:p>
    <w:p w:rsidR="009E623E" w:rsidRDefault="009E623E">
      <w:pPr>
        <w:rPr>
          <w:lang/>
        </w:rPr>
      </w:pPr>
    </w:p>
    <w:p w:rsidR="009E623E" w:rsidRDefault="009E623E">
      <w:pPr>
        <w:rPr>
          <w:lang/>
        </w:rPr>
      </w:pPr>
    </w:p>
    <w:p w:rsidR="009E623E" w:rsidRDefault="009E623E">
      <w:pPr>
        <w:rPr>
          <w:lang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1"/>
        <w:gridCol w:w="4290"/>
        <w:gridCol w:w="659"/>
        <w:gridCol w:w="4181"/>
      </w:tblGrid>
      <w:tr w:rsidR="00881E38" w:rsidTr="004130CC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881E38" w:rsidRDefault="00547B96" w:rsidP="004130CC">
            <w:pPr>
              <w:pStyle w:val="Nadpis5"/>
              <w:numPr>
                <w:ilvl w:val="0"/>
                <w:numId w:val="0"/>
              </w:numPr>
              <w:spacing w:before="20"/>
              <w:rPr>
                <w:rFonts w:ascii="Arial" w:hAnsi="Arial" w:cs="Arial"/>
                <w:i w:val="0"/>
                <w:iCs w:val="0"/>
                <w:sz w:val="20"/>
                <w:szCs w:val="24"/>
              </w:rPr>
            </w:pPr>
            <w:r w:rsidRPr="00547B96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lastRenderedPageBreak/>
              <w:t xml:space="preserve">Graf </w:t>
            </w:r>
            <w:r w:rsidRPr="00547B96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9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4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881E38" w:rsidRDefault="00881E38" w:rsidP="00881E38">
            <w:pPr>
              <w:pStyle w:val="Zkladntext2"/>
              <w:spacing w:before="20"/>
              <w:rPr>
                <w:rFonts w:cs="Arial"/>
              </w:rPr>
            </w:pPr>
            <w:r>
              <w:rPr>
                <w:rFonts w:cs="Arial"/>
              </w:rPr>
              <w:t xml:space="preserve">Podíl všech nehod zaviněných pod vlivem </w:t>
            </w:r>
            <w:r w:rsidR="00087E95">
              <w:rPr>
                <w:rFonts w:cs="Arial"/>
              </w:rPr>
              <w:t xml:space="preserve">alkoholu </w:t>
            </w:r>
            <w:r>
              <w:rPr>
                <w:rFonts w:cs="Arial"/>
              </w:rPr>
              <w:t xml:space="preserve">podle v rámci vybraných viníků nehod v ČR </w:t>
            </w:r>
            <w:r w:rsidRPr="00881E38">
              <w:rPr>
                <w:rFonts w:cs="Arial"/>
                <w:b w:val="0"/>
              </w:rPr>
              <w:t>(v %)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881E38" w:rsidRDefault="00547B96" w:rsidP="004130CC">
            <w:pPr>
              <w:pStyle w:val="Nadpis5"/>
              <w:numPr>
                <w:ilvl w:val="0"/>
                <w:numId w:val="0"/>
              </w:numPr>
              <w:spacing w:before="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547B96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Graf </w:t>
            </w:r>
            <w:r w:rsidRPr="00547B96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 xml:space="preserve">č.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9</w:t>
            </w:r>
            <w:r w:rsidR="00F925B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lang w:val="cs-CZ"/>
              </w:rPr>
              <w:t>5</w:t>
            </w:r>
          </w:p>
        </w:tc>
        <w:tc>
          <w:tcPr>
            <w:tcW w:w="2144" w:type="pct"/>
            <w:tcBorders>
              <w:top w:val="nil"/>
              <w:left w:val="nil"/>
              <w:bottom w:val="nil"/>
              <w:right w:val="nil"/>
            </w:tcBorders>
          </w:tcPr>
          <w:p w:rsidR="00881E38" w:rsidRPr="00881E38" w:rsidRDefault="00881E38" w:rsidP="00881E38">
            <w:pPr>
              <w:pStyle w:val="Nadpis2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b w:val="0"/>
                <w:bCs w:val="0"/>
                <w:sz w:val="20"/>
                <w:lang w:val="cs-CZ"/>
              </w:rPr>
            </w:pPr>
            <w:r>
              <w:rPr>
                <w:rFonts w:cs="Arial"/>
                <w:sz w:val="20"/>
                <w:szCs w:val="20"/>
              </w:rPr>
              <w:t>Podíl</w:t>
            </w:r>
            <w:r w:rsidRPr="00881E38">
              <w:rPr>
                <w:rFonts w:cs="Arial"/>
                <w:sz w:val="20"/>
                <w:szCs w:val="20"/>
              </w:rPr>
              <w:t xml:space="preserve"> nehod </w:t>
            </w:r>
            <w:r>
              <w:rPr>
                <w:rFonts w:cs="Arial"/>
                <w:sz w:val="20"/>
                <w:szCs w:val="20"/>
                <w:lang w:val="cs-CZ"/>
              </w:rPr>
              <w:t xml:space="preserve">s následky na zdraví zaviněných </w:t>
            </w:r>
            <w:r w:rsidRPr="00881E38">
              <w:rPr>
                <w:rFonts w:cs="Arial"/>
                <w:sz w:val="20"/>
                <w:szCs w:val="20"/>
              </w:rPr>
              <w:t xml:space="preserve">pod vlivem </w:t>
            </w:r>
            <w:r w:rsidR="00087E95">
              <w:rPr>
                <w:rFonts w:cs="Arial"/>
                <w:sz w:val="20"/>
                <w:szCs w:val="20"/>
                <w:lang w:val="cs-CZ"/>
              </w:rPr>
              <w:t xml:space="preserve">alkoholu </w:t>
            </w:r>
            <w:r>
              <w:rPr>
                <w:rFonts w:cs="Arial"/>
                <w:sz w:val="20"/>
                <w:szCs w:val="20"/>
                <w:lang w:val="cs-CZ"/>
              </w:rPr>
              <w:t>v rámci</w:t>
            </w:r>
            <w:r w:rsidR="00087E95">
              <w:rPr>
                <w:rFonts w:cs="Arial"/>
                <w:sz w:val="20"/>
                <w:szCs w:val="20"/>
              </w:rPr>
              <w:t xml:space="preserve"> </w:t>
            </w:r>
            <w:r w:rsidR="00087E95">
              <w:rPr>
                <w:rFonts w:cs="Arial"/>
                <w:sz w:val="20"/>
                <w:szCs w:val="20"/>
                <w:lang w:val="cs-CZ"/>
              </w:rPr>
              <w:t>hlavních skupin</w:t>
            </w:r>
            <w:r>
              <w:rPr>
                <w:rFonts w:cs="Arial"/>
                <w:sz w:val="20"/>
                <w:szCs w:val="20"/>
              </w:rPr>
              <w:t xml:space="preserve"> viníků</w:t>
            </w:r>
            <w:r w:rsidR="00E8107A" w:rsidRPr="00E8107A">
              <w:rPr>
                <w:rFonts w:cs="Arial"/>
                <w:sz w:val="20"/>
                <w:szCs w:val="20"/>
                <w:vertAlign w:val="superscript"/>
                <w:lang w:val="cs-CZ"/>
              </w:rPr>
              <w:t>*)</w:t>
            </w:r>
            <w:r>
              <w:rPr>
                <w:rFonts w:cs="Arial"/>
                <w:sz w:val="20"/>
                <w:szCs w:val="20"/>
                <w:lang w:val="cs-CZ"/>
              </w:rPr>
              <w:t xml:space="preserve"> </w:t>
            </w:r>
            <w:r w:rsidRPr="00881E38">
              <w:rPr>
                <w:rFonts w:cs="Arial"/>
                <w:sz w:val="20"/>
                <w:szCs w:val="20"/>
              </w:rPr>
              <w:t xml:space="preserve">v ČR </w:t>
            </w:r>
            <w:r w:rsidRPr="00881E38">
              <w:rPr>
                <w:rFonts w:cs="Arial"/>
                <w:b w:val="0"/>
                <w:sz w:val="20"/>
                <w:szCs w:val="20"/>
              </w:rPr>
              <w:t>(v %)</w:t>
            </w:r>
          </w:p>
        </w:tc>
      </w:tr>
    </w:tbl>
    <w:p w:rsidR="00881E38" w:rsidRDefault="000D3038">
      <w:pPr>
        <w:rPr>
          <w:lang/>
        </w:rPr>
      </w:pPr>
      <w:r w:rsidRPr="000D3038">
        <w:pict>
          <v:shape id="_x0000_i1029" type="#_x0000_t75" style="width:239.6pt;height:201pt">
            <v:imagedata r:id="rId13" o:title=""/>
          </v:shape>
        </w:pict>
      </w:r>
      <w:r w:rsidRPr="00E8107A">
        <w:pict>
          <v:shape id="_x0000_i1030" type="#_x0000_t75" style="width:239.6pt;height:201pt">
            <v:imagedata r:id="rId14" o:title=""/>
          </v:shape>
        </w:pict>
      </w:r>
    </w:p>
    <w:p w:rsidR="00881E38" w:rsidRDefault="00881E38" w:rsidP="00881E38">
      <w:pPr>
        <w:rPr>
          <w:sz w:val="18"/>
        </w:rPr>
      </w:pPr>
      <w:r>
        <w:rPr>
          <w:sz w:val="18"/>
        </w:rPr>
        <w:t>*zahrnuty pouze nehody zaviněné řidiči (ne)motorových vozidel a chodci</w:t>
      </w:r>
    </w:p>
    <w:p w:rsidR="00881E38" w:rsidRDefault="00881E38" w:rsidP="00881E38">
      <w:pPr>
        <w:rPr>
          <w:lang/>
        </w:rPr>
      </w:pPr>
      <w:r>
        <w:rPr>
          <w:sz w:val="18"/>
        </w:rPr>
        <w:t>Pramen: Policejní prezidium ČR, vlastní výpočty</w:t>
      </w:r>
    </w:p>
    <w:p w:rsidR="00881E38" w:rsidRDefault="00881E38">
      <w:pPr>
        <w:rPr>
          <w:lang/>
        </w:rPr>
      </w:pPr>
    </w:p>
    <w:p w:rsidR="00881E38" w:rsidRPr="009E623E" w:rsidRDefault="00881E38">
      <w:pPr>
        <w:rPr>
          <w:sz w:val="8"/>
          <w:szCs w:val="8"/>
          <w:lang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EE38E0">
        <w:tc>
          <w:tcPr>
            <w:tcW w:w="1054" w:type="pct"/>
          </w:tcPr>
          <w:p w:rsidR="00EE38E0" w:rsidRDefault="009E623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Nehod pod vlivem alkoholu je víc na venkově</w:t>
            </w:r>
          </w:p>
        </w:tc>
        <w:tc>
          <w:tcPr>
            <w:tcW w:w="142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804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  <w:r>
              <w:rPr>
                <w:rFonts w:cs="Arial"/>
                <w:szCs w:val="16"/>
              </w:rPr>
              <w:t xml:space="preserve">Procentní zastoupení nehod zaviněných pod vlivem alkoholu se územně odlišuje, a to především na </w:t>
            </w:r>
            <w:proofErr w:type="spellStart"/>
            <w:r>
              <w:rPr>
                <w:rFonts w:cs="Arial"/>
                <w:szCs w:val="16"/>
              </w:rPr>
              <w:t>mikoregionální</w:t>
            </w:r>
            <w:proofErr w:type="spellEnd"/>
            <w:r>
              <w:rPr>
                <w:rFonts w:cs="Arial"/>
                <w:szCs w:val="16"/>
              </w:rPr>
              <w:t xml:space="preserve"> úrovni (vyšší je v periferních příhraničních venkovských regionech, především na Moravě). Na krajské úrovni nejsou již disparity tolik výrazné (vyšší zastoupení mají na Pardubicku a krajích střední Moravy a JZ Čech), více je</w:t>
            </w:r>
            <w:r w:rsidR="00F71D4D">
              <w:rPr>
                <w:rFonts w:cs="Arial"/>
                <w:szCs w:val="16"/>
              </w:rPr>
              <w:t xml:space="preserve"> naopak nacházíme</w:t>
            </w:r>
            <w:r>
              <w:rPr>
                <w:rFonts w:cs="Arial"/>
                <w:szCs w:val="16"/>
              </w:rPr>
              <w:t xml:space="preserve"> na-venkově na úkor nehod v městském prostředí. Nízký podíl takových nehod nacházíme naopak v SZ Čechách a Praze. Z hlediska časové variace připadá nejvíc nehod pod vlivem alkoholu na soboty, častější jsou i v letním období.</w:t>
            </w:r>
          </w:p>
        </w:tc>
      </w:tr>
      <w:tr w:rsidR="00EE38E0">
        <w:tc>
          <w:tcPr>
            <w:tcW w:w="1054" w:type="pct"/>
          </w:tcPr>
          <w:p w:rsidR="00EE38E0" w:rsidRDefault="00EE3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804" w:type="pct"/>
          </w:tcPr>
          <w:p w:rsidR="00EE38E0" w:rsidRPr="009E623E" w:rsidRDefault="00EE38E0">
            <w:pPr>
              <w:pStyle w:val="Textpoznpodarou"/>
              <w:jc w:val="both"/>
              <w:rPr>
                <w:sz w:val="12"/>
                <w:szCs w:val="12"/>
                <w:lang w:val="cs-CZ" w:eastAsia="cs-CZ"/>
              </w:rPr>
            </w:pPr>
          </w:p>
        </w:tc>
      </w:tr>
    </w:tbl>
    <w:p w:rsidR="00060D72" w:rsidRDefault="00F925BA" w:rsidP="00060D72">
      <w:pPr>
        <w:rPr>
          <w:b/>
          <w:bCs/>
        </w:rPr>
      </w:pPr>
      <w:r>
        <w:rPr>
          <w:b/>
          <w:bCs/>
        </w:rPr>
        <w:t>Kartogram č.23</w:t>
      </w:r>
      <w:r w:rsidR="00060D72">
        <w:rPr>
          <w:b/>
          <w:bCs/>
        </w:rPr>
        <w:t>: Podíl nehod zaviněných pod vlivem alkoholu, popř. drog</w:t>
      </w:r>
    </w:p>
    <w:p w:rsidR="00060D72" w:rsidRDefault="00060D72" w:rsidP="00060D72">
      <w:pPr>
        <w:rPr>
          <w:bCs/>
        </w:rPr>
      </w:pPr>
      <w:r w:rsidRPr="003026CD">
        <w:rPr>
          <w:bCs/>
        </w:rPr>
        <w:t>(</w:t>
      </w:r>
      <w:r>
        <w:rPr>
          <w:bCs/>
        </w:rPr>
        <w:t>období 2009-2013</w:t>
      </w:r>
      <w:r w:rsidRPr="003026CD">
        <w:rPr>
          <w:bCs/>
        </w:rPr>
        <w:t xml:space="preserve">, % </w:t>
      </w:r>
      <w:r>
        <w:rPr>
          <w:bCs/>
        </w:rPr>
        <w:t>ze všech nehod zaviněných řidiči (ne-)motorových vozidel a chodců)</w:t>
      </w:r>
    </w:p>
    <w:p w:rsidR="00BF198B" w:rsidRPr="00493E93" w:rsidRDefault="00BF198B" w:rsidP="00060D72">
      <w:pPr>
        <w:rPr>
          <w:b/>
          <w:bCs/>
        </w:rPr>
      </w:pPr>
      <w:r>
        <w:rPr>
          <w:bCs/>
        </w:rPr>
        <w:pict>
          <v:shape id="_x0000_i1031" type="#_x0000_t75" style="width:433.15pt;height:306.45pt">
            <v:imagedata r:id="rId15" o:title="Mapa-17"/>
          </v:shape>
        </w:pict>
      </w:r>
    </w:p>
    <w:p w:rsidR="005A3E80" w:rsidRDefault="00060D72">
      <w:pPr>
        <w:rPr>
          <w:lang/>
        </w:rPr>
      </w:pPr>
      <w:r>
        <w:rPr>
          <w:sz w:val="18"/>
        </w:rPr>
        <w:t>Pramen: Policejní prezidium ČR, vlastní výpočty</w:t>
      </w:r>
    </w:p>
    <w:p w:rsidR="00550C2F" w:rsidRDefault="00F925BA" w:rsidP="00060D72">
      <w:pPr>
        <w:rPr>
          <w:b/>
          <w:bCs/>
        </w:rPr>
      </w:pPr>
      <w:r>
        <w:rPr>
          <w:b/>
          <w:bCs/>
          <w:spacing w:val="-4"/>
        </w:rPr>
        <w:lastRenderedPageBreak/>
        <w:t>Kartogram č.24</w:t>
      </w:r>
      <w:r w:rsidR="00060D72" w:rsidRPr="00982DE4">
        <w:rPr>
          <w:b/>
          <w:bCs/>
          <w:spacing w:val="-4"/>
        </w:rPr>
        <w:t xml:space="preserve">: Podíl nehod </w:t>
      </w:r>
      <w:r w:rsidR="00F50B68" w:rsidRPr="00982DE4">
        <w:rPr>
          <w:b/>
          <w:bCs/>
          <w:spacing w:val="-4"/>
        </w:rPr>
        <w:t xml:space="preserve">zaviněných pod vlivem alkoholu </w:t>
      </w:r>
      <w:r w:rsidR="00982DE4" w:rsidRPr="00982DE4">
        <w:rPr>
          <w:b/>
          <w:bCs/>
          <w:spacing w:val="-4"/>
        </w:rPr>
        <w:t>v rámci</w:t>
      </w:r>
      <w:r w:rsidR="00550C2F">
        <w:rPr>
          <w:b/>
          <w:bCs/>
          <w:spacing w:val="-4"/>
        </w:rPr>
        <w:t xml:space="preserve"> </w:t>
      </w:r>
      <w:r w:rsidR="00F50B68" w:rsidRPr="00982DE4">
        <w:rPr>
          <w:b/>
          <w:bCs/>
          <w:spacing w:val="-4"/>
        </w:rPr>
        <w:t xml:space="preserve">nehod </w:t>
      </w:r>
      <w:r w:rsidR="00060D72" w:rsidRPr="00982DE4">
        <w:rPr>
          <w:b/>
          <w:bCs/>
          <w:spacing w:val="-4"/>
        </w:rPr>
        <w:t>s následky na zdraví</w:t>
      </w:r>
      <w:r w:rsidR="00060D72">
        <w:rPr>
          <w:b/>
          <w:bCs/>
        </w:rPr>
        <w:t xml:space="preserve"> </w:t>
      </w:r>
    </w:p>
    <w:p w:rsidR="00060D72" w:rsidRPr="00060D72" w:rsidRDefault="00060D72" w:rsidP="00060D72">
      <w:pPr>
        <w:rPr>
          <w:b/>
          <w:bCs/>
          <w:spacing w:val="-4"/>
        </w:rPr>
      </w:pPr>
      <w:r w:rsidRPr="00060D72">
        <w:rPr>
          <w:bCs/>
          <w:spacing w:val="-4"/>
        </w:rPr>
        <w:t>(</w:t>
      </w:r>
      <w:r>
        <w:rPr>
          <w:bCs/>
          <w:spacing w:val="-4"/>
        </w:rPr>
        <w:t>období 2002</w:t>
      </w:r>
      <w:r w:rsidRPr="00060D72">
        <w:rPr>
          <w:bCs/>
          <w:spacing w:val="-4"/>
        </w:rPr>
        <w:t>-</w:t>
      </w:r>
      <w:r>
        <w:rPr>
          <w:bCs/>
          <w:spacing w:val="-4"/>
        </w:rPr>
        <w:t>2005</w:t>
      </w:r>
      <w:r w:rsidRPr="00060D72">
        <w:rPr>
          <w:bCs/>
          <w:spacing w:val="-4"/>
        </w:rPr>
        <w:t>, % ze všech nehod s následky na zdraví zaviněných řidiči (ne-)motorových vozidel a chodců)</w:t>
      </w:r>
    </w:p>
    <w:p w:rsidR="00060D72" w:rsidRDefault="00EE295E" w:rsidP="00060D72">
      <w:pPr>
        <w:rPr>
          <w:lang/>
        </w:rPr>
      </w:pPr>
      <w:r>
        <w:rPr>
          <w:lang/>
        </w:rPr>
        <w:pict>
          <v:shape id="_x0000_i1032" type="#_x0000_t75" style="width:433.15pt;height:307pt">
            <v:imagedata r:id="rId16" o:title="Mapa-19"/>
          </v:shape>
        </w:pict>
      </w:r>
    </w:p>
    <w:p w:rsidR="00060D72" w:rsidRDefault="00060D72" w:rsidP="00060D72">
      <w:pPr>
        <w:rPr>
          <w:lang/>
        </w:rPr>
      </w:pPr>
      <w:r>
        <w:rPr>
          <w:sz w:val="18"/>
        </w:rPr>
        <w:t>Pramen: Policejní prezidium ČR, vlastní výpočty</w:t>
      </w:r>
    </w:p>
    <w:p w:rsidR="00060D72" w:rsidRDefault="00060D72">
      <w:pPr>
        <w:rPr>
          <w:lang/>
        </w:rPr>
      </w:pPr>
    </w:p>
    <w:p w:rsidR="00060D72" w:rsidRDefault="00060D72">
      <w:pPr>
        <w:rPr>
          <w:lang/>
        </w:rPr>
      </w:pPr>
    </w:p>
    <w:p w:rsidR="00550C2F" w:rsidRDefault="00982DE4" w:rsidP="00060D72">
      <w:pPr>
        <w:rPr>
          <w:b/>
          <w:bCs/>
        </w:rPr>
      </w:pPr>
      <w:r w:rsidRPr="00982DE4">
        <w:rPr>
          <w:b/>
          <w:bCs/>
          <w:spacing w:val="-4"/>
        </w:rPr>
        <w:t>Kartogram č.</w:t>
      </w:r>
      <w:r w:rsidR="00F925BA">
        <w:rPr>
          <w:b/>
          <w:bCs/>
          <w:spacing w:val="-4"/>
        </w:rPr>
        <w:t>25</w:t>
      </w:r>
      <w:r w:rsidRPr="00982DE4">
        <w:rPr>
          <w:b/>
          <w:bCs/>
          <w:spacing w:val="-4"/>
        </w:rPr>
        <w:t>: Podíl nehod zaviněných p</w:t>
      </w:r>
      <w:r w:rsidR="00550C2F">
        <w:rPr>
          <w:b/>
          <w:bCs/>
          <w:spacing w:val="-4"/>
        </w:rPr>
        <w:t>od vlivem alkoholu v rámci</w:t>
      </w:r>
      <w:r w:rsidRPr="00982DE4">
        <w:rPr>
          <w:b/>
          <w:bCs/>
          <w:spacing w:val="-4"/>
        </w:rPr>
        <w:t xml:space="preserve"> nehod s následky na zdraví</w:t>
      </w:r>
      <w:r>
        <w:rPr>
          <w:b/>
          <w:bCs/>
        </w:rPr>
        <w:t xml:space="preserve"> </w:t>
      </w:r>
    </w:p>
    <w:p w:rsidR="00060D72" w:rsidRPr="00060D72" w:rsidRDefault="00060D72" w:rsidP="00060D72">
      <w:pPr>
        <w:rPr>
          <w:b/>
          <w:bCs/>
          <w:spacing w:val="-4"/>
        </w:rPr>
      </w:pPr>
      <w:r w:rsidRPr="00060D72">
        <w:rPr>
          <w:bCs/>
          <w:spacing w:val="-4"/>
        </w:rPr>
        <w:t>(</w:t>
      </w:r>
      <w:r>
        <w:rPr>
          <w:bCs/>
          <w:spacing w:val="-4"/>
        </w:rPr>
        <w:t>období 2010</w:t>
      </w:r>
      <w:r w:rsidRPr="00060D72">
        <w:rPr>
          <w:bCs/>
          <w:spacing w:val="-4"/>
        </w:rPr>
        <w:t>-2013, % ze všech nehod s následky na zdraví zaviněných řidiči (ne-)motorových vozidel a chodců)</w:t>
      </w:r>
    </w:p>
    <w:p w:rsidR="00060D72" w:rsidRDefault="00EE295E">
      <w:pPr>
        <w:rPr>
          <w:lang/>
        </w:rPr>
      </w:pPr>
      <w:r>
        <w:rPr>
          <w:lang/>
        </w:rPr>
        <w:pict>
          <v:shape id="_x0000_i1033" type="#_x0000_t75" style="width:433.15pt;height:306.45pt">
            <v:imagedata r:id="rId17" o:title="Mapa-20"/>
          </v:shape>
        </w:pict>
      </w:r>
    </w:p>
    <w:p w:rsidR="00060D72" w:rsidRDefault="00060D72" w:rsidP="00060D72">
      <w:pPr>
        <w:rPr>
          <w:lang/>
        </w:rPr>
      </w:pPr>
      <w:r>
        <w:rPr>
          <w:sz w:val="18"/>
        </w:rPr>
        <w:t>Pramen: Policejní prezidium ČR, vlastní výpočty</w:t>
      </w:r>
    </w:p>
    <w:p w:rsidR="00060D72" w:rsidRDefault="00060D72">
      <w:pPr>
        <w:rPr>
          <w:lang/>
        </w:rPr>
      </w:pPr>
    </w:p>
    <w:p w:rsidR="00060D72" w:rsidRDefault="00060D72">
      <w:pPr>
        <w:rPr>
          <w:lang/>
        </w:rPr>
      </w:pPr>
    </w:p>
    <w:p w:rsidR="00F50B68" w:rsidRPr="00F50B68" w:rsidRDefault="00F50B68" w:rsidP="00BB6ADE">
      <w:pPr>
        <w:jc w:val="left"/>
        <w:rPr>
          <w:b/>
          <w:bCs/>
          <w:spacing w:val="-10"/>
        </w:rPr>
      </w:pPr>
      <w:r w:rsidRPr="00F50B68">
        <w:rPr>
          <w:b/>
          <w:bCs/>
          <w:spacing w:val="-10"/>
        </w:rPr>
        <w:lastRenderedPageBreak/>
        <w:t>Kartogram č.</w:t>
      </w:r>
      <w:r>
        <w:rPr>
          <w:b/>
          <w:bCs/>
          <w:spacing w:val="-10"/>
        </w:rPr>
        <w:t xml:space="preserve"> </w:t>
      </w:r>
      <w:r w:rsidR="00F925BA">
        <w:rPr>
          <w:b/>
          <w:bCs/>
          <w:spacing w:val="-10"/>
        </w:rPr>
        <w:t>26</w:t>
      </w:r>
      <w:r w:rsidRPr="00F50B68">
        <w:rPr>
          <w:b/>
          <w:bCs/>
          <w:spacing w:val="-10"/>
        </w:rPr>
        <w:t>: Podíl usmrcených a těžce zraněných osob v důsledku nehod zaviněných pod vlivem alkoholu</w:t>
      </w:r>
    </w:p>
    <w:p w:rsidR="00060D72" w:rsidRPr="00F50B68" w:rsidRDefault="00F50B68" w:rsidP="00F50B68">
      <w:pPr>
        <w:rPr>
          <w:bCs/>
          <w:spacing w:val="-4"/>
        </w:rPr>
      </w:pPr>
      <w:r w:rsidRPr="00060D72">
        <w:rPr>
          <w:bCs/>
          <w:spacing w:val="-4"/>
        </w:rPr>
        <w:t>(</w:t>
      </w:r>
      <w:r>
        <w:rPr>
          <w:bCs/>
          <w:spacing w:val="-4"/>
        </w:rPr>
        <w:t>období 2009-</w:t>
      </w:r>
      <w:r w:rsidRPr="00060D72">
        <w:rPr>
          <w:bCs/>
          <w:spacing w:val="-4"/>
        </w:rPr>
        <w:t>2013, % z</w:t>
      </w:r>
      <w:r>
        <w:rPr>
          <w:bCs/>
          <w:spacing w:val="-4"/>
        </w:rPr>
        <w:t> usmrcených a těžce zraněných při všech nehodách, bez ohledu na alkohol u viníka</w:t>
      </w:r>
      <w:r w:rsidRPr="00060D72">
        <w:rPr>
          <w:bCs/>
          <w:spacing w:val="-4"/>
        </w:rPr>
        <w:t>)</w:t>
      </w:r>
    </w:p>
    <w:p w:rsidR="00F50B68" w:rsidRDefault="00EE295E">
      <w:pPr>
        <w:rPr>
          <w:lang/>
        </w:rPr>
      </w:pPr>
      <w:r>
        <w:rPr>
          <w:lang/>
        </w:rPr>
        <w:pict>
          <v:shape id="_x0000_i1035" type="#_x0000_t75" style="width:433.15pt;height:306.45pt">
            <v:imagedata r:id="rId18" o:title="Mapa-18"/>
          </v:shape>
        </w:pict>
      </w:r>
    </w:p>
    <w:p w:rsidR="00F50B68" w:rsidRDefault="00F50B68" w:rsidP="00F50B68">
      <w:pPr>
        <w:rPr>
          <w:lang/>
        </w:rPr>
      </w:pPr>
      <w:r>
        <w:rPr>
          <w:sz w:val="18"/>
        </w:rPr>
        <w:t>Pramen: Policejní prezidium ČR, vlastní výpočty</w:t>
      </w:r>
    </w:p>
    <w:p w:rsidR="005A3E80" w:rsidRDefault="005A3E80">
      <w:pPr>
        <w:rPr>
          <w:lang/>
        </w:rPr>
      </w:pPr>
    </w:p>
    <w:p w:rsidR="00F50B68" w:rsidRDefault="00F50B68">
      <w:pPr>
        <w:rPr>
          <w:lang/>
        </w:rPr>
      </w:pPr>
    </w:p>
    <w:p w:rsidR="00EE38E0" w:rsidRDefault="00F925BA">
      <w:pPr>
        <w:rPr>
          <w:b/>
          <w:bCs/>
          <w:lang/>
        </w:rPr>
      </w:pPr>
      <w:r>
        <w:rPr>
          <w:bCs/>
          <w:lang/>
        </w:rPr>
        <w:t>Tabulka č. 6</w:t>
      </w:r>
      <w:r w:rsidR="00547B96" w:rsidRPr="00547B96">
        <w:rPr>
          <w:bCs/>
          <w:lang/>
        </w:rPr>
        <w:t xml:space="preserve"> </w:t>
      </w:r>
      <w:r w:rsidR="00547B96">
        <w:rPr>
          <w:b/>
          <w:bCs/>
          <w:lang/>
        </w:rPr>
        <w:t xml:space="preserve"> </w:t>
      </w:r>
      <w:r w:rsidR="00EE38E0">
        <w:rPr>
          <w:b/>
          <w:bCs/>
          <w:lang/>
        </w:rPr>
        <w:t>Podíl nehod zaviněných pod vlivem alkoholu či drog v krajích v období 2009-2013</w:t>
      </w:r>
    </w:p>
    <w:p w:rsidR="00EE38E0" w:rsidRDefault="00EE38E0">
      <w:pPr>
        <w:rPr>
          <w:lang/>
        </w:rPr>
      </w:pPr>
      <w:r>
        <w:rPr>
          <w:lang/>
        </w:rPr>
        <w:t>(% všech nehod zaviněných daným účastníkem</w:t>
      </w:r>
      <w:r>
        <w:rPr>
          <w:vertAlign w:val="superscript"/>
          <w:lang/>
        </w:rPr>
        <w:t>*)</w:t>
      </w:r>
      <w:r>
        <w:rPr>
          <w:lang/>
        </w:rPr>
        <w:t xml:space="preserve"> silničního provozu)</w:t>
      </w:r>
    </w:p>
    <w:p w:rsidR="00EE38E0" w:rsidRDefault="00EE38E0">
      <w:pPr>
        <w:rPr>
          <w:lang/>
        </w:rPr>
      </w:pPr>
      <w:r>
        <w:pict>
          <v:shape id="_x0000_i1034" type="#_x0000_t75" style="width:483.85pt;height:186.05pt" o:allowoverlap="f">
            <v:imagedata r:id="rId19" o:title=""/>
          </v:shape>
        </w:pict>
      </w:r>
    </w:p>
    <w:p w:rsidR="00EE38E0" w:rsidRDefault="00EE38E0">
      <w:pPr>
        <w:pStyle w:val="Zkladntext3"/>
        <w:spacing w:before="40"/>
      </w:pPr>
      <w:r>
        <w:rPr>
          <w:vertAlign w:val="superscript"/>
        </w:rPr>
        <w:t>*)</w:t>
      </w:r>
      <w:r>
        <w:t xml:space="preserve"> Ze souhrnu za všechny viníky jsou vyloučeny nehody zaviněné lesní zvěří, domácím zvířetem, závadou komunikace či technickou závadou vozidla.</w:t>
      </w:r>
    </w:p>
    <w:p w:rsidR="00EE38E0" w:rsidRDefault="00EE38E0">
      <w:pPr>
        <w:pStyle w:val="Zkladntext3"/>
        <w:spacing w:before="60"/>
      </w:pPr>
      <w:r>
        <w:t>Pozn.: Vzhledem k nižším četnostem jsou údaje v podrobnějším členění zaokrouhlen</w:t>
      </w:r>
      <w:r w:rsidR="00421BB3">
        <w:t>y na celá čísla. Barevně odlišně</w:t>
      </w:r>
      <w:r>
        <w:t xml:space="preserve"> a kurzívou jsou uvedeny hodnoty vycházející z méně než 100 nehod (</w:t>
      </w:r>
      <w:r w:rsidR="00421BB3">
        <w:t xml:space="preserve">všechna </w:t>
      </w:r>
      <w:r>
        <w:t>zavinění bez ohledu na alkohol)</w:t>
      </w:r>
    </w:p>
    <w:p w:rsidR="00EE38E0" w:rsidRDefault="00EE38E0">
      <w:pPr>
        <w:rPr>
          <w:lang/>
        </w:rPr>
      </w:pPr>
      <w:r>
        <w:rPr>
          <w:sz w:val="18"/>
        </w:rPr>
        <w:t>Pramen: Policejní prezidium ČR, vlastní výpočty,</w:t>
      </w:r>
    </w:p>
    <w:p w:rsidR="00EE38E0" w:rsidRDefault="00EE38E0">
      <w:pPr>
        <w:rPr>
          <w:lang/>
        </w:rPr>
      </w:pPr>
    </w:p>
    <w:p w:rsidR="004F08FD" w:rsidRDefault="004F08FD">
      <w:pPr>
        <w:rPr>
          <w:lang/>
        </w:rPr>
      </w:pPr>
    </w:p>
    <w:p w:rsidR="00EE38E0" w:rsidRPr="00650DA9" w:rsidRDefault="00EE38E0" w:rsidP="00650DA9">
      <w:pPr>
        <w:pStyle w:val="Nadpis1"/>
        <w:numPr>
          <w:ilvl w:val="0"/>
          <w:numId w:val="0"/>
        </w:numPr>
        <w:jc w:val="left"/>
        <w:rPr>
          <w:lang w:val="cs-CZ"/>
        </w:rPr>
      </w:pPr>
    </w:p>
    <w:sectPr w:rsidR="00EE38E0" w:rsidRPr="00650DA9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9B" w:rsidRDefault="009F2B9B">
      <w:r>
        <w:separator/>
      </w:r>
    </w:p>
  </w:endnote>
  <w:endnote w:type="continuationSeparator" w:id="0">
    <w:p w:rsidR="009F2B9B" w:rsidRDefault="009F2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4" w:rsidRDefault="00685B94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45.7pt;margin-top:-4.15pt;width:36.75pt;height:17.25pt;z-index:2">
          <v:imagedata r:id="rId1" o:title="3"/>
        </v:shape>
      </w:pict>
    </w:r>
    <w:r>
      <w:rPr>
        <w:rFonts w:ascii="Arial" w:hAnsi="Arial" w:cs="Arial"/>
        <w:sz w:val="16"/>
        <w:szCs w:val="16"/>
      </w:rPr>
      <w:tab/>
    </w:r>
    <w:r w:rsidR="0086691A">
      <w:rPr>
        <w:rFonts w:ascii="Arial" w:hAnsi="Arial" w:cs="Arial"/>
        <w:sz w:val="16"/>
        <w:szCs w:val="16"/>
      </w:rPr>
      <w:t>říjen 2014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4" w:rsidRDefault="00685B94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3pt;margin-top:7.1pt;width:39pt;height:21pt;z-index:1">
          <v:imagedata r:id="rId1" o:title="3"/>
        </v:shape>
      </w:pict>
    </w:r>
    <w:r>
      <w:tab/>
    </w:r>
    <w:r>
      <w:tab/>
    </w:r>
  </w:p>
  <w:p w:rsidR="00685B94" w:rsidRDefault="0086691A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říjen</w:t>
    </w:r>
    <w:r w:rsidR="00685B94">
      <w:rPr>
        <w:rFonts w:ascii="Arial" w:hAnsi="Arial" w:cs="Arial"/>
        <w:sz w:val="16"/>
        <w:szCs w:val="16"/>
      </w:rPr>
      <w:t xml:space="preserve"> 2014</w:t>
    </w:r>
    <w:r w:rsidR="00685B9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9B" w:rsidRDefault="009F2B9B">
      <w:r>
        <w:separator/>
      </w:r>
    </w:p>
  </w:footnote>
  <w:footnote w:type="continuationSeparator" w:id="0">
    <w:p w:rsidR="009F2B9B" w:rsidRDefault="009F2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685B94">
      <w:tc>
        <w:tcPr>
          <w:tcW w:w="6518" w:type="dxa"/>
        </w:tcPr>
        <w:p w:rsidR="00685B94" w:rsidRDefault="00685B94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Dopravní nehodovost a její důsledky v ČR v dlouhodobém pohledu</w:t>
          </w:r>
        </w:p>
      </w:tc>
      <w:tc>
        <w:tcPr>
          <w:tcW w:w="3260" w:type="dxa"/>
        </w:tcPr>
        <w:p w:rsidR="00685B94" w:rsidRDefault="0086691A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86691A">
            <w:rPr>
              <w:rFonts w:ascii="Arial" w:hAnsi="Arial" w:cs="Arial"/>
              <w:sz w:val="16"/>
              <w:szCs w:val="16"/>
            </w:rPr>
            <w:t>kód : 320254-14</w:t>
          </w:r>
        </w:p>
      </w:tc>
    </w:tr>
  </w:tbl>
  <w:p w:rsidR="00685B94" w:rsidRDefault="00685B94">
    <w:pPr>
      <w:pStyle w:val="Zhlav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685B94" w:rsidRPr="0086691A">
      <w:tc>
        <w:tcPr>
          <w:tcW w:w="6518" w:type="dxa"/>
        </w:tcPr>
        <w:p w:rsidR="00685B94" w:rsidRDefault="00685B94" w:rsidP="00B75BBF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Dopravní nehodovost a její důsledky v ČR v dlouhodobém pohledu</w:t>
          </w:r>
        </w:p>
      </w:tc>
      <w:tc>
        <w:tcPr>
          <w:tcW w:w="3260" w:type="dxa"/>
        </w:tcPr>
        <w:p w:rsidR="00685B94" w:rsidRDefault="0086691A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  <w:highlight w:val="yellow"/>
            </w:rPr>
          </w:pPr>
          <w:r w:rsidRPr="0086691A">
            <w:rPr>
              <w:rFonts w:ascii="Arial" w:hAnsi="Arial" w:cs="Arial"/>
              <w:sz w:val="16"/>
              <w:szCs w:val="16"/>
            </w:rPr>
            <w:t>kód : 320254-14</w:t>
          </w:r>
        </w:p>
      </w:tc>
    </w:tr>
  </w:tbl>
  <w:p w:rsidR="00685B94" w:rsidRDefault="00685B94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6E"/>
    <w:multiLevelType w:val="multilevel"/>
    <w:tmpl w:val="37645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185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27572EC"/>
    <w:multiLevelType w:val="hybridMultilevel"/>
    <w:tmpl w:val="BDEEF56E"/>
    <w:lvl w:ilvl="0" w:tplc="120003A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F43100"/>
    <w:multiLevelType w:val="hybridMultilevel"/>
    <w:tmpl w:val="A346433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4123"/>
    <w:multiLevelType w:val="hybridMultilevel"/>
    <w:tmpl w:val="F96EBE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8E4B7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F00B0"/>
    <w:multiLevelType w:val="hybridMultilevel"/>
    <w:tmpl w:val="0290A0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1254A"/>
    <w:multiLevelType w:val="hybridMultilevel"/>
    <w:tmpl w:val="196EFA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D4816"/>
    <w:multiLevelType w:val="multilevel"/>
    <w:tmpl w:val="0B66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A12F56"/>
    <w:multiLevelType w:val="multilevel"/>
    <w:tmpl w:val="B7724A2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EB0369"/>
    <w:multiLevelType w:val="hybridMultilevel"/>
    <w:tmpl w:val="E920128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F602B"/>
    <w:multiLevelType w:val="hybridMultilevel"/>
    <w:tmpl w:val="C4D0FC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9423F"/>
    <w:multiLevelType w:val="hybridMultilevel"/>
    <w:tmpl w:val="80D04F0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F2685"/>
    <w:multiLevelType w:val="hybridMultilevel"/>
    <w:tmpl w:val="0290A026"/>
    <w:lvl w:ilvl="0" w:tplc="E3860FD4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203756"/>
    <w:multiLevelType w:val="hybridMultilevel"/>
    <w:tmpl w:val="1E04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67461"/>
    <w:multiLevelType w:val="hybridMultilevel"/>
    <w:tmpl w:val="61845866"/>
    <w:lvl w:ilvl="0" w:tplc="69566B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E612E"/>
    <w:multiLevelType w:val="hybridMultilevel"/>
    <w:tmpl w:val="98160A84"/>
    <w:lvl w:ilvl="0" w:tplc="F642FA9A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AC7CE2"/>
    <w:multiLevelType w:val="hybridMultilevel"/>
    <w:tmpl w:val="5DE0B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34C17"/>
    <w:multiLevelType w:val="hybridMultilevel"/>
    <w:tmpl w:val="F490C5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F6C65"/>
    <w:multiLevelType w:val="multilevel"/>
    <w:tmpl w:val="41584756"/>
    <w:lvl w:ilvl="0">
      <w:start w:val="1"/>
      <w:numFmt w:val="decimal"/>
      <w:pStyle w:val="Nadpis1"/>
      <w:lvlText w:val="%1."/>
      <w:lvlJc w:val="left"/>
      <w:pPr>
        <w:ind w:left="716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8" w:hanging="864"/>
      </w:pPr>
    </w:lvl>
    <w:lvl w:ilvl="4">
      <w:start w:val="1"/>
      <w:numFmt w:val="decimal"/>
      <w:lvlText w:val="%1.%2.%3.%4.%5"/>
      <w:lvlJc w:val="left"/>
      <w:pPr>
        <w:ind w:left="1292" w:hanging="1008"/>
      </w:pPr>
    </w:lvl>
    <w:lvl w:ilvl="5">
      <w:start w:val="1"/>
      <w:numFmt w:val="decimal"/>
      <w:lvlText w:val="%1.%2.%3.%4.%5.%6"/>
      <w:lvlJc w:val="left"/>
      <w:pPr>
        <w:ind w:left="1436" w:hanging="1152"/>
      </w:pPr>
    </w:lvl>
    <w:lvl w:ilvl="6">
      <w:start w:val="1"/>
      <w:numFmt w:val="decimal"/>
      <w:lvlText w:val="%1.%2.%3.%4.%5.%6.%7"/>
      <w:lvlJc w:val="left"/>
      <w:pPr>
        <w:ind w:left="1580" w:hanging="1296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1868" w:hanging="1584"/>
      </w:pPr>
    </w:lvl>
  </w:abstractNum>
  <w:abstractNum w:abstractNumId="20">
    <w:nsid w:val="5BEF31DE"/>
    <w:multiLevelType w:val="hybridMultilevel"/>
    <w:tmpl w:val="280C96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A591A"/>
    <w:multiLevelType w:val="hybridMultilevel"/>
    <w:tmpl w:val="605AD6D0"/>
    <w:lvl w:ilvl="0" w:tplc="1974D2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06567"/>
    <w:multiLevelType w:val="hybridMultilevel"/>
    <w:tmpl w:val="213C4E38"/>
    <w:lvl w:ilvl="0" w:tplc="9D96E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636F2"/>
    <w:multiLevelType w:val="hybridMultilevel"/>
    <w:tmpl w:val="DFBCC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50A0F"/>
    <w:multiLevelType w:val="hybridMultilevel"/>
    <w:tmpl w:val="5A76F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0"/>
  </w:num>
  <w:num w:numId="5">
    <w:abstractNumId w:val="19"/>
  </w:num>
  <w:num w:numId="6">
    <w:abstractNumId w:val="24"/>
  </w:num>
  <w:num w:numId="7">
    <w:abstractNumId w:val="13"/>
  </w:num>
  <w:num w:numId="8">
    <w:abstractNumId w:val="16"/>
  </w:num>
  <w:num w:numId="9">
    <w:abstractNumId w:val="5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23"/>
  </w:num>
  <w:num w:numId="18">
    <w:abstractNumId w:val="3"/>
  </w:num>
  <w:num w:numId="19">
    <w:abstractNumId w:val="4"/>
  </w:num>
  <w:num w:numId="20">
    <w:abstractNumId w:val="0"/>
  </w:num>
  <w:num w:numId="21">
    <w:abstractNumId w:val="0"/>
  </w:num>
  <w:num w:numId="22">
    <w:abstractNumId w:val="0"/>
  </w:num>
  <w:num w:numId="23">
    <w:abstractNumId w:val="19"/>
  </w:num>
  <w:num w:numId="24">
    <w:abstractNumId w:val="0"/>
  </w:num>
  <w:num w:numId="25">
    <w:abstractNumId w:val="0"/>
  </w:num>
  <w:num w:numId="26">
    <w:abstractNumId w:val="0"/>
  </w:num>
  <w:num w:numId="27">
    <w:abstractNumId w:val="21"/>
  </w:num>
  <w:num w:numId="28">
    <w:abstractNumId w:val="15"/>
  </w:num>
  <w:num w:numId="29">
    <w:abstractNumId w:val="22"/>
  </w:num>
  <w:num w:numId="30">
    <w:abstractNumId w:val="9"/>
  </w:num>
  <w:num w:numId="31">
    <w:abstractNumId w:val="20"/>
  </w:num>
  <w:num w:numId="32">
    <w:abstractNumId w:val="7"/>
  </w:num>
  <w:num w:numId="33">
    <w:abstractNumId w:val="18"/>
  </w:num>
  <w:num w:numId="34">
    <w:abstractNumId w:val="2"/>
  </w:num>
  <w:num w:numId="35">
    <w:abstractNumId w:val="0"/>
  </w:num>
  <w:num w:numId="36">
    <w:abstractNumId w:val="0"/>
  </w:num>
  <w:num w:numId="37">
    <w:abstractNumId w:val="11"/>
  </w:num>
  <w:num w:numId="38">
    <w:abstractNumId w:val="17"/>
  </w:num>
  <w:num w:numId="39">
    <w:abstractNumId w:val="6"/>
  </w:num>
  <w:num w:numId="40">
    <w:abstractNumId w:val="10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9AB"/>
    <w:rsid w:val="00001DD7"/>
    <w:rsid w:val="0000373F"/>
    <w:rsid w:val="00005800"/>
    <w:rsid w:val="0001070A"/>
    <w:rsid w:val="000124A7"/>
    <w:rsid w:val="00014521"/>
    <w:rsid w:val="0001612E"/>
    <w:rsid w:val="000162DA"/>
    <w:rsid w:val="00016E79"/>
    <w:rsid w:val="00020310"/>
    <w:rsid w:val="00020843"/>
    <w:rsid w:val="000217A8"/>
    <w:rsid w:val="00022498"/>
    <w:rsid w:val="0002336E"/>
    <w:rsid w:val="00030A7A"/>
    <w:rsid w:val="00032F16"/>
    <w:rsid w:val="00040F48"/>
    <w:rsid w:val="000421B1"/>
    <w:rsid w:val="00043998"/>
    <w:rsid w:val="00045D51"/>
    <w:rsid w:val="00051290"/>
    <w:rsid w:val="00053458"/>
    <w:rsid w:val="00054809"/>
    <w:rsid w:val="00054B25"/>
    <w:rsid w:val="00054D5B"/>
    <w:rsid w:val="0005570C"/>
    <w:rsid w:val="00055719"/>
    <w:rsid w:val="00056F9B"/>
    <w:rsid w:val="00057357"/>
    <w:rsid w:val="00060D72"/>
    <w:rsid w:val="000616DD"/>
    <w:rsid w:val="000630F4"/>
    <w:rsid w:val="00063196"/>
    <w:rsid w:val="000705C4"/>
    <w:rsid w:val="00071465"/>
    <w:rsid w:val="00074EB7"/>
    <w:rsid w:val="00074ED6"/>
    <w:rsid w:val="00080BC0"/>
    <w:rsid w:val="00081687"/>
    <w:rsid w:val="00083E44"/>
    <w:rsid w:val="000862A6"/>
    <w:rsid w:val="00087E95"/>
    <w:rsid w:val="000905B3"/>
    <w:rsid w:val="00090E50"/>
    <w:rsid w:val="00092F94"/>
    <w:rsid w:val="00094786"/>
    <w:rsid w:val="0009665E"/>
    <w:rsid w:val="00097BAA"/>
    <w:rsid w:val="000A03AF"/>
    <w:rsid w:val="000A2679"/>
    <w:rsid w:val="000B0A1A"/>
    <w:rsid w:val="000B1272"/>
    <w:rsid w:val="000B1A54"/>
    <w:rsid w:val="000B4A49"/>
    <w:rsid w:val="000B6A1C"/>
    <w:rsid w:val="000B7F7B"/>
    <w:rsid w:val="000C126C"/>
    <w:rsid w:val="000C44D3"/>
    <w:rsid w:val="000C46AC"/>
    <w:rsid w:val="000C7133"/>
    <w:rsid w:val="000D222D"/>
    <w:rsid w:val="000D2717"/>
    <w:rsid w:val="000D3038"/>
    <w:rsid w:val="000D3A1D"/>
    <w:rsid w:val="000D56D3"/>
    <w:rsid w:val="000E0F6F"/>
    <w:rsid w:val="000E21C6"/>
    <w:rsid w:val="000E3FAF"/>
    <w:rsid w:val="000E4BA2"/>
    <w:rsid w:val="000E54EF"/>
    <w:rsid w:val="000F1280"/>
    <w:rsid w:val="000F1499"/>
    <w:rsid w:val="001000EA"/>
    <w:rsid w:val="00100E80"/>
    <w:rsid w:val="00101017"/>
    <w:rsid w:val="00103AE8"/>
    <w:rsid w:val="00106185"/>
    <w:rsid w:val="00107C20"/>
    <w:rsid w:val="0011597C"/>
    <w:rsid w:val="00116DE8"/>
    <w:rsid w:val="00120887"/>
    <w:rsid w:val="00131152"/>
    <w:rsid w:val="00131AE5"/>
    <w:rsid w:val="001324DB"/>
    <w:rsid w:val="001328B8"/>
    <w:rsid w:val="00136973"/>
    <w:rsid w:val="00140349"/>
    <w:rsid w:val="001406A6"/>
    <w:rsid w:val="00141D9C"/>
    <w:rsid w:val="001429DB"/>
    <w:rsid w:val="00142D85"/>
    <w:rsid w:val="001463C5"/>
    <w:rsid w:val="0015495A"/>
    <w:rsid w:val="001549E6"/>
    <w:rsid w:val="00160668"/>
    <w:rsid w:val="001642DB"/>
    <w:rsid w:val="001649F5"/>
    <w:rsid w:val="00164B15"/>
    <w:rsid w:val="00170306"/>
    <w:rsid w:val="00175609"/>
    <w:rsid w:val="001764CB"/>
    <w:rsid w:val="001768D4"/>
    <w:rsid w:val="001779B6"/>
    <w:rsid w:val="00181BF3"/>
    <w:rsid w:val="001843E0"/>
    <w:rsid w:val="00184967"/>
    <w:rsid w:val="00184B9C"/>
    <w:rsid w:val="00185232"/>
    <w:rsid w:val="00194858"/>
    <w:rsid w:val="001972EE"/>
    <w:rsid w:val="001A0112"/>
    <w:rsid w:val="001A0382"/>
    <w:rsid w:val="001A6A25"/>
    <w:rsid w:val="001B11BB"/>
    <w:rsid w:val="001B30E3"/>
    <w:rsid w:val="001B38C6"/>
    <w:rsid w:val="001B497C"/>
    <w:rsid w:val="001B5961"/>
    <w:rsid w:val="001B7668"/>
    <w:rsid w:val="001B7D59"/>
    <w:rsid w:val="001C6A8E"/>
    <w:rsid w:val="001D0EA9"/>
    <w:rsid w:val="001D433E"/>
    <w:rsid w:val="001D4BFC"/>
    <w:rsid w:val="001D5E35"/>
    <w:rsid w:val="001D7367"/>
    <w:rsid w:val="001E4717"/>
    <w:rsid w:val="001E5CAB"/>
    <w:rsid w:val="001F1E91"/>
    <w:rsid w:val="001F1EF2"/>
    <w:rsid w:val="001F1F74"/>
    <w:rsid w:val="001F4705"/>
    <w:rsid w:val="00203FF4"/>
    <w:rsid w:val="00205BAC"/>
    <w:rsid w:val="00205DEC"/>
    <w:rsid w:val="002062BD"/>
    <w:rsid w:val="00213FE7"/>
    <w:rsid w:val="00214A41"/>
    <w:rsid w:val="00217B11"/>
    <w:rsid w:val="00220C0E"/>
    <w:rsid w:val="00222C70"/>
    <w:rsid w:val="00224F57"/>
    <w:rsid w:val="00225892"/>
    <w:rsid w:val="00226758"/>
    <w:rsid w:val="0023076D"/>
    <w:rsid w:val="002329D5"/>
    <w:rsid w:val="00233029"/>
    <w:rsid w:val="002335A9"/>
    <w:rsid w:val="0023708F"/>
    <w:rsid w:val="0024140C"/>
    <w:rsid w:val="0024249F"/>
    <w:rsid w:val="00244340"/>
    <w:rsid w:val="00245159"/>
    <w:rsid w:val="00257C4F"/>
    <w:rsid w:val="00265D38"/>
    <w:rsid w:val="002706D0"/>
    <w:rsid w:val="002802C9"/>
    <w:rsid w:val="00281A9A"/>
    <w:rsid w:val="00284B2E"/>
    <w:rsid w:val="00286F00"/>
    <w:rsid w:val="00287D8E"/>
    <w:rsid w:val="002915E0"/>
    <w:rsid w:val="0029731D"/>
    <w:rsid w:val="002A7920"/>
    <w:rsid w:val="002B13EC"/>
    <w:rsid w:val="002B1C65"/>
    <w:rsid w:val="002B4B5F"/>
    <w:rsid w:val="002C4EA8"/>
    <w:rsid w:val="002C6ED9"/>
    <w:rsid w:val="002C72CA"/>
    <w:rsid w:val="002C75DC"/>
    <w:rsid w:val="002C7F6E"/>
    <w:rsid w:val="002D1957"/>
    <w:rsid w:val="002D1D14"/>
    <w:rsid w:val="002D1D44"/>
    <w:rsid w:val="002D32BC"/>
    <w:rsid w:val="002D5139"/>
    <w:rsid w:val="002D786E"/>
    <w:rsid w:val="002E0962"/>
    <w:rsid w:val="002E2960"/>
    <w:rsid w:val="002E2B63"/>
    <w:rsid w:val="002E5831"/>
    <w:rsid w:val="002E5F5C"/>
    <w:rsid w:val="002F2741"/>
    <w:rsid w:val="002F60B4"/>
    <w:rsid w:val="002F6845"/>
    <w:rsid w:val="002F70E5"/>
    <w:rsid w:val="0030074E"/>
    <w:rsid w:val="00300C48"/>
    <w:rsid w:val="003024D4"/>
    <w:rsid w:val="003026CD"/>
    <w:rsid w:val="00304881"/>
    <w:rsid w:val="00306810"/>
    <w:rsid w:val="00311401"/>
    <w:rsid w:val="00311BF5"/>
    <w:rsid w:val="00316C37"/>
    <w:rsid w:val="003175FF"/>
    <w:rsid w:val="00322507"/>
    <w:rsid w:val="003266F3"/>
    <w:rsid w:val="00326794"/>
    <w:rsid w:val="003270C2"/>
    <w:rsid w:val="003279AA"/>
    <w:rsid w:val="003304FF"/>
    <w:rsid w:val="00331834"/>
    <w:rsid w:val="003321B5"/>
    <w:rsid w:val="00334A30"/>
    <w:rsid w:val="00334F6C"/>
    <w:rsid w:val="00336BAF"/>
    <w:rsid w:val="00337330"/>
    <w:rsid w:val="00342A90"/>
    <w:rsid w:val="00343A08"/>
    <w:rsid w:val="00346F3E"/>
    <w:rsid w:val="00350C31"/>
    <w:rsid w:val="00352B50"/>
    <w:rsid w:val="00353088"/>
    <w:rsid w:val="003557B5"/>
    <w:rsid w:val="00355DEB"/>
    <w:rsid w:val="003611E9"/>
    <w:rsid w:val="00364A29"/>
    <w:rsid w:val="00365894"/>
    <w:rsid w:val="00366A7A"/>
    <w:rsid w:val="0036731C"/>
    <w:rsid w:val="00370CCC"/>
    <w:rsid w:val="003710FC"/>
    <w:rsid w:val="00371BEE"/>
    <w:rsid w:val="003722A4"/>
    <w:rsid w:val="00372502"/>
    <w:rsid w:val="00375009"/>
    <w:rsid w:val="00376262"/>
    <w:rsid w:val="00380CDD"/>
    <w:rsid w:val="0038416B"/>
    <w:rsid w:val="003876A7"/>
    <w:rsid w:val="00387B5E"/>
    <w:rsid w:val="003921B0"/>
    <w:rsid w:val="0039431A"/>
    <w:rsid w:val="00394840"/>
    <w:rsid w:val="00395C0E"/>
    <w:rsid w:val="0039614C"/>
    <w:rsid w:val="003A1872"/>
    <w:rsid w:val="003A1E81"/>
    <w:rsid w:val="003A21A8"/>
    <w:rsid w:val="003A328F"/>
    <w:rsid w:val="003B2F98"/>
    <w:rsid w:val="003B3FD1"/>
    <w:rsid w:val="003B5C56"/>
    <w:rsid w:val="003C2C27"/>
    <w:rsid w:val="003C2E72"/>
    <w:rsid w:val="003C331A"/>
    <w:rsid w:val="003C5C58"/>
    <w:rsid w:val="003C648B"/>
    <w:rsid w:val="003C719F"/>
    <w:rsid w:val="003C7C62"/>
    <w:rsid w:val="003D0B76"/>
    <w:rsid w:val="003D5184"/>
    <w:rsid w:val="003D6B07"/>
    <w:rsid w:val="003E13D1"/>
    <w:rsid w:val="003E17E1"/>
    <w:rsid w:val="003E20FD"/>
    <w:rsid w:val="003E3C3B"/>
    <w:rsid w:val="003E5662"/>
    <w:rsid w:val="003E78AD"/>
    <w:rsid w:val="003F0DC6"/>
    <w:rsid w:val="003F160E"/>
    <w:rsid w:val="003F3007"/>
    <w:rsid w:val="00400252"/>
    <w:rsid w:val="00401547"/>
    <w:rsid w:val="00402542"/>
    <w:rsid w:val="004026AE"/>
    <w:rsid w:val="0040316B"/>
    <w:rsid w:val="00404D35"/>
    <w:rsid w:val="00411890"/>
    <w:rsid w:val="004130CC"/>
    <w:rsid w:val="00415163"/>
    <w:rsid w:val="00417003"/>
    <w:rsid w:val="00417553"/>
    <w:rsid w:val="004178F2"/>
    <w:rsid w:val="00421BB3"/>
    <w:rsid w:val="0042352F"/>
    <w:rsid w:val="00437986"/>
    <w:rsid w:val="004419BC"/>
    <w:rsid w:val="00447192"/>
    <w:rsid w:val="00450385"/>
    <w:rsid w:val="004519F0"/>
    <w:rsid w:val="00452EF4"/>
    <w:rsid w:val="00460619"/>
    <w:rsid w:val="0046132E"/>
    <w:rsid w:val="00461BE8"/>
    <w:rsid w:val="00465185"/>
    <w:rsid w:val="00467F46"/>
    <w:rsid w:val="00470380"/>
    <w:rsid w:val="004711BA"/>
    <w:rsid w:val="00471A7C"/>
    <w:rsid w:val="004724A0"/>
    <w:rsid w:val="00476322"/>
    <w:rsid w:val="004779D0"/>
    <w:rsid w:val="00481DC9"/>
    <w:rsid w:val="00483783"/>
    <w:rsid w:val="00486E71"/>
    <w:rsid w:val="00493E93"/>
    <w:rsid w:val="004947B9"/>
    <w:rsid w:val="004A3F65"/>
    <w:rsid w:val="004A40F8"/>
    <w:rsid w:val="004A5847"/>
    <w:rsid w:val="004A6CCA"/>
    <w:rsid w:val="004B16F6"/>
    <w:rsid w:val="004B3EFB"/>
    <w:rsid w:val="004B42B5"/>
    <w:rsid w:val="004B435A"/>
    <w:rsid w:val="004B7927"/>
    <w:rsid w:val="004C259A"/>
    <w:rsid w:val="004C313C"/>
    <w:rsid w:val="004C4BCC"/>
    <w:rsid w:val="004C526C"/>
    <w:rsid w:val="004C5C1F"/>
    <w:rsid w:val="004D03E4"/>
    <w:rsid w:val="004D39F8"/>
    <w:rsid w:val="004D560B"/>
    <w:rsid w:val="004E0E01"/>
    <w:rsid w:val="004E3CF7"/>
    <w:rsid w:val="004E64B1"/>
    <w:rsid w:val="004F08FD"/>
    <w:rsid w:val="004F1BFA"/>
    <w:rsid w:val="004F24C3"/>
    <w:rsid w:val="004F5E15"/>
    <w:rsid w:val="004F6603"/>
    <w:rsid w:val="0050158F"/>
    <w:rsid w:val="00503CD7"/>
    <w:rsid w:val="00503DE4"/>
    <w:rsid w:val="0050498C"/>
    <w:rsid w:val="00504F27"/>
    <w:rsid w:val="00506508"/>
    <w:rsid w:val="0051155F"/>
    <w:rsid w:val="00512422"/>
    <w:rsid w:val="005154B4"/>
    <w:rsid w:val="00516BF8"/>
    <w:rsid w:val="00517914"/>
    <w:rsid w:val="005208C1"/>
    <w:rsid w:val="0052140D"/>
    <w:rsid w:val="00522F6B"/>
    <w:rsid w:val="00524A3E"/>
    <w:rsid w:val="00535E17"/>
    <w:rsid w:val="005368B9"/>
    <w:rsid w:val="005405FF"/>
    <w:rsid w:val="0054160F"/>
    <w:rsid w:val="0054384C"/>
    <w:rsid w:val="00543C96"/>
    <w:rsid w:val="00544FF0"/>
    <w:rsid w:val="00545DD6"/>
    <w:rsid w:val="005461F2"/>
    <w:rsid w:val="00547418"/>
    <w:rsid w:val="00547B96"/>
    <w:rsid w:val="00550C2F"/>
    <w:rsid w:val="00550F22"/>
    <w:rsid w:val="00552459"/>
    <w:rsid w:val="00552C98"/>
    <w:rsid w:val="00555455"/>
    <w:rsid w:val="005573FD"/>
    <w:rsid w:val="00557ACF"/>
    <w:rsid w:val="00562C45"/>
    <w:rsid w:val="00562FE3"/>
    <w:rsid w:val="0056786E"/>
    <w:rsid w:val="00570106"/>
    <w:rsid w:val="00575C06"/>
    <w:rsid w:val="00580054"/>
    <w:rsid w:val="005811EC"/>
    <w:rsid w:val="005828A6"/>
    <w:rsid w:val="00585E3A"/>
    <w:rsid w:val="00587618"/>
    <w:rsid w:val="00591383"/>
    <w:rsid w:val="00591B2B"/>
    <w:rsid w:val="00594F0B"/>
    <w:rsid w:val="005952D0"/>
    <w:rsid w:val="005973F6"/>
    <w:rsid w:val="005A1F89"/>
    <w:rsid w:val="005A2384"/>
    <w:rsid w:val="005A2824"/>
    <w:rsid w:val="005A3E80"/>
    <w:rsid w:val="005A738A"/>
    <w:rsid w:val="005B2ADF"/>
    <w:rsid w:val="005B3B6C"/>
    <w:rsid w:val="005B5E1F"/>
    <w:rsid w:val="005C1B29"/>
    <w:rsid w:val="005C2E7E"/>
    <w:rsid w:val="005C4AB5"/>
    <w:rsid w:val="005C521B"/>
    <w:rsid w:val="005C6FAC"/>
    <w:rsid w:val="005D019B"/>
    <w:rsid w:val="005D3516"/>
    <w:rsid w:val="005D5D20"/>
    <w:rsid w:val="005E0B29"/>
    <w:rsid w:val="005E1C26"/>
    <w:rsid w:val="005E1E8A"/>
    <w:rsid w:val="005E21C7"/>
    <w:rsid w:val="005E6E54"/>
    <w:rsid w:val="005F18E4"/>
    <w:rsid w:val="005F5282"/>
    <w:rsid w:val="00602D54"/>
    <w:rsid w:val="00604EA3"/>
    <w:rsid w:val="00605801"/>
    <w:rsid w:val="006059AB"/>
    <w:rsid w:val="0060740F"/>
    <w:rsid w:val="0061176D"/>
    <w:rsid w:val="00614128"/>
    <w:rsid w:val="0061755D"/>
    <w:rsid w:val="00620024"/>
    <w:rsid w:val="00625FDD"/>
    <w:rsid w:val="006266FB"/>
    <w:rsid w:val="006267A5"/>
    <w:rsid w:val="0063254B"/>
    <w:rsid w:val="006416FA"/>
    <w:rsid w:val="00645582"/>
    <w:rsid w:val="0064571A"/>
    <w:rsid w:val="006457C5"/>
    <w:rsid w:val="00647E04"/>
    <w:rsid w:val="00650DA9"/>
    <w:rsid w:val="006512E9"/>
    <w:rsid w:val="006532F4"/>
    <w:rsid w:val="0065586C"/>
    <w:rsid w:val="006649E5"/>
    <w:rsid w:val="00666A4A"/>
    <w:rsid w:val="006700A2"/>
    <w:rsid w:val="006704BC"/>
    <w:rsid w:val="006722A1"/>
    <w:rsid w:val="00683B9E"/>
    <w:rsid w:val="00683CD2"/>
    <w:rsid w:val="00685B94"/>
    <w:rsid w:val="006873F2"/>
    <w:rsid w:val="00690C2A"/>
    <w:rsid w:val="00691B43"/>
    <w:rsid w:val="00692045"/>
    <w:rsid w:val="006921FF"/>
    <w:rsid w:val="0069221A"/>
    <w:rsid w:val="006933AC"/>
    <w:rsid w:val="00697393"/>
    <w:rsid w:val="0069784E"/>
    <w:rsid w:val="006A4820"/>
    <w:rsid w:val="006B24FC"/>
    <w:rsid w:val="006C1611"/>
    <w:rsid w:val="006C66FB"/>
    <w:rsid w:val="006D38BE"/>
    <w:rsid w:val="006D3EAA"/>
    <w:rsid w:val="006D419F"/>
    <w:rsid w:val="006D52BA"/>
    <w:rsid w:val="006E0372"/>
    <w:rsid w:val="006E0539"/>
    <w:rsid w:val="006E22F0"/>
    <w:rsid w:val="006F0A06"/>
    <w:rsid w:val="006F0FAD"/>
    <w:rsid w:val="006F1330"/>
    <w:rsid w:val="006F13C6"/>
    <w:rsid w:val="006F1942"/>
    <w:rsid w:val="006F366C"/>
    <w:rsid w:val="006F52AC"/>
    <w:rsid w:val="006F5C2E"/>
    <w:rsid w:val="006F762F"/>
    <w:rsid w:val="006F7EF0"/>
    <w:rsid w:val="0070242E"/>
    <w:rsid w:val="00704198"/>
    <w:rsid w:val="007053F7"/>
    <w:rsid w:val="00706359"/>
    <w:rsid w:val="0071217B"/>
    <w:rsid w:val="00714AEB"/>
    <w:rsid w:val="00715D94"/>
    <w:rsid w:val="00717295"/>
    <w:rsid w:val="00720C53"/>
    <w:rsid w:val="00721EBD"/>
    <w:rsid w:val="0072216C"/>
    <w:rsid w:val="00722EFB"/>
    <w:rsid w:val="007252DF"/>
    <w:rsid w:val="0072626E"/>
    <w:rsid w:val="00736072"/>
    <w:rsid w:val="00736D3F"/>
    <w:rsid w:val="00743F52"/>
    <w:rsid w:val="00744AAD"/>
    <w:rsid w:val="00745816"/>
    <w:rsid w:val="00746384"/>
    <w:rsid w:val="00750525"/>
    <w:rsid w:val="00762235"/>
    <w:rsid w:val="007649BD"/>
    <w:rsid w:val="00765B01"/>
    <w:rsid w:val="00765BCF"/>
    <w:rsid w:val="00771297"/>
    <w:rsid w:val="00771514"/>
    <w:rsid w:val="00773740"/>
    <w:rsid w:val="00773D36"/>
    <w:rsid w:val="00775A37"/>
    <w:rsid w:val="00775EB8"/>
    <w:rsid w:val="00776983"/>
    <w:rsid w:val="00780C60"/>
    <w:rsid w:val="00782697"/>
    <w:rsid w:val="00791527"/>
    <w:rsid w:val="00792DA6"/>
    <w:rsid w:val="00796D59"/>
    <w:rsid w:val="00796F09"/>
    <w:rsid w:val="007A0371"/>
    <w:rsid w:val="007A1117"/>
    <w:rsid w:val="007A11E2"/>
    <w:rsid w:val="007A72D7"/>
    <w:rsid w:val="007B304C"/>
    <w:rsid w:val="007B394C"/>
    <w:rsid w:val="007C11BE"/>
    <w:rsid w:val="007C43C0"/>
    <w:rsid w:val="007C529E"/>
    <w:rsid w:val="007D1C2C"/>
    <w:rsid w:val="007D49C2"/>
    <w:rsid w:val="007D53D8"/>
    <w:rsid w:val="007D73DF"/>
    <w:rsid w:val="007E4BCB"/>
    <w:rsid w:val="007E51AC"/>
    <w:rsid w:val="007E5C2D"/>
    <w:rsid w:val="007E6854"/>
    <w:rsid w:val="007E6BDA"/>
    <w:rsid w:val="007E7B58"/>
    <w:rsid w:val="007F2B54"/>
    <w:rsid w:val="007F2F60"/>
    <w:rsid w:val="007F6AEB"/>
    <w:rsid w:val="00813973"/>
    <w:rsid w:val="008146D3"/>
    <w:rsid w:val="00816636"/>
    <w:rsid w:val="00816A7D"/>
    <w:rsid w:val="00817BAF"/>
    <w:rsid w:val="00820D0F"/>
    <w:rsid w:val="008238A2"/>
    <w:rsid w:val="00825290"/>
    <w:rsid w:val="00827E30"/>
    <w:rsid w:val="00827E5E"/>
    <w:rsid w:val="008373CC"/>
    <w:rsid w:val="00837660"/>
    <w:rsid w:val="00837BDE"/>
    <w:rsid w:val="00837F6F"/>
    <w:rsid w:val="008421EE"/>
    <w:rsid w:val="00843397"/>
    <w:rsid w:val="008449EC"/>
    <w:rsid w:val="00845380"/>
    <w:rsid w:val="00854197"/>
    <w:rsid w:val="00855AB2"/>
    <w:rsid w:val="0085794E"/>
    <w:rsid w:val="0086085B"/>
    <w:rsid w:val="00861142"/>
    <w:rsid w:val="00861E37"/>
    <w:rsid w:val="00862AFC"/>
    <w:rsid w:val="008636B6"/>
    <w:rsid w:val="0086453F"/>
    <w:rsid w:val="0086691A"/>
    <w:rsid w:val="008701C7"/>
    <w:rsid w:val="0087031C"/>
    <w:rsid w:val="00870DB2"/>
    <w:rsid w:val="00871E2D"/>
    <w:rsid w:val="00876E08"/>
    <w:rsid w:val="00877613"/>
    <w:rsid w:val="00881E38"/>
    <w:rsid w:val="00884794"/>
    <w:rsid w:val="00884908"/>
    <w:rsid w:val="008855AD"/>
    <w:rsid w:val="00885F79"/>
    <w:rsid w:val="008912E5"/>
    <w:rsid w:val="00892ACB"/>
    <w:rsid w:val="00892BEE"/>
    <w:rsid w:val="00895F97"/>
    <w:rsid w:val="008A1905"/>
    <w:rsid w:val="008A536F"/>
    <w:rsid w:val="008A74E1"/>
    <w:rsid w:val="008B0B07"/>
    <w:rsid w:val="008B1F5C"/>
    <w:rsid w:val="008B55C7"/>
    <w:rsid w:val="008C031C"/>
    <w:rsid w:val="008C2BFE"/>
    <w:rsid w:val="008D12E0"/>
    <w:rsid w:val="008D53BC"/>
    <w:rsid w:val="008D7AE7"/>
    <w:rsid w:val="008D7CAB"/>
    <w:rsid w:val="008E12B1"/>
    <w:rsid w:val="008E43BC"/>
    <w:rsid w:val="008E4E91"/>
    <w:rsid w:val="008E64F8"/>
    <w:rsid w:val="008F14A6"/>
    <w:rsid w:val="0090254C"/>
    <w:rsid w:val="00902DB1"/>
    <w:rsid w:val="009079AE"/>
    <w:rsid w:val="00916222"/>
    <w:rsid w:val="00916CBB"/>
    <w:rsid w:val="00916ECB"/>
    <w:rsid w:val="0092001D"/>
    <w:rsid w:val="00921B55"/>
    <w:rsid w:val="009239E0"/>
    <w:rsid w:val="00924182"/>
    <w:rsid w:val="009245E2"/>
    <w:rsid w:val="009264B0"/>
    <w:rsid w:val="0092726A"/>
    <w:rsid w:val="00927836"/>
    <w:rsid w:val="009304B6"/>
    <w:rsid w:val="009324A3"/>
    <w:rsid w:val="009331C6"/>
    <w:rsid w:val="00933576"/>
    <w:rsid w:val="00934ED7"/>
    <w:rsid w:val="00940137"/>
    <w:rsid w:val="009409A3"/>
    <w:rsid w:val="009427BC"/>
    <w:rsid w:val="0094690C"/>
    <w:rsid w:val="00947700"/>
    <w:rsid w:val="0095013C"/>
    <w:rsid w:val="009513F0"/>
    <w:rsid w:val="009530DD"/>
    <w:rsid w:val="00956A39"/>
    <w:rsid w:val="00960330"/>
    <w:rsid w:val="00961BE8"/>
    <w:rsid w:val="00963403"/>
    <w:rsid w:val="00967824"/>
    <w:rsid w:val="0097040D"/>
    <w:rsid w:val="0097075F"/>
    <w:rsid w:val="009778C7"/>
    <w:rsid w:val="00981FEA"/>
    <w:rsid w:val="0098217E"/>
    <w:rsid w:val="0098243E"/>
    <w:rsid w:val="00982DE4"/>
    <w:rsid w:val="00985308"/>
    <w:rsid w:val="00991BC1"/>
    <w:rsid w:val="00991DF7"/>
    <w:rsid w:val="00996925"/>
    <w:rsid w:val="009A62AC"/>
    <w:rsid w:val="009B2451"/>
    <w:rsid w:val="009B478E"/>
    <w:rsid w:val="009D5203"/>
    <w:rsid w:val="009D5370"/>
    <w:rsid w:val="009D735E"/>
    <w:rsid w:val="009D765C"/>
    <w:rsid w:val="009E5FC0"/>
    <w:rsid w:val="009E623E"/>
    <w:rsid w:val="009F2B9B"/>
    <w:rsid w:val="009F3BAE"/>
    <w:rsid w:val="009F5C2B"/>
    <w:rsid w:val="00A006E5"/>
    <w:rsid w:val="00A01751"/>
    <w:rsid w:val="00A03078"/>
    <w:rsid w:val="00A049CA"/>
    <w:rsid w:val="00A0693C"/>
    <w:rsid w:val="00A238DA"/>
    <w:rsid w:val="00A256CB"/>
    <w:rsid w:val="00A25A9E"/>
    <w:rsid w:val="00A2738E"/>
    <w:rsid w:val="00A32AC9"/>
    <w:rsid w:val="00A353EF"/>
    <w:rsid w:val="00A36231"/>
    <w:rsid w:val="00A376EE"/>
    <w:rsid w:val="00A41341"/>
    <w:rsid w:val="00A4326D"/>
    <w:rsid w:val="00A44044"/>
    <w:rsid w:val="00A45812"/>
    <w:rsid w:val="00A535DC"/>
    <w:rsid w:val="00A57BE3"/>
    <w:rsid w:val="00A64FE3"/>
    <w:rsid w:val="00A653CB"/>
    <w:rsid w:val="00A71933"/>
    <w:rsid w:val="00A7266D"/>
    <w:rsid w:val="00A77556"/>
    <w:rsid w:val="00A80FAA"/>
    <w:rsid w:val="00A84610"/>
    <w:rsid w:val="00A847BA"/>
    <w:rsid w:val="00A851DA"/>
    <w:rsid w:val="00A87325"/>
    <w:rsid w:val="00A92C50"/>
    <w:rsid w:val="00A937FE"/>
    <w:rsid w:val="00A93871"/>
    <w:rsid w:val="00A945D6"/>
    <w:rsid w:val="00A95852"/>
    <w:rsid w:val="00A964D6"/>
    <w:rsid w:val="00A966CF"/>
    <w:rsid w:val="00AA0882"/>
    <w:rsid w:val="00AA13E4"/>
    <w:rsid w:val="00AA3E9A"/>
    <w:rsid w:val="00AA400D"/>
    <w:rsid w:val="00AA4835"/>
    <w:rsid w:val="00AA5B67"/>
    <w:rsid w:val="00AA64D1"/>
    <w:rsid w:val="00AA6C78"/>
    <w:rsid w:val="00AB4406"/>
    <w:rsid w:val="00AB57A2"/>
    <w:rsid w:val="00AB5E18"/>
    <w:rsid w:val="00AC3783"/>
    <w:rsid w:val="00AC3A84"/>
    <w:rsid w:val="00AC5721"/>
    <w:rsid w:val="00AC639F"/>
    <w:rsid w:val="00AD0B0C"/>
    <w:rsid w:val="00AD308E"/>
    <w:rsid w:val="00AD42CE"/>
    <w:rsid w:val="00AD485A"/>
    <w:rsid w:val="00AD5288"/>
    <w:rsid w:val="00AD5715"/>
    <w:rsid w:val="00AD78FE"/>
    <w:rsid w:val="00AD7EE2"/>
    <w:rsid w:val="00AE3DBC"/>
    <w:rsid w:val="00AE3F7F"/>
    <w:rsid w:val="00AE7B7B"/>
    <w:rsid w:val="00AE7DA7"/>
    <w:rsid w:val="00AF1C70"/>
    <w:rsid w:val="00AF32AA"/>
    <w:rsid w:val="00AF36DA"/>
    <w:rsid w:val="00AF3B7D"/>
    <w:rsid w:val="00AF5FBF"/>
    <w:rsid w:val="00AF63C0"/>
    <w:rsid w:val="00AF683F"/>
    <w:rsid w:val="00AF7AF5"/>
    <w:rsid w:val="00B00B48"/>
    <w:rsid w:val="00B03872"/>
    <w:rsid w:val="00B041C4"/>
    <w:rsid w:val="00B05CBF"/>
    <w:rsid w:val="00B109F9"/>
    <w:rsid w:val="00B171F3"/>
    <w:rsid w:val="00B177CD"/>
    <w:rsid w:val="00B202DB"/>
    <w:rsid w:val="00B22640"/>
    <w:rsid w:val="00B23763"/>
    <w:rsid w:val="00B27BAF"/>
    <w:rsid w:val="00B3089E"/>
    <w:rsid w:val="00B320B3"/>
    <w:rsid w:val="00B3351F"/>
    <w:rsid w:val="00B361BB"/>
    <w:rsid w:val="00B40662"/>
    <w:rsid w:val="00B40861"/>
    <w:rsid w:val="00B50E03"/>
    <w:rsid w:val="00B51F46"/>
    <w:rsid w:val="00B529BE"/>
    <w:rsid w:val="00B52E36"/>
    <w:rsid w:val="00B53005"/>
    <w:rsid w:val="00B54AFA"/>
    <w:rsid w:val="00B56A51"/>
    <w:rsid w:val="00B604A7"/>
    <w:rsid w:val="00B657C2"/>
    <w:rsid w:val="00B74975"/>
    <w:rsid w:val="00B75185"/>
    <w:rsid w:val="00B75BBF"/>
    <w:rsid w:val="00B76512"/>
    <w:rsid w:val="00B817D3"/>
    <w:rsid w:val="00B81B15"/>
    <w:rsid w:val="00B8469E"/>
    <w:rsid w:val="00B85627"/>
    <w:rsid w:val="00B8657F"/>
    <w:rsid w:val="00B91650"/>
    <w:rsid w:val="00B93604"/>
    <w:rsid w:val="00BA4771"/>
    <w:rsid w:val="00BB007D"/>
    <w:rsid w:val="00BB5CCA"/>
    <w:rsid w:val="00BB6ADE"/>
    <w:rsid w:val="00BC0071"/>
    <w:rsid w:val="00BC2CD5"/>
    <w:rsid w:val="00BC322D"/>
    <w:rsid w:val="00BC4383"/>
    <w:rsid w:val="00BC578F"/>
    <w:rsid w:val="00BD1290"/>
    <w:rsid w:val="00BE2CC0"/>
    <w:rsid w:val="00BE582F"/>
    <w:rsid w:val="00BE7EF1"/>
    <w:rsid w:val="00BF173F"/>
    <w:rsid w:val="00BF198B"/>
    <w:rsid w:val="00C04BCE"/>
    <w:rsid w:val="00C133E6"/>
    <w:rsid w:val="00C13ABB"/>
    <w:rsid w:val="00C151CD"/>
    <w:rsid w:val="00C246F0"/>
    <w:rsid w:val="00C33A45"/>
    <w:rsid w:val="00C40D0B"/>
    <w:rsid w:val="00C43AB7"/>
    <w:rsid w:val="00C45B2E"/>
    <w:rsid w:val="00C539A6"/>
    <w:rsid w:val="00C5600A"/>
    <w:rsid w:val="00C6183C"/>
    <w:rsid w:val="00C6237C"/>
    <w:rsid w:val="00C62FFA"/>
    <w:rsid w:val="00C718DA"/>
    <w:rsid w:val="00C7399D"/>
    <w:rsid w:val="00C77E52"/>
    <w:rsid w:val="00C809E8"/>
    <w:rsid w:val="00C839C1"/>
    <w:rsid w:val="00C83D48"/>
    <w:rsid w:val="00C84569"/>
    <w:rsid w:val="00C84785"/>
    <w:rsid w:val="00C9082F"/>
    <w:rsid w:val="00C92CDD"/>
    <w:rsid w:val="00C97722"/>
    <w:rsid w:val="00CA022A"/>
    <w:rsid w:val="00CA24C4"/>
    <w:rsid w:val="00CA33FE"/>
    <w:rsid w:val="00CA401B"/>
    <w:rsid w:val="00CA473A"/>
    <w:rsid w:val="00CA5ABC"/>
    <w:rsid w:val="00CA6D70"/>
    <w:rsid w:val="00CB20B5"/>
    <w:rsid w:val="00CB2ACF"/>
    <w:rsid w:val="00CB3257"/>
    <w:rsid w:val="00CB3AA8"/>
    <w:rsid w:val="00CB5878"/>
    <w:rsid w:val="00CB7FEA"/>
    <w:rsid w:val="00CD2D5C"/>
    <w:rsid w:val="00CD30C2"/>
    <w:rsid w:val="00CD33C2"/>
    <w:rsid w:val="00CD6B5E"/>
    <w:rsid w:val="00CD6D77"/>
    <w:rsid w:val="00CE059E"/>
    <w:rsid w:val="00CE1BA5"/>
    <w:rsid w:val="00CE296E"/>
    <w:rsid w:val="00CE2DAD"/>
    <w:rsid w:val="00CE2DB1"/>
    <w:rsid w:val="00CE33C0"/>
    <w:rsid w:val="00CE3E47"/>
    <w:rsid w:val="00CE504D"/>
    <w:rsid w:val="00CE56C1"/>
    <w:rsid w:val="00CF0CE5"/>
    <w:rsid w:val="00CF5C9C"/>
    <w:rsid w:val="00D00D87"/>
    <w:rsid w:val="00D02105"/>
    <w:rsid w:val="00D0275F"/>
    <w:rsid w:val="00D02FE2"/>
    <w:rsid w:val="00D10A3F"/>
    <w:rsid w:val="00D115B6"/>
    <w:rsid w:val="00D123C1"/>
    <w:rsid w:val="00D15E58"/>
    <w:rsid w:val="00D1762B"/>
    <w:rsid w:val="00D22067"/>
    <w:rsid w:val="00D2277F"/>
    <w:rsid w:val="00D254FC"/>
    <w:rsid w:val="00D26F91"/>
    <w:rsid w:val="00D27CDB"/>
    <w:rsid w:val="00D338D7"/>
    <w:rsid w:val="00D36ED0"/>
    <w:rsid w:val="00D50CB6"/>
    <w:rsid w:val="00D54271"/>
    <w:rsid w:val="00D6000C"/>
    <w:rsid w:val="00D60951"/>
    <w:rsid w:val="00D60C33"/>
    <w:rsid w:val="00D61589"/>
    <w:rsid w:val="00D6212A"/>
    <w:rsid w:val="00D63523"/>
    <w:rsid w:val="00D6376B"/>
    <w:rsid w:val="00D639FD"/>
    <w:rsid w:val="00D652F8"/>
    <w:rsid w:val="00D6563D"/>
    <w:rsid w:val="00D66335"/>
    <w:rsid w:val="00D6768E"/>
    <w:rsid w:val="00D72091"/>
    <w:rsid w:val="00D75F5B"/>
    <w:rsid w:val="00D76415"/>
    <w:rsid w:val="00D8144F"/>
    <w:rsid w:val="00D818A3"/>
    <w:rsid w:val="00D93460"/>
    <w:rsid w:val="00D93D32"/>
    <w:rsid w:val="00D95B3E"/>
    <w:rsid w:val="00DA0967"/>
    <w:rsid w:val="00DA0DD3"/>
    <w:rsid w:val="00DA1FBA"/>
    <w:rsid w:val="00DA2910"/>
    <w:rsid w:val="00DA3E19"/>
    <w:rsid w:val="00DA6281"/>
    <w:rsid w:val="00DB5179"/>
    <w:rsid w:val="00DB5798"/>
    <w:rsid w:val="00DB58DB"/>
    <w:rsid w:val="00DB7E77"/>
    <w:rsid w:val="00DC338D"/>
    <w:rsid w:val="00DD022C"/>
    <w:rsid w:val="00DD0B20"/>
    <w:rsid w:val="00DD0CEC"/>
    <w:rsid w:val="00DD1E2B"/>
    <w:rsid w:val="00DD2F40"/>
    <w:rsid w:val="00DD6077"/>
    <w:rsid w:val="00DD66B3"/>
    <w:rsid w:val="00DF08CE"/>
    <w:rsid w:val="00DF1599"/>
    <w:rsid w:val="00DF1B0C"/>
    <w:rsid w:val="00DF2DE2"/>
    <w:rsid w:val="00DF4F68"/>
    <w:rsid w:val="00E01837"/>
    <w:rsid w:val="00E04FDF"/>
    <w:rsid w:val="00E052B8"/>
    <w:rsid w:val="00E05343"/>
    <w:rsid w:val="00E068AD"/>
    <w:rsid w:val="00E10159"/>
    <w:rsid w:val="00E118A7"/>
    <w:rsid w:val="00E27382"/>
    <w:rsid w:val="00E27589"/>
    <w:rsid w:val="00E32EE9"/>
    <w:rsid w:val="00E3510D"/>
    <w:rsid w:val="00E41C0F"/>
    <w:rsid w:val="00E41E11"/>
    <w:rsid w:val="00E4391D"/>
    <w:rsid w:val="00E43CD8"/>
    <w:rsid w:val="00E46E44"/>
    <w:rsid w:val="00E473DC"/>
    <w:rsid w:val="00E51805"/>
    <w:rsid w:val="00E55A30"/>
    <w:rsid w:val="00E55E8D"/>
    <w:rsid w:val="00E56C74"/>
    <w:rsid w:val="00E57DCA"/>
    <w:rsid w:val="00E615DF"/>
    <w:rsid w:val="00E647CF"/>
    <w:rsid w:val="00E64D14"/>
    <w:rsid w:val="00E70305"/>
    <w:rsid w:val="00E71DC8"/>
    <w:rsid w:val="00E775EF"/>
    <w:rsid w:val="00E8107A"/>
    <w:rsid w:val="00E82D6F"/>
    <w:rsid w:val="00E82EC2"/>
    <w:rsid w:val="00E85786"/>
    <w:rsid w:val="00E877E4"/>
    <w:rsid w:val="00E87CEE"/>
    <w:rsid w:val="00E94247"/>
    <w:rsid w:val="00E97183"/>
    <w:rsid w:val="00EA21A6"/>
    <w:rsid w:val="00EA5BF5"/>
    <w:rsid w:val="00EA76B0"/>
    <w:rsid w:val="00EB1E28"/>
    <w:rsid w:val="00EB23A7"/>
    <w:rsid w:val="00EB53D5"/>
    <w:rsid w:val="00EB651F"/>
    <w:rsid w:val="00EC1AEE"/>
    <w:rsid w:val="00ED0BD0"/>
    <w:rsid w:val="00ED397C"/>
    <w:rsid w:val="00ED5D81"/>
    <w:rsid w:val="00ED63CA"/>
    <w:rsid w:val="00ED6D4C"/>
    <w:rsid w:val="00EE295E"/>
    <w:rsid w:val="00EE38E0"/>
    <w:rsid w:val="00EE6AAC"/>
    <w:rsid w:val="00EF2CFF"/>
    <w:rsid w:val="00EF3975"/>
    <w:rsid w:val="00EF7DE7"/>
    <w:rsid w:val="00EF7DF4"/>
    <w:rsid w:val="00F01023"/>
    <w:rsid w:val="00F03E6D"/>
    <w:rsid w:val="00F056D4"/>
    <w:rsid w:val="00F05DAC"/>
    <w:rsid w:val="00F1295F"/>
    <w:rsid w:val="00F169A6"/>
    <w:rsid w:val="00F21BE0"/>
    <w:rsid w:val="00F23A60"/>
    <w:rsid w:val="00F23DBB"/>
    <w:rsid w:val="00F2751F"/>
    <w:rsid w:val="00F32831"/>
    <w:rsid w:val="00F41529"/>
    <w:rsid w:val="00F42750"/>
    <w:rsid w:val="00F45E96"/>
    <w:rsid w:val="00F5026B"/>
    <w:rsid w:val="00F50406"/>
    <w:rsid w:val="00F50B68"/>
    <w:rsid w:val="00F52766"/>
    <w:rsid w:val="00F537CF"/>
    <w:rsid w:val="00F56770"/>
    <w:rsid w:val="00F667D7"/>
    <w:rsid w:val="00F71D4D"/>
    <w:rsid w:val="00F76F2C"/>
    <w:rsid w:val="00F773BE"/>
    <w:rsid w:val="00F77B2C"/>
    <w:rsid w:val="00F804D3"/>
    <w:rsid w:val="00F85E54"/>
    <w:rsid w:val="00F9085F"/>
    <w:rsid w:val="00F90C69"/>
    <w:rsid w:val="00F91490"/>
    <w:rsid w:val="00F925BA"/>
    <w:rsid w:val="00F937A7"/>
    <w:rsid w:val="00F947E2"/>
    <w:rsid w:val="00F97EA2"/>
    <w:rsid w:val="00FA28AE"/>
    <w:rsid w:val="00FA35A9"/>
    <w:rsid w:val="00FA5D55"/>
    <w:rsid w:val="00FA5F6A"/>
    <w:rsid w:val="00FA7710"/>
    <w:rsid w:val="00FB3A9D"/>
    <w:rsid w:val="00FB6D44"/>
    <w:rsid w:val="00FB7488"/>
    <w:rsid w:val="00FC0100"/>
    <w:rsid w:val="00FC2924"/>
    <w:rsid w:val="00FC48CD"/>
    <w:rsid w:val="00FC4DD1"/>
    <w:rsid w:val="00FC5124"/>
    <w:rsid w:val="00FC6912"/>
    <w:rsid w:val="00FC70D9"/>
    <w:rsid w:val="00FD3FE8"/>
    <w:rsid w:val="00FD6A7E"/>
    <w:rsid w:val="00FD7B8F"/>
    <w:rsid w:val="00FE1CCC"/>
    <w:rsid w:val="00FE2B3B"/>
    <w:rsid w:val="00FF19D7"/>
    <w:rsid w:val="00FF2BC9"/>
    <w:rsid w:val="00FF31B0"/>
    <w:rsid w:val="00FF711D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5"/>
      </w:numPr>
      <w:outlineLvl w:val="0"/>
    </w:pPr>
    <w:rPr>
      <w:b/>
      <w:bCs/>
      <w:sz w:val="28"/>
      <w:szCs w:val="28"/>
      <w:lang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 w:val="24"/>
      <w:lang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Styl1">
    <w:name w:val="Styl1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 w:val="28"/>
      <w:szCs w:val="28"/>
    </w:rPr>
  </w:style>
  <w:style w:type="paragraph" w:styleId="Textpoznpodarou">
    <w:name w:val="footnote text"/>
    <w:aliases w:val="Text pozn. pod čarou_martin_ang"/>
    <w:basedOn w:val="Normln"/>
    <w:semiHidden/>
    <w:pPr>
      <w:jc w:val="left"/>
    </w:pPr>
    <w:rPr>
      <w:szCs w:val="20"/>
      <w:lang/>
    </w:rPr>
  </w:style>
  <w:style w:type="character" w:customStyle="1" w:styleId="TextpoznpodarouChar">
    <w:name w:val="Text pozn. pod čarou Char"/>
    <w:aliases w:val="Text pozn. pod čarou_martin_ang Char1"/>
    <w:semiHidden/>
    <w:rPr>
      <w:rFonts w:ascii="Arial" w:eastAsia="Times New Roman" w:hAnsi="Arial"/>
    </w:rPr>
  </w:style>
  <w:style w:type="character" w:styleId="Znakapoznpodarou">
    <w:name w:val="footnote reference"/>
    <w:semiHidden/>
    <w:rPr>
      <w:vertAlign w:val="superscript"/>
    </w:rPr>
  </w:style>
  <w:style w:type="paragraph" w:styleId="Odstavecseseznamem">
    <w:name w:val="List Paragraph"/>
    <w:basedOn w:val="Normln"/>
    <w:qFormat/>
    <w:pPr>
      <w:ind w:left="708"/>
      <w:jc w:val="left"/>
    </w:pPr>
    <w:rPr>
      <w:sz w:val="18"/>
      <w:szCs w:val="20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pPr>
      <w:jc w:val="left"/>
    </w:pPr>
    <w:rPr>
      <w:szCs w:val="20"/>
      <w:lang/>
    </w:rPr>
  </w:style>
  <w:style w:type="character" w:customStyle="1" w:styleId="TextkomenteChar">
    <w:name w:val="Text komentáře Char"/>
    <w:semiHidden/>
    <w:rPr>
      <w:rFonts w:ascii="Arial" w:eastAsia="Times New Roman" w:hAnsi="Arial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semiHidden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qFormat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Obsah2">
    <w:name w:val="toc 2"/>
    <w:basedOn w:val="Normln"/>
    <w:next w:val="Normln"/>
    <w:autoRedefine/>
    <w:semiHidden/>
    <w:unhideWhenUsed/>
    <w:qFormat/>
    <w:pPr>
      <w:tabs>
        <w:tab w:val="left" w:pos="880"/>
        <w:tab w:val="right" w:leader="dot" w:pos="9628"/>
      </w:tabs>
      <w:spacing w:after="100" w:line="276" w:lineRule="auto"/>
      <w:ind w:left="851" w:hanging="567"/>
      <w:jc w:val="left"/>
    </w:pPr>
    <w:rPr>
      <w:rFonts w:ascii="Calibri" w:hAnsi="Calibri"/>
      <w:sz w:val="22"/>
      <w:szCs w:val="22"/>
    </w:rPr>
  </w:style>
  <w:style w:type="paragraph" w:styleId="Obsah1">
    <w:name w:val="toc 1"/>
    <w:basedOn w:val="Normln"/>
    <w:next w:val="Normln"/>
    <w:autoRedefine/>
    <w:semiHidden/>
    <w:unhideWhenUsed/>
    <w:qFormat/>
    <w:pPr>
      <w:tabs>
        <w:tab w:val="left" w:pos="851"/>
        <w:tab w:val="right" w:leader="dot" w:pos="9628"/>
      </w:tabs>
      <w:spacing w:after="100" w:line="276" w:lineRule="auto"/>
      <w:jc w:val="left"/>
    </w:pPr>
    <w:rPr>
      <w:szCs w:val="22"/>
    </w:rPr>
  </w:style>
  <w:style w:type="paragraph" w:styleId="Obsah3">
    <w:name w:val="toc 3"/>
    <w:basedOn w:val="Normln"/>
    <w:next w:val="Normln"/>
    <w:autoRedefine/>
    <w:semiHidden/>
    <w:unhideWhenUsed/>
    <w:qFormat/>
    <w:pPr>
      <w:tabs>
        <w:tab w:val="right" w:leader="dot" w:pos="9638"/>
      </w:tabs>
      <w:spacing w:after="100" w:line="276" w:lineRule="auto"/>
      <w:ind w:left="446"/>
      <w:jc w:val="left"/>
    </w:pPr>
    <w:rPr>
      <w:rFonts w:ascii="Calibri" w:hAnsi="Calibri"/>
      <w:sz w:val="22"/>
      <w:szCs w:val="22"/>
    </w:rPr>
  </w:style>
  <w:style w:type="paragraph" w:styleId="Bezmezer">
    <w:name w:val="No Spacing"/>
    <w:qFormat/>
    <w:pPr>
      <w:jc w:val="both"/>
    </w:pPr>
    <w:rPr>
      <w:rFonts w:ascii="Arial" w:eastAsia="Times New Roman" w:hAnsi="Arial"/>
      <w:szCs w:val="24"/>
    </w:rPr>
  </w:style>
  <w:style w:type="paragraph" w:styleId="Obsah10">
    <w:name w:val="toc 1"/>
    <w:basedOn w:val="Normln"/>
    <w:next w:val="Normln"/>
    <w:autoRedefine/>
    <w:semiHidden/>
    <w:unhideWhenUsed/>
    <w:qFormat/>
    <w:pPr>
      <w:tabs>
        <w:tab w:val="left" w:pos="851"/>
        <w:tab w:val="right" w:leader="dot" w:pos="9498"/>
      </w:tabs>
      <w:spacing w:after="100" w:line="276" w:lineRule="auto"/>
      <w:jc w:val="left"/>
    </w:pPr>
    <w:rPr>
      <w:szCs w:val="22"/>
    </w:rPr>
  </w:style>
  <w:style w:type="paragraph" w:styleId="Zkladntext">
    <w:name w:val="Body Text"/>
    <w:basedOn w:val="Normln"/>
    <w:semiHidden/>
    <w:rPr>
      <w:color w:val="000000"/>
    </w:rPr>
  </w:style>
  <w:style w:type="paragraph" w:styleId="Zkladntext3">
    <w:name w:val="Body Text 3"/>
    <w:basedOn w:val="Normln"/>
    <w:semiHidden/>
    <w:rPr>
      <w:sz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card">
    <w:name w:val="card"/>
    <w:basedOn w:val="Standardnpsmoodstavce"/>
  </w:style>
  <w:style w:type="paragraph" w:styleId="Zkladntext2">
    <w:name w:val="Body Text 2"/>
    <w:basedOn w:val="Normln"/>
    <w:semiHidden/>
    <w:pPr>
      <w:jc w:val="left"/>
    </w:pPr>
    <w:rPr>
      <w:b/>
      <w:bCs/>
    </w:rPr>
  </w:style>
  <w:style w:type="paragraph" w:customStyle="1" w:styleId="normalnsodrkami">
    <w:name w:val="normalní s odrážkami"/>
    <w:basedOn w:val="Normln"/>
    <w:pPr>
      <w:numPr>
        <w:numId w:val="19"/>
      </w:numPr>
    </w:p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Default">
    <w:name w:val="Default"/>
    <w:rsid w:val="004D03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E13D1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E13D1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3E13D1"/>
    <w:rPr>
      <w:vertAlign w:val="superscript"/>
    </w:rPr>
  </w:style>
  <w:style w:type="character" w:customStyle="1" w:styleId="hps">
    <w:name w:val="hps"/>
    <w:basedOn w:val="Standardnpsmoodstavce"/>
    <w:rsid w:val="00FF1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2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BA9DA-549F-4F5B-A61D-A5379E62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VÍCETÉMATICKÉ INFORMACE</vt:lpstr>
    </vt:vector>
  </TitlesOfParts>
  <Company>ČSÚ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VÍCETÉMATICKÉ INFORMACE</dc:title>
  <dc:creator>SystemService</dc:creator>
  <cp:lastModifiedBy>Jiří Kamenický</cp:lastModifiedBy>
  <cp:revision>2</cp:revision>
  <cp:lastPrinted>2014-06-02T17:09:00Z</cp:lastPrinted>
  <dcterms:created xsi:type="dcterms:W3CDTF">2014-10-24T06:30:00Z</dcterms:created>
  <dcterms:modified xsi:type="dcterms:W3CDTF">2014-10-24T06:30:00Z</dcterms:modified>
</cp:coreProperties>
</file>