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E0" w:rsidRDefault="00EE38E0" w:rsidP="00C1483F">
      <w:pPr>
        <w:pStyle w:val="Nadpis1"/>
        <w:numPr>
          <w:ilvl w:val="0"/>
          <w:numId w:val="41"/>
        </w:numPr>
        <w:jc w:val="left"/>
      </w:pPr>
      <w:r>
        <w:t>Mladí a nezkušení řidiči jako rizikový faktor nehodovosti</w:t>
      </w:r>
    </w:p>
    <w:p w:rsidR="00EE38E0" w:rsidRDefault="00EE38E0">
      <w:pPr>
        <w:rPr>
          <w:lang/>
        </w:rPr>
      </w:pPr>
    </w:p>
    <w:p w:rsidR="00EE38E0" w:rsidRDefault="00EE38E0">
      <w:pPr>
        <w:rPr>
          <w:lang/>
        </w:rPr>
      </w:pPr>
    </w:p>
    <w:tbl>
      <w:tblPr>
        <w:tblW w:w="5022" w:type="pct"/>
        <w:tblInd w:w="-42" w:type="dxa"/>
        <w:tblCellMar>
          <w:left w:w="28" w:type="dxa"/>
          <w:right w:w="28" w:type="dxa"/>
        </w:tblCellMar>
        <w:tblLook w:val="04A0"/>
      </w:tblPr>
      <w:tblGrid>
        <w:gridCol w:w="42"/>
        <w:gridCol w:w="738"/>
        <w:gridCol w:w="1307"/>
        <w:gridCol w:w="275"/>
        <w:gridCol w:w="2670"/>
        <w:gridCol w:w="851"/>
        <w:gridCol w:w="3829"/>
        <w:gridCol w:w="25"/>
      </w:tblGrid>
      <w:tr w:rsidR="00EE38E0" w:rsidTr="009E623E">
        <w:trPr>
          <w:gridBefore w:val="1"/>
          <w:wBefore w:w="22" w:type="pct"/>
        </w:trPr>
        <w:tc>
          <w:tcPr>
            <w:tcW w:w="1050" w:type="pct"/>
            <w:gridSpan w:val="2"/>
          </w:tcPr>
          <w:p w:rsidR="00EE38E0" w:rsidRDefault="009E623E" w:rsidP="009E623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Nezkušenost řidičů a jejich mládí vede při způsobené nehodě k větším následkům na zdraví</w:t>
            </w: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7" w:type="pct"/>
            <w:gridSpan w:val="4"/>
          </w:tcPr>
          <w:p w:rsidR="00EE38E0" w:rsidRDefault="00645582" w:rsidP="00BB007D">
            <w:r>
              <w:t>Velmi mladí řidiči (do 25 let) motorových vozidel zavinili v roce 2011 v ČR téměř 10 tis. dopravních nehod, řidiči do 35 let téměř 25 tis. Většinou šlo o řidiče osobních aut, i když v této věkové kategorii se častěji setkáváme s viníky nehod na motocyklech (především mimo velká města), významné množství kolizí způsobují ta</w:t>
            </w:r>
            <w:r w:rsidR="009E623E">
              <w:t xml:space="preserve">ké mladí cyklisté. Nepříznivým </w:t>
            </w:r>
            <w:r>
              <w:t xml:space="preserve">doprovodným jevem nehod zaviněných mladými řidiči je jejich větší závažnost co do důsledků na zdraví. Řidiči do 25 let v osobních automobilech zavinili v letech 2007-2010 v silničním provozu ČR 21,3 % nehod, při kterých však přišlo o život šest stovek lidí (24,8 % usmrcených při všech nehodách). Vyšší závažnost nehod způsobují i řidiči nad 65 let, u kterých je však na rozdíl od mladých na vině horší jejich zdravotní stav patrně i v kombinaci s jízdou ve starších čelní srážkou méně odolávajících vozidlech. </w:t>
            </w:r>
          </w:p>
        </w:tc>
      </w:tr>
      <w:tr w:rsidR="00EE38E0" w:rsidTr="009E623E">
        <w:trPr>
          <w:gridBefore w:val="1"/>
          <w:wBefore w:w="22" w:type="pct"/>
        </w:trPr>
        <w:tc>
          <w:tcPr>
            <w:tcW w:w="1050" w:type="pct"/>
            <w:gridSpan w:val="2"/>
          </w:tcPr>
          <w:p w:rsidR="00EE38E0" w:rsidRDefault="00EE38E0" w:rsidP="0064558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7" w:type="pct"/>
            <w:gridSpan w:val="4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645582" w:rsidTr="009E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3" w:type="pct"/>
          <w:trHeight w:val="479"/>
        </w:trPr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582" w:rsidRDefault="00547B96" w:rsidP="00645582">
            <w:pPr>
              <w:pStyle w:val="Nadpis5"/>
              <w:numPr>
                <w:ilvl w:val="0"/>
                <w:numId w:val="0"/>
              </w:numPr>
              <w:spacing w:before="20"/>
              <w:rPr>
                <w:rFonts w:ascii="Arial" w:hAnsi="Arial"/>
                <w:i w:val="0"/>
                <w:iCs w:val="0"/>
                <w:sz w:val="20"/>
                <w:szCs w:val="24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6</w:t>
            </w:r>
          </w:p>
        </w:tc>
        <w:tc>
          <w:tcPr>
            <w:tcW w:w="21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08F" w:rsidRDefault="00645582" w:rsidP="004A5847">
            <w:pPr>
              <w:tabs>
                <w:tab w:val="left" w:pos="1072"/>
              </w:tabs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Struktura dopravních nehod a </w:t>
            </w:r>
            <w:r w:rsidRPr="00645582">
              <w:rPr>
                <w:rFonts w:cs="Arial"/>
                <w:b/>
                <w:bCs/>
                <w:szCs w:val="20"/>
              </w:rPr>
              <w:t>usmrcených osob v ČR vlivem nehod zaviněných řidiči osobních automobilů dle věku řidiče</w:t>
            </w:r>
          </w:p>
          <w:p w:rsidR="00645582" w:rsidRPr="00645582" w:rsidRDefault="0023708F" w:rsidP="004A5847">
            <w:pPr>
              <w:tabs>
                <w:tab w:val="left" w:pos="1072"/>
              </w:tabs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645582" w:rsidRPr="00645582">
              <w:rPr>
                <w:rFonts w:cs="Arial"/>
                <w:szCs w:val="20"/>
              </w:rPr>
              <w:t>období 2007-2010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645582" w:rsidRPr="00645582" w:rsidRDefault="00547B96" w:rsidP="004A5847">
            <w:pPr>
              <w:pStyle w:val="Nadpis5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i w:val="0"/>
                <w:sz w:val="20"/>
                <w:szCs w:val="20"/>
                <w:lang w:val="cs-CZ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7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</w:tcPr>
          <w:p w:rsidR="00645582" w:rsidRPr="00F667D7" w:rsidRDefault="00645582" w:rsidP="004A5847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iCs w:val="0"/>
                <w:sz w:val="20"/>
                <w:szCs w:val="20"/>
                <w:lang w:val="cs-CZ"/>
              </w:rPr>
            </w:pPr>
            <w:r w:rsidRPr="00645582">
              <w:rPr>
                <w:rFonts w:cs="Arial"/>
                <w:sz w:val="20"/>
                <w:szCs w:val="20"/>
              </w:rPr>
              <w:t>Struktura dopravních nehod</w:t>
            </w:r>
            <w:r w:rsidRPr="00645582">
              <w:rPr>
                <w:rFonts w:cs="Arial"/>
                <w:iCs w:val="0"/>
                <w:sz w:val="20"/>
                <w:szCs w:val="20"/>
              </w:rPr>
              <w:t xml:space="preserve"> celkem a pod vlivem alkoholu podle zjištěné délky řidičské praxe</w:t>
            </w:r>
            <w:r w:rsidR="004A5847">
              <w:rPr>
                <w:rFonts w:cs="Arial"/>
                <w:iCs w:val="0"/>
                <w:sz w:val="20"/>
                <w:szCs w:val="20"/>
                <w:lang w:val="cs-CZ"/>
              </w:rPr>
              <w:t xml:space="preserve"> </w:t>
            </w:r>
            <w:r w:rsidR="00F667D7" w:rsidRPr="00F667D7">
              <w:rPr>
                <w:rFonts w:cs="Arial"/>
                <w:b w:val="0"/>
                <w:iCs w:val="0"/>
                <w:sz w:val="20"/>
                <w:szCs w:val="20"/>
                <w:lang w:val="cs-CZ"/>
              </w:rPr>
              <w:t>(</w:t>
            </w:r>
            <w:r w:rsidR="004A5847" w:rsidRPr="004A5847">
              <w:rPr>
                <w:rFonts w:cs="Arial"/>
                <w:b w:val="0"/>
                <w:iCs w:val="0"/>
                <w:sz w:val="20"/>
                <w:szCs w:val="20"/>
                <w:lang w:val="cs-CZ"/>
              </w:rPr>
              <w:t>s</w:t>
            </w:r>
            <w:r w:rsidRPr="004A5847">
              <w:rPr>
                <w:rFonts w:cs="Arial"/>
                <w:b w:val="0"/>
                <w:sz w:val="20"/>
                <w:szCs w:val="20"/>
              </w:rPr>
              <w:t>rovnání ČR a Prahy, období 2009-201</w:t>
            </w:r>
            <w:r w:rsidR="000F1499">
              <w:rPr>
                <w:rFonts w:cs="Arial"/>
                <w:b w:val="0"/>
                <w:sz w:val="20"/>
                <w:szCs w:val="20"/>
                <w:lang w:val="cs-CZ"/>
              </w:rPr>
              <w:t>3</w:t>
            </w:r>
            <w:r w:rsidR="00F667D7">
              <w:rPr>
                <w:rFonts w:cs="Arial"/>
                <w:b w:val="0"/>
                <w:sz w:val="20"/>
                <w:szCs w:val="20"/>
                <w:lang w:val="cs-CZ"/>
              </w:rPr>
              <w:t>)</w:t>
            </w:r>
          </w:p>
        </w:tc>
      </w:tr>
    </w:tbl>
    <w:p w:rsidR="00645582" w:rsidRDefault="000F1499" w:rsidP="00645582">
      <w:r w:rsidRPr="00F667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45pt;height:3in">
            <v:imagedata r:id="rId8" o:title=""/>
          </v:shape>
        </w:pict>
      </w:r>
      <w:r w:rsidRPr="000F1499">
        <w:pict>
          <v:shape id="_x0000_i1026" type="#_x0000_t75" style="width:226.95pt;height:215.4pt">
            <v:imagedata r:id="rId9" o:title=""/>
          </v:shape>
        </w:pict>
      </w:r>
    </w:p>
    <w:p w:rsidR="00645582" w:rsidRDefault="00645582" w:rsidP="00645582">
      <w:pPr>
        <w:rPr>
          <w:sz w:val="18"/>
        </w:rPr>
      </w:pPr>
      <w:r>
        <w:rPr>
          <w:sz w:val="18"/>
        </w:rPr>
        <w:t>Pramen: Policejní prezidium ČR, vlastní výpočty</w:t>
      </w:r>
    </w:p>
    <w:p w:rsidR="00C83D48" w:rsidRDefault="00C83D48" w:rsidP="00645582"/>
    <w:tbl>
      <w:tblPr>
        <w:tblW w:w="5022" w:type="pct"/>
        <w:tblInd w:w="-42" w:type="dxa"/>
        <w:tblCellMar>
          <w:left w:w="28" w:type="dxa"/>
          <w:right w:w="28" w:type="dxa"/>
        </w:tblCellMar>
        <w:tblLook w:val="04A0"/>
      </w:tblPr>
      <w:tblGrid>
        <w:gridCol w:w="42"/>
        <w:gridCol w:w="738"/>
        <w:gridCol w:w="1307"/>
        <w:gridCol w:w="275"/>
        <w:gridCol w:w="2528"/>
        <w:gridCol w:w="851"/>
        <w:gridCol w:w="3969"/>
        <w:gridCol w:w="27"/>
      </w:tblGrid>
      <w:tr w:rsidR="00EE38E0" w:rsidTr="009E623E">
        <w:trPr>
          <w:gridBefore w:val="1"/>
          <w:wBefore w:w="22" w:type="pct"/>
        </w:trPr>
        <w:tc>
          <w:tcPr>
            <w:tcW w:w="1050" w:type="pct"/>
            <w:gridSpan w:val="2"/>
          </w:tcPr>
          <w:p w:rsidR="00EE38E0" w:rsidRDefault="009E623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Přesto jejich podíl na nehodovosti za roky 2000-2011 klesl</w:t>
            </w: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7" w:type="pct"/>
            <w:gridSpan w:val="4"/>
          </w:tcPr>
          <w:p w:rsidR="00645582" w:rsidRDefault="00645582" w:rsidP="00645582">
            <w:r>
              <w:t xml:space="preserve">Věkové složení viníků nehod se v posledních letech příliš nemění.  V dlouhodobějším pohledu </w:t>
            </w:r>
            <w:r w:rsidR="00336BAF">
              <w:t xml:space="preserve">se v </w:t>
            </w:r>
            <w:r>
              <w:t>něm projevují posuny ve věkové skladbě celkové populace, které způsobují narůstající podíly viníků mezi 30. a 40. rokem života a osob v seniorském věku. Podíl viníků nehod  mladších 30 let na celkovém počtu nehod se zjištěným věkem řidiče klesl u motorových vozidel mezi roky 2000 a 2011 z 40 % na 31,5 %. Pro posouzení rizikovosti jízdy řidičů různého stáří by však by</w:t>
            </w:r>
            <w:r w:rsidR="00DD2F40">
              <w:t>lo</w:t>
            </w:r>
            <w:r>
              <w:t xml:space="preserve"> potřeba poměřit jimi spáchané nehody s celkovými dopravními výkony (</w:t>
            </w:r>
            <w:proofErr w:type="spellStart"/>
            <w:r>
              <w:t>vozokm</w:t>
            </w:r>
            <w:proofErr w:type="spellEnd"/>
            <w:r>
              <w:t>) v třídění podle věku.  Spolehlivé odhady takových výkonů však nejsou v současnosti k dispozici.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 w:rsidTr="009E623E">
        <w:trPr>
          <w:gridBefore w:val="1"/>
          <w:wBefore w:w="22" w:type="pct"/>
        </w:trPr>
        <w:tc>
          <w:tcPr>
            <w:tcW w:w="1050" w:type="pct"/>
            <w:gridSpan w:val="2"/>
          </w:tcPr>
          <w:p w:rsidR="00EE38E0" w:rsidRDefault="009E623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„Čerství“ řidiči jsou více zastoupení jako viníci nehod především mimo Prahu</w:t>
            </w: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7" w:type="pct"/>
            <w:gridSpan w:val="4"/>
          </w:tcPr>
          <w:p w:rsidR="00645582" w:rsidRDefault="00DD2F40" w:rsidP="00645582">
            <w:r>
              <w:t>S věkem řidiče úzce souvisí i</w:t>
            </w:r>
            <w:r w:rsidR="00645582">
              <w:t xml:space="preserve"> délka celkové praxe. Do rozložení nehod podle délky praxe řidiče se opět promítá jak větší rizikovost jízdy a nedostatek zkušeností při řešení kritických situací u čerstvých řidičů, tak i odlišný podíl mladších a starších řidičů na celkových realizovaných dopravních výkonech. Řidiči motorových vozidel s délkou praxe do jednoho roku způsobili v roce 2011 celou desetinu všech nehod u motorových vozidel (se zjištěnou délkou praxe řidiče), řidiči do 2 let praxe pak téměř třetinu. Mimo Prahu jsou mezi viníky nehod častěji zastoupeni velmi čerství řidiči (patrně jde více i o motorkáře) a dále osoby s praxí nad 10 let. Souvisí to i odlišnými příčinami nehod – řidiči do pěti let praxe způsobí nehodu častěji vinou nepřiměřené rychlosti, nejstarší řidiči pak častěji nedáním přednosti. Tyto rozdíly více vystupují u nehod mimo Prahu,.kde řidiči s praxí do 1 roku havarovali v roce 2011 vinou vysoké rychlostí ve 40 % případů (všichni řidiči ve 29 %), zatímco o desetiletí dříve byl tento podíl poloviční. U řidičů s praxí do 1 roku dlouhodobě </w:t>
            </w:r>
            <w:r w:rsidR="00645582">
              <w:lastRenderedPageBreak/>
              <w:t xml:space="preserve">nacházíme také zvýšený podíl nehod způsobených pod vlivem alkoholu (v ČR každý desátý řidič, v Praze každý patnáctý), v dalších kategoriích délky praxe se již vliv alkoholu nelišil. 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547B96" w:rsidTr="009E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3" w:type="pct"/>
          <w:trHeight w:val="479"/>
        </w:trPr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B96" w:rsidRDefault="00547B96" w:rsidP="00547B96">
            <w:pPr>
              <w:pStyle w:val="Nadpis5"/>
              <w:numPr>
                <w:ilvl w:val="0"/>
                <w:numId w:val="0"/>
              </w:numPr>
              <w:spacing w:before="20"/>
              <w:rPr>
                <w:rFonts w:ascii="Arial" w:hAnsi="Arial"/>
                <w:i w:val="0"/>
                <w:iCs w:val="0"/>
                <w:sz w:val="20"/>
                <w:szCs w:val="24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lastRenderedPageBreak/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8</w:t>
            </w:r>
          </w:p>
        </w:tc>
        <w:tc>
          <w:tcPr>
            <w:tcW w:w="2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B96" w:rsidRPr="00645582" w:rsidRDefault="00547B96" w:rsidP="00547B96">
            <w:pPr>
              <w:tabs>
                <w:tab w:val="left" w:pos="1072"/>
              </w:tabs>
              <w:jc w:val="left"/>
              <w:rPr>
                <w:rFonts w:cs="Arial"/>
                <w:szCs w:val="20"/>
              </w:rPr>
            </w:pPr>
            <w:r>
              <w:rPr>
                <w:b/>
                <w:bCs/>
                <w:lang/>
              </w:rPr>
              <w:t>Vývoj podílu vybraných věkových skupin řidičů motorových vozidel (viníků nehod)* v ČR a Praze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547B96" w:rsidRPr="00645582" w:rsidRDefault="00547B96" w:rsidP="00547B96">
            <w:pPr>
              <w:pStyle w:val="Nadpis5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i w:val="0"/>
                <w:sz w:val="20"/>
                <w:szCs w:val="20"/>
                <w:lang w:val="cs-CZ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547B96" w:rsidRPr="00F667D7" w:rsidRDefault="00547B96" w:rsidP="00547B96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iCs w:val="0"/>
                <w:sz w:val="20"/>
                <w:szCs w:val="20"/>
                <w:lang w:val="cs-CZ"/>
              </w:rPr>
            </w:pPr>
            <w:r>
              <w:rPr>
                <w:iCs w:val="0"/>
                <w:sz w:val="20"/>
                <w:lang w:val="cs-CZ"/>
              </w:rPr>
              <w:t>Podíl vybraných</w:t>
            </w:r>
            <w:r w:rsidRPr="0098217E">
              <w:rPr>
                <w:iCs w:val="0"/>
                <w:sz w:val="20"/>
                <w:lang w:val="cs-CZ"/>
              </w:rPr>
              <w:t xml:space="preserve"> věkových skupin řidičů motorových vozidel (viníků nehod)* v krajích</w:t>
            </w:r>
            <w:r>
              <w:rPr>
                <w:bCs w:val="0"/>
                <w:spacing w:val="-2"/>
                <w:sz w:val="20"/>
                <w:lang w:val="cs-CZ" w:eastAsia="cs-CZ"/>
              </w:rPr>
              <w:t xml:space="preserve"> </w:t>
            </w:r>
            <w:r w:rsidR="00020843" w:rsidRPr="00233029">
              <w:rPr>
                <w:b w:val="0"/>
                <w:bCs w:val="0"/>
                <w:spacing w:val="-2"/>
                <w:sz w:val="20"/>
                <w:lang w:val="cs-CZ" w:eastAsia="cs-CZ"/>
              </w:rPr>
              <w:t>(obdo</w:t>
            </w:r>
            <w:r w:rsidR="00020843">
              <w:rPr>
                <w:b w:val="0"/>
                <w:bCs w:val="0"/>
                <w:spacing w:val="-2"/>
                <w:sz w:val="20"/>
                <w:lang w:val="cs-CZ" w:eastAsia="cs-CZ"/>
              </w:rPr>
              <w:t>bí 2012-2013</w:t>
            </w:r>
            <w:r w:rsidR="00020843" w:rsidRPr="00233029">
              <w:rPr>
                <w:b w:val="0"/>
                <w:bCs w:val="0"/>
                <w:spacing w:val="-2"/>
                <w:sz w:val="20"/>
                <w:lang w:val="cs-CZ" w:eastAsia="cs-CZ"/>
              </w:rPr>
              <w:t>)</w:t>
            </w:r>
            <w:r w:rsidR="00020843">
              <w:rPr>
                <w:b w:val="0"/>
                <w:bCs w:val="0"/>
                <w:spacing w:val="-2"/>
                <w:sz w:val="20"/>
                <w:lang w:val="cs-CZ" w:eastAsia="cs-CZ"/>
              </w:rPr>
              <w:t>*</w:t>
            </w:r>
          </w:p>
        </w:tc>
      </w:tr>
    </w:tbl>
    <w:p w:rsidR="0023708F" w:rsidRDefault="009079AE">
      <w:pPr>
        <w:rPr>
          <w:lang/>
        </w:rPr>
      </w:pPr>
      <w:r w:rsidRPr="00E473DC">
        <w:pict>
          <v:shape id="_x0000_i1027" type="#_x0000_t75" style="width:244.2pt;height:199.3pt">
            <v:imagedata r:id="rId10" o:title=""/>
          </v:shape>
        </w:pict>
      </w:r>
      <w:r w:rsidRPr="009079AE">
        <w:pict>
          <v:shape id="_x0000_i1028" type="#_x0000_t75" style="width:236.75pt;height:199.3pt">
            <v:imagedata r:id="rId11" o:title=""/>
          </v:shape>
        </w:pict>
      </w:r>
    </w:p>
    <w:p w:rsidR="0023708F" w:rsidRPr="00233029" w:rsidRDefault="0023708F" w:rsidP="0023708F">
      <w:pPr>
        <w:rPr>
          <w:rFonts w:ascii="Calibri" w:eastAsia="Calibri" w:hAnsi="Calibri"/>
          <w:sz w:val="18"/>
          <w:szCs w:val="18"/>
          <w:lang w:eastAsia="en-US"/>
        </w:rPr>
      </w:pPr>
      <w:r w:rsidRPr="00233029">
        <w:rPr>
          <w:sz w:val="18"/>
          <w:szCs w:val="18"/>
          <w:lang/>
        </w:rPr>
        <w:t>* na všech nehodách zaviněných řidiči motorových vozidel v ČR se zjištěným věkem řidiče</w:t>
      </w:r>
    </w:p>
    <w:p w:rsidR="0023708F" w:rsidRDefault="00233029">
      <w:pPr>
        <w:rPr>
          <w:sz w:val="18"/>
        </w:rPr>
      </w:pPr>
      <w:r>
        <w:rPr>
          <w:sz w:val="18"/>
        </w:rPr>
        <w:t>Pramen: Policejní prezidium ČR, vlastní výpočty</w:t>
      </w:r>
    </w:p>
    <w:p w:rsidR="00C83D48" w:rsidRDefault="00C83D48">
      <w:pPr>
        <w:rPr>
          <w:lang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4251"/>
        <w:gridCol w:w="851"/>
        <w:gridCol w:w="3828"/>
      </w:tblGrid>
      <w:tr w:rsidR="003F3007" w:rsidTr="003F300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3F3007" w:rsidRDefault="003F3007" w:rsidP="00B40662">
            <w:pPr>
              <w:pStyle w:val="Nadpis5"/>
              <w:numPr>
                <w:ilvl w:val="0"/>
                <w:numId w:val="0"/>
              </w:numPr>
              <w:spacing w:before="20"/>
              <w:rPr>
                <w:rFonts w:ascii="Arial" w:hAnsi="Arial"/>
                <w:i w:val="0"/>
                <w:iCs w:val="0"/>
                <w:sz w:val="20"/>
                <w:szCs w:val="24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100</w:t>
            </w:r>
          </w:p>
        </w:tc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</w:tcPr>
          <w:p w:rsidR="003F3007" w:rsidRPr="00645582" w:rsidRDefault="003F3007" w:rsidP="00B40662">
            <w:pPr>
              <w:tabs>
                <w:tab w:val="left" w:pos="1072"/>
              </w:tabs>
              <w:jc w:val="left"/>
              <w:rPr>
                <w:rFonts w:cs="Arial"/>
                <w:szCs w:val="20"/>
              </w:rPr>
            </w:pPr>
            <w:r>
              <w:rPr>
                <w:b/>
                <w:bCs/>
                <w:lang/>
              </w:rPr>
              <w:t xml:space="preserve">Vývoj zastoupení nehod zaviněných řidiči motor. vozidel v ČR bez příslušného </w:t>
            </w:r>
            <w:proofErr w:type="spellStart"/>
            <w:r>
              <w:rPr>
                <w:b/>
                <w:bCs/>
                <w:lang/>
              </w:rPr>
              <w:t>řidičs</w:t>
            </w:r>
            <w:proofErr w:type="spellEnd"/>
            <w:r>
              <w:rPr>
                <w:b/>
                <w:bCs/>
                <w:lang/>
              </w:rPr>
              <w:t>. oprávnění a pod vlivem léků či narkotik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3F3007" w:rsidRPr="00645582" w:rsidRDefault="003F3007" w:rsidP="00B40662">
            <w:pPr>
              <w:pStyle w:val="Nadpis5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i w:val="0"/>
                <w:sz w:val="20"/>
                <w:szCs w:val="20"/>
                <w:lang w:val="cs-CZ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101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3F3007" w:rsidRPr="00F667D7" w:rsidRDefault="003F3007" w:rsidP="00B40662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iCs w:val="0"/>
                <w:sz w:val="20"/>
                <w:szCs w:val="20"/>
                <w:lang w:val="cs-CZ"/>
              </w:rPr>
            </w:pPr>
            <w:r>
              <w:rPr>
                <w:iCs w:val="0"/>
                <w:sz w:val="20"/>
                <w:lang w:val="cs-CZ"/>
              </w:rPr>
              <w:t>Podíl vybraných</w:t>
            </w:r>
            <w:r w:rsidRPr="0098217E">
              <w:rPr>
                <w:iCs w:val="0"/>
                <w:sz w:val="20"/>
                <w:lang w:val="cs-CZ"/>
              </w:rPr>
              <w:t xml:space="preserve"> </w:t>
            </w:r>
            <w:r>
              <w:rPr>
                <w:iCs w:val="0"/>
                <w:sz w:val="20"/>
                <w:lang w:val="cs-CZ"/>
              </w:rPr>
              <w:t>druhů nehod zaviněných řidiči</w:t>
            </w:r>
            <w:r w:rsidRPr="0098217E">
              <w:rPr>
                <w:iCs w:val="0"/>
                <w:sz w:val="20"/>
                <w:lang w:val="cs-CZ"/>
              </w:rPr>
              <w:t xml:space="preserve"> mo</w:t>
            </w:r>
            <w:r>
              <w:rPr>
                <w:iCs w:val="0"/>
                <w:sz w:val="20"/>
                <w:lang w:val="cs-CZ"/>
              </w:rPr>
              <w:t>torových vozidel</w:t>
            </w:r>
            <w:r w:rsidRPr="0098217E">
              <w:rPr>
                <w:iCs w:val="0"/>
                <w:sz w:val="20"/>
                <w:lang w:val="cs-CZ"/>
              </w:rPr>
              <w:t xml:space="preserve"> v krajích</w:t>
            </w:r>
            <w:r>
              <w:rPr>
                <w:bCs w:val="0"/>
                <w:spacing w:val="-2"/>
                <w:sz w:val="20"/>
                <w:lang w:val="cs-CZ" w:eastAsia="cs-CZ"/>
              </w:rPr>
              <w:t xml:space="preserve"> </w:t>
            </w:r>
            <w:r w:rsidRPr="00233029">
              <w:rPr>
                <w:b w:val="0"/>
                <w:bCs w:val="0"/>
                <w:spacing w:val="-2"/>
                <w:sz w:val="20"/>
                <w:lang w:val="cs-CZ" w:eastAsia="cs-CZ"/>
              </w:rPr>
              <w:t>(obdo</w:t>
            </w:r>
            <w:r w:rsidR="00020843">
              <w:rPr>
                <w:b w:val="0"/>
                <w:bCs w:val="0"/>
                <w:spacing w:val="-2"/>
                <w:sz w:val="20"/>
                <w:lang w:val="cs-CZ" w:eastAsia="cs-CZ"/>
              </w:rPr>
              <w:t>bí 2010-2013</w:t>
            </w:r>
            <w:r w:rsidRPr="00233029">
              <w:rPr>
                <w:b w:val="0"/>
                <w:bCs w:val="0"/>
                <w:spacing w:val="-2"/>
                <w:sz w:val="20"/>
                <w:lang w:val="cs-CZ" w:eastAsia="cs-CZ"/>
              </w:rPr>
              <w:t>)</w:t>
            </w:r>
            <w:r>
              <w:rPr>
                <w:b w:val="0"/>
                <w:bCs w:val="0"/>
                <w:spacing w:val="-2"/>
                <w:sz w:val="20"/>
                <w:lang w:val="cs-CZ" w:eastAsia="cs-CZ"/>
              </w:rPr>
              <w:t>*</w:t>
            </w:r>
          </w:p>
        </w:tc>
      </w:tr>
    </w:tbl>
    <w:p w:rsidR="00233029" w:rsidRDefault="00020843">
      <w:pPr>
        <w:rPr>
          <w:lang/>
        </w:rPr>
      </w:pPr>
      <w:r w:rsidRPr="00845380">
        <w:pict>
          <v:shape id="_x0000_i1029" type="#_x0000_t75" style="width:248.85pt;height:197.55pt">
            <v:imagedata r:id="rId12" o:title=""/>
          </v:shape>
        </w:pict>
      </w:r>
      <w:r w:rsidRPr="00020843">
        <w:pict>
          <v:shape id="_x0000_i1030" type="#_x0000_t75" style="width:230.4pt;height:197.55pt">
            <v:imagedata r:id="rId13" o:title=""/>
          </v:shape>
        </w:pict>
      </w:r>
    </w:p>
    <w:p w:rsidR="00233029" w:rsidRPr="00233029" w:rsidRDefault="00233029" w:rsidP="00233029">
      <w:pPr>
        <w:rPr>
          <w:sz w:val="18"/>
          <w:szCs w:val="18"/>
          <w:lang/>
        </w:rPr>
      </w:pPr>
      <w:r w:rsidRPr="00233029">
        <w:rPr>
          <w:sz w:val="18"/>
          <w:szCs w:val="18"/>
          <w:lang/>
        </w:rPr>
        <w:t>*z celkového počtu nehod zaviněných řidiči motorových vozidel</w:t>
      </w:r>
    </w:p>
    <w:p w:rsidR="0023708F" w:rsidRDefault="00233029">
      <w:pPr>
        <w:rPr>
          <w:lang/>
        </w:rPr>
      </w:pPr>
      <w:r>
        <w:rPr>
          <w:sz w:val="18"/>
        </w:rPr>
        <w:t>Pramen: Policejní prezidium ČR, vlastní výpočty</w:t>
      </w:r>
    </w:p>
    <w:p w:rsidR="00233029" w:rsidRDefault="00233029">
      <w:pPr>
        <w:rPr>
          <w:lang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54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rPr>
          <w:cantSplit/>
          <w:trHeight w:val="107"/>
        </w:trPr>
        <w:tc>
          <w:tcPr>
            <w:tcW w:w="1054" w:type="pct"/>
          </w:tcPr>
          <w:p w:rsidR="00EE38E0" w:rsidRDefault="00EE38E0">
            <w:pPr>
              <w:jc w:val="lef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jc w:val="lef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804" w:type="pct"/>
          </w:tcPr>
          <w:p w:rsidR="00EE38E0" w:rsidRDefault="00EE38E0">
            <w:pPr>
              <w:pStyle w:val="Bezmezer"/>
              <w:rPr>
                <w:rFonts w:cs="Arial"/>
                <w:bCs/>
                <w:iCs/>
                <w:sz w:val="16"/>
                <w:szCs w:val="16"/>
                <w:lang/>
              </w:rPr>
            </w:pPr>
          </w:p>
        </w:tc>
      </w:tr>
    </w:tbl>
    <w:p w:rsidR="00EE38E0" w:rsidRPr="00C1483F" w:rsidRDefault="00EE38E0" w:rsidP="00C1483F">
      <w:pPr>
        <w:pStyle w:val="Nadpis1"/>
        <w:numPr>
          <w:ilvl w:val="0"/>
          <w:numId w:val="0"/>
        </w:numPr>
        <w:jc w:val="left"/>
        <w:rPr>
          <w:lang w:val="cs-CZ"/>
        </w:rPr>
      </w:pPr>
    </w:p>
    <w:sectPr w:rsidR="00EE38E0" w:rsidRPr="00C1483F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B0" w:rsidRDefault="007E5AB0">
      <w:r>
        <w:separator/>
      </w:r>
    </w:p>
  </w:endnote>
  <w:endnote w:type="continuationSeparator" w:id="0">
    <w:p w:rsidR="007E5AB0" w:rsidRDefault="007E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tab/>
    </w:r>
    <w:r w:rsidR="0086691A">
      <w:rPr>
        <w:rFonts w:ascii="Arial" w:hAnsi="Arial" w:cs="Arial"/>
        <w:sz w:val="16"/>
        <w:szCs w:val="16"/>
      </w:rPr>
      <w:t>říjen 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>
      <w:tab/>
    </w:r>
    <w:r>
      <w:tab/>
    </w:r>
  </w:p>
  <w:p w:rsidR="00685B94" w:rsidRDefault="0086691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říjen</w:t>
    </w:r>
    <w:r w:rsidR="00685B94">
      <w:rPr>
        <w:rFonts w:ascii="Arial" w:hAnsi="Arial" w:cs="Arial"/>
        <w:sz w:val="16"/>
        <w:szCs w:val="16"/>
      </w:rPr>
      <w:t xml:space="preserve"> 2014</w:t>
    </w:r>
    <w:r w:rsidR="00685B9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B0" w:rsidRDefault="007E5AB0">
      <w:r>
        <w:separator/>
      </w:r>
    </w:p>
  </w:footnote>
  <w:footnote w:type="continuationSeparator" w:id="0">
    <w:p w:rsidR="007E5AB0" w:rsidRDefault="007E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>
      <w:tc>
        <w:tcPr>
          <w:tcW w:w="6518" w:type="dxa"/>
        </w:tcPr>
        <w:p w:rsidR="00685B94" w:rsidRDefault="00685B94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 w:rsidRPr="0086691A">
      <w:tc>
        <w:tcPr>
          <w:tcW w:w="6518" w:type="dxa"/>
        </w:tcPr>
        <w:p w:rsidR="00685B94" w:rsidRDefault="00685B94" w:rsidP="00B75BBF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4F43100"/>
    <w:multiLevelType w:val="hybridMultilevel"/>
    <w:tmpl w:val="A3464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23"/>
    <w:multiLevelType w:val="hybridMultilevel"/>
    <w:tmpl w:val="F96EB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4B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1254A"/>
    <w:multiLevelType w:val="hybridMultilevel"/>
    <w:tmpl w:val="196EF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816"/>
    <w:multiLevelType w:val="multilevel"/>
    <w:tmpl w:val="0B6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EB0369"/>
    <w:multiLevelType w:val="hybridMultilevel"/>
    <w:tmpl w:val="E92012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F602B"/>
    <w:multiLevelType w:val="hybridMultilevel"/>
    <w:tmpl w:val="C4D0FC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9423F"/>
    <w:multiLevelType w:val="hybridMultilevel"/>
    <w:tmpl w:val="80D04F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67461"/>
    <w:multiLevelType w:val="hybridMultilevel"/>
    <w:tmpl w:val="61845866"/>
    <w:lvl w:ilvl="0" w:tplc="69566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C7CE2"/>
    <w:multiLevelType w:val="hybridMultilevel"/>
    <w:tmpl w:val="5DE0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34C17"/>
    <w:multiLevelType w:val="hybridMultilevel"/>
    <w:tmpl w:val="F490C5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C149C"/>
    <w:multiLevelType w:val="hybridMultilevel"/>
    <w:tmpl w:val="855A5EB8"/>
    <w:lvl w:ilvl="0" w:tplc="180E31A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1283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715" w:hanging="864"/>
      </w:p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2003" w:hanging="1152"/>
      </w:pPr>
    </w:lvl>
    <w:lvl w:ilvl="6">
      <w:start w:val="1"/>
      <w:numFmt w:val="decimal"/>
      <w:lvlText w:val="%1.%2.%3.%4.%5.%6.%7"/>
      <w:lvlJc w:val="left"/>
      <w:pPr>
        <w:ind w:left="2147" w:hanging="1296"/>
      </w:pPr>
    </w:lvl>
    <w:lvl w:ilvl="7">
      <w:start w:val="1"/>
      <w:numFmt w:val="decimal"/>
      <w:lvlText w:val="%1.%2.%3.%4.%5.%6.%7.%8"/>
      <w:lvlJc w:val="left"/>
      <w:pPr>
        <w:ind w:left="2291" w:hanging="1440"/>
      </w:pPr>
    </w:lvl>
    <w:lvl w:ilvl="8">
      <w:start w:val="1"/>
      <w:numFmt w:val="decimal"/>
      <w:lvlText w:val="%1.%2.%3.%4.%5.%6.%7.%8.%9"/>
      <w:lvlJc w:val="left"/>
      <w:pPr>
        <w:ind w:left="2435" w:hanging="1584"/>
      </w:pPr>
    </w:lvl>
  </w:abstractNum>
  <w:abstractNum w:abstractNumId="20">
    <w:nsid w:val="5BEF31DE"/>
    <w:multiLevelType w:val="hybridMultilevel"/>
    <w:tmpl w:val="280C96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A591A"/>
    <w:multiLevelType w:val="hybridMultilevel"/>
    <w:tmpl w:val="605AD6D0"/>
    <w:lvl w:ilvl="0" w:tplc="1974D2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06567"/>
    <w:multiLevelType w:val="hybridMultilevel"/>
    <w:tmpl w:val="213C4E38"/>
    <w:lvl w:ilvl="0" w:tplc="9D96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636F2"/>
    <w:multiLevelType w:val="hybridMultilevel"/>
    <w:tmpl w:val="DFBCC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50A0F"/>
    <w:multiLevelType w:val="hybridMultilevel"/>
    <w:tmpl w:val="5A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19"/>
  </w:num>
  <w:num w:numId="6">
    <w:abstractNumId w:val="24"/>
  </w:num>
  <w:num w:numId="7">
    <w:abstractNumId w:val="12"/>
  </w:num>
  <w:num w:numId="8">
    <w:abstractNumId w:val="15"/>
  </w:num>
  <w:num w:numId="9">
    <w:abstractNumId w:val="4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23"/>
  </w:num>
  <w:num w:numId="18">
    <w:abstractNumId w:val="2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19"/>
  </w:num>
  <w:num w:numId="24">
    <w:abstractNumId w:val="0"/>
  </w:num>
  <w:num w:numId="25">
    <w:abstractNumId w:val="0"/>
  </w:num>
  <w:num w:numId="26">
    <w:abstractNumId w:val="0"/>
  </w:num>
  <w:num w:numId="27">
    <w:abstractNumId w:val="21"/>
  </w:num>
  <w:num w:numId="28">
    <w:abstractNumId w:val="14"/>
  </w:num>
  <w:num w:numId="29">
    <w:abstractNumId w:val="22"/>
  </w:num>
  <w:num w:numId="30">
    <w:abstractNumId w:val="8"/>
  </w:num>
  <w:num w:numId="31">
    <w:abstractNumId w:val="20"/>
  </w:num>
  <w:num w:numId="32">
    <w:abstractNumId w:val="6"/>
  </w:num>
  <w:num w:numId="33">
    <w:abstractNumId w:val="17"/>
  </w:num>
  <w:num w:numId="34">
    <w:abstractNumId w:val="1"/>
  </w:num>
  <w:num w:numId="35">
    <w:abstractNumId w:val="0"/>
  </w:num>
  <w:num w:numId="36">
    <w:abstractNumId w:val="0"/>
  </w:num>
  <w:num w:numId="37">
    <w:abstractNumId w:val="10"/>
  </w:num>
  <w:num w:numId="38">
    <w:abstractNumId w:val="16"/>
  </w:num>
  <w:num w:numId="39">
    <w:abstractNumId w:val="5"/>
  </w:num>
  <w:num w:numId="40">
    <w:abstractNumId w:val="9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AB"/>
    <w:rsid w:val="00001DD7"/>
    <w:rsid w:val="0000373F"/>
    <w:rsid w:val="00005800"/>
    <w:rsid w:val="0001070A"/>
    <w:rsid w:val="000124A7"/>
    <w:rsid w:val="00014521"/>
    <w:rsid w:val="0001612E"/>
    <w:rsid w:val="000162DA"/>
    <w:rsid w:val="00016E79"/>
    <w:rsid w:val="00020310"/>
    <w:rsid w:val="00020843"/>
    <w:rsid w:val="000217A8"/>
    <w:rsid w:val="00022498"/>
    <w:rsid w:val="0002336E"/>
    <w:rsid w:val="00030A7A"/>
    <w:rsid w:val="00032F16"/>
    <w:rsid w:val="00040F48"/>
    <w:rsid w:val="000421B1"/>
    <w:rsid w:val="00043998"/>
    <w:rsid w:val="00045D51"/>
    <w:rsid w:val="00051290"/>
    <w:rsid w:val="00053458"/>
    <w:rsid w:val="00054809"/>
    <w:rsid w:val="00054B25"/>
    <w:rsid w:val="00054D5B"/>
    <w:rsid w:val="0005570C"/>
    <w:rsid w:val="00055719"/>
    <w:rsid w:val="00056F9B"/>
    <w:rsid w:val="00057357"/>
    <w:rsid w:val="00060D72"/>
    <w:rsid w:val="000616DD"/>
    <w:rsid w:val="000630F4"/>
    <w:rsid w:val="00063196"/>
    <w:rsid w:val="000705C4"/>
    <w:rsid w:val="00071465"/>
    <w:rsid w:val="00074EB7"/>
    <w:rsid w:val="00074ED6"/>
    <w:rsid w:val="00080BC0"/>
    <w:rsid w:val="00081687"/>
    <w:rsid w:val="00083E44"/>
    <w:rsid w:val="000862A6"/>
    <w:rsid w:val="00087E95"/>
    <w:rsid w:val="000905B3"/>
    <w:rsid w:val="00090E50"/>
    <w:rsid w:val="00092F94"/>
    <w:rsid w:val="00094786"/>
    <w:rsid w:val="0009665E"/>
    <w:rsid w:val="00097BAA"/>
    <w:rsid w:val="000A03AF"/>
    <w:rsid w:val="000A2679"/>
    <w:rsid w:val="000B0A1A"/>
    <w:rsid w:val="000B1272"/>
    <w:rsid w:val="000B1A54"/>
    <w:rsid w:val="000B4A49"/>
    <w:rsid w:val="000B6A1C"/>
    <w:rsid w:val="000B7F7B"/>
    <w:rsid w:val="000C126C"/>
    <w:rsid w:val="000C44D3"/>
    <w:rsid w:val="000C46AC"/>
    <w:rsid w:val="000C7133"/>
    <w:rsid w:val="000D222D"/>
    <w:rsid w:val="000D2717"/>
    <w:rsid w:val="000D3038"/>
    <w:rsid w:val="000D3A1D"/>
    <w:rsid w:val="000D56D3"/>
    <w:rsid w:val="000E0F6F"/>
    <w:rsid w:val="000E21C6"/>
    <w:rsid w:val="000E3FAF"/>
    <w:rsid w:val="000E4BA2"/>
    <w:rsid w:val="000E54EF"/>
    <w:rsid w:val="000F1280"/>
    <w:rsid w:val="000F1499"/>
    <w:rsid w:val="001000EA"/>
    <w:rsid w:val="00100E80"/>
    <w:rsid w:val="00101017"/>
    <w:rsid w:val="00103AE8"/>
    <w:rsid w:val="00106185"/>
    <w:rsid w:val="00107C20"/>
    <w:rsid w:val="0011597C"/>
    <w:rsid w:val="00116DE8"/>
    <w:rsid w:val="00120887"/>
    <w:rsid w:val="00131152"/>
    <w:rsid w:val="00131AE5"/>
    <w:rsid w:val="001324DB"/>
    <w:rsid w:val="001328B8"/>
    <w:rsid w:val="00136973"/>
    <w:rsid w:val="00140349"/>
    <w:rsid w:val="001406A6"/>
    <w:rsid w:val="00141D9C"/>
    <w:rsid w:val="001429DB"/>
    <w:rsid w:val="00142D85"/>
    <w:rsid w:val="001463C5"/>
    <w:rsid w:val="0015495A"/>
    <w:rsid w:val="001549E6"/>
    <w:rsid w:val="00160668"/>
    <w:rsid w:val="001642DB"/>
    <w:rsid w:val="001649F5"/>
    <w:rsid w:val="00164B15"/>
    <w:rsid w:val="00170306"/>
    <w:rsid w:val="00175609"/>
    <w:rsid w:val="001764CB"/>
    <w:rsid w:val="001768D4"/>
    <w:rsid w:val="001779B6"/>
    <w:rsid w:val="00181BF3"/>
    <w:rsid w:val="001843E0"/>
    <w:rsid w:val="00184967"/>
    <w:rsid w:val="00184B9C"/>
    <w:rsid w:val="00185232"/>
    <w:rsid w:val="00194858"/>
    <w:rsid w:val="001972EE"/>
    <w:rsid w:val="001A0112"/>
    <w:rsid w:val="001A0382"/>
    <w:rsid w:val="001A6A25"/>
    <w:rsid w:val="001B11BB"/>
    <w:rsid w:val="001B30E3"/>
    <w:rsid w:val="001B38C6"/>
    <w:rsid w:val="001B497C"/>
    <w:rsid w:val="001B5961"/>
    <w:rsid w:val="001B7668"/>
    <w:rsid w:val="001B7D59"/>
    <w:rsid w:val="001C6A8E"/>
    <w:rsid w:val="001D0EA9"/>
    <w:rsid w:val="001D433E"/>
    <w:rsid w:val="001D4BFC"/>
    <w:rsid w:val="001D5E35"/>
    <w:rsid w:val="001D7367"/>
    <w:rsid w:val="001E4717"/>
    <w:rsid w:val="001E5CAB"/>
    <w:rsid w:val="001F1E91"/>
    <w:rsid w:val="001F1EF2"/>
    <w:rsid w:val="001F1F74"/>
    <w:rsid w:val="001F4705"/>
    <w:rsid w:val="00203FF4"/>
    <w:rsid w:val="00205BAC"/>
    <w:rsid w:val="00205DEC"/>
    <w:rsid w:val="002062BD"/>
    <w:rsid w:val="00213FE7"/>
    <w:rsid w:val="00214A41"/>
    <w:rsid w:val="00217B11"/>
    <w:rsid w:val="00220C0E"/>
    <w:rsid w:val="00222C70"/>
    <w:rsid w:val="00224F57"/>
    <w:rsid w:val="00225892"/>
    <w:rsid w:val="00226758"/>
    <w:rsid w:val="0023076D"/>
    <w:rsid w:val="002329D5"/>
    <w:rsid w:val="00233029"/>
    <w:rsid w:val="002335A9"/>
    <w:rsid w:val="0023708F"/>
    <w:rsid w:val="0024140C"/>
    <w:rsid w:val="0024249F"/>
    <w:rsid w:val="00244340"/>
    <w:rsid w:val="00245159"/>
    <w:rsid w:val="00257C4F"/>
    <w:rsid w:val="00265D38"/>
    <w:rsid w:val="002706D0"/>
    <w:rsid w:val="002802C9"/>
    <w:rsid w:val="00281A9A"/>
    <w:rsid w:val="00284B2E"/>
    <w:rsid w:val="00286F00"/>
    <w:rsid w:val="00287D8E"/>
    <w:rsid w:val="002915E0"/>
    <w:rsid w:val="0029731D"/>
    <w:rsid w:val="002A7920"/>
    <w:rsid w:val="002B13EC"/>
    <w:rsid w:val="002B1C65"/>
    <w:rsid w:val="002B4B5F"/>
    <w:rsid w:val="002C4EA8"/>
    <w:rsid w:val="002C6ED9"/>
    <w:rsid w:val="002C72CA"/>
    <w:rsid w:val="002C75DC"/>
    <w:rsid w:val="002C7F6E"/>
    <w:rsid w:val="002D1957"/>
    <w:rsid w:val="002D1D14"/>
    <w:rsid w:val="002D1D44"/>
    <w:rsid w:val="002D32BC"/>
    <w:rsid w:val="002D5139"/>
    <w:rsid w:val="002D786E"/>
    <w:rsid w:val="002E0962"/>
    <w:rsid w:val="002E2960"/>
    <w:rsid w:val="002E2B63"/>
    <w:rsid w:val="002E5831"/>
    <w:rsid w:val="002E5F5C"/>
    <w:rsid w:val="002F2741"/>
    <w:rsid w:val="002F60B4"/>
    <w:rsid w:val="002F6845"/>
    <w:rsid w:val="002F70E5"/>
    <w:rsid w:val="0030074E"/>
    <w:rsid w:val="00300C48"/>
    <w:rsid w:val="003024D4"/>
    <w:rsid w:val="003026CD"/>
    <w:rsid w:val="00304881"/>
    <w:rsid w:val="00306810"/>
    <w:rsid w:val="00311401"/>
    <w:rsid w:val="00311BF5"/>
    <w:rsid w:val="00316C37"/>
    <w:rsid w:val="003175FF"/>
    <w:rsid w:val="00322507"/>
    <w:rsid w:val="003266F3"/>
    <w:rsid w:val="00326794"/>
    <w:rsid w:val="003270C2"/>
    <w:rsid w:val="003279AA"/>
    <w:rsid w:val="003304FF"/>
    <w:rsid w:val="00331834"/>
    <w:rsid w:val="003321B5"/>
    <w:rsid w:val="00334A30"/>
    <w:rsid w:val="00334F6C"/>
    <w:rsid w:val="00336BAF"/>
    <w:rsid w:val="00337330"/>
    <w:rsid w:val="00342A90"/>
    <w:rsid w:val="00343A08"/>
    <w:rsid w:val="00346F3E"/>
    <w:rsid w:val="00350C31"/>
    <w:rsid w:val="00352B50"/>
    <w:rsid w:val="00353088"/>
    <w:rsid w:val="003557B5"/>
    <w:rsid w:val="00355DEB"/>
    <w:rsid w:val="003611E9"/>
    <w:rsid w:val="00364A29"/>
    <w:rsid w:val="00365894"/>
    <w:rsid w:val="00366A7A"/>
    <w:rsid w:val="0036731C"/>
    <w:rsid w:val="00370CCC"/>
    <w:rsid w:val="003710FC"/>
    <w:rsid w:val="00371BEE"/>
    <w:rsid w:val="003722A4"/>
    <w:rsid w:val="00372502"/>
    <w:rsid w:val="00375009"/>
    <w:rsid w:val="00376262"/>
    <w:rsid w:val="00380CDD"/>
    <w:rsid w:val="0038416B"/>
    <w:rsid w:val="003876A7"/>
    <w:rsid w:val="00387B5E"/>
    <w:rsid w:val="003921B0"/>
    <w:rsid w:val="0039431A"/>
    <w:rsid w:val="00394840"/>
    <w:rsid w:val="00395C0E"/>
    <w:rsid w:val="0039614C"/>
    <w:rsid w:val="003A1872"/>
    <w:rsid w:val="003A1E81"/>
    <w:rsid w:val="003A21A8"/>
    <w:rsid w:val="003A328F"/>
    <w:rsid w:val="003B2F98"/>
    <w:rsid w:val="003B3FD1"/>
    <w:rsid w:val="003B5C56"/>
    <w:rsid w:val="003C2C27"/>
    <w:rsid w:val="003C2E72"/>
    <w:rsid w:val="003C331A"/>
    <w:rsid w:val="003C5C58"/>
    <w:rsid w:val="003C648B"/>
    <w:rsid w:val="003C719F"/>
    <w:rsid w:val="003C7C62"/>
    <w:rsid w:val="003D0B76"/>
    <w:rsid w:val="003D5184"/>
    <w:rsid w:val="003D6B07"/>
    <w:rsid w:val="003E13D1"/>
    <w:rsid w:val="003E17E1"/>
    <w:rsid w:val="003E20FD"/>
    <w:rsid w:val="003E3C3B"/>
    <w:rsid w:val="003E5662"/>
    <w:rsid w:val="003E78AD"/>
    <w:rsid w:val="003F0DC6"/>
    <w:rsid w:val="003F160E"/>
    <w:rsid w:val="003F3007"/>
    <w:rsid w:val="00400252"/>
    <w:rsid w:val="00401547"/>
    <w:rsid w:val="00402542"/>
    <w:rsid w:val="004026AE"/>
    <w:rsid w:val="0040316B"/>
    <w:rsid w:val="00404D35"/>
    <w:rsid w:val="00411890"/>
    <w:rsid w:val="004130CC"/>
    <w:rsid w:val="00415163"/>
    <w:rsid w:val="00417003"/>
    <w:rsid w:val="00417553"/>
    <w:rsid w:val="004178F2"/>
    <w:rsid w:val="00421BB3"/>
    <w:rsid w:val="0042352F"/>
    <w:rsid w:val="00437986"/>
    <w:rsid w:val="004419BC"/>
    <w:rsid w:val="00447192"/>
    <w:rsid w:val="00450385"/>
    <w:rsid w:val="004519F0"/>
    <w:rsid w:val="00452EF4"/>
    <w:rsid w:val="00460619"/>
    <w:rsid w:val="0046132E"/>
    <w:rsid w:val="00461BE8"/>
    <w:rsid w:val="00465185"/>
    <w:rsid w:val="00467F46"/>
    <w:rsid w:val="00470380"/>
    <w:rsid w:val="004711BA"/>
    <w:rsid w:val="00471A7C"/>
    <w:rsid w:val="004724A0"/>
    <w:rsid w:val="00476322"/>
    <w:rsid w:val="004779D0"/>
    <w:rsid w:val="00481DC9"/>
    <w:rsid w:val="00483783"/>
    <w:rsid w:val="00486E71"/>
    <w:rsid w:val="00493E93"/>
    <w:rsid w:val="004947B9"/>
    <w:rsid w:val="004A3F65"/>
    <w:rsid w:val="004A40F8"/>
    <w:rsid w:val="004A5847"/>
    <w:rsid w:val="004A6CCA"/>
    <w:rsid w:val="004B16F6"/>
    <w:rsid w:val="004B3EFB"/>
    <w:rsid w:val="004B42B5"/>
    <w:rsid w:val="004B435A"/>
    <w:rsid w:val="004B7927"/>
    <w:rsid w:val="004C259A"/>
    <w:rsid w:val="004C313C"/>
    <w:rsid w:val="004C4BCC"/>
    <w:rsid w:val="004C526C"/>
    <w:rsid w:val="004C5C1F"/>
    <w:rsid w:val="004D03E4"/>
    <w:rsid w:val="004D39F8"/>
    <w:rsid w:val="004D560B"/>
    <w:rsid w:val="004E0E01"/>
    <w:rsid w:val="004E3CF7"/>
    <w:rsid w:val="004E64B1"/>
    <w:rsid w:val="004F08FD"/>
    <w:rsid w:val="004F1BFA"/>
    <w:rsid w:val="004F24C3"/>
    <w:rsid w:val="004F5E15"/>
    <w:rsid w:val="004F6603"/>
    <w:rsid w:val="0050158F"/>
    <w:rsid w:val="00503CD7"/>
    <w:rsid w:val="00503DE4"/>
    <w:rsid w:val="0050498C"/>
    <w:rsid w:val="00504F27"/>
    <w:rsid w:val="00506508"/>
    <w:rsid w:val="0051155F"/>
    <w:rsid w:val="00512422"/>
    <w:rsid w:val="005154B4"/>
    <w:rsid w:val="00516BF8"/>
    <w:rsid w:val="00517914"/>
    <w:rsid w:val="005208C1"/>
    <w:rsid w:val="0052140D"/>
    <w:rsid w:val="00522F6B"/>
    <w:rsid w:val="00524A3E"/>
    <w:rsid w:val="00535E17"/>
    <w:rsid w:val="005368B9"/>
    <w:rsid w:val="005405FF"/>
    <w:rsid w:val="0054160F"/>
    <w:rsid w:val="0054384C"/>
    <w:rsid w:val="00543C96"/>
    <w:rsid w:val="00544FF0"/>
    <w:rsid w:val="00545DD6"/>
    <w:rsid w:val="005461F2"/>
    <w:rsid w:val="00547418"/>
    <w:rsid w:val="00547B96"/>
    <w:rsid w:val="00550C2F"/>
    <w:rsid w:val="00550F22"/>
    <w:rsid w:val="00552459"/>
    <w:rsid w:val="00552C98"/>
    <w:rsid w:val="00555455"/>
    <w:rsid w:val="005573FD"/>
    <w:rsid w:val="00557ACF"/>
    <w:rsid w:val="00562C45"/>
    <w:rsid w:val="00562FE3"/>
    <w:rsid w:val="0056786E"/>
    <w:rsid w:val="00570106"/>
    <w:rsid w:val="00575C06"/>
    <w:rsid w:val="00580054"/>
    <w:rsid w:val="005811EC"/>
    <w:rsid w:val="005828A6"/>
    <w:rsid w:val="00585E3A"/>
    <w:rsid w:val="00587618"/>
    <w:rsid w:val="00591383"/>
    <w:rsid w:val="00591B2B"/>
    <w:rsid w:val="00594F0B"/>
    <w:rsid w:val="005952D0"/>
    <w:rsid w:val="005973F6"/>
    <w:rsid w:val="005A1F89"/>
    <w:rsid w:val="005A2384"/>
    <w:rsid w:val="005A2824"/>
    <w:rsid w:val="005A3E80"/>
    <w:rsid w:val="005A738A"/>
    <w:rsid w:val="005B2ADF"/>
    <w:rsid w:val="005B3B6C"/>
    <w:rsid w:val="005B5E1F"/>
    <w:rsid w:val="005C1B29"/>
    <w:rsid w:val="005C2E7E"/>
    <w:rsid w:val="005C4AB5"/>
    <w:rsid w:val="005C521B"/>
    <w:rsid w:val="005D019B"/>
    <w:rsid w:val="005D3516"/>
    <w:rsid w:val="005D5D20"/>
    <w:rsid w:val="005E0B29"/>
    <w:rsid w:val="005E1C26"/>
    <w:rsid w:val="005E1E8A"/>
    <w:rsid w:val="005E21C7"/>
    <w:rsid w:val="005E6E54"/>
    <w:rsid w:val="005F18E4"/>
    <w:rsid w:val="005F5282"/>
    <w:rsid w:val="00602D54"/>
    <w:rsid w:val="00604EA3"/>
    <w:rsid w:val="00605801"/>
    <w:rsid w:val="006059AB"/>
    <w:rsid w:val="0060740F"/>
    <w:rsid w:val="0061176D"/>
    <w:rsid w:val="00614128"/>
    <w:rsid w:val="0061755D"/>
    <w:rsid w:val="00620024"/>
    <w:rsid w:val="00625FDD"/>
    <w:rsid w:val="006266FB"/>
    <w:rsid w:val="006267A5"/>
    <w:rsid w:val="0063254B"/>
    <w:rsid w:val="006416FA"/>
    <w:rsid w:val="00645582"/>
    <w:rsid w:val="0064571A"/>
    <w:rsid w:val="006457C5"/>
    <w:rsid w:val="00647E04"/>
    <w:rsid w:val="006512E9"/>
    <w:rsid w:val="006532F4"/>
    <w:rsid w:val="0065586C"/>
    <w:rsid w:val="006649E5"/>
    <w:rsid w:val="00666A4A"/>
    <w:rsid w:val="006700A2"/>
    <w:rsid w:val="006704BC"/>
    <w:rsid w:val="006722A1"/>
    <w:rsid w:val="00683B9E"/>
    <w:rsid w:val="00683CD2"/>
    <w:rsid w:val="00685B94"/>
    <w:rsid w:val="006873F2"/>
    <w:rsid w:val="00690C2A"/>
    <w:rsid w:val="00691B43"/>
    <w:rsid w:val="00692045"/>
    <w:rsid w:val="006921FF"/>
    <w:rsid w:val="0069221A"/>
    <w:rsid w:val="006933AC"/>
    <w:rsid w:val="00697393"/>
    <w:rsid w:val="0069784E"/>
    <w:rsid w:val="006A4820"/>
    <w:rsid w:val="006B24FC"/>
    <w:rsid w:val="006C1611"/>
    <w:rsid w:val="006C66FB"/>
    <w:rsid w:val="006D38BE"/>
    <w:rsid w:val="006D3EAA"/>
    <w:rsid w:val="006D419F"/>
    <w:rsid w:val="006D52BA"/>
    <w:rsid w:val="006E0372"/>
    <w:rsid w:val="006E0539"/>
    <w:rsid w:val="006E22F0"/>
    <w:rsid w:val="006F0A06"/>
    <w:rsid w:val="006F0FAD"/>
    <w:rsid w:val="006F1330"/>
    <w:rsid w:val="006F13C6"/>
    <w:rsid w:val="006F1942"/>
    <w:rsid w:val="006F366C"/>
    <w:rsid w:val="006F52AC"/>
    <w:rsid w:val="006F5C2E"/>
    <w:rsid w:val="006F762F"/>
    <w:rsid w:val="006F7EF0"/>
    <w:rsid w:val="0070242E"/>
    <w:rsid w:val="00704198"/>
    <w:rsid w:val="007053F7"/>
    <w:rsid w:val="00706359"/>
    <w:rsid w:val="0071217B"/>
    <w:rsid w:val="00714AEB"/>
    <w:rsid w:val="00715D94"/>
    <w:rsid w:val="00717295"/>
    <w:rsid w:val="00720C53"/>
    <w:rsid w:val="00721EBD"/>
    <w:rsid w:val="0072216C"/>
    <w:rsid w:val="00722EFB"/>
    <w:rsid w:val="007252DF"/>
    <w:rsid w:val="0072626E"/>
    <w:rsid w:val="00736072"/>
    <w:rsid w:val="00736D3F"/>
    <w:rsid w:val="00743F52"/>
    <w:rsid w:val="00744AAD"/>
    <w:rsid w:val="00745816"/>
    <w:rsid w:val="00746384"/>
    <w:rsid w:val="00750525"/>
    <w:rsid w:val="00762235"/>
    <w:rsid w:val="007649BD"/>
    <w:rsid w:val="00765B01"/>
    <w:rsid w:val="00765BCF"/>
    <w:rsid w:val="00771297"/>
    <w:rsid w:val="00771514"/>
    <w:rsid w:val="00773740"/>
    <w:rsid w:val="00773D36"/>
    <w:rsid w:val="00775A37"/>
    <w:rsid w:val="00775EB8"/>
    <w:rsid w:val="00776983"/>
    <w:rsid w:val="00780C60"/>
    <w:rsid w:val="00782697"/>
    <w:rsid w:val="00791527"/>
    <w:rsid w:val="00792DA6"/>
    <w:rsid w:val="00796D59"/>
    <w:rsid w:val="00796F09"/>
    <w:rsid w:val="007A0371"/>
    <w:rsid w:val="007A1117"/>
    <w:rsid w:val="007A11E2"/>
    <w:rsid w:val="007A72D7"/>
    <w:rsid w:val="007B304C"/>
    <w:rsid w:val="007B394C"/>
    <w:rsid w:val="007C11BE"/>
    <w:rsid w:val="007C43C0"/>
    <w:rsid w:val="007C529E"/>
    <w:rsid w:val="007D1C2C"/>
    <w:rsid w:val="007D49C2"/>
    <w:rsid w:val="007D53D8"/>
    <w:rsid w:val="007D73DF"/>
    <w:rsid w:val="007E4BCB"/>
    <w:rsid w:val="007E51AC"/>
    <w:rsid w:val="007E5AB0"/>
    <w:rsid w:val="007E5C2D"/>
    <w:rsid w:val="007E6854"/>
    <w:rsid w:val="007E6BDA"/>
    <w:rsid w:val="007E7B58"/>
    <w:rsid w:val="007F2B54"/>
    <w:rsid w:val="007F2F60"/>
    <w:rsid w:val="007F6AEB"/>
    <w:rsid w:val="00813973"/>
    <w:rsid w:val="008146D3"/>
    <w:rsid w:val="00816636"/>
    <w:rsid w:val="00816A7D"/>
    <w:rsid w:val="00817BAF"/>
    <w:rsid w:val="00820D0F"/>
    <w:rsid w:val="008238A2"/>
    <w:rsid w:val="00825290"/>
    <w:rsid w:val="00827E30"/>
    <w:rsid w:val="00827E5E"/>
    <w:rsid w:val="008373CC"/>
    <w:rsid w:val="00837660"/>
    <w:rsid w:val="00837BDE"/>
    <w:rsid w:val="00837F6F"/>
    <w:rsid w:val="008421EE"/>
    <w:rsid w:val="00843397"/>
    <w:rsid w:val="008449EC"/>
    <w:rsid w:val="00845380"/>
    <w:rsid w:val="00854197"/>
    <w:rsid w:val="00855AB2"/>
    <w:rsid w:val="0085794E"/>
    <w:rsid w:val="0086085B"/>
    <w:rsid w:val="00861142"/>
    <w:rsid w:val="00861E37"/>
    <w:rsid w:val="00862AFC"/>
    <w:rsid w:val="008636B6"/>
    <w:rsid w:val="0086453F"/>
    <w:rsid w:val="0086691A"/>
    <w:rsid w:val="008701C7"/>
    <w:rsid w:val="0087031C"/>
    <w:rsid w:val="00870DB2"/>
    <w:rsid w:val="00871E2D"/>
    <w:rsid w:val="00876E08"/>
    <w:rsid w:val="00877613"/>
    <w:rsid w:val="00881E38"/>
    <w:rsid w:val="00884794"/>
    <w:rsid w:val="00884908"/>
    <w:rsid w:val="008855AD"/>
    <w:rsid w:val="00885F79"/>
    <w:rsid w:val="008912E5"/>
    <w:rsid w:val="00892ACB"/>
    <w:rsid w:val="00892BEE"/>
    <w:rsid w:val="00895F97"/>
    <w:rsid w:val="008A1905"/>
    <w:rsid w:val="008A536F"/>
    <w:rsid w:val="008A74E1"/>
    <w:rsid w:val="008B0B07"/>
    <w:rsid w:val="008B1F5C"/>
    <w:rsid w:val="008B55C7"/>
    <w:rsid w:val="008C031C"/>
    <w:rsid w:val="008C2BFE"/>
    <w:rsid w:val="008D12E0"/>
    <w:rsid w:val="008D53BC"/>
    <w:rsid w:val="008D7AE7"/>
    <w:rsid w:val="008D7CAB"/>
    <w:rsid w:val="008E12B1"/>
    <w:rsid w:val="008E43BC"/>
    <w:rsid w:val="008E4E91"/>
    <w:rsid w:val="008E64F8"/>
    <w:rsid w:val="008F14A6"/>
    <w:rsid w:val="0090254C"/>
    <w:rsid w:val="00902DB1"/>
    <w:rsid w:val="009079AE"/>
    <w:rsid w:val="00916222"/>
    <w:rsid w:val="00916CBB"/>
    <w:rsid w:val="00916ECB"/>
    <w:rsid w:val="0092001D"/>
    <w:rsid w:val="00921B55"/>
    <w:rsid w:val="009239E0"/>
    <w:rsid w:val="00924182"/>
    <w:rsid w:val="009245E2"/>
    <w:rsid w:val="009264B0"/>
    <w:rsid w:val="0092726A"/>
    <w:rsid w:val="00927836"/>
    <w:rsid w:val="009304B6"/>
    <w:rsid w:val="009324A3"/>
    <w:rsid w:val="009331C6"/>
    <w:rsid w:val="00933576"/>
    <w:rsid w:val="00934ED7"/>
    <w:rsid w:val="00940137"/>
    <w:rsid w:val="009409A3"/>
    <w:rsid w:val="009427BC"/>
    <w:rsid w:val="0094690C"/>
    <w:rsid w:val="00947700"/>
    <w:rsid w:val="0095013C"/>
    <w:rsid w:val="009513F0"/>
    <w:rsid w:val="009530DD"/>
    <w:rsid w:val="00956A39"/>
    <w:rsid w:val="00957784"/>
    <w:rsid w:val="00960330"/>
    <w:rsid w:val="00961BE8"/>
    <w:rsid w:val="00963403"/>
    <w:rsid w:val="00967824"/>
    <w:rsid w:val="0097040D"/>
    <w:rsid w:val="0097075F"/>
    <w:rsid w:val="009778C7"/>
    <w:rsid w:val="00981FEA"/>
    <w:rsid w:val="0098217E"/>
    <w:rsid w:val="0098243E"/>
    <w:rsid w:val="00982DE4"/>
    <w:rsid w:val="00985308"/>
    <w:rsid w:val="00991BC1"/>
    <w:rsid w:val="00991DF7"/>
    <w:rsid w:val="00996925"/>
    <w:rsid w:val="009A62AC"/>
    <w:rsid w:val="009B2451"/>
    <w:rsid w:val="009B478E"/>
    <w:rsid w:val="009D5203"/>
    <w:rsid w:val="009D5370"/>
    <w:rsid w:val="009D735E"/>
    <w:rsid w:val="009D765C"/>
    <w:rsid w:val="009E5FC0"/>
    <w:rsid w:val="009E623E"/>
    <w:rsid w:val="009F3BAE"/>
    <w:rsid w:val="009F5C2B"/>
    <w:rsid w:val="00A006E5"/>
    <w:rsid w:val="00A01751"/>
    <w:rsid w:val="00A03078"/>
    <w:rsid w:val="00A049CA"/>
    <w:rsid w:val="00A0693C"/>
    <w:rsid w:val="00A238DA"/>
    <w:rsid w:val="00A256CB"/>
    <w:rsid w:val="00A25A9E"/>
    <w:rsid w:val="00A2738E"/>
    <w:rsid w:val="00A32AC9"/>
    <w:rsid w:val="00A353EF"/>
    <w:rsid w:val="00A36231"/>
    <w:rsid w:val="00A376EE"/>
    <w:rsid w:val="00A41341"/>
    <w:rsid w:val="00A4326D"/>
    <w:rsid w:val="00A44044"/>
    <w:rsid w:val="00A45812"/>
    <w:rsid w:val="00A535DC"/>
    <w:rsid w:val="00A57BE3"/>
    <w:rsid w:val="00A64FE3"/>
    <w:rsid w:val="00A653CB"/>
    <w:rsid w:val="00A71933"/>
    <w:rsid w:val="00A7266D"/>
    <w:rsid w:val="00A77556"/>
    <w:rsid w:val="00A80FAA"/>
    <w:rsid w:val="00A84610"/>
    <w:rsid w:val="00A847BA"/>
    <w:rsid w:val="00A851DA"/>
    <w:rsid w:val="00A87325"/>
    <w:rsid w:val="00A92C50"/>
    <w:rsid w:val="00A937FE"/>
    <w:rsid w:val="00A93871"/>
    <w:rsid w:val="00A945D6"/>
    <w:rsid w:val="00A95852"/>
    <w:rsid w:val="00A964D6"/>
    <w:rsid w:val="00A966CF"/>
    <w:rsid w:val="00AA0882"/>
    <w:rsid w:val="00AA13E4"/>
    <w:rsid w:val="00AA3E9A"/>
    <w:rsid w:val="00AA400D"/>
    <w:rsid w:val="00AA4835"/>
    <w:rsid w:val="00AA5B67"/>
    <w:rsid w:val="00AA64D1"/>
    <w:rsid w:val="00AB4406"/>
    <w:rsid w:val="00AB57A2"/>
    <w:rsid w:val="00AB5E18"/>
    <w:rsid w:val="00AC3783"/>
    <w:rsid w:val="00AC3A84"/>
    <w:rsid w:val="00AC5721"/>
    <w:rsid w:val="00AC639F"/>
    <w:rsid w:val="00AD0B0C"/>
    <w:rsid w:val="00AD308E"/>
    <w:rsid w:val="00AD42CE"/>
    <w:rsid w:val="00AD485A"/>
    <w:rsid w:val="00AD5288"/>
    <w:rsid w:val="00AD5715"/>
    <w:rsid w:val="00AD78FE"/>
    <w:rsid w:val="00AD7EE2"/>
    <w:rsid w:val="00AE3DBC"/>
    <w:rsid w:val="00AE3F7F"/>
    <w:rsid w:val="00AE7B7B"/>
    <w:rsid w:val="00AE7DA7"/>
    <w:rsid w:val="00AF1C70"/>
    <w:rsid w:val="00AF32AA"/>
    <w:rsid w:val="00AF36DA"/>
    <w:rsid w:val="00AF3B7D"/>
    <w:rsid w:val="00AF5FBF"/>
    <w:rsid w:val="00AF63C0"/>
    <w:rsid w:val="00AF683F"/>
    <w:rsid w:val="00AF7AF5"/>
    <w:rsid w:val="00B00B48"/>
    <w:rsid w:val="00B03872"/>
    <w:rsid w:val="00B041C4"/>
    <w:rsid w:val="00B05CBF"/>
    <w:rsid w:val="00B109F9"/>
    <w:rsid w:val="00B171F3"/>
    <w:rsid w:val="00B177CD"/>
    <w:rsid w:val="00B202DB"/>
    <w:rsid w:val="00B22640"/>
    <w:rsid w:val="00B23763"/>
    <w:rsid w:val="00B27BAF"/>
    <w:rsid w:val="00B3089E"/>
    <w:rsid w:val="00B320B3"/>
    <w:rsid w:val="00B3351F"/>
    <w:rsid w:val="00B361BB"/>
    <w:rsid w:val="00B40662"/>
    <w:rsid w:val="00B40861"/>
    <w:rsid w:val="00B50E03"/>
    <w:rsid w:val="00B51F46"/>
    <w:rsid w:val="00B529BE"/>
    <w:rsid w:val="00B52E36"/>
    <w:rsid w:val="00B53005"/>
    <w:rsid w:val="00B54AFA"/>
    <w:rsid w:val="00B56A51"/>
    <w:rsid w:val="00B604A7"/>
    <w:rsid w:val="00B657C2"/>
    <w:rsid w:val="00B74975"/>
    <w:rsid w:val="00B75185"/>
    <w:rsid w:val="00B75BBF"/>
    <w:rsid w:val="00B76512"/>
    <w:rsid w:val="00B817D3"/>
    <w:rsid w:val="00B81B15"/>
    <w:rsid w:val="00B8469E"/>
    <w:rsid w:val="00B85627"/>
    <w:rsid w:val="00B8657F"/>
    <w:rsid w:val="00B91650"/>
    <w:rsid w:val="00B93604"/>
    <w:rsid w:val="00BA4771"/>
    <w:rsid w:val="00BB007D"/>
    <w:rsid w:val="00BB5CCA"/>
    <w:rsid w:val="00BB6ADE"/>
    <w:rsid w:val="00BC0071"/>
    <w:rsid w:val="00BC2CD5"/>
    <w:rsid w:val="00BC322D"/>
    <w:rsid w:val="00BC4383"/>
    <w:rsid w:val="00BC578F"/>
    <w:rsid w:val="00BD1290"/>
    <w:rsid w:val="00BE2CC0"/>
    <w:rsid w:val="00BE582F"/>
    <w:rsid w:val="00BE7EF1"/>
    <w:rsid w:val="00BF173F"/>
    <w:rsid w:val="00BF198B"/>
    <w:rsid w:val="00C04BCE"/>
    <w:rsid w:val="00C133E6"/>
    <w:rsid w:val="00C13ABB"/>
    <w:rsid w:val="00C1483F"/>
    <w:rsid w:val="00C151CD"/>
    <w:rsid w:val="00C246F0"/>
    <w:rsid w:val="00C33A45"/>
    <w:rsid w:val="00C40D0B"/>
    <w:rsid w:val="00C43AB7"/>
    <w:rsid w:val="00C45B2E"/>
    <w:rsid w:val="00C539A6"/>
    <w:rsid w:val="00C5600A"/>
    <w:rsid w:val="00C6183C"/>
    <w:rsid w:val="00C6237C"/>
    <w:rsid w:val="00C62FFA"/>
    <w:rsid w:val="00C718DA"/>
    <w:rsid w:val="00C7399D"/>
    <w:rsid w:val="00C77E52"/>
    <w:rsid w:val="00C809E8"/>
    <w:rsid w:val="00C839C1"/>
    <w:rsid w:val="00C83D48"/>
    <w:rsid w:val="00C84569"/>
    <w:rsid w:val="00C84785"/>
    <w:rsid w:val="00C9082F"/>
    <w:rsid w:val="00C92CDD"/>
    <w:rsid w:val="00C97722"/>
    <w:rsid w:val="00CA022A"/>
    <w:rsid w:val="00CA24C4"/>
    <w:rsid w:val="00CA33FE"/>
    <w:rsid w:val="00CA401B"/>
    <w:rsid w:val="00CA473A"/>
    <w:rsid w:val="00CA5ABC"/>
    <w:rsid w:val="00CA6D70"/>
    <w:rsid w:val="00CB20B5"/>
    <w:rsid w:val="00CB2ACF"/>
    <w:rsid w:val="00CB3257"/>
    <w:rsid w:val="00CB3AA8"/>
    <w:rsid w:val="00CB5878"/>
    <w:rsid w:val="00CB7FEA"/>
    <w:rsid w:val="00CD2D5C"/>
    <w:rsid w:val="00CD30C2"/>
    <w:rsid w:val="00CD33C2"/>
    <w:rsid w:val="00CD6B5E"/>
    <w:rsid w:val="00CD6D77"/>
    <w:rsid w:val="00CE059E"/>
    <w:rsid w:val="00CE1BA5"/>
    <w:rsid w:val="00CE296E"/>
    <w:rsid w:val="00CE2DAD"/>
    <w:rsid w:val="00CE2DB1"/>
    <w:rsid w:val="00CE33C0"/>
    <w:rsid w:val="00CE3E47"/>
    <w:rsid w:val="00CE504D"/>
    <w:rsid w:val="00CE56C1"/>
    <w:rsid w:val="00CF0CE5"/>
    <w:rsid w:val="00CF5C9C"/>
    <w:rsid w:val="00D00D87"/>
    <w:rsid w:val="00D02105"/>
    <w:rsid w:val="00D0275F"/>
    <w:rsid w:val="00D02FE2"/>
    <w:rsid w:val="00D10A3F"/>
    <w:rsid w:val="00D115B6"/>
    <w:rsid w:val="00D123C1"/>
    <w:rsid w:val="00D15E58"/>
    <w:rsid w:val="00D1762B"/>
    <w:rsid w:val="00D22067"/>
    <w:rsid w:val="00D2277F"/>
    <w:rsid w:val="00D254FC"/>
    <w:rsid w:val="00D26F91"/>
    <w:rsid w:val="00D27CDB"/>
    <w:rsid w:val="00D338D7"/>
    <w:rsid w:val="00D36ED0"/>
    <w:rsid w:val="00D50CB6"/>
    <w:rsid w:val="00D54271"/>
    <w:rsid w:val="00D6000C"/>
    <w:rsid w:val="00D60951"/>
    <w:rsid w:val="00D60C33"/>
    <w:rsid w:val="00D61589"/>
    <w:rsid w:val="00D6212A"/>
    <w:rsid w:val="00D63523"/>
    <w:rsid w:val="00D6376B"/>
    <w:rsid w:val="00D639FD"/>
    <w:rsid w:val="00D652F8"/>
    <w:rsid w:val="00D6563D"/>
    <w:rsid w:val="00D66335"/>
    <w:rsid w:val="00D6768E"/>
    <w:rsid w:val="00D72091"/>
    <w:rsid w:val="00D75F5B"/>
    <w:rsid w:val="00D76415"/>
    <w:rsid w:val="00D8144F"/>
    <w:rsid w:val="00D818A3"/>
    <w:rsid w:val="00D93460"/>
    <w:rsid w:val="00D93D32"/>
    <w:rsid w:val="00D95B3E"/>
    <w:rsid w:val="00DA0967"/>
    <w:rsid w:val="00DA0DD3"/>
    <w:rsid w:val="00DA1FBA"/>
    <w:rsid w:val="00DA2910"/>
    <w:rsid w:val="00DA3E19"/>
    <w:rsid w:val="00DA6281"/>
    <w:rsid w:val="00DB5179"/>
    <w:rsid w:val="00DB5798"/>
    <w:rsid w:val="00DB58DB"/>
    <w:rsid w:val="00DB7E77"/>
    <w:rsid w:val="00DC338D"/>
    <w:rsid w:val="00DD022C"/>
    <w:rsid w:val="00DD0B20"/>
    <w:rsid w:val="00DD0CEC"/>
    <w:rsid w:val="00DD1E2B"/>
    <w:rsid w:val="00DD2F40"/>
    <w:rsid w:val="00DD6077"/>
    <w:rsid w:val="00DD66B3"/>
    <w:rsid w:val="00DF08CE"/>
    <w:rsid w:val="00DF1599"/>
    <w:rsid w:val="00DF1B0C"/>
    <w:rsid w:val="00DF2DE2"/>
    <w:rsid w:val="00DF4F68"/>
    <w:rsid w:val="00E01837"/>
    <w:rsid w:val="00E04FDF"/>
    <w:rsid w:val="00E052B8"/>
    <w:rsid w:val="00E05343"/>
    <w:rsid w:val="00E068AD"/>
    <w:rsid w:val="00E10159"/>
    <w:rsid w:val="00E118A7"/>
    <w:rsid w:val="00E27382"/>
    <w:rsid w:val="00E27589"/>
    <w:rsid w:val="00E32EE9"/>
    <w:rsid w:val="00E3510D"/>
    <w:rsid w:val="00E41C0F"/>
    <w:rsid w:val="00E41E11"/>
    <w:rsid w:val="00E4391D"/>
    <w:rsid w:val="00E43CD8"/>
    <w:rsid w:val="00E46E44"/>
    <w:rsid w:val="00E473DC"/>
    <w:rsid w:val="00E51805"/>
    <w:rsid w:val="00E55A30"/>
    <w:rsid w:val="00E55E8D"/>
    <w:rsid w:val="00E56C74"/>
    <w:rsid w:val="00E57DCA"/>
    <w:rsid w:val="00E615DF"/>
    <w:rsid w:val="00E647CF"/>
    <w:rsid w:val="00E64D14"/>
    <w:rsid w:val="00E70305"/>
    <w:rsid w:val="00E71DC8"/>
    <w:rsid w:val="00E775EF"/>
    <w:rsid w:val="00E8107A"/>
    <w:rsid w:val="00E82D6F"/>
    <w:rsid w:val="00E82EC2"/>
    <w:rsid w:val="00E85786"/>
    <w:rsid w:val="00E877E4"/>
    <w:rsid w:val="00E87CEE"/>
    <w:rsid w:val="00E94247"/>
    <w:rsid w:val="00E97183"/>
    <w:rsid w:val="00EA21A6"/>
    <w:rsid w:val="00EA5BF5"/>
    <w:rsid w:val="00EA76B0"/>
    <w:rsid w:val="00EB1E28"/>
    <w:rsid w:val="00EB23A7"/>
    <w:rsid w:val="00EB53D5"/>
    <w:rsid w:val="00EB651F"/>
    <w:rsid w:val="00EC1AEE"/>
    <w:rsid w:val="00ED0BD0"/>
    <w:rsid w:val="00ED397C"/>
    <w:rsid w:val="00ED5D81"/>
    <w:rsid w:val="00ED63CA"/>
    <w:rsid w:val="00ED6D4C"/>
    <w:rsid w:val="00EE295E"/>
    <w:rsid w:val="00EE38E0"/>
    <w:rsid w:val="00EE6AAC"/>
    <w:rsid w:val="00EF2CFF"/>
    <w:rsid w:val="00EF3975"/>
    <w:rsid w:val="00EF7DE7"/>
    <w:rsid w:val="00EF7DF4"/>
    <w:rsid w:val="00F01023"/>
    <w:rsid w:val="00F03E6D"/>
    <w:rsid w:val="00F056D4"/>
    <w:rsid w:val="00F05DAC"/>
    <w:rsid w:val="00F1295F"/>
    <w:rsid w:val="00F169A6"/>
    <w:rsid w:val="00F21BE0"/>
    <w:rsid w:val="00F23A60"/>
    <w:rsid w:val="00F23DBB"/>
    <w:rsid w:val="00F2751F"/>
    <w:rsid w:val="00F32831"/>
    <w:rsid w:val="00F41529"/>
    <w:rsid w:val="00F41DF3"/>
    <w:rsid w:val="00F42750"/>
    <w:rsid w:val="00F45E96"/>
    <w:rsid w:val="00F5026B"/>
    <w:rsid w:val="00F50406"/>
    <w:rsid w:val="00F50B68"/>
    <w:rsid w:val="00F52766"/>
    <w:rsid w:val="00F537CF"/>
    <w:rsid w:val="00F56770"/>
    <w:rsid w:val="00F667D7"/>
    <w:rsid w:val="00F71D4D"/>
    <w:rsid w:val="00F76F2C"/>
    <w:rsid w:val="00F773BE"/>
    <w:rsid w:val="00F77B2C"/>
    <w:rsid w:val="00F804D3"/>
    <w:rsid w:val="00F85E54"/>
    <w:rsid w:val="00F9085F"/>
    <w:rsid w:val="00F90C69"/>
    <w:rsid w:val="00F91490"/>
    <w:rsid w:val="00F925BA"/>
    <w:rsid w:val="00F937A7"/>
    <w:rsid w:val="00F947E2"/>
    <w:rsid w:val="00F97EA2"/>
    <w:rsid w:val="00FA28AE"/>
    <w:rsid w:val="00FA35A9"/>
    <w:rsid w:val="00FA5D55"/>
    <w:rsid w:val="00FA5F6A"/>
    <w:rsid w:val="00FA7710"/>
    <w:rsid w:val="00FB3A9D"/>
    <w:rsid w:val="00FB6D44"/>
    <w:rsid w:val="00FB7488"/>
    <w:rsid w:val="00FC0100"/>
    <w:rsid w:val="00FC2924"/>
    <w:rsid w:val="00FC48CD"/>
    <w:rsid w:val="00FC4DD1"/>
    <w:rsid w:val="00FC5124"/>
    <w:rsid w:val="00FC6912"/>
    <w:rsid w:val="00FC70D9"/>
    <w:rsid w:val="00FD3FE8"/>
    <w:rsid w:val="00FD6A7E"/>
    <w:rsid w:val="00FD7B8F"/>
    <w:rsid w:val="00FE1CCC"/>
    <w:rsid w:val="00FE2B3B"/>
    <w:rsid w:val="00FF19D7"/>
    <w:rsid w:val="00FF2BC9"/>
    <w:rsid w:val="00FF31B0"/>
    <w:rsid w:val="00FF711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outlineLvl w:val="0"/>
    </w:pPr>
    <w:rPr>
      <w:b/>
      <w:bCs/>
      <w:sz w:val="28"/>
      <w:szCs w:val="28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yl1">
    <w:name w:val="Styl1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semiHidden/>
    <w:pPr>
      <w:jc w:val="left"/>
    </w:pPr>
    <w:rPr>
      <w:szCs w:val="20"/>
      <w:lang/>
    </w:rPr>
  </w:style>
  <w:style w:type="character" w:customStyle="1" w:styleId="TextpoznpodarouChar">
    <w:name w:val="Text pozn. pod čarou Char"/>
    <w:aliases w:val="Text pozn. pod čarou_martin_ang Char1"/>
    <w:semiHidden/>
    <w:rPr>
      <w:rFonts w:ascii="Arial" w:eastAsia="Times New Roman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pPr>
      <w:jc w:val="left"/>
    </w:pPr>
    <w:rPr>
      <w:szCs w:val="20"/>
      <w:lang/>
    </w:rPr>
  </w:style>
  <w:style w:type="character" w:customStyle="1" w:styleId="TextkomenteChar">
    <w:name w:val="Text komentáře Char"/>
    <w:semiHidden/>
    <w:rPr>
      <w:rFonts w:ascii="Arial" w:eastAsia="Times New Roman" w:hAnsi="Arial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jc w:val="both"/>
    </w:pPr>
    <w:rPr>
      <w:rFonts w:ascii="Arial" w:eastAsia="Times New Roman" w:hAnsi="Arial"/>
      <w:szCs w:val="24"/>
    </w:rPr>
  </w:style>
  <w:style w:type="paragraph" w:styleId="Obsah10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semiHidden/>
    <w:rPr>
      <w:color w:val="000000"/>
    </w:rPr>
  </w:style>
  <w:style w:type="paragraph" w:styleId="Zkladntext3">
    <w:name w:val="Body Text 3"/>
    <w:basedOn w:val="Normln"/>
    <w:semiHidden/>
    <w:rPr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card">
    <w:name w:val="card"/>
    <w:basedOn w:val="Standardnpsmoodstavce"/>
  </w:style>
  <w:style w:type="paragraph" w:styleId="Zkladntext2">
    <w:name w:val="Body Text 2"/>
    <w:basedOn w:val="Normln"/>
    <w:semiHidden/>
    <w:pPr>
      <w:jc w:val="left"/>
    </w:pPr>
    <w:rPr>
      <w:b/>
      <w:bCs/>
    </w:rPr>
  </w:style>
  <w:style w:type="paragraph" w:customStyle="1" w:styleId="normalnsodrkami">
    <w:name w:val="normalní s odrážkami"/>
    <w:basedOn w:val="Normln"/>
    <w:pPr>
      <w:numPr>
        <w:numId w:val="19"/>
      </w:numPr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rsid w:val="004D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13D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13D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E13D1"/>
    <w:rPr>
      <w:vertAlign w:val="superscript"/>
    </w:rPr>
  </w:style>
  <w:style w:type="character" w:customStyle="1" w:styleId="hps">
    <w:name w:val="hps"/>
    <w:basedOn w:val="Standardnpsmoodstavce"/>
    <w:rsid w:val="00F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AC08-6E28-4006-890A-DC11E0CD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</vt:lpstr>
    </vt:vector>
  </TitlesOfParts>
  <Company>ČSÚ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</dc:title>
  <dc:creator>SystemService</dc:creator>
  <cp:lastModifiedBy>Jiří Kamenický</cp:lastModifiedBy>
  <cp:revision>2</cp:revision>
  <cp:lastPrinted>2014-06-02T17:09:00Z</cp:lastPrinted>
  <dcterms:created xsi:type="dcterms:W3CDTF">2014-10-24T06:31:00Z</dcterms:created>
  <dcterms:modified xsi:type="dcterms:W3CDTF">2014-10-24T06:31:00Z</dcterms:modified>
</cp:coreProperties>
</file>