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1C" w:rsidRDefault="00924182" w:rsidP="00DF08CE">
      <w:pPr>
        <w:pStyle w:val="Nadpis1"/>
        <w:numPr>
          <w:ilvl w:val="0"/>
          <w:numId w:val="0"/>
        </w:numPr>
        <w:ind w:left="432"/>
        <w:rPr>
          <w:lang w:val="cs-CZ"/>
        </w:rPr>
      </w:pPr>
      <w:r>
        <w:rPr>
          <w:lang w:val="cs-CZ"/>
        </w:rPr>
        <w:t>Shrnutí</w:t>
      </w:r>
    </w:p>
    <w:p w:rsidR="0036731C" w:rsidRDefault="0036731C" w:rsidP="0036731C">
      <w:pPr>
        <w:rPr>
          <w:lang/>
        </w:rPr>
      </w:pPr>
    </w:p>
    <w:p w:rsidR="0036731C" w:rsidRDefault="0036731C" w:rsidP="0036731C">
      <w:pPr>
        <w:rPr>
          <w:lang/>
        </w:rPr>
      </w:pPr>
    </w:p>
    <w:p w:rsidR="0036731C" w:rsidRPr="006532F4" w:rsidRDefault="00CD6D77" w:rsidP="00A847BA">
      <w:pPr>
        <w:numPr>
          <w:ilvl w:val="0"/>
          <w:numId w:val="38"/>
        </w:numPr>
        <w:rPr>
          <w:spacing w:val="-2"/>
          <w:lang/>
        </w:rPr>
      </w:pPr>
      <w:r w:rsidRPr="006532F4">
        <w:rPr>
          <w:spacing w:val="-2"/>
          <w:lang/>
        </w:rPr>
        <w:t>Bezpečnost silničního provozu na území ČR se (p</w:t>
      </w:r>
      <w:r w:rsidR="00131152" w:rsidRPr="006532F4">
        <w:rPr>
          <w:spacing w:val="-2"/>
          <w:lang/>
        </w:rPr>
        <w:t>ohledem následků nehod</w:t>
      </w:r>
      <w:r w:rsidRPr="006532F4">
        <w:rPr>
          <w:spacing w:val="-2"/>
          <w:lang/>
        </w:rPr>
        <w:t xml:space="preserve">) </w:t>
      </w:r>
      <w:r w:rsidR="00BC4383">
        <w:rPr>
          <w:spacing w:val="-2"/>
          <w:lang/>
        </w:rPr>
        <w:t xml:space="preserve">zejména </w:t>
      </w:r>
      <w:r w:rsidRPr="006532F4">
        <w:rPr>
          <w:spacing w:val="-2"/>
          <w:lang/>
        </w:rPr>
        <w:t>v posledních l</w:t>
      </w:r>
      <w:r w:rsidR="00A847BA" w:rsidRPr="006532F4">
        <w:rPr>
          <w:spacing w:val="-2"/>
          <w:lang/>
        </w:rPr>
        <w:t>etech výrazně zlepšuje</w:t>
      </w:r>
      <w:r w:rsidR="00BC4383">
        <w:rPr>
          <w:spacing w:val="-2"/>
          <w:lang/>
        </w:rPr>
        <w:t>. M</w:t>
      </w:r>
      <w:r w:rsidR="0090254C" w:rsidRPr="006532F4">
        <w:rPr>
          <w:spacing w:val="-2"/>
          <w:lang/>
        </w:rPr>
        <w:t>ezi roky 2007 a 2</w:t>
      </w:r>
      <w:r w:rsidR="005952D0" w:rsidRPr="006532F4">
        <w:rPr>
          <w:spacing w:val="-2"/>
          <w:lang/>
        </w:rPr>
        <w:t>013 se počet obětí snížil o téměř</w:t>
      </w:r>
      <w:r w:rsidR="007A72D7">
        <w:rPr>
          <w:spacing w:val="-2"/>
          <w:lang/>
        </w:rPr>
        <w:t xml:space="preserve"> </w:t>
      </w:r>
      <w:r w:rsidR="000D222D">
        <w:rPr>
          <w:spacing w:val="-2"/>
          <w:lang/>
        </w:rPr>
        <w:t>polovi</w:t>
      </w:r>
      <w:r w:rsidR="0090254C" w:rsidRPr="006532F4">
        <w:rPr>
          <w:spacing w:val="-2"/>
          <w:lang/>
        </w:rPr>
        <w:t xml:space="preserve">nu, </w:t>
      </w:r>
      <w:r w:rsidR="000D222D">
        <w:rPr>
          <w:spacing w:val="-2"/>
          <w:lang/>
        </w:rPr>
        <w:t xml:space="preserve">těžce zraněných ubylo o 30 %, </w:t>
      </w:r>
      <w:r w:rsidR="0090254C" w:rsidRPr="006532F4">
        <w:rPr>
          <w:spacing w:val="-2"/>
          <w:lang/>
        </w:rPr>
        <w:t xml:space="preserve">lehce zraněných </w:t>
      </w:r>
      <w:r w:rsidR="005952D0" w:rsidRPr="006532F4">
        <w:rPr>
          <w:spacing w:val="-2"/>
          <w:lang/>
        </w:rPr>
        <w:t xml:space="preserve">osob </w:t>
      </w:r>
      <w:r w:rsidR="000D222D">
        <w:rPr>
          <w:spacing w:val="-2"/>
          <w:lang/>
        </w:rPr>
        <w:t xml:space="preserve">bylo </w:t>
      </w:r>
      <w:r w:rsidR="0090254C" w:rsidRPr="006532F4">
        <w:rPr>
          <w:spacing w:val="-2"/>
          <w:lang/>
        </w:rPr>
        <w:t>o osmin</w:t>
      </w:r>
      <w:r w:rsidR="000D222D">
        <w:rPr>
          <w:spacing w:val="-2"/>
          <w:lang/>
        </w:rPr>
        <w:t>u méně</w:t>
      </w:r>
      <w:r w:rsidR="0090254C" w:rsidRPr="006532F4">
        <w:rPr>
          <w:spacing w:val="-2"/>
          <w:lang/>
        </w:rPr>
        <w:t>. Ten</w:t>
      </w:r>
      <w:r w:rsidR="00A535DC">
        <w:rPr>
          <w:spacing w:val="-2"/>
          <w:lang/>
        </w:rPr>
        <w:t>to příznivý vý</w:t>
      </w:r>
      <w:r w:rsidR="00927836">
        <w:rPr>
          <w:spacing w:val="-2"/>
          <w:lang/>
        </w:rPr>
        <w:t>voj se</w:t>
      </w:r>
      <w:r w:rsidR="00A535DC">
        <w:rPr>
          <w:spacing w:val="-2"/>
          <w:lang/>
        </w:rPr>
        <w:t xml:space="preserve"> během prvních devíti měsíců</w:t>
      </w:r>
      <w:r w:rsidR="005952D0" w:rsidRPr="006532F4">
        <w:rPr>
          <w:spacing w:val="-2"/>
          <w:lang/>
        </w:rPr>
        <w:t xml:space="preserve"> roku 2014</w:t>
      </w:r>
      <w:r w:rsidR="00927836">
        <w:rPr>
          <w:spacing w:val="-2"/>
          <w:lang/>
        </w:rPr>
        <w:t xml:space="preserve"> částečně zastavil, když počet usmrcených meziročně o desetinu vzrostl (vinou vyšší četnosti obětí v červnu a září)</w:t>
      </w:r>
      <w:r w:rsidR="005952D0" w:rsidRPr="006532F4">
        <w:rPr>
          <w:spacing w:val="-2"/>
          <w:lang/>
        </w:rPr>
        <w:t>,</w:t>
      </w:r>
      <w:r w:rsidR="00365894">
        <w:rPr>
          <w:spacing w:val="-2"/>
          <w:lang/>
        </w:rPr>
        <w:t xml:space="preserve"> mírně vyšší byl i počet lehkých zranění, </w:t>
      </w:r>
      <w:r w:rsidR="00C92CDD">
        <w:rPr>
          <w:spacing w:val="-2"/>
          <w:lang/>
        </w:rPr>
        <w:t xml:space="preserve">naopak </w:t>
      </w:r>
      <w:r w:rsidR="00365894">
        <w:rPr>
          <w:spacing w:val="-2"/>
          <w:lang/>
        </w:rPr>
        <w:t>případy těžkých zraněných dosáhly nejnižší úrovně ve více než 40-leté historii</w:t>
      </w:r>
      <w:r w:rsidR="005952D0" w:rsidRPr="006532F4">
        <w:rPr>
          <w:spacing w:val="-2"/>
          <w:lang/>
        </w:rPr>
        <w:t>.</w:t>
      </w:r>
      <w:r w:rsidR="00C92CDD">
        <w:rPr>
          <w:spacing w:val="-2"/>
          <w:lang/>
        </w:rPr>
        <w:t xml:space="preserve"> Dlouhodobá je</w:t>
      </w:r>
      <w:r w:rsidR="00B53005">
        <w:rPr>
          <w:spacing w:val="-2"/>
          <w:lang/>
        </w:rPr>
        <w:t xml:space="preserve"> </w:t>
      </w:r>
      <w:r w:rsidR="00C92CDD">
        <w:rPr>
          <w:spacing w:val="-2"/>
          <w:lang/>
        </w:rPr>
        <w:t xml:space="preserve">i </w:t>
      </w:r>
      <w:r w:rsidR="00B53005">
        <w:rPr>
          <w:spacing w:val="-2"/>
          <w:lang/>
        </w:rPr>
        <w:t>redukce</w:t>
      </w:r>
      <w:r w:rsidR="0086085B" w:rsidRPr="006532F4">
        <w:rPr>
          <w:spacing w:val="-2"/>
          <w:lang/>
        </w:rPr>
        <w:t xml:space="preserve"> tzv. následné</w:t>
      </w:r>
      <w:r w:rsidR="00B53005">
        <w:rPr>
          <w:spacing w:val="-2"/>
          <w:lang/>
        </w:rPr>
        <w:t xml:space="preserve"> úmrtnosti na nehody -</w:t>
      </w:r>
      <w:r w:rsidR="0086085B" w:rsidRPr="006532F4">
        <w:rPr>
          <w:spacing w:val="-2"/>
          <w:lang/>
        </w:rPr>
        <w:t xml:space="preserve"> zatímco v roce 1995 tvořili zemřelí v intervalu 24 hod. až 30 dní po nehodě 12,8 % všech obětí silničních nehod, v roce 2010 byla jejich váha poloviční.</w:t>
      </w:r>
    </w:p>
    <w:p w:rsidR="005952D0" w:rsidRPr="006532F4" w:rsidRDefault="005952D0" w:rsidP="005952D0">
      <w:pPr>
        <w:ind w:left="720"/>
        <w:rPr>
          <w:spacing w:val="-2"/>
          <w:lang/>
        </w:rPr>
      </w:pPr>
    </w:p>
    <w:p w:rsidR="005952D0" w:rsidRPr="006532F4" w:rsidRDefault="005952D0" w:rsidP="00A847BA">
      <w:pPr>
        <w:numPr>
          <w:ilvl w:val="0"/>
          <w:numId w:val="38"/>
        </w:numPr>
        <w:rPr>
          <w:spacing w:val="-2"/>
          <w:lang/>
        </w:rPr>
      </w:pPr>
      <w:r w:rsidRPr="006532F4">
        <w:rPr>
          <w:spacing w:val="-2"/>
          <w:lang/>
        </w:rPr>
        <w:t>Od roku 2009, kdy došlo k zásadní metodické změně vymezení nehodových událostí (s ohlašovací povinností dopravní policii)</w:t>
      </w:r>
      <w:r w:rsidR="00916ECB" w:rsidRPr="006532F4">
        <w:rPr>
          <w:spacing w:val="-2"/>
          <w:lang/>
        </w:rPr>
        <w:t>,</w:t>
      </w:r>
      <w:r w:rsidRPr="006532F4">
        <w:rPr>
          <w:spacing w:val="-2"/>
          <w:lang/>
        </w:rPr>
        <w:t xml:space="preserve"> počet všech nehod mírně roste (v průměru o 3 % ročně). </w:t>
      </w:r>
      <w:r w:rsidR="005573FD" w:rsidRPr="006532F4">
        <w:rPr>
          <w:spacing w:val="-2"/>
          <w:lang/>
        </w:rPr>
        <w:t>Na tomto nárůstu se více než z třetiny podílí dynamicky rostoucí (byť zatím relativně okrajová) kategorie srážek s lesní zvěří a domácím zvířectvem, z</w:t>
      </w:r>
      <w:r w:rsidR="00916ECB" w:rsidRPr="006532F4">
        <w:rPr>
          <w:spacing w:val="-2"/>
          <w:lang/>
        </w:rPr>
        <w:t> poloviny pak</w:t>
      </w:r>
      <w:r w:rsidR="005573FD" w:rsidRPr="006532F4">
        <w:rPr>
          <w:spacing w:val="-2"/>
          <w:lang/>
        </w:rPr>
        <w:t xml:space="preserve"> nehod</w:t>
      </w:r>
      <w:r w:rsidR="00916ECB" w:rsidRPr="006532F4">
        <w:rPr>
          <w:spacing w:val="-2"/>
          <w:lang/>
        </w:rPr>
        <w:t>y zaviněné řidiči motorových vozidel.</w:t>
      </w:r>
      <w:r w:rsidR="005573FD" w:rsidRPr="006532F4">
        <w:rPr>
          <w:spacing w:val="-2"/>
          <w:lang/>
        </w:rPr>
        <w:t xml:space="preserve"> </w:t>
      </w:r>
      <w:r w:rsidR="00916ECB" w:rsidRPr="006532F4">
        <w:rPr>
          <w:spacing w:val="-2"/>
          <w:lang/>
        </w:rPr>
        <w:t>O</w:t>
      </w:r>
      <w:r w:rsidR="005573FD" w:rsidRPr="006532F4">
        <w:rPr>
          <w:spacing w:val="-2"/>
          <w:lang/>
        </w:rPr>
        <w:t xml:space="preserve"> čtvrtinu za poslední pětiletí přibylo i nehod zaviněných cyklisty.</w:t>
      </w:r>
      <w:r w:rsidR="0086085B" w:rsidRPr="006532F4">
        <w:rPr>
          <w:spacing w:val="-2"/>
          <w:lang/>
        </w:rPr>
        <w:t xml:space="preserve"> Mírně naopak klesá průměrná hmotná škoda (odhadnutá dopravní policií) na jednu nehodu (v roce 2009 činila </w:t>
      </w:r>
      <w:r w:rsidR="001429DB" w:rsidRPr="006532F4">
        <w:rPr>
          <w:spacing w:val="-2"/>
          <w:lang/>
        </w:rPr>
        <w:t xml:space="preserve">58,5 tis. korun, před pěti lety byla o osminu vyšší). </w:t>
      </w:r>
    </w:p>
    <w:p w:rsidR="001429DB" w:rsidRPr="006532F4" w:rsidRDefault="001429DB" w:rsidP="001429DB">
      <w:pPr>
        <w:pStyle w:val="Odstavecseseznamem"/>
        <w:rPr>
          <w:spacing w:val="-2"/>
          <w:lang/>
        </w:rPr>
      </w:pPr>
    </w:p>
    <w:p w:rsidR="00A84610" w:rsidRPr="006532F4" w:rsidRDefault="00544FF0" w:rsidP="00A84610">
      <w:pPr>
        <w:numPr>
          <w:ilvl w:val="0"/>
          <w:numId w:val="18"/>
        </w:numPr>
        <w:rPr>
          <w:rFonts w:cs="Arial"/>
          <w:spacing w:val="-2"/>
          <w:szCs w:val="18"/>
        </w:rPr>
      </w:pPr>
      <w:r w:rsidRPr="006532F4">
        <w:rPr>
          <w:spacing w:val="-2"/>
          <w:lang/>
        </w:rPr>
        <w:t xml:space="preserve">Mezi hlavní faktory poklesu silniční nehodovosti v ČR </w:t>
      </w:r>
      <w:r w:rsidR="009513F0" w:rsidRPr="006532F4">
        <w:rPr>
          <w:spacing w:val="-2"/>
          <w:lang/>
        </w:rPr>
        <w:t xml:space="preserve">lze zařadit jak dlouhodobě působící vlivy postupné modernizace vozového parku (zejména </w:t>
      </w:r>
      <w:r w:rsidR="009513F0" w:rsidRPr="006532F4">
        <w:rPr>
          <w:rFonts w:cs="Arial"/>
          <w:spacing w:val="-2"/>
          <w:szCs w:val="18"/>
        </w:rPr>
        <w:t>konstrukce vozidla odolnější vůči srážce, posílení vnitřních bezpečnostních prvků-airbagy, pásy na zadních sedadlech)</w:t>
      </w:r>
      <w:r w:rsidR="00A84610" w:rsidRPr="006532F4">
        <w:rPr>
          <w:rFonts w:cs="Arial"/>
          <w:spacing w:val="-2"/>
          <w:szCs w:val="18"/>
        </w:rPr>
        <w:t>,</w:t>
      </w:r>
      <w:r w:rsidR="009513F0" w:rsidRPr="006532F4">
        <w:rPr>
          <w:rFonts w:cs="Arial"/>
          <w:spacing w:val="-2"/>
          <w:szCs w:val="18"/>
        </w:rPr>
        <w:t xml:space="preserve"> rozvoje dopravní infrastruktury </w:t>
      </w:r>
      <w:r w:rsidR="00A84610" w:rsidRPr="006532F4">
        <w:rPr>
          <w:rFonts w:cs="Arial"/>
          <w:spacing w:val="-2"/>
          <w:szCs w:val="18"/>
        </w:rPr>
        <w:t>(</w:t>
      </w:r>
      <w:r w:rsidR="009513F0" w:rsidRPr="006532F4">
        <w:rPr>
          <w:rFonts w:cs="Arial"/>
          <w:spacing w:val="-2"/>
          <w:szCs w:val="18"/>
        </w:rPr>
        <w:t>dálnice, obchvaty, mimoúrovňová křížení)</w:t>
      </w:r>
      <w:r w:rsidR="00A84610" w:rsidRPr="006532F4">
        <w:rPr>
          <w:rFonts w:cs="Arial"/>
          <w:spacing w:val="-2"/>
          <w:szCs w:val="18"/>
        </w:rPr>
        <w:t>, dopravní výchovu a zesílenou mediální osvětu, jakož i demografické změny (posun populačně silných kohort z věku typického vysokou nehodovosti řidičů (dvacátníci) do kategorie vyzrálejších řidičů (třicátníci). Pozitivně se promítl i vliv některých preventivně-represivních opatření (např. zavedení bodového systému hodnocení přestupků řidičů motorových vozidel v průběhu roku 2006).</w:t>
      </w:r>
      <w:r w:rsidR="0092726A" w:rsidRPr="006532F4">
        <w:rPr>
          <w:rFonts w:cs="Arial"/>
          <w:spacing w:val="-2"/>
          <w:szCs w:val="18"/>
        </w:rPr>
        <w:t xml:space="preserve"> </w:t>
      </w:r>
      <w:r w:rsidR="002D786E" w:rsidRPr="006532F4">
        <w:rPr>
          <w:rFonts w:cs="Arial"/>
          <w:spacing w:val="-2"/>
          <w:szCs w:val="18"/>
        </w:rPr>
        <w:t>Četnost nehod i jejich následků je od roku 2009 částečně ovlivněna i mírným poklesem intenzit</w:t>
      </w:r>
      <w:r w:rsidR="00B53005">
        <w:rPr>
          <w:rFonts w:cs="Arial"/>
          <w:spacing w:val="-2"/>
          <w:szCs w:val="18"/>
        </w:rPr>
        <w:t xml:space="preserve"> dopravy v důsledku globální</w:t>
      </w:r>
      <w:r w:rsidR="002D786E" w:rsidRPr="006532F4">
        <w:rPr>
          <w:rFonts w:cs="Arial"/>
          <w:spacing w:val="-2"/>
          <w:szCs w:val="18"/>
        </w:rPr>
        <w:t xml:space="preserve"> hospodářské recese.</w:t>
      </w:r>
      <w:r w:rsidR="00562FE3" w:rsidRPr="006532F4">
        <w:rPr>
          <w:rFonts w:cs="Arial"/>
          <w:spacing w:val="-2"/>
          <w:szCs w:val="18"/>
        </w:rPr>
        <w:t xml:space="preserve"> Pokračují</w:t>
      </w:r>
      <w:r w:rsidR="004519F0" w:rsidRPr="006532F4">
        <w:rPr>
          <w:rFonts w:cs="Arial"/>
          <w:spacing w:val="-2"/>
          <w:szCs w:val="18"/>
        </w:rPr>
        <w:t>cí</w:t>
      </w:r>
      <w:r w:rsidR="00562FE3" w:rsidRPr="006532F4">
        <w:rPr>
          <w:rFonts w:cs="Arial"/>
          <w:spacing w:val="-2"/>
          <w:szCs w:val="18"/>
        </w:rPr>
        <w:t xml:space="preserve"> mělký pokles osobních nehod v kombinaci s mírným růstem nehod bez následků na zdraví</w:t>
      </w:r>
      <w:r w:rsidR="00300C48" w:rsidRPr="006532F4">
        <w:rPr>
          <w:rFonts w:cs="Arial"/>
          <w:spacing w:val="-2"/>
          <w:szCs w:val="18"/>
        </w:rPr>
        <w:t xml:space="preserve"> v tomto </w:t>
      </w:r>
      <w:r w:rsidR="006873F2" w:rsidRPr="006532F4">
        <w:rPr>
          <w:rFonts w:cs="Arial"/>
          <w:spacing w:val="-2"/>
          <w:szCs w:val="18"/>
        </w:rPr>
        <w:t>období m</w:t>
      </w:r>
      <w:r w:rsidR="004519F0" w:rsidRPr="006532F4">
        <w:rPr>
          <w:rFonts w:cs="Arial"/>
          <w:spacing w:val="-2"/>
          <w:szCs w:val="18"/>
        </w:rPr>
        <w:t>ůže</w:t>
      </w:r>
      <w:r w:rsidR="00300C48" w:rsidRPr="006532F4">
        <w:rPr>
          <w:rFonts w:cs="Arial"/>
          <w:spacing w:val="-2"/>
          <w:szCs w:val="18"/>
        </w:rPr>
        <w:t xml:space="preserve"> vypovídat také o posunech v praxi při </w:t>
      </w:r>
      <w:r w:rsidR="00B53005">
        <w:rPr>
          <w:rFonts w:cs="Arial"/>
          <w:spacing w:val="-2"/>
          <w:szCs w:val="18"/>
        </w:rPr>
        <w:t>uplatňování pojistných událostí na vozidlech.</w:t>
      </w:r>
    </w:p>
    <w:p w:rsidR="00300C48" w:rsidRPr="006532F4" w:rsidRDefault="00300C48" w:rsidP="00300C48">
      <w:pPr>
        <w:ind w:left="720"/>
        <w:rPr>
          <w:rFonts w:cs="Arial"/>
          <w:spacing w:val="-2"/>
          <w:szCs w:val="18"/>
        </w:rPr>
      </w:pPr>
    </w:p>
    <w:p w:rsidR="0036731C" w:rsidRPr="006532F4" w:rsidRDefault="004519F0" w:rsidP="0036731C">
      <w:pPr>
        <w:numPr>
          <w:ilvl w:val="0"/>
          <w:numId w:val="38"/>
        </w:numPr>
        <w:rPr>
          <w:spacing w:val="-2"/>
          <w:lang/>
        </w:rPr>
      </w:pPr>
      <w:r w:rsidRPr="006532F4">
        <w:rPr>
          <w:spacing w:val="-2"/>
          <w:lang/>
        </w:rPr>
        <w:t xml:space="preserve">Méně příznivý vývoj je typický </w:t>
      </w:r>
      <w:r w:rsidR="00B53005">
        <w:rPr>
          <w:spacing w:val="-2"/>
          <w:lang/>
        </w:rPr>
        <w:t xml:space="preserve">pro </w:t>
      </w:r>
      <w:r w:rsidRPr="006532F4">
        <w:rPr>
          <w:spacing w:val="-2"/>
          <w:lang/>
        </w:rPr>
        <w:t xml:space="preserve">nehody v železniční dopravě na území ČR. </w:t>
      </w:r>
      <w:r w:rsidR="00D00D87" w:rsidRPr="006532F4">
        <w:rPr>
          <w:spacing w:val="-2"/>
          <w:lang/>
        </w:rPr>
        <w:t xml:space="preserve">Počet zraněných či usmrcených osob v úhrnu na všech typech drah (s mírným růstem u trolejbusové či tramvajové) mezi lety 2007 a 2013 stagnoval. V roce 2012 připadali čtyři z deseti zraněných či usmrcených účastníků nehod na celostátní dráhy, obdobný podíl pak na tramvajovou dopravu. </w:t>
      </w:r>
      <w:r w:rsidR="00214A41" w:rsidRPr="006532F4">
        <w:rPr>
          <w:spacing w:val="-2"/>
          <w:lang/>
        </w:rPr>
        <w:t>Desetinu obětí si vyžádaly střety na železničních přejezdech, četnost těchto událostí i jejich následků dlouhodobě klesá</w:t>
      </w:r>
      <w:r w:rsidR="00AA400D" w:rsidRPr="006532F4">
        <w:rPr>
          <w:spacing w:val="-2"/>
          <w:lang/>
        </w:rPr>
        <w:t xml:space="preserve"> (v roce 2013 přišlo takto o život 24 osob, před deseti lety 68, počty zraněných byly nižší bezmála o polovinu). Nepříznivá situace však přetrvává u ostatních střetů drážních vozidel s osobami, které jsou s určitými výkyvy zhruba z jedné třetiny motivovány sebevražednými pokusy, většinou jde </w:t>
      </w:r>
      <w:r w:rsidR="00B53005">
        <w:rPr>
          <w:spacing w:val="-2"/>
          <w:lang/>
        </w:rPr>
        <w:t xml:space="preserve">však o </w:t>
      </w:r>
      <w:r w:rsidR="00AA400D" w:rsidRPr="006532F4">
        <w:rPr>
          <w:spacing w:val="-2"/>
          <w:lang/>
        </w:rPr>
        <w:t xml:space="preserve">hrubé nedbalostní chování chodců (např. přecházení kolejí mimo podchody). </w:t>
      </w:r>
    </w:p>
    <w:p w:rsidR="00AA400D" w:rsidRPr="006532F4" w:rsidRDefault="00AA400D" w:rsidP="00AA400D">
      <w:pPr>
        <w:ind w:left="720"/>
        <w:rPr>
          <w:rFonts w:cs="Arial"/>
          <w:spacing w:val="-2"/>
          <w:szCs w:val="18"/>
        </w:rPr>
      </w:pPr>
    </w:p>
    <w:p w:rsidR="006C66FB" w:rsidRPr="006532F4" w:rsidRDefault="006C66FB" w:rsidP="00AA400D">
      <w:pPr>
        <w:numPr>
          <w:ilvl w:val="0"/>
          <w:numId w:val="38"/>
        </w:numPr>
        <w:rPr>
          <w:spacing w:val="-2"/>
          <w:lang/>
        </w:rPr>
      </w:pPr>
      <w:r w:rsidRPr="006532F4">
        <w:rPr>
          <w:spacing w:val="-2"/>
          <w:lang/>
        </w:rPr>
        <w:t xml:space="preserve">V přepočtu </w:t>
      </w:r>
      <w:r w:rsidR="00B53005">
        <w:rPr>
          <w:spacing w:val="-2"/>
          <w:lang/>
        </w:rPr>
        <w:t xml:space="preserve">na </w:t>
      </w:r>
      <w:r w:rsidRPr="006532F4">
        <w:rPr>
          <w:spacing w:val="-2"/>
          <w:lang/>
        </w:rPr>
        <w:t>obyvatele</w:t>
      </w:r>
      <w:r w:rsidR="001972EE" w:rsidRPr="006532F4">
        <w:rPr>
          <w:spacing w:val="-2"/>
          <w:lang/>
        </w:rPr>
        <w:t xml:space="preserve"> </w:t>
      </w:r>
      <w:r w:rsidRPr="006532F4">
        <w:rPr>
          <w:spacing w:val="-2"/>
          <w:lang/>
        </w:rPr>
        <w:t xml:space="preserve">(s trvalým bydlištěm) </w:t>
      </w:r>
      <w:r w:rsidR="001972EE" w:rsidRPr="006532F4">
        <w:rPr>
          <w:spacing w:val="-2"/>
          <w:lang/>
        </w:rPr>
        <w:t xml:space="preserve">vzniklo v období 2010-2013 nejvíce nehod s následky na zdraví </w:t>
      </w:r>
      <w:r w:rsidR="00D123C1" w:rsidRPr="006532F4">
        <w:rPr>
          <w:spacing w:val="-2"/>
          <w:lang/>
        </w:rPr>
        <w:t xml:space="preserve">(tzv. osobních nehod) </w:t>
      </w:r>
      <w:r w:rsidR="001972EE" w:rsidRPr="006532F4">
        <w:rPr>
          <w:spacing w:val="-2"/>
          <w:lang/>
        </w:rPr>
        <w:t xml:space="preserve">v Jihočeském kraji (o čtvrtinu nad republikovou úrovní), následované Libereckem (o pětinu), Plzeňskem (o šestinu) a Pardubickem (o sedminu). </w:t>
      </w:r>
      <w:r w:rsidR="005B2ADF" w:rsidRPr="006532F4">
        <w:rPr>
          <w:spacing w:val="-2"/>
          <w:lang/>
        </w:rPr>
        <w:t xml:space="preserve">Za poslední dekádu se </w:t>
      </w:r>
      <w:r w:rsidR="00AD42CE">
        <w:rPr>
          <w:spacing w:val="-2"/>
          <w:lang/>
        </w:rPr>
        <w:t xml:space="preserve">tyto nehody </w:t>
      </w:r>
      <w:r w:rsidR="005B2ADF" w:rsidRPr="006532F4">
        <w:rPr>
          <w:spacing w:val="-2"/>
          <w:lang/>
        </w:rPr>
        <w:t xml:space="preserve">nejvíce zvýšily na Liberecku a Olomoucku. Vyšší závažností nehod (podíl usmrcených a těžce zraněných osob ze všech nehod) se vyznačují příhraniční okresy na J a JV ČR a též </w:t>
      </w:r>
      <w:r w:rsidR="00647E04" w:rsidRPr="006532F4">
        <w:rPr>
          <w:spacing w:val="-2"/>
          <w:lang/>
        </w:rPr>
        <w:t xml:space="preserve">kraj Vysočina. Nehody pouze s hmotnou škodou se koncentrovaly především v Praze (2,3 krát více než v ČR) a také na Ústecku (o třetinu), Liberecku a středních Čechách. </w:t>
      </w:r>
      <w:r w:rsidR="00D338D7" w:rsidRPr="006532F4">
        <w:rPr>
          <w:spacing w:val="-2"/>
          <w:lang/>
        </w:rPr>
        <w:t>Mezi statutárními městy dosahovaly v období 2009-2013 nehody s následky na zdraví (v relaci k obyvatelstvu s obvyklým bydlištěm) maxima v Českých Budějovicích (o 60 % nad úrovní ČR), v Olomouci, Opavě, Pardubicích (o sedminu až osminu) a též v Plzni,</w:t>
      </w:r>
      <w:r w:rsidR="00311BF5" w:rsidRPr="006532F4">
        <w:rPr>
          <w:spacing w:val="-2"/>
          <w:lang/>
        </w:rPr>
        <w:t xml:space="preserve"> Zlíně či Ústí nad Labem</w:t>
      </w:r>
      <w:r w:rsidR="00791527" w:rsidRPr="006532F4">
        <w:rPr>
          <w:spacing w:val="-2"/>
          <w:lang/>
        </w:rPr>
        <w:t>. V</w:t>
      </w:r>
      <w:r w:rsidR="00311BF5" w:rsidRPr="006532F4">
        <w:rPr>
          <w:spacing w:val="-2"/>
          <w:lang/>
        </w:rPr>
        <w:t> Praze byly počty osobníc</w:t>
      </w:r>
      <w:r w:rsidR="00D123C1" w:rsidRPr="006532F4">
        <w:rPr>
          <w:spacing w:val="-2"/>
          <w:lang/>
        </w:rPr>
        <w:t xml:space="preserve">h nehod proti ČR nižší o pětinu (při relaci osobních nehod k intenzitám silniční dopravy se Praha v roce 2011 </w:t>
      </w:r>
      <w:r w:rsidR="00791527" w:rsidRPr="006532F4">
        <w:rPr>
          <w:spacing w:val="-2"/>
          <w:lang/>
        </w:rPr>
        <w:t xml:space="preserve">nacházela </w:t>
      </w:r>
      <w:r w:rsidR="00D123C1" w:rsidRPr="006532F4">
        <w:rPr>
          <w:spacing w:val="-2"/>
          <w:lang/>
        </w:rPr>
        <w:t>pod úrovní ČR</w:t>
      </w:r>
      <w:r w:rsidR="00791527" w:rsidRPr="006532F4">
        <w:rPr>
          <w:spacing w:val="-2"/>
          <w:lang/>
        </w:rPr>
        <w:t xml:space="preserve"> téměř o dvě pětiny</w:t>
      </w:r>
      <w:r w:rsidR="00D123C1" w:rsidRPr="006532F4">
        <w:rPr>
          <w:spacing w:val="-2"/>
          <w:lang/>
        </w:rPr>
        <w:t xml:space="preserve">, v roce 2000 </w:t>
      </w:r>
      <w:r w:rsidR="00791527" w:rsidRPr="006532F4">
        <w:rPr>
          <w:spacing w:val="-2"/>
          <w:lang/>
        </w:rPr>
        <w:t>se však od této úrovně významně nelišila).</w:t>
      </w:r>
    </w:p>
    <w:p w:rsidR="006C66FB" w:rsidRPr="006532F4" w:rsidRDefault="006C66FB" w:rsidP="006C66FB">
      <w:pPr>
        <w:pStyle w:val="Odstavecseseznamem"/>
        <w:rPr>
          <w:spacing w:val="-2"/>
          <w:lang/>
        </w:rPr>
      </w:pPr>
    </w:p>
    <w:p w:rsidR="00AA400D" w:rsidRPr="006532F4" w:rsidRDefault="00387B5E" w:rsidP="00AA400D">
      <w:pPr>
        <w:numPr>
          <w:ilvl w:val="0"/>
          <w:numId w:val="38"/>
        </w:numPr>
        <w:rPr>
          <w:spacing w:val="-2"/>
          <w:lang/>
        </w:rPr>
      </w:pPr>
      <w:r w:rsidRPr="006532F4">
        <w:rPr>
          <w:spacing w:val="-2"/>
          <w:lang/>
        </w:rPr>
        <w:t xml:space="preserve">Šest ze sedmi nehod zavinili v roce 2013 v ČR řidiči motorových vozidel. Dlouhodobě klesá podíl nehod zaviněných chodci (mj. v důsledku </w:t>
      </w:r>
      <w:r w:rsidR="004C5C1F" w:rsidRPr="006532F4">
        <w:rPr>
          <w:spacing w:val="-2"/>
          <w:lang/>
        </w:rPr>
        <w:t>stavebních úprav komunikací, dopravní výchovy či</w:t>
      </w:r>
      <w:r w:rsidRPr="006532F4">
        <w:rPr>
          <w:spacing w:val="-2"/>
          <w:lang/>
        </w:rPr>
        <w:t xml:space="preserve"> mediálních kampaní) a technickou závadou vozidla (efekt postupné modernizace vozového </w:t>
      </w:r>
      <w:r w:rsidR="00D02105" w:rsidRPr="006532F4">
        <w:rPr>
          <w:spacing w:val="-2"/>
          <w:lang/>
        </w:rPr>
        <w:t xml:space="preserve">parku). V posledních letech se zvyšují počty nehod s následky na zdraví způsobené zvěří (mezi roky 2008 a 2013 v ČR o více než čtvrtinu) a také osobní nehody zaviněné řidiči nemotorových vozidel (např. v Praze </w:t>
      </w:r>
      <w:r w:rsidR="00136973" w:rsidRPr="006532F4">
        <w:rPr>
          <w:spacing w:val="-2"/>
          <w:lang/>
        </w:rPr>
        <w:t>se ve stejném období</w:t>
      </w:r>
      <w:r w:rsidR="00D02105" w:rsidRPr="006532F4">
        <w:rPr>
          <w:spacing w:val="-2"/>
          <w:lang/>
        </w:rPr>
        <w:t xml:space="preserve"> zvýšil</w:t>
      </w:r>
      <w:r w:rsidR="00AD42CE">
        <w:rPr>
          <w:spacing w:val="-2"/>
          <w:lang/>
        </w:rPr>
        <w:t>y</w:t>
      </w:r>
      <w:r w:rsidR="00D02105" w:rsidRPr="006532F4">
        <w:rPr>
          <w:spacing w:val="-2"/>
          <w:lang/>
        </w:rPr>
        <w:t xml:space="preserve"> z 25 na 9</w:t>
      </w:r>
      <w:r w:rsidR="003611E9" w:rsidRPr="006532F4">
        <w:rPr>
          <w:spacing w:val="-2"/>
          <w:lang/>
        </w:rPr>
        <w:t xml:space="preserve">2 – </w:t>
      </w:r>
      <w:r w:rsidR="00AD42CE">
        <w:rPr>
          <w:spacing w:val="-2"/>
          <w:lang/>
        </w:rPr>
        <w:t xml:space="preserve">na </w:t>
      </w:r>
      <w:r w:rsidR="003611E9" w:rsidRPr="006532F4">
        <w:rPr>
          <w:spacing w:val="-2"/>
          <w:lang/>
        </w:rPr>
        <w:t xml:space="preserve">nejvyšší úroveň od roku 1995). </w:t>
      </w:r>
    </w:p>
    <w:p w:rsidR="004C5C1F" w:rsidRPr="006532F4" w:rsidRDefault="004C5C1F" w:rsidP="004C5C1F">
      <w:pPr>
        <w:pStyle w:val="Odstavecseseznamem"/>
        <w:rPr>
          <w:spacing w:val="-2"/>
          <w:lang/>
        </w:rPr>
      </w:pPr>
    </w:p>
    <w:p w:rsidR="00837BDE" w:rsidRPr="006532F4" w:rsidRDefault="00465185" w:rsidP="00837BDE">
      <w:pPr>
        <w:numPr>
          <w:ilvl w:val="0"/>
          <w:numId w:val="38"/>
        </w:numPr>
        <w:rPr>
          <w:spacing w:val="-2"/>
          <w:lang/>
        </w:rPr>
      </w:pPr>
      <w:r w:rsidRPr="006532F4">
        <w:rPr>
          <w:spacing w:val="-2"/>
          <w:lang/>
        </w:rPr>
        <w:lastRenderedPageBreak/>
        <w:t>Závažnost nehod (usmrcené osoby na všech nehodách) zaviněných řidi</w:t>
      </w:r>
      <w:r w:rsidR="00AD42CE">
        <w:rPr>
          <w:spacing w:val="-2"/>
          <w:lang/>
        </w:rPr>
        <w:t>či osobních aut plynule roste s</w:t>
      </w:r>
      <w:r w:rsidRPr="006532F4">
        <w:rPr>
          <w:spacing w:val="-2"/>
          <w:lang/>
        </w:rPr>
        <w:t xml:space="preserve"> vyšším stářím vozidla (dle roku výroby), vyšší je také u řidičů do 25 let a nad 65 let. Zatímco u nehod zaviněných řidiči osobních aut jejich závažnost klesá s rostoucí objemovou třídou, </w:t>
      </w:r>
      <w:r w:rsidR="00585E3A" w:rsidRPr="006532F4">
        <w:rPr>
          <w:spacing w:val="-2"/>
          <w:lang/>
        </w:rPr>
        <w:t xml:space="preserve">u nehod nákladních automobilů byly jejich následky na hmotnostní třídy prakticky nezávislé (vyjma nižší smrtelnosti nehod způsobených řidiči s vozem o hmotnosti </w:t>
      </w:r>
      <w:r w:rsidR="006E22F0" w:rsidRPr="006532F4">
        <w:rPr>
          <w:spacing w:val="-2"/>
          <w:lang/>
        </w:rPr>
        <w:t xml:space="preserve">v rozmezí </w:t>
      </w:r>
      <w:r w:rsidR="00585E3A" w:rsidRPr="006532F4">
        <w:rPr>
          <w:spacing w:val="-2"/>
          <w:lang/>
        </w:rPr>
        <w:t>7,6 – 12 tun).</w:t>
      </w:r>
      <w:r w:rsidR="006E22F0" w:rsidRPr="006532F4">
        <w:rPr>
          <w:spacing w:val="-2"/>
          <w:lang/>
        </w:rPr>
        <w:t xml:space="preserve"> </w:t>
      </w:r>
      <w:r w:rsidR="00837BDE" w:rsidRPr="006532F4">
        <w:rPr>
          <w:spacing w:val="-2"/>
          <w:lang/>
        </w:rPr>
        <w:t>Současně platí, že závažnost nehod způsobených řidiči nákladních vozů byla ve všech hmotnostních třídách nižší než závažnost nehod zaviněných objemově nejsilnějšími osobními vozy.</w:t>
      </w:r>
      <w:r w:rsidR="009A62AC" w:rsidRPr="006532F4">
        <w:rPr>
          <w:spacing w:val="-2"/>
          <w:lang/>
        </w:rPr>
        <w:t xml:space="preserve"> V případě nehod zaviněných motocykly závažnost roste s objemovou třídou (s výjimkou nejsilnější sk</w:t>
      </w:r>
      <w:r w:rsidR="00C92CDD">
        <w:rPr>
          <w:spacing w:val="-2"/>
          <w:lang/>
        </w:rPr>
        <w:t>upiny nad 1260 ccm). Počet úmrt</w:t>
      </w:r>
      <w:r w:rsidR="009A62AC" w:rsidRPr="006532F4">
        <w:rPr>
          <w:spacing w:val="-2"/>
          <w:lang/>
        </w:rPr>
        <w:t>í na 1 n</w:t>
      </w:r>
      <w:r w:rsidR="00816636" w:rsidRPr="006532F4">
        <w:rPr>
          <w:spacing w:val="-2"/>
          <w:lang/>
        </w:rPr>
        <w:t xml:space="preserve">ehodu byl </w:t>
      </w:r>
      <w:r w:rsidR="009A62AC" w:rsidRPr="006532F4">
        <w:rPr>
          <w:spacing w:val="-2"/>
          <w:lang/>
        </w:rPr>
        <w:t xml:space="preserve">mezi lety 2009-2013 u motocyklů v kategorii </w:t>
      </w:r>
      <w:r w:rsidR="00816636" w:rsidRPr="006532F4">
        <w:rPr>
          <w:spacing w:val="-2"/>
          <w:lang/>
        </w:rPr>
        <w:t>860-1250</w:t>
      </w:r>
      <w:r w:rsidR="00AD42CE">
        <w:rPr>
          <w:spacing w:val="-2"/>
          <w:lang/>
        </w:rPr>
        <w:t xml:space="preserve"> ccm  2,5krát vyšší než u menších</w:t>
      </w:r>
      <w:r w:rsidR="00816636" w:rsidRPr="006532F4">
        <w:rPr>
          <w:spacing w:val="-2"/>
          <w:lang/>
        </w:rPr>
        <w:t xml:space="preserve"> motocyklů (do 150 ccm).</w:t>
      </w:r>
    </w:p>
    <w:p w:rsidR="00837BDE" w:rsidRPr="006532F4" w:rsidRDefault="00837BDE" w:rsidP="00837BDE">
      <w:pPr>
        <w:pStyle w:val="Odstavecseseznamem"/>
        <w:rPr>
          <w:spacing w:val="-2"/>
          <w:lang/>
        </w:rPr>
      </w:pPr>
    </w:p>
    <w:p w:rsidR="004C5C1F" w:rsidRPr="006532F4" w:rsidRDefault="00B51F46" w:rsidP="00837BDE">
      <w:pPr>
        <w:numPr>
          <w:ilvl w:val="0"/>
          <w:numId w:val="38"/>
        </w:numPr>
        <w:rPr>
          <w:spacing w:val="-2"/>
          <w:lang/>
        </w:rPr>
      </w:pPr>
      <w:r w:rsidRPr="006532F4">
        <w:rPr>
          <w:spacing w:val="-2"/>
          <w:lang/>
        </w:rPr>
        <w:t>Čtvrtina nehod s následky na zdraví byla v roce 2012 způsobena nepřiměřenou rychlostí, pouze nepatrně vyšší podíl jde na vrub nedání přednosti a více než 40 % má na svědomí nesprávný způsob jízdy (</w:t>
      </w:r>
      <w:r w:rsidR="00FE2B3B" w:rsidRPr="006532F4">
        <w:rPr>
          <w:spacing w:val="-2"/>
          <w:lang/>
        </w:rPr>
        <w:t xml:space="preserve">např. nedostatečné věnování pozornosti řízení vozidla či nedodržení bezpečné vzdálenosti). </w:t>
      </w:r>
      <w:r w:rsidR="00DD022C" w:rsidRPr="006532F4">
        <w:rPr>
          <w:spacing w:val="-2"/>
          <w:lang/>
        </w:rPr>
        <w:t xml:space="preserve">Za </w:t>
      </w:r>
      <w:r w:rsidR="003F0DC6">
        <w:rPr>
          <w:lang/>
        </w:rPr>
        <w:t>posledních patnáct</w:t>
      </w:r>
      <w:r w:rsidR="00DD022C" w:rsidRPr="003F0DC6">
        <w:rPr>
          <w:lang/>
        </w:rPr>
        <w:t xml:space="preserve"> let </w:t>
      </w:r>
      <w:r w:rsidR="003E5662" w:rsidRPr="003F0DC6">
        <w:rPr>
          <w:lang/>
        </w:rPr>
        <w:t xml:space="preserve">se v ČR nejvíce snížil </w:t>
      </w:r>
      <w:r w:rsidR="003F0DC6" w:rsidRPr="003F0DC6">
        <w:rPr>
          <w:lang/>
        </w:rPr>
        <w:t xml:space="preserve">počet obětí </w:t>
      </w:r>
      <w:r w:rsidR="003E5662" w:rsidRPr="003F0DC6">
        <w:rPr>
          <w:lang/>
        </w:rPr>
        <w:t>u nehod zavin</w:t>
      </w:r>
      <w:r w:rsidR="003F0DC6" w:rsidRPr="003F0DC6">
        <w:rPr>
          <w:lang/>
        </w:rPr>
        <w:t>ěných nesprávným předjížděním (-</w:t>
      </w:r>
      <w:r w:rsidR="003E5662" w:rsidRPr="003F0DC6">
        <w:rPr>
          <w:lang/>
        </w:rPr>
        <w:t>55</w:t>
      </w:r>
      <w:r w:rsidR="003F0DC6" w:rsidRPr="003F0DC6">
        <w:rPr>
          <w:lang/>
        </w:rPr>
        <w:t> </w:t>
      </w:r>
      <w:r w:rsidR="003E5662" w:rsidRPr="003F0DC6">
        <w:rPr>
          <w:lang/>
        </w:rPr>
        <w:t>%)</w:t>
      </w:r>
      <w:r w:rsidR="003E5662" w:rsidRPr="006532F4">
        <w:rPr>
          <w:spacing w:val="-2"/>
          <w:lang/>
        </w:rPr>
        <w:t xml:space="preserve"> a nepřiměřenou rychlostí </w:t>
      </w:r>
      <w:r w:rsidR="00FD6A7E" w:rsidRPr="006532F4">
        <w:rPr>
          <w:spacing w:val="-2"/>
          <w:lang/>
        </w:rPr>
        <w:t xml:space="preserve">(-52 %), i tak jde stále o </w:t>
      </w:r>
      <w:r w:rsidR="003F0DC6">
        <w:rPr>
          <w:spacing w:val="-2"/>
          <w:lang/>
        </w:rPr>
        <w:t xml:space="preserve">dvě </w:t>
      </w:r>
      <w:r w:rsidR="00FD6A7E" w:rsidRPr="006532F4">
        <w:rPr>
          <w:spacing w:val="-2"/>
          <w:lang/>
        </w:rPr>
        <w:t xml:space="preserve">kategorie zavinění s nejvyšší </w:t>
      </w:r>
      <w:r w:rsidR="00620024" w:rsidRPr="006532F4">
        <w:rPr>
          <w:spacing w:val="-2"/>
          <w:lang/>
        </w:rPr>
        <w:t>závažností</w:t>
      </w:r>
      <w:r w:rsidR="00FD6A7E" w:rsidRPr="006532F4">
        <w:rPr>
          <w:spacing w:val="-2"/>
          <w:lang/>
        </w:rPr>
        <w:t xml:space="preserve"> (např. u nepřizpůsobení rychlosti viditelnosti skončila mezi lety 2011-2012 v ČR úmrtním téměř každá desátá nehoda).</w:t>
      </w:r>
      <w:r w:rsidR="00311401" w:rsidRPr="006532F4">
        <w:rPr>
          <w:spacing w:val="-2"/>
          <w:lang/>
        </w:rPr>
        <w:t xml:space="preserve"> Podíl nehod vlivem vysoké rychlosti stoupá od východu</w:t>
      </w:r>
      <w:r w:rsidR="003F0DC6">
        <w:rPr>
          <w:spacing w:val="-2"/>
          <w:lang/>
        </w:rPr>
        <w:t xml:space="preserve"> k</w:t>
      </w:r>
      <w:r w:rsidR="00311401" w:rsidRPr="006532F4">
        <w:rPr>
          <w:spacing w:val="-2"/>
          <w:lang/>
        </w:rPr>
        <w:t xml:space="preserve"> západu ČR (na Plzeňsku a Karlovarsku tvoří třetinu osobních nehod), nehody s nesprávným předjížděním jsou nejčastější ve vý</w:t>
      </w:r>
      <w:r w:rsidR="00620024" w:rsidRPr="006532F4">
        <w:rPr>
          <w:spacing w:val="-2"/>
          <w:lang/>
        </w:rPr>
        <w:t>chodních Čechách a nehody vinou</w:t>
      </w:r>
      <w:r w:rsidR="00311401" w:rsidRPr="006532F4">
        <w:rPr>
          <w:spacing w:val="-2"/>
          <w:lang/>
        </w:rPr>
        <w:t xml:space="preserve"> nedání přednosti dominují podle očekávání ve velkých městech. Vyšší zastoupení n</w:t>
      </w:r>
      <w:r w:rsidR="00620024" w:rsidRPr="006532F4">
        <w:rPr>
          <w:spacing w:val="-2"/>
          <w:lang/>
        </w:rPr>
        <w:t>ehod</w:t>
      </w:r>
      <w:r w:rsidR="00311401" w:rsidRPr="006532F4">
        <w:rPr>
          <w:spacing w:val="-2"/>
          <w:lang/>
        </w:rPr>
        <w:t xml:space="preserve"> zaviněných řidiči nákladních vozů nacházíme v</w:t>
      </w:r>
      <w:r w:rsidR="00620024" w:rsidRPr="006532F4">
        <w:rPr>
          <w:spacing w:val="-2"/>
          <w:lang/>
        </w:rPr>
        <w:t xml:space="preserve"> oblastech</w:t>
      </w:r>
      <w:r w:rsidR="00311401" w:rsidRPr="006532F4">
        <w:rPr>
          <w:spacing w:val="-2"/>
          <w:lang/>
        </w:rPr>
        <w:t xml:space="preserve"> </w:t>
      </w:r>
      <w:r w:rsidR="00620024" w:rsidRPr="006532F4">
        <w:rPr>
          <w:spacing w:val="-2"/>
          <w:lang/>
        </w:rPr>
        <w:t xml:space="preserve">s </w:t>
      </w:r>
      <w:r w:rsidR="00311401" w:rsidRPr="006532F4">
        <w:rPr>
          <w:spacing w:val="-2"/>
          <w:lang/>
        </w:rPr>
        <w:t>dálničními tahy zatíženími intenzivní tranzitní dopravou (Vysočina, Plze</w:t>
      </w:r>
      <w:r w:rsidR="00620024" w:rsidRPr="006532F4">
        <w:rPr>
          <w:spacing w:val="-2"/>
          <w:lang/>
        </w:rPr>
        <w:t>ňsko</w:t>
      </w:r>
      <w:r w:rsidR="003F0DC6">
        <w:rPr>
          <w:spacing w:val="-2"/>
          <w:lang/>
        </w:rPr>
        <w:t>, jižní Čechy</w:t>
      </w:r>
      <w:r w:rsidR="00620024" w:rsidRPr="006532F4">
        <w:rPr>
          <w:spacing w:val="-2"/>
          <w:lang/>
        </w:rPr>
        <w:t>), u nehod motocyklist</w:t>
      </w:r>
      <w:r w:rsidR="00C92CDD">
        <w:rPr>
          <w:spacing w:val="-2"/>
          <w:lang/>
        </w:rPr>
        <w:t>ů a mopedistů dominuje Jihočeský</w:t>
      </w:r>
      <w:r w:rsidR="00620024" w:rsidRPr="006532F4">
        <w:rPr>
          <w:spacing w:val="-2"/>
          <w:lang/>
        </w:rPr>
        <w:t xml:space="preserve"> kraj a okresy sousedící s Rakouskem, podobně jako u nehod zaviněných nemotorovými vozidly (zejména cyklisty), které jsou navíc ještě silně soustředěny na Zlínsko (každá 11 nehoda v tomto kraji), Olomoucko a Pardubicko.</w:t>
      </w:r>
    </w:p>
    <w:p w:rsidR="00620024" w:rsidRPr="006532F4" w:rsidRDefault="00620024" w:rsidP="00620024">
      <w:pPr>
        <w:rPr>
          <w:spacing w:val="-2"/>
          <w:lang/>
        </w:rPr>
      </w:pPr>
    </w:p>
    <w:p w:rsidR="00620024" w:rsidRPr="006532F4" w:rsidRDefault="00714AEB" w:rsidP="00620024">
      <w:pPr>
        <w:numPr>
          <w:ilvl w:val="0"/>
          <w:numId w:val="38"/>
        </w:numPr>
        <w:rPr>
          <w:spacing w:val="-2"/>
          <w:lang/>
        </w:rPr>
      </w:pPr>
      <w:r w:rsidRPr="006532F4">
        <w:rPr>
          <w:spacing w:val="-2"/>
          <w:lang/>
        </w:rPr>
        <w:t>Nejvyšší závažno</w:t>
      </w:r>
      <w:r w:rsidR="0039614C">
        <w:rPr>
          <w:spacing w:val="-2"/>
          <w:lang/>
        </w:rPr>
        <w:t>stí se vyznačují nehody z účastí chodců</w:t>
      </w:r>
      <w:r w:rsidRPr="006532F4">
        <w:rPr>
          <w:spacing w:val="-2"/>
          <w:lang/>
        </w:rPr>
        <w:t xml:space="preserve"> </w:t>
      </w:r>
      <w:r w:rsidR="00D26F91" w:rsidRPr="006532F4">
        <w:rPr>
          <w:spacing w:val="-2"/>
          <w:lang/>
        </w:rPr>
        <w:t xml:space="preserve">(v letech 2009-2012 </w:t>
      </w:r>
      <w:r w:rsidR="00C92CDD">
        <w:rPr>
          <w:spacing w:val="-2"/>
          <w:lang/>
        </w:rPr>
        <w:t xml:space="preserve">při </w:t>
      </w:r>
      <w:r w:rsidR="00D26F91" w:rsidRPr="006532F4">
        <w:rPr>
          <w:spacing w:val="-2"/>
          <w:lang/>
        </w:rPr>
        <w:t>nich zemřelo</w:t>
      </w:r>
      <w:r w:rsidRPr="006532F4">
        <w:rPr>
          <w:spacing w:val="-2"/>
          <w:lang/>
        </w:rPr>
        <w:t xml:space="preserve"> </w:t>
      </w:r>
      <w:r w:rsidR="00D26F91" w:rsidRPr="006532F4">
        <w:rPr>
          <w:spacing w:val="-2"/>
          <w:lang/>
        </w:rPr>
        <w:t>či bylo těžce zraněno</w:t>
      </w:r>
      <w:r w:rsidRPr="006532F4">
        <w:rPr>
          <w:spacing w:val="-2"/>
          <w:lang/>
        </w:rPr>
        <w:t xml:space="preserve"> </w:t>
      </w:r>
      <w:r w:rsidR="00D26F91" w:rsidRPr="006532F4">
        <w:rPr>
          <w:spacing w:val="-2"/>
          <w:lang/>
        </w:rPr>
        <w:t>21</w:t>
      </w:r>
      <w:r w:rsidRPr="006532F4">
        <w:rPr>
          <w:spacing w:val="-2"/>
          <w:lang/>
        </w:rPr>
        <w:t xml:space="preserve"> % účastníků), následované většími motocykly (</w:t>
      </w:r>
      <w:r w:rsidR="00D26F91" w:rsidRPr="006532F4">
        <w:rPr>
          <w:spacing w:val="-2"/>
          <w:lang/>
        </w:rPr>
        <w:t>20 %), mopedy a menšími motocykly (15</w:t>
      </w:r>
      <w:r w:rsidRPr="006532F4">
        <w:rPr>
          <w:spacing w:val="-2"/>
          <w:lang/>
        </w:rPr>
        <w:t xml:space="preserve"> %)</w:t>
      </w:r>
      <w:r w:rsidR="001D4BFC" w:rsidRPr="006532F4">
        <w:rPr>
          <w:spacing w:val="-2"/>
          <w:lang/>
        </w:rPr>
        <w:t xml:space="preserve">, </w:t>
      </w:r>
      <w:r w:rsidRPr="006532F4">
        <w:rPr>
          <w:spacing w:val="-2"/>
          <w:lang/>
        </w:rPr>
        <w:t xml:space="preserve">cyklisty </w:t>
      </w:r>
      <w:r w:rsidR="00D26F91" w:rsidRPr="006532F4">
        <w:rPr>
          <w:spacing w:val="-2"/>
          <w:lang/>
        </w:rPr>
        <w:t>(13,5</w:t>
      </w:r>
      <w:r w:rsidR="00D60951" w:rsidRPr="006532F4">
        <w:rPr>
          <w:spacing w:val="-2"/>
          <w:lang/>
        </w:rPr>
        <w:t xml:space="preserve"> %) a jinými nemotorovými vozidly – většinou povozy (9 %). </w:t>
      </w:r>
      <w:r w:rsidR="00EB651F" w:rsidRPr="006532F4">
        <w:rPr>
          <w:spacing w:val="-2"/>
          <w:lang/>
        </w:rPr>
        <w:t>Ve skladbě obětí silničních nehod dominují řidiči osobních aut (36,2 % v roce 2013), jejich podíl dlouhodobě mírně roste na úkor jejich spolucestujících. To je důsledek jejich lepší ochrany (např. pásy na zadních sedadlech)</w:t>
      </w:r>
      <w:r w:rsidR="001D4BFC" w:rsidRPr="006532F4">
        <w:rPr>
          <w:spacing w:val="-2"/>
          <w:lang/>
        </w:rPr>
        <w:t>,</w:t>
      </w:r>
      <w:r w:rsidR="00EB651F" w:rsidRPr="006532F4">
        <w:rPr>
          <w:spacing w:val="-2"/>
          <w:lang/>
        </w:rPr>
        <w:t xml:space="preserve"> částečně i klesající průměrného počtu cestujících v osobních vozech. </w:t>
      </w:r>
      <w:r w:rsidR="001D4BFC" w:rsidRPr="006532F4">
        <w:rPr>
          <w:spacing w:val="-2"/>
          <w:lang/>
        </w:rPr>
        <w:t>Chodci tvořili</w:t>
      </w:r>
      <w:r w:rsidR="006512E9" w:rsidRPr="006532F4">
        <w:rPr>
          <w:spacing w:val="-2"/>
          <w:lang/>
        </w:rPr>
        <w:t xml:space="preserve"> 23 % obětí (podobně jako před 15 lety), jejich podíl od roku 2007 roste, podobně jako u cyklistů. Ti tvořili v roce 2013 desetinu obětí (shodně jako motocyklisté, jejichž podíl se však zvyšuje již od poloviny 90. let).</w:t>
      </w:r>
    </w:p>
    <w:p w:rsidR="006512E9" w:rsidRPr="006532F4" w:rsidRDefault="006512E9" w:rsidP="006512E9">
      <w:pPr>
        <w:rPr>
          <w:spacing w:val="-2"/>
          <w:lang/>
        </w:rPr>
      </w:pPr>
    </w:p>
    <w:p w:rsidR="001D4BFC" w:rsidRDefault="00E647CF" w:rsidP="001D4BFC">
      <w:pPr>
        <w:numPr>
          <w:ilvl w:val="0"/>
          <w:numId w:val="38"/>
        </w:numPr>
        <w:rPr>
          <w:spacing w:val="-2"/>
          <w:lang/>
        </w:rPr>
      </w:pPr>
      <w:r w:rsidRPr="006532F4">
        <w:rPr>
          <w:spacing w:val="-2"/>
          <w:lang/>
        </w:rPr>
        <w:t>Z hlediska typu komunikace vykazují nejvyšší závažnost nehod</w:t>
      </w:r>
      <w:r w:rsidR="003F0DC6">
        <w:rPr>
          <w:spacing w:val="-2"/>
          <w:lang/>
        </w:rPr>
        <w:t>y</w:t>
      </w:r>
      <w:r w:rsidRPr="006532F4">
        <w:rPr>
          <w:spacing w:val="-2"/>
          <w:lang/>
        </w:rPr>
        <w:t xml:space="preserve"> </w:t>
      </w:r>
      <w:r w:rsidR="00470380" w:rsidRPr="006532F4">
        <w:rPr>
          <w:spacing w:val="-2"/>
          <w:lang/>
        </w:rPr>
        <w:t xml:space="preserve">na </w:t>
      </w:r>
      <w:r w:rsidRPr="006532F4">
        <w:rPr>
          <w:spacing w:val="-2"/>
          <w:lang/>
        </w:rPr>
        <w:t>silnic</w:t>
      </w:r>
      <w:r w:rsidR="00470380" w:rsidRPr="006532F4">
        <w:rPr>
          <w:spacing w:val="-2"/>
          <w:lang/>
        </w:rPr>
        <w:t>ích</w:t>
      </w:r>
      <w:r w:rsidRPr="006532F4">
        <w:rPr>
          <w:spacing w:val="-2"/>
          <w:lang/>
        </w:rPr>
        <w:t xml:space="preserve"> 1. třídy (soustřeďují přitom méně</w:t>
      </w:r>
      <w:r w:rsidR="00B3089E">
        <w:rPr>
          <w:spacing w:val="-2"/>
          <w:lang/>
        </w:rPr>
        <w:t xml:space="preserve"> než šestinu veškerých </w:t>
      </w:r>
      <w:r w:rsidRPr="006532F4">
        <w:rPr>
          <w:spacing w:val="-2"/>
          <w:lang/>
        </w:rPr>
        <w:t xml:space="preserve">nehod), a to vlivem velmi vysokého podílu usmrcených. V případě podílu lehkých i těžkých zranění je mírně převyšují silnice 2. třídy. Zastoupení zraněných (v celkovém počtu nehod) na dálnicích bylo v posledních pěti letech </w:t>
      </w:r>
      <w:r w:rsidR="00AD0B0C" w:rsidRPr="006532F4">
        <w:rPr>
          <w:spacing w:val="-2"/>
          <w:lang/>
        </w:rPr>
        <w:t xml:space="preserve">o čtvrtinu pod úrovní všech komunikací ČR (zároveň </w:t>
      </w:r>
      <w:r w:rsidR="00470380" w:rsidRPr="006532F4">
        <w:rPr>
          <w:spacing w:val="-2"/>
          <w:lang/>
        </w:rPr>
        <w:t>srovnatelné s velkými</w:t>
      </w:r>
      <w:r w:rsidR="00AD0B0C" w:rsidRPr="006532F4">
        <w:rPr>
          <w:spacing w:val="-2"/>
          <w:lang/>
        </w:rPr>
        <w:t xml:space="preserve"> měst</w:t>
      </w:r>
      <w:r w:rsidR="00B3089E">
        <w:rPr>
          <w:spacing w:val="-2"/>
          <w:lang/>
        </w:rPr>
        <w:t xml:space="preserve">y), v případě váhy usmrcených však již patří dálnice k rizikovějším. </w:t>
      </w:r>
      <w:r w:rsidR="00470380" w:rsidRPr="006532F4">
        <w:rPr>
          <w:spacing w:val="-2"/>
          <w:lang/>
        </w:rPr>
        <w:t xml:space="preserve"> </w:t>
      </w:r>
      <w:r w:rsidR="00B3089E">
        <w:rPr>
          <w:spacing w:val="-2"/>
          <w:lang/>
        </w:rPr>
        <w:t xml:space="preserve">Jinak je tomu při hodnocení v relaci k dosaženým dopravním výkonům (vozokm), kdy silnice 3. třídy zaznamenávají více </w:t>
      </w:r>
      <w:r w:rsidR="0039614C">
        <w:rPr>
          <w:spacing w:val="-2"/>
          <w:lang/>
        </w:rPr>
        <w:t xml:space="preserve">než </w:t>
      </w:r>
      <w:r w:rsidR="00B3089E">
        <w:rPr>
          <w:spacing w:val="-2"/>
          <w:lang/>
        </w:rPr>
        <w:t>2,2krát vyšší četnost</w:t>
      </w:r>
      <w:r w:rsidR="00B3089E" w:rsidRPr="00B3089E">
        <w:rPr>
          <w:spacing w:val="-2"/>
          <w:lang/>
        </w:rPr>
        <w:t xml:space="preserve"> </w:t>
      </w:r>
      <w:r w:rsidR="003F0DC6">
        <w:rPr>
          <w:spacing w:val="-2"/>
          <w:lang/>
        </w:rPr>
        <w:t>osobních nehod než silnice</w:t>
      </w:r>
      <w:r w:rsidR="00B3089E">
        <w:rPr>
          <w:spacing w:val="-2"/>
          <w:lang/>
        </w:rPr>
        <w:t xml:space="preserve"> 1. třídy a desetkrát vyšší než dálnice.</w:t>
      </w:r>
    </w:p>
    <w:p w:rsidR="0095013C" w:rsidRDefault="0095013C" w:rsidP="0095013C">
      <w:pPr>
        <w:pStyle w:val="Odstavecseseznamem"/>
        <w:rPr>
          <w:spacing w:val="-2"/>
          <w:lang/>
        </w:rPr>
      </w:pPr>
    </w:p>
    <w:p w:rsidR="0095013C" w:rsidRDefault="00326794" w:rsidP="001D4BFC">
      <w:pPr>
        <w:numPr>
          <w:ilvl w:val="0"/>
          <w:numId w:val="38"/>
        </w:numPr>
        <w:rPr>
          <w:spacing w:val="-2"/>
          <w:lang/>
        </w:rPr>
      </w:pPr>
      <w:r>
        <w:rPr>
          <w:spacing w:val="-2"/>
          <w:lang/>
        </w:rPr>
        <w:t>Zhoršená</w:t>
      </w:r>
      <w:r w:rsidR="0050498C">
        <w:rPr>
          <w:spacing w:val="-2"/>
          <w:lang/>
        </w:rPr>
        <w:t xml:space="preserve"> </w:t>
      </w:r>
      <w:r>
        <w:rPr>
          <w:spacing w:val="-2"/>
          <w:lang/>
        </w:rPr>
        <w:t>viditelnost měla v roce 2012 v ČR na svědomí tři z deseti nehod (ale téměř 45 % všech úmrtí), podobně jako nehody při zhoršeném stavu vozovky (ty se ale nevyznačují zvýšenou</w:t>
      </w:r>
      <w:r w:rsidR="00E05343">
        <w:rPr>
          <w:spacing w:val="-2"/>
          <w:lang/>
        </w:rPr>
        <w:t xml:space="preserve"> závažností). </w:t>
      </w:r>
      <w:r>
        <w:rPr>
          <w:spacing w:val="-2"/>
          <w:lang/>
        </w:rPr>
        <w:t>Na zhoršené povětrnostní podmínky (zejména déšť, sněžení) pak připadala t</w:t>
      </w:r>
      <w:r w:rsidR="00E05343">
        <w:rPr>
          <w:spacing w:val="-2"/>
          <w:lang/>
        </w:rPr>
        <w:t>éměř každá šestá osobní nehoda. V podrobnějším pohledu je nejvyšší závažnost spojena s nehodami se zhoršenými rozhledovými podmínkami vlivem profilu komunikace či vegetace, jejichž četnost není naštěstí vysoká.</w:t>
      </w:r>
      <w:r w:rsidR="00417553">
        <w:rPr>
          <w:spacing w:val="-2"/>
          <w:lang/>
        </w:rPr>
        <w:t xml:space="preserve"> V souhrnu se nehody při zhoršených přírodních podmínkách </w:t>
      </w:r>
      <w:r w:rsidR="003F0DC6">
        <w:rPr>
          <w:spacing w:val="-2"/>
          <w:lang/>
        </w:rPr>
        <w:t xml:space="preserve">více soustřeďují </w:t>
      </w:r>
      <w:r w:rsidR="00417553">
        <w:rPr>
          <w:spacing w:val="-2"/>
          <w:lang/>
        </w:rPr>
        <w:t>v příhraničních oblastech Čech a na Vysočině.</w:t>
      </w:r>
    </w:p>
    <w:p w:rsidR="00417553" w:rsidRDefault="00417553" w:rsidP="00417553">
      <w:pPr>
        <w:pStyle w:val="Odstavecseseznamem"/>
        <w:rPr>
          <w:spacing w:val="-2"/>
          <w:lang/>
        </w:rPr>
      </w:pPr>
    </w:p>
    <w:p w:rsidR="00417553" w:rsidRDefault="00BE7EF1" w:rsidP="001D4BFC">
      <w:pPr>
        <w:numPr>
          <w:ilvl w:val="0"/>
          <w:numId w:val="38"/>
        </w:numPr>
        <w:rPr>
          <w:spacing w:val="-2"/>
          <w:lang/>
        </w:rPr>
      </w:pPr>
      <w:r>
        <w:rPr>
          <w:spacing w:val="-2"/>
          <w:lang/>
        </w:rPr>
        <w:t>V roce 2013 zavinili řidiči v ČR, u kterých byl prokázán vliv alkoholu či drog</w:t>
      </w:r>
      <w:r w:rsidR="007F6AEB">
        <w:rPr>
          <w:spacing w:val="-2"/>
          <w:lang/>
        </w:rPr>
        <w:t>, 6,4 % nehod</w:t>
      </w:r>
      <w:r>
        <w:rPr>
          <w:spacing w:val="-2"/>
          <w:lang/>
        </w:rPr>
        <w:t xml:space="preserve"> </w:t>
      </w:r>
      <w:r w:rsidR="007F6AEB">
        <w:rPr>
          <w:spacing w:val="-2"/>
          <w:lang/>
        </w:rPr>
        <w:t>(</w:t>
      </w:r>
      <w:r>
        <w:rPr>
          <w:spacing w:val="-2"/>
          <w:lang/>
        </w:rPr>
        <w:t>na všech úmrtích a zraněních se však podíleli celou desetinou</w:t>
      </w:r>
      <w:r w:rsidR="007F6AEB">
        <w:rPr>
          <w:spacing w:val="-2"/>
          <w:lang/>
        </w:rPr>
        <w:t>)</w:t>
      </w:r>
      <w:r>
        <w:rPr>
          <w:spacing w:val="-2"/>
          <w:lang/>
        </w:rPr>
        <w:t xml:space="preserve">. Ve skutečnosti může být podíl takto zaviněných nehod až dvojnásobný, neboť u části viníků nejsou zkoušky na přítomnost návykových látek provedeny (kromě části nehod bez zranění i v případech, kdy viník od nehod ujede či při ní sám zemře). </w:t>
      </w:r>
      <w:r w:rsidR="00B177CD">
        <w:rPr>
          <w:spacing w:val="-2"/>
          <w:lang/>
        </w:rPr>
        <w:t xml:space="preserve">Podíl nehod s prokázaným vlivem alkoholu dlouhodobě mírně klesá (zejména nehody pouze se zraněním), četnější jsou naopak případy zavinění pod vlivem drog či jiných omamných látek. </w:t>
      </w:r>
      <w:r w:rsidR="00CB7FEA">
        <w:rPr>
          <w:spacing w:val="-2"/>
          <w:lang/>
        </w:rPr>
        <w:t>Mezi jednotlivými viníky nehod byl posledním pětiletí alkohol nejvíce rozšířen u cyklistů (30 %), mopedistů (21 %), chodců (16 %), řidičů malých motocyklů (12,5 %</w:t>
      </w:r>
      <w:r w:rsidR="007F6AEB">
        <w:rPr>
          <w:spacing w:val="-2"/>
          <w:lang/>
        </w:rPr>
        <w:t>) a také u vozků a traktoristů (</w:t>
      </w:r>
      <w:r w:rsidR="00CB7FEA">
        <w:rPr>
          <w:spacing w:val="-2"/>
          <w:lang/>
        </w:rPr>
        <w:t xml:space="preserve">téměř desetina zaviněných nehod). Častější jízda pod vlivem alkoholu je spojena s provozem mimo obec, </w:t>
      </w:r>
      <w:r w:rsidR="007F6AEB">
        <w:rPr>
          <w:spacing w:val="-2"/>
          <w:lang/>
        </w:rPr>
        <w:t xml:space="preserve">dále </w:t>
      </w:r>
      <w:r w:rsidR="00CB7FEA">
        <w:rPr>
          <w:spacing w:val="-2"/>
          <w:lang/>
        </w:rPr>
        <w:t xml:space="preserve">v moravských krajích a </w:t>
      </w:r>
      <w:r w:rsidR="007F6AEB">
        <w:rPr>
          <w:spacing w:val="-2"/>
          <w:lang/>
        </w:rPr>
        <w:t xml:space="preserve">také </w:t>
      </w:r>
      <w:r w:rsidR="00CB7FEA">
        <w:rPr>
          <w:spacing w:val="-2"/>
          <w:lang/>
        </w:rPr>
        <w:t>při víkendovém provozu (s více než dvojnásobně vyšším podílem než v pracovních dnech).</w:t>
      </w:r>
    </w:p>
    <w:p w:rsidR="00CB7FEA" w:rsidRDefault="00CB7FEA" w:rsidP="00CB7FEA">
      <w:pPr>
        <w:pStyle w:val="Odstavecseseznamem"/>
        <w:rPr>
          <w:spacing w:val="-2"/>
          <w:lang/>
        </w:rPr>
      </w:pPr>
    </w:p>
    <w:p w:rsidR="00CB7FEA" w:rsidRDefault="00FC48CD" w:rsidP="00CB7FEA">
      <w:pPr>
        <w:numPr>
          <w:ilvl w:val="0"/>
          <w:numId w:val="38"/>
        </w:numPr>
        <w:rPr>
          <w:spacing w:val="-2"/>
          <w:lang/>
        </w:rPr>
      </w:pPr>
      <w:r>
        <w:rPr>
          <w:spacing w:val="-2"/>
          <w:lang/>
        </w:rPr>
        <w:t>V souvislosti s přirozenou obnovou vozového parku dlouhodobě ubývá nehod, při kterých nebyli jejich účastníci chráněni bezpečnostními prvky (pásy, airbagy, helmy). Zatímco v roce 1995 zemřela téměř polovina účastníků nehod bez použití těchto prvků, v roce 2012 již méně než třetina. Šlo přitom zejména o chodce (u kterých se použití ochranných prvků, např. reflexního oblečení zatím nesleduje) a cyklisty, kde je rutinní použití helmy (s výjimkou Prahy) stále ještě menšinovou záležitostí</w:t>
      </w:r>
      <w:r w:rsidR="001F4705">
        <w:rPr>
          <w:spacing w:val="-2"/>
          <w:lang/>
        </w:rPr>
        <w:t xml:space="preserve">. Účastníci, kteří při provozu nebyli chráněni některými z výše uvedených prvků, měli větší pravděpodobnost výskytu vážnějších zranění (či usmrcení). Šlo především o všechny cestující v osobních autech a také spolucestující v nákladních </w:t>
      </w:r>
      <w:r w:rsidR="008B1F5C">
        <w:rPr>
          <w:spacing w:val="-2"/>
          <w:lang/>
        </w:rPr>
        <w:t xml:space="preserve">vozech, v menší míře to však v roce 2012 platilo pro všechny </w:t>
      </w:r>
      <w:r w:rsidR="00E56C74">
        <w:rPr>
          <w:spacing w:val="-2"/>
          <w:lang/>
        </w:rPr>
        <w:t xml:space="preserve">ostatní </w:t>
      </w:r>
      <w:r w:rsidR="008B1F5C">
        <w:rPr>
          <w:spacing w:val="-2"/>
          <w:lang/>
        </w:rPr>
        <w:t xml:space="preserve">účastníky provozu. </w:t>
      </w:r>
      <w:r w:rsidR="004C259A">
        <w:rPr>
          <w:spacing w:val="-2"/>
          <w:lang/>
        </w:rPr>
        <w:t>Závažnost nehod je také významně ovlivněna „bezpečnou jízdou“ vlastních řidičů. Lze předpo</w:t>
      </w:r>
      <w:r w:rsidR="007B394C">
        <w:rPr>
          <w:spacing w:val="-2"/>
          <w:lang/>
        </w:rPr>
        <w:t>kládat,</w:t>
      </w:r>
      <w:r w:rsidR="004C259A">
        <w:rPr>
          <w:spacing w:val="-2"/>
          <w:lang/>
        </w:rPr>
        <w:t xml:space="preserve"> že </w:t>
      </w:r>
      <w:r w:rsidR="007B394C">
        <w:rPr>
          <w:spacing w:val="-2"/>
          <w:lang/>
        </w:rPr>
        <w:t>řidiči,</w:t>
      </w:r>
      <w:r w:rsidR="00E4391D">
        <w:rPr>
          <w:spacing w:val="-2"/>
          <w:lang/>
        </w:rPr>
        <w:t xml:space="preserve"> kteří tyto ochranné pomůcky pro sebe ani své případné spolucestující nepoužijí (pokud jim tuto </w:t>
      </w:r>
      <w:r w:rsidR="007A11E2">
        <w:rPr>
          <w:spacing w:val="-2"/>
          <w:lang/>
        </w:rPr>
        <w:t xml:space="preserve">možnost </w:t>
      </w:r>
      <w:r w:rsidR="00E56C74">
        <w:rPr>
          <w:spacing w:val="-2"/>
          <w:lang/>
        </w:rPr>
        <w:t xml:space="preserve">zároveň </w:t>
      </w:r>
      <w:r w:rsidR="00E4391D">
        <w:rPr>
          <w:spacing w:val="-2"/>
          <w:lang/>
        </w:rPr>
        <w:t xml:space="preserve">vozidlo poskytuje) </w:t>
      </w:r>
      <w:r w:rsidR="007B394C">
        <w:rPr>
          <w:spacing w:val="-2"/>
          <w:lang/>
        </w:rPr>
        <w:t>svůj méně neodpovědný přístup často aplikují i při řízení vozidla (např. rychlá jízda, užití návykových látek) a tím vystavují sebe i své spolujezdce zvýšené pravděpodobnosti vážnějších kolizí.</w:t>
      </w:r>
    </w:p>
    <w:p w:rsidR="00CF0CE5" w:rsidRPr="00CB7FEA" w:rsidRDefault="00CF0CE5" w:rsidP="00CF0CE5">
      <w:pPr>
        <w:rPr>
          <w:spacing w:val="-2"/>
          <w:lang/>
        </w:rPr>
      </w:pPr>
    </w:p>
    <w:p w:rsidR="00CF0CE5" w:rsidRPr="006532F4" w:rsidRDefault="002F60B4" w:rsidP="00CF0CE5">
      <w:pPr>
        <w:numPr>
          <w:ilvl w:val="0"/>
          <w:numId w:val="38"/>
        </w:numPr>
        <w:rPr>
          <w:spacing w:val="-2"/>
          <w:lang/>
        </w:rPr>
      </w:pPr>
      <w:r>
        <w:rPr>
          <w:spacing w:val="-2"/>
          <w:lang/>
        </w:rPr>
        <w:t xml:space="preserve">Občané s cizí státní příslušností zavinili </w:t>
      </w:r>
      <w:r w:rsidR="00B75185">
        <w:rPr>
          <w:spacing w:val="-2"/>
          <w:lang/>
        </w:rPr>
        <w:t xml:space="preserve">v roce 2013 </w:t>
      </w:r>
      <w:r w:rsidR="00884794">
        <w:rPr>
          <w:spacing w:val="-2"/>
          <w:lang/>
        </w:rPr>
        <w:t xml:space="preserve">na území ČR </w:t>
      </w:r>
      <w:r w:rsidR="003E20FD">
        <w:rPr>
          <w:spacing w:val="-2"/>
          <w:lang/>
        </w:rPr>
        <w:t xml:space="preserve">7,1 % </w:t>
      </w:r>
      <w:r w:rsidR="009D765C">
        <w:rPr>
          <w:spacing w:val="-2"/>
          <w:lang/>
        </w:rPr>
        <w:t>veškerých</w:t>
      </w:r>
      <w:r w:rsidR="00B75185">
        <w:rPr>
          <w:spacing w:val="-2"/>
          <w:lang/>
        </w:rPr>
        <w:t xml:space="preserve"> nehod</w:t>
      </w:r>
      <w:r w:rsidR="00B75185" w:rsidRPr="00B75185">
        <w:rPr>
          <w:spacing w:val="-2"/>
          <w:lang/>
        </w:rPr>
        <w:t xml:space="preserve"> </w:t>
      </w:r>
      <w:r w:rsidR="00B75185">
        <w:rPr>
          <w:spacing w:val="-2"/>
          <w:lang/>
        </w:rPr>
        <w:t xml:space="preserve">(na celkovém počtu obětí se ale podíleli 8,3 %). </w:t>
      </w:r>
      <w:r w:rsidR="005828A6">
        <w:rPr>
          <w:spacing w:val="-2"/>
          <w:lang/>
        </w:rPr>
        <w:t xml:space="preserve">Jejich vliv na silniční nehodovost v ČR (a její následky) </w:t>
      </w:r>
      <w:r w:rsidR="001D5E35">
        <w:rPr>
          <w:spacing w:val="-2"/>
          <w:lang/>
        </w:rPr>
        <w:t xml:space="preserve">dlouhodobě mírně roste (významnější posílení vlivu bylo patrné v letech těsně po vstupu do EU). Vyšší četnost nehod cizinců je důsledkem posilování významu tranzitní dopravy, ale i rostoucího počtu </w:t>
      </w:r>
      <w:r w:rsidR="00304881">
        <w:rPr>
          <w:spacing w:val="-2"/>
          <w:lang/>
        </w:rPr>
        <w:t xml:space="preserve">pracujících </w:t>
      </w:r>
      <w:r w:rsidR="00EA76B0">
        <w:rPr>
          <w:spacing w:val="-2"/>
          <w:lang/>
        </w:rPr>
        <w:t xml:space="preserve">cizinců </w:t>
      </w:r>
      <w:r w:rsidR="00E46E44">
        <w:rPr>
          <w:spacing w:val="-2"/>
          <w:lang/>
        </w:rPr>
        <w:t>(</w:t>
      </w:r>
      <w:r w:rsidR="00EA76B0">
        <w:rPr>
          <w:spacing w:val="-2"/>
          <w:lang/>
        </w:rPr>
        <w:t>s dlouhodobým pobytem na území ČR</w:t>
      </w:r>
      <w:r w:rsidR="00E46E44">
        <w:rPr>
          <w:spacing w:val="-2"/>
          <w:lang/>
        </w:rPr>
        <w:t>)</w:t>
      </w:r>
      <w:r w:rsidR="00EA76B0">
        <w:rPr>
          <w:spacing w:val="-2"/>
          <w:lang/>
        </w:rPr>
        <w:t xml:space="preserve"> v</w:t>
      </w:r>
      <w:r w:rsidR="00E46E44">
        <w:rPr>
          <w:spacing w:val="-2"/>
          <w:lang/>
        </w:rPr>
        <w:t xml:space="preserve"> době konjunktury. </w:t>
      </w:r>
      <w:r w:rsidR="008E43BC">
        <w:rPr>
          <w:spacing w:val="-2"/>
          <w:lang/>
        </w:rPr>
        <w:t xml:space="preserve">Navzdory poklesu (patrného od roku 2009) </w:t>
      </w:r>
      <w:r w:rsidR="00991BC1">
        <w:rPr>
          <w:spacing w:val="-2"/>
          <w:lang/>
        </w:rPr>
        <w:t>mají stále nejvíce</w:t>
      </w:r>
      <w:r w:rsidR="00EA76B0">
        <w:rPr>
          <w:spacing w:val="-2"/>
          <w:lang/>
        </w:rPr>
        <w:t xml:space="preserve"> </w:t>
      </w:r>
      <w:r w:rsidR="00991BC1">
        <w:rPr>
          <w:spacing w:val="-2"/>
          <w:lang/>
        </w:rPr>
        <w:t xml:space="preserve">usmrcených a zraněných osob při nehodách na svědomí slovenští řidiči, následovaní řidiči z Polska a Německa. </w:t>
      </w:r>
      <w:r w:rsidR="00CF0CE5" w:rsidRPr="00CF0CE5">
        <w:rPr>
          <w:spacing w:val="-2"/>
          <w:lang/>
        </w:rPr>
        <w:t>Vyšší závažnost (usmrcené a těžce zraněné osoby k počtu všech nehod) měly nehody slovenských</w:t>
      </w:r>
      <w:r w:rsidR="00304881">
        <w:rPr>
          <w:spacing w:val="-2"/>
          <w:lang/>
        </w:rPr>
        <w:t xml:space="preserve"> a také polských řidičů</w:t>
      </w:r>
      <w:r w:rsidR="00CF0CE5" w:rsidRPr="00CF0CE5">
        <w:rPr>
          <w:spacing w:val="-2"/>
          <w:lang/>
        </w:rPr>
        <w:t xml:space="preserve"> (ti si „přinášejí“ vysokou nehodovost ze své mat</w:t>
      </w:r>
      <w:r w:rsidR="00304881">
        <w:rPr>
          <w:spacing w:val="-2"/>
          <w:lang/>
        </w:rPr>
        <w:t>eřské země), ale rovněž i řidičů</w:t>
      </w:r>
      <w:r w:rsidR="00CF0CE5" w:rsidRPr="00CF0CE5">
        <w:rPr>
          <w:spacing w:val="-2"/>
          <w:lang/>
        </w:rPr>
        <w:t xml:space="preserve"> z Rakouska a Německa. Zatímco v prvním případě do horší bilance usmrcených patrně promlouvá mezinárodní kamionová doprava, v druhém případě může vyšší závažnost nehod souviset s kratší příhraniční dopravou realizovanou v členitém terénu. Nižší zastoupení vážných nehod je naopak typické pro nehody způsobené vietnamskými řidiči.</w:t>
      </w:r>
    </w:p>
    <w:p w:rsidR="007A11E2" w:rsidRDefault="007A11E2" w:rsidP="00CF0CE5">
      <w:pPr>
        <w:ind w:left="720"/>
        <w:rPr>
          <w:spacing w:val="-2"/>
          <w:lang/>
        </w:rPr>
      </w:pPr>
    </w:p>
    <w:p w:rsidR="00AA400D" w:rsidRPr="001D0EA9" w:rsidRDefault="00185232" w:rsidP="00AA400D">
      <w:pPr>
        <w:numPr>
          <w:ilvl w:val="0"/>
          <w:numId w:val="38"/>
        </w:numPr>
        <w:rPr>
          <w:spacing w:val="-2"/>
          <w:lang/>
        </w:rPr>
      </w:pPr>
      <w:r>
        <w:rPr>
          <w:spacing w:val="-2"/>
          <w:lang/>
        </w:rPr>
        <w:t>Česko patří ke třetině zemí EU s nejvyšší mírou silniční nehodovosti. Na 1 mil obyvatel</w:t>
      </w:r>
      <w:r w:rsidR="00D63523">
        <w:rPr>
          <w:spacing w:val="-2"/>
          <w:lang/>
        </w:rPr>
        <w:t xml:space="preserve"> v roce 2013 připadalo 62 úmrtí, o pětinu více než v EU2</w:t>
      </w:r>
      <w:r w:rsidR="00D27CDB">
        <w:rPr>
          <w:spacing w:val="-2"/>
          <w:lang/>
        </w:rPr>
        <w:t>8</w:t>
      </w:r>
      <w:r w:rsidR="00D63523">
        <w:rPr>
          <w:spacing w:val="-2"/>
          <w:lang/>
        </w:rPr>
        <w:t>.</w:t>
      </w:r>
      <w:r w:rsidR="00D27CDB">
        <w:rPr>
          <w:spacing w:val="-2"/>
          <w:lang/>
        </w:rPr>
        <w:t xml:space="preserve"> </w:t>
      </w:r>
      <w:r w:rsidR="009239E0">
        <w:rPr>
          <w:spacing w:val="-2"/>
          <w:lang/>
        </w:rPr>
        <w:t xml:space="preserve">Úmrtnost na silniční nehody v ČR </w:t>
      </w:r>
      <w:r w:rsidR="009239E0">
        <w:t xml:space="preserve">byla kromě Polska nejvyšší z celého středoevropského regionu (úroveň Rakouska a Slovinska převyšovala o desetinu, Maďarska o pětinu, Slovenska o čtvrtinu a Německa o více než polovinu). </w:t>
      </w:r>
      <w:r w:rsidR="00EF2CFF">
        <w:t>Silný pokles intenzity usmrcených při nehodách (patrný v ČR od roku 2008) byl do značné m</w:t>
      </w:r>
      <w:r w:rsidR="00CB2ACF">
        <w:t>íry celoevropským fenoménem. Při pátrání po jeho příčině je potřeba hledat především faktory obecnější povahy – především probíhající modernizaci vozového parku a zvýšený důraz na preventivní i represivní opatření vůči účastníkům silničního provozu (např. rozšíření „bodového hodnocení“ přestupků řidičů, dopravní osvětu, intenzivní medializace dopadů konkrétních závažných</w:t>
      </w:r>
      <w:r w:rsidR="003304FF">
        <w:t xml:space="preserve"> případů nehod).</w:t>
      </w:r>
      <w:r w:rsidR="00E70305">
        <w:t xml:space="preserve"> Pozice ČR se příliš nelepší ani při zohlednění intenzity dopravy. Podstatně příznivější postavení dosahuje Česku v případě obětí silničních nehod mladších 18 let, a starších 75 let. </w:t>
      </w:r>
    </w:p>
    <w:p w:rsidR="001D0EA9" w:rsidRDefault="001D0EA9" w:rsidP="001D0EA9">
      <w:pPr>
        <w:pStyle w:val="Odstavecseseznamem"/>
        <w:rPr>
          <w:spacing w:val="-2"/>
          <w:lang/>
        </w:rPr>
      </w:pPr>
    </w:p>
    <w:p w:rsidR="00EE38E0" w:rsidRPr="002E5049" w:rsidRDefault="00E27589" w:rsidP="002E5049">
      <w:pPr>
        <w:numPr>
          <w:ilvl w:val="0"/>
          <w:numId w:val="38"/>
        </w:numPr>
        <w:rPr>
          <w:spacing w:val="-2"/>
          <w:lang/>
        </w:rPr>
      </w:pPr>
      <w:r>
        <w:rPr>
          <w:spacing w:val="-2"/>
          <w:lang/>
        </w:rPr>
        <w:t>V případě r</w:t>
      </w:r>
      <w:r w:rsidR="001D0EA9">
        <w:rPr>
          <w:spacing w:val="-2"/>
          <w:lang/>
        </w:rPr>
        <w:t>elativní</w:t>
      </w:r>
      <w:r>
        <w:rPr>
          <w:spacing w:val="-2"/>
          <w:lang/>
        </w:rPr>
        <w:t>ho poč</w:t>
      </w:r>
      <w:r w:rsidR="001D0EA9">
        <w:rPr>
          <w:spacing w:val="-2"/>
          <w:lang/>
        </w:rPr>
        <w:t>t</w:t>
      </w:r>
      <w:r>
        <w:rPr>
          <w:spacing w:val="-2"/>
          <w:lang/>
        </w:rPr>
        <w:t>u</w:t>
      </w:r>
      <w:r w:rsidR="001D0EA9">
        <w:rPr>
          <w:spacing w:val="-2"/>
          <w:lang/>
        </w:rPr>
        <w:t xml:space="preserve"> úmrtí v</w:t>
      </w:r>
      <w:r>
        <w:rPr>
          <w:spacing w:val="-2"/>
          <w:lang/>
        </w:rPr>
        <w:t xml:space="preserve"> přímé souvislosti s </w:t>
      </w:r>
      <w:r w:rsidR="001D0EA9">
        <w:rPr>
          <w:spacing w:val="-2"/>
          <w:lang/>
        </w:rPr>
        <w:t>železniční do</w:t>
      </w:r>
      <w:r>
        <w:rPr>
          <w:spacing w:val="-2"/>
          <w:lang/>
        </w:rPr>
        <w:t>pravou</w:t>
      </w:r>
      <w:r w:rsidR="001D0EA9">
        <w:rPr>
          <w:spacing w:val="-2"/>
          <w:lang/>
        </w:rPr>
        <w:t xml:space="preserve"> </w:t>
      </w:r>
      <w:r>
        <w:rPr>
          <w:spacing w:val="-2"/>
          <w:lang/>
        </w:rPr>
        <w:t xml:space="preserve">se projevuje zřetelný odstup mezi novými a staršími členskými státy EU. </w:t>
      </w:r>
      <w:r w:rsidR="006E0539">
        <w:rPr>
          <w:spacing w:val="-2"/>
          <w:lang/>
        </w:rPr>
        <w:t xml:space="preserve">Česko patří v rámci skupiny „nových členů“ k zemím s nejnižší intenzitou úmrtí (s lepším postavením než sousední Rakousko). </w:t>
      </w:r>
      <w:r w:rsidR="006921FF">
        <w:rPr>
          <w:spacing w:val="-2"/>
          <w:lang/>
        </w:rPr>
        <w:t xml:space="preserve">Nepříznivá situace přetrvává v ČR, ale </w:t>
      </w:r>
      <w:r w:rsidR="00304881">
        <w:rPr>
          <w:spacing w:val="-2"/>
          <w:lang/>
        </w:rPr>
        <w:t xml:space="preserve">i ve </w:t>
      </w:r>
      <w:r w:rsidR="006921FF">
        <w:rPr>
          <w:spacing w:val="-2"/>
          <w:lang/>
        </w:rPr>
        <w:t xml:space="preserve">většině středoevropských států s hustou železniční sítí, u následků nehod na železničních přejezdech. Speciální a početnou kategorií představují usmrcení po střetu chodců s vlakem </w:t>
      </w:r>
      <w:r w:rsidR="006F762F">
        <w:rPr>
          <w:spacing w:val="-2"/>
          <w:lang/>
        </w:rPr>
        <w:t xml:space="preserve">při neoprávněném vstupu na kolejiště (vlivem hrubé nedbalosti či sebevražedného pokusu). </w:t>
      </w:r>
      <w:r w:rsidR="00F937A7">
        <w:rPr>
          <w:spacing w:val="-2"/>
          <w:lang/>
        </w:rPr>
        <w:t>Tato kategorie nehod dosahuje relativně nejvyšších</w:t>
      </w:r>
      <w:r w:rsidR="003F160E" w:rsidRPr="00F937A7">
        <w:rPr>
          <w:szCs w:val="20"/>
          <w:lang/>
        </w:rPr>
        <w:t xml:space="preserve"> hodnot </w:t>
      </w:r>
      <w:r w:rsidR="00F937A7" w:rsidRPr="00F937A7">
        <w:rPr>
          <w:szCs w:val="20"/>
          <w:lang/>
        </w:rPr>
        <w:t>v</w:t>
      </w:r>
      <w:r w:rsidR="00F937A7">
        <w:rPr>
          <w:szCs w:val="20"/>
          <w:lang/>
        </w:rPr>
        <w:t xml:space="preserve"> ČR, Maďarsku</w:t>
      </w:r>
      <w:r w:rsidR="003F160E" w:rsidRPr="00F937A7">
        <w:rPr>
          <w:szCs w:val="20"/>
          <w:lang/>
        </w:rPr>
        <w:t>, R</w:t>
      </w:r>
      <w:r w:rsidR="00F937A7">
        <w:rPr>
          <w:szCs w:val="20"/>
          <w:lang/>
        </w:rPr>
        <w:t>akousku, Německu, či Nizozemsku. Velmi nepříznivé postavení ČR je v tomto případě ovlivněno hustou sítí</w:t>
      </w:r>
      <w:r w:rsidR="003F160E" w:rsidRPr="00F937A7">
        <w:rPr>
          <w:szCs w:val="20"/>
          <w:lang/>
        </w:rPr>
        <w:t xml:space="preserve"> </w:t>
      </w:r>
      <w:r w:rsidR="00F937A7">
        <w:rPr>
          <w:szCs w:val="20"/>
          <w:lang/>
        </w:rPr>
        <w:t>železnic i menších</w:t>
      </w:r>
      <w:r w:rsidR="003F160E" w:rsidRPr="00F937A7">
        <w:rPr>
          <w:szCs w:val="20"/>
          <w:lang/>
        </w:rPr>
        <w:t xml:space="preserve"> sídel (časté vedení železnice v blízkosti </w:t>
      </w:r>
      <w:r w:rsidR="00F937A7">
        <w:rPr>
          <w:szCs w:val="20"/>
          <w:lang/>
        </w:rPr>
        <w:t>o</w:t>
      </w:r>
      <w:r w:rsidR="003F160E" w:rsidRPr="00F937A7">
        <w:rPr>
          <w:szCs w:val="20"/>
          <w:lang/>
        </w:rPr>
        <w:t>bytných celků, nižší vybavenosti doprovodnou infrastrukturou – např. podchody), al</w:t>
      </w:r>
      <w:r w:rsidR="00F937A7">
        <w:rPr>
          <w:szCs w:val="20"/>
          <w:lang/>
        </w:rPr>
        <w:t>e také neukázněným</w:t>
      </w:r>
      <w:r w:rsidR="003F160E" w:rsidRPr="00F937A7">
        <w:rPr>
          <w:szCs w:val="20"/>
          <w:lang/>
        </w:rPr>
        <w:t xml:space="preserve"> chován</w:t>
      </w:r>
      <w:r w:rsidR="00F937A7">
        <w:rPr>
          <w:szCs w:val="20"/>
          <w:lang/>
        </w:rPr>
        <w:t>ím</w:t>
      </w:r>
      <w:r w:rsidR="003F160E" w:rsidRPr="00F937A7">
        <w:rPr>
          <w:szCs w:val="20"/>
          <w:lang/>
        </w:rPr>
        <w:t xml:space="preserve"> c</w:t>
      </w:r>
      <w:r w:rsidR="00304881">
        <w:rPr>
          <w:szCs w:val="20"/>
          <w:lang/>
        </w:rPr>
        <w:t>hodců a tradičně i vyšší celkovou</w:t>
      </w:r>
      <w:r w:rsidR="003F160E" w:rsidRPr="00F937A7">
        <w:rPr>
          <w:szCs w:val="20"/>
          <w:lang/>
        </w:rPr>
        <w:t xml:space="preserve"> sebevražednost v populaci.</w:t>
      </w:r>
    </w:p>
    <w:sectPr w:rsidR="00EE38E0" w:rsidRPr="002E504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82" w:rsidRDefault="001D3082">
      <w:r>
        <w:separator/>
      </w:r>
    </w:p>
  </w:endnote>
  <w:endnote w:type="continuationSeparator" w:id="0">
    <w:p w:rsidR="001D3082" w:rsidRDefault="001D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5.7pt;margin-top:-4.15pt;width:36.75pt;height:17.25pt;z-index:2">
          <v:imagedata r:id="rId1" o:title="3"/>
        </v:shape>
      </w:pic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086571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86691A">
      <w:rPr>
        <w:rFonts w:ascii="Arial" w:hAnsi="Arial" w:cs="Arial"/>
        <w:sz w:val="16"/>
        <w:szCs w:val="16"/>
      </w:rPr>
      <w:t>říjen 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7.1pt;width:39pt;height:21pt;z-index:1">
          <v:imagedata r:id="rId1" o:title="3"/>
        </v:shape>
      </w:pict>
    </w:r>
    <w:r>
      <w:tab/>
    </w:r>
    <w:r>
      <w:tab/>
    </w:r>
  </w:p>
  <w:p w:rsidR="00685B94" w:rsidRDefault="0086691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říjen</w:t>
    </w:r>
    <w:r w:rsidR="00685B94">
      <w:rPr>
        <w:rFonts w:ascii="Arial" w:hAnsi="Arial" w:cs="Arial"/>
        <w:sz w:val="16"/>
        <w:szCs w:val="16"/>
      </w:rPr>
      <w:t xml:space="preserve"> 2014</w:t>
    </w:r>
    <w:r w:rsidR="00685B94">
      <w:tab/>
    </w:r>
    <w:r w:rsidR="00685B94">
      <w:rPr>
        <w:rFonts w:ascii="Arial" w:hAnsi="Arial" w:cs="Arial"/>
        <w:sz w:val="16"/>
        <w:szCs w:val="16"/>
      </w:rPr>
      <w:fldChar w:fldCharType="begin"/>
    </w:r>
    <w:r w:rsidR="00685B94">
      <w:rPr>
        <w:rFonts w:ascii="Arial" w:hAnsi="Arial" w:cs="Arial"/>
        <w:sz w:val="16"/>
        <w:szCs w:val="16"/>
      </w:rPr>
      <w:instrText>PAGE   \* MERGEFORMAT</w:instrText>
    </w:r>
    <w:r w:rsidR="00685B94">
      <w:rPr>
        <w:rFonts w:ascii="Arial" w:hAnsi="Arial" w:cs="Arial"/>
        <w:sz w:val="16"/>
        <w:szCs w:val="16"/>
      </w:rPr>
      <w:fldChar w:fldCharType="separate"/>
    </w:r>
    <w:r w:rsidR="00086571">
      <w:rPr>
        <w:rFonts w:ascii="Arial" w:hAnsi="Arial" w:cs="Arial"/>
        <w:noProof/>
        <w:sz w:val="16"/>
        <w:szCs w:val="16"/>
      </w:rPr>
      <w:t>3</w:t>
    </w:r>
    <w:r w:rsidR="00685B9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82" w:rsidRDefault="001D3082">
      <w:r>
        <w:separator/>
      </w:r>
    </w:p>
  </w:footnote>
  <w:footnote w:type="continuationSeparator" w:id="0">
    <w:p w:rsidR="001D3082" w:rsidRDefault="001D3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>
      <w:tc>
        <w:tcPr>
          <w:tcW w:w="6518" w:type="dxa"/>
        </w:tcPr>
        <w:p w:rsidR="00685B94" w:rsidRDefault="00685B94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 w:rsidRPr="0086691A">
      <w:tc>
        <w:tcPr>
          <w:tcW w:w="6518" w:type="dxa"/>
        </w:tcPr>
        <w:p w:rsidR="00685B94" w:rsidRDefault="00685B94" w:rsidP="00B75BBF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  <w:highlight w:val="yellow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37645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4F43100"/>
    <w:multiLevelType w:val="hybridMultilevel"/>
    <w:tmpl w:val="A3464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23"/>
    <w:multiLevelType w:val="hybridMultilevel"/>
    <w:tmpl w:val="F96EB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E4B7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00B0"/>
    <w:multiLevelType w:val="hybridMultilevel"/>
    <w:tmpl w:val="0290A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D4816"/>
    <w:multiLevelType w:val="multilevel"/>
    <w:tmpl w:val="0B6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EB0369"/>
    <w:multiLevelType w:val="hybridMultilevel"/>
    <w:tmpl w:val="E92012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423F"/>
    <w:multiLevelType w:val="hybridMultilevel"/>
    <w:tmpl w:val="80D04F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2685"/>
    <w:multiLevelType w:val="hybridMultilevel"/>
    <w:tmpl w:val="0290A026"/>
    <w:lvl w:ilvl="0" w:tplc="E3860FD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67461"/>
    <w:multiLevelType w:val="hybridMultilevel"/>
    <w:tmpl w:val="61845866"/>
    <w:lvl w:ilvl="0" w:tplc="69566B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E612E"/>
    <w:multiLevelType w:val="hybridMultilevel"/>
    <w:tmpl w:val="98160A84"/>
    <w:lvl w:ilvl="0" w:tplc="F642FA9A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C7CE2"/>
    <w:multiLevelType w:val="hybridMultilevel"/>
    <w:tmpl w:val="5DE0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34C17"/>
    <w:multiLevelType w:val="hybridMultilevel"/>
    <w:tmpl w:val="F490C5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BEF31DE"/>
    <w:multiLevelType w:val="hybridMultilevel"/>
    <w:tmpl w:val="280C96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A591A"/>
    <w:multiLevelType w:val="hybridMultilevel"/>
    <w:tmpl w:val="605AD6D0"/>
    <w:lvl w:ilvl="0" w:tplc="1974D2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06567"/>
    <w:multiLevelType w:val="hybridMultilevel"/>
    <w:tmpl w:val="213C4E38"/>
    <w:lvl w:ilvl="0" w:tplc="9D96E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636F2"/>
    <w:multiLevelType w:val="hybridMultilevel"/>
    <w:tmpl w:val="DFBCC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50A0F"/>
    <w:multiLevelType w:val="hybridMultilevel"/>
    <w:tmpl w:val="5A76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16"/>
  </w:num>
  <w:num w:numId="6">
    <w:abstractNumId w:val="21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20"/>
  </w:num>
  <w:num w:numId="18">
    <w:abstractNumId w:val="2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16"/>
  </w:num>
  <w:num w:numId="24">
    <w:abstractNumId w:val="0"/>
  </w:num>
  <w:num w:numId="25">
    <w:abstractNumId w:val="0"/>
  </w:num>
  <w:num w:numId="26">
    <w:abstractNumId w:val="0"/>
  </w:num>
  <w:num w:numId="27">
    <w:abstractNumId w:val="18"/>
  </w:num>
  <w:num w:numId="28">
    <w:abstractNumId w:val="12"/>
  </w:num>
  <w:num w:numId="29">
    <w:abstractNumId w:val="19"/>
  </w:num>
  <w:num w:numId="30">
    <w:abstractNumId w:val="7"/>
  </w:num>
  <w:num w:numId="31">
    <w:abstractNumId w:val="17"/>
  </w:num>
  <w:num w:numId="32">
    <w:abstractNumId w:val="5"/>
  </w:num>
  <w:num w:numId="33">
    <w:abstractNumId w:val="15"/>
  </w:num>
  <w:num w:numId="34">
    <w:abstractNumId w:val="1"/>
  </w:num>
  <w:num w:numId="35">
    <w:abstractNumId w:val="0"/>
  </w:num>
  <w:num w:numId="36">
    <w:abstractNumId w:val="0"/>
  </w:num>
  <w:num w:numId="37">
    <w:abstractNumId w:val="8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AB"/>
    <w:rsid w:val="00001DD7"/>
    <w:rsid w:val="0000373F"/>
    <w:rsid w:val="00005800"/>
    <w:rsid w:val="0001070A"/>
    <w:rsid w:val="000124A7"/>
    <w:rsid w:val="00014521"/>
    <w:rsid w:val="0001612E"/>
    <w:rsid w:val="000162DA"/>
    <w:rsid w:val="00016E79"/>
    <w:rsid w:val="00020310"/>
    <w:rsid w:val="00020843"/>
    <w:rsid w:val="000217A8"/>
    <w:rsid w:val="00022498"/>
    <w:rsid w:val="0002336E"/>
    <w:rsid w:val="00030A7A"/>
    <w:rsid w:val="00032F16"/>
    <w:rsid w:val="00040F48"/>
    <w:rsid w:val="000421B1"/>
    <w:rsid w:val="00043998"/>
    <w:rsid w:val="00045D51"/>
    <w:rsid w:val="00051290"/>
    <w:rsid w:val="00053458"/>
    <w:rsid w:val="00054809"/>
    <w:rsid w:val="00054B25"/>
    <w:rsid w:val="00054D5B"/>
    <w:rsid w:val="0005570C"/>
    <w:rsid w:val="00055719"/>
    <w:rsid w:val="00056F9B"/>
    <w:rsid w:val="00057357"/>
    <w:rsid w:val="00060D72"/>
    <w:rsid w:val="000616DD"/>
    <w:rsid w:val="000630F4"/>
    <w:rsid w:val="00063196"/>
    <w:rsid w:val="000705C4"/>
    <w:rsid w:val="00071465"/>
    <w:rsid w:val="00074EB7"/>
    <w:rsid w:val="00074ED6"/>
    <w:rsid w:val="00080BC0"/>
    <w:rsid w:val="00081687"/>
    <w:rsid w:val="00083E44"/>
    <w:rsid w:val="000862A6"/>
    <w:rsid w:val="00086571"/>
    <w:rsid w:val="00087E95"/>
    <w:rsid w:val="000905B3"/>
    <w:rsid w:val="00090E50"/>
    <w:rsid w:val="00092F94"/>
    <w:rsid w:val="00094786"/>
    <w:rsid w:val="0009665E"/>
    <w:rsid w:val="00097BAA"/>
    <w:rsid w:val="000A03AF"/>
    <w:rsid w:val="000A2679"/>
    <w:rsid w:val="000B0A1A"/>
    <w:rsid w:val="000B1272"/>
    <w:rsid w:val="000B1A54"/>
    <w:rsid w:val="000B6A1C"/>
    <w:rsid w:val="000B7F7B"/>
    <w:rsid w:val="000C126C"/>
    <w:rsid w:val="000C44D3"/>
    <w:rsid w:val="000C46AC"/>
    <w:rsid w:val="000C7133"/>
    <w:rsid w:val="000D222D"/>
    <w:rsid w:val="000D2717"/>
    <w:rsid w:val="000D3038"/>
    <w:rsid w:val="000D3A1D"/>
    <w:rsid w:val="000D56D3"/>
    <w:rsid w:val="000E0F6F"/>
    <w:rsid w:val="000E21C6"/>
    <w:rsid w:val="000E3FAF"/>
    <w:rsid w:val="000E4BA2"/>
    <w:rsid w:val="000E54EF"/>
    <w:rsid w:val="000F1280"/>
    <w:rsid w:val="000F1499"/>
    <w:rsid w:val="001000EA"/>
    <w:rsid w:val="00100E80"/>
    <w:rsid w:val="00101017"/>
    <w:rsid w:val="00103AE8"/>
    <w:rsid w:val="00106185"/>
    <w:rsid w:val="00107C20"/>
    <w:rsid w:val="0011597C"/>
    <w:rsid w:val="00116DE8"/>
    <w:rsid w:val="00120887"/>
    <w:rsid w:val="00131152"/>
    <w:rsid w:val="00131AE5"/>
    <w:rsid w:val="001324DB"/>
    <w:rsid w:val="001328B8"/>
    <w:rsid w:val="00136973"/>
    <w:rsid w:val="00140349"/>
    <w:rsid w:val="001406A6"/>
    <w:rsid w:val="00141D9C"/>
    <w:rsid w:val="001429DB"/>
    <w:rsid w:val="00142D85"/>
    <w:rsid w:val="001463C5"/>
    <w:rsid w:val="0015495A"/>
    <w:rsid w:val="001549E6"/>
    <w:rsid w:val="00160668"/>
    <w:rsid w:val="001642DB"/>
    <w:rsid w:val="001649F5"/>
    <w:rsid w:val="00164B15"/>
    <w:rsid w:val="00170306"/>
    <w:rsid w:val="00175609"/>
    <w:rsid w:val="001764CB"/>
    <w:rsid w:val="001768D4"/>
    <w:rsid w:val="001779B6"/>
    <w:rsid w:val="001843E0"/>
    <w:rsid w:val="00184967"/>
    <w:rsid w:val="00184B9C"/>
    <w:rsid w:val="00185232"/>
    <w:rsid w:val="00194858"/>
    <w:rsid w:val="001972EE"/>
    <w:rsid w:val="001A0112"/>
    <w:rsid w:val="001A0382"/>
    <w:rsid w:val="001A6A25"/>
    <w:rsid w:val="001B11BB"/>
    <w:rsid w:val="001B30E3"/>
    <w:rsid w:val="001B38C6"/>
    <w:rsid w:val="001B497C"/>
    <w:rsid w:val="001B5961"/>
    <w:rsid w:val="001B7668"/>
    <w:rsid w:val="001B7D59"/>
    <w:rsid w:val="001C6A8E"/>
    <w:rsid w:val="001D0EA9"/>
    <w:rsid w:val="001D3082"/>
    <w:rsid w:val="001D433E"/>
    <w:rsid w:val="001D4BFC"/>
    <w:rsid w:val="001D5E35"/>
    <w:rsid w:val="001D7367"/>
    <w:rsid w:val="001E4717"/>
    <w:rsid w:val="001E5CAB"/>
    <w:rsid w:val="001F1E91"/>
    <w:rsid w:val="001F1EF2"/>
    <w:rsid w:val="001F1F74"/>
    <w:rsid w:val="001F4705"/>
    <w:rsid w:val="00203FF4"/>
    <w:rsid w:val="00205BAC"/>
    <w:rsid w:val="00205DEC"/>
    <w:rsid w:val="002062BD"/>
    <w:rsid w:val="00213FE7"/>
    <w:rsid w:val="00214A41"/>
    <w:rsid w:val="00217B11"/>
    <w:rsid w:val="00220C0E"/>
    <w:rsid w:val="00222C70"/>
    <w:rsid w:val="00224F57"/>
    <w:rsid w:val="00225892"/>
    <w:rsid w:val="00226758"/>
    <w:rsid w:val="0023076D"/>
    <w:rsid w:val="002329D5"/>
    <w:rsid w:val="00233029"/>
    <w:rsid w:val="002335A9"/>
    <w:rsid w:val="0023708F"/>
    <w:rsid w:val="0024140C"/>
    <w:rsid w:val="0024249F"/>
    <w:rsid w:val="00244340"/>
    <w:rsid w:val="00245159"/>
    <w:rsid w:val="00257C4F"/>
    <w:rsid w:val="00265D38"/>
    <w:rsid w:val="002706D0"/>
    <w:rsid w:val="002802C9"/>
    <w:rsid w:val="00281A9A"/>
    <w:rsid w:val="00284B2E"/>
    <w:rsid w:val="00286F00"/>
    <w:rsid w:val="00287D8E"/>
    <w:rsid w:val="002915E0"/>
    <w:rsid w:val="0029731D"/>
    <w:rsid w:val="002A7920"/>
    <w:rsid w:val="002B13EC"/>
    <w:rsid w:val="002B1C65"/>
    <w:rsid w:val="002B4B5F"/>
    <w:rsid w:val="002C4EA8"/>
    <w:rsid w:val="002C6ED9"/>
    <w:rsid w:val="002C75DC"/>
    <w:rsid w:val="002C7F6E"/>
    <w:rsid w:val="002D1957"/>
    <w:rsid w:val="002D1D14"/>
    <w:rsid w:val="002D1D44"/>
    <w:rsid w:val="002D32BC"/>
    <w:rsid w:val="002D5139"/>
    <w:rsid w:val="002D786E"/>
    <w:rsid w:val="002E0962"/>
    <w:rsid w:val="002E2960"/>
    <w:rsid w:val="002E2B63"/>
    <w:rsid w:val="002E5049"/>
    <w:rsid w:val="002E5831"/>
    <w:rsid w:val="002E5F5C"/>
    <w:rsid w:val="002F2741"/>
    <w:rsid w:val="002F60B4"/>
    <w:rsid w:val="002F6845"/>
    <w:rsid w:val="002F70E5"/>
    <w:rsid w:val="0030074E"/>
    <w:rsid w:val="00300C48"/>
    <w:rsid w:val="003024D4"/>
    <w:rsid w:val="003026CD"/>
    <w:rsid w:val="00304881"/>
    <w:rsid w:val="00306810"/>
    <w:rsid w:val="00311401"/>
    <w:rsid w:val="00311BF5"/>
    <w:rsid w:val="00316C37"/>
    <w:rsid w:val="003175FF"/>
    <w:rsid w:val="00322507"/>
    <w:rsid w:val="003266F3"/>
    <w:rsid w:val="00326794"/>
    <w:rsid w:val="003270C2"/>
    <w:rsid w:val="003279AA"/>
    <w:rsid w:val="003304FF"/>
    <w:rsid w:val="00331834"/>
    <w:rsid w:val="003321B5"/>
    <w:rsid w:val="00334A30"/>
    <w:rsid w:val="00334F6C"/>
    <w:rsid w:val="00336BAF"/>
    <w:rsid w:val="00337330"/>
    <w:rsid w:val="00342A90"/>
    <w:rsid w:val="00343A08"/>
    <w:rsid w:val="00346F3E"/>
    <w:rsid w:val="00350C31"/>
    <w:rsid w:val="00352B50"/>
    <w:rsid w:val="00353088"/>
    <w:rsid w:val="003557B5"/>
    <w:rsid w:val="00355DEB"/>
    <w:rsid w:val="003611E9"/>
    <w:rsid w:val="00364A29"/>
    <w:rsid w:val="00365894"/>
    <w:rsid w:val="00366A7A"/>
    <w:rsid w:val="0036731C"/>
    <w:rsid w:val="00370CCC"/>
    <w:rsid w:val="003710FC"/>
    <w:rsid w:val="00371BEE"/>
    <w:rsid w:val="003722A4"/>
    <w:rsid w:val="00372502"/>
    <w:rsid w:val="00375009"/>
    <w:rsid w:val="00376262"/>
    <w:rsid w:val="00380CDD"/>
    <w:rsid w:val="0038416B"/>
    <w:rsid w:val="003876A7"/>
    <w:rsid w:val="00387B5E"/>
    <w:rsid w:val="003921B0"/>
    <w:rsid w:val="0039431A"/>
    <w:rsid w:val="00394840"/>
    <w:rsid w:val="00395C0E"/>
    <w:rsid w:val="0039614C"/>
    <w:rsid w:val="003A1872"/>
    <w:rsid w:val="003A1E81"/>
    <w:rsid w:val="003A21A8"/>
    <w:rsid w:val="003A328F"/>
    <w:rsid w:val="003B2F98"/>
    <w:rsid w:val="003B3FD1"/>
    <w:rsid w:val="003B5C56"/>
    <w:rsid w:val="003C2C27"/>
    <w:rsid w:val="003C2E72"/>
    <w:rsid w:val="003C331A"/>
    <w:rsid w:val="003C5C58"/>
    <w:rsid w:val="003C648B"/>
    <w:rsid w:val="003C719F"/>
    <w:rsid w:val="003C7C62"/>
    <w:rsid w:val="003D0B76"/>
    <w:rsid w:val="003D5184"/>
    <w:rsid w:val="003D6B07"/>
    <w:rsid w:val="003E13D1"/>
    <w:rsid w:val="003E17E1"/>
    <w:rsid w:val="003E20FD"/>
    <w:rsid w:val="003E3C3B"/>
    <w:rsid w:val="003E5662"/>
    <w:rsid w:val="003E78AD"/>
    <w:rsid w:val="003F0DC6"/>
    <w:rsid w:val="003F160E"/>
    <w:rsid w:val="003F3007"/>
    <w:rsid w:val="00400252"/>
    <w:rsid w:val="00402542"/>
    <w:rsid w:val="004026AE"/>
    <w:rsid w:val="0040316B"/>
    <w:rsid w:val="00404D35"/>
    <w:rsid w:val="00411890"/>
    <w:rsid w:val="004130CC"/>
    <w:rsid w:val="00417003"/>
    <w:rsid w:val="00417553"/>
    <w:rsid w:val="004178F2"/>
    <w:rsid w:val="00421BB3"/>
    <w:rsid w:val="0042352F"/>
    <w:rsid w:val="00437986"/>
    <w:rsid w:val="004419BC"/>
    <w:rsid w:val="00447192"/>
    <w:rsid w:val="00450385"/>
    <w:rsid w:val="004519F0"/>
    <w:rsid w:val="00452EF4"/>
    <w:rsid w:val="00460619"/>
    <w:rsid w:val="0046132E"/>
    <w:rsid w:val="00461BE8"/>
    <w:rsid w:val="00465185"/>
    <w:rsid w:val="00467F46"/>
    <w:rsid w:val="00470380"/>
    <w:rsid w:val="004711BA"/>
    <w:rsid w:val="00471A7C"/>
    <w:rsid w:val="004724A0"/>
    <w:rsid w:val="00476322"/>
    <w:rsid w:val="004779D0"/>
    <w:rsid w:val="00481DC9"/>
    <w:rsid w:val="00483783"/>
    <w:rsid w:val="00486E71"/>
    <w:rsid w:val="00493E93"/>
    <w:rsid w:val="004947B9"/>
    <w:rsid w:val="004A3F65"/>
    <w:rsid w:val="004A40F8"/>
    <w:rsid w:val="004A5847"/>
    <w:rsid w:val="004A6CCA"/>
    <w:rsid w:val="004B3EFB"/>
    <w:rsid w:val="004B42B5"/>
    <w:rsid w:val="004B435A"/>
    <w:rsid w:val="004B7927"/>
    <w:rsid w:val="004C259A"/>
    <w:rsid w:val="004C313C"/>
    <w:rsid w:val="004C4BCC"/>
    <w:rsid w:val="004C526C"/>
    <w:rsid w:val="004C5C1F"/>
    <w:rsid w:val="004D03E4"/>
    <w:rsid w:val="004D39F8"/>
    <w:rsid w:val="004D560B"/>
    <w:rsid w:val="004E0E01"/>
    <w:rsid w:val="004E3CF7"/>
    <w:rsid w:val="004E64B1"/>
    <w:rsid w:val="004F08FD"/>
    <w:rsid w:val="004F1BFA"/>
    <w:rsid w:val="004F24C3"/>
    <w:rsid w:val="004F5E15"/>
    <w:rsid w:val="004F6603"/>
    <w:rsid w:val="0050158F"/>
    <w:rsid w:val="00503CD7"/>
    <w:rsid w:val="00503DE4"/>
    <w:rsid w:val="0050498C"/>
    <w:rsid w:val="00504F27"/>
    <w:rsid w:val="00506508"/>
    <w:rsid w:val="0051155F"/>
    <w:rsid w:val="00512422"/>
    <w:rsid w:val="005154B4"/>
    <w:rsid w:val="00516BF8"/>
    <w:rsid w:val="00517914"/>
    <w:rsid w:val="005208C1"/>
    <w:rsid w:val="0052140D"/>
    <w:rsid w:val="00522F6B"/>
    <w:rsid w:val="00524A3E"/>
    <w:rsid w:val="00535E17"/>
    <w:rsid w:val="005368B9"/>
    <w:rsid w:val="005405FF"/>
    <w:rsid w:val="0054160F"/>
    <w:rsid w:val="0054384C"/>
    <w:rsid w:val="00543C96"/>
    <w:rsid w:val="00544FF0"/>
    <w:rsid w:val="00545DD6"/>
    <w:rsid w:val="005461F2"/>
    <w:rsid w:val="00547418"/>
    <w:rsid w:val="00547B96"/>
    <w:rsid w:val="00550C2F"/>
    <w:rsid w:val="00550F22"/>
    <w:rsid w:val="00552459"/>
    <w:rsid w:val="00552C98"/>
    <w:rsid w:val="00555455"/>
    <w:rsid w:val="005573FD"/>
    <w:rsid w:val="00557ACF"/>
    <w:rsid w:val="00562C45"/>
    <w:rsid w:val="00562FE3"/>
    <w:rsid w:val="0056786E"/>
    <w:rsid w:val="00570106"/>
    <w:rsid w:val="00575C06"/>
    <w:rsid w:val="00580054"/>
    <w:rsid w:val="005811EC"/>
    <w:rsid w:val="005828A6"/>
    <w:rsid w:val="00585E3A"/>
    <w:rsid w:val="00587618"/>
    <w:rsid w:val="00591383"/>
    <w:rsid w:val="00591B2B"/>
    <w:rsid w:val="00594F0B"/>
    <w:rsid w:val="005952D0"/>
    <w:rsid w:val="005973F6"/>
    <w:rsid w:val="005A1F89"/>
    <w:rsid w:val="005A2384"/>
    <w:rsid w:val="005A2824"/>
    <w:rsid w:val="005A3E80"/>
    <w:rsid w:val="005A738A"/>
    <w:rsid w:val="005B2ADF"/>
    <w:rsid w:val="005B3B6C"/>
    <w:rsid w:val="005B5E1F"/>
    <w:rsid w:val="005C1B29"/>
    <w:rsid w:val="005C2E7E"/>
    <w:rsid w:val="005C4AB5"/>
    <w:rsid w:val="005C521B"/>
    <w:rsid w:val="005D019B"/>
    <w:rsid w:val="005D3516"/>
    <w:rsid w:val="005D5D20"/>
    <w:rsid w:val="005E0B29"/>
    <w:rsid w:val="005E1C26"/>
    <w:rsid w:val="005E1E8A"/>
    <w:rsid w:val="005E21C7"/>
    <w:rsid w:val="005E6E54"/>
    <w:rsid w:val="005F18E4"/>
    <w:rsid w:val="005F5282"/>
    <w:rsid w:val="00602D54"/>
    <w:rsid w:val="00604EA3"/>
    <w:rsid w:val="00605801"/>
    <w:rsid w:val="006059AB"/>
    <w:rsid w:val="0060740F"/>
    <w:rsid w:val="0061176D"/>
    <w:rsid w:val="00614128"/>
    <w:rsid w:val="0061755D"/>
    <w:rsid w:val="00620024"/>
    <w:rsid w:val="00625FDD"/>
    <w:rsid w:val="006266FB"/>
    <w:rsid w:val="006267A5"/>
    <w:rsid w:val="0063254B"/>
    <w:rsid w:val="006416FA"/>
    <w:rsid w:val="00645582"/>
    <w:rsid w:val="0064571A"/>
    <w:rsid w:val="00647E04"/>
    <w:rsid w:val="006512E9"/>
    <w:rsid w:val="006532F4"/>
    <w:rsid w:val="0065586C"/>
    <w:rsid w:val="006649E5"/>
    <w:rsid w:val="00666A4A"/>
    <w:rsid w:val="006700A2"/>
    <w:rsid w:val="006704BC"/>
    <w:rsid w:val="006722A1"/>
    <w:rsid w:val="00683B9E"/>
    <w:rsid w:val="00683CD2"/>
    <w:rsid w:val="00685B94"/>
    <w:rsid w:val="006873F2"/>
    <w:rsid w:val="00690C2A"/>
    <w:rsid w:val="00691B43"/>
    <w:rsid w:val="00692045"/>
    <w:rsid w:val="006921FF"/>
    <w:rsid w:val="0069221A"/>
    <w:rsid w:val="006933AC"/>
    <w:rsid w:val="00697393"/>
    <w:rsid w:val="0069784E"/>
    <w:rsid w:val="006A4820"/>
    <w:rsid w:val="006B24FC"/>
    <w:rsid w:val="006C1611"/>
    <w:rsid w:val="006C66FB"/>
    <w:rsid w:val="006D38BE"/>
    <w:rsid w:val="006D3EAA"/>
    <w:rsid w:val="006D419F"/>
    <w:rsid w:val="006D52BA"/>
    <w:rsid w:val="006E0372"/>
    <w:rsid w:val="006E0539"/>
    <w:rsid w:val="006E22F0"/>
    <w:rsid w:val="006F0A06"/>
    <w:rsid w:val="006F0FAD"/>
    <w:rsid w:val="006F1330"/>
    <w:rsid w:val="006F13C6"/>
    <w:rsid w:val="006F1942"/>
    <w:rsid w:val="006F366C"/>
    <w:rsid w:val="006F52AC"/>
    <w:rsid w:val="006F5C2E"/>
    <w:rsid w:val="006F762F"/>
    <w:rsid w:val="006F7EF0"/>
    <w:rsid w:val="0070242E"/>
    <w:rsid w:val="00704198"/>
    <w:rsid w:val="007053F7"/>
    <w:rsid w:val="00706359"/>
    <w:rsid w:val="0071217B"/>
    <w:rsid w:val="00714AEB"/>
    <w:rsid w:val="00715D94"/>
    <w:rsid w:val="00717295"/>
    <w:rsid w:val="00720C53"/>
    <w:rsid w:val="00721EBD"/>
    <w:rsid w:val="0072216C"/>
    <w:rsid w:val="00722EFB"/>
    <w:rsid w:val="007252DF"/>
    <w:rsid w:val="0072626E"/>
    <w:rsid w:val="00736072"/>
    <w:rsid w:val="00736D3F"/>
    <w:rsid w:val="00743F52"/>
    <w:rsid w:val="00744AAD"/>
    <w:rsid w:val="00745816"/>
    <w:rsid w:val="00746384"/>
    <w:rsid w:val="00750525"/>
    <w:rsid w:val="00762235"/>
    <w:rsid w:val="007649BD"/>
    <w:rsid w:val="00765B01"/>
    <w:rsid w:val="00765BCF"/>
    <w:rsid w:val="00771297"/>
    <w:rsid w:val="00771514"/>
    <w:rsid w:val="00773740"/>
    <w:rsid w:val="00773D36"/>
    <w:rsid w:val="00775A37"/>
    <w:rsid w:val="00775EB8"/>
    <w:rsid w:val="00776983"/>
    <w:rsid w:val="00780C60"/>
    <w:rsid w:val="00782697"/>
    <w:rsid w:val="00791527"/>
    <w:rsid w:val="00792DA6"/>
    <w:rsid w:val="00796D59"/>
    <w:rsid w:val="00796F09"/>
    <w:rsid w:val="007A0371"/>
    <w:rsid w:val="007A1117"/>
    <w:rsid w:val="007A11E2"/>
    <w:rsid w:val="007A72D7"/>
    <w:rsid w:val="007B304C"/>
    <w:rsid w:val="007B394C"/>
    <w:rsid w:val="007C11BE"/>
    <w:rsid w:val="007C43C0"/>
    <w:rsid w:val="007C529E"/>
    <w:rsid w:val="007D1C2C"/>
    <w:rsid w:val="007D49C2"/>
    <w:rsid w:val="007D53D8"/>
    <w:rsid w:val="007D73DF"/>
    <w:rsid w:val="007E4BCB"/>
    <w:rsid w:val="007E51AC"/>
    <w:rsid w:val="007E5C2D"/>
    <w:rsid w:val="007E6854"/>
    <w:rsid w:val="007E6BDA"/>
    <w:rsid w:val="007E7B58"/>
    <w:rsid w:val="007F2B54"/>
    <w:rsid w:val="007F2F60"/>
    <w:rsid w:val="007F6AEB"/>
    <w:rsid w:val="00813973"/>
    <w:rsid w:val="008146D3"/>
    <w:rsid w:val="00816636"/>
    <w:rsid w:val="00816A7D"/>
    <w:rsid w:val="00817BAF"/>
    <w:rsid w:val="00820D0F"/>
    <w:rsid w:val="008238A2"/>
    <w:rsid w:val="00825290"/>
    <w:rsid w:val="00827E30"/>
    <w:rsid w:val="00827E5E"/>
    <w:rsid w:val="008373CC"/>
    <w:rsid w:val="00837660"/>
    <w:rsid w:val="00837BDE"/>
    <w:rsid w:val="00837F6F"/>
    <w:rsid w:val="008421EE"/>
    <w:rsid w:val="00843397"/>
    <w:rsid w:val="008449EC"/>
    <w:rsid w:val="00845380"/>
    <w:rsid w:val="00854197"/>
    <w:rsid w:val="00855AB2"/>
    <w:rsid w:val="0085794E"/>
    <w:rsid w:val="0086085B"/>
    <w:rsid w:val="00861142"/>
    <w:rsid w:val="00861E37"/>
    <w:rsid w:val="00862AFC"/>
    <w:rsid w:val="008636B6"/>
    <w:rsid w:val="0086453F"/>
    <w:rsid w:val="0086691A"/>
    <w:rsid w:val="008701C7"/>
    <w:rsid w:val="0087031C"/>
    <w:rsid w:val="00870DB2"/>
    <w:rsid w:val="00871E2D"/>
    <w:rsid w:val="00876E08"/>
    <w:rsid w:val="00877613"/>
    <w:rsid w:val="00881E38"/>
    <w:rsid w:val="00884794"/>
    <w:rsid w:val="00884908"/>
    <w:rsid w:val="008855AD"/>
    <w:rsid w:val="00885F79"/>
    <w:rsid w:val="008912E5"/>
    <w:rsid w:val="00892ACB"/>
    <w:rsid w:val="00892BEE"/>
    <w:rsid w:val="00895F97"/>
    <w:rsid w:val="008A1905"/>
    <w:rsid w:val="008A536F"/>
    <w:rsid w:val="008A74E1"/>
    <w:rsid w:val="008B0B07"/>
    <w:rsid w:val="008B1F5C"/>
    <w:rsid w:val="008B55C7"/>
    <w:rsid w:val="008C031C"/>
    <w:rsid w:val="008C2BFE"/>
    <w:rsid w:val="008D12E0"/>
    <w:rsid w:val="008D53BC"/>
    <w:rsid w:val="008D7AE7"/>
    <w:rsid w:val="008D7CAB"/>
    <w:rsid w:val="008E12B1"/>
    <w:rsid w:val="008E43BC"/>
    <w:rsid w:val="008E4E91"/>
    <w:rsid w:val="008E64F8"/>
    <w:rsid w:val="008F14A6"/>
    <w:rsid w:val="0090254C"/>
    <w:rsid w:val="00902DB1"/>
    <w:rsid w:val="009079AE"/>
    <w:rsid w:val="00916222"/>
    <w:rsid w:val="00916CBB"/>
    <w:rsid w:val="00916ECB"/>
    <w:rsid w:val="0092001D"/>
    <w:rsid w:val="00921B55"/>
    <w:rsid w:val="009239E0"/>
    <w:rsid w:val="00924182"/>
    <w:rsid w:val="009245E2"/>
    <w:rsid w:val="009264B0"/>
    <w:rsid w:val="0092726A"/>
    <w:rsid w:val="00927836"/>
    <w:rsid w:val="009304B6"/>
    <w:rsid w:val="009324A3"/>
    <w:rsid w:val="009331C6"/>
    <w:rsid w:val="00933576"/>
    <w:rsid w:val="00934ED7"/>
    <w:rsid w:val="00940137"/>
    <w:rsid w:val="009409A3"/>
    <w:rsid w:val="009427BC"/>
    <w:rsid w:val="0094690C"/>
    <w:rsid w:val="00947700"/>
    <w:rsid w:val="0095013C"/>
    <w:rsid w:val="009513F0"/>
    <w:rsid w:val="009530DD"/>
    <w:rsid w:val="00956A39"/>
    <w:rsid w:val="00960330"/>
    <w:rsid w:val="00961BE8"/>
    <w:rsid w:val="00963403"/>
    <w:rsid w:val="00967824"/>
    <w:rsid w:val="0097040D"/>
    <w:rsid w:val="0097075F"/>
    <w:rsid w:val="009778C7"/>
    <w:rsid w:val="00981FEA"/>
    <w:rsid w:val="0098217E"/>
    <w:rsid w:val="0098243E"/>
    <w:rsid w:val="00982DE4"/>
    <w:rsid w:val="00985308"/>
    <w:rsid w:val="00991BC1"/>
    <w:rsid w:val="00991DF7"/>
    <w:rsid w:val="00996925"/>
    <w:rsid w:val="009A62AC"/>
    <w:rsid w:val="009B2451"/>
    <w:rsid w:val="009B478E"/>
    <w:rsid w:val="009D5203"/>
    <w:rsid w:val="009D5370"/>
    <w:rsid w:val="009D735E"/>
    <w:rsid w:val="009D765C"/>
    <w:rsid w:val="009E5FC0"/>
    <w:rsid w:val="009E623E"/>
    <w:rsid w:val="009F3BAE"/>
    <w:rsid w:val="009F5C2B"/>
    <w:rsid w:val="00A006E5"/>
    <w:rsid w:val="00A01751"/>
    <w:rsid w:val="00A03078"/>
    <w:rsid w:val="00A049CA"/>
    <w:rsid w:val="00A238DA"/>
    <w:rsid w:val="00A256CB"/>
    <w:rsid w:val="00A25A9E"/>
    <w:rsid w:val="00A2738E"/>
    <w:rsid w:val="00A32AC9"/>
    <w:rsid w:val="00A353EF"/>
    <w:rsid w:val="00A36231"/>
    <w:rsid w:val="00A376EE"/>
    <w:rsid w:val="00A41341"/>
    <w:rsid w:val="00A4326D"/>
    <w:rsid w:val="00A44044"/>
    <w:rsid w:val="00A45812"/>
    <w:rsid w:val="00A535DC"/>
    <w:rsid w:val="00A57BE3"/>
    <w:rsid w:val="00A64FE3"/>
    <w:rsid w:val="00A653CB"/>
    <w:rsid w:val="00A71933"/>
    <w:rsid w:val="00A7266D"/>
    <w:rsid w:val="00A77556"/>
    <w:rsid w:val="00A80FAA"/>
    <w:rsid w:val="00A84610"/>
    <w:rsid w:val="00A847BA"/>
    <w:rsid w:val="00A851DA"/>
    <w:rsid w:val="00A87325"/>
    <w:rsid w:val="00A92C50"/>
    <w:rsid w:val="00A937FE"/>
    <w:rsid w:val="00A93871"/>
    <w:rsid w:val="00A945D6"/>
    <w:rsid w:val="00A95852"/>
    <w:rsid w:val="00A964D6"/>
    <w:rsid w:val="00A966CF"/>
    <w:rsid w:val="00AA0882"/>
    <w:rsid w:val="00AA13E4"/>
    <w:rsid w:val="00AA3E9A"/>
    <w:rsid w:val="00AA400D"/>
    <w:rsid w:val="00AA4835"/>
    <w:rsid w:val="00AA5B67"/>
    <w:rsid w:val="00AA64D1"/>
    <w:rsid w:val="00AB4406"/>
    <w:rsid w:val="00AB57A2"/>
    <w:rsid w:val="00AB5E18"/>
    <w:rsid w:val="00AC3783"/>
    <w:rsid w:val="00AC3A84"/>
    <w:rsid w:val="00AC5721"/>
    <w:rsid w:val="00AC639F"/>
    <w:rsid w:val="00AD0B0C"/>
    <w:rsid w:val="00AD308E"/>
    <w:rsid w:val="00AD42CE"/>
    <w:rsid w:val="00AD485A"/>
    <w:rsid w:val="00AD5288"/>
    <w:rsid w:val="00AD5715"/>
    <w:rsid w:val="00AD78FE"/>
    <w:rsid w:val="00AD7EE2"/>
    <w:rsid w:val="00AE3DBC"/>
    <w:rsid w:val="00AE3F7F"/>
    <w:rsid w:val="00AE7B7B"/>
    <w:rsid w:val="00AE7DA7"/>
    <w:rsid w:val="00AF1C70"/>
    <w:rsid w:val="00AF32AA"/>
    <w:rsid w:val="00AF36DA"/>
    <w:rsid w:val="00AF3B7D"/>
    <w:rsid w:val="00AF5FBF"/>
    <w:rsid w:val="00AF63C0"/>
    <w:rsid w:val="00AF683F"/>
    <w:rsid w:val="00AF7AF5"/>
    <w:rsid w:val="00B00B48"/>
    <w:rsid w:val="00B03872"/>
    <w:rsid w:val="00B041C4"/>
    <w:rsid w:val="00B05CBF"/>
    <w:rsid w:val="00B109F9"/>
    <w:rsid w:val="00B171F3"/>
    <w:rsid w:val="00B177CD"/>
    <w:rsid w:val="00B202DB"/>
    <w:rsid w:val="00B22640"/>
    <w:rsid w:val="00B23763"/>
    <w:rsid w:val="00B27BAF"/>
    <w:rsid w:val="00B3089E"/>
    <w:rsid w:val="00B320B3"/>
    <w:rsid w:val="00B3351F"/>
    <w:rsid w:val="00B361BB"/>
    <w:rsid w:val="00B40662"/>
    <w:rsid w:val="00B40861"/>
    <w:rsid w:val="00B50E03"/>
    <w:rsid w:val="00B51F46"/>
    <w:rsid w:val="00B529BE"/>
    <w:rsid w:val="00B52E36"/>
    <w:rsid w:val="00B53005"/>
    <w:rsid w:val="00B54AFA"/>
    <w:rsid w:val="00B56A51"/>
    <w:rsid w:val="00B604A7"/>
    <w:rsid w:val="00B657C2"/>
    <w:rsid w:val="00B74975"/>
    <w:rsid w:val="00B75185"/>
    <w:rsid w:val="00B75BBF"/>
    <w:rsid w:val="00B76512"/>
    <w:rsid w:val="00B817D3"/>
    <w:rsid w:val="00B81B15"/>
    <w:rsid w:val="00B8469E"/>
    <w:rsid w:val="00B85627"/>
    <w:rsid w:val="00B8657F"/>
    <w:rsid w:val="00B91650"/>
    <w:rsid w:val="00BA4771"/>
    <w:rsid w:val="00BB007D"/>
    <w:rsid w:val="00BB5CCA"/>
    <w:rsid w:val="00BB6ADE"/>
    <w:rsid w:val="00BC0071"/>
    <w:rsid w:val="00BC2CD5"/>
    <w:rsid w:val="00BC322D"/>
    <w:rsid w:val="00BC4383"/>
    <w:rsid w:val="00BC578F"/>
    <w:rsid w:val="00BD1290"/>
    <w:rsid w:val="00BE2CC0"/>
    <w:rsid w:val="00BE582F"/>
    <w:rsid w:val="00BE7EF1"/>
    <w:rsid w:val="00BF173F"/>
    <w:rsid w:val="00BF198B"/>
    <w:rsid w:val="00C04BCE"/>
    <w:rsid w:val="00C133E6"/>
    <w:rsid w:val="00C13ABB"/>
    <w:rsid w:val="00C151CD"/>
    <w:rsid w:val="00C246F0"/>
    <w:rsid w:val="00C33A45"/>
    <w:rsid w:val="00C40D0B"/>
    <w:rsid w:val="00C43AB7"/>
    <w:rsid w:val="00C45B2E"/>
    <w:rsid w:val="00C539A6"/>
    <w:rsid w:val="00C5600A"/>
    <w:rsid w:val="00C6183C"/>
    <w:rsid w:val="00C62FFA"/>
    <w:rsid w:val="00C718DA"/>
    <w:rsid w:val="00C7399D"/>
    <w:rsid w:val="00C77E52"/>
    <w:rsid w:val="00C809E8"/>
    <w:rsid w:val="00C839C1"/>
    <w:rsid w:val="00C83D48"/>
    <w:rsid w:val="00C84569"/>
    <w:rsid w:val="00C84785"/>
    <w:rsid w:val="00C9082F"/>
    <w:rsid w:val="00C92CDD"/>
    <w:rsid w:val="00C97722"/>
    <w:rsid w:val="00CA022A"/>
    <w:rsid w:val="00CA24C4"/>
    <w:rsid w:val="00CA33FE"/>
    <w:rsid w:val="00CA401B"/>
    <w:rsid w:val="00CA473A"/>
    <w:rsid w:val="00CA5ABC"/>
    <w:rsid w:val="00CA6D70"/>
    <w:rsid w:val="00CB20B5"/>
    <w:rsid w:val="00CB2ACF"/>
    <w:rsid w:val="00CB3257"/>
    <w:rsid w:val="00CB3AA8"/>
    <w:rsid w:val="00CB5878"/>
    <w:rsid w:val="00CB7FEA"/>
    <w:rsid w:val="00CD2D5C"/>
    <w:rsid w:val="00CD30C2"/>
    <w:rsid w:val="00CD33C2"/>
    <w:rsid w:val="00CD6B5E"/>
    <w:rsid w:val="00CD6D77"/>
    <w:rsid w:val="00CE059E"/>
    <w:rsid w:val="00CE1BA5"/>
    <w:rsid w:val="00CE296E"/>
    <w:rsid w:val="00CE2DAD"/>
    <w:rsid w:val="00CE2DB1"/>
    <w:rsid w:val="00CE33C0"/>
    <w:rsid w:val="00CE3E47"/>
    <w:rsid w:val="00CE504D"/>
    <w:rsid w:val="00CE56C1"/>
    <w:rsid w:val="00CE5B19"/>
    <w:rsid w:val="00CF0CE5"/>
    <w:rsid w:val="00CF5C9C"/>
    <w:rsid w:val="00D00D87"/>
    <w:rsid w:val="00D02105"/>
    <w:rsid w:val="00D0275F"/>
    <w:rsid w:val="00D02FE2"/>
    <w:rsid w:val="00D10A3F"/>
    <w:rsid w:val="00D115B6"/>
    <w:rsid w:val="00D123C1"/>
    <w:rsid w:val="00D15E58"/>
    <w:rsid w:val="00D1762B"/>
    <w:rsid w:val="00D22067"/>
    <w:rsid w:val="00D2277F"/>
    <w:rsid w:val="00D254FC"/>
    <w:rsid w:val="00D26F91"/>
    <w:rsid w:val="00D27CDB"/>
    <w:rsid w:val="00D338D7"/>
    <w:rsid w:val="00D36ED0"/>
    <w:rsid w:val="00D50CB6"/>
    <w:rsid w:val="00D54271"/>
    <w:rsid w:val="00D6000C"/>
    <w:rsid w:val="00D60951"/>
    <w:rsid w:val="00D60C33"/>
    <w:rsid w:val="00D61589"/>
    <w:rsid w:val="00D6212A"/>
    <w:rsid w:val="00D63523"/>
    <w:rsid w:val="00D6376B"/>
    <w:rsid w:val="00D639FD"/>
    <w:rsid w:val="00D652F8"/>
    <w:rsid w:val="00D6563D"/>
    <w:rsid w:val="00D66335"/>
    <w:rsid w:val="00D6768E"/>
    <w:rsid w:val="00D72091"/>
    <w:rsid w:val="00D75F5B"/>
    <w:rsid w:val="00D76415"/>
    <w:rsid w:val="00D8144F"/>
    <w:rsid w:val="00D818A3"/>
    <w:rsid w:val="00D93460"/>
    <w:rsid w:val="00D93D32"/>
    <w:rsid w:val="00D95B3E"/>
    <w:rsid w:val="00DA0967"/>
    <w:rsid w:val="00DA0DD3"/>
    <w:rsid w:val="00DA1FBA"/>
    <w:rsid w:val="00DA3E19"/>
    <w:rsid w:val="00DA6281"/>
    <w:rsid w:val="00DB5179"/>
    <w:rsid w:val="00DB5798"/>
    <w:rsid w:val="00DB58DB"/>
    <w:rsid w:val="00DB7E77"/>
    <w:rsid w:val="00DC338D"/>
    <w:rsid w:val="00DD022C"/>
    <w:rsid w:val="00DD0B20"/>
    <w:rsid w:val="00DD0CEC"/>
    <w:rsid w:val="00DD1E2B"/>
    <w:rsid w:val="00DD2F40"/>
    <w:rsid w:val="00DD6077"/>
    <w:rsid w:val="00DD66B3"/>
    <w:rsid w:val="00DF08CE"/>
    <w:rsid w:val="00DF1599"/>
    <w:rsid w:val="00DF1B0C"/>
    <w:rsid w:val="00DF2DE2"/>
    <w:rsid w:val="00DF4F68"/>
    <w:rsid w:val="00E01837"/>
    <w:rsid w:val="00E04FDF"/>
    <w:rsid w:val="00E052B8"/>
    <w:rsid w:val="00E05343"/>
    <w:rsid w:val="00E068AD"/>
    <w:rsid w:val="00E10159"/>
    <w:rsid w:val="00E118A7"/>
    <w:rsid w:val="00E27382"/>
    <w:rsid w:val="00E27589"/>
    <w:rsid w:val="00E32EE9"/>
    <w:rsid w:val="00E3510D"/>
    <w:rsid w:val="00E41C0F"/>
    <w:rsid w:val="00E41E11"/>
    <w:rsid w:val="00E4391D"/>
    <w:rsid w:val="00E43CD8"/>
    <w:rsid w:val="00E46E44"/>
    <w:rsid w:val="00E473DC"/>
    <w:rsid w:val="00E51805"/>
    <w:rsid w:val="00E55A30"/>
    <w:rsid w:val="00E55E8D"/>
    <w:rsid w:val="00E56C74"/>
    <w:rsid w:val="00E57DCA"/>
    <w:rsid w:val="00E615DF"/>
    <w:rsid w:val="00E647CF"/>
    <w:rsid w:val="00E64D14"/>
    <w:rsid w:val="00E70305"/>
    <w:rsid w:val="00E71DC8"/>
    <w:rsid w:val="00E775EF"/>
    <w:rsid w:val="00E8107A"/>
    <w:rsid w:val="00E82D6F"/>
    <w:rsid w:val="00E82EC2"/>
    <w:rsid w:val="00E85786"/>
    <w:rsid w:val="00E877E4"/>
    <w:rsid w:val="00E87CEE"/>
    <w:rsid w:val="00E94247"/>
    <w:rsid w:val="00E97183"/>
    <w:rsid w:val="00EA21A6"/>
    <w:rsid w:val="00EA5BF5"/>
    <w:rsid w:val="00EA76B0"/>
    <w:rsid w:val="00EB1E28"/>
    <w:rsid w:val="00EB23A7"/>
    <w:rsid w:val="00EB53D5"/>
    <w:rsid w:val="00EB651F"/>
    <w:rsid w:val="00EC1AEE"/>
    <w:rsid w:val="00ED0BD0"/>
    <w:rsid w:val="00ED397C"/>
    <w:rsid w:val="00ED5D81"/>
    <w:rsid w:val="00ED63CA"/>
    <w:rsid w:val="00ED6D4C"/>
    <w:rsid w:val="00EE295E"/>
    <w:rsid w:val="00EE38E0"/>
    <w:rsid w:val="00EE6AAC"/>
    <w:rsid w:val="00EF2CFF"/>
    <w:rsid w:val="00EF3975"/>
    <w:rsid w:val="00EF7DE7"/>
    <w:rsid w:val="00EF7DF4"/>
    <w:rsid w:val="00F01023"/>
    <w:rsid w:val="00F03E6D"/>
    <w:rsid w:val="00F056D4"/>
    <w:rsid w:val="00F05DAC"/>
    <w:rsid w:val="00F1295F"/>
    <w:rsid w:val="00F169A6"/>
    <w:rsid w:val="00F21BE0"/>
    <w:rsid w:val="00F23A60"/>
    <w:rsid w:val="00F23DBB"/>
    <w:rsid w:val="00F2751F"/>
    <w:rsid w:val="00F32831"/>
    <w:rsid w:val="00F41529"/>
    <w:rsid w:val="00F42750"/>
    <w:rsid w:val="00F45E96"/>
    <w:rsid w:val="00F5026B"/>
    <w:rsid w:val="00F50406"/>
    <w:rsid w:val="00F50B68"/>
    <w:rsid w:val="00F52766"/>
    <w:rsid w:val="00F537CF"/>
    <w:rsid w:val="00F56770"/>
    <w:rsid w:val="00F667D7"/>
    <w:rsid w:val="00F71D4D"/>
    <w:rsid w:val="00F76F2C"/>
    <w:rsid w:val="00F773BE"/>
    <w:rsid w:val="00F77B2C"/>
    <w:rsid w:val="00F804D3"/>
    <w:rsid w:val="00F85E54"/>
    <w:rsid w:val="00F9085F"/>
    <w:rsid w:val="00F90C69"/>
    <w:rsid w:val="00F91490"/>
    <w:rsid w:val="00F925BA"/>
    <w:rsid w:val="00F937A7"/>
    <w:rsid w:val="00F947E2"/>
    <w:rsid w:val="00F97EA2"/>
    <w:rsid w:val="00FA28AE"/>
    <w:rsid w:val="00FA35A9"/>
    <w:rsid w:val="00FA5D55"/>
    <w:rsid w:val="00FA5F6A"/>
    <w:rsid w:val="00FA7710"/>
    <w:rsid w:val="00FB3A9D"/>
    <w:rsid w:val="00FB6D44"/>
    <w:rsid w:val="00FB7488"/>
    <w:rsid w:val="00FC0100"/>
    <w:rsid w:val="00FC2924"/>
    <w:rsid w:val="00FC48CD"/>
    <w:rsid w:val="00FC4DD1"/>
    <w:rsid w:val="00FC5124"/>
    <w:rsid w:val="00FC6912"/>
    <w:rsid w:val="00FC70D9"/>
    <w:rsid w:val="00FD3FE8"/>
    <w:rsid w:val="00FD6A7E"/>
    <w:rsid w:val="00FD7B8F"/>
    <w:rsid w:val="00FE1CCC"/>
    <w:rsid w:val="00FE2B3B"/>
    <w:rsid w:val="00FF19D7"/>
    <w:rsid w:val="00FF2BC9"/>
    <w:rsid w:val="00FF31B0"/>
    <w:rsid w:val="00FF711D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5"/>
      </w:numPr>
      <w:outlineLvl w:val="0"/>
    </w:pPr>
    <w:rPr>
      <w:b/>
      <w:bCs/>
      <w:sz w:val="28"/>
      <w:szCs w:val="28"/>
      <w:lang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lang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tyl1">
    <w:name w:val="Styl1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 w:val="28"/>
      <w:szCs w:val="28"/>
    </w:rPr>
  </w:style>
  <w:style w:type="paragraph" w:styleId="Textpoznpodarou">
    <w:name w:val="footnote text"/>
    <w:aliases w:val="Text pozn. pod čarou_martin_ang"/>
    <w:basedOn w:val="Normln"/>
    <w:semiHidden/>
    <w:pPr>
      <w:jc w:val="left"/>
    </w:pPr>
    <w:rPr>
      <w:szCs w:val="20"/>
      <w:lang/>
    </w:rPr>
  </w:style>
  <w:style w:type="character" w:customStyle="1" w:styleId="TextpoznpodarouChar">
    <w:name w:val="Text pozn. pod čarou Char"/>
    <w:aliases w:val="Text pozn. pod čarou_martin_ang Char1"/>
    <w:semiHidden/>
    <w:rPr>
      <w:rFonts w:ascii="Arial" w:eastAsia="Times New Roman" w:hAnsi="Arial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qFormat/>
    <w:pPr>
      <w:ind w:left="708"/>
      <w:jc w:val="left"/>
    </w:pPr>
    <w:rPr>
      <w:sz w:val="18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pPr>
      <w:jc w:val="left"/>
    </w:pPr>
    <w:rPr>
      <w:szCs w:val="20"/>
      <w:lang/>
    </w:rPr>
  </w:style>
  <w:style w:type="character" w:customStyle="1" w:styleId="TextkomenteChar">
    <w:name w:val="Text komentáře Char"/>
    <w:semiHidden/>
    <w:rPr>
      <w:rFonts w:ascii="Arial" w:eastAsia="Times New Roman" w:hAnsi="Arial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semiHidden/>
    <w:unhideWhenUsed/>
    <w:qFormat/>
    <w:pPr>
      <w:tabs>
        <w:tab w:val="left" w:pos="880"/>
        <w:tab w:val="right" w:leader="dot" w:pos="9628"/>
      </w:tabs>
      <w:spacing w:after="100" w:line="276" w:lineRule="auto"/>
      <w:ind w:left="851" w:hanging="567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628"/>
      </w:tabs>
      <w:spacing w:after="100" w:line="276" w:lineRule="auto"/>
      <w:jc w:val="left"/>
    </w:pPr>
    <w:rPr>
      <w:szCs w:val="22"/>
    </w:rPr>
  </w:style>
  <w:style w:type="paragraph" w:styleId="Obsah3">
    <w:name w:val="toc 3"/>
    <w:basedOn w:val="Normln"/>
    <w:next w:val="Normln"/>
    <w:autoRedefine/>
    <w:semiHidden/>
    <w:unhideWhenUsed/>
    <w:qFormat/>
    <w:pPr>
      <w:tabs>
        <w:tab w:val="right" w:leader="dot" w:pos="9638"/>
      </w:tabs>
      <w:spacing w:after="100" w:line="276" w:lineRule="auto"/>
      <w:ind w:left="446"/>
      <w:jc w:val="left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jc w:val="both"/>
    </w:pPr>
    <w:rPr>
      <w:rFonts w:ascii="Arial" w:eastAsia="Times New Roman" w:hAnsi="Arial"/>
      <w:szCs w:val="24"/>
    </w:rPr>
  </w:style>
  <w:style w:type="paragraph" w:styleId="Obsah10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498"/>
      </w:tabs>
      <w:spacing w:after="100" w:line="276" w:lineRule="auto"/>
      <w:jc w:val="left"/>
    </w:pPr>
    <w:rPr>
      <w:szCs w:val="22"/>
    </w:rPr>
  </w:style>
  <w:style w:type="paragraph" w:styleId="Zkladntext">
    <w:name w:val="Body Text"/>
    <w:basedOn w:val="Normln"/>
    <w:semiHidden/>
    <w:rPr>
      <w:color w:val="000000"/>
    </w:rPr>
  </w:style>
  <w:style w:type="paragraph" w:styleId="Zkladntext3">
    <w:name w:val="Body Text 3"/>
    <w:basedOn w:val="Normln"/>
    <w:semiHidden/>
    <w:rPr>
      <w:sz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card">
    <w:name w:val="card"/>
    <w:basedOn w:val="Standardnpsmoodstavce"/>
  </w:style>
  <w:style w:type="paragraph" w:styleId="Zkladntext2">
    <w:name w:val="Body Text 2"/>
    <w:basedOn w:val="Normln"/>
    <w:semiHidden/>
    <w:pPr>
      <w:jc w:val="left"/>
    </w:pPr>
    <w:rPr>
      <w:b/>
      <w:bCs/>
    </w:rPr>
  </w:style>
  <w:style w:type="paragraph" w:customStyle="1" w:styleId="normalnsodrkami">
    <w:name w:val="normalní s odrážkami"/>
    <w:basedOn w:val="Normln"/>
    <w:pPr>
      <w:numPr>
        <w:numId w:val="19"/>
      </w:numPr>
    </w:p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rsid w:val="004D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13D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13D1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E13D1"/>
    <w:rPr>
      <w:vertAlign w:val="superscript"/>
    </w:rPr>
  </w:style>
  <w:style w:type="character" w:customStyle="1" w:styleId="hps">
    <w:name w:val="hps"/>
    <w:basedOn w:val="Standardnpsmoodstavce"/>
    <w:rsid w:val="00FF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F2640-D906-4567-8B53-404DE02D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2148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</vt:lpstr>
    </vt:vector>
  </TitlesOfParts>
  <Company>ČSÚ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</dc:title>
  <dc:creator>SystemService</dc:creator>
  <cp:lastModifiedBy>Jiří Kamenický</cp:lastModifiedBy>
  <cp:revision>2</cp:revision>
  <cp:lastPrinted>2014-06-02T17:09:00Z</cp:lastPrinted>
  <dcterms:created xsi:type="dcterms:W3CDTF">2014-10-24T06:33:00Z</dcterms:created>
  <dcterms:modified xsi:type="dcterms:W3CDTF">2014-10-24T06:33:00Z</dcterms:modified>
</cp:coreProperties>
</file>