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26F50" w:rsidP="00E42E00">
      <w:pPr>
        <w:pStyle w:val="Datum"/>
      </w:pPr>
      <w:r>
        <w:t>17. 7. 2014</w:t>
      </w:r>
    </w:p>
    <w:p w:rsidR="00867569" w:rsidRPr="00A56C80" w:rsidRDefault="00B26F50" w:rsidP="00A56C80">
      <w:pPr>
        <w:pStyle w:val="Nzev"/>
      </w:pPr>
      <w:r>
        <w:t>Jak se daří českému stavebnictví?</w:t>
      </w:r>
    </w:p>
    <w:p w:rsidR="00867569" w:rsidRPr="00B26F50" w:rsidRDefault="00B26F50" w:rsidP="00E42E00">
      <w:pPr>
        <w:pStyle w:val="Perex"/>
        <w:rPr>
          <w:szCs w:val="20"/>
        </w:rPr>
      </w:pPr>
      <w:r w:rsidRPr="00B26F50">
        <w:rPr>
          <w:bCs/>
          <w:szCs w:val="20"/>
        </w:rPr>
        <w:t xml:space="preserve">Stavebnictví v ČR dosáhlo </w:t>
      </w:r>
      <w:r w:rsidR="009F1610">
        <w:rPr>
          <w:bCs/>
          <w:szCs w:val="20"/>
        </w:rPr>
        <w:t xml:space="preserve">vrcholu </w:t>
      </w:r>
      <w:r w:rsidRPr="00B26F50">
        <w:rPr>
          <w:bCs/>
          <w:szCs w:val="20"/>
        </w:rPr>
        <w:t xml:space="preserve">své konjunktury v roce 2008 a od té doby klesá. </w:t>
      </w:r>
      <w:r w:rsidRPr="00B26F50">
        <w:rPr>
          <w:szCs w:val="20"/>
        </w:rPr>
        <w:t>Index stavební produkce</w:t>
      </w:r>
      <w:r>
        <w:rPr>
          <w:szCs w:val="20"/>
        </w:rPr>
        <w:t xml:space="preserve"> </w:t>
      </w:r>
      <w:r w:rsidRPr="00B26F50">
        <w:rPr>
          <w:szCs w:val="20"/>
        </w:rPr>
        <w:t>zaznamenal v roce 2013 meziroční pokles o 6,7 %. Počátek roku 2014 přinesl určité zlepšení, když index stavební produkce za leden až květen meziročně vzrostl o 5,9 %</w:t>
      </w:r>
      <w:r w:rsidR="001029E7">
        <w:rPr>
          <w:szCs w:val="20"/>
        </w:rPr>
        <w:t>.</w:t>
      </w:r>
    </w:p>
    <w:p w:rsidR="00B26F50" w:rsidRPr="00B26F50" w:rsidRDefault="00B26F50" w:rsidP="00B26F50">
      <w:pPr>
        <w:rPr>
          <w:rFonts w:cs="Arial"/>
          <w:bCs/>
          <w:szCs w:val="20"/>
        </w:rPr>
      </w:pPr>
      <w:r w:rsidRPr="00B26F50">
        <w:rPr>
          <w:rFonts w:cs="Arial"/>
          <w:bCs/>
          <w:szCs w:val="20"/>
        </w:rPr>
        <w:t xml:space="preserve">Stavebnictví v ČR dosáhlo </w:t>
      </w:r>
      <w:r w:rsidR="009F1610">
        <w:rPr>
          <w:rFonts w:cs="Arial"/>
          <w:bCs/>
          <w:szCs w:val="20"/>
        </w:rPr>
        <w:t xml:space="preserve">vrcholu </w:t>
      </w:r>
      <w:r w:rsidRPr="00B26F50">
        <w:rPr>
          <w:rFonts w:cs="Arial"/>
          <w:bCs/>
          <w:szCs w:val="20"/>
        </w:rPr>
        <w:t>své konjunktury v roce 2008 a od té doby klesá. Produkce v pozemním stavitelství klesá již od roku 2008, zatímco v inženýrském stavitelství pokles nastal o dva roky později.</w:t>
      </w:r>
      <w:r w:rsidRPr="00B26F50">
        <w:rPr>
          <w:rFonts w:cs="Arial"/>
          <w:szCs w:val="20"/>
        </w:rPr>
        <w:t xml:space="preserve"> Index stavební produkce (ISP) zaznamenal v roce 2013 meziroční pokles o 6,7 %. Více klesalo inženýrské stavitelství, a to meziročně o 9,3 %. V pozemním stavitelství byl za rok 2013 zaznamenán meziroční pokles o 5,6 %. Ve srovnání s konjunkturním rokem jde o téměř čtvrtinový pokles v obou kategoriích výstavby.</w:t>
      </w:r>
    </w:p>
    <w:p w:rsidR="00B26F50" w:rsidRPr="00B26F50" w:rsidRDefault="00B26F50" w:rsidP="00B26F50">
      <w:pPr>
        <w:ind w:firstLine="708"/>
        <w:rPr>
          <w:rFonts w:cs="Arial"/>
          <w:bCs/>
          <w:szCs w:val="20"/>
        </w:rPr>
      </w:pPr>
    </w:p>
    <w:p w:rsidR="00B26F50" w:rsidRPr="00B26F50" w:rsidRDefault="00B26F50" w:rsidP="00B26F50">
      <w:pPr>
        <w:rPr>
          <w:rFonts w:cs="Arial"/>
          <w:b/>
          <w:bCs/>
          <w:szCs w:val="20"/>
        </w:rPr>
      </w:pPr>
      <w:r w:rsidRPr="00B26F50">
        <w:rPr>
          <w:rFonts w:cs="Arial"/>
          <w:b/>
          <w:bCs/>
          <w:szCs w:val="20"/>
        </w:rPr>
        <w:t>Index stavební produkce – dlouhodobý vývoj</w:t>
      </w:r>
    </w:p>
    <w:p w:rsidR="00B26F50" w:rsidRPr="00176D3A" w:rsidRDefault="00B26F50" w:rsidP="00B26F50">
      <w:pPr>
        <w:jc w:val="right"/>
        <w:rPr>
          <w:rFonts w:cs="Arial"/>
          <w:sz w:val="18"/>
          <w:szCs w:val="18"/>
        </w:rPr>
      </w:pPr>
      <w:r w:rsidRPr="00176D3A">
        <w:rPr>
          <w:rFonts w:cs="Arial"/>
          <w:sz w:val="18"/>
          <w:szCs w:val="18"/>
        </w:rPr>
        <w:t>meziroční změny v %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6F50" w:rsidRPr="00047A24" w:rsidTr="00176D3A">
        <w:trPr>
          <w:trHeight w:val="418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B26F50" w:rsidRPr="00047A24" w:rsidRDefault="00B26F50" w:rsidP="000C1A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shd w:val="clear" w:color="auto" w:fill="auto"/>
            <w:noWrap/>
            <w:vAlign w:val="center"/>
            <w:hideMark/>
          </w:tcPr>
          <w:p w:rsidR="00B26F50" w:rsidRPr="00047A24" w:rsidRDefault="00B26F50" w:rsidP="000C1A7F">
            <w:pPr>
              <w:jc w:val="center"/>
              <w:rPr>
                <w:rFonts w:cs="Arial"/>
                <w:sz w:val="16"/>
                <w:szCs w:val="16"/>
              </w:rPr>
            </w:pPr>
            <w:r w:rsidRPr="00047A24">
              <w:rPr>
                <w:rFonts w:cs="Arial"/>
                <w:sz w:val="16"/>
                <w:szCs w:val="16"/>
              </w:rPr>
              <w:t>Rok</w:t>
            </w:r>
          </w:p>
        </w:tc>
      </w:tr>
      <w:tr w:rsidR="00B26F50" w:rsidRPr="00047A24" w:rsidTr="00176D3A">
        <w:trPr>
          <w:trHeight w:val="504"/>
        </w:trPr>
        <w:tc>
          <w:tcPr>
            <w:tcW w:w="1134" w:type="dxa"/>
            <w:vMerge/>
            <w:tcBorders>
              <w:left w:val="nil"/>
            </w:tcBorders>
          </w:tcPr>
          <w:p w:rsidR="00B26F50" w:rsidRPr="00047A24" w:rsidRDefault="00B26F50" w:rsidP="000C1A7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2013</w:t>
            </w:r>
          </w:p>
        </w:tc>
      </w:tr>
      <w:tr w:rsidR="00B26F50" w:rsidRPr="00047A24" w:rsidTr="00176D3A">
        <w:trPr>
          <w:trHeight w:val="504"/>
        </w:trPr>
        <w:tc>
          <w:tcPr>
            <w:tcW w:w="1134" w:type="dxa"/>
            <w:vAlign w:val="center"/>
          </w:tcPr>
          <w:p w:rsidR="00B26F50" w:rsidRPr="00176D3A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ISP celkem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10,4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9,3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-0,9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-3,6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-7,6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-6,7</w:t>
            </w:r>
          </w:p>
        </w:tc>
      </w:tr>
      <w:tr w:rsidR="00B26F50" w:rsidRPr="00047A24" w:rsidTr="00176D3A">
        <w:trPr>
          <w:trHeight w:val="504"/>
        </w:trPr>
        <w:tc>
          <w:tcPr>
            <w:tcW w:w="1134" w:type="dxa"/>
            <w:vAlign w:val="center"/>
          </w:tcPr>
          <w:p w:rsidR="00B26F50" w:rsidRPr="00176D3A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Pozemní stavitelství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10,5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7,4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10,7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-3,5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-6,9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-7,6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-5,6</w:t>
            </w:r>
          </w:p>
        </w:tc>
      </w:tr>
      <w:tr w:rsidR="00B26F50" w:rsidRPr="00047A24" w:rsidTr="00176D3A">
        <w:trPr>
          <w:trHeight w:val="504"/>
        </w:trPr>
        <w:tc>
          <w:tcPr>
            <w:tcW w:w="1134" w:type="dxa"/>
            <w:vAlign w:val="center"/>
          </w:tcPr>
          <w:p w:rsidR="00B26F50" w:rsidRPr="00176D3A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Inženýrské stavitelství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21,6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12,9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-2,1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14,1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-9,7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-10,0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-9,3</w:t>
            </w:r>
          </w:p>
        </w:tc>
      </w:tr>
    </w:tbl>
    <w:p w:rsidR="00B26F50" w:rsidRPr="00047A24" w:rsidRDefault="00B26F50" w:rsidP="00B26F50">
      <w:pPr>
        <w:rPr>
          <w:rFonts w:cs="Arial"/>
          <w:bCs/>
          <w:sz w:val="18"/>
          <w:szCs w:val="18"/>
        </w:rPr>
      </w:pPr>
    </w:p>
    <w:p w:rsidR="00B26F50" w:rsidRPr="00B26F50" w:rsidRDefault="00B26F50" w:rsidP="00B26F50">
      <w:pPr>
        <w:rPr>
          <w:rFonts w:cs="Arial"/>
          <w:szCs w:val="20"/>
        </w:rPr>
      </w:pPr>
      <w:r w:rsidRPr="00B26F50">
        <w:rPr>
          <w:rFonts w:cs="Arial"/>
          <w:szCs w:val="20"/>
        </w:rPr>
        <w:t>Počátek roku 2014 přinesl určité zlepšení, když index stavební produkce za leden až květen meziročně vzrostl o 5,9 % (v pozemním stavitelství růst o 5,5 %, v inženýrském růst o 6,9 %). Významnou</w:t>
      </w:r>
      <w:r w:rsidR="00FD115B">
        <w:rPr>
          <w:rFonts w:cs="Arial"/>
          <w:szCs w:val="20"/>
        </w:rPr>
        <w:t xml:space="preserve"> pozitivní</w:t>
      </w:r>
      <w:r w:rsidRPr="00B26F50">
        <w:rPr>
          <w:rFonts w:cs="Arial"/>
          <w:szCs w:val="20"/>
        </w:rPr>
        <w:t xml:space="preserve"> roli v meziročním srovnání </w:t>
      </w:r>
      <w:r w:rsidR="00FD115B">
        <w:rPr>
          <w:rFonts w:cs="Arial"/>
          <w:szCs w:val="20"/>
        </w:rPr>
        <w:t>se</w:t>
      </w:r>
      <w:r w:rsidRPr="00B26F50">
        <w:rPr>
          <w:rFonts w:cs="Arial"/>
          <w:szCs w:val="20"/>
        </w:rPr>
        <w:t>hrála velmi mírná zima, kdy klimatické podmínky umožnily stavbařům pracovat v podstatě bez omezení. Také srovnávací základna roku 2013 byla velmi nízko</w:t>
      </w:r>
      <w:r w:rsidR="00FD115B">
        <w:rPr>
          <w:rFonts w:cs="Arial"/>
          <w:szCs w:val="20"/>
        </w:rPr>
        <w:t>.</w:t>
      </w:r>
      <w:r w:rsidRPr="00B26F50">
        <w:rPr>
          <w:rFonts w:cs="Arial"/>
          <w:szCs w:val="20"/>
        </w:rPr>
        <w:t xml:space="preserve"> </w:t>
      </w:r>
      <w:r w:rsidRPr="00FD115B">
        <w:rPr>
          <w:rFonts w:cs="Arial"/>
          <w:i/>
          <w:iCs/>
          <w:szCs w:val="20"/>
        </w:rPr>
        <w:t>V</w:t>
      </w:r>
      <w:r w:rsidRPr="00FD115B">
        <w:rPr>
          <w:szCs w:val="20"/>
        </w:rPr>
        <w:t>e</w:t>
      </w:r>
      <w:r w:rsidRPr="00B26F50">
        <w:rPr>
          <w:szCs w:val="20"/>
        </w:rPr>
        <w:t> srovnání se stejným obdobím konjunkturního roku 2008 klesla</w:t>
      </w:r>
      <w:r w:rsidRPr="00B26F50">
        <w:rPr>
          <w:rFonts w:cs="Arial"/>
          <w:szCs w:val="20"/>
        </w:rPr>
        <w:t xml:space="preserve"> stavební produkce</w:t>
      </w:r>
      <w:r w:rsidRPr="00B26F50">
        <w:rPr>
          <w:szCs w:val="20"/>
        </w:rPr>
        <w:t xml:space="preserve"> v lednu až květn</w:t>
      </w:r>
      <w:r w:rsidR="00FD115B">
        <w:rPr>
          <w:szCs w:val="20"/>
        </w:rPr>
        <w:t>u o </w:t>
      </w:r>
      <w:r w:rsidRPr="00B26F50">
        <w:rPr>
          <w:szCs w:val="20"/>
        </w:rPr>
        <w:t>8,2 %.</w:t>
      </w:r>
    </w:p>
    <w:p w:rsidR="00B26F50" w:rsidRDefault="00B26F50" w:rsidP="00B26F50">
      <w:pPr>
        <w:rPr>
          <w:rFonts w:cs="Arial"/>
          <w:szCs w:val="20"/>
        </w:rPr>
      </w:pPr>
    </w:p>
    <w:p w:rsidR="00B26F50" w:rsidRPr="00B26F50" w:rsidRDefault="00B26F50" w:rsidP="00B26F50">
      <w:pPr>
        <w:rPr>
          <w:rFonts w:cs="Arial"/>
          <w:szCs w:val="20"/>
        </w:rPr>
      </w:pPr>
      <w:r w:rsidRPr="00B26F50">
        <w:rPr>
          <w:rFonts w:cs="Arial"/>
          <w:szCs w:val="20"/>
        </w:rPr>
        <w:t xml:space="preserve">Zklamání přinesly výsledky za květen 2013, kdy efekt příznivých klimatických podmínek skončil a ani nízká srovnávací základna nepomohla k růstu </w:t>
      </w:r>
      <w:r w:rsidR="00FD115B">
        <w:rPr>
          <w:rFonts w:cs="Arial"/>
          <w:szCs w:val="20"/>
        </w:rPr>
        <w:t>indexu stavební produkce</w:t>
      </w:r>
      <w:r w:rsidRPr="00B26F50">
        <w:rPr>
          <w:rFonts w:cs="Arial"/>
          <w:szCs w:val="20"/>
        </w:rPr>
        <w:t xml:space="preserve">. Situace v kategoriích výstavby je ale odlišná: inženýrskému stavitelství se daří lépe a v květnu zaznamenalo růst o 3,1 %, zatímco pozemní stavitelství meziročně kleslo o 1,4 %. Stagnace v květnu byla zčásti ovlivněna </w:t>
      </w:r>
      <w:r w:rsidR="00FD115B">
        <w:rPr>
          <w:rFonts w:cs="Arial"/>
          <w:szCs w:val="20"/>
        </w:rPr>
        <w:t>nižším</w:t>
      </w:r>
      <w:r w:rsidRPr="00B26F50">
        <w:rPr>
          <w:rFonts w:cs="Arial"/>
          <w:szCs w:val="20"/>
        </w:rPr>
        <w:t xml:space="preserve"> počtem pracovních dní (o jeden méně než v květnu 2013). </w:t>
      </w:r>
    </w:p>
    <w:p w:rsidR="00B26F50" w:rsidRPr="00B26F50" w:rsidRDefault="00B26F50" w:rsidP="00B26F50">
      <w:pPr>
        <w:ind w:firstLine="708"/>
        <w:rPr>
          <w:rFonts w:cs="Arial"/>
          <w:szCs w:val="20"/>
        </w:rPr>
      </w:pPr>
    </w:p>
    <w:p w:rsidR="00176D3A" w:rsidRDefault="00176D3A" w:rsidP="00B26F50">
      <w:pPr>
        <w:rPr>
          <w:rFonts w:cs="Arial"/>
          <w:b/>
          <w:bCs/>
          <w:szCs w:val="20"/>
        </w:rPr>
      </w:pPr>
    </w:p>
    <w:p w:rsidR="00176D3A" w:rsidRDefault="00176D3A" w:rsidP="00B26F50">
      <w:pPr>
        <w:rPr>
          <w:rFonts w:cs="Arial"/>
          <w:b/>
          <w:bCs/>
          <w:szCs w:val="20"/>
        </w:rPr>
      </w:pPr>
    </w:p>
    <w:p w:rsidR="009F1610" w:rsidRDefault="009F1610" w:rsidP="00B26F50">
      <w:pPr>
        <w:rPr>
          <w:rFonts w:cs="Arial"/>
          <w:b/>
          <w:bCs/>
          <w:szCs w:val="20"/>
        </w:rPr>
      </w:pPr>
    </w:p>
    <w:p w:rsidR="00B26F50" w:rsidRPr="00B26F50" w:rsidRDefault="00B26F50" w:rsidP="00B26F50">
      <w:pPr>
        <w:rPr>
          <w:rFonts w:cs="Arial"/>
          <w:b/>
          <w:bCs/>
          <w:szCs w:val="20"/>
        </w:rPr>
      </w:pPr>
      <w:r w:rsidRPr="00B26F50">
        <w:rPr>
          <w:rFonts w:cs="Arial"/>
          <w:b/>
          <w:bCs/>
          <w:szCs w:val="20"/>
        </w:rPr>
        <w:lastRenderedPageBreak/>
        <w:t>Index stavební produkce aktuálně</w:t>
      </w:r>
    </w:p>
    <w:p w:rsidR="00B26F50" w:rsidRPr="00176D3A" w:rsidRDefault="00B26F50" w:rsidP="00B26F50">
      <w:pPr>
        <w:jc w:val="right"/>
        <w:rPr>
          <w:rFonts w:cs="Arial"/>
          <w:sz w:val="18"/>
          <w:szCs w:val="18"/>
        </w:rPr>
      </w:pPr>
      <w:r w:rsidRPr="00176D3A">
        <w:rPr>
          <w:rFonts w:cs="Arial"/>
          <w:sz w:val="18"/>
          <w:szCs w:val="18"/>
        </w:rPr>
        <w:t>meziroční změny v %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5"/>
        <w:gridCol w:w="2157"/>
        <w:gridCol w:w="2171"/>
        <w:gridCol w:w="2171"/>
      </w:tblGrid>
      <w:tr w:rsidR="00B26F50" w:rsidRPr="00047A24" w:rsidTr="00176D3A">
        <w:trPr>
          <w:trHeight w:val="403"/>
        </w:trPr>
        <w:tc>
          <w:tcPr>
            <w:tcW w:w="2232" w:type="dxa"/>
            <w:tcBorders>
              <w:top w:val="nil"/>
              <w:left w:val="nil"/>
            </w:tcBorders>
            <w:vAlign w:val="center"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Rok 2013</w:t>
            </w:r>
          </w:p>
        </w:tc>
        <w:tc>
          <w:tcPr>
            <w:tcW w:w="2303" w:type="dxa"/>
            <w:vAlign w:val="center"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Leden až květen 2014</w:t>
            </w:r>
          </w:p>
        </w:tc>
        <w:tc>
          <w:tcPr>
            <w:tcW w:w="2303" w:type="dxa"/>
            <w:vAlign w:val="center"/>
          </w:tcPr>
          <w:p w:rsidR="00B26F50" w:rsidRPr="00176D3A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Květen 2014</w:t>
            </w:r>
          </w:p>
        </w:tc>
      </w:tr>
      <w:tr w:rsidR="00B26F50" w:rsidRPr="00047A24" w:rsidTr="00176D3A">
        <w:trPr>
          <w:trHeight w:val="403"/>
        </w:trPr>
        <w:tc>
          <w:tcPr>
            <w:tcW w:w="2232" w:type="dxa"/>
            <w:vAlign w:val="center"/>
          </w:tcPr>
          <w:p w:rsidR="00B26F50" w:rsidRPr="00176D3A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ISP celkem</w:t>
            </w:r>
          </w:p>
        </w:tc>
        <w:tc>
          <w:tcPr>
            <w:tcW w:w="2302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-6,7</w:t>
            </w:r>
          </w:p>
        </w:tc>
        <w:tc>
          <w:tcPr>
            <w:tcW w:w="2303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+5,9</w:t>
            </w:r>
          </w:p>
        </w:tc>
        <w:tc>
          <w:tcPr>
            <w:tcW w:w="2303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0,0</w:t>
            </w:r>
          </w:p>
        </w:tc>
      </w:tr>
      <w:tr w:rsidR="00B26F50" w:rsidRPr="00047A24" w:rsidTr="00176D3A">
        <w:trPr>
          <w:trHeight w:val="403"/>
        </w:trPr>
        <w:tc>
          <w:tcPr>
            <w:tcW w:w="2232" w:type="dxa"/>
            <w:vAlign w:val="center"/>
          </w:tcPr>
          <w:p w:rsidR="00B26F50" w:rsidRPr="00176D3A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Pozemní stavitelství</w:t>
            </w:r>
          </w:p>
        </w:tc>
        <w:tc>
          <w:tcPr>
            <w:tcW w:w="2302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-5,6</w:t>
            </w:r>
          </w:p>
        </w:tc>
        <w:tc>
          <w:tcPr>
            <w:tcW w:w="2303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+5,5</w:t>
            </w:r>
          </w:p>
        </w:tc>
        <w:tc>
          <w:tcPr>
            <w:tcW w:w="2303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-1,4</w:t>
            </w:r>
          </w:p>
        </w:tc>
      </w:tr>
      <w:tr w:rsidR="00B26F50" w:rsidRPr="00047A24" w:rsidTr="00176D3A">
        <w:trPr>
          <w:trHeight w:val="403"/>
        </w:trPr>
        <w:tc>
          <w:tcPr>
            <w:tcW w:w="2232" w:type="dxa"/>
            <w:vAlign w:val="center"/>
          </w:tcPr>
          <w:p w:rsidR="00B26F50" w:rsidRPr="00176D3A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Inženýrské stavitelství</w:t>
            </w:r>
          </w:p>
        </w:tc>
        <w:tc>
          <w:tcPr>
            <w:tcW w:w="2302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-9,3</w:t>
            </w:r>
          </w:p>
        </w:tc>
        <w:tc>
          <w:tcPr>
            <w:tcW w:w="2303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+6,9</w:t>
            </w:r>
          </w:p>
        </w:tc>
        <w:tc>
          <w:tcPr>
            <w:tcW w:w="2303" w:type="dxa"/>
            <w:tcMar>
              <w:right w:w="851" w:type="dxa"/>
            </w:tcMar>
            <w:vAlign w:val="center"/>
          </w:tcPr>
          <w:p w:rsidR="00B26F50" w:rsidRPr="00176D3A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176D3A">
              <w:rPr>
                <w:rFonts w:cs="Arial"/>
                <w:sz w:val="18"/>
                <w:szCs w:val="18"/>
              </w:rPr>
              <w:t>+3,1</w:t>
            </w:r>
          </w:p>
        </w:tc>
      </w:tr>
    </w:tbl>
    <w:p w:rsidR="00B26F50" w:rsidRPr="00047A24" w:rsidRDefault="00B26F50" w:rsidP="00B26F50">
      <w:pPr>
        <w:rPr>
          <w:rFonts w:cs="Arial"/>
          <w:sz w:val="18"/>
          <w:szCs w:val="18"/>
        </w:rPr>
      </w:pPr>
    </w:p>
    <w:p w:rsidR="00B26F50" w:rsidRPr="00E46AEA" w:rsidRDefault="00741FA0" w:rsidP="00B26F50">
      <w:pPr>
        <w:ind w:firstLine="708"/>
        <w:rPr>
          <w:rFonts w:cs="Arial"/>
          <w:szCs w:val="20"/>
        </w:rPr>
      </w:pPr>
      <w:r w:rsidRPr="00E46AEA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69.6pt;width:432.15pt;height:266.85pt;z-index:1">
            <v:imagedata r:id="rId7" o:title=""/>
            <w10:wrap type="topAndBottom"/>
          </v:shape>
        </w:pict>
      </w:r>
      <w:r w:rsidR="00B26F50" w:rsidRPr="00E46AEA">
        <w:rPr>
          <w:rFonts w:cs="Arial"/>
          <w:szCs w:val="20"/>
        </w:rPr>
        <w:t>Pokud časovou řadu měsíčních údajů očistíme o sezónní vlivy a náhodné faktory, dostaneme trend stavební produkce. Z níže uvedeného grafu se zdá, že se pokles stavební produkce zastavil a situace se začíná stabilizovat. Křivka trendu stavební produkce je však stále poměrně hluboko pod úrovní bazického roku 2010.</w:t>
      </w:r>
    </w:p>
    <w:p w:rsidR="00176D3A" w:rsidRDefault="00176D3A" w:rsidP="00176D3A">
      <w:pPr>
        <w:rPr>
          <w:rFonts w:cs="Arial"/>
          <w:sz w:val="18"/>
          <w:szCs w:val="18"/>
        </w:rPr>
      </w:pPr>
    </w:p>
    <w:p w:rsidR="009F1610" w:rsidRDefault="009F1610" w:rsidP="00176D3A">
      <w:pPr>
        <w:rPr>
          <w:rFonts w:cs="Arial"/>
          <w:szCs w:val="20"/>
        </w:rPr>
      </w:pPr>
    </w:p>
    <w:p w:rsidR="00B26F50" w:rsidRPr="00176D3A" w:rsidRDefault="00B26F50" w:rsidP="00176D3A">
      <w:pPr>
        <w:rPr>
          <w:rFonts w:cs="Arial"/>
          <w:szCs w:val="20"/>
        </w:rPr>
      </w:pPr>
      <w:r w:rsidRPr="00176D3A">
        <w:rPr>
          <w:rFonts w:cs="Arial"/>
          <w:szCs w:val="20"/>
        </w:rPr>
        <w:t xml:space="preserve">Stavební společnosti </w:t>
      </w:r>
      <w:r w:rsidR="00FD115B">
        <w:rPr>
          <w:rFonts w:cs="Arial"/>
          <w:szCs w:val="20"/>
        </w:rPr>
        <w:t>realizovaly</w:t>
      </w:r>
      <w:r w:rsidRPr="00176D3A">
        <w:rPr>
          <w:rFonts w:cs="Arial"/>
          <w:szCs w:val="20"/>
        </w:rPr>
        <w:t xml:space="preserve"> v roce 2013 stavební práce v hodnotě 397,5 miliard korun, z toho více než polovina (219,5 miliard Kč) připadala na větší stavební firmy s více než 20 zaměstnanci. Většina stavebních prací byla provedena na nové výstavbě, rekonstrukcích a modernizacích, přibližně čtvrtina prací připadla na opravy a údržbu. Podíl prací provedených v zahraničí byl zanedbatelný, ale najdou se i firmy, kde práce v zahraničí tvoří významnou součást jejich celkového obratu. Výše uvedená struktura stavebních prací se v průběhu jednotlivých let významným způsobem nemění a rozdělení v roce 2013 ukazuje následující graf.</w:t>
      </w:r>
    </w:p>
    <w:p w:rsidR="00B26F50" w:rsidRPr="00176D3A" w:rsidRDefault="00B26F50" w:rsidP="00B26F50">
      <w:pPr>
        <w:ind w:firstLine="708"/>
        <w:rPr>
          <w:rFonts w:cs="Arial"/>
          <w:szCs w:val="20"/>
        </w:rPr>
      </w:pPr>
    </w:p>
    <w:p w:rsidR="00176D3A" w:rsidRDefault="00176D3A" w:rsidP="00B26F50">
      <w:pPr>
        <w:rPr>
          <w:rFonts w:cs="Arial"/>
          <w:b/>
          <w:bCs/>
          <w:szCs w:val="20"/>
        </w:rPr>
      </w:pPr>
    </w:p>
    <w:p w:rsidR="00176D3A" w:rsidRDefault="00176D3A" w:rsidP="00B26F50">
      <w:pPr>
        <w:rPr>
          <w:rFonts w:cs="Arial"/>
          <w:b/>
          <w:bCs/>
          <w:szCs w:val="20"/>
        </w:rPr>
      </w:pPr>
    </w:p>
    <w:p w:rsidR="00B26F50" w:rsidRPr="00176D3A" w:rsidRDefault="00B26F50" w:rsidP="00B26F50">
      <w:pPr>
        <w:rPr>
          <w:rFonts w:cs="Arial"/>
          <w:b/>
          <w:bCs/>
          <w:szCs w:val="20"/>
        </w:rPr>
      </w:pPr>
      <w:r w:rsidRPr="00176D3A">
        <w:rPr>
          <w:rFonts w:cs="Arial"/>
          <w:b/>
          <w:bCs/>
          <w:szCs w:val="20"/>
        </w:rPr>
        <w:t>Stavební práce v roce 2013 podle směrů výstavby (všechny stavební firmy)</w:t>
      </w:r>
    </w:p>
    <w:p w:rsidR="00B26F50" w:rsidRPr="00047A24" w:rsidRDefault="001029E7" w:rsidP="00B26F50">
      <w:pPr>
        <w:rPr>
          <w:rFonts w:cs="Arial"/>
          <w:b/>
          <w:bCs/>
          <w:sz w:val="18"/>
          <w:szCs w:val="18"/>
        </w:rPr>
      </w:pPr>
      <w:r w:rsidRPr="00741FA0">
        <w:rPr>
          <w:szCs w:val="20"/>
        </w:rPr>
        <w:pict>
          <v:shape id="_x0000_i1025" type="#_x0000_t75" style="width:424.5pt;height:265.5pt">
            <v:imagedata r:id="rId8" o:title=""/>
          </v:shape>
        </w:pict>
      </w:r>
    </w:p>
    <w:p w:rsidR="00176D3A" w:rsidRDefault="00176D3A" w:rsidP="00176D3A">
      <w:pPr>
        <w:rPr>
          <w:rFonts w:cs="Arial"/>
          <w:szCs w:val="20"/>
        </w:rPr>
      </w:pPr>
    </w:p>
    <w:p w:rsidR="00B26F50" w:rsidRPr="00176D3A" w:rsidRDefault="00B26F50" w:rsidP="00176D3A">
      <w:pPr>
        <w:rPr>
          <w:rFonts w:cs="Arial"/>
          <w:szCs w:val="20"/>
        </w:rPr>
      </w:pPr>
      <w:r w:rsidRPr="00176D3A">
        <w:rPr>
          <w:rFonts w:cs="Arial"/>
          <w:szCs w:val="20"/>
        </w:rPr>
        <w:t xml:space="preserve">Za větší podniky s 20 a více zaměstnanci jsou dostupné podrobnější údaje o struktuře stavebních prací, které fakturují konečnému odběrateli. Stavební práce na nové výstavbě i opravách a údržbě třídíme podle klasifikace stavebních děl a v průběhu minulých let jsou patrné změny v této struktuře. Zcela zřetelně je vidět pokles podílu výstavby budov, především pak budov </w:t>
      </w:r>
      <w:proofErr w:type="spellStart"/>
      <w:r w:rsidRPr="00176D3A">
        <w:rPr>
          <w:rFonts w:cs="Arial"/>
          <w:szCs w:val="20"/>
        </w:rPr>
        <w:t>vícebytových</w:t>
      </w:r>
      <w:proofErr w:type="spellEnd"/>
      <w:r w:rsidRPr="00176D3A">
        <w:rPr>
          <w:rFonts w:cs="Arial"/>
          <w:szCs w:val="20"/>
        </w:rPr>
        <w:t>. V období boomu bytové výstavby činil tento podíl až 13 % z celkových stavebních prací podniků s 20 a více zaměstnanci a od té doby neustále klesá až na 7,8 % v roce 2013. Podobnou situaci lze pozorovat v kategorii dálnic a silnic, kde byl propad ještě razantnější. Z 22 % v roce 2009 se dostal na pouhých 16 % v roce 2011, ale v minulém roce došlo k mírnému vylepšení (17,5 %). Naopak v posledních letech narůstá podíl stavebních prací na výstavbě průmyslových a zemědělských budov a také na kanalizačním, elektrickém a telekomunikačním vedení. Pokud porovnáme strukturu stavebních prací pouze na opravách a údržbě, tvoří plnou čtvrtinu oprava místních a účelových komunikací. Na nové výstavbě mají největší váhu průmyslové budovy a dálnice.</w:t>
      </w:r>
    </w:p>
    <w:p w:rsidR="00176D3A" w:rsidRPr="00176D3A" w:rsidRDefault="00176D3A" w:rsidP="00176D3A">
      <w:pPr>
        <w:rPr>
          <w:rFonts w:cs="Arial"/>
          <w:szCs w:val="20"/>
        </w:rPr>
      </w:pPr>
    </w:p>
    <w:p w:rsidR="00B26F50" w:rsidRPr="00176D3A" w:rsidRDefault="00B26F50" w:rsidP="00176D3A">
      <w:pPr>
        <w:rPr>
          <w:iCs/>
          <w:szCs w:val="20"/>
        </w:rPr>
      </w:pPr>
      <w:r w:rsidRPr="00176D3A">
        <w:rPr>
          <w:rFonts w:cs="Arial"/>
          <w:szCs w:val="20"/>
        </w:rPr>
        <w:t>Vzhledem k tomu, že stavebnictví je na rozdíl od průmyslu pevně spjato s místem výsledné produkce (tedy výstavby), je zajímavé porovnat stavební práce v jednotlivých regionech. Informace máme opět pouze za podniky s 20 a více zaměstnanci. Z celkových fakturovaných dodávek těchto podniků ve výši 219,5 mld. Kč se nejvíce prostavělo v Praze (celkem 47,3 mld. Kč, tedy 22 %). S větším odstupem pak následují kraje Jihomoravský (25,7 mld. Kč, 12 %) a Moravskoslezský (23,2 mld. Kč, 11 %).</w:t>
      </w:r>
      <w:r w:rsidRPr="00176D3A">
        <w:rPr>
          <w:rFonts w:cs="Arial"/>
          <w:i/>
          <w:szCs w:val="20"/>
        </w:rPr>
        <w:t xml:space="preserve"> </w:t>
      </w:r>
      <w:r w:rsidRPr="00176D3A">
        <w:rPr>
          <w:iCs/>
          <w:szCs w:val="20"/>
        </w:rPr>
        <w:t>Na opačném konci řady se nachází kraje Karlovarský, Liberecký a Pardubický, které jsou ovšem menší svou rozlohou.</w:t>
      </w:r>
    </w:p>
    <w:p w:rsidR="00176D3A" w:rsidRDefault="00741FA0" w:rsidP="00176D3A">
      <w:pPr>
        <w:rPr>
          <w:rFonts w:cs="Arial"/>
          <w:szCs w:val="20"/>
        </w:rPr>
      </w:pPr>
      <w:r w:rsidRPr="00741FA0">
        <w:rPr>
          <w:noProof/>
          <w:szCs w:val="20"/>
        </w:rPr>
        <w:lastRenderedPageBreak/>
        <w:pict>
          <v:shape id="_x0000_s1027" type="#_x0000_t75" style="position:absolute;left:0;text-align:left;margin-left:1.5pt;margin-top:10.55pt;width:429pt;height:274.8pt;z-index:2">
            <v:imagedata r:id="rId9" o:title=""/>
            <w10:wrap type="topAndBottom"/>
          </v:shape>
        </w:pict>
      </w:r>
    </w:p>
    <w:p w:rsidR="00176D3A" w:rsidRDefault="00176D3A" w:rsidP="00176D3A">
      <w:pPr>
        <w:rPr>
          <w:rFonts w:cs="Arial"/>
          <w:szCs w:val="20"/>
        </w:rPr>
      </w:pPr>
    </w:p>
    <w:p w:rsidR="00E46AEA" w:rsidRDefault="00E46AEA" w:rsidP="00176D3A">
      <w:pPr>
        <w:rPr>
          <w:rFonts w:cs="Arial"/>
          <w:szCs w:val="20"/>
        </w:rPr>
      </w:pPr>
    </w:p>
    <w:p w:rsidR="00E46AEA" w:rsidRDefault="00E46AEA" w:rsidP="00176D3A">
      <w:pPr>
        <w:rPr>
          <w:rFonts w:cs="Arial"/>
          <w:szCs w:val="20"/>
        </w:rPr>
      </w:pPr>
    </w:p>
    <w:p w:rsidR="00B26F50" w:rsidRPr="00176D3A" w:rsidRDefault="00B26F50" w:rsidP="00176D3A">
      <w:pPr>
        <w:rPr>
          <w:rFonts w:cs="Arial"/>
          <w:szCs w:val="20"/>
        </w:rPr>
      </w:pPr>
      <w:r w:rsidRPr="00176D3A">
        <w:rPr>
          <w:rFonts w:cs="Arial"/>
          <w:szCs w:val="20"/>
        </w:rPr>
        <w:t>Stavební práce lze porovnávat nejen podle místa stavby, ale také podle sídla stavebního podniku, který zakázku fakturuje jako hlavní dodavatel konečnému odběrateli. V níže uvedené tabulce vidíme, kolik stavební společnosti se sídlem ve vybraném kraji prostavěly v ostatních regionech. Všechny firmy staví nejvíce v kraji svého sídla (v tabulce vyznačeno zeleně) a často také směřují své stavební aktivity do sousedních regionů. To je vidět zejména na firmách se sídlem v Olomouckém kraji, které značnou část svých stavebních prací provedly na území kraje Moravskoslezského (v tabulce oranžově). V Moravskoslezském kraji hodně staví také firmy z kraje Zlínského a Jihomoravského (v tabulce žlutě), v Jihomoravském kraji pak pracují společnosti se sídlem na Vysočině a Zlínském kraji (v tabulce vyznačeno růžově). Naopak společnosti z Karlovarského kraje na východ republiky za prací vůbec necestují (v tabulce fialově) a řadí se k největším stavebním „patriotům“, když 81 % zakázek provedly v roce 2013 na území vlastního kraje. Jak bylo výše uvedeno, nejvíce stavebních příležitostí je v Praze, proto sem za prací přichází také stavební společnosti ze všech částí České republiky. Některé firmy zde odpracují poměrně značnou část svých zakázek, jedná se například o firmy se sídlem ve Středočeském nebo Libereckém kraji, ale také na Vysočině, v krajích Královéhradeckém, Pardubickém a Ústeckém (v tabulce modře). Výše popsané struktury se samozřejmě s prováděním jednotlivých akcí mohou měnit, ale základní principy a vazby v průběhu let zůstávají stejné.</w:t>
      </w:r>
    </w:p>
    <w:p w:rsidR="00B26F50" w:rsidRPr="00047A24" w:rsidRDefault="00B26F50" w:rsidP="00B26F50">
      <w:pPr>
        <w:rPr>
          <w:rFonts w:cs="Arial"/>
          <w:sz w:val="18"/>
          <w:szCs w:val="18"/>
        </w:rPr>
      </w:pPr>
    </w:p>
    <w:p w:rsidR="00176D3A" w:rsidRDefault="00176D3A" w:rsidP="00B26F50">
      <w:pPr>
        <w:rPr>
          <w:rFonts w:cs="Arial"/>
          <w:b/>
          <w:bCs/>
          <w:sz w:val="18"/>
          <w:szCs w:val="18"/>
        </w:rPr>
      </w:pPr>
    </w:p>
    <w:p w:rsidR="00176D3A" w:rsidRDefault="00176D3A" w:rsidP="00B26F50">
      <w:pPr>
        <w:rPr>
          <w:rFonts w:cs="Arial"/>
          <w:b/>
          <w:bCs/>
          <w:sz w:val="18"/>
          <w:szCs w:val="18"/>
        </w:rPr>
      </w:pPr>
    </w:p>
    <w:p w:rsidR="00176D3A" w:rsidRDefault="00176D3A" w:rsidP="00B26F50">
      <w:pPr>
        <w:rPr>
          <w:rFonts w:cs="Arial"/>
          <w:b/>
          <w:bCs/>
          <w:sz w:val="18"/>
          <w:szCs w:val="18"/>
        </w:rPr>
      </w:pPr>
    </w:p>
    <w:p w:rsidR="00176D3A" w:rsidRDefault="00B26F50" w:rsidP="00176D3A">
      <w:pPr>
        <w:jc w:val="left"/>
        <w:rPr>
          <w:rFonts w:cs="Arial"/>
          <w:b/>
          <w:bCs/>
          <w:szCs w:val="20"/>
        </w:rPr>
      </w:pPr>
      <w:r w:rsidRPr="00176D3A">
        <w:rPr>
          <w:rFonts w:cs="Arial"/>
          <w:b/>
          <w:bCs/>
          <w:szCs w:val="20"/>
        </w:rPr>
        <w:t xml:space="preserve">Stavební práce v roce 2013 podle místa stavby a sídla firmy </w:t>
      </w:r>
    </w:p>
    <w:p w:rsidR="00B26F50" w:rsidRPr="00176D3A" w:rsidRDefault="00B26F50" w:rsidP="00176D3A">
      <w:pPr>
        <w:jc w:val="left"/>
        <w:rPr>
          <w:rFonts w:cs="Arial"/>
          <w:b/>
          <w:bCs/>
          <w:szCs w:val="20"/>
        </w:rPr>
      </w:pPr>
      <w:r w:rsidRPr="00176D3A">
        <w:rPr>
          <w:rFonts w:cs="Arial"/>
          <w:b/>
          <w:bCs/>
          <w:szCs w:val="20"/>
        </w:rPr>
        <w:t>(firmy s 20 a více zaměstnanci)</w:t>
      </w:r>
    </w:p>
    <w:p w:rsidR="00B26F50" w:rsidRPr="009F1610" w:rsidRDefault="00B26F50" w:rsidP="00B26F50">
      <w:pPr>
        <w:jc w:val="right"/>
        <w:rPr>
          <w:rFonts w:cs="Arial"/>
          <w:sz w:val="18"/>
          <w:szCs w:val="18"/>
        </w:rPr>
      </w:pPr>
      <w:r w:rsidRPr="009F1610">
        <w:rPr>
          <w:rFonts w:cs="Arial"/>
          <w:sz w:val="18"/>
          <w:szCs w:val="18"/>
        </w:rPr>
        <w:t>v %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7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26F50" w:rsidRPr="009F1610" w:rsidTr="000C1A7F">
        <w:trPr>
          <w:cantSplit/>
          <w:trHeight w:val="339"/>
        </w:trPr>
        <w:tc>
          <w:tcPr>
            <w:tcW w:w="1620" w:type="dxa"/>
            <w:tcBorders>
              <w:top w:val="nil"/>
              <w:left w:val="nil"/>
            </w:tcBorders>
          </w:tcPr>
          <w:p w:rsidR="00B26F50" w:rsidRPr="009F1610" w:rsidRDefault="00B26F50" w:rsidP="000C1A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20" w:type="dxa"/>
            <w:gridSpan w:val="14"/>
            <w:vAlign w:val="center"/>
          </w:tcPr>
          <w:p w:rsidR="00B26F50" w:rsidRPr="009F1610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 xml:space="preserve">Sídlo firmy </w:t>
            </w:r>
            <w:r w:rsidRPr="009F1610">
              <w:rPr>
                <w:rFonts w:cs="Arial"/>
                <w:b/>
                <w:bCs/>
                <w:sz w:val="18"/>
                <w:szCs w:val="18"/>
              </w:rPr>
              <w:t>(=100 %)</w:t>
            </w:r>
          </w:p>
        </w:tc>
      </w:tr>
      <w:tr w:rsidR="00B26F50" w:rsidRPr="009F1610" w:rsidTr="000C1A7F">
        <w:trPr>
          <w:cantSplit/>
          <w:trHeight w:val="1638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center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Místo stavby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Praha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Středočeský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Jihočeský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Plzeňský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Karlovarský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Ústecký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Liberecký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Královéhradecký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Pardubický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Vysočina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Jihomoravský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Olomoucký</w:t>
            </w:r>
          </w:p>
        </w:tc>
        <w:tc>
          <w:tcPr>
            <w:tcW w:w="537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Zlínský</w:t>
            </w:r>
          </w:p>
        </w:tc>
        <w:tc>
          <w:tcPr>
            <w:tcW w:w="538" w:type="dxa"/>
            <w:textDirection w:val="btLr"/>
            <w:vAlign w:val="center"/>
          </w:tcPr>
          <w:p w:rsidR="00B26F50" w:rsidRPr="009F1610" w:rsidRDefault="00B26F50" w:rsidP="000C1A7F">
            <w:pPr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Moravskoslezský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Praha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99CC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37" w:type="dxa"/>
            <w:shd w:val="clear" w:color="auto" w:fill="99CC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38" w:type="dxa"/>
            <w:shd w:val="clear" w:color="auto" w:fill="99CC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37" w:type="dxa"/>
            <w:shd w:val="clear" w:color="auto" w:fill="99CC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37" w:type="dxa"/>
            <w:shd w:val="clear" w:color="auto" w:fill="99CC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37" w:type="dxa"/>
            <w:shd w:val="clear" w:color="auto" w:fill="99CC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Středočeský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shd w:val="clear" w:color="auto" w:fill="99CC00"/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Jihočeský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Plzeňský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Karlovarský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Ústecký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Liberecký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8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Královéhradecký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Pardubický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CC99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Vysočina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CC99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Jihomoravský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CC99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66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37" w:type="dxa"/>
            <w:shd w:val="clear" w:color="auto" w:fill="FF66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Olomoucký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CC99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Zlínský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CC99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</w:tr>
      <w:tr w:rsidR="00B26F50" w:rsidRPr="009F1610" w:rsidTr="000C1A7F">
        <w:trPr>
          <w:trHeight w:val="345"/>
        </w:trPr>
        <w:tc>
          <w:tcPr>
            <w:tcW w:w="1620" w:type="dxa"/>
            <w:vAlign w:val="center"/>
          </w:tcPr>
          <w:p w:rsidR="00B26F50" w:rsidRPr="009F1610" w:rsidRDefault="00B26F50" w:rsidP="000C1A7F">
            <w:pPr>
              <w:jc w:val="lef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Moravskoslezský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CC99FF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8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" w:type="dxa"/>
            <w:shd w:val="clear" w:color="auto" w:fill="FF99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537" w:type="dxa"/>
            <w:shd w:val="clear" w:color="auto" w:fill="FFFF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38" w:type="dxa"/>
            <w:shd w:val="clear" w:color="auto" w:fill="99CC00"/>
            <w:tcMar>
              <w:right w:w="170" w:type="dxa"/>
            </w:tcMar>
            <w:vAlign w:val="center"/>
          </w:tcPr>
          <w:p w:rsidR="00B26F50" w:rsidRPr="009F1610" w:rsidRDefault="00B26F50" w:rsidP="000C1A7F">
            <w:pPr>
              <w:jc w:val="right"/>
              <w:rPr>
                <w:rFonts w:cs="Arial"/>
                <w:sz w:val="18"/>
                <w:szCs w:val="18"/>
              </w:rPr>
            </w:pPr>
            <w:r w:rsidRPr="009F1610">
              <w:rPr>
                <w:rFonts w:cs="Arial"/>
                <w:sz w:val="18"/>
                <w:szCs w:val="18"/>
              </w:rPr>
              <w:t>74</w:t>
            </w:r>
          </w:p>
        </w:tc>
      </w:tr>
    </w:tbl>
    <w:p w:rsidR="009F1610" w:rsidRDefault="00B26F50" w:rsidP="009F1610">
      <w:pPr>
        <w:pStyle w:val="Nadpis3"/>
        <w:jc w:val="both"/>
        <w:rPr>
          <w:b w:val="0"/>
          <w:bCs w:val="0"/>
          <w:szCs w:val="18"/>
        </w:rPr>
      </w:pPr>
      <w:r w:rsidRPr="009F1610">
        <w:rPr>
          <w:b w:val="0"/>
          <w:bCs w:val="0"/>
          <w:szCs w:val="18"/>
        </w:rPr>
        <w:lastRenderedPageBreak/>
        <w:t xml:space="preserve">Stavební společnosti s 20 a více zaměstnanci také poskytují data o tom, kolik stavebních prací provádějí pro veřejné zadavatele. V roce 2013 provedly firmy stavební práce pro veřejné zadavatele ve výši 80,3 mld. Kč a z tohoto objemu bylo nejvíce prostavěno v Praze (13,5 mld. Kč), dále pak následoval kraj Jihomoravský (10,6 mld. Kč) a  Moravskoslezský (9,6 mld. Kč), což jsou zároveň kraje s celkově vysokým objemem stavebních prací. </w:t>
      </w:r>
    </w:p>
    <w:p w:rsidR="00B26F50" w:rsidRPr="009F1610" w:rsidRDefault="00B26F50" w:rsidP="009F1610">
      <w:pPr>
        <w:pStyle w:val="Nadpis3"/>
        <w:jc w:val="both"/>
        <w:rPr>
          <w:b w:val="0"/>
          <w:bCs w:val="0"/>
          <w:szCs w:val="18"/>
        </w:rPr>
      </w:pPr>
      <w:r w:rsidRPr="009F1610">
        <w:rPr>
          <w:b w:val="0"/>
          <w:bCs w:val="0"/>
          <w:szCs w:val="18"/>
        </w:rPr>
        <w:t>V jednotlivých regionech je proto zajímavé zjistit také podíl stavebních prací pro veřejné dodavatele na celkovém objemu fakturovaných dodávek všem konečným odběratelům. Průměr za celou Českou republiku se pohybuje kolem 37 % dodávek pro veřejné zadavatele z celkového objemu stavebních prací. V tomto ohledu je na tom nejlépe kraj Liberecký (55 %) a také Plzeňský (49 %), ale mezi jednotlivými kraji nejsou patrné výrazné rozdíly. Pokud bychom se podívali na jemnější členění, rozdíly vidíme v jednotlivých regionech větší. Je to způsobeno především prováděním větších investičních akcí, které jsou financovány z veřejných zdrojů, takže tato struktura se v průběhu let může značně měnit. Svůj vliv může v jednotlivých oblastech sehrát i nedostatek zakázek ze soukromých zdrojů, takže podíl stavebních prací pro veřejné dodavatele je pak logicky větší než v oblastech s celkově vyšší investiční aktivitou všech subjektů.</w:t>
      </w:r>
    </w:p>
    <w:p w:rsidR="00B26F50" w:rsidRPr="00047A24" w:rsidRDefault="00B26F50" w:rsidP="00B26F50">
      <w:pPr>
        <w:rPr>
          <w:sz w:val="18"/>
          <w:szCs w:val="18"/>
        </w:rPr>
      </w:pPr>
    </w:p>
    <w:p w:rsidR="00B26F50" w:rsidRPr="00047A24" w:rsidRDefault="00B26F50" w:rsidP="00B26F50">
      <w:pPr>
        <w:rPr>
          <w:b/>
          <w:bCs/>
          <w:sz w:val="18"/>
          <w:szCs w:val="18"/>
        </w:rPr>
      </w:pPr>
      <w:r w:rsidRPr="00047A24">
        <w:rPr>
          <w:b/>
          <w:bCs/>
          <w:sz w:val="18"/>
          <w:szCs w:val="18"/>
        </w:rPr>
        <w:t>Stavební práce v roce 201</w:t>
      </w:r>
      <w:r>
        <w:rPr>
          <w:b/>
          <w:bCs/>
          <w:sz w:val="18"/>
          <w:szCs w:val="18"/>
        </w:rPr>
        <w:t>3</w:t>
      </w:r>
      <w:r w:rsidRPr="00047A24">
        <w:rPr>
          <w:b/>
          <w:bCs/>
          <w:sz w:val="18"/>
          <w:szCs w:val="18"/>
        </w:rPr>
        <w:t xml:space="preserve"> pro veřejné zadavatele (firmy s 20 a více zaměstnanci)</w:t>
      </w:r>
    </w:p>
    <w:p w:rsidR="00B26F50" w:rsidRPr="00047A24" w:rsidRDefault="00B26F50" w:rsidP="00B26F50">
      <w:pPr>
        <w:rPr>
          <w:sz w:val="18"/>
          <w:szCs w:val="18"/>
        </w:rPr>
      </w:pPr>
      <w:r w:rsidRPr="00047A24">
        <w:rPr>
          <w:sz w:val="18"/>
          <w:szCs w:val="18"/>
        </w:rPr>
        <w:t>-podíl na celkových stavebních pracích v OPR místa stavby</w:t>
      </w:r>
    </w:p>
    <w:p w:rsidR="00B26F50" w:rsidRDefault="001029E7" w:rsidP="00B26F50">
      <w:r>
        <w:pict>
          <v:shape id="_x0000_i1026" type="#_x0000_t75" style="width:453pt;height:301.5pt">
            <v:imagedata r:id="rId10" o:title=""/>
          </v:shape>
        </w:pict>
      </w:r>
    </w:p>
    <w:p w:rsidR="00B26F50" w:rsidRDefault="00B26F50" w:rsidP="00B26F50">
      <w:pPr>
        <w:rPr>
          <w:rFonts w:cs="Arial"/>
          <w:szCs w:val="20"/>
        </w:rPr>
      </w:pPr>
    </w:p>
    <w:p w:rsidR="00D27D69" w:rsidRDefault="00D27D69" w:rsidP="00E42E00"/>
    <w:p w:rsidR="005F699D" w:rsidRDefault="005F699D" w:rsidP="00E42E00"/>
    <w:p w:rsidR="00D27D69" w:rsidRDefault="00D27D69" w:rsidP="00E42E00"/>
    <w:p w:rsidR="007B1333" w:rsidRDefault="007B1333" w:rsidP="00E42E00">
      <w:pPr>
        <w:rPr>
          <w:b/>
        </w:rPr>
      </w:pPr>
      <w:r>
        <w:rPr>
          <w:b/>
        </w:rPr>
        <w:t>Kontakt</w:t>
      </w:r>
    </w:p>
    <w:p w:rsidR="007B1333" w:rsidRDefault="00764C5D" w:rsidP="00E42E00">
      <w:r>
        <w:t>Radek Matějka</w:t>
      </w:r>
    </w:p>
    <w:p w:rsidR="007B1333" w:rsidRDefault="007B1333" w:rsidP="00E42E00">
      <w:r>
        <w:t>Odbor</w:t>
      </w:r>
      <w:r w:rsidR="00764C5D">
        <w:t xml:space="preserve"> statistiky průmyslu</w:t>
      </w:r>
      <w:r w:rsidR="00E46AEA">
        <w:t>,</w:t>
      </w:r>
      <w:r w:rsidR="00764C5D">
        <w:t xml:space="preserve"> stavebnictví a energetiky</w:t>
      </w:r>
    </w:p>
    <w:p w:rsidR="007B1333" w:rsidRDefault="007B1333" w:rsidP="00E42E00">
      <w:r>
        <w:t>Tel.:</w:t>
      </w:r>
      <w:r w:rsidR="00764C5D">
        <w:t xml:space="preserve"> 274052894</w:t>
      </w:r>
    </w:p>
    <w:p w:rsidR="004920AD" w:rsidRPr="004920AD" w:rsidRDefault="007B1333" w:rsidP="00E42E00">
      <w:r>
        <w:t>E-mail:</w:t>
      </w:r>
      <w:r w:rsidR="00764C5D">
        <w:t xml:space="preserve"> </w:t>
      </w:r>
      <w:hyperlink r:id="rId11" w:history="1">
        <w:r w:rsidR="00942CBF" w:rsidRPr="007470B6">
          <w:rPr>
            <w:rStyle w:val="Hypertextovodkaz"/>
          </w:rPr>
          <w:t>radek.matejka@czso.cz</w:t>
        </w:r>
      </w:hyperlink>
      <w:r w:rsidR="00764C5D">
        <w:t xml:space="preserve"> </w:t>
      </w:r>
    </w:p>
    <w:sectPr w:rsidR="004920AD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90" w:rsidRDefault="00BB6A90" w:rsidP="00BA6370">
      <w:r>
        <w:separator/>
      </w:r>
    </w:p>
  </w:endnote>
  <w:endnote w:type="continuationSeparator" w:id="0">
    <w:p w:rsidR="00BB6A90" w:rsidRDefault="00BB6A9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1FA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41FA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41FA0" w:rsidRPr="004E479E">
                  <w:rPr>
                    <w:rFonts w:cs="Arial"/>
                    <w:szCs w:val="15"/>
                  </w:rPr>
                  <w:fldChar w:fldCharType="separate"/>
                </w:r>
                <w:r w:rsidR="00FD115B">
                  <w:rPr>
                    <w:rFonts w:cs="Arial"/>
                    <w:noProof/>
                    <w:szCs w:val="15"/>
                  </w:rPr>
                  <w:t>2</w:t>
                </w:r>
                <w:r w:rsidR="00741FA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90" w:rsidRDefault="00BB6A90" w:rsidP="00BA6370">
      <w:r>
        <w:separator/>
      </w:r>
    </w:p>
  </w:footnote>
  <w:footnote w:type="continuationSeparator" w:id="0">
    <w:p w:rsidR="00BB6A90" w:rsidRDefault="00BB6A9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1FA0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D3A"/>
    <w:rsid w:val="00043BF4"/>
    <w:rsid w:val="00045F65"/>
    <w:rsid w:val="000843A5"/>
    <w:rsid w:val="000B6F63"/>
    <w:rsid w:val="000F5B28"/>
    <w:rsid w:val="001029E7"/>
    <w:rsid w:val="00127216"/>
    <w:rsid w:val="001404AB"/>
    <w:rsid w:val="001658A9"/>
    <w:rsid w:val="0017231D"/>
    <w:rsid w:val="00175ABA"/>
    <w:rsid w:val="00176D3A"/>
    <w:rsid w:val="001810DC"/>
    <w:rsid w:val="001A59BF"/>
    <w:rsid w:val="001B607F"/>
    <w:rsid w:val="001D369A"/>
    <w:rsid w:val="001F6C45"/>
    <w:rsid w:val="002070FB"/>
    <w:rsid w:val="00213729"/>
    <w:rsid w:val="002406FA"/>
    <w:rsid w:val="002B2E47"/>
    <w:rsid w:val="002D6A6C"/>
    <w:rsid w:val="003301A3"/>
    <w:rsid w:val="0036777B"/>
    <w:rsid w:val="0038282A"/>
    <w:rsid w:val="00387B31"/>
    <w:rsid w:val="00397580"/>
    <w:rsid w:val="003A1794"/>
    <w:rsid w:val="003A45C8"/>
    <w:rsid w:val="003C2DCF"/>
    <w:rsid w:val="003C7FE7"/>
    <w:rsid w:val="003D0499"/>
    <w:rsid w:val="003F526A"/>
    <w:rsid w:val="00405244"/>
    <w:rsid w:val="004436EE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53DAA"/>
    <w:rsid w:val="005646B3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41FA0"/>
    <w:rsid w:val="00764C5D"/>
    <w:rsid w:val="007A57F2"/>
    <w:rsid w:val="007B1333"/>
    <w:rsid w:val="007E23A3"/>
    <w:rsid w:val="007F4AEB"/>
    <w:rsid w:val="007F75B2"/>
    <w:rsid w:val="008043C4"/>
    <w:rsid w:val="00815588"/>
    <w:rsid w:val="00830309"/>
    <w:rsid w:val="00831B1B"/>
    <w:rsid w:val="00861D0E"/>
    <w:rsid w:val="00867569"/>
    <w:rsid w:val="008A18A9"/>
    <w:rsid w:val="008A750A"/>
    <w:rsid w:val="008C384C"/>
    <w:rsid w:val="008D0F11"/>
    <w:rsid w:val="008F73B4"/>
    <w:rsid w:val="0090741A"/>
    <w:rsid w:val="00931A52"/>
    <w:rsid w:val="00942CBF"/>
    <w:rsid w:val="009B55B1"/>
    <w:rsid w:val="009F1610"/>
    <w:rsid w:val="00A4343D"/>
    <w:rsid w:val="00A502F1"/>
    <w:rsid w:val="00A56C80"/>
    <w:rsid w:val="00A70A83"/>
    <w:rsid w:val="00A81EB3"/>
    <w:rsid w:val="00B00C1D"/>
    <w:rsid w:val="00B26F50"/>
    <w:rsid w:val="00B33194"/>
    <w:rsid w:val="00BA439F"/>
    <w:rsid w:val="00BA6370"/>
    <w:rsid w:val="00BB6A90"/>
    <w:rsid w:val="00BC748B"/>
    <w:rsid w:val="00C269D4"/>
    <w:rsid w:val="00C4160D"/>
    <w:rsid w:val="00C8406E"/>
    <w:rsid w:val="00CB2709"/>
    <w:rsid w:val="00CB6F89"/>
    <w:rsid w:val="00CE228C"/>
    <w:rsid w:val="00CF545B"/>
    <w:rsid w:val="00D27D69"/>
    <w:rsid w:val="00D448C2"/>
    <w:rsid w:val="00D666C3"/>
    <w:rsid w:val="00DD1EAE"/>
    <w:rsid w:val="00DF47FE"/>
    <w:rsid w:val="00E26704"/>
    <w:rsid w:val="00E31980"/>
    <w:rsid w:val="00E42E00"/>
    <w:rsid w:val="00E46AEA"/>
    <w:rsid w:val="00E6423C"/>
    <w:rsid w:val="00E93830"/>
    <w:rsid w:val="00E93E0E"/>
    <w:rsid w:val="00EA7B94"/>
    <w:rsid w:val="00EB1ED3"/>
    <w:rsid w:val="00EC2D51"/>
    <w:rsid w:val="00ED7B69"/>
    <w:rsid w:val="00F13564"/>
    <w:rsid w:val="00F26395"/>
    <w:rsid w:val="00F32DA4"/>
    <w:rsid w:val="00FB687C"/>
    <w:rsid w:val="00FD11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dek.matejka@czs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0B8B-2E80-4983-8421-57ED1AD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28</TotalTime>
  <Pages>7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lukavcova4833</cp:lastModifiedBy>
  <cp:revision>3</cp:revision>
  <dcterms:created xsi:type="dcterms:W3CDTF">2014-07-15T07:51:00Z</dcterms:created>
  <dcterms:modified xsi:type="dcterms:W3CDTF">2014-07-15T08:18:00Z</dcterms:modified>
</cp:coreProperties>
</file>