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7A5999" w:rsidRDefault="004B325D">
      <w:pPr>
        <w:pStyle w:val="Nadpis1"/>
        <w:rPr>
          <w:sz w:val="18"/>
        </w:rPr>
      </w:pPr>
      <w:r w:rsidRPr="007A5999">
        <w:rPr>
          <w:sz w:val="18"/>
        </w:rPr>
        <w:t>1. Účel statistického systému „ceny nemovitostí“, záměr publikace</w:t>
      </w:r>
    </w:p>
    <w:p w:rsidR="004B325D" w:rsidRPr="007A5999" w:rsidRDefault="004B325D">
      <w:pPr>
        <w:pStyle w:val="Zkladntextodsazen2"/>
        <w:ind w:firstLine="0"/>
        <w:rPr>
          <w:sz w:val="18"/>
        </w:rPr>
      </w:pPr>
      <w:r w:rsidRPr="007A5999">
        <w:rPr>
          <w:sz w:val="18"/>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4B325D" w:rsidRPr="007A5999" w:rsidRDefault="004B325D">
      <w:pPr>
        <w:pStyle w:val="Zkladntextodsazen3"/>
        <w:ind w:firstLine="0"/>
        <w:rPr>
          <w:sz w:val="18"/>
        </w:rPr>
      </w:pPr>
      <w:r w:rsidRPr="007A5999">
        <w:rPr>
          <w:sz w:val="18"/>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4B325D" w:rsidRPr="007A5999" w:rsidRDefault="004B325D">
      <w:pPr>
        <w:rPr>
          <w:sz w:val="18"/>
        </w:rPr>
      </w:pPr>
      <w:r w:rsidRPr="007A5999">
        <w:rPr>
          <w:sz w:val="18"/>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7A5999">
        <w:rPr>
          <w:color w:val="FF0000"/>
          <w:sz w:val="18"/>
        </w:rPr>
        <w:t xml:space="preserve"> </w:t>
      </w:r>
      <w:r w:rsidR="00AB5A7A" w:rsidRPr="00D04E1F">
        <w:rPr>
          <w:sz w:val="18"/>
        </w:rPr>
        <w:t>2011</w:t>
      </w:r>
      <w:r w:rsidRPr="00D04E1F">
        <w:rPr>
          <w:sz w:val="18"/>
        </w:rPr>
        <w:t> - 20</w:t>
      </w:r>
      <w:r w:rsidR="00AF603A" w:rsidRPr="00D04E1F">
        <w:rPr>
          <w:sz w:val="18"/>
        </w:rPr>
        <w:t>1</w:t>
      </w:r>
      <w:r w:rsidR="00AB5A7A" w:rsidRPr="00D04E1F">
        <w:rPr>
          <w:sz w:val="18"/>
        </w:rPr>
        <w:t>3</w:t>
      </w:r>
      <w:r w:rsidRPr="007A5999">
        <w:rPr>
          <w:sz w:val="18"/>
        </w:rPr>
        <w:t xml:space="preserve">“. </w:t>
      </w:r>
    </w:p>
    <w:p w:rsidR="004B325D" w:rsidRPr="007A5999" w:rsidRDefault="004B325D">
      <w:pPr>
        <w:pStyle w:val="Nadpis1"/>
        <w:rPr>
          <w:sz w:val="18"/>
        </w:rPr>
      </w:pPr>
      <w:r w:rsidRPr="007A5999">
        <w:rPr>
          <w:sz w:val="18"/>
        </w:rPr>
        <w:t>2. Zdroj dat, frekvence</w:t>
      </w:r>
    </w:p>
    <w:p w:rsidR="004B325D" w:rsidRDefault="004B325D">
      <w:pPr>
        <w:rPr>
          <w:sz w:val="18"/>
        </w:rPr>
      </w:pPr>
      <w:r w:rsidRPr="007A5999">
        <w:rPr>
          <w:sz w:val="18"/>
        </w:rPr>
        <w:t>Zdrojem dat jsou přiznání k dani z převodu nemovitostí, která jsou povinni podávat vlastníci (prodejci) nemovitostí místně příslušným finančním úřadům do konce třetího kalendářního měsíce následujícího po měsíci, v němž byl zapsán vklad práva do katastru nemovitostí. Tyto údaje v zakódované podobě obdrží ČSÚ 1x měsíčně. Údaje jsou shromažďovány od února 1999. Oproti datu prodeje, resp. podání přiznání k dani se opožďují průměrně o 6 měsíců. Založení databáze cenových informací na finančních úřadech bylo zahájeno zpracováním dat ze zaslaných daňových přiznání v roce 1998 (podle vyhlášky č. 279/1997 Sb.).</w:t>
      </w:r>
    </w:p>
    <w:p w:rsidR="00611D63" w:rsidRPr="007A5999" w:rsidRDefault="00611D63">
      <w:pPr>
        <w:rPr>
          <w:sz w:val="18"/>
        </w:rPr>
      </w:pPr>
      <w:r w:rsidRPr="00FE3D98">
        <w:rPr>
          <w:sz w:val="18"/>
        </w:rPr>
        <w:t xml:space="preserve">Od roku 2014 se u daňových přiznání nevyžaduje </w:t>
      </w:r>
      <w:r w:rsidR="000F74E7" w:rsidRPr="00FE3D98">
        <w:rPr>
          <w:sz w:val="18"/>
        </w:rPr>
        <w:t xml:space="preserve">povinně </w:t>
      </w:r>
      <w:r w:rsidRPr="00FE3D98">
        <w:rPr>
          <w:sz w:val="18"/>
        </w:rPr>
        <w:t xml:space="preserve">znalecký posudek; </w:t>
      </w:r>
      <w:r w:rsidR="000F74E7" w:rsidRPr="00FE3D98">
        <w:rPr>
          <w:sz w:val="18"/>
        </w:rPr>
        <w:t>zpracována jsou proto data</w:t>
      </w:r>
      <w:r w:rsidRPr="00FE3D98">
        <w:rPr>
          <w:sz w:val="18"/>
        </w:rPr>
        <w:t xml:space="preserve"> jen z těch převodů, kde posudek existuje.</w:t>
      </w:r>
    </w:p>
    <w:p w:rsidR="004B325D" w:rsidRPr="007A5999" w:rsidRDefault="004B325D">
      <w:pPr>
        <w:rPr>
          <w:sz w:val="18"/>
        </w:rPr>
      </w:pPr>
      <w:r w:rsidRPr="007A5999">
        <w:rPr>
          <w:sz w:val="18"/>
        </w:rPr>
        <w:t>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w:t>
      </w:r>
      <w:r w:rsidR="00F1195F" w:rsidRPr="007A5999">
        <w:rPr>
          <w:sz w:val="18"/>
        </w:rPr>
        <w:t>,</w:t>
      </w:r>
      <w:r w:rsidRPr="007A5999">
        <w:rPr>
          <w:sz w:val="18"/>
        </w:rPr>
        <w:t xml:space="preserve"> pokud se jedná o relativní srovnání cen v čase i (ve většině případů) v umístění nemovitostí, neboť lze předpokládat, že toto zkreslení je v daných případech prakticky stejné. </w:t>
      </w:r>
    </w:p>
    <w:p w:rsidR="004B325D" w:rsidRPr="007A5999" w:rsidRDefault="004B325D">
      <w:pPr>
        <w:rPr>
          <w:sz w:val="18"/>
        </w:rPr>
      </w:pPr>
      <w:r w:rsidRPr="007A5999">
        <w:rPr>
          <w:sz w:val="18"/>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4B325D" w:rsidRPr="007A5999" w:rsidRDefault="004B325D">
      <w:pPr>
        <w:pStyle w:val="Nadpis1"/>
        <w:rPr>
          <w:sz w:val="18"/>
        </w:rPr>
      </w:pPr>
      <w:r w:rsidRPr="007A5999">
        <w:rPr>
          <w:sz w:val="18"/>
        </w:rPr>
        <w:t>3. Sledované a odvozené veličiny, homogenita</w:t>
      </w:r>
    </w:p>
    <w:p w:rsidR="00611D63" w:rsidRDefault="004B325D">
      <w:pPr>
        <w:rPr>
          <w:sz w:val="18"/>
        </w:rPr>
      </w:pPr>
      <w:r w:rsidRPr="007A5999">
        <w:rPr>
          <w:sz w:val="18"/>
        </w:rPr>
        <w:t>Každou prodávanou (komplexní) n</w:t>
      </w:r>
      <w:r w:rsidRPr="007A5999">
        <w:rPr>
          <w:rFonts w:ascii="Times New" w:hAnsi="Times New"/>
          <w:sz w:val="18"/>
        </w:rPr>
        <w:t>emovitost</w:t>
      </w:r>
      <w:r w:rsidRPr="007A5999">
        <w:rPr>
          <w:sz w:val="18"/>
        </w:rPr>
        <w:t xml:space="preserve"> obvykle tvoří dílčí nemovitosti</w:t>
      </w:r>
      <w:r w:rsidRPr="007A5999">
        <w:rPr>
          <w:rFonts w:ascii="Times New" w:hAnsi="Times New"/>
          <w:sz w:val="18"/>
        </w:rPr>
        <w:t xml:space="preserve"> </w:t>
      </w:r>
      <w:r w:rsidRPr="007A5999">
        <w:rPr>
          <w:sz w:val="18"/>
        </w:rPr>
        <w:t>různých druhů</w:t>
      </w:r>
      <w:r w:rsidRPr="007A5999">
        <w:rPr>
          <w:rFonts w:ascii="Times New" w:hAnsi="Times New"/>
          <w:sz w:val="18"/>
        </w:rPr>
        <w:t xml:space="preserve"> </w:t>
      </w:r>
      <w:r w:rsidRPr="007A5999">
        <w:rPr>
          <w:sz w:val="18"/>
        </w:rPr>
        <w:t xml:space="preserve">(např. budovy </w:t>
      </w:r>
      <w:r w:rsidRPr="007A5999">
        <w:rPr>
          <w:rFonts w:ascii="Times New" w:hAnsi="Times New"/>
          <w:sz w:val="18"/>
        </w:rPr>
        <w:t>a stavební parcely).</w:t>
      </w:r>
      <w:r w:rsidRPr="007A5999">
        <w:rPr>
          <w:sz w:val="18"/>
        </w:rPr>
        <w:t xml:space="preserve"> Umístění je zohledněno v ceně odhadní, vypočtené znalcem dle oceňovací vyhlášky.</w:t>
      </w:r>
      <w:r w:rsidRPr="007A5999">
        <w:rPr>
          <w:rFonts w:ascii="Times New" w:hAnsi="Times New"/>
          <w:sz w:val="18"/>
        </w:rPr>
        <w:t xml:space="preserve"> Cena odhadní celé komplexní nemovitosti je </w:t>
      </w:r>
      <w:r w:rsidRPr="007A5999">
        <w:rPr>
          <w:sz w:val="18"/>
        </w:rPr>
        <w:t xml:space="preserve">součtem </w:t>
      </w:r>
      <w:r w:rsidRPr="007A5999">
        <w:rPr>
          <w:rFonts w:ascii="Times New" w:hAnsi="Times New"/>
          <w:sz w:val="18"/>
        </w:rPr>
        <w:t xml:space="preserve">odhadních cen </w:t>
      </w:r>
      <w:r w:rsidRPr="007A5999">
        <w:rPr>
          <w:sz w:val="18"/>
        </w:rPr>
        <w:t>dílčích nemovitostí</w:t>
      </w:r>
      <w:r w:rsidRPr="007A5999">
        <w:rPr>
          <w:rFonts w:ascii="Times New" w:hAnsi="Times New"/>
          <w:sz w:val="18"/>
        </w:rPr>
        <w:t xml:space="preserve">. Cena kupní pro komplexní nemovitost </w:t>
      </w:r>
      <w:r w:rsidRPr="007A5999">
        <w:rPr>
          <w:sz w:val="18"/>
        </w:rPr>
        <w:t>je zaznamenaná cena, za kterou byla tato nemovitost prodána. Cena kupní dílčí nemovitosti je následně odvozena úměrou dle podílu odhadní ceny dílčí</w:t>
      </w:r>
      <w:r w:rsidRPr="007A5999">
        <w:rPr>
          <w:rFonts w:ascii="Times New" w:hAnsi="Times New"/>
          <w:sz w:val="18"/>
        </w:rPr>
        <w:t xml:space="preserve"> nemovitosti</w:t>
      </w:r>
      <w:r w:rsidRPr="007A5999">
        <w:rPr>
          <w:rFonts w:ascii="Times New" w:hAnsi="Times New"/>
          <w:i/>
          <w:iCs/>
          <w:sz w:val="18"/>
        </w:rPr>
        <w:t xml:space="preserve"> </w:t>
      </w:r>
      <w:r w:rsidRPr="007A5999">
        <w:rPr>
          <w:rFonts w:ascii="Times New" w:hAnsi="Times New"/>
          <w:sz w:val="18"/>
        </w:rPr>
        <w:t xml:space="preserve">na </w:t>
      </w:r>
      <w:r w:rsidRPr="007A5999">
        <w:rPr>
          <w:sz w:val="18"/>
        </w:rPr>
        <w:t>celkové odhadní ceně.</w:t>
      </w:r>
      <w:r w:rsidRPr="007A5999">
        <w:rPr>
          <w:rFonts w:ascii="Times New" w:hAnsi="Times New"/>
          <w:sz w:val="18"/>
        </w:rPr>
        <w:t xml:space="preserve"> Jednotková cena</w:t>
      </w:r>
      <w:r w:rsidRPr="007A5999">
        <w:rPr>
          <w:sz w:val="18"/>
        </w:rPr>
        <w:t xml:space="preserve"> (odhadní, kupní) je příslušná cena za 1 měrnou jednotku příslušného druhu nemovitosti (za 1 m</w:t>
      </w:r>
      <w:r w:rsidRPr="007A5999">
        <w:rPr>
          <w:sz w:val="18"/>
          <w:vertAlign w:val="superscript"/>
        </w:rPr>
        <w:t>2</w:t>
      </w:r>
      <w:r w:rsidRPr="007A5999">
        <w:rPr>
          <w:sz w:val="18"/>
        </w:rPr>
        <w:t>, 1 m</w:t>
      </w:r>
      <w:r w:rsidRPr="007A5999">
        <w:rPr>
          <w:sz w:val="18"/>
          <w:vertAlign w:val="superscript"/>
        </w:rPr>
        <w:t>3</w:t>
      </w:r>
      <w:r w:rsidRPr="007A5999">
        <w:rPr>
          <w:sz w:val="18"/>
        </w:rPr>
        <w:t xml:space="preserve"> apod.).</w:t>
      </w:r>
    </w:p>
    <w:p w:rsidR="00611D63" w:rsidRPr="007A5999" w:rsidRDefault="00611D63">
      <w:pPr>
        <w:rPr>
          <w:rFonts w:ascii="Times New" w:hAnsi="Times New"/>
          <w:sz w:val="18"/>
        </w:rPr>
      </w:pPr>
      <w:r w:rsidRPr="00FE3D98">
        <w:rPr>
          <w:rFonts w:ascii="Times New" w:hAnsi="Times New"/>
          <w:sz w:val="18"/>
        </w:rPr>
        <w:t>Od roku 2014 došlo k</w:t>
      </w:r>
      <w:r w:rsidR="00AD6AB1" w:rsidRPr="00FE3D98">
        <w:rPr>
          <w:rFonts w:ascii="Times New" w:hAnsi="Times New"/>
          <w:sz w:val="18"/>
        </w:rPr>
        <w:t> mírné modifikaci</w:t>
      </w:r>
      <w:r w:rsidRPr="00FE3D98">
        <w:rPr>
          <w:rFonts w:ascii="Times New" w:hAnsi="Times New"/>
          <w:sz w:val="18"/>
        </w:rPr>
        <w:t xml:space="preserve"> pravidel oceňování dílčích nemovitostí</w:t>
      </w:r>
      <w:r w:rsidR="00AD6AB1" w:rsidRPr="00FE3D98">
        <w:rPr>
          <w:rFonts w:ascii="Times New" w:hAnsi="Times New"/>
          <w:sz w:val="18"/>
        </w:rPr>
        <w:t xml:space="preserve"> oceňovací vyhláškou</w:t>
      </w:r>
      <w:r w:rsidRPr="00FE3D98">
        <w:rPr>
          <w:rFonts w:ascii="Times New" w:hAnsi="Times New"/>
          <w:sz w:val="18"/>
        </w:rPr>
        <w:t>.</w:t>
      </w: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7A5999">
        <w:rPr>
          <w:rFonts w:ascii="Times New" w:hAnsi="Times New"/>
          <w:sz w:val="18"/>
        </w:rPr>
        <w:t xml:space="preserve">Základním úkolem je stanovit </w:t>
      </w:r>
      <w:r w:rsidRPr="007A5999">
        <w:rPr>
          <w:sz w:val="18"/>
        </w:rPr>
        <w:t xml:space="preserve">průměrnou jednotkovou kupní cenu určitého druhu nemovitosti (viz též 11.) </w:t>
      </w:r>
      <w:r w:rsidRPr="007A5999">
        <w:rPr>
          <w:rFonts w:ascii="Times New" w:hAnsi="Times New"/>
          <w:sz w:val="18"/>
        </w:rPr>
        <w:t>v oblasti vymezené stanovenými parametry (např. region, velikost opotřebení atd.).</w:t>
      </w:r>
      <w:r w:rsidRPr="007A5999">
        <w:rPr>
          <w:sz w:val="18"/>
        </w:rPr>
        <w:t xml:space="preserve"> Za tím účelem se najdou všechny realizov</w:t>
      </w:r>
      <w:r w:rsidRPr="007A5999">
        <w:rPr>
          <w:rFonts w:ascii="Times New" w:hAnsi="Times New"/>
          <w:sz w:val="18"/>
        </w:rPr>
        <w:t>ané prodeje komplexních nemovitostí v této oblasti</w:t>
      </w:r>
      <w:r w:rsidRPr="007A5999">
        <w:rPr>
          <w:sz w:val="18"/>
        </w:rPr>
        <w:t xml:space="preserve"> obsahující dílčí nemovitost </w:t>
      </w:r>
      <w:r w:rsidRPr="007A5999">
        <w:rPr>
          <w:rFonts w:ascii="Times New" w:hAnsi="Times New"/>
          <w:sz w:val="18"/>
        </w:rPr>
        <w:t xml:space="preserve">zkoumaného druhu. Pravidla pro vhodný </w:t>
      </w:r>
      <w:r w:rsidRPr="007A5999">
        <w:rPr>
          <w:sz w:val="18"/>
        </w:rPr>
        <w:t>výběr</w:t>
      </w:r>
      <w:r w:rsidRPr="007A5999">
        <w:rPr>
          <w:rFonts w:ascii="Times New" w:hAnsi="Times New"/>
          <w:sz w:val="18"/>
        </w:rPr>
        <w:t xml:space="preserve"> nemovitostí ve sledované oblasti</w:t>
      </w:r>
      <w:r w:rsidRPr="007A5999">
        <w:rPr>
          <w:sz w:val="18"/>
        </w:rPr>
        <w:t xml:space="preserve"> vyžadují</w:t>
      </w:r>
      <w:r w:rsidRPr="007A5999">
        <w:rPr>
          <w:rFonts w:ascii="Times New" w:hAnsi="Times New"/>
          <w:sz w:val="18"/>
        </w:rPr>
        <w:t xml:space="preserve"> definovat homogenitu jakožto (procentní) podíl ceny </w:t>
      </w:r>
      <w:r w:rsidRPr="007A5999">
        <w:rPr>
          <w:sz w:val="18"/>
        </w:rPr>
        <w:t>dílčí nemovitosti</w:t>
      </w:r>
      <w:r w:rsidRPr="007A5999">
        <w:rPr>
          <w:rFonts w:ascii="Times New" w:hAnsi="Times New"/>
          <w:sz w:val="18"/>
        </w:rPr>
        <w:t xml:space="preserve"> sledovaného druhu na celém prodeji dané komplexní nemovitosti. </w:t>
      </w: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7A5999">
        <w:rPr>
          <w:rFonts w:ascii="Times New" w:hAnsi="Times New"/>
          <w:sz w:val="18"/>
        </w:rPr>
        <w:t xml:space="preserve">Vymezení </w:t>
      </w:r>
      <w:r w:rsidRPr="007A5999">
        <w:rPr>
          <w:sz w:val="18"/>
        </w:rPr>
        <w:t>nemovitostí</w:t>
      </w:r>
      <w:r w:rsidRPr="007A5999">
        <w:rPr>
          <w:rFonts w:ascii="Times New" w:hAnsi="Times New"/>
          <w:sz w:val="18"/>
        </w:rPr>
        <w:t xml:space="preserve"> pro stanovení </w:t>
      </w:r>
      <w:r w:rsidRPr="007A5999">
        <w:rPr>
          <w:sz w:val="18"/>
        </w:rPr>
        <w:t xml:space="preserve">průměrné jednotkové kupní ceny určitého druhu nemovitosti </w:t>
      </w:r>
      <w:r w:rsidRPr="007A5999">
        <w:rPr>
          <w:rFonts w:ascii="Times New" w:hAnsi="Times New"/>
          <w:sz w:val="18"/>
        </w:rPr>
        <w:t xml:space="preserve">se provede </w:t>
      </w:r>
      <w:r w:rsidRPr="007A5999">
        <w:rPr>
          <w:sz w:val="18"/>
        </w:rPr>
        <w:t>ve třech krocích.</w:t>
      </w:r>
      <w:r w:rsidRPr="007A5999">
        <w:rPr>
          <w:rFonts w:ascii="Times New" w:hAnsi="Times New"/>
          <w:sz w:val="18"/>
        </w:rPr>
        <w:t xml:space="preserve"> Nejprve se vyberou jen ty komplexní nemovitosti, jejichž kupní a odhadní ce</w:t>
      </w:r>
      <w:r w:rsidRPr="007A5999">
        <w:rPr>
          <w:sz w:val="18"/>
        </w:rPr>
        <w:t>na se od sebe neodlišují extrémně.</w:t>
      </w:r>
      <w:r w:rsidRPr="007A5999">
        <w:rPr>
          <w:rFonts w:ascii="Times New" w:hAnsi="Times New"/>
          <w:sz w:val="18"/>
        </w:rPr>
        <w:t xml:space="preserve"> </w:t>
      </w:r>
      <w:r w:rsidRPr="007A5999">
        <w:rPr>
          <w:sz w:val="18"/>
        </w:rPr>
        <w:t>V druhém kroku se z takto vymezené množiny vezmou jen t</w:t>
      </w:r>
      <w:r w:rsidRPr="007A5999">
        <w:rPr>
          <w:rFonts w:ascii="Times New" w:hAnsi="Times New"/>
          <w:sz w:val="18"/>
        </w:rPr>
        <w:t xml:space="preserve">y, kde homogenita sledovaného druhu </w:t>
      </w:r>
      <w:r w:rsidRPr="007A5999">
        <w:rPr>
          <w:sz w:val="18"/>
        </w:rPr>
        <w:t xml:space="preserve">je větší, než pevně stanovená mez pro tento daný druh nemovitosti. Ve třetím kroku se ze zbylých dat </w:t>
      </w:r>
      <w:r w:rsidRPr="007A5999">
        <w:rPr>
          <w:rFonts w:ascii="Times New" w:hAnsi="Times New"/>
          <w:sz w:val="18"/>
        </w:rPr>
        <w:t>odstraní nepravděpodobné extrémy, vzniklé nejčastěji chybami při pořizování dat. Z</w:t>
      </w:r>
      <w:r w:rsidRPr="007A5999">
        <w:rPr>
          <w:sz w:val="18"/>
        </w:rPr>
        <w:t>a průměrnou jednotko</w:t>
      </w:r>
      <w:r w:rsidRPr="007A5999">
        <w:rPr>
          <w:rFonts w:ascii="Times New" w:hAnsi="Times New"/>
          <w:sz w:val="18"/>
        </w:rPr>
        <w:t xml:space="preserve">vou kupní cenu daného druhu nemovitosti v oblasti </w:t>
      </w:r>
      <w:r w:rsidRPr="007A5999">
        <w:rPr>
          <w:sz w:val="18"/>
        </w:rPr>
        <w:t>se potom vezme aritmetický průměr zbývajících jednotkových kupních cen sledovaného druhu nemovitosti v</w:t>
      </w:r>
      <w:r w:rsidRPr="007A5999">
        <w:rPr>
          <w:rFonts w:ascii="Times New" w:hAnsi="Times New"/>
          <w:sz w:val="18"/>
        </w:rPr>
        <w:t xml:space="preserve"> oblasti. </w:t>
      </w: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7A5999"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7A5999" w:rsidRDefault="004B325D">
      <w:pPr>
        <w:pStyle w:val="Nadpis1"/>
        <w:rPr>
          <w:sz w:val="18"/>
        </w:rPr>
      </w:pPr>
      <w:r w:rsidRPr="007A5999">
        <w:rPr>
          <w:sz w:val="18"/>
        </w:rPr>
        <w:t>4. Veličiny vysvětlující a vysvětlované, základní principy jejich stanovení</w:t>
      </w:r>
    </w:p>
    <w:p w:rsidR="004B325D" w:rsidRPr="007A5999" w:rsidRDefault="004B325D">
      <w:pPr>
        <w:rPr>
          <w:sz w:val="18"/>
        </w:rPr>
      </w:pPr>
      <w:r w:rsidRPr="007A5999">
        <w:rPr>
          <w:sz w:val="18"/>
        </w:rPr>
        <w:t>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w:t>
      </w:r>
      <w:r w:rsidR="00830FA5" w:rsidRPr="007A5999">
        <w:rPr>
          <w:sz w:val="18"/>
        </w:rPr>
        <w:t>likace odpovídá stavu k </w:t>
      </w:r>
      <w:r w:rsidR="00C11D1A" w:rsidRPr="00D04E1F">
        <w:rPr>
          <w:sz w:val="18"/>
        </w:rPr>
        <w:t>1</w:t>
      </w:r>
      <w:r w:rsidR="00830FA5" w:rsidRPr="00D04E1F">
        <w:rPr>
          <w:sz w:val="18"/>
        </w:rPr>
        <w:t>.</w:t>
      </w:r>
      <w:r w:rsidR="00B27425" w:rsidRPr="00D04E1F">
        <w:rPr>
          <w:sz w:val="18"/>
        </w:rPr>
        <w:t xml:space="preserve"> </w:t>
      </w:r>
      <w:r w:rsidR="00C11D1A" w:rsidRPr="00D04E1F">
        <w:rPr>
          <w:sz w:val="18"/>
        </w:rPr>
        <w:t>1</w:t>
      </w:r>
      <w:r w:rsidR="00830FA5" w:rsidRPr="00D04E1F">
        <w:rPr>
          <w:sz w:val="18"/>
        </w:rPr>
        <w:t>.</w:t>
      </w:r>
      <w:r w:rsidR="00B27425" w:rsidRPr="00D04E1F">
        <w:rPr>
          <w:sz w:val="18"/>
        </w:rPr>
        <w:t xml:space="preserve"> </w:t>
      </w:r>
      <w:r w:rsidR="00830FA5" w:rsidRPr="00D04E1F">
        <w:rPr>
          <w:sz w:val="18"/>
        </w:rPr>
        <w:t>20</w:t>
      </w:r>
      <w:r w:rsidR="00F551ED" w:rsidRPr="00D04E1F">
        <w:rPr>
          <w:sz w:val="18"/>
        </w:rPr>
        <w:t>1</w:t>
      </w:r>
      <w:r w:rsidR="00146CBE" w:rsidRPr="00D04E1F">
        <w:rPr>
          <w:sz w:val="18"/>
        </w:rPr>
        <w:t>5</w:t>
      </w:r>
      <w:r w:rsidRPr="007A5999">
        <w:rPr>
          <w:sz w:val="18"/>
        </w:rPr>
        <w:t>.</w:t>
      </w:r>
    </w:p>
    <w:p w:rsidR="004B325D" w:rsidRPr="007A5999" w:rsidRDefault="004B325D">
      <w:pPr>
        <w:rPr>
          <w:sz w:val="18"/>
        </w:rPr>
      </w:pPr>
      <w:r w:rsidRPr="007A5999">
        <w:rPr>
          <w:sz w:val="18"/>
        </w:rPr>
        <w:t>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výpovědní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w:t>
      </w:r>
      <w:r w:rsidR="00552B6E" w:rsidRPr="007A5999">
        <w:rPr>
          <w:sz w:val="18"/>
        </w:rPr>
        <w:t>,</w:t>
      </w:r>
      <w:r w:rsidRPr="007A5999">
        <w:rPr>
          <w:sz w:val="18"/>
        </w:rPr>
        <w:t xml:space="preserve"> a tím snižovalo statistickou spolehlivost sledované závislosti. </w:t>
      </w:r>
    </w:p>
    <w:p w:rsidR="004B325D" w:rsidRPr="007A5999" w:rsidRDefault="004B325D">
      <w:pPr>
        <w:pStyle w:val="Zkladntext3"/>
        <w:tabs>
          <w:tab w:val="clear" w:pos="0"/>
          <w:tab w:val="clear" w:pos="1440"/>
          <w:tab w:val="clear" w:pos="2880"/>
        </w:tabs>
      </w:pPr>
      <w:r w:rsidRPr="007A5999">
        <w:t>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w:t>
      </w:r>
      <w:r w:rsidR="00AF603A" w:rsidRPr="007A5999">
        <w:t>podle počtu</w:t>
      </w:r>
      <w:r w:rsidRPr="007A5999">
        <w:t xml:space="preserve"> obyvatel </w:t>
      </w:r>
      <w:r w:rsidR="00AF603A" w:rsidRPr="007A5999">
        <w:t>k 1. 1. 2013</w:t>
      </w:r>
      <w:r w:rsidRPr="007A5999">
        <w:t xml:space="preserve">), kde se sledovaná nemovitost nachází. </w:t>
      </w:r>
    </w:p>
    <w:p w:rsidR="004B325D" w:rsidRPr="007A5999" w:rsidRDefault="004B325D">
      <w:pPr>
        <w:pStyle w:val="Nadpis1"/>
        <w:rPr>
          <w:sz w:val="18"/>
        </w:rPr>
      </w:pPr>
      <w:r w:rsidRPr="007A5999">
        <w:rPr>
          <w:sz w:val="18"/>
        </w:rPr>
        <w:t xml:space="preserve">5. Výběr druhů nemovitostí </w:t>
      </w:r>
    </w:p>
    <w:p w:rsidR="004B325D" w:rsidRPr="007A5999" w:rsidRDefault="004B325D">
      <w:pPr>
        <w:rPr>
          <w:sz w:val="18"/>
        </w:rPr>
      </w:pPr>
      <w:r w:rsidRPr="007A5999">
        <w:rPr>
          <w:sz w:val="18"/>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4B325D" w:rsidRPr="007A5999" w:rsidRDefault="004B325D">
      <w:pPr>
        <w:rPr>
          <w:sz w:val="18"/>
        </w:rPr>
      </w:pPr>
      <w:r w:rsidRPr="007A5999">
        <w:rPr>
          <w:sz w:val="18"/>
        </w:rPr>
        <w:t>Pro tuto publikaci byly proto vybrány pouze následující druhy nemovitostí především s ohledem na relativně dostatečný počet cenových údajů s homogenitou vyšší, než je požadovaná příslušně stanovená mez:</w:t>
      </w:r>
    </w:p>
    <w:p w:rsidR="004B325D" w:rsidRPr="007A5999" w:rsidRDefault="004B325D">
      <w:pPr>
        <w:rPr>
          <w:sz w:val="18"/>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47"/>
        <w:gridCol w:w="2912"/>
        <w:gridCol w:w="1415"/>
        <w:gridCol w:w="2366"/>
      </w:tblGrid>
      <w:tr w:rsidR="004B325D" w:rsidRPr="007A5999">
        <w:tblPrEx>
          <w:tblCellMar>
            <w:top w:w="0" w:type="dxa"/>
            <w:bottom w:w="0" w:type="dxa"/>
          </w:tblCellMar>
        </w:tblPrEx>
        <w:trPr>
          <w:trHeight w:val="227"/>
          <w:tblCellSpacing w:w="11" w:type="dxa"/>
          <w:jc w:val="center"/>
        </w:trPr>
        <w:tc>
          <w:tcPr>
            <w:tcW w:w="0" w:type="auto"/>
            <w:vAlign w:val="center"/>
          </w:tcPr>
          <w:p w:rsidR="004B325D" w:rsidRPr="007A5999" w:rsidRDefault="004B325D">
            <w:pPr>
              <w:jc w:val="center"/>
              <w:rPr>
                <w:sz w:val="17"/>
              </w:rPr>
            </w:pPr>
            <w:r w:rsidRPr="007A5999">
              <w:rPr>
                <w:sz w:val="17"/>
              </w:rPr>
              <w:t>Pořadí</w:t>
            </w:r>
          </w:p>
        </w:tc>
        <w:tc>
          <w:tcPr>
            <w:tcW w:w="0" w:type="auto"/>
            <w:vAlign w:val="center"/>
          </w:tcPr>
          <w:p w:rsidR="004B325D" w:rsidRPr="007A5999" w:rsidRDefault="004B325D">
            <w:pPr>
              <w:jc w:val="left"/>
              <w:rPr>
                <w:sz w:val="17"/>
              </w:rPr>
            </w:pPr>
            <w:r w:rsidRPr="007A5999">
              <w:rPr>
                <w:sz w:val="17"/>
              </w:rPr>
              <w:t>Druh nemovitosti</w:t>
            </w:r>
          </w:p>
        </w:tc>
        <w:tc>
          <w:tcPr>
            <w:tcW w:w="0" w:type="auto"/>
            <w:vAlign w:val="center"/>
          </w:tcPr>
          <w:p w:rsidR="004B325D" w:rsidRPr="007A5999" w:rsidRDefault="004B325D">
            <w:pPr>
              <w:jc w:val="center"/>
              <w:rPr>
                <w:sz w:val="17"/>
              </w:rPr>
            </w:pPr>
            <w:r w:rsidRPr="007A5999">
              <w:rPr>
                <w:sz w:val="17"/>
              </w:rPr>
              <w:t>Pásmo opotřebení</w:t>
            </w:r>
          </w:p>
        </w:tc>
        <w:tc>
          <w:tcPr>
            <w:tcW w:w="0" w:type="auto"/>
            <w:vAlign w:val="center"/>
          </w:tcPr>
          <w:p w:rsidR="004B325D" w:rsidRPr="007A5999" w:rsidRDefault="004B325D">
            <w:pPr>
              <w:jc w:val="center"/>
              <w:rPr>
                <w:sz w:val="17"/>
              </w:rPr>
            </w:pPr>
            <w:r w:rsidRPr="007A5999">
              <w:rPr>
                <w:sz w:val="17"/>
              </w:rPr>
              <w:t>Minimální hodnota homogenity</w:t>
            </w:r>
          </w:p>
        </w:tc>
      </w:tr>
      <w:tr w:rsidR="004B325D" w:rsidRPr="007A5999">
        <w:tblPrEx>
          <w:tblCellMar>
            <w:top w:w="0" w:type="dxa"/>
            <w:bottom w:w="0" w:type="dxa"/>
          </w:tblCellMar>
        </w:tblPrEx>
        <w:trPr>
          <w:cantSplit/>
          <w:trHeight w:val="227"/>
          <w:tblCellSpacing w:w="11" w:type="dxa"/>
          <w:jc w:val="center"/>
        </w:trPr>
        <w:tc>
          <w:tcPr>
            <w:tcW w:w="0" w:type="auto"/>
            <w:vMerge w:val="restart"/>
            <w:vAlign w:val="center"/>
          </w:tcPr>
          <w:p w:rsidR="004B325D" w:rsidRPr="007A5999" w:rsidRDefault="004B325D">
            <w:pPr>
              <w:jc w:val="center"/>
              <w:rPr>
                <w:sz w:val="17"/>
              </w:rPr>
            </w:pPr>
            <w:r w:rsidRPr="007A5999">
              <w:rPr>
                <w:sz w:val="17"/>
              </w:rPr>
              <w:t>1.</w:t>
            </w:r>
          </w:p>
        </w:tc>
        <w:tc>
          <w:tcPr>
            <w:tcW w:w="0" w:type="auto"/>
            <w:vMerge w:val="restart"/>
            <w:vAlign w:val="center"/>
          </w:tcPr>
          <w:p w:rsidR="004B325D" w:rsidRPr="007A5999" w:rsidRDefault="004B325D">
            <w:pPr>
              <w:jc w:val="left"/>
              <w:rPr>
                <w:sz w:val="17"/>
              </w:rPr>
            </w:pPr>
            <w:r w:rsidRPr="007A5999">
              <w:rPr>
                <w:sz w:val="17"/>
              </w:rPr>
              <w:t>RD – rodinné domy jednobytové, zděné</w:t>
            </w:r>
          </w:p>
        </w:tc>
        <w:tc>
          <w:tcPr>
            <w:tcW w:w="0" w:type="auto"/>
            <w:vAlign w:val="center"/>
          </w:tcPr>
          <w:p w:rsidR="004B325D" w:rsidRPr="007A5999" w:rsidRDefault="004B325D">
            <w:pPr>
              <w:jc w:val="center"/>
              <w:rPr>
                <w:sz w:val="17"/>
                <w:lang w:val="en-US"/>
              </w:rPr>
            </w:pPr>
            <w:r w:rsidRPr="007A5999">
              <w:rPr>
                <w:sz w:val="17"/>
                <w:lang w:val="en-US"/>
              </w:rPr>
              <w:sym w:font="Symbol" w:char="F0E1"/>
            </w:r>
            <w:r w:rsidRPr="007A5999">
              <w:rPr>
                <w:sz w:val="17"/>
                <w:lang w:val="en-US"/>
              </w:rPr>
              <w:t>0; 10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60 %</w:t>
            </w:r>
          </w:p>
        </w:tc>
      </w:tr>
      <w:tr w:rsidR="004B325D" w:rsidRPr="007A5999">
        <w:tblPrEx>
          <w:tblCellMar>
            <w:top w:w="0" w:type="dxa"/>
            <w:bottom w:w="0" w:type="dxa"/>
          </w:tblCellMar>
        </w:tblPrEx>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C001EF">
            <w:pPr>
              <w:jc w:val="center"/>
              <w:rPr>
                <w:sz w:val="17"/>
              </w:rPr>
            </w:pPr>
            <w:r w:rsidRPr="007A5999">
              <w:rPr>
                <w:sz w:val="17"/>
                <w:lang w:val="en-US"/>
              </w:rPr>
              <w:t>(10; 50</w:t>
            </w:r>
            <w:r w:rsidR="004B325D"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60 %</w:t>
            </w:r>
          </w:p>
        </w:tc>
      </w:tr>
      <w:tr w:rsidR="004B325D" w:rsidRPr="007A5999">
        <w:tblPrEx>
          <w:tblCellMar>
            <w:top w:w="0" w:type="dxa"/>
            <w:bottom w:w="0" w:type="dxa"/>
          </w:tblCellMar>
        </w:tblPrEx>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C001EF">
            <w:pPr>
              <w:jc w:val="center"/>
              <w:rPr>
                <w:sz w:val="17"/>
              </w:rPr>
            </w:pPr>
            <w:r w:rsidRPr="007A5999">
              <w:rPr>
                <w:sz w:val="17"/>
                <w:lang w:val="en-US"/>
              </w:rPr>
              <w:t>(50</w:t>
            </w:r>
            <w:r w:rsidR="004B325D" w:rsidRPr="007A5999">
              <w:rPr>
                <w:sz w:val="17"/>
                <w:lang w:val="en-US"/>
              </w:rPr>
              <w:t>; 75</w:t>
            </w:r>
            <w:r w:rsidR="004B325D"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70 %</w:t>
            </w:r>
          </w:p>
        </w:tc>
      </w:tr>
      <w:tr w:rsidR="004B325D" w:rsidRPr="007A5999">
        <w:tblPrEx>
          <w:tblCellMar>
            <w:top w:w="0" w:type="dxa"/>
            <w:bottom w:w="0" w:type="dxa"/>
          </w:tblCellMar>
        </w:tblPrEx>
        <w:trPr>
          <w:cantSplit/>
          <w:trHeight w:val="227"/>
          <w:tblCellSpacing w:w="11" w:type="dxa"/>
          <w:jc w:val="center"/>
        </w:trPr>
        <w:tc>
          <w:tcPr>
            <w:tcW w:w="0" w:type="auto"/>
            <w:vMerge/>
            <w:vAlign w:val="center"/>
          </w:tcPr>
          <w:p w:rsidR="004B325D" w:rsidRPr="007A5999" w:rsidRDefault="004B325D">
            <w:pPr>
              <w:jc w:val="center"/>
              <w:rPr>
                <w:sz w:val="17"/>
              </w:rPr>
            </w:pPr>
          </w:p>
        </w:tc>
        <w:tc>
          <w:tcPr>
            <w:tcW w:w="0" w:type="auto"/>
            <w:vMerge/>
            <w:vAlign w:val="center"/>
          </w:tcPr>
          <w:p w:rsidR="004B325D" w:rsidRPr="007A5999" w:rsidRDefault="004B325D">
            <w:pPr>
              <w:jc w:val="left"/>
              <w:rPr>
                <w:sz w:val="17"/>
              </w:rPr>
            </w:pPr>
          </w:p>
        </w:tc>
        <w:tc>
          <w:tcPr>
            <w:tcW w:w="0" w:type="auto"/>
            <w:vAlign w:val="center"/>
          </w:tcPr>
          <w:p w:rsidR="004B325D" w:rsidRPr="007A5999" w:rsidRDefault="004B325D">
            <w:pPr>
              <w:jc w:val="center"/>
              <w:rPr>
                <w:sz w:val="17"/>
              </w:rPr>
            </w:pPr>
            <w:r w:rsidRPr="007A5999">
              <w:rPr>
                <w:sz w:val="17"/>
                <w:lang w:val="en-US"/>
              </w:rPr>
              <w:t>(75;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75 %</w:t>
            </w:r>
          </w:p>
        </w:tc>
      </w:tr>
      <w:tr w:rsidR="004B325D" w:rsidRPr="007A5999">
        <w:tblPrEx>
          <w:tblCellMar>
            <w:top w:w="0" w:type="dxa"/>
            <w:bottom w:w="0" w:type="dxa"/>
          </w:tblCellMar>
        </w:tblPrEx>
        <w:trPr>
          <w:trHeight w:val="227"/>
          <w:tblCellSpacing w:w="11" w:type="dxa"/>
          <w:jc w:val="center"/>
        </w:trPr>
        <w:tc>
          <w:tcPr>
            <w:tcW w:w="0" w:type="auto"/>
            <w:vAlign w:val="center"/>
          </w:tcPr>
          <w:p w:rsidR="004B325D" w:rsidRPr="007A5999" w:rsidRDefault="004B325D">
            <w:pPr>
              <w:jc w:val="center"/>
              <w:rPr>
                <w:sz w:val="17"/>
              </w:rPr>
            </w:pPr>
            <w:r w:rsidRPr="007A5999">
              <w:rPr>
                <w:sz w:val="17"/>
              </w:rPr>
              <w:t>2.</w:t>
            </w:r>
          </w:p>
        </w:tc>
        <w:tc>
          <w:tcPr>
            <w:tcW w:w="0" w:type="auto"/>
            <w:vAlign w:val="center"/>
          </w:tcPr>
          <w:p w:rsidR="004B325D" w:rsidRPr="007A5999" w:rsidRDefault="004B325D">
            <w:pPr>
              <w:jc w:val="left"/>
              <w:rPr>
                <w:sz w:val="17"/>
              </w:rPr>
            </w:pPr>
            <w:r w:rsidRPr="007A5999">
              <w:rPr>
                <w:sz w:val="17"/>
              </w:rPr>
              <w:t>BY – byty</w:t>
            </w:r>
          </w:p>
        </w:tc>
        <w:tc>
          <w:tcPr>
            <w:tcW w:w="0" w:type="auto"/>
            <w:vAlign w:val="center"/>
          </w:tcPr>
          <w:p w:rsidR="004B325D" w:rsidRPr="007A5999" w:rsidRDefault="004B325D">
            <w:pPr>
              <w:jc w:val="center"/>
              <w:rPr>
                <w:sz w:val="17"/>
              </w:rPr>
            </w:pPr>
            <w:r w:rsidRPr="007A5999">
              <w:rPr>
                <w:sz w:val="17"/>
                <w:lang w:val="en-US"/>
              </w:rPr>
              <w:sym w:font="Symbol" w:char="F0E1"/>
            </w:r>
            <w:r w:rsidRPr="007A5999">
              <w:rPr>
                <w:sz w:val="17"/>
                <w:lang w:val="en-US"/>
              </w:rPr>
              <w:t>0;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70 %</w:t>
            </w:r>
          </w:p>
        </w:tc>
      </w:tr>
      <w:tr w:rsidR="004B325D" w:rsidRPr="007A5999">
        <w:tblPrEx>
          <w:tblCellMar>
            <w:top w:w="0" w:type="dxa"/>
            <w:bottom w:w="0" w:type="dxa"/>
          </w:tblCellMar>
        </w:tblPrEx>
        <w:trPr>
          <w:trHeight w:val="227"/>
          <w:tblCellSpacing w:w="11" w:type="dxa"/>
          <w:jc w:val="center"/>
        </w:trPr>
        <w:tc>
          <w:tcPr>
            <w:tcW w:w="0" w:type="auto"/>
            <w:vAlign w:val="center"/>
          </w:tcPr>
          <w:p w:rsidR="004B325D" w:rsidRPr="007A5999" w:rsidRDefault="004B325D">
            <w:pPr>
              <w:jc w:val="center"/>
              <w:rPr>
                <w:sz w:val="17"/>
              </w:rPr>
            </w:pPr>
            <w:r w:rsidRPr="007A5999">
              <w:rPr>
                <w:sz w:val="17"/>
              </w:rPr>
              <w:t>3.</w:t>
            </w:r>
          </w:p>
        </w:tc>
        <w:tc>
          <w:tcPr>
            <w:tcW w:w="0" w:type="auto"/>
            <w:vAlign w:val="center"/>
          </w:tcPr>
          <w:p w:rsidR="004B325D" w:rsidRPr="007A5999" w:rsidRDefault="00100402">
            <w:pPr>
              <w:jc w:val="left"/>
              <w:rPr>
                <w:sz w:val="17"/>
              </w:rPr>
            </w:pPr>
            <w:r w:rsidRPr="007A5999">
              <w:rPr>
                <w:sz w:val="17"/>
              </w:rPr>
              <w:t>DO –</w:t>
            </w:r>
            <w:r w:rsidR="004B325D" w:rsidRPr="007A5999">
              <w:rPr>
                <w:sz w:val="17"/>
              </w:rPr>
              <w:t xml:space="preserve"> bytové domy</w:t>
            </w:r>
          </w:p>
        </w:tc>
        <w:tc>
          <w:tcPr>
            <w:tcW w:w="0" w:type="auto"/>
            <w:vAlign w:val="center"/>
          </w:tcPr>
          <w:p w:rsidR="004B325D" w:rsidRPr="007A5999" w:rsidRDefault="004B325D">
            <w:pPr>
              <w:jc w:val="center"/>
              <w:rPr>
                <w:sz w:val="17"/>
              </w:rPr>
            </w:pPr>
            <w:r w:rsidRPr="007A5999">
              <w:rPr>
                <w:sz w:val="17"/>
                <w:lang w:val="en-US"/>
              </w:rPr>
              <w:sym w:font="Symbol" w:char="F0E1"/>
            </w:r>
            <w:r w:rsidRPr="007A5999">
              <w:rPr>
                <w:sz w:val="17"/>
                <w:lang w:val="en-US"/>
              </w:rPr>
              <w:t>0; 100</w:t>
            </w:r>
            <w:r w:rsidRPr="007A5999">
              <w:rPr>
                <w:sz w:val="17"/>
                <w:lang w:val="en-US"/>
              </w:rPr>
              <w:sym w:font="Symbol" w:char="F0F1"/>
            </w:r>
          </w:p>
        </w:tc>
        <w:tc>
          <w:tcPr>
            <w:tcW w:w="0" w:type="auto"/>
            <w:vAlign w:val="center"/>
          </w:tcPr>
          <w:p w:rsidR="004B325D" w:rsidRPr="007A5999" w:rsidRDefault="004B325D">
            <w:pPr>
              <w:jc w:val="center"/>
              <w:rPr>
                <w:sz w:val="17"/>
              </w:rPr>
            </w:pPr>
            <w:r w:rsidRPr="007A5999">
              <w:rPr>
                <w:sz w:val="17"/>
              </w:rPr>
              <w:t>40 %</w:t>
            </w:r>
          </w:p>
        </w:tc>
      </w:tr>
      <w:tr w:rsidR="004B325D" w:rsidRPr="007A5999">
        <w:tblPrEx>
          <w:tblCellMar>
            <w:top w:w="0" w:type="dxa"/>
            <w:bottom w:w="0" w:type="dxa"/>
          </w:tblCellMar>
        </w:tblPrEx>
        <w:trPr>
          <w:trHeight w:val="227"/>
          <w:tblCellSpacing w:w="11" w:type="dxa"/>
          <w:jc w:val="center"/>
        </w:trPr>
        <w:tc>
          <w:tcPr>
            <w:tcW w:w="0" w:type="auto"/>
            <w:vAlign w:val="center"/>
          </w:tcPr>
          <w:p w:rsidR="004B325D" w:rsidRPr="007A5999" w:rsidRDefault="004B4D2C">
            <w:pPr>
              <w:jc w:val="center"/>
              <w:rPr>
                <w:sz w:val="17"/>
              </w:rPr>
            </w:pPr>
            <w:r w:rsidRPr="007A5999">
              <w:rPr>
                <w:sz w:val="17"/>
              </w:rPr>
              <w:t>4</w:t>
            </w:r>
            <w:r w:rsidR="004B325D" w:rsidRPr="007A5999">
              <w:rPr>
                <w:sz w:val="17"/>
              </w:rPr>
              <w:t>.</w:t>
            </w:r>
          </w:p>
        </w:tc>
        <w:tc>
          <w:tcPr>
            <w:tcW w:w="0" w:type="auto"/>
            <w:vAlign w:val="center"/>
          </w:tcPr>
          <w:p w:rsidR="004B325D" w:rsidRPr="007A5999" w:rsidRDefault="004B325D">
            <w:pPr>
              <w:jc w:val="left"/>
              <w:rPr>
                <w:sz w:val="17"/>
              </w:rPr>
            </w:pPr>
            <w:r w:rsidRPr="007A5999">
              <w:rPr>
                <w:sz w:val="17"/>
              </w:rPr>
              <w:t>SP – stavební pozemky</w:t>
            </w:r>
          </w:p>
        </w:tc>
        <w:tc>
          <w:tcPr>
            <w:tcW w:w="0" w:type="auto"/>
            <w:vAlign w:val="center"/>
          </w:tcPr>
          <w:p w:rsidR="004B325D" w:rsidRPr="007A5999" w:rsidRDefault="004B325D">
            <w:pPr>
              <w:jc w:val="center"/>
              <w:rPr>
                <w:sz w:val="17"/>
              </w:rPr>
            </w:pPr>
            <w:r w:rsidRPr="007A5999">
              <w:rPr>
                <w:sz w:val="17"/>
              </w:rPr>
              <w:t>X</w:t>
            </w:r>
          </w:p>
        </w:tc>
        <w:tc>
          <w:tcPr>
            <w:tcW w:w="0" w:type="auto"/>
            <w:vAlign w:val="center"/>
          </w:tcPr>
          <w:p w:rsidR="004B325D" w:rsidRPr="007A5999" w:rsidRDefault="004B325D">
            <w:pPr>
              <w:jc w:val="center"/>
              <w:rPr>
                <w:sz w:val="17"/>
              </w:rPr>
            </w:pPr>
            <w:r w:rsidRPr="007A5999">
              <w:rPr>
                <w:sz w:val="17"/>
              </w:rPr>
              <w:t>10 %</w:t>
            </w:r>
          </w:p>
        </w:tc>
      </w:tr>
    </w:tbl>
    <w:p w:rsidR="004B325D" w:rsidRPr="007A5999" w:rsidRDefault="004B325D">
      <w:pPr>
        <w:rPr>
          <w:sz w:val="18"/>
        </w:rPr>
      </w:pPr>
    </w:p>
    <w:p w:rsidR="004B325D" w:rsidRPr="007A5999" w:rsidRDefault="004B325D">
      <w:pPr>
        <w:pStyle w:val="Nadpis1"/>
        <w:rPr>
          <w:sz w:val="18"/>
        </w:rPr>
      </w:pPr>
      <w:r w:rsidRPr="007A5999">
        <w:rPr>
          <w:sz w:val="18"/>
        </w:rPr>
        <w:br w:type="page"/>
      </w:r>
      <w:r w:rsidRPr="007A5999">
        <w:rPr>
          <w:sz w:val="18"/>
        </w:rPr>
        <w:lastRenderedPageBreak/>
        <w:t>6. Frekvence a struktura závislosti počtu cenových údajů dle determinujících faktorů</w:t>
      </w:r>
    </w:p>
    <w:p w:rsidR="004B325D" w:rsidRPr="007A5999" w:rsidRDefault="004B325D">
      <w:pPr>
        <w:pStyle w:val="Zkladntext"/>
        <w:tabs>
          <w:tab w:val="clear" w:pos="0"/>
        </w:tabs>
        <w:rPr>
          <w:sz w:val="18"/>
        </w:rPr>
      </w:pPr>
      <w:r w:rsidRPr="007A5999">
        <w:rPr>
          <w:sz w:val="18"/>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4B325D" w:rsidRPr="007A5999" w:rsidRDefault="004B325D">
      <w:pPr>
        <w:rPr>
          <w:sz w:val="18"/>
        </w:rPr>
      </w:pPr>
      <w:r w:rsidRPr="00D04E1F">
        <w:rPr>
          <w:sz w:val="18"/>
        </w:rPr>
        <w:t xml:space="preserve">Podle frekvence údajů o prodejích nemovitostí </w:t>
      </w:r>
      <w:r w:rsidR="00C02757" w:rsidRPr="00D04E1F">
        <w:rPr>
          <w:sz w:val="18"/>
        </w:rPr>
        <w:t>v letech</w:t>
      </w:r>
      <w:r w:rsidR="006D5A38" w:rsidRPr="00D04E1F">
        <w:rPr>
          <w:sz w:val="18"/>
        </w:rPr>
        <w:t xml:space="preserve"> </w:t>
      </w:r>
      <w:r w:rsidR="009369AE" w:rsidRPr="00D04E1F">
        <w:rPr>
          <w:sz w:val="18"/>
        </w:rPr>
        <w:t>2012</w:t>
      </w:r>
      <w:r w:rsidR="007147E0" w:rsidRPr="00D04E1F">
        <w:rPr>
          <w:sz w:val="18"/>
        </w:rPr>
        <w:t xml:space="preserve"> </w:t>
      </w:r>
      <w:r w:rsidR="00C02757" w:rsidRPr="00D04E1F">
        <w:rPr>
          <w:sz w:val="18"/>
        </w:rPr>
        <w:t xml:space="preserve">a </w:t>
      </w:r>
      <w:r w:rsidR="007147E0" w:rsidRPr="00D04E1F">
        <w:rPr>
          <w:sz w:val="18"/>
        </w:rPr>
        <w:t>201</w:t>
      </w:r>
      <w:r w:rsidR="009369AE" w:rsidRPr="00D04E1F">
        <w:rPr>
          <w:sz w:val="18"/>
        </w:rPr>
        <w:t>3</w:t>
      </w:r>
      <w:r w:rsidR="00C02757" w:rsidRPr="00D04E1F">
        <w:rPr>
          <w:sz w:val="18"/>
        </w:rPr>
        <w:t xml:space="preserve"> </w:t>
      </w:r>
      <w:r w:rsidRPr="00D04E1F">
        <w:rPr>
          <w:sz w:val="18"/>
        </w:rPr>
        <w:t xml:space="preserve">lze vysledovat </w:t>
      </w:r>
      <w:r w:rsidR="00142E1D" w:rsidRPr="00D04E1F">
        <w:rPr>
          <w:sz w:val="18"/>
        </w:rPr>
        <w:t>maximum ve 4. čtvrtletí</w:t>
      </w:r>
      <w:r w:rsidR="0084774F" w:rsidRPr="00D04E1F">
        <w:rPr>
          <w:sz w:val="18"/>
        </w:rPr>
        <w:t>,</w:t>
      </w:r>
      <w:r w:rsidR="007E2777" w:rsidRPr="00D04E1F">
        <w:rPr>
          <w:sz w:val="18"/>
        </w:rPr>
        <w:t xml:space="preserve"> </w:t>
      </w:r>
      <w:r w:rsidR="00F2462B" w:rsidRPr="00D04E1F">
        <w:rPr>
          <w:sz w:val="18"/>
        </w:rPr>
        <w:t xml:space="preserve">v roce 2014 ve 3. čtvrtletí, </w:t>
      </w:r>
      <w:r w:rsidR="00142E1D" w:rsidRPr="00D04E1F">
        <w:rPr>
          <w:sz w:val="18"/>
        </w:rPr>
        <w:t xml:space="preserve">druhého největšího počtu prodejů je </w:t>
      </w:r>
      <w:r w:rsidR="009369AE" w:rsidRPr="00D04E1F">
        <w:rPr>
          <w:sz w:val="18"/>
        </w:rPr>
        <w:t>v </w:t>
      </w:r>
      <w:r w:rsidR="00F2462B" w:rsidRPr="00D04E1F">
        <w:rPr>
          <w:sz w:val="18"/>
        </w:rPr>
        <w:t>roce</w:t>
      </w:r>
      <w:r w:rsidR="009369AE" w:rsidRPr="00D04E1F">
        <w:rPr>
          <w:sz w:val="18"/>
        </w:rPr>
        <w:t xml:space="preserve"> 201</w:t>
      </w:r>
      <w:r w:rsidR="00146CBE" w:rsidRPr="00D04E1F">
        <w:rPr>
          <w:sz w:val="18"/>
        </w:rPr>
        <w:t>2</w:t>
      </w:r>
      <w:r w:rsidR="009369AE" w:rsidRPr="00D04E1F">
        <w:rPr>
          <w:sz w:val="18"/>
        </w:rPr>
        <w:t xml:space="preserve"> </w:t>
      </w:r>
      <w:r w:rsidR="007D7CD6" w:rsidRPr="00D04E1F">
        <w:rPr>
          <w:sz w:val="18"/>
        </w:rPr>
        <w:t xml:space="preserve">a 2014 </w:t>
      </w:r>
      <w:r w:rsidR="00142E1D" w:rsidRPr="00D04E1F">
        <w:rPr>
          <w:sz w:val="18"/>
        </w:rPr>
        <w:t xml:space="preserve">dosaženo ve </w:t>
      </w:r>
      <w:r w:rsidR="007E2777" w:rsidRPr="00D04E1F">
        <w:rPr>
          <w:sz w:val="18"/>
        </w:rPr>
        <w:t>2</w:t>
      </w:r>
      <w:r w:rsidR="00142E1D" w:rsidRPr="00D04E1F">
        <w:rPr>
          <w:sz w:val="18"/>
        </w:rPr>
        <w:t>. čtv</w:t>
      </w:r>
      <w:r w:rsidR="007E2777" w:rsidRPr="00D04E1F">
        <w:rPr>
          <w:sz w:val="18"/>
        </w:rPr>
        <w:t>rt</w:t>
      </w:r>
      <w:r w:rsidR="00142E1D" w:rsidRPr="00D04E1F">
        <w:rPr>
          <w:sz w:val="18"/>
        </w:rPr>
        <w:t>letí</w:t>
      </w:r>
      <w:r w:rsidR="009369AE" w:rsidRPr="00D04E1F">
        <w:rPr>
          <w:sz w:val="18"/>
        </w:rPr>
        <w:t>, resp. ve 3</w:t>
      </w:r>
      <w:r w:rsidR="007E2777" w:rsidRPr="00D04E1F">
        <w:rPr>
          <w:sz w:val="18"/>
        </w:rPr>
        <w:t>.</w:t>
      </w:r>
      <w:r w:rsidR="009369AE" w:rsidRPr="00D04E1F">
        <w:rPr>
          <w:sz w:val="18"/>
        </w:rPr>
        <w:t xml:space="preserve"> čtvrtletí v roce 2013</w:t>
      </w:r>
      <w:r w:rsidR="00142E1D" w:rsidRPr="00D04E1F">
        <w:rPr>
          <w:sz w:val="18"/>
        </w:rPr>
        <w:t>.</w:t>
      </w:r>
      <w:r w:rsidR="00142E1D" w:rsidRPr="007A5999">
        <w:rPr>
          <w:sz w:val="18"/>
        </w:rPr>
        <w:t xml:space="preserve"> Přelom roku znamená útlum v prodeji nemovitostí, počet prodejů klesá průměrně o </w:t>
      </w:r>
      <w:r w:rsidR="00146CBE">
        <w:rPr>
          <w:sz w:val="18"/>
        </w:rPr>
        <w:t xml:space="preserve">59 </w:t>
      </w:r>
      <w:r w:rsidR="00142E1D" w:rsidRPr="007A5999">
        <w:rPr>
          <w:sz w:val="18"/>
        </w:rPr>
        <w:t>% vůči 4. čtvrtletí.</w:t>
      </w:r>
    </w:p>
    <w:p w:rsidR="004B325D" w:rsidRPr="007A5999" w:rsidRDefault="004B325D">
      <w:pPr>
        <w:rPr>
          <w:sz w:val="18"/>
        </w:rPr>
      </w:pPr>
      <w:r w:rsidRPr="007A5999">
        <w:rPr>
          <w:sz w:val="18"/>
        </w:rPr>
        <w:t xml:space="preserve">Abstrahujeme-li od výše uvedeného sezónního průběhu, ukazuje se, že z dat, která byla k dispozici, jsou plně využitelné údaje do poloviny roku </w:t>
      </w:r>
      <w:r w:rsidR="00C55F06" w:rsidRPr="00D04E1F">
        <w:rPr>
          <w:sz w:val="18"/>
        </w:rPr>
        <w:t>201</w:t>
      </w:r>
      <w:r w:rsidR="00146CBE" w:rsidRPr="00D04E1F">
        <w:rPr>
          <w:sz w:val="18"/>
        </w:rPr>
        <w:t>4</w:t>
      </w:r>
      <w:r w:rsidR="00084638" w:rsidRPr="00D04E1F">
        <w:rPr>
          <w:sz w:val="18"/>
        </w:rPr>
        <w:t>. Dat pro následující mě</w:t>
      </w:r>
      <w:r w:rsidRPr="00D04E1F">
        <w:rPr>
          <w:sz w:val="18"/>
        </w:rPr>
        <w:t>síce rovnoměrně ubývá. To vyplývá z toho, že od data prodeje nemovitosti do období, kdy jsou data dostupná v databázi, uplyne několik</w:t>
      </w:r>
      <w:r w:rsidR="00612E13" w:rsidRPr="00D04E1F">
        <w:rPr>
          <w:sz w:val="18"/>
        </w:rPr>
        <w:t xml:space="preserve"> měsíců. Data do konce roku </w:t>
      </w:r>
      <w:r w:rsidR="00580618" w:rsidRPr="00D04E1F">
        <w:rPr>
          <w:sz w:val="18"/>
        </w:rPr>
        <w:t>201</w:t>
      </w:r>
      <w:r w:rsidR="00F2462B" w:rsidRPr="00D04E1F">
        <w:rPr>
          <w:sz w:val="18"/>
        </w:rPr>
        <w:t>3</w:t>
      </w:r>
      <w:r w:rsidRPr="00D04E1F">
        <w:rPr>
          <w:sz w:val="18"/>
        </w:rPr>
        <w:t xml:space="preserve"> je tedy možno prakticky považovat za definitivní, pro rok </w:t>
      </w:r>
      <w:r w:rsidR="00F2462B" w:rsidRPr="00D04E1F">
        <w:rPr>
          <w:sz w:val="18"/>
        </w:rPr>
        <w:t>2014</w:t>
      </w:r>
      <w:r w:rsidRPr="00D04E1F">
        <w:rPr>
          <w:sz w:val="18"/>
        </w:rPr>
        <w:t xml:space="preserve"> se jedná o předběžné údaje, které bude možno v pozdějším období mírně upřesnit.</w:t>
      </w:r>
      <w:r w:rsidRPr="007A5999">
        <w:rPr>
          <w:sz w:val="18"/>
        </w:rPr>
        <w:t xml:space="preserve"> </w:t>
      </w:r>
    </w:p>
    <w:p w:rsidR="004B325D" w:rsidRPr="007A5999" w:rsidRDefault="004B325D">
      <w:pPr>
        <w:pStyle w:val="Zkladntext3"/>
        <w:tabs>
          <w:tab w:val="clear" w:pos="0"/>
          <w:tab w:val="clear" w:pos="1440"/>
          <w:tab w:val="clear" w:pos="2880"/>
        </w:tabs>
      </w:pPr>
      <w:r w:rsidRPr="007A5999">
        <w:t xml:space="preserve">V přepočtu na počet obyvatel je frekvence </w:t>
      </w:r>
      <w:r w:rsidRPr="00D04E1F">
        <w:t xml:space="preserve">prodejů RD nadprůměrná zejména ve Středočeském, dále pak v kraji </w:t>
      </w:r>
      <w:r w:rsidR="00F2462B" w:rsidRPr="00D04E1F">
        <w:t xml:space="preserve">Jihočeském  a </w:t>
      </w:r>
      <w:r w:rsidR="00E813F5" w:rsidRPr="00D04E1F">
        <w:t>Jihomoravsk</w:t>
      </w:r>
      <w:r w:rsidRPr="00D04E1F">
        <w:t>ém, zdaleka nejnižší je v Praze, nízká je v</w:t>
      </w:r>
      <w:r w:rsidR="009369AE" w:rsidRPr="00D04E1F">
        <w:t> Karlovarském a Moravskoslezském</w:t>
      </w:r>
      <w:r w:rsidRPr="00D04E1F">
        <w:t xml:space="preserve"> kraji. Podobná situace je pro SP – největší relativní aktivi</w:t>
      </w:r>
      <w:r w:rsidR="00AA53FC" w:rsidRPr="00D04E1F">
        <w:t>ta je v kraji</w:t>
      </w:r>
      <w:r w:rsidRPr="00D04E1F">
        <w:t xml:space="preserve"> </w:t>
      </w:r>
      <w:r w:rsidR="00F2462B" w:rsidRPr="00D04E1F">
        <w:t>Jihočeském</w:t>
      </w:r>
      <w:r w:rsidR="009A3490" w:rsidRPr="00D04E1F">
        <w:t xml:space="preserve">, </w:t>
      </w:r>
      <w:r w:rsidR="00F2462B" w:rsidRPr="00D04E1F">
        <w:t>Liberecké</w:t>
      </w:r>
      <w:r w:rsidR="009A3490" w:rsidRPr="00D04E1F">
        <w:t xml:space="preserve">m a </w:t>
      </w:r>
      <w:r w:rsidR="00F2462B" w:rsidRPr="00D04E1F">
        <w:t>Olomouckém</w:t>
      </w:r>
      <w:r w:rsidRPr="00D04E1F">
        <w:t xml:space="preserve">, nejnižší v Praze, Plzeňském a </w:t>
      </w:r>
      <w:r w:rsidR="00491D73" w:rsidRPr="00D04E1F">
        <w:t>Moravskoslezském</w:t>
      </w:r>
      <w:r w:rsidRPr="00D04E1F">
        <w:t xml:space="preserve"> kraji. V kategorii BY má nejvyšší počet prodejů na hlavu kraj Karlovarský, Ústecký</w:t>
      </w:r>
      <w:r w:rsidR="00374388" w:rsidRPr="00D04E1F">
        <w:t xml:space="preserve"> a Jihomoravský</w:t>
      </w:r>
      <w:r w:rsidRPr="00D04E1F">
        <w:t xml:space="preserve">, naopak nejmenší </w:t>
      </w:r>
      <w:r w:rsidR="0084774F" w:rsidRPr="00D04E1F">
        <w:t xml:space="preserve">kraj </w:t>
      </w:r>
      <w:r w:rsidR="00A277BD" w:rsidRPr="00D04E1F">
        <w:t xml:space="preserve">Praha, Moravskoslezský a </w:t>
      </w:r>
      <w:r w:rsidR="00491D73" w:rsidRPr="00D04E1F">
        <w:t>Vysočina</w:t>
      </w:r>
      <w:r w:rsidRPr="00D04E1F">
        <w:t>.</w:t>
      </w:r>
    </w:p>
    <w:p w:rsidR="004B325D" w:rsidRPr="007A5999" w:rsidRDefault="004B325D">
      <w:pPr>
        <w:rPr>
          <w:sz w:val="18"/>
        </w:rPr>
      </w:pPr>
      <w:r w:rsidRPr="007A5999">
        <w:rPr>
          <w:sz w:val="18"/>
        </w:rPr>
        <w:t>Statisticky průkaznější je počet prodaných nemovitostí na hlavu dle velikosti obce. Relativní aktivita u RD výrazně klesá s velikostí obce, zhru</w:t>
      </w:r>
      <w:r w:rsidR="00DA7A37" w:rsidRPr="007A5999">
        <w:rPr>
          <w:sz w:val="18"/>
        </w:rPr>
        <w:t xml:space="preserve">ba opačný trend je pro BY. </w:t>
      </w:r>
      <w:r w:rsidR="00B12478" w:rsidRPr="007A5999">
        <w:rPr>
          <w:sz w:val="18"/>
        </w:rPr>
        <w:t>U</w:t>
      </w:r>
      <w:r w:rsidR="00DA7A37" w:rsidRPr="007A5999">
        <w:rPr>
          <w:sz w:val="18"/>
        </w:rPr>
        <w:t xml:space="preserve"> DO dominují velké (nad 50 000 obyvatel) a středně velké obce (10 000 – 49 999 obyvatel)</w:t>
      </w:r>
      <w:r w:rsidRPr="007A5999">
        <w:rPr>
          <w:sz w:val="18"/>
        </w:rPr>
        <w:t xml:space="preserve">. Prodej SP je nejvyšší pro obce </w:t>
      </w:r>
      <w:r w:rsidR="00491D73" w:rsidRPr="00D04E1F">
        <w:rPr>
          <w:sz w:val="18"/>
        </w:rPr>
        <w:t>do 1 999</w:t>
      </w:r>
      <w:r w:rsidRPr="007A5999">
        <w:rPr>
          <w:sz w:val="18"/>
        </w:rPr>
        <w:t xml:space="preserve"> obyvatel a nejmenší pro Prahu.</w:t>
      </w:r>
      <w:r w:rsidR="00272033" w:rsidRPr="007A5999">
        <w:rPr>
          <w:sz w:val="18"/>
        </w:rPr>
        <w:t xml:space="preserve">      </w:t>
      </w:r>
    </w:p>
    <w:p w:rsidR="004B325D" w:rsidRPr="007A5999" w:rsidRDefault="004B325D">
      <w:pPr>
        <w:pStyle w:val="Nadpis1"/>
        <w:rPr>
          <w:sz w:val="18"/>
        </w:rPr>
      </w:pPr>
      <w:r w:rsidRPr="007A5999">
        <w:rPr>
          <w:sz w:val="18"/>
        </w:rPr>
        <w:t>7. Vzájemná závislost mezi determinujícími faktory</w:t>
      </w:r>
    </w:p>
    <w:p w:rsidR="004B325D" w:rsidRPr="007A5999" w:rsidRDefault="004B325D">
      <w:pPr>
        <w:rPr>
          <w:sz w:val="18"/>
        </w:rPr>
      </w:pPr>
      <w:r w:rsidRPr="007A5999">
        <w:rPr>
          <w:sz w:val="18"/>
        </w:rPr>
        <w:t>Další analýzy sledovaly souvislosti mezi těmito vysvětlujícími faktory</w:t>
      </w:r>
    </w:p>
    <w:p w:rsidR="004B325D" w:rsidRPr="007A5999" w:rsidRDefault="004B325D">
      <w:pPr>
        <w:numPr>
          <w:ilvl w:val="0"/>
          <w:numId w:val="12"/>
        </w:numPr>
        <w:rPr>
          <w:sz w:val="18"/>
        </w:rPr>
      </w:pPr>
      <w:r w:rsidRPr="007A5999">
        <w:rPr>
          <w:sz w:val="18"/>
        </w:rPr>
        <w:t xml:space="preserve">období (obvykle rok prodeje/nákupu nemovitosti), </w:t>
      </w:r>
    </w:p>
    <w:p w:rsidR="004B325D" w:rsidRPr="007A5999" w:rsidRDefault="004B325D">
      <w:pPr>
        <w:numPr>
          <w:ilvl w:val="0"/>
          <w:numId w:val="12"/>
        </w:numPr>
        <w:rPr>
          <w:sz w:val="18"/>
        </w:rPr>
      </w:pPr>
      <w:r w:rsidRPr="007A5999">
        <w:rPr>
          <w:sz w:val="18"/>
        </w:rPr>
        <w:t>velikostní kategorie obce (4 kategorie </w:t>
      </w:r>
      <w:r w:rsidRPr="007A5999">
        <w:rPr>
          <w:sz w:val="18"/>
          <w:lang w:val="de-DE"/>
        </w:rPr>
        <w:t>+ Praha)</w:t>
      </w:r>
    </w:p>
    <w:p w:rsidR="004B325D" w:rsidRPr="007A5999" w:rsidRDefault="004B325D">
      <w:pPr>
        <w:numPr>
          <w:ilvl w:val="0"/>
          <w:numId w:val="12"/>
        </w:numPr>
        <w:rPr>
          <w:sz w:val="18"/>
        </w:rPr>
      </w:pPr>
      <w:r w:rsidRPr="007A5999">
        <w:rPr>
          <w:sz w:val="18"/>
        </w:rPr>
        <w:t xml:space="preserve">region (obvykle kraj, někdy okres), </w:t>
      </w:r>
    </w:p>
    <w:p w:rsidR="004B325D" w:rsidRPr="007A5999" w:rsidRDefault="004B325D">
      <w:pPr>
        <w:numPr>
          <w:ilvl w:val="0"/>
          <w:numId w:val="12"/>
        </w:numPr>
        <w:rPr>
          <w:sz w:val="18"/>
        </w:rPr>
      </w:pPr>
      <w:r w:rsidRPr="007A5999">
        <w:rPr>
          <w:sz w:val="18"/>
        </w:rPr>
        <w:t>pásma opotřebení (není pro SP, kumulováno do 3 - 4 pásem specificky dle druhu nemovitos</w:t>
      </w:r>
      <w:r w:rsidR="00E521A5" w:rsidRPr="007A5999">
        <w:rPr>
          <w:sz w:val="18"/>
        </w:rPr>
        <w:t>ti nebo v jemnějším členění po 10</w:t>
      </w:r>
      <w:r w:rsidRPr="007A5999">
        <w:rPr>
          <w:sz w:val="18"/>
        </w:rPr>
        <w:t> %),</w:t>
      </w:r>
    </w:p>
    <w:p w:rsidR="004B325D" w:rsidRPr="007A5999" w:rsidRDefault="004B325D">
      <w:pPr>
        <w:rPr>
          <w:sz w:val="18"/>
        </w:rPr>
      </w:pPr>
      <w:r w:rsidRPr="007A5999">
        <w:rPr>
          <w:sz w:val="18"/>
        </w:rPr>
        <w:t>s těmito výsledky:</w:t>
      </w:r>
    </w:p>
    <w:p w:rsidR="004B325D" w:rsidRPr="007A5999" w:rsidRDefault="004B325D">
      <w:pPr>
        <w:pStyle w:val="Zkladntext3"/>
        <w:tabs>
          <w:tab w:val="clear" w:pos="0"/>
          <w:tab w:val="clear" w:pos="1440"/>
          <w:tab w:val="clear" w:pos="2880"/>
        </w:tabs>
      </w:pPr>
      <w:r w:rsidRPr="007A5999">
        <w:t>Struktura p</w:t>
      </w:r>
      <w:r w:rsidR="003C7FE4" w:rsidRPr="007A5999">
        <w:t>očtu prodaných nemovitostí dle 10</w:t>
      </w:r>
      <w:r w:rsidRPr="007A5999">
        <w:t xml:space="preserve"> % pásem opotřebení nezávisí na sledovaném roce. Struktura počtu prodaných nemovitostí dle krajů nezávisí na sledovaném roce (drobné výkyvy pro DO). Struktura počtu prodaných nemovitostí dle velikostních kategorií obce nezávisí na sledovaném roce (drobné výkyvy pro DO). Není proto výraznou chybou sledovat některé souvislosti pro data sdružená za </w:t>
      </w:r>
      <w:r w:rsidRPr="00D04E1F">
        <w:t>roky 20</w:t>
      </w:r>
      <w:r w:rsidR="00607137" w:rsidRPr="00D04E1F">
        <w:t>1</w:t>
      </w:r>
      <w:r w:rsidR="007C09F3" w:rsidRPr="00D04E1F">
        <w:t>2</w:t>
      </w:r>
      <w:r w:rsidRPr="00D04E1F">
        <w:t> </w:t>
      </w:r>
      <w:r w:rsidRPr="00D04E1F">
        <w:noBreakHyphen/>
        <w:t> 20</w:t>
      </w:r>
      <w:r w:rsidR="0084774F" w:rsidRPr="00D04E1F">
        <w:t>1</w:t>
      </w:r>
      <w:r w:rsidR="007C09F3" w:rsidRPr="00D04E1F">
        <w:t>4</w:t>
      </w:r>
      <w:r w:rsidRPr="00D04E1F">
        <w:t xml:space="preserve"> dohrom</w:t>
      </w:r>
      <w:r w:rsidRPr="007A5999">
        <w:t>ady.</w:t>
      </w:r>
    </w:p>
    <w:p w:rsidR="004B325D" w:rsidRPr="007A5999" w:rsidRDefault="004B325D">
      <w:pPr>
        <w:rPr>
          <w:sz w:val="18"/>
        </w:rPr>
      </w:pPr>
      <w:r w:rsidRPr="007A5999">
        <w:rPr>
          <w:sz w:val="18"/>
        </w:rPr>
        <w:t xml:space="preserve">Co se týče míry opotřebení RD, platí zde závislost na velikosti obce - s klesající velikostí obce roste průměrná opotřebovanost. Mezi kraji nejsou rozdíly v míře opotřebení téměř znatelné, výjimkou je Praha s průměrnou mírou opotřebení kolem </w:t>
      </w:r>
      <w:r w:rsidR="00110C5B" w:rsidRPr="00D04E1F">
        <w:rPr>
          <w:sz w:val="18"/>
        </w:rPr>
        <w:t>22</w:t>
      </w:r>
      <w:r w:rsidRPr="00D04E1F">
        <w:rPr>
          <w:sz w:val="18"/>
        </w:rPr>
        <w:t> %, další kraj </w:t>
      </w:r>
      <w:r w:rsidR="0042019E" w:rsidRPr="00D04E1F">
        <w:rPr>
          <w:sz w:val="18"/>
        </w:rPr>
        <w:t xml:space="preserve">v pořadí </w:t>
      </w:r>
      <w:r w:rsidRPr="00D04E1F">
        <w:rPr>
          <w:sz w:val="18"/>
        </w:rPr>
        <w:t>- Moravskoslezský - se svou mírou kolem</w:t>
      </w:r>
      <w:r w:rsidR="00B46D2B" w:rsidRPr="00D04E1F">
        <w:rPr>
          <w:sz w:val="18"/>
        </w:rPr>
        <w:t xml:space="preserve"> </w:t>
      </w:r>
      <w:r w:rsidR="001F00C4" w:rsidRPr="00D04E1F">
        <w:rPr>
          <w:sz w:val="18"/>
        </w:rPr>
        <w:t>4</w:t>
      </w:r>
      <w:r w:rsidR="007C09F3" w:rsidRPr="00D04E1F">
        <w:rPr>
          <w:sz w:val="18"/>
        </w:rPr>
        <w:t>4</w:t>
      </w:r>
      <w:r w:rsidR="00E521A5" w:rsidRPr="00D04E1F">
        <w:rPr>
          <w:sz w:val="18"/>
        </w:rPr>
        <w:t xml:space="preserve"> </w:t>
      </w:r>
      <w:r w:rsidRPr="00D04E1F">
        <w:rPr>
          <w:sz w:val="18"/>
        </w:rPr>
        <w:t xml:space="preserve">% již blíží celostátnímu průměru </w:t>
      </w:r>
      <w:r w:rsidR="007C09F3" w:rsidRPr="00D04E1F">
        <w:rPr>
          <w:sz w:val="18"/>
        </w:rPr>
        <w:t>49,5</w:t>
      </w:r>
      <w:r w:rsidRPr="00D04E1F">
        <w:rPr>
          <w:sz w:val="18"/>
        </w:rPr>
        <w:t> %. Zhruba platí souvislost</w:t>
      </w:r>
      <w:r w:rsidRPr="007A5999">
        <w:rPr>
          <w:sz w:val="18"/>
        </w:rPr>
        <w:t xml:space="preserve">, že kraj s většími obcemi má u RD menší opotřebovanost. </w:t>
      </w:r>
    </w:p>
    <w:p w:rsidR="004B325D" w:rsidRPr="007A5999" w:rsidRDefault="004B325D">
      <w:pPr>
        <w:pStyle w:val="Zkladntext3"/>
        <w:tabs>
          <w:tab w:val="clear" w:pos="0"/>
          <w:tab w:val="clear" w:pos="1440"/>
          <w:tab w:val="clear" w:pos="2880"/>
        </w:tabs>
      </w:pPr>
      <w:r w:rsidRPr="007A5999">
        <w:t xml:space="preserve">Celková průměrná míra opotřebení u BY je </w:t>
      </w:r>
      <w:r w:rsidR="007C09F3" w:rsidRPr="00D04E1F">
        <w:t xml:space="preserve">14,4 </w:t>
      </w:r>
      <w:r w:rsidRPr="00D04E1F">
        <w:t>%, je poměrně vyrovnaná pro kraje i velikosti obcí, nejvyšší je</w:t>
      </w:r>
      <w:r w:rsidR="00770AAA" w:rsidRPr="00D04E1F">
        <w:t xml:space="preserve"> </w:t>
      </w:r>
      <w:r w:rsidR="00357266" w:rsidRPr="00D04E1F">
        <w:t>1</w:t>
      </w:r>
      <w:r w:rsidR="007C09F3" w:rsidRPr="00D04E1F">
        <w:t>8,1 a 18,4</w:t>
      </w:r>
      <w:r w:rsidRPr="00D04E1F">
        <w:t xml:space="preserve">% pro </w:t>
      </w:r>
      <w:r w:rsidR="00B46D2B" w:rsidRPr="00D04E1F">
        <w:t>Karlovarský</w:t>
      </w:r>
      <w:r w:rsidRPr="00D04E1F">
        <w:t xml:space="preserve"> kraj</w:t>
      </w:r>
      <w:r w:rsidR="00110C5B" w:rsidRPr="00D04E1F">
        <w:t xml:space="preserve"> a Liberecký kraj</w:t>
      </w:r>
      <w:r w:rsidRPr="00D04E1F">
        <w:t>.</w:t>
      </w:r>
    </w:p>
    <w:p w:rsidR="004B325D" w:rsidRPr="007A5999" w:rsidRDefault="004B325D">
      <w:pPr>
        <w:pStyle w:val="Zkladntext3"/>
        <w:tabs>
          <w:tab w:val="clear" w:pos="0"/>
          <w:tab w:val="clear" w:pos="1440"/>
          <w:tab w:val="clear" w:pos="2880"/>
        </w:tabs>
      </w:pPr>
      <w:r w:rsidRPr="007A5999">
        <w:t xml:space="preserve">Pro DO existuje prokazatelná závislost rostoucí průměrné míry opotřebení se zvětšující se velikostí obce (celostátní průměr </w:t>
      </w:r>
      <w:r w:rsidR="00110C5B" w:rsidRPr="00D04E1F">
        <w:t>61</w:t>
      </w:r>
      <w:r w:rsidR="007A13B9" w:rsidRPr="00D04E1F">
        <w:t>,1</w:t>
      </w:r>
      <w:r w:rsidRPr="007A5999">
        <w:t> %), v krajích je tato míra v průměru poměrně rovnoměrná, pokud to lze s ohledem na menší počet dat spolehlivě tvrdit.</w:t>
      </w:r>
    </w:p>
    <w:p w:rsidR="004B325D" w:rsidRPr="007A5999" w:rsidRDefault="004B325D">
      <w:pPr>
        <w:rPr>
          <w:sz w:val="18"/>
        </w:rPr>
      </w:pPr>
      <w:r w:rsidRPr="007A5999">
        <w:rPr>
          <w:sz w:val="18"/>
        </w:rPr>
        <w:t>Poslední evidentní závislostí je podíl větších či menších obcí ve sledovaných regionech. Z mimopražských krajů je největší podíl větších obcí v Moravskoslezském a Ústeckém kraji. Nejvíce „venkov</w:t>
      </w:r>
      <w:r w:rsidR="003D31A7" w:rsidRPr="007A5999">
        <w:rPr>
          <w:sz w:val="18"/>
        </w:rPr>
        <w:t>ské“ jsou Vysočina,</w:t>
      </w:r>
      <w:r w:rsidRPr="007A5999">
        <w:rPr>
          <w:sz w:val="18"/>
        </w:rPr>
        <w:t xml:space="preserve"> </w:t>
      </w:r>
      <w:r w:rsidR="0048600E" w:rsidRPr="007A5999">
        <w:rPr>
          <w:sz w:val="18"/>
        </w:rPr>
        <w:t xml:space="preserve">Pardubický, </w:t>
      </w:r>
      <w:r w:rsidRPr="007A5999">
        <w:rPr>
          <w:sz w:val="18"/>
        </w:rPr>
        <w:t>Jihočeský</w:t>
      </w:r>
      <w:r w:rsidR="003D31A7" w:rsidRPr="007A5999">
        <w:rPr>
          <w:sz w:val="18"/>
        </w:rPr>
        <w:t xml:space="preserve"> a </w:t>
      </w:r>
      <w:r w:rsidR="00850287" w:rsidRPr="007A5999">
        <w:rPr>
          <w:sz w:val="18"/>
        </w:rPr>
        <w:t>Plzeňský</w:t>
      </w:r>
      <w:r w:rsidRPr="007A5999">
        <w:rPr>
          <w:sz w:val="18"/>
        </w:rPr>
        <w:t>.</w:t>
      </w:r>
    </w:p>
    <w:p w:rsidR="004B325D" w:rsidRPr="007A5999" w:rsidRDefault="004B325D">
      <w:pPr>
        <w:rPr>
          <w:sz w:val="18"/>
        </w:rPr>
      </w:pPr>
    </w:p>
    <w:p w:rsidR="004B325D" w:rsidRPr="007A5999" w:rsidRDefault="004B325D">
      <w:pPr>
        <w:pStyle w:val="Nadpis1"/>
        <w:rPr>
          <w:sz w:val="18"/>
        </w:rPr>
      </w:pPr>
      <w:r w:rsidRPr="007A5999">
        <w:rPr>
          <w:sz w:val="18"/>
        </w:rPr>
        <w:t xml:space="preserve">8. Stanovení pásem opotřebení </w:t>
      </w:r>
    </w:p>
    <w:p w:rsidR="004B325D" w:rsidRPr="007A5999" w:rsidRDefault="004B325D">
      <w:pPr>
        <w:pStyle w:val="Zkladntext3"/>
        <w:tabs>
          <w:tab w:val="clear" w:pos="1440"/>
          <w:tab w:val="clear" w:pos="2880"/>
        </w:tabs>
      </w:pPr>
      <w:r w:rsidRPr="007A5999">
        <w:t xml:space="preserve">Pro klasifikaci nemovitostí dle opotřebení bylo třeba stanovit pásma opotřebení, pro která by se daly sledovat statistické závislosti ceny na tomto faktoru (a v kombinaci s ostatními). Kromě </w:t>
      </w:r>
      <w:r w:rsidR="009F3C2C" w:rsidRPr="007A5999">
        <w:t>dělení na skupiny po 10</w:t>
      </w:r>
      <w:r w:rsidRPr="007A5999">
        <w:t xml:space="preserve"> %, které je však v kombinaci </w:t>
      </w:r>
      <w:r w:rsidRPr="007A5999">
        <w:lastRenderedPageBreak/>
        <w:t>s jiným členěním příliš jemné a příliš rozdrobí základní soubor, byla pro každý druh stanovena specifická hrubší pásma. 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p w:rsidR="004B325D" w:rsidRPr="007A5999" w:rsidRDefault="004B325D">
      <w:pPr>
        <w:tabs>
          <w:tab w:val="num" w:pos="0"/>
        </w:tabs>
        <w:rPr>
          <w:sz w:val="18"/>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7A5999">
        <w:tblPrEx>
          <w:tblCellMar>
            <w:top w:w="0" w:type="dxa"/>
            <w:bottom w:w="0" w:type="dxa"/>
          </w:tblCellMar>
        </w:tblPrEx>
        <w:trPr>
          <w:cantSplit/>
          <w:trHeight w:val="284"/>
          <w:tblCellSpacing w:w="11" w:type="dxa"/>
          <w:jc w:val="center"/>
        </w:trPr>
        <w:tc>
          <w:tcPr>
            <w:tcW w:w="3112" w:type="dxa"/>
            <w:vMerge w:val="restart"/>
            <w:vAlign w:val="center"/>
          </w:tcPr>
          <w:p w:rsidR="004B325D" w:rsidRPr="007A5999" w:rsidRDefault="004B325D">
            <w:pPr>
              <w:tabs>
                <w:tab w:val="num" w:pos="0"/>
              </w:tabs>
              <w:jc w:val="left"/>
              <w:rPr>
                <w:sz w:val="17"/>
              </w:rPr>
            </w:pPr>
            <w:r w:rsidRPr="007A5999">
              <w:rPr>
                <w:sz w:val="17"/>
              </w:rPr>
              <w:t>Druh  nemovitosti</w:t>
            </w:r>
          </w:p>
        </w:tc>
        <w:tc>
          <w:tcPr>
            <w:tcW w:w="3579" w:type="dxa"/>
            <w:gridSpan w:val="4"/>
            <w:noWrap/>
            <w:vAlign w:val="center"/>
          </w:tcPr>
          <w:p w:rsidR="004B325D" w:rsidRPr="007A5999" w:rsidRDefault="004B325D">
            <w:pPr>
              <w:tabs>
                <w:tab w:val="num" w:pos="0"/>
              </w:tabs>
              <w:jc w:val="center"/>
              <w:rPr>
                <w:sz w:val="17"/>
              </w:rPr>
            </w:pPr>
            <w:r w:rsidRPr="007A5999">
              <w:rPr>
                <w:sz w:val="17"/>
              </w:rPr>
              <w:t>Pásmo opotřebení</w:t>
            </w:r>
          </w:p>
        </w:tc>
      </w:tr>
      <w:tr w:rsidR="004B325D" w:rsidRPr="007A5999">
        <w:tblPrEx>
          <w:tblCellMar>
            <w:top w:w="0" w:type="dxa"/>
            <w:bottom w:w="0" w:type="dxa"/>
          </w:tblCellMar>
        </w:tblPrEx>
        <w:trPr>
          <w:cantSplit/>
          <w:trHeight w:val="284"/>
          <w:tblCellSpacing w:w="11" w:type="dxa"/>
          <w:jc w:val="center"/>
        </w:trPr>
        <w:tc>
          <w:tcPr>
            <w:tcW w:w="3112" w:type="dxa"/>
            <w:vMerge/>
            <w:vAlign w:val="center"/>
          </w:tcPr>
          <w:p w:rsidR="004B325D" w:rsidRPr="007A5999" w:rsidRDefault="004B325D">
            <w:pPr>
              <w:tabs>
                <w:tab w:val="num" w:pos="0"/>
              </w:tabs>
              <w:jc w:val="left"/>
              <w:rPr>
                <w:sz w:val="17"/>
              </w:rPr>
            </w:pPr>
          </w:p>
        </w:tc>
        <w:tc>
          <w:tcPr>
            <w:tcW w:w="881" w:type="dxa"/>
            <w:noWrap/>
            <w:vAlign w:val="center"/>
          </w:tcPr>
          <w:p w:rsidR="004B325D" w:rsidRPr="007A5999" w:rsidRDefault="004B325D">
            <w:pPr>
              <w:tabs>
                <w:tab w:val="num" w:pos="0"/>
              </w:tabs>
              <w:jc w:val="center"/>
              <w:rPr>
                <w:sz w:val="17"/>
              </w:rPr>
            </w:pPr>
            <w:r w:rsidRPr="007A5999">
              <w:rPr>
                <w:sz w:val="17"/>
              </w:rPr>
              <w:t>1</w:t>
            </w:r>
          </w:p>
        </w:tc>
        <w:tc>
          <w:tcPr>
            <w:tcW w:w="881" w:type="dxa"/>
            <w:vAlign w:val="center"/>
          </w:tcPr>
          <w:p w:rsidR="004B325D" w:rsidRPr="007A5999" w:rsidRDefault="004B325D">
            <w:pPr>
              <w:tabs>
                <w:tab w:val="num" w:pos="0"/>
              </w:tabs>
              <w:jc w:val="center"/>
              <w:rPr>
                <w:sz w:val="17"/>
              </w:rPr>
            </w:pPr>
            <w:r w:rsidRPr="007A5999">
              <w:rPr>
                <w:sz w:val="17"/>
              </w:rPr>
              <w:t>2</w:t>
            </w:r>
          </w:p>
        </w:tc>
        <w:tc>
          <w:tcPr>
            <w:tcW w:w="881" w:type="dxa"/>
            <w:vAlign w:val="center"/>
          </w:tcPr>
          <w:p w:rsidR="004B325D" w:rsidRPr="007A5999" w:rsidRDefault="004B325D">
            <w:pPr>
              <w:tabs>
                <w:tab w:val="num" w:pos="0"/>
              </w:tabs>
              <w:jc w:val="center"/>
              <w:rPr>
                <w:sz w:val="17"/>
              </w:rPr>
            </w:pPr>
            <w:r w:rsidRPr="007A5999">
              <w:rPr>
                <w:sz w:val="17"/>
              </w:rPr>
              <w:t>3</w:t>
            </w:r>
          </w:p>
        </w:tc>
        <w:tc>
          <w:tcPr>
            <w:tcW w:w="870" w:type="dxa"/>
            <w:vAlign w:val="center"/>
          </w:tcPr>
          <w:p w:rsidR="004B325D" w:rsidRPr="007A5999" w:rsidRDefault="004B325D">
            <w:pPr>
              <w:tabs>
                <w:tab w:val="num" w:pos="0"/>
              </w:tabs>
              <w:jc w:val="center"/>
              <w:rPr>
                <w:sz w:val="17"/>
              </w:rPr>
            </w:pPr>
            <w:r w:rsidRPr="007A5999">
              <w:rPr>
                <w:sz w:val="17"/>
              </w:rPr>
              <w:t>4</w:t>
            </w:r>
          </w:p>
        </w:tc>
      </w:tr>
      <w:tr w:rsidR="004B325D" w:rsidRPr="007A5999">
        <w:tblPrEx>
          <w:tblCellMar>
            <w:top w:w="0" w:type="dxa"/>
            <w:bottom w:w="0" w:type="dxa"/>
          </w:tblCellMar>
        </w:tblPrEx>
        <w:trPr>
          <w:trHeight w:val="284"/>
          <w:tblCellSpacing w:w="11" w:type="dxa"/>
          <w:jc w:val="center"/>
        </w:trPr>
        <w:tc>
          <w:tcPr>
            <w:tcW w:w="3112" w:type="dxa"/>
            <w:vAlign w:val="center"/>
          </w:tcPr>
          <w:p w:rsidR="004B325D" w:rsidRPr="007A5999" w:rsidRDefault="004B325D">
            <w:pPr>
              <w:tabs>
                <w:tab w:val="num" w:pos="0"/>
              </w:tabs>
              <w:jc w:val="left"/>
              <w:rPr>
                <w:sz w:val="17"/>
              </w:rPr>
            </w:pPr>
            <w:r w:rsidRPr="007A5999">
              <w:rPr>
                <w:sz w:val="17"/>
              </w:rPr>
              <w:t>RD – rodinné domy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10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(10; 50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(50; 75</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r w:rsidRPr="007A5999">
              <w:rPr>
                <w:sz w:val="17"/>
                <w:lang w:val="en-US"/>
              </w:rPr>
              <w:t>(75; 100</w:t>
            </w:r>
            <w:r w:rsidRPr="007A5999">
              <w:rPr>
                <w:sz w:val="17"/>
                <w:lang w:val="en-US"/>
              </w:rPr>
              <w:sym w:font="Symbol" w:char="F0F1"/>
            </w:r>
          </w:p>
        </w:tc>
      </w:tr>
      <w:tr w:rsidR="004B325D" w:rsidRPr="007A5999">
        <w:tblPrEx>
          <w:tblCellMar>
            <w:top w:w="0" w:type="dxa"/>
            <w:bottom w:w="0" w:type="dxa"/>
          </w:tblCellMar>
        </w:tblPrEx>
        <w:trPr>
          <w:trHeight w:val="284"/>
          <w:tblCellSpacing w:w="11" w:type="dxa"/>
          <w:jc w:val="center"/>
        </w:trPr>
        <w:tc>
          <w:tcPr>
            <w:tcW w:w="3112" w:type="dxa"/>
            <w:vAlign w:val="center"/>
          </w:tcPr>
          <w:p w:rsidR="004B325D" w:rsidRPr="007A5999" w:rsidRDefault="004B325D">
            <w:pPr>
              <w:tabs>
                <w:tab w:val="num" w:pos="0"/>
              </w:tabs>
              <w:jc w:val="left"/>
              <w:rPr>
                <w:sz w:val="17"/>
              </w:rPr>
            </w:pPr>
            <w:r w:rsidRPr="007A5999">
              <w:rPr>
                <w:sz w:val="17"/>
              </w:rPr>
              <w:t>BY – byty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(5; 20</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(20; 45</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r w:rsidRPr="007A5999">
              <w:rPr>
                <w:sz w:val="17"/>
                <w:lang w:val="en-US"/>
              </w:rPr>
              <w:t>(45; 100</w:t>
            </w:r>
            <w:r w:rsidRPr="007A5999">
              <w:rPr>
                <w:sz w:val="17"/>
                <w:lang w:val="en-US"/>
              </w:rPr>
              <w:sym w:font="Symbol" w:char="F0F1"/>
            </w:r>
          </w:p>
        </w:tc>
      </w:tr>
      <w:tr w:rsidR="004B325D" w:rsidRPr="007A5999">
        <w:tblPrEx>
          <w:tblCellMar>
            <w:top w:w="0" w:type="dxa"/>
            <w:bottom w:w="0" w:type="dxa"/>
          </w:tblCellMar>
        </w:tblPrEx>
        <w:trPr>
          <w:trHeight w:val="284"/>
          <w:tblCellSpacing w:w="11" w:type="dxa"/>
          <w:jc w:val="center"/>
        </w:trPr>
        <w:tc>
          <w:tcPr>
            <w:tcW w:w="3112" w:type="dxa"/>
            <w:vAlign w:val="center"/>
          </w:tcPr>
          <w:p w:rsidR="004B325D" w:rsidRPr="007A5999" w:rsidRDefault="004B325D">
            <w:pPr>
              <w:tabs>
                <w:tab w:val="num" w:pos="0"/>
              </w:tabs>
              <w:jc w:val="left"/>
              <w:rPr>
                <w:sz w:val="17"/>
              </w:rPr>
            </w:pPr>
            <w:r w:rsidRPr="007A5999">
              <w:rPr>
                <w:sz w:val="17"/>
              </w:rPr>
              <w:t>DO – bytové domy</w:t>
            </w:r>
          </w:p>
        </w:tc>
        <w:tc>
          <w:tcPr>
            <w:tcW w:w="881" w:type="dxa"/>
            <w:noWrap/>
            <w:vAlign w:val="center"/>
          </w:tcPr>
          <w:p w:rsidR="004B325D" w:rsidRPr="007A5999" w:rsidRDefault="004B325D">
            <w:pPr>
              <w:tabs>
                <w:tab w:val="num" w:pos="0"/>
              </w:tabs>
              <w:jc w:val="center"/>
              <w:rPr>
                <w:sz w:val="17"/>
              </w:rPr>
            </w:pPr>
            <w:r w:rsidRPr="007A5999">
              <w:rPr>
                <w:sz w:val="17"/>
                <w:lang w:val="en-US"/>
              </w:rPr>
              <w:sym w:font="Symbol" w:char="F0E1"/>
            </w:r>
            <w:r w:rsidRPr="007A5999">
              <w:rPr>
                <w:sz w:val="17"/>
                <w:lang w:val="en-US"/>
              </w:rPr>
              <w:t>0; 25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(25; 65</w:t>
            </w:r>
            <w:r w:rsidRPr="007A5999">
              <w:rPr>
                <w:sz w:val="17"/>
                <w:lang w:val="en-US"/>
              </w:rPr>
              <w:sym w:font="Symbol" w:char="F0F1"/>
            </w:r>
          </w:p>
        </w:tc>
        <w:tc>
          <w:tcPr>
            <w:tcW w:w="881" w:type="dxa"/>
            <w:noWrap/>
            <w:vAlign w:val="center"/>
          </w:tcPr>
          <w:p w:rsidR="004B325D" w:rsidRPr="007A5999" w:rsidRDefault="004B325D">
            <w:pPr>
              <w:tabs>
                <w:tab w:val="num" w:pos="0"/>
              </w:tabs>
              <w:jc w:val="center"/>
              <w:rPr>
                <w:sz w:val="17"/>
              </w:rPr>
            </w:pPr>
            <w:r w:rsidRPr="007A5999">
              <w:rPr>
                <w:sz w:val="17"/>
                <w:lang w:val="en-US"/>
              </w:rPr>
              <w:t>(65; 100</w:t>
            </w:r>
            <w:r w:rsidRPr="007A5999">
              <w:rPr>
                <w:sz w:val="17"/>
                <w:lang w:val="en-US"/>
              </w:rPr>
              <w:sym w:font="Symbol" w:char="F0F1"/>
            </w:r>
          </w:p>
        </w:tc>
        <w:tc>
          <w:tcPr>
            <w:tcW w:w="870" w:type="dxa"/>
            <w:noWrap/>
            <w:vAlign w:val="center"/>
          </w:tcPr>
          <w:p w:rsidR="004B325D" w:rsidRPr="007A5999" w:rsidRDefault="004B325D">
            <w:pPr>
              <w:tabs>
                <w:tab w:val="num" w:pos="0"/>
              </w:tabs>
              <w:jc w:val="center"/>
              <w:rPr>
                <w:sz w:val="17"/>
              </w:rPr>
            </w:pPr>
          </w:p>
        </w:tc>
      </w:tr>
    </w:tbl>
    <w:p w:rsidR="004B325D" w:rsidRPr="007A5999" w:rsidRDefault="004B325D">
      <w:pPr>
        <w:tabs>
          <w:tab w:val="num" w:pos="0"/>
        </w:tabs>
        <w:rPr>
          <w:sz w:val="18"/>
        </w:rPr>
      </w:pPr>
    </w:p>
    <w:p w:rsidR="004B4D2C" w:rsidRPr="007A5999" w:rsidRDefault="004B4D2C">
      <w:pPr>
        <w:tabs>
          <w:tab w:val="num" w:pos="0"/>
        </w:tabs>
        <w:rPr>
          <w:sz w:val="18"/>
        </w:rPr>
      </w:pPr>
    </w:p>
    <w:p w:rsidR="004B325D" w:rsidRPr="007A5999" w:rsidRDefault="004B325D">
      <w:pPr>
        <w:tabs>
          <w:tab w:val="num" w:pos="0"/>
        </w:tabs>
        <w:rPr>
          <w:sz w:val="18"/>
        </w:rPr>
      </w:pPr>
      <w:r w:rsidRPr="007A5999">
        <w:rPr>
          <w:sz w:val="18"/>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4B325D" w:rsidRPr="007A5999" w:rsidRDefault="004B325D">
      <w:pPr>
        <w:pStyle w:val="Nadpis1"/>
        <w:rPr>
          <w:sz w:val="18"/>
        </w:rPr>
      </w:pPr>
      <w:r w:rsidRPr="007A5999">
        <w:rPr>
          <w:sz w:val="18"/>
        </w:rPr>
        <w:t>9. Stupeň závislosti jednotkových kupních cen na jednotlivých determinujících faktorech</w:t>
      </w:r>
    </w:p>
    <w:p w:rsidR="004B325D" w:rsidRPr="007A5999" w:rsidRDefault="004B325D">
      <w:pPr>
        <w:tabs>
          <w:tab w:val="num" w:pos="0"/>
        </w:tabs>
        <w:rPr>
          <w:sz w:val="18"/>
        </w:rPr>
      </w:pPr>
      <w:r w:rsidRPr="007A5999">
        <w:rPr>
          <w:sz w:val="18"/>
        </w:rPr>
        <w:t>Dalším krokem bylo stanovení relativního stupně závislosti průměrné jednotkové ceny</w:t>
      </w:r>
      <w:r w:rsidRPr="007A5999">
        <w:rPr>
          <w:rStyle w:val="Znakapoznpodarou"/>
          <w:sz w:val="18"/>
        </w:rPr>
        <w:footnoteReference w:id="1"/>
      </w:r>
      <w:r w:rsidRPr="007A5999">
        <w:rPr>
          <w:sz w:val="18"/>
        </w:rPr>
        <w:t xml:space="preserve"> na každém ze zvolených vysvětlujících faktorů. Při sledování této závislosti je však třeba dbát na jistou, byť malou, korelovanost vysvětlujících faktorů (viz 7.). Proto při zkoumání vlivu každého z nich je třeba, aby všechny ostatní byly konstantní.</w:t>
      </w:r>
    </w:p>
    <w:p w:rsidR="004B325D" w:rsidRPr="00D04E1F" w:rsidRDefault="004B325D">
      <w:pPr>
        <w:tabs>
          <w:tab w:val="num" w:pos="0"/>
        </w:tabs>
        <w:rPr>
          <w:sz w:val="18"/>
        </w:rPr>
      </w:pPr>
      <w:r w:rsidRPr="007A5999">
        <w:rPr>
          <w:sz w:val="18"/>
        </w:rPr>
        <w:t xml:space="preserve">Pro </w:t>
      </w:r>
      <w:r w:rsidRPr="007A5999">
        <w:rPr>
          <w:b/>
          <w:bCs/>
          <w:sz w:val="18"/>
        </w:rPr>
        <w:t xml:space="preserve">rodinné domy </w:t>
      </w:r>
      <w:r w:rsidRPr="00D04E1F">
        <w:rPr>
          <w:sz w:val="18"/>
        </w:rPr>
        <w:t xml:space="preserve">(RD) je nejvyšší závislost logicky na stupni opotřebení. Pak má nižší vliv velikost obce, ještě nižší </w:t>
      </w:r>
      <w:r w:rsidR="00BB3388" w:rsidRPr="00D04E1F">
        <w:rPr>
          <w:sz w:val="18"/>
        </w:rPr>
        <w:t xml:space="preserve">kraj </w:t>
      </w:r>
      <w:r w:rsidRPr="00D04E1F">
        <w:rPr>
          <w:sz w:val="18"/>
        </w:rPr>
        <w:t xml:space="preserve">a nejnižší je závislost </w:t>
      </w:r>
      <w:r w:rsidR="00BB3388" w:rsidRPr="00D04E1F">
        <w:rPr>
          <w:sz w:val="18"/>
        </w:rPr>
        <w:t>na časovém období</w:t>
      </w:r>
      <w:r w:rsidRPr="00D04E1F">
        <w:rPr>
          <w:sz w:val="18"/>
        </w:rPr>
        <w:t>.</w:t>
      </w:r>
    </w:p>
    <w:p w:rsidR="004B325D" w:rsidRPr="00D04E1F" w:rsidRDefault="004B325D">
      <w:pPr>
        <w:tabs>
          <w:tab w:val="num" w:pos="0"/>
        </w:tabs>
        <w:rPr>
          <w:sz w:val="18"/>
        </w:rPr>
      </w:pPr>
      <w:r w:rsidRPr="00D04E1F">
        <w:rPr>
          <w:sz w:val="18"/>
        </w:rPr>
        <w:t xml:space="preserve">Pro </w:t>
      </w:r>
      <w:r w:rsidRPr="00D04E1F">
        <w:rPr>
          <w:b/>
          <w:bCs/>
          <w:sz w:val="18"/>
        </w:rPr>
        <w:t xml:space="preserve">byty </w:t>
      </w:r>
      <w:r w:rsidRPr="00D04E1F">
        <w:rPr>
          <w:sz w:val="18"/>
        </w:rPr>
        <w:t>(BY)</w:t>
      </w:r>
      <w:r w:rsidRPr="00D04E1F">
        <w:rPr>
          <w:b/>
          <w:bCs/>
          <w:sz w:val="18"/>
        </w:rPr>
        <w:t xml:space="preserve"> </w:t>
      </w:r>
      <w:r w:rsidRPr="00D04E1F">
        <w:rPr>
          <w:sz w:val="18"/>
        </w:rPr>
        <w:t>je nejdůležitějším faktorem opotřebení, dá</w:t>
      </w:r>
      <w:r w:rsidR="00311EA6" w:rsidRPr="00D04E1F">
        <w:rPr>
          <w:sz w:val="18"/>
        </w:rPr>
        <w:t xml:space="preserve">le následuje </w:t>
      </w:r>
      <w:r w:rsidR="00BB3388" w:rsidRPr="00D04E1F">
        <w:rPr>
          <w:sz w:val="18"/>
        </w:rPr>
        <w:t xml:space="preserve">velikost obce, kraj </w:t>
      </w:r>
      <w:r w:rsidR="006A1755" w:rsidRPr="00D04E1F">
        <w:rPr>
          <w:sz w:val="18"/>
        </w:rPr>
        <w:t xml:space="preserve">a </w:t>
      </w:r>
      <w:r w:rsidRPr="00D04E1F">
        <w:rPr>
          <w:sz w:val="18"/>
        </w:rPr>
        <w:t>nejnižší</w:t>
      </w:r>
      <w:r w:rsidR="00B21AE2" w:rsidRPr="00D04E1F">
        <w:rPr>
          <w:sz w:val="18"/>
        </w:rPr>
        <w:t>, i když stále relativně vysoká,</w:t>
      </w:r>
      <w:r w:rsidRPr="00D04E1F">
        <w:rPr>
          <w:sz w:val="18"/>
        </w:rPr>
        <w:t xml:space="preserve"> závislost je na </w:t>
      </w:r>
      <w:r w:rsidR="00BB3388" w:rsidRPr="00D04E1F">
        <w:rPr>
          <w:sz w:val="18"/>
        </w:rPr>
        <w:t>časovém období</w:t>
      </w:r>
      <w:r w:rsidR="007A6DDA" w:rsidRPr="00D04E1F">
        <w:rPr>
          <w:sz w:val="18"/>
        </w:rPr>
        <w:t>. U krajů je dominantní</w:t>
      </w:r>
      <w:r w:rsidRPr="00D04E1F">
        <w:rPr>
          <w:sz w:val="18"/>
        </w:rPr>
        <w:t xml:space="preserve"> vliv umístění v Praze.</w:t>
      </w:r>
    </w:p>
    <w:p w:rsidR="00FB2CC1" w:rsidRPr="00D04E1F" w:rsidRDefault="004B325D">
      <w:pPr>
        <w:tabs>
          <w:tab w:val="num" w:pos="0"/>
        </w:tabs>
        <w:rPr>
          <w:sz w:val="18"/>
        </w:rPr>
      </w:pPr>
      <w:r w:rsidRPr="00D04E1F">
        <w:rPr>
          <w:sz w:val="18"/>
        </w:rPr>
        <w:t xml:space="preserve">Pro </w:t>
      </w:r>
      <w:r w:rsidRPr="00D04E1F">
        <w:rPr>
          <w:b/>
          <w:bCs/>
          <w:sz w:val="18"/>
        </w:rPr>
        <w:t xml:space="preserve">bytové domy </w:t>
      </w:r>
      <w:r w:rsidRPr="00D04E1F">
        <w:rPr>
          <w:sz w:val="18"/>
        </w:rPr>
        <w:t>(DO)</w:t>
      </w:r>
      <w:r w:rsidRPr="00D04E1F">
        <w:rPr>
          <w:b/>
          <w:bCs/>
          <w:sz w:val="18"/>
        </w:rPr>
        <w:t xml:space="preserve"> </w:t>
      </w:r>
      <w:r w:rsidR="0027613B" w:rsidRPr="00D04E1F">
        <w:rPr>
          <w:sz w:val="18"/>
        </w:rPr>
        <w:t>má nejvyšší vliv</w:t>
      </w:r>
      <w:r w:rsidRPr="00D04E1F">
        <w:rPr>
          <w:sz w:val="18"/>
        </w:rPr>
        <w:t xml:space="preserve"> opotřebení</w:t>
      </w:r>
      <w:r w:rsidR="0027613B" w:rsidRPr="00D04E1F">
        <w:rPr>
          <w:sz w:val="18"/>
        </w:rPr>
        <w:t xml:space="preserve"> a velikost obce</w:t>
      </w:r>
      <w:r w:rsidRPr="00D04E1F">
        <w:rPr>
          <w:sz w:val="18"/>
        </w:rPr>
        <w:t xml:space="preserve">, </w:t>
      </w:r>
      <w:r w:rsidR="00B0002A" w:rsidRPr="00D04E1F">
        <w:rPr>
          <w:sz w:val="18"/>
        </w:rPr>
        <w:t>kraj</w:t>
      </w:r>
      <w:r w:rsidR="0027613B" w:rsidRPr="00D04E1F">
        <w:rPr>
          <w:sz w:val="18"/>
        </w:rPr>
        <w:t xml:space="preserve"> má vliv menší, </w:t>
      </w:r>
      <w:r w:rsidRPr="00D04E1F">
        <w:rPr>
          <w:sz w:val="18"/>
        </w:rPr>
        <w:t>nejmenší</w:t>
      </w:r>
      <w:r w:rsidR="00B0002A" w:rsidRPr="00D04E1F">
        <w:rPr>
          <w:sz w:val="18"/>
        </w:rPr>
        <w:t xml:space="preserve"> vliv má časové období</w:t>
      </w:r>
      <w:r w:rsidRPr="00D04E1F">
        <w:rPr>
          <w:sz w:val="18"/>
        </w:rPr>
        <w:t>.</w:t>
      </w:r>
    </w:p>
    <w:p w:rsidR="004B325D" w:rsidRPr="007A5999" w:rsidRDefault="004B325D">
      <w:pPr>
        <w:tabs>
          <w:tab w:val="num" w:pos="0"/>
        </w:tabs>
        <w:rPr>
          <w:sz w:val="18"/>
        </w:rPr>
      </w:pPr>
      <w:r w:rsidRPr="00D04E1F">
        <w:rPr>
          <w:sz w:val="18"/>
        </w:rPr>
        <w:t xml:space="preserve">Pro </w:t>
      </w:r>
      <w:r w:rsidRPr="00D04E1F">
        <w:rPr>
          <w:b/>
          <w:bCs/>
          <w:sz w:val="18"/>
        </w:rPr>
        <w:t xml:space="preserve">stavební pozemky </w:t>
      </w:r>
      <w:r w:rsidRPr="00D04E1F">
        <w:rPr>
          <w:sz w:val="18"/>
        </w:rPr>
        <w:t>(SP)</w:t>
      </w:r>
      <w:r w:rsidRPr="00D04E1F">
        <w:rPr>
          <w:b/>
          <w:bCs/>
          <w:sz w:val="18"/>
        </w:rPr>
        <w:t xml:space="preserve"> </w:t>
      </w:r>
      <w:r w:rsidRPr="00D04E1F">
        <w:rPr>
          <w:sz w:val="18"/>
        </w:rPr>
        <w:t>je dominantní závislost na velikosti obce, u velkých měst značně závisí na poloze v obci. Nižší je závisl</w:t>
      </w:r>
      <w:r w:rsidR="00AD6B08" w:rsidRPr="00D04E1F">
        <w:rPr>
          <w:sz w:val="18"/>
        </w:rPr>
        <w:t xml:space="preserve">ost na </w:t>
      </w:r>
      <w:r w:rsidR="00992921" w:rsidRPr="00D04E1F">
        <w:rPr>
          <w:sz w:val="18"/>
        </w:rPr>
        <w:t>regionu</w:t>
      </w:r>
      <w:r w:rsidR="00AD6B08" w:rsidRPr="00D04E1F">
        <w:rPr>
          <w:sz w:val="18"/>
        </w:rPr>
        <w:t xml:space="preserve"> a nejnižší na </w:t>
      </w:r>
      <w:r w:rsidR="00992921" w:rsidRPr="00D04E1F">
        <w:rPr>
          <w:sz w:val="18"/>
        </w:rPr>
        <w:t>časovém období</w:t>
      </w:r>
      <w:r w:rsidRPr="00D04E1F">
        <w:rPr>
          <w:sz w:val="18"/>
        </w:rPr>
        <w:t>.</w:t>
      </w:r>
      <w:r w:rsidRPr="007A5999">
        <w:rPr>
          <w:sz w:val="18"/>
        </w:rPr>
        <w:t xml:space="preserve"> Ze všech druhů nemovitostí je pro SP nejvyšší cenová variabilita.</w:t>
      </w:r>
    </w:p>
    <w:p w:rsidR="004B325D" w:rsidRPr="007A5999" w:rsidRDefault="004B325D">
      <w:pPr>
        <w:pStyle w:val="Nadpis1"/>
        <w:rPr>
          <w:sz w:val="18"/>
        </w:rPr>
      </w:pPr>
      <w:r w:rsidRPr="007A5999">
        <w:rPr>
          <w:sz w:val="18"/>
        </w:rPr>
        <w:t>10. Analýza pomocí variačního koeficientu skupin dle determinujících faktorů</w:t>
      </w:r>
    </w:p>
    <w:p w:rsidR="004B325D" w:rsidRPr="007A5999" w:rsidRDefault="004B325D">
      <w:pPr>
        <w:tabs>
          <w:tab w:val="num" w:pos="0"/>
        </w:tabs>
        <w:rPr>
          <w:sz w:val="18"/>
        </w:rPr>
      </w:pPr>
      <w:r w:rsidRPr="007A5999">
        <w:rPr>
          <w:sz w:val="18"/>
        </w:rPr>
        <w:t>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v každé skupině, vzniklé dělením základního souboru dle stanovených faktorů, zůstane dostatečný počet cenových údajů, lze doufat, že se tyto, nám neznámé</w:t>
      </w:r>
      <w:r w:rsidR="004F480A" w:rsidRPr="007A5999">
        <w:rPr>
          <w:sz w:val="18"/>
        </w:rPr>
        <w:t>, vlivy</w:t>
      </w:r>
      <w:r w:rsidRPr="007A5999">
        <w:rPr>
          <w:sz w:val="18"/>
        </w:rPr>
        <w:t xml:space="preserve"> alespoň částečně vyeliminují.</w:t>
      </w:r>
    </w:p>
    <w:p w:rsidR="004B325D" w:rsidRPr="007A5999" w:rsidRDefault="004B325D">
      <w:pPr>
        <w:tabs>
          <w:tab w:val="num" w:pos="0"/>
        </w:tabs>
        <w:rPr>
          <w:sz w:val="18"/>
        </w:rPr>
      </w:pPr>
      <w:r w:rsidRPr="007A5999">
        <w:rPr>
          <w:sz w:val="18"/>
        </w:rPr>
        <w:t>Náš optimalizační postup sestává z toho, jakým způsobem (jak rychle) se snižuje průměrný variační koeficient (podíl směrodatné odchylky a průměru) jednotkových cen skupiny po každém následujícím dělení základního dle dalšího (nově</w:t>
      </w:r>
      <w:r w:rsidR="00F077C7" w:rsidRPr="007A5999">
        <w:rPr>
          <w:sz w:val="18"/>
        </w:rPr>
        <w:t xml:space="preserve"> </w:t>
      </w:r>
      <w:r w:rsidRPr="007A5999">
        <w:rPr>
          <w:sz w:val="18"/>
        </w:rPr>
        <w:t>přidaného) vysvětlujícího faktoru. Postup nejlépe reprezentuje graf analýzy prove</w:t>
      </w:r>
      <w:r w:rsidR="00956F9E" w:rsidRPr="007A5999">
        <w:rPr>
          <w:sz w:val="18"/>
        </w:rPr>
        <w:t xml:space="preserve">dené pro rodinné domy (data </w:t>
      </w:r>
      <w:r w:rsidR="005D0C18" w:rsidRPr="007A5999">
        <w:rPr>
          <w:sz w:val="18"/>
        </w:rPr>
        <w:t>2009-2011</w:t>
      </w:r>
      <w:r w:rsidRPr="007A5999">
        <w:rPr>
          <w:sz w:val="18"/>
        </w:rPr>
        <w:t>).</w:t>
      </w:r>
    </w:p>
    <w:p w:rsidR="004B325D" w:rsidRPr="007A5999" w:rsidRDefault="004B325D">
      <w:pPr>
        <w:tabs>
          <w:tab w:val="num" w:pos="0"/>
        </w:tabs>
        <w:rPr>
          <w:sz w:val="18"/>
        </w:rPr>
      </w:pPr>
    </w:p>
    <w:p w:rsidR="004B325D" w:rsidRPr="007A5999" w:rsidRDefault="00C10B5A">
      <w:pPr>
        <w:tabs>
          <w:tab w:val="num" w:pos="0"/>
        </w:tabs>
        <w:rPr>
          <w:sz w:val="18"/>
        </w:rPr>
      </w:pPr>
      <w:r w:rsidRPr="007A5999">
        <w:rPr>
          <w:color w:val="FF0000"/>
          <w:vertAlign w:val="subscript"/>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5pt" o:ole="">
            <v:imagedata r:id="rId7" o:title=""/>
          </v:shape>
          <o:OLEObject Type="Embed" ProgID="PBrush" ShapeID="_x0000_i1025" DrawAspect="Content" ObjectID="_1512299810" r:id="rId8"/>
        </w:object>
      </w:r>
    </w:p>
    <w:p w:rsidR="004B325D" w:rsidRPr="007A5999" w:rsidRDefault="004B325D">
      <w:pPr>
        <w:tabs>
          <w:tab w:val="num" w:pos="0"/>
          <w:tab w:val="left" w:pos="1620"/>
          <w:tab w:val="left" w:pos="2828"/>
          <w:tab w:val="left" w:pos="4320"/>
          <w:tab w:val="left" w:pos="6453"/>
        </w:tabs>
        <w:rPr>
          <w:sz w:val="18"/>
        </w:rPr>
      </w:pPr>
      <w:r w:rsidRPr="007A5999">
        <w:rPr>
          <w:sz w:val="18"/>
        </w:rPr>
        <w:t>Uvedený graf například ukazuje, že nejefektivnější je rozdělit základní soubor do 4 skupin dle opotřebení, neboť se tím s</w:t>
      </w:r>
      <w:r w:rsidR="004B03C8" w:rsidRPr="007A5999">
        <w:rPr>
          <w:sz w:val="18"/>
        </w:rPr>
        <w:t>níží relativní rozptyl cen ze </w:t>
      </w:r>
      <w:r w:rsidR="00C10B5A" w:rsidRPr="007A5999">
        <w:rPr>
          <w:sz w:val="18"/>
        </w:rPr>
        <w:t>73</w:t>
      </w:r>
      <w:r w:rsidR="004B03C8" w:rsidRPr="007A5999">
        <w:rPr>
          <w:sz w:val="18"/>
        </w:rPr>
        <w:t xml:space="preserve"> % na </w:t>
      </w:r>
      <w:r w:rsidR="00C10B5A" w:rsidRPr="007A5999">
        <w:rPr>
          <w:sz w:val="18"/>
        </w:rPr>
        <w:t>47</w:t>
      </w:r>
      <w:r w:rsidRPr="007A5999">
        <w:rPr>
          <w:sz w:val="18"/>
        </w:rPr>
        <w:t> %</w:t>
      </w:r>
      <w:r w:rsidR="004B03C8" w:rsidRPr="007A5999">
        <w:rPr>
          <w:sz w:val="18"/>
        </w:rPr>
        <w:t xml:space="preserve"> a přitom vzniklé skupiny jsou </w:t>
      </w:r>
      <w:r w:rsidRPr="007A5999">
        <w:rPr>
          <w:sz w:val="18"/>
        </w:rPr>
        <w:t>v průměru čtvrtinové. Postup dělení je třeba zastavit v určitém okamžiku, kdy v jisté části skupin je nereprezentativní počet cenových údajů. Uvedená analýza byla provedena pro všech 5 vybraných druhů nemovitostí, s různými variantami vysvětlujících faktorů (např. kraj i okres pro region). Výsledkem pak bylo optimální rozhodnutí, které tabulky bude možno publikovat.</w:t>
      </w:r>
    </w:p>
    <w:p w:rsidR="004B325D" w:rsidRPr="007A5999" w:rsidRDefault="004B325D">
      <w:pPr>
        <w:pStyle w:val="Nadpis1"/>
        <w:rPr>
          <w:sz w:val="18"/>
        </w:rPr>
      </w:pPr>
      <w:r w:rsidRPr="007A5999">
        <w:rPr>
          <w:sz w:val="18"/>
        </w:rPr>
        <w:t>11. Průměrování jednotkových cen</w:t>
      </w:r>
    </w:p>
    <w:p w:rsidR="004B325D" w:rsidRPr="007A5999" w:rsidRDefault="004B325D">
      <w:pPr>
        <w:tabs>
          <w:tab w:val="num" w:pos="0"/>
        </w:tabs>
        <w:rPr>
          <w:sz w:val="18"/>
        </w:rPr>
      </w:pPr>
      <w:r w:rsidRPr="007A5999">
        <w:rPr>
          <w:sz w:val="18"/>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4B325D" w:rsidRPr="007A5999" w:rsidRDefault="004B325D">
      <w:pPr>
        <w:pStyle w:val="Nadpis1"/>
        <w:rPr>
          <w:sz w:val="18"/>
        </w:rPr>
      </w:pPr>
      <w:r w:rsidRPr="007A5999">
        <w:rPr>
          <w:sz w:val="18"/>
        </w:rPr>
        <w:t xml:space="preserve">12. Souvislost ostatních parametrů </w:t>
      </w:r>
    </w:p>
    <w:p w:rsidR="004B325D" w:rsidRPr="007A5999" w:rsidRDefault="004B325D">
      <w:pPr>
        <w:tabs>
          <w:tab w:val="num" w:pos="0"/>
        </w:tabs>
        <w:rPr>
          <w:sz w:val="18"/>
        </w:rPr>
      </w:pPr>
      <w:r w:rsidRPr="007A5999">
        <w:rPr>
          <w:sz w:val="18"/>
        </w:rPr>
        <w:t xml:space="preserve">Podmínkou pro jemnější analýzy je dostatečný počet údajů základního souboru. Proto byly tyto analýzy prováděny většinou pouze pro rodinné domy, byty a stavební pozemky. </w:t>
      </w:r>
    </w:p>
    <w:p w:rsidR="004B325D" w:rsidRPr="007A5999" w:rsidRDefault="004B325D">
      <w:pPr>
        <w:tabs>
          <w:tab w:val="num" w:pos="0"/>
        </w:tabs>
        <w:rPr>
          <w:sz w:val="18"/>
        </w:rPr>
      </w:pPr>
      <w:r w:rsidRPr="007A5999">
        <w:rPr>
          <w:sz w:val="18"/>
        </w:rPr>
        <w:t>Zejména bylo prokázáno, že nízká závislost jednotkové ceny (cena rodinného domu za 1 m</w:t>
      </w:r>
      <w:r w:rsidRPr="007A5999">
        <w:rPr>
          <w:sz w:val="18"/>
          <w:vertAlign w:val="superscript"/>
        </w:rPr>
        <w:t>3</w:t>
      </w:r>
      <w:r w:rsidRPr="007A5999">
        <w:rPr>
          <w:sz w:val="18"/>
        </w:rPr>
        <w:t>) na velikosti rodinného domu v m</w:t>
      </w:r>
      <w:r w:rsidRPr="007A5999">
        <w:rPr>
          <w:sz w:val="18"/>
          <w:vertAlign w:val="superscript"/>
        </w:rPr>
        <w:t xml:space="preserve">3 </w:t>
      </w:r>
      <w:r w:rsidRPr="007A5999">
        <w:rPr>
          <w:sz w:val="18"/>
        </w:rPr>
        <w:t>nemá prakticky vliv na statistiky v této publikaci, přičemž tato „nezávislost“ byla prokázána i pro byty a stavební pozemky, čímž je ospravedlněno užití jednotkové ceny.</w:t>
      </w:r>
    </w:p>
    <w:p w:rsidR="004B325D" w:rsidRPr="007A5999" w:rsidRDefault="004B325D">
      <w:pPr>
        <w:tabs>
          <w:tab w:val="num" w:pos="0"/>
        </w:tabs>
        <w:rPr>
          <w:sz w:val="18"/>
        </w:rPr>
      </w:pPr>
      <w:r w:rsidRPr="007A5999">
        <w:rPr>
          <w:sz w:val="18"/>
        </w:rPr>
        <w:t>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w:t>
      </w:r>
      <w:r w:rsidR="00621A70" w:rsidRPr="007A5999">
        <w:rPr>
          <w:sz w:val="18"/>
        </w:rPr>
        <w:t xml:space="preserve">ineárně) klesá, asi na úroveň </w:t>
      </w:r>
      <w:r w:rsidR="00627525" w:rsidRPr="007A5999">
        <w:rPr>
          <w:sz w:val="18"/>
        </w:rPr>
        <w:t>6</w:t>
      </w:r>
      <w:r w:rsidR="00AF579E" w:rsidRPr="007A5999">
        <w:rPr>
          <w:sz w:val="18"/>
        </w:rPr>
        <w:t>0</w:t>
      </w:r>
      <w:r w:rsidRPr="007A5999">
        <w:rPr>
          <w:sz w:val="18"/>
        </w:rPr>
        <w:t>% původní c</w:t>
      </w:r>
      <w:r w:rsidR="00621A70" w:rsidRPr="007A5999">
        <w:rPr>
          <w:sz w:val="18"/>
        </w:rPr>
        <w:t xml:space="preserve">eny pro míru opotřebení kolem </w:t>
      </w:r>
      <w:r w:rsidR="004C013D" w:rsidRPr="007A5999">
        <w:rPr>
          <w:sz w:val="18"/>
        </w:rPr>
        <w:t>20</w:t>
      </w:r>
      <w:r w:rsidRPr="007A5999">
        <w:rPr>
          <w:sz w:val="18"/>
        </w:rPr>
        <w:t>%. Potom nastává zlom na křivce závislosti, která (opět přibližně lineárně) klesá s mnohem menším</w:t>
      </w:r>
      <w:r w:rsidR="00621A70" w:rsidRPr="007A5999">
        <w:rPr>
          <w:sz w:val="18"/>
        </w:rPr>
        <w:t xml:space="preserve"> sklonem až na cenu asi kolem </w:t>
      </w:r>
      <w:r w:rsidR="004C013D" w:rsidRPr="007A5999">
        <w:rPr>
          <w:sz w:val="18"/>
        </w:rPr>
        <w:t>23</w:t>
      </w:r>
      <w:r w:rsidRPr="007A5999">
        <w:rPr>
          <w:sz w:val="18"/>
        </w:rPr>
        <w:t>% původní ceny za r</w:t>
      </w:r>
      <w:r w:rsidR="00621A70" w:rsidRPr="007A5999">
        <w:rPr>
          <w:sz w:val="18"/>
        </w:rPr>
        <w:t xml:space="preserve">odinný dům s opotřebením kolem </w:t>
      </w:r>
      <w:r w:rsidR="004C013D" w:rsidRPr="007A5999">
        <w:rPr>
          <w:sz w:val="18"/>
        </w:rPr>
        <w:t>80</w:t>
      </w:r>
      <w:r w:rsidRPr="007A5999">
        <w:rPr>
          <w:sz w:val="18"/>
        </w:rPr>
        <w:t xml:space="preserve">%. Tato závislost nám umožňuje provést hypotetický přepočet ceny rodinného domu na jinou, nepříliš vzdálenou hladinu opotřebení. Analogickou souvislost lze odvodit pro koeficient vybavení stavby. </w:t>
      </w:r>
    </w:p>
    <w:p w:rsidR="004B325D" w:rsidRPr="007A5999" w:rsidRDefault="004B325D">
      <w:pPr>
        <w:pStyle w:val="Nadpis1"/>
        <w:rPr>
          <w:sz w:val="18"/>
        </w:rPr>
      </w:pPr>
      <w:r w:rsidRPr="007A5999">
        <w:rPr>
          <w:sz w:val="18"/>
        </w:rPr>
        <w:t>13. Časová závislost  - cenový index</w:t>
      </w:r>
    </w:p>
    <w:p w:rsidR="004B325D" w:rsidRPr="007A5999" w:rsidRDefault="004B325D">
      <w:pPr>
        <w:tabs>
          <w:tab w:val="num" w:pos="0"/>
        </w:tabs>
        <w:rPr>
          <w:sz w:val="18"/>
        </w:rPr>
      </w:pPr>
      <w:r w:rsidRPr="007A5999">
        <w:rPr>
          <w:sz w:val="18"/>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Laspeyresův s pevnými bazickými váhami. Nejdůležitější je, že by měl být zproštěn kvalitativních změn v čase, čili čistý cenový index. </w:t>
      </w:r>
    </w:p>
    <w:p w:rsidR="004B325D" w:rsidRPr="007A5999" w:rsidRDefault="004B325D">
      <w:pPr>
        <w:tabs>
          <w:tab w:val="num" w:pos="0"/>
        </w:tabs>
        <w:rPr>
          <w:sz w:val="18"/>
        </w:rPr>
      </w:pPr>
      <w:r w:rsidRPr="007A5999">
        <w:rPr>
          <w:sz w:val="18"/>
        </w:rPr>
        <w:t xml:space="preserve">Vzhledem k charakteru získaných cen a jejich množství je nejnižší možnou časovou jednotkou čtvrtletí. Specifický problém nastává pro SP, kde je dat dostatek, ale variabilita je zdaleka nejvyšší ze všech 5 typů nemovitostí a sledovat jednotkovou cenu pozemku každé čtvrtletí za pozemek přibližně stejné kvality je velice obtížné. </w:t>
      </w:r>
    </w:p>
    <w:p w:rsidR="004B325D" w:rsidRPr="007A5999" w:rsidRDefault="004B325D">
      <w:pPr>
        <w:tabs>
          <w:tab w:val="num" w:pos="0"/>
        </w:tabs>
        <w:rPr>
          <w:sz w:val="18"/>
        </w:rPr>
      </w:pPr>
      <w:r w:rsidRPr="007A5999">
        <w:rPr>
          <w:sz w:val="18"/>
        </w:rPr>
        <w:t>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w:t>
      </w:r>
      <w:r w:rsidR="00876FDD" w:rsidRPr="007A5999">
        <w:rPr>
          <w:sz w:val="18"/>
        </w:rPr>
        <w:t xml:space="preserve">a zajistit neměnnost </w:t>
      </w:r>
      <w:r w:rsidRPr="007A5999">
        <w:rPr>
          <w:sz w:val="18"/>
        </w:rPr>
        <w:t xml:space="preserve">velikosti nemovitosti. </w:t>
      </w:r>
    </w:p>
    <w:p w:rsidR="004B325D" w:rsidRPr="007A5999" w:rsidRDefault="00DD6469">
      <w:pPr>
        <w:tabs>
          <w:tab w:val="num" w:pos="0"/>
        </w:tabs>
        <w:rPr>
          <w:sz w:val="18"/>
        </w:rPr>
      </w:pPr>
      <w:r w:rsidRPr="007A5999">
        <w:rPr>
          <w:sz w:val="18"/>
        </w:rPr>
        <w:t xml:space="preserve">Použitá metoda pro RD a BY </w:t>
      </w:r>
      <w:r w:rsidR="004B325D" w:rsidRPr="007A5999">
        <w:rPr>
          <w:sz w:val="18"/>
        </w:rPr>
        <w:t xml:space="preserve">užívá regresní analýzy. Regresní model předpokládá závislost ceny sledované nemovitosti na období, velikostní kategorii obce a velikosti nemovitosti. Celý sledovaný soubor sledované nemovitosti (například RD, data sdružená za roky </w:t>
      </w:r>
      <w:r w:rsidR="00DC2479" w:rsidRPr="007A5999">
        <w:rPr>
          <w:sz w:val="18"/>
        </w:rPr>
        <w:t>2010-2012</w:t>
      </w:r>
      <w:r w:rsidR="004B325D" w:rsidRPr="007A5999">
        <w:rPr>
          <w:sz w:val="18"/>
        </w:rPr>
        <w:t xml:space="preserve">) se rozdělí do podskupin definovaných kombinací velikosti </w:t>
      </w:r>
      <w:r w:rsidRPr="007A5999">
        <w:rPr>
          <w:sz w:val="18"/>
        </w:rPr>
        <w:t xml:space="preserve">obce a </w:t>
      </w:r>
      <w:r w:rsidR="004B325D" w:rsidRPr="007A5999">
        <w:rPr>
          <w:sz w:val="18"/>
        </w:rPr>
        <w:t xml:space="preserve">skupiny opotřebení. V každé takto vzniklé podskupině se stanoví výše uvedený regresní model. Z něj pro tuto podskupinu vyplyne statistická závislost </w:t>
      </w:r>
      <w:r w:rsidR="004B325D" w:rsidRPr="007A5999">
        <w:rPr>
          <w:sz w:val="18"/>
        </w:rPr>
        <w:lastRenderedPageBreak/>
        <w:t>ceny na „velikosti“ RD. Každou cenu dané nemovitosti v této podskupině je potom možno „přepočíst“ na příslušný „standard“ v</w:t>
      </w:r>
      <w:r w:rsidRPr="007A5999">
        <w:rPr>
          <w:sz w:val="18"/>
        </w:rPr>
        <w:t> </w:t>
      </w:r>
      <w:r w:rsidR="004B325D" w:rsidRPr="007A5999">
        <w:rPr>
          <w:sz w:val="18"/>
        </w:rPr>
        <w:t>podskupině</w:t>
      </w:r>
      <w:r w:rsidRPr="007A5999">
        <w:rPr>
          <w:sz w:val="18"/>
        </w:rPr>
        <w:t xml:space="preserve"> (tj. nepodsklepený jednopodlažní dům)</w:t>
      </w:r>
      <w:r w:rsidR="004B325D" w:rsidRPr="007A5999">
        <w:rPr>
          <w:sz w:val="18"/>
        </w:rPr>
        <w:t>, tedy provést požadované kvalitativní očištění před následným porovnáním cen.</w:t>
      </w:r>
    </w:p>
    <w:p w:rsidR="004B325D" w:rsidRPr="007A5999" w:rsidRDefault="004B325D">
      <w:pPr>
        <w:tabs>
          <w:tab w:val="num" w:pos="0"/>
        </w:tabs>
        <w:rPr>
          <w:sz w:val="18"/>
        </w:rPr>
      </w:pPr>
      <w:r w:rsidRPr="007A5999">
        <w:rPr>
          <w:sz w:val="18"/>
        </w:rPr>
        <w:t>Použitý model u RD předpokládá lineární závislost logaritmu ce</w:t>
      </w:r>
      <w:r w:rsidR="00411170" w:rsidRPr="007A5999">
        <w:rPr>
          <w:sz w:val="18"/>
        </w:rPr>
        <w:t>ny na období,</w:t>
      </w:r>
      <w:r w:rsidRPr="007A5999">
        <w:rPr>
          <w:sz w:val="18"/>
        </w:rPr>
        <w:t xml:space="preserve"> velikostní kategorii obce </w:t>
      </w:r>
      <w:r w:rsidR="00191E57" w:rsidRPr="007A5999">
        <w:rPr>
          <w:sz w:val="18"/>
        </w:rPr>
        <w:t xml:space="preserve">a „velikosti“ RD </w:t>
      </w:r>
      <w:r w:rsidRPr="007A5999">
        <w:rPr>
          <w:sz w:val="18"/>
        </w:rPr>
        <w:t>(proměn</w:t>
      </w:r>
      <w:r w:rsidR="00777CE3" w:rsidRPr="007A5999">
        <w:rPr>
          <w:sz w:val="18"/>
        </w:rPr>
        <w:t>né nabývají diskrétních hodnot)</w:t>
      </w:r>
      <w:r w:rsidRPr="007A5999">
        <w:rPr>
          <w:sz w:val="18"/>
        </w:rPr>
        <w:t xml:space="preserve">. U BY logaritmus ceny závisí na období a faktu, zda jde o cihlový či panelový byt (proměnné nabývají diskrétních hodnot) a </w:t>
      </w:r>
      <w:r w:rsidR="00AE2699" w:rsidRPr="007A5999">
        <w:rPr>
          <w:sz w:val="18"/>
        </w:rPr>
        <w:t>na velikosti (proměnná</w:t>
      </w:r>
      <w:r w:rsidRPr="007A5999">
        <w:rPr>
          <w:sz w:val="18"/>
        </w:rPr>
        <w:t xml:space="preserve"> nabýv</w:t>
      </w:r>
      <w:r w:rsidR="00AE2699" w:rsidRPr="007A5999">
        <w:rPr>
          <w:sz w:val="18"/>
        </w:rPr>
        <w:t>á</w:t>
      </w:r>
      <w:r w:rsidRPr="007A5999">
        <w:rPr>
          <w:sz w:val="18"/>
        </w:rPr>
        <w:t xml:space="preserve"> spojitých hodnot). Kvadratická, či jiná nelineární forma vysvětlujících proměnných byla statisticky vyloučena. Pro DO byly sice potřebné výpočty provedeny, ukazuje se však, že je lepší použít cen neočištěných výše uvedenou metodou, neboť regresní modely nejsou statisticky průkazné a očištěné ceny ukazují dokonce vyšší variabilitu než neočištěné.</w:t>
      </w:r>
    </w:p>
    <w:p w:rsidR="004B325D" w:rsidRPr="007A5999" w:rsidRDefault="004B325D">
      <w:pPr>
        <w:tabs>
          <w:tab w:val="num" w:pos="0"/>
        </w:tabs>
        <w:rPr>
          <w:sz w:val="18"/>
        </w:rPr>
      </w:pPr>
      <w:r w:rsidRPr="007A5999">
        <w:rPr>
          <w:sz w:val="18"/>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dat </w:t>
      </w:r>
      <w:r w:rsidR="00FE24B5" w:rsidRPr="007A5999">
        <w:rPr>
          <w:sz w:val="18"/>
        </w:rPr>
        <w:t>20</w:t>
      </w:r>
      <w:r w:rsidR="00A002C8" w:rsidRPr="007A5999">
        <w:rPr>
          <w:sz w:val="18"/>
        </w:rPr>
        <w:t>1</w:t>
      </w:r>
      <w:r w:rsidR="00FA414C">
        <w:rPr>
          <w:sz w:val="18"/>
        </w:rPr>
        <w:t>1</w:t>
      </w:r>
      <w:r w:rsidR="00FE24B5" w:rsidRPr="007A5999">
        <w:rPr>
          <w:sz w:val="18"/>
        </w:rPr>
        <w:t>-201</w:t>
      </w:r>
      <w:r w:rsidR="00B21AE2" w:rsidRPr="007A5999">
        <w:rPr>
          <w:sz w:val="18"/>
        </w:rPr>
        <w:t>3</w:t>
      </w:r>
      <w:r w:rsidRPr="007A5999">
        <w:rPr>
          <w:sz w:val="18"/>
        </w:rPr>
        <w:t xml:space="preserve"> 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4B325D" w:rsidRPr="007A5999" w:rsidRDefault="004B325D">
      <w:pPr>
        <w:tabs>
          <w:tab w:val="num" w:pos="0"/>
        </w:tabs>
        <w:rPr>
          <w:sz w:val="18"/>
        </w:rPr>
      </w:pPr>
      <w:r w:rsidRPr="007A5999">
        <w:rPr>
          <w:sz w:val="18"/>
        </w:rPr>
        <w:t>Cenovým a indexním bazickým obdobím pro konstrukci indexu byl vybrán rok 20</w:t>
      </w:r>
      <w:r w:rsidR="00A002C8" w:rsidRPr="007A5999">
        <w:rPr>
          <w:sz w:val="18"/>
        </w:rPr>
        <w:t>10</w:t>
      </w:r>
      <w:r w:rsidRPr="007A5999">
        <w:rPr>
          <w:sz w:val="18"/>
        </w:rPr>
        <w:t xml:space="preserve"> (celoroční období).</w:t>
      </w:r>
      <w:r w:rsidR="00D468AD" w:rsidRPr="007A5999">
        <w:rPr>
          <w:sz w:val="18"/>
        </w:rPr>
        <w:t xml:space="preserve"> </w:t>
      </w:r>
      <w:r w:rsidRPr="007A5999">
        <w:rPr>
          <w:sz w:val="18"/>
        </w:rPr>
        <w:t>V roce 20</w:t>
      </w:r>
      <w:r w:rsidR="00A002C8" w:rsidRPr="007A5999">
        <w:rPr>
          <w:sz w:val="18"/>
        </w:rPr>
        <w:t>13</w:t>
      </w:r>
      <w:r w:rsidRPr="007A5999">
        <w:rPr>
          <w:sz w:val="18"/>
        </w:rPr>
        <w:t xml:space="preserve"> proběhla revize indexů cen nemovitostí, v rámci níž byly vytvořeny nové realističtější váhové struktury pro všechny sledované </w:t>
      </w:r>
      <w:r w:rsidR="004B4D2C" w:rsidRPr="007A5999">
        <w:rPr>
          <w:sz w:val="18"/>
        </w:rPr>
        <w:t>druhy nemovitostí. Váhy u SP</w:t>
      </w:r>
      <w:r w:rsidRPr="007A5999">
        <w:rPr>
          <w:sz w:val="18"/>
        </w:rPr>
        <w:t xml:space="preserve"> a DO jsou stanoveny na základě relativních podílů součtů absolutních odhadních cen nemovitostí spadajících do daných kategorií za roky 200</w:t>
      </w:r>
      <w:r w:rsidR="00A002C8" w:rsidRPr="007A5999">
        <w:rPr>
          <w:sz w:val="18"/>
        </w:rPr>
        <w:t>9</w:t>
      </w:r>
      <w:r w:rsidRPr="007A5999">
        <w:rPr>
          <w:sz w:val="18"/>
        </w:rPr>
        <w:t xml:space="preserve"> – 20</w:t>
      </w:r>
      <w:r w:rsidR="00A002C8" w:rsidRPr="007A5999">
        <w:rPr>
          <w:sz w:val="18"/>
        </w:rPr>
        <w:t>11</w:t>
      </w:r>
      <w:r w:rsidRPr="007A5999">
        <w:rPr>
          <w:sz w:val="18"/>
        </w:rPr>
        <w:t xml:space="preserve"> (pro větší robustnost vah). Stejně jsou stanoveny váhy pro úhrnný index. Váhy u BY</w:t>
      </w:r>
      <w:r w:rsidR="00A002C8" w:rsidRPr="007A5999">
        <w:rPr>
          <w:sz w:val="18"/>
        </w:rPr>
        <w:t xml:space="preserve"> a RD jsou řešeny </w:t>
      </w:r>
      <w:r w:rsidRPr="007A5999">
        <w:rPr>
          <w:sz w:val="18"/>
        </w:rPr>
        <w:t>kombinací výstupů ze součtů absolutních odhadních cen a údajů ze SLDB o počtech RD a BY (pro ostatní typy nemovitostí nejsou tyto údaje dostupné).</w:t>
      </w:r>
      <w:r w:rsidR="00A002C8" w:rsidRPr="007A5999">
        <w:rPr>
          <w:sz w:val="18"/>
          <w:szCs w:val="18"/>
        </w:rPr>
        <w:t xml:space="preserve"> Váhy </w:t>
      </w:r>
      <w:r w:rsidR="00146B14" w:rsidRPr="007A5999">
        <w:rPr>
          <w:sz w:val="18"/>
          <w:szCs w:val="18"/>
        </w:rPr>
        <w:t xml:space="preserve">u BY a RD </w:t>
      </w:r>
      <w:r w:rsidR="00A002C8" w:rsidRPr="007A5999">
        <w:rPr>
          <w:sz w:val="18"/>
          <w:szCs w:val="18"/>
        </w:rPr>
        <w:t>pro kraje jsou pojímány jako relativní podíly objemů skutečných transakcí.</w:t>
      </w:r>
      <w:r w:rsidRPr="007A5999">
        <w:rPr>
          <w:sz w:val="18"/>
        </w:rPr>
        <w:t xml:space="preserve"> </w:t>
      </w:r>
    </w:p>
    <w:p w:rsidR="004B325D" w:rsidRPr="007A5999" w:rsidRDefault="004B325D">
      <w:pPr>
        <w:pStyle w:val="Nadpis1"/>
        <w:rPr>
          <w:sz w:val="18"/>
        </w:rPr>
      </w:pPr>
      <w:r w:rsidRPr="007A5999">
        <w:rPr>
          <w:sz w:val="18"/>
        </w:rPr>
        <w:t>14. Vzájemná souvislost odhadní a kupní ceny</w:t>
      </w:r>
    </w:p>
    <w:p w:rsidR="004B325D" w:rsidRPr="007A5999" w:rsidRDefault="004B325D">
      <w:pPr>
        <w:tabs>
          <w:tab w:val="num" w:pos="0"/>
        </w:tabs>
        <w:rPr>
          <w:sz w:val="18"/>
        </w:rPr>
      </w:pPr>
      <w:r w:rsidRPr="007A5999">
        <w:rPr>
          <w:sz w:val="18"/>
        </w:rPr>
        <w:t>Pro RD a SP se zjišťovala závislost mezi poměrem ceny kupní a ceny odhadní na jedné straně a některými charakteristikami na straně druhé</w:t>
      </w:r>
      <w:r w:rsidRPr="007A5999">
        <w:rPr>
          <w:color w:val="FF0000"/>
          <w:sz w:val="18"/>
        </w:rPr>
        <w:t xml:space="preserve">. </w:t>
      </w:r>
      <w:r w:rsidRPr="007A5999">
        <w:rPr>
          <w:sz w:val="18"/>
        </w:rPr>
        <w:t xml:space="preserve">Nejprůkaznější je závislost mezi tímto poměrem na jedné straně a na druhé straně </w:t>
      </w:r>
      <w:r w:rsidR="00D61C6E" w:rsidRPr="007A5999">
        <w:rPr>
          <w:sz w:val="18"/>
        </w:rPr>
        <w:t>absolutní odhadní cenou (poměrně silná klesající závislost pro nižší odhadní ceny, pro vyšší odhadní ceny poměr s menší amplitudou kolísá kolem 1), méně opotřebením</w:t>
      </w:r>
      <w:r w:rsidR="0089722A" w:rsidRPr="007A5999">
        <w:rPr>
          <w:sz w:val="18"/>
        </w:rPr>
        <w:t xml:space="preserve">. </w:t>
      </w:r>
      <w:r w:rsidR="00022F75" w:rsidRPr="007A5999">
        <w:rPr>
          <w:sz w:val="18"/>
        </w:rPr>
        <w:t>Opotřebení a velikost RD</w:t>
      </w:r>
      <w:r w:rsidRPr="007A5999">
        <w:rPr>
          <w:sz w:val="18"/>
        </w:rPr>
        <w:t xml:space="preserve"> jsou však s absolutní/jednotkov</w:t>
      </w:r>
      <w:r w:rsidR="007C3EEA" w:rsidRPr="007A5999">
        <w:rPr>
          <w:sz w:val="18"/>
        </w:rPr>
        <w:t>ou kupní/odhadní cenou</w:t>
      </w:r>
      <w:r w:rsidRPr="007A5999">
        <w:rPr>
          <w:sz w:val="18"/>
        </w:rPr>
        <w:t xml:space="preserve"> korelovány. Celkově lze říci, že pro RD s nejvyšší cenou je kupní a odhadní cena průměrně </w:t>
      </w:r>
      <w:r w:rsidR="007C3EEA" w:rsidRPr="007A5999">
        <w:rPr>
          <w:sz w:val="18"/>
        </w:rPr>
        <w:t xml:space="preserve">téměř </w:t>
      </w:r>
      <w:r w:rsidRPr="007A5999">
        <w:rPr>
          <w:sz w:val="18"/>
        </w:rPr>
        <w:t>stejná, pro klesající cenu RD je kupní cena rostoucí měrou vyšší než odhadní. Viz též publikační tabulka 1.5a, kde je tato závislost vyjádřena jako funkce opotřebení. Pro SP existuje podobná souvislost, je však statisticky méně průkazná.</w:t>
      </w:r>
    </w:p>
    <w:p w:rsidR="004B325D" w:rsidRPr="007A5999" w:rsidRDefault="004B325D">
      <w:pPr>
        <w:tabs>
          <w:tab w:val="num" w:pos="0"/>
        </w:tabs>
        <w:rPr>
          <w:sz w:val="18"/>
        </w:rPr>
      </w:pPr>
      <w:r w:rsidRPr="007A5999">
        <w:rPr>
          <w:sz w:val="18"/>
        </w:rPr>
        <w:t>Dále se zkoumalo rozložení četnosti poměru ceny kupní k ceně odhadní, a to pro RD a BY, nově i pro SP. Vrchol rozložení četnosti leží v místě, kdy cena kupní / cena odhadní = 1, či v jeho těsné blízkosti. I přes tuto podobnost, lze z tohoto hlediska mezi jednotlivým</w:t>
      </w:r>
      <w:r w:rsidR="00AF0492" w:rsidRPr="007A5999">
        <w:rPr>
          <w:sz w:val="18"/>
        </w:rPr>
        <w:t xml:space="preserve">i druhy nemovitostí narazit na </w:t>
      </w:r>
      <w:r w:rsidRPr="007A5999">
        <w:rPr>
          <w:sz w:val="18"/>
        </w:rPr>
        <w:t>jistý rozdíl.</w:t>
      </w:r>
    </w:p>
    <w:p w:rsidR="004B325D" w:rsidRPr="007A5999" w:rsidRDefault="004B325D">
      <w:pPr>
        <w:pStyle w:val="Zkladntext3"/>
        <w:tabs>
          <w:tab w:val="clear" w:pos="1440"/>
          <w:tab w:val="clear" w:pos="2880"/>
        </w:tabs>
      </w:pPr>
      <w:r w:rsidRPr="007A5999">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4B325D" w:rsidRPr="007A5999" w:rsidRDefault="004B325D">
      <w:pPr>
        <w:tabs>
          <w:tab w:val="num" w:pos="0"/>
        </w:tabs>
        <w:rPr>
          <w:sz w:val="18"/>
        </w:rPr>
      </w:pPr>
      <w:r w:rsidRPr="007A5999">
        <w:rPr>
          <w:sz w:val="18"/>
        </w:rPr>
        <w:t>Rozdělení u druhu nemo</w:t>
      </w:r>
      <w:r w:rsidR="00E947ED" w:rsidRPr="007A5999">
        <w:rPr>
          <w:sz w:val="18"/>
        </w:rPr>
        <w:t xml:space="preserve">vitostí BY má analogicky jeden </w:t>
      </w:r>
      <w:r w:rsidRPr="007A5999">
        <w:rPr>
          <w:sz w:val="18"/>
        </w:rPr>
        <w:t xml:space="preserve">ostrý vrchol pro podíl cena kupní / cena odhadní = 1, stejně úzký jako u RD. Rozložení se však vzájemně výrazně liší pro různé velikosti obce. S rostoucí </w:t>
      </w:r>
      <w:r w:rsidR="00E947ED" w:rsidRPr="007A5999">
        <w:rPr>
          <w:sz w:val="18"/>
        </w:rPr>
        <w:t>velikostí obce</w:t>
      </w:r>
      <w:r w:rsidRPr="007A5999">
        <w:rPr>
          <w:sz w:val="18"/>
        </w:rPr>
        <w:t xml:space="preserv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4B325D" w:rsidRPr="007A5999" w:rsidRDefault="004B325D">
      <w:pPr>
        <w:tabs>
          <w:tab w:val="num" w:pos="0"/>
        </w:tabs>
        <w:rPr>
          <w:sz w:val="18"/>
        </w:rPr>
      </w:pPr>
      <w:r w:rsidRPr="007A5999">
        <w:rPr>
          <w:sz w:val="18"/>
        </w:rPr>
        <w:t>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w:t>
      </w:r>
      <w:r w:rsidR="00FE192A" w:rsidRPr="007A5999">
        <w:rPr>
          <w:sz w:val="18"/>
        </w:rPr>
        <w:t xml:space="preserve">m pro obce nad 50 000 obyvatel, pro </w:t>
      </w:r>
      <w:r w:rsidRPr="007A5999">
        <w:rPr>
          <w:sz w:val="18"/>
        </w:rPr>
        <w:t xml:space="preserve">Prahu mírný pokles). </w:t>
      </w:r>
    </w:p>
    <w:p w:rsidR="004B325D" w:rsidRPr="007A5999" w:rsidRDefault="004B325D">
      <w:pPr>
        <w:pStyle w:val="Nadpis1"/>
        <w:rPr>
          <w:sz w:val="18"/>
        </w:rPr>
      </w:pPr>
      <w:r w:rsidRPr="007A5999">
        <w:rPr>
          <w:sz w:val="18"/>
        </w:rPr>
        <w:t xml:space="preserve">15.  Stanovení souboru publikačních tabulek </w:t>
      </w:r>
    </w:p>
    <w:p w:rsidR="004B325D" w:rsidRPr="007A5999" w:rsidRDefault="004B325D">
      <w:pPr>
        <w:rPr>
          <w:sz w:val="18"/>
        </w:rPr>
      </w:pPr>
      <w:r w:rsidRPr="007A5999">
        <w:rPr>
          <w:sz w:val="18"/>
        </w:rPr>
        <w:t xml:space="preserve">Výsledkem analýz bylo stanovení rozsahu publikačních tabulek. Jedním z účelů této publikace je také vymezit hranice výpovědní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w:t>
      </w:r>
      <w:r w:rsidR="00AC3D91" w:rsidRPr="007A5999">
        <w:rPr>
          <w:sz w:val="18"/>
        </w:rPr>
        <w:t xml:space="preserve">zvláštní případ, protože chybí </w:t>
      </w:r>
      <w:r w:rsidRPr="007A5999">
        <w:rPr>
          <w:sz w:val="18"/>
        </w:rPr>
        <w:t xml:space="preserve">faktor opotřebení, který je u ostatních typů obvykle nejvýraznější. Pro SP existují tedy částečně zvláštní modifikace jinak standardních typů tabulek. </w:t>
      </w:r>
    </w:p>
    <w:p w:rsidR="004B325D" w:rsidRPr="007A5999" w:rsidRDefault="004B325D">
      <w:pPr>
        <w:tabs>
          <w:tab w:val="num" w:pos="0"/>
        </w:tabs>
        <w:rPr>
          <w:sz w:val="18"/>
        </w:rPr>
      </w:pPr>
      <w:r w:rsidRPr="007A5999">
        <w:rPr>
          <w:sz w:val="18"/>
        </w:rPr>
        <w:lastRenderedPageBreak/>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4B325D" w:rsidRPr="007A5999" w:rsidRDefault="004B325D">
      <w:pPr>
        <w:tabs>
          <w:tab w:val="num" w:pos="0"/>
        </w:tabs>
        <w:rPr>
          <w:sz w:val="18"/>
        </w:rPr>
      </w:pPr>
      <w:r w:rsidRPr="007A5999">
        <w:rPr>
          <w:sz w:val="18"/>
        </w:rPr>
        <w:t>Číslování tabulek má následující logickou návaznost (první číslo, zde zastoupené „?“, označuje druh nemovitosti, k níž se tabulka vztahuje, číslo druhé již značí typ publikované tabulky):</w:t>
      </w:r>
    </w:p>
    <w:p w:rsidR="004B325D" w:rsidRPr="007A5999" w:rsidRDefault="004B325D">
      <w:pPr>
        <w:tabs>
          <w:tab w:val="num" w:pos="0"/>
        </w:tabs>
        <w:rPr>
          <w:sz w:val="18"/>
        </w:rPr>
      </w:pPr>
      <w:r w:rsidRPr="007A5999">
        <w:rPr>
          <w:sz w:val="18"/>
        </w:rPr>
        <w:t>?-1. faktory jsou region a velikost obce – základní informace – všechny typy nemovitostí</w:t>
      </w:r>
    </w:p>
    <w:p w:rsidR="004B325D" w:rsidRPr="007A5999" w:rsidRDefault="004B325D">
      <w:pPr>
        <w:tabs>
          <w:tab w:val="num" w:pos="0"/>
        </w:tabs>
        <w:rPr>
          <w:sz w:val="18"/>
        </w:rPr>
      </w:pPr>
      <w:r w:rsidRPr="007A5999">
        <w:rPr>
          <w:sz w:val="18"/>
        </w:rPr>
        <w:t xml:space="preserve">?-2. faktory jsou region a opotřebení </w:t>
      </w:r>
    </w:p>
    <w:p w:rsidR="004B325D" w:rsidRPr="007A5999" w:rsidRDefault="004B325D">
      <w:pPr>
        <w:tabs>
          <w:tab w:val="num" w:pos="0"/>
        </w:tabs>
        <w:rPr>
          <w:sz w:val="18"/>
        </w:rPr>
      </w:pPr>
      <w:r w:rsidRPr="007A5999">
        <w:rPr>
          <w:sz w:val="18"/>
        </w:rPr>
        <w:t>?-3. kombinace faktorů z tabulek 1. a 2. – maximální kombinace faktorů – lze pouze pro sdružené roky 200</w:t>
      </w:r>
      <w:r w:rsidR="00897BBA" w:rsidRPr="007A5999">
        <w:rPr>
          <w:sz w:val="18"/>
        </w:rPr>
        <w:t>7</w:t>
      </w:r>
      <w:r w:rsidRPr="007A5999">
        <w:rPr>
          <w:sz w:val="18"/>
        </w:rPr>
        <w:t xml:space="preserve"> - 200</w:t>
      </w:r>
      <w:r w:rsidR="00897BBA" w:rsidRPr="007A5999">
        <w:rPr>
          <w:sz w:val="18"/>
        </w:rPr>
        <w:t>9</w:t>
      </w:r>
    </w:p>
    <w:p w:rsidR="004B325D" w:rsidRPr="007A5999" w:rsidRDefault="004B325D">
      <w:pPr>
        <w:tabs>
          <w:tab w:val="num" w:pos="0"/>
        </w:tabs>
        <w:rPr>
          <w:sz w:val="18"/>
        </w:rPr>
      </w:pPr>
      <w:r w:rsidRPr="007A5999">
        <w:rPr>
          <w:sz w:val="18"/>
        </w:rPr>
        <w:t>?-4. jemnější regionální členění na okresy (členění Prahy na oblasti viz dodatková tabulka na konci publikace)</w:t>
      </w:r>
    </w:p>
    <w:p w:rsidR="004B325D" w:rsidRPr="007A5999" w:rsidRDefault="004B325D">
      <w:pPr>
        <w:tabs>
          <w:tab w:val="num" w:pos="0"/>
        </w:tabs>
        <w:rPr>
          <w:sz w:val="18"/>
        </w:rPr>
      </w:pPr>
      <w:r w:rsidRPr="007A5999">
        <w:rPr>
          <w:sz w:val="18"/>
        </w:rPr>
        <w:t>?-5. jemnější členění dle opotřebení</w:t>
      </w:r>
    </w:p>
    <w:p w:rsidR="004B325D" w:rsidRPr="007A5999" w:rsidRDefault="004B325D">
      <w:pPr>
        <w:rPr>
          <w:sz w:val="18"/>
        </w:rPr>
      </w:pPr>
      <w:r w:rsidRPr="007A5999">
        <w:rPr>
          <w:sz w:val="18"/>
        </w:rPr>
        <w:t>?-6. cenový index</w:t>
      </w:r>
    </w:p>
    <w:p w:rsidR="004B325D" w:rsidRPr="007A5999" w:rsidRDefault="004B325D">
      <w:pPr>
        <w:ind w:left="-360" w:firstLine="360"/>
        <w:rPr>
          <w:sz w:val="18"/>
        </w:rPr>
      </w:pPr>
      <w:r w:rsidRPr="007A5999">
        <w:rPr>
          <w:sz w:val="18"/>
        </w:rPr>
        <w:t>?-7. úhrnný cenový index</w:t>
      </w:r>
    </w:p>
    <w:p w:rsidR="004B325D" w:rsidRPr="007A5999" w:rsidRDefault="004B325D">
      <w:pPr>
        <w:pStyle w:val="Nadpis1"/>
        <w:rPr>
          <w:sz w:val="18"/>
        </w:rPr>
      </w:pPr>
      <w:r w:rsidRPr="007A5999">
        <w:rPr>
          <w:sz w:val="18"/>
        </w:rPr>
        <w:t>16.  Vypovídací schopnost tabulek, interpretace</w:t>
      </w:r>
    </w:p>
    <w:p w:rsidR="004B325D" w:rsidRPr="007A5999" w:rsidRDefault="004B325D">
      <w:pPr>
        <w:tabs>
          <w:tab w:val="num" w:pos="0"/>
        </w:tabs>
        <w:rPr>
          <w:sz w:val="18"/>
        </w:rPr>
      </w:pPr>
      <w:r w:rsidRPr="007A5999">
        <w:rPr>
          <w:sz w:val="18"/>
        </w:rPr>
        <w:t>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reprezentativitě. Jsou-li méně něž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4B325D" w:rsidRPr="007A5999" w:rsidRDefault="004B325D">
      <w:pPr>
        <w:tabs>
          <w:tab w:val="num" w:pos="0"/>
        </w:tabs>
        <w:rPr>
          <w:sz w:val="18"/>
        </w:rPr>
      </w:pPr>
      <w:r w:rsidRPr="007A5999">
        <w:rPr>
          <w:sz w:val="18"/>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4B325D" w:rsidRPr="007A5999" w:rsidRDefault="004B325D">
      <w:pPr>
        <w:pStyle w:val="Nadpis1"/>
        <w:rPr>
          <w:sz w:val="18"/>
        </w:rPr>
      </w:pPr>
      <w:r w:rsidRPr="007A5999">
        <w:rPr>
          <w:sz w:val="18"/>
        </w:rPr>
        <w:t>17. Zhodnocení použitelnosti a úplnosti dat</w:t>
      </w:r>
    </w:p>
    <w:p w:rsidR="004B325D" w:rsidRPr="007A5999" w:rsidRDefault="004B325D">
      <w:pPr>
        <w:tabs>
          <w:tab w:val="num" w:pos="0"/>
        </w:tabs>
        <w:rPr>
          <w:sz w:val="18"/>
        </w:rPr>
      </w:pPr>
      <w:r w:rsidRPr="007A5999">
        <w:rPr>
          <w:sz w:val="18"/>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p w:rsidR="004B325D" w:rsidRPr="007A5999" w:rsidRDefault="004B325D">
      <w:pPr>
        <w:pStyle w:val="Nadpis1"/>
        <w:rPr>
          <w:sz w:val="18"/>
        </w:rPr>
      </w:pPr>
      <w:r w:rsidRPr="007A5999">
        <w:rPr>
          <w:sz w:val="18"/>
        </w:rPr>
        <w:t>18. Odhady cenových indexů</w:t>
      </w:r>
    </w:p>
    <w:p w:rsidR="004B325D" w:rsidRDefault="004B325D">
      <w:r w:rsidRPr="007A5999">
        <w:rPr>
          <w:sz w:val="18"/>
        </w:rPr>
        <w:t xml:space="preserve">Výsledkem snahy o větší aktuálnost publikace jsou odhady cenových indexů bytů a rodinných domů za 1. resp. 2. pololetí roku </w:t>
      </w:r>
      <w:r w:rsidR="00897BBA" w:rsidRPr="00D04E1F">
        <w:rPr>
          <w:sz w:val="18"/>
        </w:rPr>
        <w:t>201</w:t>
      </w:r>
      <w:r w:rsidR="00AB069C" w:rsidRPr="00D04E1F">
        <w:rPr>
          <w:sz w:val="18"/>
        </w:rPr>
        <w:t>5</w:t>
      </w:r>
      <w:r w:rsidRPr="00D04E1F">
        <w:rPr>
          <w:sz w:val="18"/>
        </w:rPr>
        <w:t>, které budou pololetně zveřejňovány na webu Č</w:t>
      </w:r>
      <w:r w:rsidR="00BE7557" w:rsidRPr="00D04E1F">
        <w:rPr>
          <w:sz w:val="18"/>
        </w:rPr>
        <w:t>SÚ (předpoklad je 1</w:t>
      </w:r>
      <w:r w:rsidR="00B7196F" w:rsidRPr="00D04E1F">
        <w:rPr>
          <w:sz w:val="18"/>
        </w:rPr>
        <w:t>5</w:t>
      </w:r>
      <w:r w:rsidR="004D2C9E" w:rsidRPr="00D04E1F">
        <w:rPr>
          <w:sz w:val="18"/>
        </w:rPr>
        <w:t>. ledna 201</w:t>
      </w:r>
      <w:r w:rsidR="00AB069C" w:rsidRPr="00D04E1F">
        <w:rPr>
          <w:sz w:val="18"/>
        </w:rPr>
        <w:t>6</w:t>
      </w:r>
      <w:r w:rsidR="004D2C9E" w:rsidRPr="00D04E1F">
        <w:rPr>
          <w:sz w:val="18"/>
        </w:rPr>
        <w:t xml:space="preserve"> resp. 1</w:t>
      </w:r>
      <w:r w:rsidR="00B7196F" w:rsidRPr="00D04E1F">
        <w:rPr>
          <w:sz w:val="18"/>
        </w:rPr>
        <w:t>5</w:t>
      </w:r>
      <w:r w:rsidR="004D2C9E" w:rsidRPr="00D04E1F">
        <w:rPr>
          <w:sz w:val="18"/>
        </w:rPr>
        <w:t>. července 201</w:t>
      </w:r>
      <w:r w:rsidR="00AB069C" w:rsidRPr="00D04E1F">
        <w:rPr>
          <w:sz w:val="18"/>
        </w:rPr>
        <w:t>6</w:t>
      </w:r>
      <w:r w:rsidRPr="00D04E1F">
        <w:rPr>
          <w:sz w:val="18"/>
        </w:rPr>
        <w:t>).</w:t>
      </w:r>
    </w:p>
    <w:sectPr w:rsidR="004B325D">
      <w:headerReference w:type="even" r:id="rId9"/>
      <w:footerReference w:type="even" r:id="rId10"/>
      <w:footerReference w:type="default" r:id="rId11"/>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BE" w:rsidRDefault="007040BE">
      <w:pPr>
        <w:spacing w:after="0"/>
      </w:pPr>
      <w:r>
        <w:separator/>
      </w:r>
    </w:p>
  </w:endnote>
  <w:endnote w:type="continuationSeparator" w:id="0">
    <w:p w:rsidR="007040BE" w:rsidRDefault="007040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B325D">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B325D">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3C206B">
      <w:rPr>
        <w:rStyle w:val="slostrnky"/>
        <w:noProof/>
      </w:rPr>
      <w:t>7</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BE" w:rsidRDefault="007040BE">
      <w:pPr>
        <w:spacing w:after="0"/>
      </w:pPr>
      <w:r>
        <w:separator/>
      </w:r>
    </w:p>
  </w:footnote>
  <w:footnote w:type="continuationSeparator" w:id="0">
    <w:p w:rsidR="007040BE" w:rsidRDefault="007040BE">
      <w:pPr>
        <w:spacing w:after="0"/>
      </w:pPr>
      <w:r>
        <w:continuationSeparator/>
      </w:r>
    </w:p>
  </w:footnote>
  <w:footnote w:id="1">
    <w:p w:rsidR="004B325D" w:rsidRDefault="004B325D">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sidR="002132D9">
        <w:rPr>
          <w:sz w:val="18"/>
        </w:rPr>
        <w:t xml:space="preserve"> u RD, DO</w:t>
      </w:r>
      <w:r>
        <w:rPr>
          <w:sz w:val="18"/>
        </w:rPr>
        <w:t xml:space="preserve"> (obestavěný prostor).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B325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7C4B"/>
    <w:rsid w:val="00010A25"/>
    <w:rsid w:val="00012F7A"/>
    <w:rsid w:val="00022F75"/>
    <w:rsid w:val="0002344A"/>
    <w:rsid w:val="00032ACD"/>
    <w:rsid w:val="00073827"/>
    <w:rsid w:val="00084638"/>
    <w:rsid w:val="00086DC8"/>
    <w:rsid w:val="00097307"/>
    <w:rsid w:val="000A0F62"/>
    <w:rsid w:val="000A1097"/>
    <w:rsid w:val="000B5E85"/>
    <w:rsid w:val="000C2729"/>
    <w:rsid w:val="000C71BB"/>
    <w:rsid w:val="000F74E7"/>
    <w:rsid w:val="00100402"/>
    <w:rsid w:val="00110C5B"/>
    <w:rsid w:val="00122F1F"/>
    <w:rsid w:val="00135ED4"/>
    <w:rsid w:val="00142E1D"/>
    <w:rsid w:val="00145293"/>
    <w:rsid w:val="00146B14"/>
    <w:rsid w:val="00146CBE"/>
    <w:rsid w:val="00151418"/>
    <w:rsid w:val="00152596"/>
    <w:rsid w:val="00155576"/>
    <w:rsid w:val="001667C2"/>
    <w:rsid w:val="00191E57"/>
    <w:rsid w:val="001940C5"/>
    <w:rsid w:val="001A4838"/>
    <w:rsid w:val="001B0B26"/>
    <w:rsid w:val="001B611F"/>
    <w:rsid w:val="001D19EE"/>
    <w:rsid w:val="001E68C5"/>
    <w:rsid w:val="001F00C4"/>
    <w:rsid w:val="00206667"/>
    <w:rsid w:val="00211E92"/>
    <w:rsid w:val="002132D9"/>
    <w:rsid w:val="00234B76"/>
    <w:rsid w:val="00236327"/>
    <w:rsid w:val="00272033"/>
    <w:rsid w:val="0027613B"/>
    <w:rsid w:val="002C1366"/>
    <w:rsid w:val="002C1E3B"/>
    <w:rsid w:val="002D0D54"/>
    <w:rsid w:val="002D3D67"/>
    <w:rsid w:val="002E3092"/>
    <w:rsid w:val="002E4A05"/>
    <w:rsid w:val="002E6B61"/>
    <w:rsid w:val="002F03E4"/>
    <w:rsid w:val="002F5152"/>
    <w:rsid w:val="0030013F"/>
    <w:rsid w:val="00311EA6"/>
    <w:rsid w:val="0031374A"/>
    <w:rsid w:val="00335D9A"/>
    <w:rsid w:val="00342DC5"/>
    <w:rsid w:val="00350688"/>
    <w:rsid w:val="00357266"/>
    <w:rsid w:val="00366120"/>
    <w:rsid w:val="00374388"/>
    <w:rsid w:val="00384281"/>
    <w:rsid w:val="00387EF7"/>
    <w:rsid w:val="00395A27"/>
    <w:rsid w:val="00397F4F"/>
    <w:rsid w:val="003C206B"/>
    <w:rsid w:val="003C7FE4"/>
    <w:rsid w:val="003D31A7"/>
    <w:rsid w:val="003E4AC1"/>
    <w:rsid w:val="00411170"/>
    <w:rsid w:val="0042019E"/>
    <w:rsid w:val="004455C0"/>
    <w:rsid w:val="00454F47"/>
    <w:rsid w:val="0048600E"/>
    <w:rsid w:val="00491D73"/>
    <w:rsid w:val="004A3479"/>
    <w:rsid w:val="004B03C8"/>
    <w:rsid w:val="004B1471"/>
    <w:rsid w:val="004B325D"/>
    <w:rsid w:val="004B4D2C"/>
    <w:rsid w:val="004C013D"/>
    <w:rsid w:val="004D2C9E"/>
    <w:rsid w:val="004E66B4"/>
    <w:rsid w:val="004F480A"/>
    <w:rsid w:val="004F4C07"/>
    <w:rsid w:val="0050228B"/>
    <w:rsid w:val="00543D9A"/>
    <w:rsid w:val="00552B6E"/>
    <w:rsid w:val="005542E0"/>
    <w:rsid w:val="00555FDF"/>
    <w:rsid w:val="00556F5F"/>
    <w:rsid w:val="00563588"/>
    <w:rsid w:val="00566EF8"/>
    <w:rsid w:val="00573CC6"/>
    <w:rsid w:val="00580618"/>
    <w:rsid w:val="00581AF2"/>
    <w:rsid w:val="0059295A"/>
    <w:rsid w:val="005B044A"/>
    <w:rsid w:val="005C50B8"/>
    <w:rsid w:val="005D0C18"/>
    <w:rsid w:val="005D3FBB"/>
    <w:rsid w:val="00601ABC"/>
    <w:rsid w:val="00607137"/>
    <w:rsid w:val="00611D63"/>
    <w:rsid w:val="00612E13"/>
    <w:rsid w:val="00621A70"/>
    <w:rsid w:val="006232E7"/>
    <w:rsid w:val="00627525"/>
    <w:rsid w:val="00686452"/>
    <w:rsid w:val="006941D7"/>
    <w:rsid w:val="00695BE1"/>
    <w:rsid w:val="006A1755"/>
    <w:rsid w:val="006B11F3"/>
    <w:rsid w:val="006D5A38"/>
    <w:rsid w:val="006D6F14"/>
    <w:rsid w:val="006E7E95"/>
    <w:rsid w:val="007020B6"/>
    <w:rsid w:val="007040BE"/>
    <w:rsid w:val="007104EB"/>
    <w:rsid w:val="007147E0"/>
    <w:rsid w:val="007241DC"/>
    <w:rsid w:val="00770AAA"/>
    <w:rsid w:val="00776AF0"/>
    <w:rsid w:val="00777CE3"/>
    <w:rsid w:val="007A13B9"/>
    <w:rsid w:val="007A5999"/>
    <w:rsid w:val="007A6DDA"/>
    <w:rsid w:val="007B16DC"/>
    <w:rsid w:val="007B170C"/>
    <w:rsid w:val="007C09F3"/>
    <w:rsid w:val="007C3EEA"/>
    <w:rsid w:val="007D7CD6"/>
    <w:rsid w:val="007E2777"/>
    <w:rsid w:val="007E5287"/>
    <w:rsid w:val="008038B5"/>
    <w:rsid w:val="008242CD"/>
    <w:rsid w:val="00830FA5"/>
    <w:rsid w:val="0084774F"/>
    <w:rsid w:val="00850287"/>
    <w:rsid w:val="008566C8"/>
    <w:rsid w:val="0086025E"/>
    <w:rsid w:val="00876FDD"/>
    <w:rsid w:val="00887D7A"/>
    <w:rsid w:val="0089722A"/>
    <w:rsid w:val="00897BBA"/>
    <w:rsid w:val="008B5BC9"/>
    <w:rsid w:val="008B7D87"/>
    <w:rsid w:val="008F23FE"/>
    <w:rsid w:val="008F70F7"/>
    <w:rsid w:val="009023B8"/>
    <w:rsid w:val="0091589F"/>
    <w:rsid w:val="009330F7"/>
    <w:rsid w:val="009369AE"/>
    <w:rsid w:val="00956F9E"/>
    <w:rsid w:val="00974BC3"/>
    <w:rsid w:val="00992921"/>
    <w:rsid w:val="009A28E9"/>
    <w:rsid w:val="009A3490"/>
    <w:rsid w:val="009F1933"/>
    <w:rsid w:val="009F33E4"/>
    <w:rsid w:val="009F3C2C"/>
    <w:rsid w:val="00A002C8"/>
    <w:rsid w:val="00A15BE6"/>
    <w:rsid w:val="00A22DCE"/>
    <w:rsid w:val="00A277BD"/>
    <w:rsid w:val="00A41047"/>
    <w:rsid w:val="00A46C0B"/>
    <w:rsid w:val="00AA53FC"/>
    <w:rsid w:val="00AB069C"/>
    <w:rsid w:val="00AB5A7A"/>
    <w:rsid w:val="00AC3D91"/>
    <w:rsid w:val="00AC451B"/>
    <w:rsid w:val="00AD6AB1"/>
    <w:rsid w:val="00AD6B08"/>
    <w:rsid w:val="00AD729D"/>
    <w:rsid w:val="00AE2699"/>
    <w:rsid w:val="00AE6C81"/>
    <w:rsid w:val="00AF0492"/>
    <w:rsid w:val="00AF31EA"/>
    <w:rsid w:val="00AF579E"/>
    <w:rsid w:val="00AF603A"/>
    <w:rsid w:val="00B0002A"/>
    <w:rsid w:val="00B00995"/>
    <w:rsid w:val="00B06D71"/>
    <w:rsid w:val="00B11509"/>
    <w:rsid w:val="00B12478"/>
    <w:rsid w:val="00B21AE2"/>
    <w:rsid w:val="00B221CB"/>
    <w:rsid w:val="00B269C6"/>
    <w:rsid w:val="00B27425"/>
    <w:rsid w:val="00B33B35"/>
    <w:rsid w:val="00B46D2B"/>
    <w:rsid w:val="00B659BF"/>
    <w:rsid w:val="00B7196F"/>
    <w:rsid w:val="00BB3388"/>
    <w:rsid w:val="00BC6857"/>
    <w:rsid w:val="00BE556C"/>
    <w:rsid w:val="00BE7557"/>
    <w:rsid w:val="00BF0621"/>
    <w:rsid w:val="00BF2525"/>
    <w:rsid w:val="00BF2E9D"/>
    <w:rsid w:val="00C001EF"/>
    <w:rsid w:val="00C02757"/>
    <w:rsid w:val="00C10B5A"/>
    <w:rsid w:val="00C11D1A"/>
    <w:rsid w:val="00C13E02"/>
    <w:rsid w:val="00C269C3"/>
    <w:rsid w:val="00C270CF"/>
    <w:rsid w:val="00C436D6"/>
    <w:rsid w:val="00C55F06"/>
    <w:rsid w:val="00C602B7"/>
    <w:rsid w:val="00C61F9F"/>
    <w:rsid w:val="00C67A17"/>
    <w:rsid w:val="00C72C41"/>
    <w:rsid w:val="00C857FD"/>
    <w:rsid w:val="00C93ACF"/>
    <w:rsid w:val="00CA0C96"/>
    <w:rsid w:val="00CA3322"/>
    <w:rsid w:val="00CD47AB"/>
    <w:rsid w:val="00CF0C2A"/>
    <w:rsid w:val="00D00A27"/>
    <w:rsid w:val="00D04754"/>
    <w:rsid w:val="00D04E1F"/>
    <w:rsid w:val="00D104E5"/>
    <w:rsid w:val="00D24F5A"/>
    <w:rsid w:val="00D309D8"/>
    <w:rsid w:val="00D31379"/>
    <w:rsid w:val="00D33AB0"/>
    <w:rsid w:val="00D468AD"/>
    <w:rsid w:val="00D61C6E"/>
    <w:rsid w:val="00D6364C"/>
    <w:rsid w:val="00D64D56"/>
    <w:rsid w:val="00D679B9"/>
    <w:rsid w:val="00D77AF6"/>
    <w:rsid w:val="00DA6AF4"/>
    <w:rsid w:val="00DA7A37"/>
    <w:rsid w:val="00DC15EA"/>
    <w:rsid w:val="00DC2479"/>
    <w:rsid w:val="00DC5C37"/>
    <w:rsid w:val="00DD6469"/>
    <w:rsid w:val="00DE204C"/>
    <w:rsid w:val="00E02F81"/>
    <w:rsid w:val="00E07B52"/>
    <w:rsid w:val="00E207D0"/>
    <w:rsid w:val="00E35358"/>
    <w:rsid w:val="00E503D1"/>
    <w:rsid w:val="00E521A5"/>
    <w:rsid w:val="00E813F5"/>
    <w:rsid w:val="00E863A6"/>
    <w:rsid w:val="00E947ED"/>
    <w:rsid w:val="00EB51DB"/>
    <w:rsid w:val="00ED054A"/>
    <w:rsid w:val="00ED367C"/>
    <w:rsid w:val="00EE18DE"/>
    <w:rsid w:val="00EF76AE"/>
    <w:rsid w:val="00F077C7"/>
    <w:rsid w:val="00F1195F"/>
    <w:rsid w:val="00F12138"/>
    <w:rsid w:val="00F14218"/>
    <w:rsid w:val="00F23B90"/>
    <w:rsid w:val="00F2462B"/>
    <w:rsid w:val="00F43DAF"/>
    <w:rsid w:val="00F53202"/>
    <w:rsid w:val="00F551ED"/>
    <w:rsid w:val="00F83525"/>
    <w:rsid w:val="00F83EB1"/>
    <w:rsid w:val="00FA414C"/>
    <w:rsid w:val="00FA6885"/>
    <w:rsid w:val="00FB00E7"/>
    <w:rsid w:val="00FB2CC1"/>
    <w:rsid w:val="00FB43B1"/>
    <w:rsid w:val="00FC132B"/>
    <w:rsid w:val="00FC5C91"/>
    <w:rsid w:val="00FD4A9A"/>
    <w:rsid w:val="00FE192A"/>
    <w:rsid w:val="00FE24B5"/>
    <w:rsid w:val="00FE3D98"/>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jc w:val="both"/>
    </w:pPr>
    <w:rPr>
      <w:sz w:val="22"/>
      <w:szCs w:val="24"/>
    </w:rPr>
  </w:style>
  <w:style w:type="paragraph" w:styleId="Nadpis1">
    <w:name w:val="heading 1"/>
    <w:basedOn w:val="Normln"/>
    <w:next w:val="Normln"/>
    <w:qFormat/>
    <w:pPr>
      <w:keepNext/>
      <w:spacing w:before="300" w:after="200"/>
      <w:outlineLvl w:val="0"/>
    </w:pPr>
    <w:rPr>
      <w:rFonts w:cs="Arial"/>
      <w:b/>
      <w:bCs/>
      <w:kern w:val="32"/>
      <w:sz w:val="20"/>
      <w:szCs w:val="3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firstLine="360"/>
      <w:jc w:val="right"/>
    </w:pPr>
  </w:style>
  <w:style w:type="paragraph" w:styleId="Zkladntextodsazen2">
    <w:name w:val="Body Text Indent 2"/>
    <w:basedOn w:val="Normln"/>
    <w:semiHidden/>
    <w:pPr>
      <w:ind w:firstLine="360"/>
    </w:pPr>
  </w:style>
  <w:style w:type="paragraph" w:styleId="Zkladntextodsazen3">
    <w:name w:val="Body Text Indent 3"/>
    <w:basedOn w:val="Normln"/>
    <w:semiHidden/>
    <w:pPr>
      <w:ind w:firstLine="708"/>
    </w:pPr>
  </w:style>
  <w:style w:type="paragraph" w:styleId="Zkladntext">
    <w:name w:val="Body Text"/>
    <w:basedOn w:val="Normln"/>
    <w:semiHidden/>
    <w:pPr>
      <w:tabs>
        <w:tab w:val="num" w:pos="0"/>
      </w:tabs>
    </w:p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2">
    <w:name w:val="Body Text 2"/>
    <w:basedOn w:val="Normln"/>
    <w:semiHidden/>
  </w:style>
  <w:style w:type="paragraph" w:styleId="Zkladntext3">
    <w:name w:val="Body Text 3"/>
    <w:basedOn w:val="Normln"/>
    <w:semiHidden/>
    <w:pPr>
      <w:tabs>
        <w:tab w:val="num" w:pos="0"/>
        <w:tab w:val="left" w:pos="1440"/>
        <w:tab w:val="left" w:pos="2880"/>
      </w:tabs>
    </w:pPr>
    <w:rPr>
      <w:sz w:val="18"/>
    </w:rPr>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4201</Words>
  <Characters>24788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2</cp:revision>
  <cp:lastPrinted>2012-12-11T09:48:00Z</cp:lastPrinted>
  <dcterms:created xsi:type="dcterms:W3CDTF">2015-12-22T13:30:00Z</dcterms:created>
  <dcterms:modified xsi:type="dcterms:W3CDTF">2015-12-22T13:30:00Z</dcterms:modified>
</cp:coreProperties>
</file>