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81" w:rsidRDefault="007D4281" w:rsidP="00324C81">
      <w:pPr>
        <w:pStyle w:val="Nadpis1"/>
        <w:numPr>
          <w:ilvl w:val="0"/>
          <w:numId w:val="6"/>
        </w:numPr>
        <w:jc w:val="both"/>
      </w:pPr>
      <w:bookmarkStart w:id="0" w:name="_Toc430335386"/>
      <w:r>
        <w:t>Ceny</w:t>
      </w:r>
      <w:bookmarkEnd w:id="0"/>
    </w:p>
    <w:tbl>
      <w:tblPr>
        <w:tblW w:w="5000" w:type="pct"/>
        <w:tblLayout w:type="fixed"/>
        <w:tblLook w:val="00A0"/>
      </w:tblPr>
      <w:tblGrid>
        <w:gridCol w:w="2077"/>
        <w:gridCol w:w="282"/>
        <w:gridCol w:w="7495"/>
      </w:tblGrid>
      <w:tr w:rsidR="007C605B" w:rsidRPr="007D44C3" w:rsidTr="00D245BA">
        <w:tc>
          <w:tcPr>
            <w:tcW w:w="1054" w:type="pct"/>
          </w:tcPr>
          <w:p w:rsidR="007C605B" w:rsidRPr="00A533CE" w:rsidRDefault="007C605B" w:rsidP="00D245BA">
            <w:pPr>
              <w:spacing w:line="240" w:lineRule="auto"/>
              <w:rPr>
                <w:color w:val="4F81BD" w:themeColor="accent1"/>
                <w:sz w:val="16"/>
                <w:szCs w:val="16"/>
              </w:rPr>
            </w:pPr>
            <w:r>
              <w:rPr>
                <w:sz w:val="16"/>
                <w:szCs w:val="16"/>
              </w:rPr>
              <w:t>Meziroční r</w:t>
            </w:r>
            <w:r w:rsidRPr="002808E1">
              <w:rPr>
                <w:sz w:val="16"/>
                <w:szCs w:val="16"/>
              </w:rPr>
              <w:t>ůst celkové cenové hladiny v</w:t>
            </w:r>
            <w:r>
              <w:rPr>
                <w:sz w:val="16"/>
                <w:szCs w:val="16"/>
              </w:rPr>
              <w:t xml:space="preserve"> ekonomice s příchodem </w:t>
            </w:r>
            <w:r w:rsidRPr="002808E1">
              <w:rPr>
                <w:sz w:val="16"/>
                <w:szCs w:val="16"/>
              </w:rPr>
              <w:t>2. čtvrtletí 2015</w:t>
            </w:r>
            <w:r>
              <w:rPr>
                <w:sz w:val="16"/>
                <w:szCs w:val="16"/>
              </w:rPr>
              <w:t xml:space="preserve"> dále</w:t>
            </w:r>
            <w:r w:rsidRPr="002808E1">
              <w:rPr>
                <w:sz w:val="16"/>
                <w:szCs w:val="16"/>
              </w:rPr>
              <w:t xml:space="preserve"> zpomalil</w:t>
            </w:r>
          </w:p>
        </w:tc>
        <w:tc>
          <w:tcPr>
            <w:tcW w:w="143" w:type="pct"/>
          </w:tcPr>
          <w:p w:rsidR="007C605B" w:rsidRPr="00A533CE" w:rsidRDefault="007C605B" w:rsidP="00D245BA">
            <w:pPr>
              <w:pStyle w:val="Textpoznpodarou"/>
              <w:jc w:val="both"/>
              <w:rPr>
                <w:color w:val="4F81BD" w:themeColor="accent1"/>
              </w:rPr>
            </w:pPr>
          </w:p>
        </w:tc>
        <w:tc>
          <w:tcPr>
            <w:tcW w:w="3803" w:type="pct"/>
          </w:tcPr>
          <w:p w:rsidR="007C605B" w:rsidRPr="00A533CE" w:rsidRDefault="007C605B" w:rsidP="00D245BA">
            <w:pPr>
              <w:pStyle w:val="Textpoznpodarou"/>
              <w:jc w:val="both"/>
              <w:rPr>
                <w:color w:val="4F81BD" w:themeColor="accent1"/>
              </w:rPr>
            </w:pPr>
            <w:r w:rsidRPr="00F808FD">
              <w:rPr>
                <w:spacing w:val="-2"/>
              </w:rPr>
              <w:t>Celková cenová hladina v ekonomice se ve 2. čtvrtletí 2015 zvýšila dle implicitního deflátoru HDP</w:t>
            </w:r>
            <w:r w:rsidRPr="00F808FD">
              <w:rPr>
                <w:rStyle w:val="Znakapoznpodarou"/>
                <w:spacing w:val="-2"/>
              </w:rPr>
              <w:footnoteReference w:id="1"/>
            </w:r>
            <w:r w:rsidRPr="00F808FD">
              <w:rPr>
                <w:spacing w:val="-2"/>
              </w:rPr>
              <w:t xml:space="preserve"> meziročně o 0,7 %. Vzrostla nejen méně než v 1. čtvrtletí (+1,3 %), ale nejpomaleji od 3. kvartálu 2011</w:t>
            </w:r>
            <w:r>
              <w:rPr>
                <w:spacing w:val="-2"/>
              </w:rPr>
              <w:t xml:space="preserve"> (kdy se snížila o 0,1 %)</w:t>
            </w:r>
            <w:r w:rsidRPr="00F808FD">
              <w:rPr>
                <w:spacing w:val="-2"/>
              </w:rPr>
              <w:t>. Co se týče jednotlivých složek HDP, ceny</w:t>
            </w:r>
            <w:r w:rsidRPr="00F808FD">
              <w:t xml:space="preserve"> investic (tvorba hrubého fixního kapitálu) vzrostly meziročně o 1,6 %, ceny zboží a služeb</w:t>
            </w:r>
            <w:r>
              <w:t xml:space="preserve"> – za něž vynakládají prostředky vládní instituce –</w:t>
            </w:r>
            <w:r w:rsidRPr="00F808FD">
              <w:t xml:space="preserve"> stouply o 1,2 </w:t>
            </w:r>
            <w:r w:rsidRPr="002808E1">
              <w:t>%. Ceny produ</w:t>
            </w:r>
            <w:r>
              <w:t>ktů, jež nakupují domácnosti</w:t>
            </w:r>
            <w:r w:rsidRPr="002808E1">
              <w:t>, narostly jen mírně (+0,4</w:t>
            </w:r>
            <w:r>
              <w:t> </w:t>
            </w:r>
            <w:r w:rsidRPr="002808E1">
              <w:t xml:space="preserve">%). </w:t>
            </w:r>
            <w:r w:rsidRPr="00585564">
              <w:rPr>
                <w:spacing w:val="-2"/>
              </w:rPr>
              <w:t>Zatímco směnné relace v zahraničním obchodě se službami dosáhly stejně jako v předchozím čtvrtletí pozitivních hodnot (100,4 %) a působily ve směru růstu celkové cenové hladiny, směnné relace v zahraničním obchodě se zbožím byly poprvé za poslední dva a půl roku negativní (99,7 %) a její růst zpomalovaly.</w:t>
            </w:r>
          </w:p>
          <w:p w:rsidR="007C605B" w:rsidRPr="00A533CE" w:rsidRDefault="007C605B" w:rsidP="00D245BA">
            <w:pPr>
              <w:pStyle w:val="Textpoznpodarou"/>
              <w:jc w:val="both"/>
              <w:rPr>
                <w:color w:val="4F81BD" w:themeColor="accent1"/>
                <w:spacing w:val="-4"/>
              </w:rPr>
            </w:pPr>
          </w:p>
        </w:tc>
      </w:tr>
      <w:tr w:rsidR="007C605B" w:rsidRPr="007D44C3" w:rsidTr="00D245BA">
        <w:tc>
          <w:tcPr>
            <w:tcW w:w="1054" w:type="pct"/>
          </w:tcPr>
          <w:p w:rsidR="007C605B" w:rsidRPr="00B45AF2" w:rsidRDefault="007C605B" w:rsidP="00D245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Míra inflace, vyjádřená meziroční změnou indexu spotřebitelských cen, vzrostla z +0,1 % v 1. čtvrtletí 2015 na +0,7 % ve 2. kvartále. Inflační trend však zůstává stále nejistý</w:t>
            </w:r>
          </w:p>
        </w:tc>
        <w:tc>
          <w:tcPr>
            <w:tcW w:w="143" w:type="pct"/>
          </w:tcPr>
          <w:p w:rsidR="007C605B" w:rsidRPr="00B45AF2" w:rsidRDefault="007C605B" w:rsidP="00D245BA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7C605B" w:rsidRPr="00137FFD" w:rsidRDefault="007C605B" w:rsidP="00D245BA">
            <w:pPr>
              <w:pStyle w:val="Textpoznpodarou"/>
              <w:jc w:val="both"/>
            </w:pPr>
            <w:r w:rsidRPr="00137FFD">
              <w:t>Meziroční růst indexu spotřebitelských cen, který se na počátku letošního roku pohyboval jen velmi mírně nad nulovou hranicí, v dalších měsících zrychlil a vzdálil se „nebezpečné zóně deflace“. Jestliže v úhrnu za celé 1. čtvrtletí 2015 ceny pro spotřebitele vzrostly meziročně pouze o 0,1 %, ve 2. kvartále byly vyšší již o 0,7 %. Jak ukazují poslední dostupné údaje o vývoji indexu z prázdninových měsíců, inflační trend však zůstává nadále nejistý. Meziroční přírůstek spotřebitelských cen </w:t>
            </w:r>
            <w:r w:rsidRPr="003663B7">
              <w:t>se opět snížil – v červenci klesl na +0,5 % a v srpnu na +0,3 %. Hrozba deflace</w:t>
            </w:r>
            <w:r w:rsidRPr="00137FFD">
              <w:t>, která se nad českou ekonomikou vznášela především na počátku roku, tak ještě zažehnána nebyla.</w:t>
            </w:r>
          </w:p>
          <w:p w:rsidR="007C605B" w:rsidRPr="00137FFD" w:rsidRDefault="007C605B" w:rsidP="00D245BA">
            <w:pPr>
              <w:pStyle w:val="Textpoznpodarou"/>
              <w:jc w:val="both"/>
            </w:pPr>
          </w:p>
        </w:tc>
      </w:tr>
      <w:tr w:rsidR="007C605B" w:rsidRPr="007D44C3" w:rsidTr="00D245BA">
        <w:tc>
          <w:tcPr>
            <w:tcW w:w="1054" w:type="pct"/>
          </w:tcPr>
          <w:p w:rsidR="007C605B" w:rsidRPr="00B45AF2" w:rsidRDefault="007C605B" w:rsidP="00D245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Lze soudit, že hlavním rizikem dalšího vývoje inflace je cena ropy – v květnu letošního roku se barel ropy Brent obchodoval v průměru za 64,1 amerických dolarů</w:t>
            </w:r>
            <w:r w:rsidRPr="00E12824">
              <w:rPr>
                <w:sz w:val="16"/>
                <w:szCs w:val="16"/>
              </w:rPr>
              <w:t>, do srpna se však jeho cena snížila na 46,6</w:t>
            </w:r>
            <w:r>
              <w:rPr>
                <w:sz w:val="16"/>
                <w:szCs w:val="16"/>
              </w:rPr>
              <w:t> dolarů</w:t>
            </w:r>
          </w:p>
        </w:tc>
        <w:tc>
          <w:tcPr>
            <w:tcW w:w="143" w:type="pct"/>
          </w:tcPr>
          <w:p w:rsidR="007C605B" w:rsidRPr="00B45AF2" w:rsidRDefault="007C605B" w:rsidP="00D245BA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7C605B" w:rsidRPr="00137FFD" w:rsidRDefault="007C605B" w:rsidP="00D245BA">
            <w:pPr>
              <w:pStyle w:val="Textpoznpodarou"/>
              <w:jc w:val="both"/>
            </w:pPr>
            <w:r w:rsidRPr="00137FFD">
              <w:t xml:space="preserve">Za hlavní riziko, které se s dalším vývojem inflace v ČR pojí, lze považovat cenu ropy na světových komoditních trzích. Zatímco v květnu 2015 se barel ropy Brent obchodoval </w:t>
            </w:r>
            <w:r w:rsidRPr="00E12824">
              <w:t xml:space="preserve">v průměru za 64,1 </w:t>
            </w:r>
            <w:r>
              <w:t>amerických dolarů</w:t>
            </w:r>
            <w:r w:rsidRPr="00E12824">
              <w:t xml:space="preserve"> a v meziročním srovnání byla jeho cena nižší o 41,5 %, v srpnu jeho cena dosahovala už pouze 46,6 </w:t>
            </w:r>
            <w:r>
              <w:t>dolarů</w:t>
            </w:r>
            <w:r w:rsidRPr="00E12824">
              <w:t xml:space="preserve"> a</w:t>
            </w:r>
            <w:r>
              <w:t> </w:t>
            </w:r>
            <w:r w:rsidRPr="00E12824">
              <w:t xml:space="preserve">proti stejnému měsíci roku 2014 byla nižší o 54,2 %. Rizikem inflačního vývoje je však i prohlubující </w:t>
            </w:r>
            <w:r w:rsidR="007D42F5">
              <w:t xml:space="preserve">se </w:t>
            </w:r>
            <w:r w:rsidRPr="00E12824">
              <w:t>pokles cen živočišné výroby (který přes výrobní řetězec zasahuje ceny potravin),</w:t>
            </w:r>
            <w:r w:rsidRPr="00137FFD">
              <w:t xml:space="preserve"> ale také pokračující deflace ve zpracovatelském průmyslu</w:t>
            </w:r>
            <w:r>
              <w:t xml:space="preserve"> v </w:t>
            </w:r>
            <w:proofErr w:type="spellStart"/>
            <w:r>
              <w:t>eurozóně</w:t>
            </w:r>
            <w:proofErr w:type="spellEnd"/>
            <w:r w:rsidRPr="00137FFD">
              <w:t xml:space="preserve"> </w:t>
            </w:r>
            <w:r>
              <w:t>(</w:t>
            </w:r>
            <w:r w:rsidRPr="00137FFD">
              <w:t>která má na inflaci v České republice dopad zprostředkovaný, a to skrze ceny dovozu</w:t>
            </w:r>
            <w:r>
              <w:t>)</w:t>
            </w:r>
            <w:r w:rsidRPr="00137FFD">
              <w:t>.</w:t>
            </w:r>
          </w:p>
          <w:p w:rsidR="007C605B" w:rsidRPr="00137FFD" w:rsidRDefault="007C605B" w:rsidP="00D245BA">
            <w:pPr>
              <w:pStyle w:val="Textpoznpodarou"/>
              <w:jc w:val="both"/>
            </w:pPr>
          </w:p>
        </w:tc>
      </w:tr>
      <w:tr w:rsidR="007C605B" w:rsidRPr="007D44C3" w:rsidTr="00D245BA">
        <w:tc>
          <w:tcPr>
            <w:tcW w:w="1054" w:type="pct"/>
          </w:tcPr>
          <w:p w:rsidR="007C605B" w:rsidRPr="00B45AF2" w:rsidRDefault="007C605B" w:rsidP="00D245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Změna ve vývoji cen zeleniny a ovoce, zvýšení spotřební daně z cigaret a dočasný růst ceny ropy. To jsou tři klíčové faktory stojící za vyšším meziročním růstem cen pro spotřebitele ve 2. čtvrtletí</w:t>
            </w:r>
          </w:p>
        </w:tc>
        <w:tc>
          <w:tcPr>
            <w:tcW w:w="143" w:type="pct"/>
          </w:tcPr>
          <w:p w:rsidR="007C605B" w:rsidRPr="00B45AF2" w:rsidRDefault="007C605B" w:rsidP="00D245BA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7C605B" w:rsidRPr="00B45AF2" w:rsidRDefault="007C605B" w:rsidP="00D245BA">
            <w:pPr>
              <w:pStyle w:val="Textpoznpodarou"/>
              <w:jc w:val="both"/>
            </w:pPr>
            <w:r w:rsidRPr="00B45AF2">
              <w:t>Vyšší míra inflace ve 2. čtvrtletí 2015 v porovnání s 1. kvartálem roku byla dána třemi klíčovými faktory. Zaprvé, změnil se vývoj cen zeleniny</w:t>
            </w:r>
            <w:r>
              <w:t xml:space="preserve"> a ovoce</w:t>
            </w:r>
            <w:r w:rsidRPr="00B45AF2">
              <w:t xml:space="preserve">. Jestliže </w:t>
            </w:r>
            <w:r w:rsidRPr="00D303DC">
              <w:rPr>
                <w:spacing w:val="-2"/>
              </w:rPr>
              <w:t>v prvních třech měsících roku byla zelenina meziročně levnější v průměru o 10,5 %</w:t>
            </w:r>
            <w:r w:rsidRPr="00B45AF2">
              <w:t xml:space="preserve"> a </w:t>
            </w:r>
            <w:r>
              <w:t>ovoce</w:t>
            </w:r>
            <w:r w:rsidRPr="00B45AF2">
              <w:t xml:space="preserve"> </w:t>
            </w:r>
            <w:r>
              <w:t>o 6,4</w:t>
            </w:r>
            <w:r w:rsidRPr="00B45AF2">
              <w:t xml:space="preserve"> %, ve 2. čtvrtletí již ceny </w:t>
            </w:r>
            <w:r>
              <w:t>zeleniny</w:t>
            </w:r>
            <w:r w:rsidRPr="00B45AF2">
              <w:t xml:space="preserve"> stouply</w:t>
            </w:r>
            <w:r>
              <w:t xml:space="preserve"> (+6,0 %)</w:t>
            </w:r>
            <w:r w:rsidRPr="00B45AF2">
              <w:t xml:space="preserve"> a ceny </w:t>
            </w:r>
            <w:r>
              <w:t>ovoce taktéž (+4,2</w:t>
            </w:r>
            <w:r w:rsidRPr="00B45AF2">
              <w:t xml:space="preserve"> %). Zadruhé, </w:t>
            </w:r>
            <w:r>
              <w:t>k 1. 12. 2014</w:t>
            </w:r>
            <w:r w:rsidRPr="00B45AF2">
              <w:t xml:space="preserve"> došlo ke zvýšení spotřební daně</w:t>
            </w:r>
            <w:r>
              <w:t> </w:t>
            </w:r>
            <w:r w:rsidRPr="00B45AF2">
              <w:t>z cigaret. S tím, jak byly zásoby cigaret se staršími kolky rozprodávány (směly se prodávat jen do konce února) a nahrazovány novými, narůstala i cena</w:t>
            </w:r>
            <w:r>
              <w:t xml:space="preserve"> cigaret</w:t>
            </w:r>
            <w:r w:rsidRPr="00B45AF2">
              <w:t xml:space="preserve"> (v úhrnu </w:t>
            </w:r>
            <w:r w:rsidRPr="00C34425">
              <w:rPr>
                <w:spacing w:val="-2"/>
              </w:rPr>
              <w:t xml:space="preserve">za celé 1. čtvrtletí 2015 byla položka „tabák“ v meziročním srovnání dražší o 5,5 %, </w:t>
            </w:r>
            <w:r w:rsidRPr="00B45AF2">
              <w:t>ve 2. kvartále ale už o 8,8 %). Zatřetí, v první polovině roku došlo k</w:t>
            </w:r>
            <w:r>
              <w:t> </w:t>
            </w:r>
            <w:r w:rsidRPr="00B45AF2">
              <w:t>přechodnému obratu ve vývoji ceny ropy. Začala stoupat (cena jednoho barelu</w:t>
            </w:r>
            <w:r>
              <w:t xml:space="preserve"> ropy Brent</w:t>
            </w:r>
            <w:r w:rsidRPr="00B45AF2">
              <w:t xml:space="preserve"> narostla</w:t>
            </w:r>
            <w:r>
              <w:t xml:space="preserve"> z lednových 47,8 amerických dolarů</w:t>
            </w:r>
            <w:r w:rsidRPr="00B45AF2">
              <w:t xml:space="preserve"> na květnových 64,1 </w:t>
            </w:r>
            <w:r>
              <w:t>dolarů</w:t>
            </w:r>
            <w:r w:rsidRPr="00B45AF2">
              <w:t>) a projevila se ve</w:t>
            </w:r>
            <w:r>
              <w:t> </w:t>
            </w:r>
            <w:r w:rsidRPr="00B45AF2">
              <w:t>zmírnění meziročního poklesu cen výdajů za provoz osobních dopravních prostředků z -10,2 % na -7,1 % (výdaje za pohonné hmoty jsou v těchto výdajích zastoupeny více než sedmi desetinami).</w:t>
            </w:r>
          </w:p>
          <w:p w:rsidR="007C605B" w:rsidRPr="00B45AF2" w:rsidRDefault="007C605B" w:rsidP="00D245BA">
            <w:pPr>
              <w:pStyle w:val="Textpoznpodarou"/>
              <w:jc w:val="both"/>
            </w:pPr>
          </w:p>
        </w:tc>
      </w:tr>
      <w:tr w:rsidR="007C605B" w:rsidRPr="007D44C3" w:rsidTr="00D245BA">
        <w:tc>
          <w:tcPr>
            <w:tcW w:w="1054" w:type="pct"/>
          </w:tcPr>
          <w:p w:rsidR="007C605B" w:rsidRPr="00B45AF2" w:rsidRDefault="007C605B" w:rsidP="00D245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Příznivější dynamika spotřebitelských cen ve 2. čtvrtletí nejen v ČR, ale i v dalších dvaadvaceti zemích Unie</w:t>
            </w:r>
          </w:p>
        </w:tc>
        <w:tc>
          <w:tcPr>
            <w:tcW w:w="143" w:type="pct"/>
          </w:tcPr>
          <w:p w:rsidR="007C605B" w:rsidRPr="00B45AF2" w:rsidRDefault="007C605B" w:rsidP="00D245BA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7C605B" w:rsidRPr="00B45AF2" w:rsidRDefault="007C605B" w:rsidP="00D245BA">
            <w:pPr>
              <w:pStyle w:val="Textpoznpodarou"/>
              <w:jc w:val="both"/>
            </w:pPr>
            <w:r w:rsidRPr="00B45AF2">
              <w:t xml:space="preserve">Meziroční změna harmonizovaného indexu spotřebitelských cen v ČR stoupla z nuly v 1. čtvrtletí 2015 na +0,7 % ve 2. kvartále. V kontextu zemí Evropské unie se jednalo o </w:t>
            </w:r>
            <w:r>
              <w:t>posun významný</w:t>
            </w:r>
            <w:r w:rsidRPr="00B45AF2">
              <w:t>, nikoliv</w:t>
            </w:r>
            <w:r>
              <w:t xml:space="preserve"> však neobvyklý</w:t>
            </w:r>
            <w:r w:rsidRPr="00B45AF2">
              <w:t>. Příznivější dynamiku spotřebitelských cen ve 2. čtvrtletí 2015 v porovnání s počátkem roku vyk</w:t>
            </w:r>
            <w:r>
              <w:t>azovalo kromě ČR hned dvacet dva</w:t>
            </w:r>
            <w:r w:rsidRPr="00B45AF2">
              <w:t xml:space="preserve"> zemí, </w:t>
            </w:r>
            <w:proofErr w:type="spellStart"/>
            <w:r w:rsidRPr="00B45AF2">
              <w:t>eurozóna</w:t>
            </w:r>
            <w:proofErr w:type="spellEnd"/>
            <w:r w:rsidRPr="00B45AF2">
              <w:t xml:space="preserve"> i Evropská unie jako celek se dokonce vymanily z deflace. Zřejmě se však jednalo pouze o dočasnou záležitost, neboť stejně jako v ČR se na příznivějším vývoji cen podílel obrat ve</w:t>
            </w:r>
            <w:r>
              <w:t> </w:t>
            </w:r>
            <w:r w:rsidRPr="00B45AF2">
              <w:t>vývoji ceny ropy. A ten neměl, jak již bylo ostatně zmíněno, dlouhého trvání.</w:t>
            </w:r>
          </w:p>
          <w:p w:rsidR="007C605B" w:rsidRPr="009C4991" w:rsidRDefault="007C605B" w:rsidP="00D245BA">
            <w:pPr>
              <w:pStyle w:val="Textpoznpodarou"/>
              <w:jc w:val="both"/>
            </w:pPr>
          </w:p>
        </w:tc>
      </w:tr>
      <w:tr w:rsidR="007C605B" w:rsidRPr="007D44C3" w:rsidTr="00D245BA">
        <w:tc>
          <w:tcPr>
            <w:tcW w:w="1054" w:type="pct"/>
          </w:tcPr>
          <w:p w:rsidR="007C605B" w:rsidRDefault="007C605B" w:rsidP="00D245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nájemného z bytu stoupá jen pomalu</w:t>
            </w:r>
          </w:p>
        </w:tc>
        <w:tc>
          <w:tcPr>
            <w:tcW w:w="143" w:type="pct"/>
          </w:tcPr>
          <w:p w:rsidR="007C605B" w:rsidRPr="00B45AF2" w:rsidRDefault="007C605B" w:rsidP="00D245BA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7C605B" w:rsidRDefault="007C605B" w:rsidP="00D245BA">
            <w:pPr>
              <w:pStyle w:val="Textpoznpodarou"/>
              <w:jc w:val="both"/>
            </w:pPr>
            <w:r w:rsidRPr="00B45AF2">
              <w:t xml:space="preserve">Nízký růst spotřebitelských cen v Česku je doprovázen i poměrně slabým nárůstem cen nájemného z bytu. Je to logické, vždyť právě dynamika </w:t>
            </w:r>
            <w:r w:rsidRPr="00B45AF2">
              <w:lastRenderedPageBreak/>
              <w:t>spotřebitelských cen bývá v nájemních smlouvách často zakotvena jako referenční veličina, podle které jsou nájmy upravovány. V 1. čtvrtletí 2015 vzrostla cena nájemného z bytu meziročně o 1,0 %, ve 2. kvartále o 1,2 %.</w:t>
            </w:r>
          </w:p>
          <w:p w:rsidR="007C605B" w:rsidRPr="00A533CE" w:rsidRDefault="007C605B" w:rsidP="00D245BA">
            <w:pPr>
              <w:pStyle w:val="Textpoznpodarou"/>
              <w:jc w:val="both"/>
              <w:rPr>
                <w:sz w:val="18"/>
                <w:szCs w:val="18"/>
              </w:rPr>
            </w:pPr>
          </w:p>
        </w:tc>
      </w:tr>
      <w:tr w:rsidR="007C605B" w:rsidRPr="007D44C3" w:rsidTr="00D245BA">
        <w:tc>
          <w:tcPr>
            <w:tcW w:w="1054" w:type="pct"/>
          </w:tcPr>
          <w:p w:rsidR="007C605B" w:rsidRPr="00B45AF2" w:rsidRDefault="007C605B" w:rsidP="00D245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Meziroční pokles cen průmyslových výrobců pokračoval i ve 2. čtvrtletí 2015. Přestože v trendu deflace prohloubila, … </w:t>
            </w:r>
          </w:p>
        </w:tc>
        <w:tc>
          <w:tcPr>
            <w:tcW w:w="143" w:type="pct"/>
          </w:tcPr>
          <w:p w:rsidR="007C605B" w:rsidRPr="00B45AF2" w:rsidRDefault="007C605B" w:rsidP="00D245BA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7C605B" w:rsidRPr="00B45AF2" w:rsidRDefault="007C605B" w:rsidP="00D245BA">
            <w:pPr>
              <w:pStyle w:val="Textpoznpodarou"/>
              <w:jc w:val="both"/>
            </w:pPr>
            <w:r w:rsidRPr="00B45AF2">
              <w:t>Deflace v průmyslu trvala ve 2. čtvrtletí 2015 již rok a půl. V trendu navíc prohloubila. Zatímco v prvních třech čtvrtletích roku 2014 hloubka meziročního poklesu cen průmyslových výrobců činila vždy jen do jednoho procenta, v posledním čtvrtletí 2014 a v 1. a 2. kvartále letošního roku tuto hranici pravidelně přesahovala. Příčina je nasnadě, v cenách prů</w:t>
            </w:r>
            <w:r>
              <w:t>myslových výrobců se projevovaly nižší ceny</w:t>
            </w:r>
            <w:r w:rsidRPr="00B45AF2">
              <w:t xml:space="preserve"> ropy.</w:t>
            </w:r>
          </w:p>
          <w:p w:rsidR="007C605B" w:rsidRPr="00A533CE" w:rsidRDefault="007C605B" w:rsidP="00D245BA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7C605B" w:rsidRPr="007D44C3" w:rsidTr="00D245BA">
        <w:tc>
          <w:tcPr>
            <w:tcW w:w="1054" w:type="pct"/>
          </w:tcPr>
          <w:p w:rsidR="007C605B" w:rsidRPr="00B45AF2" w:rsidRDefault="007C605B" w:rsidP="00D245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…mezi samotným 1. a 2. čtvrtletím se zmírnila</w:t>
            </w:r>
          </w:p>
        </w:tc>
        <w:tc>
          <w:tcPr>
            <w:tcW w:w="143" w:type="pct"/>
          </w:tcPr>
          <w:p w:rsidR="007C605B" w:rsidRPr="00B45AF2" w:rsidRDefault="007C605B" w:rsidP="00D245BA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7C605B" w:rsidRPr="00B45AF2" w:rsidRDefault="007C605B" w:rsidP="00D245BA">
            <w:pPr>
              <w:pStyle w:val="Textpoznpodarou"/>
              <w:jc w:val="both"/>
            </w:pPr>
            <w:r w:rsidRPr="00B45AF2">
              <w:t>Navzdory trendovému prohloubení deflace průmyslových výrobců byla mezi 1. a 2. čtvrtletím 2015 patrná změna k lepšímu. Jestliže v</w:t>
            </w:r>
            <w:r>
              <w:t> 1. čtvrtletí letošního</w:t>
            </w:r>
            <w:r w:rsidRPr="00B45AF2">
              <w:t xml:space="preserve"> roku ceny průmyslových výrobců klesly v meziročním srovnání o 3,3 %, ve 2. kvartále se hloubka poklesu zmenšila o procentn</w:t>
            </w:r>
            <w:r>
              <w:t xml:space="preserve">í bod na -2,3 %. Šlo především o </w:t>
            </w:r>
            <w:r w:rsidRPr="00B45AF2">
              <w:t xml:space="preserve">důsledek dočasného obratu ve vývoji ceny ropy, který zmírnil deflaci v segmentu výrobců koksu a rafinovaných ropných produktů a v případě producentů chemických látek a výrobků. Nepatrně se na </w:t>
            </w:r>
            <w:r>
              <w:t>menší</w:t>
            </w:r>
            <w:r w:rsidRPr="00B45AF2">
              <w:t xml:space="preserve"> deflaci</w:t>
            </w:r>
            <w:r>
              <w:t xml:space="preserve"> průmyslových výrobců</w:t>
            </w:r>
            <w:r w:rsidRPr="00B45AF2">
              <w:t xml:space="preserve"> podílel i vývoj cen producentů nápojů</w:t>
            </w:r>
            <w:r>
              <w:t xml:space="preserve"> (ceny přešly z deflace v růst)</w:t>
            </w:r>
            <w:r w:rsidRPr="00B45AF2">
              <w:t>.</w:t>
            </w:r>
          </w:p>
          <w:p w:rsidR="007C605B" w:rsidRPr="00A533CE" w:rsidRDefault="007C605B" w:rsidP="00D245BA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7C605B" w:rsidRPr="007D44C3" w:rsidTr="00D245BA">
        <w:tc>
          <w:tcPr>
            <w:tcW w:w="1054" w:type="pct"/>
          </w:tcPr>
          <w:p w:rsidR="007C605B" w:rsidRPr="00590317" w:rsidRDefault="007C605B" w:rsidP="00D245BA">
            <w:pPr>
              <w:spacing w:line="240" w:lineRule="auto"/>
              <w:rPr>
                <w:sz w:val="16"/>
                <w:szCs w:val="16"/>
              </w:rPr>
            </w:pPr>
            <w:r w:rsidRPr="00590317">
              <w:rPr>
                <w:sz w:val="16"/>
                <w:szCs w:val="16"/>
              </w:rPr>
              <w:t xml:space="preserve">Útlum růstu cen výrobců dopravních prostředků od konce loňského roku důsledkem </w:t>
            </w:r>
            <w:r>
              <w:rPr>
                <w:sz w:val="16"/>
                <w:szCs w:val="16"/>
              </w:rPr>
              <w:t>vyprchání efektů oslabení koruny k euru</w:t>
            </w:r>
          </w:p>
        </w:tc>
        <w:tc>
          <w:tcPr>
            <w:tcW w:w="143" w:type="pct"/>
          </w:tcPr>
          <w:p w:rsidR="007C605B" w:rsidRPr="00B45AF2" w:rsidRDefault="007C605B" w:rsidP="00D245BA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7C605B" w:rsidRPr="00B45AF2" w:rsidRDefault="007C605B" w:rsidP="00D245BA">
            <w:pPr>
              <w:pStyle w:val="Textpoznpodarou"/>
              <w:jc w:val="both"/>
            </w:pPr>
            <w:r w:rsidRPr="00B45AF2">
              <w:t>Oslabení koruny k euru, ke kterému došlo v závěru roku 2013</w:t>
            </w:r>
            <w:r>
              <w:t xml:space="preserve"> (v posledním čtvrtletí 2013 ztrácela koruna k euru vlivem devizové intervence České národní banky meziročně v průměru 5,9 %)</w:t>
            </w:r>
            <w:r w:rsidRPr="00B45AF2">
              <w:t xml:space="preserve">, výrazně navýšilo dynamiku cen výrobců dopravních prostředků (tyto </w:t>
            </w:r>
            <w:r>
              <w:t>produkty</w:t>
            </w:r>
            <w:r w:rsidRPr="00B45AF2">
              <w:t xml:space="preserve"> se ve velké míře obchodují v eurech, tudíž změna kurzu koruny k euru má na ceny – jež jsou denominovány v korunách – výrazný dopad). Na konci roku 2014, kdy efekty slabší koruny vyprchaly, </w:t>
            </w:r>
            <w:r>
              <w:t>zmenšily se</w:t>
            </w:r>
            <w:r w:rsidRPr="00B45AF2">
              <w:t xml:space="preserve"> logicky i přírůstky cen </w:t>
            </w:r>
            <w:r>
              <w:t>výrobců dopravních prostředků</w:t>
            </w:r>
            <w:r w:rsidRPr="00B45AF2">
              <w:t>. Letošní dynamika cen je tak slabá. V 1. čtvrtletí ceny</w:t>
            </w:r>
            <w:r>
              <w:t xml:space="preserve"> výrobců</w:t>
            </w:r>
            <w:r w:rsidRPr="00B45AF2">
              <w:t xml:space="preserve"> dopravních prostředků stouply meziročně pouze o</w:t>
            </w:r>
            <w:r>
              <w:t> </w:t>
            </w:r>
            <w:r w:rsidRPr="00B45AF2">
              <w:t>0,7</w:t>
            </w:r>
            <w:r>
              <w:t> </w:t>
            </w:r>
            <w:r w:rsidRPr="00B45AF2">
              <w:t>%, ve 2. čtvrtletí dokonce o 0,1 % klesly.</w:t>
            </w:r>
          </w:p>
          <w:p w:rsidR="007C605B" w:rsidRPr="00A533CE" w:rsidRDefault="007C605B" w:rsidP="00D245BA">
            <w:pPr>
              <w:pStyle w:val="Textpoznpodarou"/>
              <w:jc w:val="both"/>
              <w:rPr>
                <w:sz w:val="18"/>
                <w:szCs w:val="18"/>
              </w:rPr>
            </w:pPr>
          </w:p>
        </w:tc>
      </w:tr>
      <w:tr w:rsidR="007C605B" w:rsidRPr="007D44C3" w:rsidTr="00D245BA">
        <w:tc>
          <w:tcPr>
            <w:tcW w:w="1054" w:type="pct"/>
          </w:tcPr>
          <w:p w:rsidR="007C605B" w:rsidRPr="00B45AF2" w:rsidRDefault="007C605B" w:rsidP="00D245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Nadbytek mléka na trhu stlačuje jeho ceny. Zatímco v 1. čtvrtletí byly v meziročním srovnání nižší o 10,5 %, ve 2. kvartále již o 16,6 %</w:t>
            </w:r>
          </w:p>
        </w:tc>
        <w:tc>
          <w:tcPr>
            <w:tcW w:w="143" w:type="pct"/>
          </w:tcPr>
          <w:p w:rsidR="007C605B" w:rsidRPr="00B45AF2" w:rsidRDefault="007C605B" w:rsidP="00D245BA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7C605B" w:rsidRPr="00AD7ADC" w:rsidRDefault="007C605B" w:rsidP="00D245BA">
            <w:pPr>
              <w:pStyle w:val="Textpoznpodarou"/>
              <w:jc w:val="both"/>
              <w:rPr>
                <w:spacing w:val="-2"/>
              </w:rPr>
            </w:pPr>
            <w:r w:rsidRPr="00AD7ADC">
              <w:rPr>
                <w:spacing w:val="-2"/>
              </w:rPr>
              <w:t>Ceny zemědělských výrobců stále klesají, v 1. i 2. čtvrtletí byly meziročně nižší zhruba o desetinu (-9,3 %</w:t>
            </w:r>
            <w:r w:rsidRPr="00AD7ADC">
              <w:rPr>
                <w:spacing w:val="-2"/>
                <w:lang w:val="en-US"/>
              </w:rPr>
              <w:t>;</w:t>
            </w:r>
            <w:r w:rsidRPr="00AD7ADC">
              <w:rPr>
                <w:spacing w:val="-2"/>
              </w:rPr>
              <w:t xml:space="preserve"> -10,9 %). Za nižší ceny než před rokem se vykupovala především rostlinná výroba (-11,0</w:t>
            </w:r>
            <w:r>
              <w:rPr>
                <w:spacing w:val="-2"/>
              </w:rPr>
              <w:t xml:space="preserve"> %</w:t>
            </w:r>
            <w:r w:rsidRPr="00AD7ADC">
              <w:rPr>
                <w:spacing w:val="-2"/>
                <w:lang w:val="en-US"/>
              </w:rPr>
              <w:t>;</w:t>
            </w:r>
            <w:r w:rsidRPr="00AD7ADC">
              <w:rPr>
                <w:spacing w:val="-2"/>
              </w:rPr>
              <w:t xml:space="preserve"> -11,6 %), zrychlování poklesu cen však bylo patrné hlavně u živočišné výroby (z -7,6 % na -10,3 %). Jednalo se o důsledek nadbytku mléka v Evropě, v němž se promítaly restrikce na dovoz zemědělských produktů a potravin do Ruské federace, nelze ale vyloučit, že k nadbytku mléka na trhu přispělo i zrušení mléčných kvót (vstoupilo v platnost na počátku dubna 2015).</w:t>
            </w:r>
          </w:p>
          <w:p w:rsidR="007C605B" w:rsidRPr="00A533CE" w:rsidRDefault="007C605B" w:rsidP="00D245BA">
            <w:pPr>
              <w:pStyle w:val="Textpoznpodarou"/>
              <w:jc w:val="both"/>
              <w:rPr>
                <w:sz w:val="18"/>
                <w:szCs w:val="18"/>
              </w:rPr>
            </w:pPr>
          </w:p>
        </w:tc>
      </w:tr>
      <w:tr w:rsidR="007C605B" w:rsidRPr="007D44C3" w:rsidTr="00D245BA">
        <w:tc>
          <w:tcPr>
            <w:tcW w:w="1054" w:type="pct"/>
          </w:tcPr>
          <w:p w:rsidR="007C605B" w:rsidRPr="00B45AF2" w:rsidRDefault="007C605B" w:rsidP="00D245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Růst cen stavebních prací zrychluje vlivem vysoké poptávky po stavebních činnostech ze strany veřejných zadavatelů</w:t>
            </w:r>
          </w:p>
        </w:tc>
        <w:tc>
          <w:tcPr>
            <w:tcW w:w="143" w:type="pct"/>
          </w:tcPr>
          <w:p w:rsidR="007C605B" w:rsidRPr="00B45AF2" w:rsidRDefault="007C605B" w:rsidP="00D245BA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7C605B" w:rsidRPr="00AF5109" w:rsidRDefault="007C605B" w:rsidP="00D245BA">
            <w:pPr>
              <w:pStyle w:val="Textpoznpodarou"/>
              <w:jc w:val="both"/>
            </w:pPr>
            <w:r w:rsidRPr="00AF5109">
              <w:t>Posilující poptávka po stavebních činnostech – především ze strany veřejného sektoru, jenž se snaží dočerpat finanční prostředky z fondů Evropské unie – se promítá v nedostatku kapacit stavebních firem a v tlacích na růst cen. Jestliže v úhrnu za celý loňský rok vzrostly ceny stavebních prací meziročně o 0,5 %, v 1. čtvrtletí 2015 jejich růst zrychlil na +1,0 % a ve 2. čtvrtletí dokonce na +1,3 %. Že ceny tlačí vzhůru především vyšší poptávka veřejných zadavatelů, dokládá i vývoj cen podle typu stavebních děl. Zatímco ceny budov stouply v 1. a 2. čtvrtletí 2015 o 0,9 % a 1,1 %, ceny inženýrských děl narostly o 1,1 % a 1,4 % (z inženýrských děl významně rostly především ceny tzv. kolejových drah).</w:t>
            </w:r>
          </w:p>
          <w:p w:rsidR="007C605B" w:rsidRPr="00A533CE" w:rsidRDefault="007C605B" w:rsidP="00D245BA">
            <w:pPr>
              <w:pStyle w:val="Textpoznpodarou"/>
              <w:jc w:val="both"/>
              <w:rPr>
                <w:sz w:val="18"/>
                <w:szCs w:val="18"/>
              </w:rPr>
            </w:pPr>
          </w:p>
        </w:tc>
      </w:tr>
      <w:tr w:rsidR="007C605B" w:rsidRPr="007D44C3" w:rsidTr="00D245BA">
        <w:tc>
          <w:tcPr>
            <w:tcW w:w="1054" w:type="pct"/>
          </w:tcPr>
          <w:p w:rsidR="007C605B" w:rsidRPr="00B45AF2" w:rsidRDefault="007C605B" w:rsidP="00D245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Přírůstek cen producentů tržních služeb se ve 2. čtvrtletí 2015 zmenšil na +0,2 % meziročně</w:t>
            </w:r>
          </w:p>
        </w:tc>
        <w:tc>
          <w:tcPr>
            <w:tcW w:w="143" w:type="pct"/>
          </w:tcPr>
          <w:p w:rsidR="007C605B" w:rsidRPr="00B45AF2" w:rsidRDefault="007C605B" w:rsidP="00D245BA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7C605B" w:rsidRPr="000A2CB3" w:rsidRDefault="007C605B" w:rsidP="00D245BA">
            <w:pPr>
              <w:pStyle w:val="Textpoznpodarou"/>
              <w:jc w:val="both"/>
            </w:pPr>
            <w:r w:rsidRPr="000A2CB3">
              <w:t>Dezinflace v případě producentů tržních služeb pokračuje, a to i přesto, že meziroční přírůstek cen se mezi 1. a 2. čtvrtletím zmenšil jen nepatrně (z +0,3 % na +0,2 %). Ceny pozemní a potrubní dopravy klesly ve 2. kvartále o 1,8 %, další významné segmenty si připsaly střídmý cenový růst (architektonické a inženýrské služby</w:t>
            </w:r>
            <w:r w:rsidRPr="000A2CB3">
              <w:rPr>
                <w:lang w:val="en-US"/>
              </w:rPr>
              <w:t>;</w:t>
            </w:r>
            <w:r w:rsidRPr="000A2CB3">
              <w:t xml:space="preserve"> služby v oblasti programování a poradenství; telekomunikační služby). Co se týče váhově relativně málo významných, avšak „ostře sledovaných“ služeb v oblasti zaměstnání (služeb pracovních agentur), cenový pokles v tomto segmentu prohloubil z -2,9 %</w:t>
            </w:r>
            <w:r>
              <w:t xml:space="preserve"> v 1. čtvrtletí</w:t>
            </w:r>
            <w:r w:rsidRPr="000A2CB3">
              <w:t xml:space="preserve"> na -7,3 %</w:t>
            </w:r>
            <w:r>
              <w:t xml:space="preserve"> ve 2. kvartále</w:t>
            </w:r>
            <w:r w:rsidRPr="000A2CB3">
              <w:t xml:space="preserve">. Jakkoli se nabízí, že tento cenový vývoj byl výsledkem příznivé situace českých podniků odrážející se v přesunu agenturních pracovníků do kmenového </w:t>
            </w:r>
            <w:r>
              <w:t>stavu</w:t>
            </w:r>
            <w:r w:rsidRPr="000A2CB3">
              <w:t xml:space="preserve">, údaje podnikových statistik tomu nenasvědčují. </w:t>
            </w:r>
            <w:r w:rsidRPr="003663B7">
              <w:t>Tržby pracovních agentur totiž ve 2. čtvrtletí narostly meziročně reálně zhruba o pětinu.</w:t>
            </w:r>
          </w:p>
          <w:p w:rsidR="007C605B" w:rsidRPr="00A533CE" w:rsidRDefault="007C605B" w:rsidP="00D245BA">
            <w:pPr>
              <w:pStyle w:val="Textpoznpodarou"/>
              <w:jc w:val="both"/>
              <w:rPr>
                <w:spacing w:val="-2"/>
                <w:sz w:val="18"/>
                <w:szCs w:val="18"/>
              </w:rPr>
            </w:pPr>
          </w:p>
        </w:tc>
      </w:tr>
      <w:tr w:rsidR="007C605B" w:rsidRPr="007D44C3" w:rsidTr="00D245BA">
        <w:tc>
          <w:tcPr>
            <w:tcW w:w="1054" w:type="pct"/>
          </w:tcPr>
          <w:p w:rsidR="007C605B" w:rsidRDefault="007C605B" w:rsidP="00D245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Ceny dovozu zboží, které v 1. čtvrtletí 2015 klesly </w:t>
            </w:r>
            <w:r>
              <w:rPr>
                <w:sz w:val="16"/>
                <w:szCs w:val="16"/>
              </w:rPr>
              <w:lastRenderedPageBreak/>
              <w:t>meziročně o 1,5 %, už ve 2. kvartále stagnovaly, …</w:t>
            </w:r>
          </w:p>
        </w:tc>
        <w:tc>
          <w:tcPr>
            <w:tcW w:w="143" w:type="pct"/>
          </w:tcPr>
          <w:p w:rsidR="007C605B" w:rsidRPr="00B45AF2" w:rsidRDefault="007C605B" w:rsidP="00D245BA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7C605B" w:rsidRPr="007416D5" w:rsidRDefault="007C605B" w:rsidP="00D245BA">
            <w:pPr>
              <w:pStyle w:val="Textpoznpodarou"/>
              <w:jc w:val="both"/>
            </w:pPr>
            <w:r w:rsidRPr="007416D5">
              <w:rPr>
                <w:spacing w:val="-2"/>
              </w:rPr>
              <w:t xml:space="preserve">Ceny dovozu zboží byly v 1. čtvrtletí 2015 v meziročním srovnání nižší o 1,5 %, ve 2. čtvrtletí ale již stagnovaly. </w:t>
            </w:r>
            <w:r>
              <w:rPr>
                <w:spacing w:val="-2"/>
              </w:rPr>
              <w:t>Vyšší růst cen, přechod z deflace v</w:t>
            </w:r>
            <w:r w:rsidR="005079F8">
              <w:rPr>
                <w:spacing w:val="-2"/>
              </w:rPr>
              <w:t> </w:t>
            </w:r>
            <w:r>
              <w:rPr>
                <w:spacing w:val="-2"/>
              </w:rPr>
              <w:t>růst</w:t>
            </w:r>
            <w:r w:rsidR="005079F8">
              <w:rPr>
                <w:spacing w:val="-2"/>
              </w:rPr>
              <w:t>,</w:t>
            </w:r>
            <w:r>
              <w:rPr>
                <w:spacing w:val="-2"/>
              </w:rPr>
              <w:t xml:space="preserve"> popřípadě </w:t>
            </w:r>
            <w:r>
              <w:rPr>
                <w:spacing w:val="-2"/>
              </w:rPr>
              <w:lastRenderedPageBreak/>
              <w:t xml:space="preserve">mírnější deflace </w:t>
            </w:r>
            <w:r w:rsidRPr="007416D5">
              <w:rPr>
                <w:spacing w:val="-2"/>
              </w:rPr>
              <w:t>byl</w:t>
            </w:r>
            <w:r>
              <w:rPr>
                <w:spacing w:val="-2"/>
              </w:rPr>
              <w:t>a patrná</w:t>
            </w:r>
            <w:r w:rsidRPr="007416D5">
              <w:rPr>
                <w:spacing w:val="-2"/>
              </w:rPr>
              <w:t xml:space="preserve"> ve všech třídách SITC bez výjimky, především ale </w:t>
            </w:r>
            <w:r w:rsidRPr="00450E39">
              <w:rPr>
                <w:spacing w:val="-2"/>
              </w:rPr>
              <w:t>v případě minerálních paliv. Jestliže ještě v 1. čtvrtletí byly ceny dovozu</w:t>
            </w:r>
            <w:r w:rsidRPr="007416D5">
              <w:t xml:space="preserve"> minerálních paliv meziročně nižší o rovných 25 %, ve 2. čtvrtletí</w:t>
            </w:r>
            <w:r>
              <w:t xml:space="preserve"> ceny těchto komodit</w:t>
            </w:r>
            <w:r w:rsidRPr="007416D5">
              <w:t xml:space="preserve"> proti stejnému období předchozího roku ztrácely 19,5 %. Pokud vezmeme v potaz, že kurz koruny k americkému dolaru byl v 1. čtvrtletí meziročně slabší v průměru o</w:t>
            </w:r>
            <w:r>
              <w:t> </w:t>
            </w:r>
            <w:r w:rsidRPr="007416D5">
              <w:t>22,5 % a ve 2. kvartále v průměru o 23,8 %, je patrné, že zmírnění poklesu dovozních cen minerálních paliv lze přičítat především pohybu v ceně ropy.</w:t>
            </w:r>
          </w:p>
          <w:p w:rsidR="007C605B" w:rsidRPr="00B45AF2" w:rsidRDefault="007C605B" w:rsidP="00D245BA">
            <w:pPr>
              <w:pStyle w:val="Textpoznpodarou"/>
              <w:jc w:val="both"/>
            </w:pPr>
          </w:p>
        </w:tc>
      </w:tr>
      <w:tr w:rsidR="007C605B" w:rsidRPr="007D44C3" w:rsidTr="00D245BA">
        <w:tc>
          <w:tcPr>
            <w:tcW w:w="1054" w:type="pct"/>
          </w:tcPr>
          <w:p w:rsidR="007C605B" w:rsidRDefault="007C605B" w:rsidP="00D245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…deflace na straně vývozu však přetrvala…</w:t>
            </w:r>
          </w:p>
        </w:tc>
        <w:tc>
          <w:tcPr>
            <w:tcW w:w="143" w:type="pct"/>
          </w:tcPr>
          <w:p w:rsidR="007C605B" w:rsidRPr="00B45AF2" w:rsidRDefault="007C605B" w:rsidP="00D245BA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7C605B" w:rsidRDefault="007C605B" w:rsidP="00D245BA">
            <w:pPr>
              <w:pStyle w:val="Textpoznpodarou"/>
              <w:jc w:val="both"/>
            </w:pPr>
            <w:r>
              <w:t>Pokles cen</w:t>
            </w:r>
            <w:r w:rsidRPr="00A7723A">
              <w:t xml:space="preserve"> na str</w:t>
            </w:r>
            <w:r>
              <w:t>aně vývozu zboží přetrval a také jeho</w:t>
            </w:r>
            <w:r w:rsidRPr="00A7723A">
              <w:t xml:space="preserve"> hloubka </w:t>
            </w:r>
            <w:r>
              <w:t>zůstala stejná. V</w:t>
            </w:r>
            <w:r w:rsidRPr="00A7723A">
              <w:t xml:space="preserve"> 1. i 2. čtvrtletí byly ceny </w:t>
            </w:r>
            <w:r>
              <w:t>meziročně</w:t>
            </w:r>
            <w:r w:rsidRPr="00A7723A">
              <w:t xml:space="preserve"> nižší o půl procenta. </w:t>
            </w:r>
            <w:r>
              <w:t>Za ceny pod úrovní loňského roku</w:t>
            </w:r>
            <w:r w:rsidRPr="00A7723A">
              <w:t xml:space="preserve"> se ve 2. čtvrtletí 2015 </w:t>
            </w:r>
            <w:r>
              <w:t>do zahranič</w:t>
            </w:r>
            <w:r w:rsidRPr="00A7723A">
              <w:t xml:space="preserve">í vyvážely polotovary (-0,6 %) a chemikálie (-1,5 %), z objemově méně významných </w:t>
            </w:r>
            <w:r>
              <w:t>komodit</w:t>
            </w:r>
            <w:r w:rsidRPr="00A7723A">
              <w:t xml:space="preserve"> pak</w:t>
            </w:r>
            <w:r>
              <w:t xml:space="preserve"> ale i</w:t>
            </w:r>
            <w:r w:rsidRPr="00A7723A">
              <w:t xml:space="preserve"> například minerální paliva, potraviny a živá zvířata</w:t>
            </w:r>
            <w:r>
              <w:t xml:space="preserve"> či ostatní suroviny</w:t>
            </w:r>
            <w:r w:rsidRPr="00A7723A">
              <w:t>. Ceny nejvýznamnější</w:t>
            </w:r>
            <w:r>
              <w:t>ho</w:t>
            </w:r>
            <w:r w:rsidRPr="00A7723A">
              <w:t xml:space="preserve"> </w:t>
            </w:r>
            <w:r>
              <w:t>zboží</w:t>
            </w:r>
            <w:r w:rsidRPr="00A7723A">
              <w:t xml:space="preserve"> na straně vývozu, tedy strojů a dopravních prostředků (tvoří dlouhodobě více než polovinu celkového vývozu zboží z ČR), vzrostly</w:t>
            </w:r>
            <w:r>
              <w:t xml:space="preserve"> jen mírně (+</w:t>
            </w:r>
            <w:r w:rsidRPr="00A7723A">
              <w:t>0,6 %</w:t>
            </w:r>
            <w:r>
              <w:t>).</w:t>
            </w:r>
          </w:p>
          <w:p w:rsidR="007C605B" w:rsidRPr="00F6249A" w:rsidRDefault="007C605B" w:rsidP="00D245BA">
            <w:pPr>
              <w:pStyle w:val="Textpoznpodarou"/>
              <w:jc w:val="both"/>
            </w:pPr>
          </w:p>
        </w:tc>
      </w:tr>
      <w:tr w:rsidR="007C605B" w:rsidRPr="007D44C3" w:rsidTr="00D245BA">
        <w:tc>
          <w:tcPr>
            <w:tcW w:w="1054" w:type="pct"/>
          </w:tcPr>
          <w:p w:rsidR="007C605B" w:rsidRDefault="007C605B" w:rsidP="00D245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 a směnné relace byly negativní poprvé po devíti čtvrtletích</w:t>
            </w:r>
          </w:p>
        </w:tc>
        <w:tc>
          <w:tcPr>
            <w:tcW w:w="143" w:type="pct"/>
          </w:tcPr>
          <w:p w:rsidR="007C605B" w:rsidRPr="00B45AF2" w:rsidRDefault="007C605B" w:rsidP="00D245BA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7C605B" w:rsidRDefault="007C605B" w:rsidP="00D245BA">
            <w:pPr>
              <w:pStyle w:val="Textpoznpodarou"/>
              <w:jc w:val="both"/>
            </w:pPr>
            <w:r>
              <w:t>Pokles cen vývozu zboží ve spojení se stagnací cen dovozu, k němuž ve 2. čtvrtletí došlo, vyústil v záporné směnné relace (99,5 %). Do negativních hodnot se dostaly poprvé za poslední dva půl roku.</w:t>
            </w:r>
          </w:p>
        </w:tc>
      </w:tr>
    </w:tbl>
    <w:p w:rsidR="007C605B" w:rsidRDefault="007C605B" w:rsidP="007C605B">
      <w:pPr>
        <w:rPr>
          <w:sz w:val="16"/>
          <w:szCs w:val="16"/>
        </w:rPr>
      </w:pPr>
    </w:p>
    <w:tbl>
      <w:tblPr>
        <w:tblW w:w="5000" w:type="pct"/>
        <w:tblLook w:val="04A0"/>
      </w:tblPr>
      <w:tblGrid>
        <w:gridCol w:w="1105"/>
        <w:gridCol w:w="3822"/>
        <w:gridCol w:w="1135"/>
        <w:gridCol w:w="3792"/>
      </w:tblGrid>
      <w:tr w:rsidR="007C605B" w:rsidRPr="0021355B" w:rsidTr="00D245BA">
        <w:tc>
          <w:tcPr>
            <w:tcW w:w="560" w:type="pct"/>
          </w:tcPr>
          <w:p w:rsidR="007C605B" w:rsidRPr="0021355B" w:rsidRDefault="007C605B" w:rsidP="00D245BA">
            <w:pPr>
              <w:pStyle w:val="Textpoznpodarou"/>
              <w:rPr>
                <w:color w:val="000000" w:themeColor="text1"/>
              </w:rPr>
            </w:pPr>
            <w:r w:rsidRPr="0021355B">
              <w:rPr>
                <w:color w:val="000000" w:themeColor="text1"/>
              </w:rPr>
              <w:t>Graf č.</w:t>
            </w:r>
            <w:r>
              <w:rPr>
                <w:color w:val="000000" w:themeColor="text1"/>
              </w:rPr>
              <w:t> </w:t>
            </w:r>
            <w:r w:rsidRPr="0021355B">
              <w:rPr>
                <w:color w:val="000000" w:themeColor="text1"/>
              </w:rPr>
              <w:t>11</w:t>
            </w:r>
          </w:p>
        </w:tc>
        <w:tc>
          <w:tcPr>
            <w:tcW w:w="1940" w:type="pct"/>
          </w:tcPr>
          <w:p w:rsidR="007C605B" w:rsidRPr="00300AA8" w:rsidRDefault="007C605B" w:rsidP="00D245BA">
            <w:pPr>
              <w:pStyle w:val="Textpoznpodarou"/>
            </w:pPr>
            <w:r w:rsidRPr="00300AA8">
              <w:rPr>
                <w:b/>
              </w:rPr>
              <w:t>Spotřebitelské ceny jednotlivých typů domácností</w:t>
            </w:r>
            <w:r w:rsidRPr="00300AA8">
              <w:t xml:space="preserve"> (y/y v %)</w:t>
            </w:r>
          </w:p>
        </w:tc>
        <w:tc>
          <w:tcPr>
            <w:tcW w:w="576" w:type="pct"/>
          </w:tcPr>
          <w:p w:rsidR="007C605B" w:rsidRPr="0021355B" w:rsidRDefault="007C605B" w:rsidP="00D245BA">
            <w:pPr>
              <w:pStyle w:val="Textpoznpodarou"/>
              <w:rPr>
                <w:color w:val="000000" w:themeColor="text1"/>
              </w:rPr>
            </w:pPr>
            <w:r w:rsidRPr="0021355B">
              <w:rPr>
                <w:color w:val="000000" w:themeColor="text1"/>
              </w:rPr>
              <w:t>Graf č.</w:t>
            </w:r>
            <w:r>
              <w:rPr>
                <w:color w:val="000000" w:themeColor="text1"/>
              </w:rPr>
              <w:t> </w:t>
            </w:r>
            <w:r w:rsidRPr="0021355B">
              <w:rPr>
                <w:color w:val="000000" w:themeColor="text1"/>
              </w:rPr>
              <w:t>12</w:t>
            </w:r>
          </w:p>
        </w:tc>
        <w:tc>
          <w:tcPr>
            <w:tcW w:w="1924" w:type="pct"/>
          </w:tcPr>
          <w:p w:rsidR="007C605B" w:rsidRPr="0021355B" w:rsidRDefault="007C605B" w:rsidP="00D245BA">
            <w:pPr>
              <w:pStyle w:val="Textpoznpodarou"/>
              <w:rPr>
                <w:color w:val="000000" w:themeColor="text1"/>
              </w:rPr>
            </w:pPr>
            <w:r w:rsidRPr="00300AA8">
              <w:rPr>
                <w:b/>
              </w:rPr>
              <w:t>Ceny ve vybraných oddílech indexu spotřebitelských cen</w:t>
            </w:r>
            <w:r w:rsidRPr="0021355B">
              <w:rPr>
                <w:color w:val="000000" w:themeColor="text1"/>
              </w:rPr>
              <w:t xml:space="preserve"> (y/y v %)</w:t>
            </w:r>
          </w:p>
        </w:tc>
      </w:tr>
      <w:tr w:rsidR="007C605B" w:rsidRPr="0021355B" w:rsidTr="00D245BA">
        <w:tc>
          <w:tcPr>
            <w:tcW w:w="2499" w:type="pct"/>
            <w:gridSpan w:val="2"/>
          </w:tcPr>
          <w:p w:rsidR="007C605B" w:rsidRPr="0021355B" w:rsidRDefault="00324C81" w:rsidP="00D245BA">
            <w:pPr>
              <w:pStyle w:val="Textpoznpodarou"/>
              <w:jc w:val="both"/>
              <w:rPr>
                <w:color w:val="000000" w:themeColor="text1"/>
              </w:rPr>
            </w:pPr>
            <w:r w:rsidRPr="00140192">
              <w:rPr>
                <w:noProof/>
                <w:color w:val="000000" w:themeColor="text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237pt;height:186.75pt;visibility:visible;mso-wrap-style:square">
                  <v:imagedata r:id="rId8" o:title=""/>
                </v:shape>
              </w:pict>
            </w:r>
          </w:p>
        </w:tc>
        <w:tc>
          <w:tcPr>
            <w:tcW w:w="2501" w:type="pct"/>
            <w:gridSpan w:val="2"/>
          </w:tcPr>
          <w:p w:rsidR="007C605B" w:rsidRPr="0021355B" w:rsidRDefault="00324C81" w:rsidP="00D245BA">
            <w:pPr>
              <w:pStyle w:val="Textpoznpodarou"/>
              <w:jc w:val="both"/>
              <w:rPr>
                <w:color w:val="000000" w:themeColor="text1"/>
              </w:rPr>
            </w:pPr>
            <w:r w:rsidRPr="00140192">
              <w:rPr>
                <w:noProof/>
                <w:color w:val="000000" w:themeColor="text1"/>
              </w:rPr>
              <w:pict>
                <v:shape id="_x0000_i1036" type="#_x0000_t75" style="width:237pt;height:186.75pt;visibility:visible;mso-wrap-style:square">
                  <v:imagedata r:id="rId9" o:title=""/>
                </v:shape>
              </w:pict>
            </w:r>
          </w:p>
        </w:tc>
      </w:tr>
      <w:tr w:rsidR="007C605B" w:rsidRPr="0021355B" w:rsidTr="00D245BA">
        <w:tc>
          <w:tcPr>
            <w:tcW w:w="5000" w:type="pct"/>
            <w:gridSpan w:val="4"/>
          </w:tcPr>
          <w:p w:rsidR="007C605B" w:rsidRPr="0021355B" w:rsidRDefault="007C605B" w:rsidP="00D245BA">
            <w:pPr>
              <w:pStyle w:val="Textpoznpodarou"/>
              <w:jc w:val="right"/>
              <w:rPr>
                <w:noProof/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Zdroj</w:t>
            </w:r>
            <w:r w:rsidRPr="0021355B">
              <w:rPr>
                <w:color w:val="000000" w:themeColor="text1"/>
                <w:sz w:val="18"/>
                <w:szCs w:val="18"/>
              </w:rPr>
              <w:t>: ČSÚ</w:t>
            </w:r>
          </w:p>
        </w:tc>
      </w:tr>
    </w:tbl>
    <w:p w:rsidR="007C605B" w:rsidRPr="00ED2CA5" w:rsidRDefault="007C605B" w:rsidP="007C605B">
      <w:pPr>
        <w:rPr>
          <w:sz w:val="16"/>
          <w:szCs w:val="16"/>
        </w:rPr>
      </w:pPr>
    </w:p>
    <w:tbl>
      <w:tblPr>
        <w:tblW w:w="5000" w:type="pct"/>
        <w:tblLook w:val="04A0"/>
      </w:tblPr>
      <w:tblGrid>
        <w:gridCol w:w="1105"/>
        <w:gridCol w:w="3822"/>
        <w:gridCol w:w="710"/>
        <w:gridCol w:w="4217"/>
      </w:tblGrid>
      <w:tr w:rsidR="007C605B" w:rsidRPr="0021355B" w:rsidTr="007C605B">
        <w:tc>
          <w:tcPr>
            <w:tcW w:w="560" w:type="pct"/>
          </w:tcPr>
          <w:p w:rsidR="007C605B" w:rsidRPr="003A660D" w:rsidRDefault="007C605B" w:rsidP="00D245BA">
            <w:pPr>
              <w:pStyle w:val="Textpoznpodarou"/>
              <w:rPr>
                <w:lang w:eastAsia="en-US"/>
              </w:rPr>
            </w:pPr>
            <w:r w:rsidRPr="003A660D">
              <w:rPr>
                <w:lang w:eastAsia="en-US"/>
              </w:rPr>
              <w:t>Graf č. 13</w:t>
            </w:r>
          </w:p>
        </w:tc>
        <w:tc>
          <w:tcPr>
            <w:tcW w:w="1940" w:type="pct"/>
          </w:tcPr>
          <w:p w:rsidR="007C605B" w:rsidRPr="007C605B" w:rsidRDefault="007C605B" w:rsidP="00D245BA">
            <w:pPr>
              <w:pStyle w:val="Textpoznpodarou"/>
              <w:rPr>
                <w:color w:val="FF0000"/>
                <w:lang w:eastAsia="en-US"/>
              </w:rPr>
            </w:pPr>
            <w:r w:rsidRPr="007C605B">
              <w:rPr>
                <w:b/>
                <w:lang w:eastAsia="en-US"/>
              </w:rPr>
              <w:t>Deflátory</w:t>
            </w:r>
            <w:r w:rsidRPr="003A660D">
              <w:rPr>
                <w:lang w:eastAsia="en-US"/>
              </w:rPr>
              <w:t xml:space="preserve"> (očištěno </w:t>
            </w:r>
            <w:r>
              <w:rPr>
                <w:lang w:eastAsia="en-US"/>
              </w:rPr>
              <w:t>o sezónní a kalendářní vlivy</w:t>
            </w:r>
            <w:r w:rsidRPr="003A660D">
              <w:rPr>
                <w:lang w:eastAsia="en-US"/>
              </w:rPr>
              <w:t>, y/y v %)</w:t>
            </w:r>
          </w:p>
        </w:tc>
        <w:tc>
          <w:tcPr>
            <w:tcW w:w="360" w:type="pct"/>
          </w:tcPr>
          <w:p w:rsidR="007C605B" w:rsidRPr="007C605B" w:rsidRDefault="007C605B" w:rsidP="00D245BA">
            <w:pPr>
              <w:pStyle w:val="Textpoznpodarou"/>
              <w:rPr>
                <w:color w:val="000000" w:themeColor="text1"/>
                <w:lang w:eastAsia="en-US"/>
              </w:rPr>
            </w:pPr>
            <w:r w:rsidRPr="007C605B">
              <w:rPr>
                <w:color w:val="000000" w:themeColor="text1"/>
                <w:lang w:eastAsia="en-US"/>
              </w:rPr>
              <w:t>Graf č. 14</w:t>
            </w:r>
          </w:p>
        </w:tc>
        <w:tc>
          <w:tcPr>
            <w:tcW w:w="2140" w:type="pct"/>
          </w:tcPr>
          <w:p w:rsidR="007C605B" w:rsidRPr="007C605B" w:rsidRDefault="007C605B" w:rsidP="00D245BA">
            <w:pPr>
              <w:pStyle w:val="Textpoznpodarou"/>
              <w:rPr>
                <w:color w:val="000000" w:themeColor="text1"/>
                <w:lang w:eastAsia="en-US"/>
              </w:rPr>
            </w:pPr>
            <w:r w:rsidRPr="007C605B">
              <w:rPr>
                <w:b/>
                <w:lang w:eastAsia="en-US"/>
              </w:rPr>
              <w:t>Ceny výrobců</w:t>
            </w:r>
            <w:r w:rsidRPr="00B5045C">
              <w:rPr>
                <w:lang w:eastAsia="en-US"/>
              </w:rPr>
              <w:t xml:space="preserve"> (y</w:t>
            </w:r>
            <w:r w:rsidRPr="007C605B">
              <w:rPr>
                <w:color w:val="000000" w:themeColor="text1"/>
                <w:lang w:eastAsia="en-US"/>
              </w:rPr>
              <w:t>/y v %, ceny v zemědělství na pravé ose, ostatní na levé ose)</w:t>
            </w:r>
          </w:p>
        </w:tc>
      </w:tr>
      <w:tr w:rsidR="007C605B" w:rsidRPr="0021355B" w:rsidTr="007C605B">
        <w:tc>
          <w:tcPr>
            <w:tcW w:w="2500" w:type="pct"/>
            <w:gridSpan w:val="2"/>
          </w:tcPr>
          <w:p w:rsidR="007C605B" w:rsidRPr="007C605B" w:rsidRDefault="00324C81" w:rsidP="007C605B">
            <w:pPr>
              <w:pStyle w:val="Textpoznpodarou"/>
              <w:jc w:val="both"/>
              <w:rPr>
                <w:color w:val="000000" w:themeColor="text1"/>
                <w:lang w:eastAsia="en-US"/>
              </w:rPr>
            </w:pPr>
            <w:r w:rsidRPr="00140192">
              <w:rPr>
                <w:noProof/>
                <w:color w:val="000000" w:themeColor="text1"/>
              </w:rPr>
              <w:pict>
                <v:shape id="_x0000_i1037" type="#_x0000_t75" style="width:237pt;height:186.75pt;visibility:visible;mso-wrap-style:square">
                  <v:imagedata r:id="rId10" o:title=""/>
                </v:shape>
              </w:pict>
            </w:r>
          </w:p>
        </w:tc>
        <w:tc>
          <w:tcPr>
            <w:tcW w:w="2500" w:type="pct"/>
            <w:gridSpan w:val="2"/>
          </w:tcPr>
          <w:p w:rsidR="007C605B" w:rsidRPr="007C605B" w:rsidRDefault="00324C81" w:rsidP="007C605B">
            <w:pPr>
              <w:pStyle w:val="Textpoznpodarou"/>
              <w:jc w:val="both"/>
              <w:rPr>
                <w:color w:val="000000" w:themeColor="text1"/>
                <w:lang w:eastAsia="en-US"/>
              </w:rPr>
            </w:pPr>
            <w:r w:rsidRPr="00140192">
              <w:rPr>
                <w:noProof/>
                <w:color w:val="000000" w:themeColor="text1"/>
              </w:rPr>
              <w:pict>
                <v:shape id="obrázek 4" o:spid="_x0000_i1038" type="#_x0000_t75" style="width:237pt;height:186pt;visibility:visible;mso-wrap-style:square">
                  <v:imagedata r:id="rId11" o:title=""/>
                </v:shape>
              </w:pict>
            </w:r>
          </w:p>
        </w:tc>
      </w:tr>
      <w:tr w:rsidR="007C605B" w:rsidRPr="0021355B" w:rsidTr="007C605B">
        <w:tc>
          <w:tcPr>
            <w:tcW w:w="5000" w:type="pct"/>
            <w:gridSpan w:val="4"/>
          </w:tcPr>
          <w:p w:rsidR="007C605B" w:rsidRPr="007C605B" w:rsidRDefault="007C605B" w:rsidP="007C605B">
            <w:pPr>
              <w:pStyle w:val="Textpoznpodarou"/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7C605B">
              <w:rPr>
                <w:color w:val="000000" w:themeColor="text1"/>
                <w:sz w:val="18"/>
                <w:szCs w:val="18"/>
                <w:lang w:eastAsia="en-US"/>
              </w:rPr>
              <w:t>Zdroj: ČSÚ</w:t>
            </w:r>
          </w:p>
        </w:tc>
      </w:tr>
    </w:tbl>
    <w:p w:rsidR="007C605B" w:rsidRDefault="007C605B" w:rsidP="007C605B"/>
    <w:sectPr w:rsidR="007C605B" w:rsidSect="00324C81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6" w:h="16838" w:code="9"/>
      <w:pgMar w:top="1134" w:right="1134" w:bottom="1418" w:left="1134" w:header="680" w:footer="680" w:gutter="0"/>
      <w:pgNumType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D43" w:rsidRDefault="00707D43" w:rsidP="00E71A58">
      <w:r>
        <w:separator/>
      </w:r>
    </w:p>
  </w:endnote>
  <w:endnote w:type="continuationSeparator" w:id="0">
    <w:p w:rsidR="00707D43" w:rsidRDefault="00707D43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D43" w:rsidRDefault="00140192" w:rsidP="0035744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margin-left:445.7pt;margin-top:-4.1pt;width:36.75pt;height:17.25pt;z-index:251657728;visibility:visible">
          <v:imagedata r:id="rId1" o:title=""/>
        </v:shape>
      </w:pict>
    </w:r>
    <w:r w:rsidRPr="005A21E0">
      <w:rPr>
        <w:rFonts w:ascii="Arial" w:hAnsi="Arial" w:cs="Arial"/>
        <w:sz w:val="16"/>
        <w:szCs w:val="16"/>
      </w:rPr>
      <w:fldChar w:fldCharType="begin"/>
    </w:r>
    <w:r w:rsidR="00707D43"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324C81">
      <w:rPr>
        <w:rFonts w:ascii="Arial" w:hAnsi="Arial" w:cs="Arial"/>
        <w:noProof/>
        <w:sz w:val="16"/>
        <w:szCs w:val="16"/>
      </w:rPr>
      <w:t>16</w:t>
    </w:r>
    <w:r w:rsidRPr="005A21E0">
      <w:rPr>
        <w:rFonts w:ascii="Arial" w:hAnsi="Arial" w:cs="Arial"/>
        <w:sz w:val="16"/>
        <w:szCs w:val="16"/>
      </w:rPr>
      <w:fldChar w:fldCharType="end"/>
    </w:r>
    <w:r w:rsidR="00707D43">
      <w:rPr>
        <w:rFonts w:ascii="Arial" w:hAnsi="Arial" w:cs="Arial"/>
        <w:sz w:val="16"/>
        <w:szCs w:val="16"/>
      </w:rPr>
      <w:tab/>
      <w:t>2015</w:t>
    </w:r>
    <w:r w:rsidR="00707D43">
      <w:tab/>
    </w:r>
    <w:r w:rsidR="00707D43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D43" w:rsidRDefault="00140192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Description: 3" style="position:absolute;margin-left:.3pt;margin-top:7.1pt;width:39pt;height:21pt;z-index:251658752;visibility:visible">
          <v:imagedata r:id="rId1" o:title=""/>
        </v:shape>
      </w:pict>
    </w:r>
    <w:r w:rsidR="00707D43">
      <w:tab/>
    </w:r>
    <w:r w:rsidR="00707D43">
      <w:tab/>
    </w:r>
    <w:r w:rsidR="00707D43" w:rsidRPr="00DC5B3B">
      <w:t xml:space="preserve">                              </w:t>
    </w:r>
  </w:p>
  <w:p w:rsidR="00707D43" w:rsidRPr="00223E00" w:rsidRDefault="00707D43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2015</w:t>
    </w:r>
    <w:r>
      <w:rPr>
        <w:rFonts w:ascii="Arial" w:hAnsi="Arial" w:cs="Arial"/>
        <w:sz w:val="16"/>
        <w:szCs w:val="16"/>
      </w:rPr>
      <w:tab/>
    </w:r>
    <w:r w:rsidR="00140192"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="00140192" w:rsidRPr="00223E00">
      <w:rPr>
        <w:rFonts w:ascii="Arial" w:hAnsi="Arial" w:cs="Arial"/>
        <w:sz w:val="16"/>
        <w:szCs w:val="16"/>
      </w:rPr>
      <w:fldChar w:fldCharType="separate"/>
    </w:r>
    <w:r w:rsidR="00324C81">
      <w:rPr>
        <w:rFonts w:ascii="Arial" w:hAnsi="Arial" w:cs="Arial"/>
        <w:noProof/>
        <w:sz w:val="16"/>
        <w:szCs w:val="16"/>
      </w:rPr>
      <w:t>15</w:t>
    </w:r>
    <w:r w:rsidR="00140192"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D43" w:rsidRDefault="00707D43" w:rsidP="00E71A58">
      <w:r>
        <w:separator/>
      </w:r>
    </w:p>
  </w:footnote>
  <w:footnote w:type="continuationSeparator" w:id="0">
    <w:p w:rsidR="00707D43" w:rsidRDefault="00707D43" w:rsidP="00E71A58">
      <w:r>
        <w:continuationSeparator/>
      </w:r>
    </w:p>
  </w:footnote>
  <w:footnote w:id="1">
    <w:p w:rsidR="00707D43" w:rsidRPr="00E305E2" w:rsidRDefault="00707D43" w:rsidP="007C605B">
      <w:pPr>
        <w:pStyle w:val="Textpoznpodarou"/>
        <w:rPr>
          <w:sz w:val="16"/>
          <w:szCs w:val="16"/>
        </w:rPr>
      </w:pPr>
      <w:r w:rsidRPr="00E305E2">
        <w:rPr>
          <w:rStyle w:val="Znakapoznpodarou"/>
          <w:sz w:val="16"/>
          <w:szCs w:val="16"/>
        </w:rPr>
        <w:footnoteRef/>
      </w:r>
      <w:r w:rsidRPr="00E305E2">
        <w:rPr>
          <w:sz w:val="16"/>
          <w:szCs w:val="16"/>
        </w:rPr>
        <w:t xml:space="preserve"> Očištěno</w:t>
      </w:r>
      <w:r>
        <w:rPr>
          <w:sz w:val="16"/>
          <w:szCs w:val="16"/>
        </w:rPr>
        <w:t xml:space="preserve"> o sezónní</w:t>
      </w:r>
      <w:r w:rsidRPr="00E305E2">
        <w:rPr>
          <w:sz w:val="16"/>
          <w:szCs w:val="16"/>
        </w:rPr>
        <w:t xml:space="preserve"> a </w:t>
      </w:r>
      <w:r>
        <w:rPr>
          <w:sz w:val="16"/>
          <w:szCs w:val="16"/>
        </w:rPr>
        <w:t>kalendářní vlivy.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D43" w:rsidRPr="00D766EF" w:rsidRDefault="00707D43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szCs w:val="16"/>
      </w:rPr>
    </w:pPr>
    <w:r>
      <w:rPr>
        <w:rFonts w:ascii="Arial" w:hAnsi="Arial" w:cs="Arial"/>
        <w:sz w:val="16"/>
        <w:szCs w:val="16"/>
      </w:rPr>
      <w:t>Vývoj ekonomiky České republiky v 1. pololetí 2015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D43" w:rsidRPr="00D766EF" w:rsidRDefault="00707D43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szCs w:val="16"/>
      </w:rPr>
    </w:pPr>
    <w:r>
      <w:rPr>
        <w:rFonts w:ascii="Arial" w:hAnsi="Arial" w:cs="Arial"/>
        <w:sz w:val="16"/>
        <w:szCs w:val="16"/>
      </w:rPr>
      <w:t>Vývoj ekonomiky České republiky v 1. pololetí 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26572"/>
    <w:multiLevelType w:val="hybridMultilevel"/>
    <w:tmpl w:val="A17E006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D0FE2"/>
    <w:multiLevelType w:val="hybridMultilevel"/>
    <w:tmpl w:val="03541CA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93E7F"/>
    <w:multiLevelType w:val="hybridMultilevel"/>
    <w:tmpl w:val="CEA2AC4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C940DA"/>
    <w:multiLevelType w:val="hybridMultilevel"/>
    <w:tmpl w:val="D2C67DD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0BD"/>
    <w:rsid w:val="00000FA7"/>
    <w:rsid w:val="00003687"/>
    <w:rsid w:val="00003C43"/>
    <w:rsid w:val="00007498"/>
    <w:rsid w:val="0000767A"/>
    <w:rsid w:val="000101F5"/>
    <w:rsid w:val="000104B9"/>
    <w:rsid w:val="00010702"/>
    <w:rsid w:val="00011191"/>
    <w:rsid w:val="0001159B"/>
    <w:rsid w:val="00012986"/>
    <w:rsid w:val="0001573E"/>
    <w:rsid w:val="00017F05"/>
    <w:rsid w:val="000202C6"/>
    <w:rsid w:val="00020946"/>
    <w:rsid w:val="00024887"/>
    <w:rsid w:val="00024CBA"/>
    <w:rsid w:val="00025501"/>
    <w:rsid w:val="00026998"/>
    <w:rsid w:val="0003066A"/>
    <w:rsid w:val="00032838"/>
    <w:rsid w:val="00032C12"/>
    <w:rsid w:val="00035FC6"/>
    <w:rsid w:val="00037667"/>
    <w:rsid w:val="000411E1"/>
    <w:rsid w:val="00043E05"/>
    <w:rsid w:val="0004694F"/>
    <w:rsid w:val="000500DC"/>
    <w:rsid w:val="00052172"/>
    <w:rsid w:val="00055059"/>
    <w:rsid w:val="000553E4"/>
    <w:rsid w:val="00062EC5"/>
    <w:rsid w:val="00064256"/>
    <w:rsid w:val="000706A4"/>
    <w:rsid w:val="00072118"/>
    <w:rsid w:val="00073173"/>
    <w:rsid w:val="000779AC"/>
    <w:rsid w:val="00083803"/>
    <w:rsid w:val="0008716A"/>
    <w:rsid w:val="00087634"/>
    <w:rsid w:val="00091237"/>
    <w:rsid w:val="0009191B"/>
    <w:rsid w:val="000920EC"/>
    <w:rsid w:val="00092208"/>
    <w:rsid w:val="00092505"/>
    <w:rsid w:val="00097D02"/>
    <w:rsid w:val="000A1183"/>
    <w:rsid w:val="000A2121"/>
    <w:rsid w:val="000A2484"/>
    <w:rsid w:val="000B1CFE"/>
    <w:rsid w:val="000B210A"/>
    <w:rsid w:val="000B249B"/>
    <w:rsid w:val="000B3DB9"/>
    <w:rsid w:val="000B3F02"/>
    <w:rsid w:val="000B48E7"/>
    <w:rsid w:val="000B7663"/>
    <w:rsid w:val="000C11D3"/>
    <w:rsid w:val="000C12F5"/>
    <w:rsid w:val="000C3408"/>
    <w:rsid w:val="000D0D51"/>
    <w:rsid w:val="000D14B3"/>
    <w:rsid w:val="000D208B"/>
    <w:rsid w:val="000D2B8D"/>
    <w:rsid w:val="000D2E41"/>
    <w:rsid w:val="000D5E7A"/>
    <w:rsid w:val="000D5FAA"/>
    <w:rsid w:val="000D65A4"/>
    <w:rsid w:val="000D6AEF"/>
    <w:rsid w:val="000E025B"/>
    <w:rsid w:val="000E153A"/>
    <w:rsid w:val="000E19A8"/>
    <w:rsid w:val="000E4A42"/>
    <w:rsid w:val="000E6476"/>
    <w:rsid w:val="000E78D2"/>
    <w:rsid w:val="000F3332"/>
    <w:rsid w:val="000F33EE"/>
    <w:rsid w:val="000F401E"/>
    <w:rsid w:val="000F5445"/>
    <w:rsid w:val="000F67B2"/>
    <w:rsid w:val="000F790F"/>
    <w:rsid w:val="000F7E1B"/>
    <w:rsid w:val="00100014"/>
    <w:rsid w:val="0010039A"/>
    <w:rsid w:val="00101FB2"/>
    <w:rsid w:val="00102F02"/>
    <w:rsid w:val="001041B6"/>
    <w:rsid w:val="001070EA"/>
    <w:rsid w:val="0011002A"/>
    <w:rsid w:val="0011110A"/>
    <w:rsid w:val="001118AF"/>
    <w:rsid w:val="0011256E"/>
    <w:rsid w:val="0011352E"/>
    <w:rsid w:val="00116DB9"/>
    <w:rsid w:val="00116F28"/>
    <w:rsid w:val="00121C39"/>
    <w:rsid w:val="00123255"/>
    <w:rsid w:val="00124D2D"/>
    <w:rsid w:val="001307BE"/>
    <w:rsid w:val="00130C8F"/>
    <w:rsid w:val="001314F2"/>
    <w:rsid w:val="001317DA"/>
    <w:rsid w:val="001323BA"/>
    <w:rsid w:val="0013254D"/>
    <w:rsid w:val="00133AAC"/>
    <w:rsid w:val="00136561"/>
    <w:rsid w:val="001400E1"/>
    <w:rsid w:val="00140192"/>
    <w:rsid w:val="001405FA"/>
    <w:rsid w:val="001413B3"/>
    <w:rsid w:val="001425C3"/>
    <w:rsid w:val="00142F16"/>
    <w:rsid w:val="00143E03"/>
    <w:rsid w:val="00143E93"/>
    <w:rsid w:val="00151AC0"/>
    <w:rsid w:val="00152046"/>
    <w:rsid w:val="00154147"/>
    <w:rsid w:val="00156318"/>
    <w:rsid w:val="0015639A"/>
    <w:rsid w:val="0016081D"/>
    <w:rsid w:val="00160CF3"/>
    <w:rsid w:val="001620FA"/>
    <w:rsid w:val="00162853"/>
    <w:rsid w:val="00163793"/>
    <w:rsid w:val="001707DE"/>
    <w:rsid w:val="00170B04"/>
    <w:rsid w:val="00170F47"/>
    <w:rsid w:val="001714F2"/>
    <w:rsid w:val="00173642"/>
    <w:rsid w:val="00174CE8"/>
    <w:rsid w:val="00176050"/>
    <w:rsid w:val="001764D8"/>
    <w:rsid w:val="00176A8F"/>
    <w:rsid w:val="00180D58"/>
    <w:rsid w:val="00182981"/>
    <w:rsid w:val="00184CF9"/>
    <w:rsid w:val="00185010"/>
    <w:rsid w:val="001852EC"/>
    <w:rsid w:val="001874CF"/>
    <w:rsid w:val="00190D9B"/>
    <w:rsid w:val="00191BAE"/>
    <w:rsid w:val="00193432"/>
    <w:rsid w:val="00195444"/>
    <w:rsid w:val="001A2BDB"/>
    <w:rsid w:val="001A30F4"/>
    <w:rsid w:val="001A552F"/>
    <w:rsid w:val="001A56F3"/>
    <w:rsid w:val="001A750C"/>
    <w:rsid w:val="001B1D89"/>
    <w:rsid w:val="001B3110"/>
    <w:rsid w:val="001B44BC"/>
    <w:rsid w:val="001B6545"/>
    <w:rsid w:val="001B681B"/>
    <w:rsid w:val="001B6A49"/>
    <w:rsid w:val="001B74FB"/>
    <w:rsid w:val="001B77A1"/>
    <w:rsid w:val="001C0422"/>
    <w:rsid w:val="001C0E0E"/>
    <w:rsid w:val="001C1219"/>
    <w:rsid w:val="001C357A"/>
    <w:rsid w:val="001C3A37"/>
    <w:rsid w:val="001C4384"/>
    <w:rsid w:val="001C65FF"/>
    <w:rsid w:val="001D47E5"/>
    <w:rsid w:val="001D584C"/>
    <w:rsid w:val="001D66C1"/>
    <w:rsid w:val="001E0C65"/>
    <w:rsid w:val="001E23E3"/>
    <w:rsid w:val="001E387A"/>
    <w:rsid w:val="001E3DA4"/>
    <w:rsid w:val="001E5830"/>
    <w:rsid w:val="001E684C"/>
    <w:rsid w:val="001E701C"/>
    <w:rsid w:val="001E7C03"/>
    <w:rsid w:val="001F02AF"/>
    <w:rsid w:val="001F28F4"/>
    <w:rsid w:val="001F3C79"/>
    <w:rsid w:val="001F3E68"/>
    <w:rsid w:val="001F4597"/>
    <w:rsid w:val="00200D15"/>
    <w:rsid w:val="00203074"/>
    <w:rsid w:val="00203B46"/>
    <w:rsid w:val="002048E1"/>
    <w:rsid w:val="00210278"/>
    <w:rsid w:val="00210CC2"/>
    <w:rsid w:val="00210F5B"/>
    <w:rsid w:val="00211262"/>
    <w:rsid w:val="00211AC9"/>
    <w:rsid w:val="0021355B"/>
    <w:rsid w:val="002205F2"/>
    <w:rsid w:val="0022080E"/>
    <w:rsid w:val="0022139E"/>
    <w:rsid w:val="0022272B"/>
    <w:rsid w:val="00222A99"/>
    <w:rsid w:val="00223678"/>
    <w:rsid w:val="00223E00"/>
    <w:rsid w:val="002252E0"/>
    <w:rsid w:val="002255F6"/>
    <w:rsid w:val="00226466"/>
    <w:rsid w:val="002266D0"/>
    <w:rsid w:val="00230DAD"/>
    <w:rsid w:val="0023229C"/>
    <w:rsid w:val="00234280"/>
    <w:rsid w:val="00235000"/>
    <w:rsid w:val="002350E3"/>
    <w:rsid w:val="00236443"/>
    <w:rsid w:val="00240A5B"/>
    <w:rsid w:val="002436BA"/>
    <w:rsid w:val="002444ED"/>
    <w:rsid w:val="00244A15"/>
    <w:rsid w:val="00244D40"/>
    <w:rsid w:val="00246AE9"/>
    <w:rsid w:val="0024799E"/>
    <w:rsid w:val="00250C59"/>
    <w:rsid w:val="00251D59"/>
    <w:rsid w:val="00252602"/>
    <w:rsid w:val="00252FDC"/>
    <w:rsid w:val="00261E5B"/>
    <w:rsid w:val="00263470"/>
    <w:rsid w:val="00263733"/>
    <w:rsid w:val="00264676"/>
    <w:rsid w:val="00265536"/>
    <w:rsid w:val="00265E54"/>
    <w:rsid w:val="00266F3E"/>
    <w:rsid w:val="00272464"/>
    <w:rsid w:val="00273DCD"/>
    <w:rsid w:val="00274291"/>
    <w:rsid w:val="00276CFE"/>
    <w:rsid w:val="00277071"/>
    <w:rsid w:val="0027786C"/>
    <w:rsid w:val="00277BF7"/>
    <w:rsid w:val="00281416"/>
    <w:rsid w:val="00285CD3"/>
    <w:rsid w:val="0028686A"/>
    <w:rsid w:val="00286E66"/>
    <w:rsid w:val="002919B5"/>
    <w:rsid w:val="00293441"/>
    <w:rsid w:val="0029493E"/>
    <w:rsid w:val="00296C2E"/>
    <w:rsid w:val="002A1B05"/>
    <w:rsid w:val="002A3354"/>
    <w:rsid w:val="002A35EA"/>
    <w:rsid w:val="002A37B6"/>
    <w:rsid w:val="002A3BD5"/>
    <w:rsid w:val="002A43A2"/>
    <w:rsid w:val="002A4612"/>
    <w:rsid w:val="002A5263"/>
    <w:rsid w:val="002A6821"/>
    <w:rsid w:val="002A74D2"/>
    <w:rsid w:val="002B1544"/>
    <w:rsid w:val="002B36C8"/>
    <w:rsid w:val="002B7240"/>
    <w:rsid w:val="002C2668"/>
    <w:rsid w:val="002C43BD"/>
    <w:rsid w:val="002C5261"/>
    <w:rsid w:val="002C6091"/>
    <w:rsid w:val="002D0562"/>
    <w:rsid w:val="002D1B5A"/>
    <w:rsid w:val="002D3F00"/>
    <w:rsid w:val="002D4D59"/>
    <w:rsid w:val="002D54BF"/>
    <w:rsid w:val="002D5E94"/>
    <w:rsid w:val="002D632D"/>
    <w:rsid w:val="002E02A1"/>
    <w:rsid w:val="002E0982"/>
    <w:rsid w:val="002E0DB9"/>
    <w:rsid w:val="002E2CE4"/>
    <w:rsid w:val="002F33FB"/>
    <w:rsid w:val="002F7594"/>
    <w:rsid w:val="00301357"/>
    <w:rsid w:val="00301D04"/>
    <w:rsid w:val="00304771"/>
    <w:rsid w:val="00305736"/>
    <w:rsid w:val="00306C5B"/>
    <w:rsid w:val="00306E3B"/>
    <w:rsid w:val="00312C3D"/>
    <w:rsid w:val="00314331"/>
    <w:rsid w:val="00317E31"/>
    <w:rsid w:val="00320214"/>
    <w:rsid w:val="003209D6"/>
    <w:rsid w:val="0032109A"/>
    <w:rsid w:val="0032214F"/>
    <w:rsid w:val="00322164"/>
    <w:rsid w:val="00324C81"/>
    <w:rsid w:val="0032513D"/>
    <w:rsid w:val="00326251"/>
    <w:rsid w:val="00327DEE"/>
    <w:rsid w:val="003329F3"/>
    <w:rsid w:val="0033352E"/>
    <w:rsid w:val="00333690"/>
    <w:rsid w:val="00333D20"/>
    <w:rsid w:val="003340EF"/>
    <w:rsid w:val="00334A49"/>
    <w:rsid w:val="00335BB0"/>
    <w:rsid w:val="0033627B"/>
    <w:rsid w:val="003406BD"/>
    <w:rsid w:val="00343F84"/>
    <w:rsid w:val="00344135"/>
    <w:rsid w:val="00351B63"/>
    <w:rsid w:val="00352E57"/>
    <w:rsid w:val="003541B0"/>
    <w:rsid w:val="00355885"/>
    <w:rsid w:val="0035605E"/>
    <w:rsid w:val="00357449"/>
    <w:rsid w:val="0036238B"/>
    <w:rsid w:val="00365680"/>
    <w:rsid w:val="003657F3"/>
    <w:rsid w:val="00367038"/>
    <w:rsid w:val="0037144E"/>
    <w:rsid w:val="003736B5"/>
    <w:rsid w:val="00374F1E"/>
    <w:rsid w:val="00376DEC"/>
    <w:rsid w:val="00380E04"/>
    <w:rsid w:val="00383227"/>
    <w:rsid w:val="00384D8F"/>
    <w:rsid w:val="00385D98"/>
    <w:rsid w:val="00385EC5"/>
    <w:rsid w:val="0039066E"/>
    <w:rsid w:val="00391C95"/>
    <w:rsid w:val="00396DAC"/>
    <w:rsid w:val="003A0214"/>
    <w:rsid w:val="003A027D"/>
    <w:rsid w:val="003A1D74"/>
    <w:rsid w:val="003A2B4D"/>
    <w:rsid w:val="003A2D2B"/>
    <w:rsid w:val="003A2DD4"/>
    <w:rsid w:val="003A3B1C"/>
    <w:rsid w:val="003A478C"/>
    <w:rsid w:val="003A4F82"/>
    <w:rsid w:val="003A5525"/>
    <w:rsid w:val="003A6B38"/>
    <w:rsid w:val="003B2E63"/>
    <w:rsid w:val="003B3189"/>
    <w:rsid w:val="003B3A9D"/>
    <w:rsid w:val="003B5031"/>
    <w:rsid w:val="003B5A32"/>
    <w:rsid w:val="003B6105"/>
    <w:rsid w:val="003C04C4"/>
    <w:rsid w:val="003C26F4"/>
    <w:rsid w:val="003C4852"/>
    <w:rsid w:val="003C601E"/>
    <w:rsid w:val="003D3600"/>
    <w:rsid w:val="003D3825"/>
    <w:rsid w:val="003D3EC4"/>
    <w:rsid w:val="003D4760"/>
    <w:rsid w:val="003D49DC"/>
    <w:rsid w:val="003E0663"/>
    <w:rsid w:val="003E133F"/>
    <w:rsid w:val="003E699C"/>
    <w:rsid w:val="003E69F3"/>
    <w:rsid w:val="003E782E"/>
    <w:rsid w:val="003E7A0B"/>
    <w:rsid w:val="003E7B2B"/>
    <w:rsid w:val="003F1A48"/>
    <w:rsid w:val="003F2B0A"/>
    <w:rsid w:val="003F313C"/>
    <w:rsid w:val="003F37FC"/>
    <w:rsid w:val="003F49A6"/>
    <w:rsid w:val="003F5098"/>
    <w:rsid w:val="003F5568"/>
    <w:rsid w:val="003F5A95"/>
    <w:rsid w:val="003F6D19"/>
    <w:rsid w:val="004000D5"/>
    <w:rsid w:val="00401716"/>
    <w:rsid w:val="0040273A"/>
    <w:rsid w:val="00402C25"/>
    <w:rsid w:val="004050D7"/>
    <w:rsid w:val="004078BD"/>
    <w:rsid w:val="00410132"/>
    <w:rsid w:val="00410BCD"/>
    <w:rsid w:val="0041175D"/>
    <w:rsid w:val="004123BE"/>
    <w:rsid w:val="00414CE5"/>
    <w:rsid w:val="00416673"/>
    <w:rsid w:val="0042160D"/>
    <w:rsid w:val="0042681B"/>
    <w:rsid w:val="0043068A"/>
    <w:rsid w:val="004306E0"/>
    <w:rsid w:val="004329BE"/>
    <w:rsid w:val="00432C38"/>
    <w:rsid w:val="00437C76"/>
    <w:rsid w:val="004441A0"/>
    <w:rsid w:val="00444268"/>
    <w:rsid w:val="004443BF"/>
    <w:rsid w:val="00444C19"/>
    <w:rsid w:val="00446892"/>
    <w:rsid w:val="00450C30"/>
    <w:rsid w:val="00455ECA"/>
    <w:rsid w:val="00460164"/>
    <w:rsid w:val="0046039A"/>
    <w:rsid w:val="00460A6B"/>
    <w:rsid w:val="00461977"/>
    <w:rsid w:val="004629FD"/>
    <w:rsid w:val="00463F4D"/>
    <w:rsid w:val="0046471F"/>
    <w:rsid w:val="00464BE8"/>
    <w:rsid w:val="00465019"/>
    <w:rsid w:val="0046613F"/>
    <w:rsid w:val="0046655D"/>
    <w:rsid w:val="0046765E"/>
    <w:rsid w:val="004676E2"/>
    <w:rsid w:val="00471EDD"/>
    <w:rsid w:val="00473E94"/>
    <w:rsid w:val="0047400C"/>
    <w:rsid w:val="004745D9"/>
    <w:rsid w:val="004762D8"/>
    <w:rsid w:val="004765B3"/>
    <w:rsid w:val="00476D29"/>
    <w:rsid w:val="00477241"/>
    <w:rsid w:val="00477EAF"/>
    <w:rsid w:val="00477EE0"/>
    <w:rsid w:val="0048139F"/>
    <w:rsid w:val="00483053"/>
    <w:rsid w:val="004879E9"/>
    <w:rsid w:val="0049104F"/>
    <w:rsid w:val="00491218"/>
    <w:rsid w:val="00493362"/>
    <w:rsid w:val="00496C2F"/>
    <w:rsid w:val="0049740D"/>
    <w:rsid w:val="004978D3"/>
    <w:rsid w:val="004A11F8"/>
    <w:rsid w:val="004A22FA"/>
    <w:rsid w:val="004A269A"/>
    <w:rsid w:val="004A30FB"/>
    <w:rsid w:val="004A35DD"/>
    <w:rsid w:val="004A37D3"/>
    <w:rsid w:val="004A3AD6"/>
    <w:rsid w:val="004A5865"/>
    <w:rsid w:val="004A77DF"/>
    <w:rsid w:val="004B0295"/>
    <w:rsid w:val="004B10A8"/>
    <w:rsid w:val="004B22DA"/>
    <w:rsid w:val="004B3CB7"/>
    <w:rsid w:val="004B3D55"/>
    <w:rsid w:val="004B55B7"/>
    <w:rsid w:val="004C00A6"/>
    <w:rsid w:val="004C0BBB"/>
    <w:rsid w:val="004C1B86"/>
    <w:rsid w:val="004C3382"/>
    <w:rsid w:val="004C3867"/>
    <w:rsid w:val="004C4AB7"/>
    <w:rsid w:val="004C4CD0"/>
    <w:rsid w:val="004C57B5"/>
    <w:rsid w:val="004C5C25"/>
    <w:rsid w:val="004C6717"/>
    <w:rsid w:val="004C6CFF"/>
    <w:rsid w:val="004C70DC"/>
    <w:rsid w:val="004C7268"/>
    <w:rsid w:val="004D0211"/>
    <w:rsid w:val="004D1C9C"/>
    <w:rsid w:val="004D504B"/>
    <w:rsid w:val="004D536E"/>
    <w:rsid w:val="004E1839"/>
    <w:rsid w:val="004E4A75"/>
    <w:rsid w:val="004E541A"/>
    <w:rsid w:val="004E5A5C"/>
    <w:rsid w:val="004E76D6"/>
    <w:rsid w:val="004F06F5"/>
    <w:rsid w:val="004F191F"/>
    <w:rsid w:val="004F2A73"/>
    <w:rsid w:val="004F33A0"/>
    <w:rsid w:val="004F4353"/>
    <w:rsid w:val="004F447D"/>
    <w:rsid w:val="004F4C28"/>
    <w:rsid w:val="004F5CC5"/>
    <w:rsid w:val="00507040"/>
    <w:rsid w:val="005079F8"/>
    <w:rsid w:val="00510189"/>
    <w:rsid w:val="005108C0"/>
    <w:rsid w:val="00511873"/>
    <w:rsid w:val="00513B7E"/>
    <w:rsid w:val="00514474"/>
    <w:rsid w:val="005215EF"/>
    <w:rsid w:val="00524637"/>
    <w:rsid w:val="00525137"/>
    <w:rsid w:val="005251DD"/>
    <w:rsid w:val="0053017A"/>
    <w:rsid w:val="00530492"/>
    <w:rsid w:val="00532854"/>
    <w:rsid w:val="005350F2"/>
    <w:rsid w:val="00535152"/>
    <w:rsid w:val="00535359"/>
    <w:rsid w:val="005357A2"/>
    <w:rsid w:val="00535D87"/>
    <w:rsid w:val="00535EF0"/>
    <w:rsid w:val="0053734B"/>
    <w:rsid w:val="00537AFD"/>
    <w:rsid w:val="00537CB4"/>
    <w:rsid w:val="0054516B"/>
    <w:rsid w:val="0054559E"/>
    <w:rsid w:val="005513D5"/>
    <w:rsid w:val="005523B9"/>
    <w:rsid w:val="005545E0"/>
    <w:rsid w:val="00554865"/>
    <w:rsid w:val="00554E57"/>
    <w:rsid w:val="00562749"/>
    <w:rsid w:val="00562DE9"/>
    <w:rsid w:val="005638A5"/>
    <w:rsid w:val="00566381"/>
    <w:rsid w:val="00566A03"/>
    <w:rsid w:val="00571932"/>
    <w:rsid w:val="00573C97"/>
    <w:rsid w:val="00574240"/>
    <w:rsid w:val="00575CDC"/>
    <w:rsid w:val="005765D5"/>
    <w:rsid w:val="00576A3E"/>
    <w:rsid w:val="00583D5B"/>
    <w:rsid w:val="00583FFD"/>
    <w:rsid w:val="00587CCD"/>
    <w:rsid w:val="005908AE"/>
    <w:rsid w:val="0059176E"/>
    <w:rsid w:val="00593152"/>
    <w:rsid w:val="00593CA3"/>
    <w:rsid w:val="00594161"/>
    <w:rsid w:val="00594969"/>
    <w:rsid w:val="00596C5E"/>
    <w:rsid w:val="005A2194"/>
    <w:rsid w:val="005A21E0"/>
    <w:rsid w:val="005A33A1"/>
    <w:rsid w:val="005A54EE"/>
    <w:rsid w:val="005A7500"/>
    <w:rsid w:val="005B1BDB"/>
    <w:rsid w:val="005B2BAA"/>
    <w:rsid w:val="005B2D53"/>
    <w:rsid w:val="005B3247"/>
    <w:rsid w:val="005B3409"/>
    <w:rsid w:val="005B7B12"/>
    <w:rsid w:val="005C16CB"/>
    <w:rsid w:val="005C3F9F"/>
    <w:rsid w:val="005C4A23"/>
    <w:rsid w:val="005C6400"/>
    <w:rsid w:val="005C7F1E"/>
    <w:rsid w:val="005D374F"/>
    <w:rsid w:val="005D5802"/>
    <w:rsid w:val="005D6CFC"/>
    <w:rsid w:val="005D73E2"/>
    <w:rsid w:val="005E1E4B"/>
    <w:rsid w:val="005E362D"/>
    <w:rsid w:val="005E492C"/>
    <w:rsid w:val="005E4BAA"/>
    <w:rsid w:val="005E52EF"/>
    <w:rsid w:val="005E5B56"/>
    <w:rsid w:val="005E6088"/>
    <w:rsid w:val="005E61DF"/>
    <w:rsid w:val="005E6B78"/>
    <w:rsid w:val="005F4057"/>
    <w:rsid w:val="005F4088"/>
    <w:rsid w:val="005F6119"/>
    <w:rsid w:val="0060107A"/>
    <w:rsid w:val="00601AFF"/>
    <w:rsid w:val="00602D1D"/>
    <w:rsid w:val="00604307"/>
    <w:rsid w:val="0060487F"/>
    <w:rsid w:val="00605814"/>
    <w:rsid w:val="00606B93"/>
    <w:rsid w:val="00607727"/>
    <w:rsid w:val="006118AA"/>
    <w:rsid w:val="006139C7"/>
    <w:rsid w:val="006153E3"/>
    <w:rsid w:val="00617D2D"/>
    <w:rsid w:val="00617D83"/>
    <w:rsid w:val="00620AC5"/>
    <w:rsid w:val="00621575"/>
    <w:rsid w:val="006215FC"/>
    <w:rsid w:val="00624093"/>
    <w:rsid w:val="00630F66"/>
    <w:rsid w:val="00631FC2"/>
    <w:rsid w:val="00632171"/>
    <w:rsid w:val="0063332A"/>
    <w:rsid w:val="006347F9"/>
    <w:rsid w:val="00634C90"/>
    <w:rsid w:val="00635E79"/>
    <w:rsid w:val="00636E5E"/>
    <w:rsid w:val="006404A7"/>
    <w:rsid w:val="006407F3"/>
    <w:rsid w:val="00644DFC"/>
    <w:rsid w:val="006451E4"/>
    <w:rsid w:val="006460B8"/>
    <w:rsid w:val="006520C7"/>
    <w:rsid w:val="006530B8"/>
    <w:rsid w:val="006535D6"/>
    <w:rsid w:val="006572ED"/>
    <w:rsid w:val="00657E87"/>
    <w:rsid w:val="00660457"/>
    <w:rsid w:val="00660E1E"/>
    <w:rsid w:val="006637B1"/>
    <w:rsid w:val="00665D67"/>
    <w:rsid w:val="00665D77"/>
    <w:rsid w:val="006660CD"/>
    <w:rsid w:val="00666F4B"/>
    <w:rsid w:val="006676D0"/>
    <w:rsid w:val="00670FAC"/>
    <w:rsid w:val="006710C9"/>
    <w:rsid w:val="00675E37"/>
    <w:rsid w:val="00676F11"/>
    <w:rsid w:val="00680079"/>
    <w:rsid w:val="00680F68"/>
    <w:rsid w:val="0068260E"/>
    <w:rsid w:val="0068373D"/>
    <w:rsid w:val="00683BFE"/>
    <w:rsid w:val="006857DF"/>
    <w:rsid w:val="00685E66"/>
    <w:rsid w:val="00686B72"/>
    <w:rsid w:val="00686BF1"/>
    <w:rsid w:val="00690A09"/>
    <w:rsid w:val="00693FEA"/>
    <w:rsid w:val="00694930"/>
    <w:rsid w:val="00695170"/>
    <w:rsid w:val="00695BEF"/>
    <w:rsid w:val="006960D6"/>
    <w:rsid w:val="00696AA5"/>
    <w:rsid w:val="006977F6"/>
    <w:rsid w:val="00697A13"/>
    <w:rsid w:val="006A109C"/>
    <w:rsid w:val="006A3CF3"/>
    <w:rsid w:val="006A672B"/>
    <w:rsid w:val="006B3F8A"/>
    <w:rsid w:val="006B5CA3"/>
    <w:rsid w:val="006B6B3B"/>
    <w:rsid w:val="006B7714"/>
    <w:rsid w:val="006B78D8"/>
    <w:rsid w:val="006C090F"/>
    <w:rsid w:val="006C113F"/>
    <w:rsid w:val="006C38DD"/>
    <w:rsid w:val="006C5577"/>
    <w:rsid w:val="006C559A"/>
    <w:rsid w:val="006C58FA"/>
    <w:rsid w:val="006D042D"/>
    <w:rsid w:val="006D06EF"/>
    <w:rsid w:val="006D142E"/>
    <w:rsid w:val="006D4E6F"/>
    <w:rsid w:val="006D61F6"/>
    <w:rsid w:val="006E1F4C"/>
    <w:rsid w:val="006E279A"/>
    <w:rsid w:val="006E2F3F"/>
    <w:rsid w:val="006E313B"/>
    <w:rsid w:val="006E442A"/>
    <w:rsid w:val="006E5CFD"/>
    <w:rsid w:val="006F1326"/>
    <w:rsid w:val="006F2BEE"/>
    <w:rsid w:val="006F3708"/>
    <w:rsid w:val="006F3E6B"/>
    <w:rsid w:val="006F4A59"/>
    <w:rsid w:val="007014C7"/>
    <w:rsid w:val="00702D6F"/>
    <w:rsid w:val="00703B6C"/>
    <w:rsid w:val="007047D5"/>
    <w:rsid w:val="00705D98"/>
    <w:rsid w:val="00707891"/>
    <w:rsid w:val="00707D43"/>
    <w:rsid w:val="00711EF1"/>
    <w:rsid w:val="0071229A"/>
    <w:rsid w:val="00712572"/>
    <w:rsid w:val="00713495"/>
    <w:rsid w:val="00720FA2"/>
    <w:rsid w:val="007211F5"/>
    <w:rsid w:val="00724666"/>
    <w:rsid w:val="00726043"/>
    <w:rsid w:val="0072704A"/>
    <w:rsid w:val="00730AE8"/>
    <w:rsid w:val="00731963"/>
    <w:rsid w:val="00734321"/>
    <w:rsid w:val="00740310"/>
    <w:rsid w:val="00740652"/>
    <w:rsid w:val="00740F02"/>
    <w:rsid w:val="00740FEC"/>
    <w:rsid w:val="0074132E"/>
    <w:rsid w:val="00741493"/>
    <w:rsid w:val="007426B3"/>
    <w:rsid w:val="007426FD"/>
    <w:rsid w:val="0074329D"/>
    <w:rsid w:val="00744376"/>
    <w:rsid w:val="007449EA"/>
    <w:rsid w:val="00746DD9"/>
    <w:rsid w:val="0075057A"/>
    <w:rsid w:val="00751771"/>
    <w:rsid w:val="00751C1C"/>
    <w:rsid w:val="00752180"/>
    <w:rsid w:val="007521A1"/>
    <w:rsid w:val="0075315D"/>
    <w:rsid w:val="007538F9"/>
    <w:rsid w:val="00754253"/>
    <w:rsid w:val="007558D3"/>
    <w:rsid w:val="007559D7"/>
    <w:rsid w:val="00755D3A"/>
    <w:rsid w:val="00760141"/>
    <w:rsid w:val="007609C6"/>
    <w:rsid w:val="007610A0"/>
    <w:rsid w:val="007620F2"/>
    <w:rsid w:val="00762EBA"/>
    <w:rsid w:val="0076359D"/>
    <w:rsid w:val="00772536"/>
    <w:rsid w:val="00773613"/>
    <w:rsid w:val="00774782"/>
    <w:rsid w:val="00776527"/>
    <w:rsid w:val="0078113E"/>
    <w:rsid w:val="00781834"/>
    <w:rsid w:val="007821DB"/>
    <w:rsid w:val="00782818"/>
    <w:rsid w:val="00784C4A"/>
    <w:rsid w:val="00787432"/>
    <w:rsid w:val="00787507"/>
    <w:rsid w:val="007879F2"/>
    <w:rsid w:val="00791CF8"/>
    <w:rsid w:val="00792262"/>
    <w:rsid w:val="00793387"/>
    <w:rsid w:val="00793BAE"/>
    <w:rsid w:val="00794E0A"/>
    <w:rsid w:val="00796642"/>
    <w:rsid w:val="007A11D9"/>
    <w:rsid w:val="007A327B"/>
    <w:rsid w:val="007A4606"/>
    <w:rsid w:val="007B1966"/>
    <w:rsid w:val="007B3DCC"/>
    <w:rsid w:val="007B4518"/>
    <w:rsid w:val="007B5031"/>
    <w:rsid w:val="007B573F"/>
    <w:rsid w:val="007C605B"/>
    <w:rsid w:val="007D2A5A"/>
    <w:rsid w:val="007D2AD8"/>
    <w:rsid w:val="007D2C47"/>
    <w:rsid w:val="007D3167"/>
    <w:rsid w:val="007D4281"/>
    <w:rsid w:val="007D42F5"/>
    <w:rsid w:val="007D44C3"/>
    <w:rsid w:val="007D5947"/>
    <w:rsid w:val="007D65C1"/>
    <w:rsid w:val="007E030F"/>
    <w:rsid w:val="007E0E59"/>
    <w:rsid w:val="007E0F4B"/>
    <w:rsid w:val="007E7E61"/>
    <w:rsid w:val="007F0845"/>
    <w:rsid w:val="007F16F9"/>
    <w:rsid w:val="007F3E3E"/>
    <w:rsid w:val="007F500D"/>
    <w:rsid w:val="007F5F14"/>
    <w:rsid w:val="007F7B54"/>
    <w:rsid w:val="008005D7"/>
    <w:rsid w:val="00801FDD"/>
    <w:rsid w:val="008020C2"/>
    <w:rsid w:val="0080255C"/>
    <w:rsid w:val="0081187C"/>
    <w:rsid w:val="00811E24"/>
    <w:rsid w:val="00812E2B"/>
    <w:rsid w:val="00813A70"/>
    <w:rsid w:val="00813FE6"/>
    <w:rsid w:val="00815C6E"/>
    <w:rsid w:val="0081645F"/>
    <w:rsid w:val="008178C2"/>
    <w:rsid w:val="008178CF"/>
    <w:rsid w:val="00817C98"/>
    <w:rsid w:val="00820C9F"/>
    <w:rsid w:val="00821FF6"/>
    <w:rsid w:val="00823AAF"/>
    <w:rsid w:val="00824081"/>
    <w:rsid w:val="0082409A"/>
    <w:rsid w:val="00827181"/>
    <w:rsid w:val="00827746"/>
    <w:rsid w:val="0083143E"/>
    <w:rsid w:val="0083159D"/>
    <w:rsid w:val="00832187"/>
    <w:rsid w:val="008336D8"/>
    <w:rsid w:val="008339C4"/>
    <w:rsid w:val="00834F0A"/>
    <w:rsid w:val="00834FAA"/>
    <w:rsid w:val="00836086"/>
    <w:rsid w:val="00841D9F"/>
    <w:rsid w:val="00842604"/>
    <w:rsid w:val="00843ECF"/>
    <w:rsid w:val="00846673"/>
    <w:rsid w:val="0085281A"/>
    <w:rsid w:val="008559FE"/>
    <w:rsid w:val="00857339"/>
    <w:rsid w:val="00862A7A"/>
    <w:rsid w:val="00863D9E"/>
    <w:rsid w:val="008642AF"/>
    <w:rsid w:val="00867E29"/>
    <w:rsid w:val="00870F2B"/>
    <w:rsid w:val="008746E6"/>
    <w:rsid w:val="00876086"/>
    <w:rsid w:val="008768D6"/>
    <w:rsid w:val="008775D1"/>
    <w:rsid w:val="008777BB"/>
    <w:rsid w:val="00877D68"/>
    <w:rsid w:val="00877E5D"/>
    <w:rsid w:val="0088733A"/>
    <w:rsid w:val="00891BE0"/>
    <w:rsid w:val="00893302"/>
    <w:rsid w:val="008945A1"/>
    <w:rsid w:val="00894A63"/>
    <w:rsid w:val="00895A54"/>
    <w:rsid w:val="00896916"/>
    <w:rsid w:val="00896BDE"/>
    <w:rsid w:val="008A0861"/>
    <w:rsid w:val="008A0BB2"/>
    <w:rsid w:val="008A1AB3"/>
    <w:rsid w:val="008A1D5C"/>
    <w:rsid w:val="008A3292"/>
    <w:rsid w:val="008A3A85"/>
    <w:rsid w:val="008A43E9"/>
    <w:rsid w:val="008A4CB1"/>
    <w:rsid w:val="008A615E"/>
    <w:rsid w:val="008A632B"/>
    <w:rsid w:val="008A6BFE"/>
    <w:rsid w:val="008B190E"/>
    <w:rsid w:val="008B1A8A"/>
    <w:rsid w:val="008B7306"/>
    <w:rsid w:val="008B775F"/>
    <w:rsid w:val="008B7C02"/>
    <w:rsid w:val="008B7F9E"/>
    <w:rsid w:val="008C0E88"/>
    <w:rsid w:val="008C1AA8"/>
    <w:rsid w:val="008C22A8"/>
    <w:rsid w:val="008C63FD"/>
    <w:rsid w:val="008C6CB8"/>
    <w:rsid w:val="008C7815"/>
    <w:rsid w:val="008C7A07"/>
    <w:rsid w:val="008D0171"/>
    <w:rsid w:val="008D2A16"/>
    <w:rsid w:val="008D2ECF"/>
    <w:rsid w:val="008D3F3D"/>
    <w:rsid w:val="008E31FF"/>
    <w:rsid w:val="008E5DE6"/>
    <w:rsid w:val="008E6113"/>
    <w:rsid w:val="008E6AB3"/>
    <w:rsid w:val="008E6AD3"/>
    <w:rsid w:val="008E71A6"/>
    <w:rsid w:val="008E77B6"/>
    <w:rsid w:val="008F032E"/>
    <w:rsid w:val="008F0F14"/>
    <w:rsid w:val="008F4FCE"/>
    <w:rsid w:val="008F5301"/>
    <w:rsid w:val="008F7D28"/>
    <w:rsid w:val="009003A8"/>
    <w:rsid w:val="00902CBE"/>
    <w:rsid w:val="00902D74"/>
    <w:rsid w:val="00902EFF"/>
    <w:rsid w:val="00903E06"/>
    <w:rsid w:val="00904B9D"/>
    <w:rsid w:val="009066E1"/>
    <w:rsid w:val="00907A41"/>
    <w:rsid w:val="009102BD"/>
    <w:rsid w:val="00910F93"/>
    <w:rsid w:val="00914426"/>
    <w:rsid w:val="0091675F"/>
    <w:rsid w:val="00917709"/>
    <w:rsid w:val="00917918"/>
    <w:rsid w:val="00921F14"/>
    <w:rsid w:val="00923750"/>
    <w:rsid w:val="009243A5"/>
    <w:rsid w:val="009250D2"/>
    <w:rsid w:val="00926283"/>
    <w:rsid w:val="00937B11"/>
    <w:rsid w:val="00940F1F"/>
    <w:rsid w:val="00941250"/>
    <w:rsid w:val="0094427A"/>
    <w:rsid w:val="009459C5"/>
    <w:rsid w:val="0094626C"/>
    <w:rsid w:val="0095013A"/>
    <w:rsid w:val="00953AEF"/>
    <w:rsid w:val="009551E2"/>
    <w:rsid w:val="00955783"/>
    <w:rsid w:val="00955E5F"/>
    <w:rsid w:val="009560B0"/>
    <w:rsid w:val="00957871"/>
    <w:rsid w:val="00964498"/>
    <w:rsid w:val="009663EB"/>
    <w:rsid w:val="0096650F"/>
    <w:rsid w:val="009700DB"/>
    <w:rsid w:val="00972263"/>
    <w:rsid w:val="00972D8D"/>
    <w:rsid w:val="00973AAE"/>
    <w:rsid w:val="0097476C"/>
    <w:rsid w:val="00974923"/>
    <w:rsid w:val="00974D48"/>
    <w:rsid w:val="00974D5F"/>
    <w:rsid w:val="00975017"/>
    <w:rsid w:val="009759DF"/>
    <w:rsid w:val="00980621"/>
    <w:rsid w:val="00982072"/>
    <w:rsid w:val="00983ECF"/>
    <w:rsid w:val="00986745"/>
    <w:rsid w:val="00987109"/>
    <w:rsid w:val="00987309"/>
    <w:rsid w:val="0099012D"/>
    <w:rsid w:val="009954FF"/>
    <w:rsid w:val="00996355"/>
    <w:rsid w:val="009A2014"/>
    <w:rsid w:val="009A4E12"/>
    <w:rsid w:val="009A5C68"/>
    <w:rsid w:val="009B04D0"/>
    <w:rsid w:val="009B052C"/>
    <w:rsid w:val="009B0EF2"/>
    <w:rsid w:val="009B23A3"/>
    <w:rsid w:val="009B4925"/>
    <w:rsid w:val="009B4B4B"/>
    <w:rsid w:val="009B6FD3"/>
    <w:rsid w:val="009B70BD"/>
    <w:rsid w:val="009C07A5"/>
    <w:rsid w:val="009C7388"/>
    <w:rsid w:val="009D1551"/>
    <w:rsid w:val="009D2859"/>
    <w:rsid w:val="009D4173"/>
    <w:rsid w:val="009D6095"/>
    <w:rsid w:val="009D6306"/>
    <w:rsid w:val="009E048A"/>
    <w:rsid w:val="009E1FBA"/>
    <w:rsid w:val="009E2C54"/>
    <w:rsid w:val="009E3710"/>
    <w:rsid w:val="009E7B1F"/>
    <w:rsid w:val="009F41C4"/>
    <w:rsid w:val="009F5846"/>
    <w:rsid w:val="009F7D77"/>
    <w:rsid w:val="00A10D66"/>
    <w:rsid w:val="00A1420C"/>
    <w:rsid w:val="00A14821"/>
    <w:rsid w:val="00A2055B"/>
    <w:rsid w:val="00A2253C"/>
    <w:rsid w:val="00A23545"/>
    <w:rsid w:val="00A23A55"/>
    <w:rsid w:val="00A23E43"/>
    <w:rsid w:val="00A24F8C"/>
    <w:rsid w:val="00A262BF"/>
    <w:rsid w:val="00A271AD"/>
    <w:rsid w:val="00A276D5"/>
    <w:rsid w:val="00A30336"/>
    <w:rsid w:val="00A30BB5"/>
    <w:rsid w:val="00A3128F"/>
    <w:rsid w:val="00A326D0"/>
    <w:rsid w:val="00A35287"/>
    <w:rsid w:val="00A378F8"/>
    <w:rsid w:val="00A40B19"/>
    <w:rsid w:val="00A424F8"/>
    <w:rsid w:val="00A437B7"/>
    <w:rsid w:val="00A46DE0"/>
    <w:rsid w:val="00A4778A"/>
    <w:rsid w:val="00A5067F"/>
    <w:rsid w:val="00A55301"/>
    <w:rsid w:val="00A57B3C"/>
    <w:rsid w:val="00A6128E"/>
    <w:rsid w:val="00A62CE1"/>
    <w:rsid w:val="00A631FA"/>
    <w:rsid w:val="00A64203"/>
    <w:rsid w:val="00A64348"/>
    <w:rsid w:val="00A721FB"/>
    <w:rsid w:val="00A727BA"/>
    <w:rsid w:val="00A72D4B"/>
    <w:rsid w:val="00A732AE"/>
    <w:rsid w:val="00A75E40"/>
    <w:rsid w:val="00A77EB2"/>
    <w:rsid w:val="00A82B66"/>
    <w:rsid w:val="00A83B58"/>
    <w:rsid w:val="00A851B6"/>
    <w:rsid w:val="00A85729"/>
    <w:rsid w:val="00A8574B"/>
    <w:rsid w:val="00A857C0"/>
    <w:rsid w:val="00A96463"/>
    <w:rsid w:val="00A97E3F"/>
    <w:rsid w:val="00AA09D3"/>
    <w:rsid w:val="00AA23FB"/>
    <w:rsid w:val="00AA42AB"/>
    <w:rsid w:val="00AA559A"/>
    <w:rsid w:val="00AB104D"/>
    <w:rsid w:val="00AB2AF1"/>
    <w:rsid w:val="00AB440B"/>
    <w:rsid w:val="00AB47E3"/>
    <w:rsid w:val="00AB74C5"/>
    <w:rsid w:val="00AB7DF2"/>
    <w:rsid w:val="00AC1E3F"/>
    <w:rsid w:val="00AC4F18"/>
    <w:rsid w:val="00AD0B46"/>
    <w:rsid w:val="00AD1094"/>
    <w:rsid w:val="00AD2565"/>
    <w:rsid w:val="00AD306C"/>
    <w:rsid w:val="00AD3424"/>
    <w:rsid w:val="00AD50D1"/>
    <w:rsid w:val="00AD59BB"/>
    <w:rsid w:val="00AD5D68"/>
    <w:rsid w:val="00AD6C73"/>
    <w:rsid w:val="00AE06D0"/>
    <w:rsid w:val="00AE39DC"/>
    <w:rsid w:val="00AE3CDA"/>
    <w:rsid w:val="00AE7968"/>
    <w:rsid w:val="00AF128B"/>
    <w:rsid w:val="00AF1AEA"/>
    <w:rsid w:val="00AF2852"/>
    <w:rsid w:val="00AF3225"/>
    <w:rsid w:val="00AF518B"/>
    <w:rsid w:val="00AF5275"/>
    <w:rsid w:val="00AF6367"/>
    <w:rsid w:val="00AF6A79"/>
    <w:rsid w:val="00AF724E"/>
    <w:rsid w:val="00AF73A9"/>
    <w:rsid w:val="00B01C2C"/>
    <w:rsid w:val="00B0231C"/>
    <w:rsid w:val="00B15DCD"/>
    <w:rsid w:val="00B17E71"/>
    <w:rsid w:val="00B17FDE"/>
    <w:rsid w:val="00B208FC"/>
    <w:rsid w:val="00B20C65"/>
    <w:rsid w:val="00B22E17"/>
    <w:rsid w:val="00B27293"/>
    <w:rsid w:val="00B3229E"/>
    <w:rsid w:val="00B32DDB"/>
    <w:rsid w:val="00B35174"/>
    <w:rsid w:val="00B35BEA"/>
    <w:rsid w:val="00B3793D"/>
    <w:rsid w:val="00B41BE6"/>
    <w:rsid w:val="00B457E7"/>
    <w:rsid w:val="00B45D1B"/>
    <w:rsid w:val="00B46D25"/>
    <w:rsid w:val="00B47430"/>
    <w:rsid w:val="00B52D2D"/>
    <w:rsid w:val="00B55BA8"/>
    <w:rsid w:val="00B55F15"/>
    <w:rsid w:val="00B561A6"/>
    <w:rsid w:val="00B60062"/>
    <w:rsid w:val="00B62960"/>
    <w:rsid w:val="00B63A11"/>
    <w:rsid w:val="00B63FD0"/>
    <w:rsid w:val="00B65C84"/>
    <w:rsid w:val="00B6608F"/>
    <w:rsid w:val="00B74317"/>
    <w:rsid w:val="00B76D1E"/>
    <w:rsid w:val="00B800EB"/>
    <w:rsid w:val="00B822D2"/>
    <w:rsid w:val="00B848B8"/>
    <w:rsid w:val="00B84A41"/>
    <w:rsid w:val="00B84D57"/>
    <w:rsid w:val="00B85689"/>
    <w:rsid w:val="00B86748"/>
    <w:rsid w:val="00B907EA"/>
    <w:rsid w:val="00B91EC9"/>
    <w:rsid w:val="00B924CA"/>
    <w:rsid w:val="00B93384"/>
    <w:rsid w:val="00B94417"/>
    <w:rsid w:val="00B95940"/>
    <w:rsid w:val="00B95EF8"/>
    <w:rsid w:val="00B95F50"/>
    <w:rsid w:val="00B96BD9"/>
    <w:rsid w:val="00BB1CFD"/>
    <w:rsid w:val="00BB2C53"/>
    <w:rsid w:val="00BB32DA"/>
    <w:rsid w:val="00BB3A54"/>
    <w:rsid w:val="00BB4E21"/>
    <w:rsid w:val="00BB7746"/>
    <w:rsid w:val="00BC22EB"/>
    <w:rsid w:val="00BC682B"/>
    <w:rsid w:val="00BC6B04"/>
    <w:rsid w:val="00BD186B"/>
    <w:rsid w:val="00BD1EAC"/>
    <w:rsid w:val="00BD3428"/>
    <w:rsid w:val="00BD366B"/>
    <w:rsid w:val="00BD534C"/>
    <w:rsid w:val="00BD56BC"/>
    <w:rsid w:val="00BD5D91"/>
    <w:rsid w:val="00BD6615"/>
    <w:rsid w:val="00BD6D50"/>
    <w:rsid w:val="00BE0D79"/>
    <w:rsid w:val="00BE0DB0"/>
    <w:rsid w:val="00BE3381"/>
    <w:rsid w:val="00BE3F09"/>
    <w:rsid w:val="00BE670A"/>
    <w:rsid w:val="00BE6906"/>
    <w:rsid w:val="00BF18F4"/>
    <w:rsid w:val="00BF1A69"/>
    <w:rsid w:val="00BF3BC8"/>
    <w:rsid w:val="00BF3DF1"/>
    <w:rsid w:val="00BF4C31"/>
    <w:rsid w:val="00BF4E57"/>
    <w:rsid w:val="00C00F20"/>
    <w:rsid w:val="00C034E6"/>
    <w:rsid w:val="00C0784A"/>
    <w:rsid w:val="00C10B28"/>
    <w:rsid w:val="00C10FAE"/>
    <w:rsid w:val="00C12A69"/>
    <w:rsid w:val="00C150BE"/>
    <w:rsid w:val="00C15A0C"/>
    <w:rsid w:val="00C15DCB"/>
    <w:rsid w:val="00C1711F"/>
    <w:rsid w:val="00C20744"/>
    <w:rsid w:val="00C20C4D"/>
    <w:rsid w:val="00C21D46"/>
    <w:rsid w:val="00C21F94"/>
    <w:rsid w:val="00C222A1"/>
    <w:rsid w:val="00C23CBD"/>
    <w:rsid w:val="00C23D22"/>
    <w:rsid w:val="00C2463B"/>
    <w:rsid w:val="00C24E77"/>
    <w:rsid w:val="00C2732D"/>
    <w:rsid w:val="00C273C6"/>
    <w:rsid w:val="00C27913"/>
    <w:rsid w:val="00C300C6"/>
    <w:rsid w:val="00C3271C"/>
    <w:rsid w:val="00C34FDE"/>
    <w:rsid w:val="00C35C16"/>
    <w:rsid w:val="00C40F81"/>
    <w:rsid w:val="00C41463"/>
    <w:rsid w:val="00C41A72"/>
    <w:rsid w:val="00C476C5"/>
    <w:rsid w:val="00C503B0"/>
    <w:rsid w:val="00C511C2"/>
    <w:rsid w:val="00C53D82"/>
    <w:rsid w:val="00C60696"/>
    <w:rsid w:val="00C615F1"/>
    <w:rsid w:val="00C61627"/>
    <w:rsid w:val="00C64E60"/>
    <w:rsid w:val="00C657A4"/>
    <w:rsid w:val="00C6736C"/>
    <w:rsid w:val="00C71A1D"/>
    <w:rsid w:val="00C75C7E"/>
    <w:rsid w:val="00C75C9B"/>
    <w:rsid w:val="00C76D8E"/>
    <w:rsid w:val="00C77833"/>
    <w:rsid w:val="00C80C9B"/>
    <w:rsid w:val="00C8335E"/>
    <w:rsid w:val="00C83F9C"/>
    <w:rsid w:val="00C84CE3"/>
    <w:rsid w:val="00C85614"/>
    <w:rsid w:val="00C90CF4"/>
    <w:rsid w:val="00C91C19"/>
    <w:rsid w:val="00C929A0"/>
    <w:rsid w:val="00C93389"/>
    <w:rsid w:val="00C937DB"/>
    <w:rsid w:val="00C94519"/>
    <w:rsid w:val="00C94E83"/>
    <w:rsid w:val="00CA140F"/>
    <w:rsid w:val="00CA25C2"/>
    <w:rsid w:val="00CA37CA"/>
    <w:rsid w:val="00CA6508"/>
    <w:rsid w:val="00CA6BA1"/>
    <w:rsid w:val="00CA6CD5"/>
    <w:rsid w:val="00CB1910"/>
    <w:rsid w:val="00CB2150"/>
    <w:rsid w:val="00CB28EE"/>
    <w:rsid w:val="00CB43A7"/>
    <w:rsid w:val="00CB5996"/>
    <w:rsid w:val="00CB7452"/>
    <w:rsid w:val="00CC0E10"/>
    <w:rsid w:val="00CC2642"/>
    <w:rsid w:val="00CC2E15"/>
    <w:rsid w:val="00CC3908"/>
    <w:rsid w:val="00CC62AD"/>
    <w:rsid w:val="00CC7B80"/>
    <w:rsid w:val="00CD2B3C"/>
    <w:rsid w:val="00CD30F6"/>
    <w:rsid w:val="00CD4B29"/>
    <w:rsid w:val="00CD6EF1"/>
    <w:rsid w:val="00CE21C7"/>
    <w:rsid w:val="00CE57D8"/>
    <w:rsid w:val="00CE617A"/>
    <w:rsid w:val="00CF28C2"/>
    <w:rsid w:val="00CF42BD"/>
    <w:rsid w:val="00CF51EC"/>
    <w:rsid w:val="00CF6CD7"/>
    <w:rsid w:val="00D0037A"/>
    <w:rsid w:val="00D00DAF"/>
    <w:rsid w:val="00D017EC"/>
    <w:rsid w:val="00D01CDA"/>
    <w:rsid w:val="00D040DD"/>
    <w:rsid w:val="00D04E1B"/>
    <w:rsid w:val="00D076DB"/>
    <w:rsid w:val="00D1067C"/>
    <w:rsid w:val="00D136D4"/>
    <w:rsid w:val="00D13830"/>
    <w:rsid w:val="00D13ECF"/>
    <w:rsid w:val="00D142E5"/>
    <w:rsid w:val="00D148CD"/>
    <w:rsid w:val="00D1611E"/>
    <w:rsid w:val="00D16E69"/>
    <w:rsid w:val="00D205A9"/>
    <w:rsid w:val="00D217EE"/>
    <w:rsid w:val="00D245BA"/>
    <w:rsid w:val="00D26923"/>
    <w:rsid w:val="00D27856"/>
    <w:rsid w:val="00D301CA"/>
    <w:rsid w:val="00D30740"/>
    <w:rsid w:val="00D31075"/>
    <w:rsid w:val="00D31445"/>
    <w:rsid w:val="00D31932"/>
    <w:rsid w:val="00D378CC"/>
    <w:rsid w:val="00D4042C"/>
    <w:rsid w:val="00D42312"/>
    <w:rsid w:val="00D43998"/>
    <w:rsid w:val="00D4615E"/>
    <w:rsid w:val="00D478E2"/>
    <w:rsid w:val="00D5264C"/>
    <w:rsid w:val="00D547BA"/>
    <w:rsid w:val="00D55626"/>
    <w:rsid w:val="00D556BC"/>
    <w:rsid w:val="00D5626D"/>
    <w:rsid w:val="00D60277"/>
    <w:rsid w:val="00D61F88"/>
    <w:rsid w:val="00D62901"/>
    <w:rsid w:val="00D6470C"/>
    <w:rsid w:val="00D64853"/>
    <w:rsid w:val="00D64CB5"/>
    <w:rsid w:val="00D66D48"/>
    <w:rsid w:val="00D73256"/>
    <w:rsid w:val="00D73A30"/>
    <w:rsid w:val="00D74C65"/>
    <w:rsid w:val="00D75DC2"/>
    <w:rsid w:val="00D766EF"/>
    <w:rsid w:val="00D76C03"/>
    <w:rsid w:val="00D82462"/>
    <w:rsid w:val="00D868CE"/>
    <w:rsid w:val="00D86DAE"/>
    <w:rsid w:val="00D90C1E"/>
    <w:rsid w:val="00D91BDF"/>
    <w:rsid w:val="00D93F09"/>
    <w:rsid w:val="00D954C2"/>
    <w:rsid w:val="00D97BB8"/>
    <w:rsid w:val="00DA1318"/>
    <w:rsid w:val="00DA1382"/>
    <w:rsid w:val="00DA4AF6"/>
    <w:rsid w:val="00DB016E"/>
    <w:rsid w:val="00DB06E9"/>
    <w:rsid w:val="00DB378E"/>
    <w:rsid w:val="00DB3E9D"/>
    <w:rsid w:val="00DB47B9"/>
    <w:rsid w:val="00DB4FB8"/>
    <w:rsid w:val="00DB53CE"/>
    <w:rsid w:val="00DB549D"/>
    <w:rsid w:val="00DC257F"/>
    <w:rsid w:val="00DC3790"/>
    <w:rsid w:val="00DC408A"/>
    <w:rsid w:val="00DC5B3B"/>
    <w:rsid w:val="00DC6796"/>
    <w:rsid w:val="00DC78DF"/>
    <w:rsid w:val="00DD0821"/>
    <w:rsid w:val="00DD0E32"/>
    <w:rsid w:val="00DD373E"/>
    <w:rsid w:val="00DD57AD"/>
    <w:rsid w:val="00DE009B"/>
    <w:rsid w:val="00DE2ED9"/>
    <w:rsid w:val="00DE319A"/>
    <w:rsid w:val="00DF0DC3"/>
    <w:rsid w:val="00DF21FD"/>
    <w:rsid w:val="00DF2873"/>
    <w:rsid w:val="00DF5578"/>
    <w:rsid w:val="00DF78DD"/>
    <w:rsid w:val="00DF7FEC"/>
    <w:rsid w:val="00E01C0E"/>
    <w:rsid w:val="00E03B27"/>
    <w:rsid w:val="00E04694"/>
    <w:rsid w:val="00E05B2B"/>
    <w:rsid w:val="00E06A2A"/>
    <w:rsid w:val="00E07F05"/>
    <w:rsid w:val="00E127E1"/>
    <w:rsid w:val="00E144D2"/>
    <w:rsid w:val="00E15346"/>
    <w:rsid w:val="00E15B7D"/>
    <w:rsid w:val="00E215EA"/>
    <w:rsid w:val="00E24619"/>
    <w:rsid w:val="00E25223"/>
    <w:rsid w:val="00E30BEA"/>
    <w:rsid w:val="00E31764"/>
    <w:rsid w:val="00E34985"/>
    <w:rsid w:val="00E34E4A"/>
    <w:rsid w:val="00E365B3"/>
    <w:rsid w:val="00E366BB"/>
    <w:rsid w:val="00E37C45"/>
    <w:rsid w:val="00E40AAA"/>
    <w:rsid w:val="00E438CF"/>
    <w:rsid w:val="00E43C41"/>
    <w:rsid w:val="00E450CE"/>
    <w:rsid w:val="00E45A00"/>
    <w:rsid w:val="00E45CE7"/>
    <w:rsid w:val="00E4631F"/>
    <w:rsid w:val="00E522BB"/>
    <w:rsid w:val="00E539E4"/>
    <w:rsid w:val="00E569C7"/>
    <w:rsid w:val="00E571F2"/>
    <w:rsid w:val="00E57429"/>
    <w:rsid w:val="00E70510"/>
    <w:rsid w:val="00E71262"/>
    <w:rsid w:val="00E71A58"/>
    <w:rsid w:val="00E7724B"/>
    <w:rsid w:val="00E84F21"/>
    <w:rsid w:val="00E90F73"/>
    <w:rsid w:val="00E921C7"/>
    <w:rsid w:val="00E92995"/>
    <w:rsid w:val="00E94612"/>
    <w:rsid w:val="00E95797"/>
    <w:rsid w:val="00E9682F"/>
    <w:rsid w:val="00E96A8D"/>
    <w:rsid w:val="00E972BA"/>
    <w:rsid w:val="00E97FA2"/>
    <w:rsid w:val="00EA06CB"/>
    <w:rsid w:val="00EA0C68"/>
    <w:rsid w:val="00EA3EBE"/>
    <w:rsid w:val="00EA3FAC"/>
    <w:rsid w:val="00EA4153"/>
    <w:rsid w:val="00EA5CD6"/>
    <w:rsid w:val="00EB20A0"/>
    <w:rsid w:val="00EB30B6"/>
    <w:rsid w:val="00EB4FA4"/>
    <w:rsid w:val="00EB5146"/>
    <w:rsid w:val="00EB55E9"/>
    <w:rsid w:val="00EB5641"/>
    <w:rsid w:val="00EB5CA9"/>
    <w:rsid w:val="00EB5ED4"/>
    <w:rsid w:val="00EB6537"/>
    <w:rsid w:val="00EB70E1"/>
    <w:rsid w:val="00EB7EB5"/>
    <w:rsid w:val="00EC454B"/>
    <w:rsid w:val="00EC6153"/>
    <w:rsid w:val="00EC7F92"/>
    <w:rsid w:val="00ED00A8"/>
    <w:rsid w:val="00ED0A79"/>
    <w:rsid w:val="00ED2989"/>
    <w:rsid w:val="00ED2CA5"/>
    <w:rsid w:val="00ED336F"/>
    <w:rsid w:val="00ED54D6"/>
    <w:rsid w:val="00ED5726"/>
    <w:rsid w:val="00EE0298"/>
    <w:rsid w:val="00EE0384"/>
    <w:rsid w:val="00EE10AA"/>
    <w:rsid w:val="00EE1637"/>
    <w:rsid w:val="00EE3B7A"/>
    <w:rsid w:val="00EE3E78"/>
    <w:rsid w:val="00EE5E02"/>
    <w:rsid w:val="00EE617D"/>
    <w:rsid w:val="00EE61BF"/>
    <w:rsid w:val="00EE6748"/>
    <w:rsid w:val="00EE6C6B"/>
    <w:rsid w:val="00EF0E75"/>
    <w:rsid w:val="00EF1F5A"/>
    <w:rsid w:val="00EF4685"/>
    <w:rsid w:val="00EF5397"/>
    <w:rsid w:val="00EF6BE3"/>
    <w:rsid w:val="00F00D0E"/>
    <w:rsid w:val="00F00D3C"/>
    <w:rsid w:val="00F04811"/>
    <w:rsid w:val="00F0488C"/>
    <w:rsid w:val="00F0496E"/>
    <w:rsid w:val="00F04D10"/>
    <w:rsid w:val="00F0625B"/>
    <w:rsid w:val="00F101FF"/>
    <w:rsid w:val="00F10A33"/>
    <w:rsid w:val="00F15BEF"/>
    <w:rsid w:val="00F172BE"/>
    <w:rsid w:val="00F1776C"/>
    <w:rsid w:val="00F2037E"/>
    <w:rsid w:val="00F20D17"/>
    <w:rsid w:val="00F2103E"/>
    <w:rsid w:val="00F214FC"/>
    <w:rsid w:val="00F21C31"/>
    <w:rsid w:val="00F23825"/>
    <w:rsid w:val="00F23FFF"/>
    <w:rsid w:val="00F2441D"/>
    <w:rsid w:val="00F24FAA"/>
    <w:rsid w:val="00F26197"/>
    <w:rsid w:val="00F318FC"/>
    <w:rsid w:val="00F31F76"/>
    <w:rsid w:val="00F3364D"/>
    <w:rsid w:val="00F35ACD"/>
    <w:rsid w:val="00F36BF8"/>
    <w:rsid w:val="00F37760"/>
    <w:rsid w:val="00F403D1"/>
    <w:rsid w:val="00F43921"/>
    <w:rsid w:val="00F4591F"/>
    <w:rsid w:val="00F4736B"/>
    <w:rsid w:val="00F47D05"/>
    <w:rsid w:val="00F50030"/>
    <w:rsid w:val="00F51FC9"/>
    <w:rsid w:val="00F54B31"/>
    <w:rsid w:val="00F54FD3"/>
    <w:rsid w:val="00F55605"/>
    <w:rsid w:val="00F62F02"/>
    <w:rsid w:val="00F63DDE"/>
    <w:rsid w:val="00F63FB7"/>
    <w:rsid w:val="00F64726"/>
    <w:rsid w:val="00F6561A"/>
    <w:rsid w:val="00F727D5"/>
    <w:rsid w:val="00F72F44"/>
    <w:rsid w:val="00F73A0C"/>
    <w:rsid w:val="00F759DC"/>
    <w:rsid w:val="00F771A5"/>
    <w:rsid w:val="00F817A4"/>
    <w:rsid w:val="00F81C3A"/>
    <w:rsid w:val="00F835FC"/>
    <w:rsid w:val="00F83E21"/>
    <w:rsid w:val="00F84E18"/>
    <w:rsid w:val="00F852E5"/>
    <w:rsid w:val="00F95117"/>
    <w:rsid w:val="00FA05D7"/>
    <w:rsid w:val="00FA1C6C"/>
    <w:rsid w:val="00FA2C2A"/>
    <w:rsid w:val="00FA309A"/>
    <w:rsid w:val="00FA7644"/>
    <w:rsid w:val="00FB0A9A"/>
    <w:rsid w:val="00FB483B"/>
    <w:rsid w:val="00FB56F1"/>
    <w:rsid w:val="00FB5FD4"/>
    <w:rsid w:val="00FB67F3"/>
    <w:rsid w:val="00FC0D8A"/>
    <w:rsid w:val="00FC0E5F"/>
    <w:rsid w:val="00FC135D"/>
    <w:rsid w:val="00FC3C84"/>
    <w:rsid w:val="00FC4660"/>
    <w:rsid w:val="00FC56DE"/>
    <w:rsid w:val="00FD1261"/>
    <w:rsid w:val="00FD1627"/>
    <w:rsid w:val="00FD473D"/>
    <w:rsid w:val="00FD61C8"/>
    <w:rsid w:val="00FD63CE"/>
    <w:rsid w:val="00FD7D49"/>
    <w:rsid w:val="00FE1251"/>
    <w:rsid w:val="00FE2F78"/>
    <w:rsid w:val="00FE3510"/>
    <w:rsid w:val="00FE375F"/>
    <w:rsid w:val="00FE4FCB"/>
    <w:rsid w:val="00FF28E0"/>
    <w:rsid w:val="00FF2FB4"/>
    <w:rsid w:val="00FF30B3"/>
    <w:rsid w:val="00FF3DF3"/>
    <w:rsid w:val="00FF4027"/>
    <w:rsid w:val="00FF55B1"/>
    <w:rsid w:val="00FF65DF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492C"/>
    <w:pPr>
      <w:keepNext/>
      <w:keepLines/>
      <w:spacing w:after="200"/>
      <w:outlineLvl w:val="0"/>
    </w:pPr>
    <w:rPr>
      <w:rFonts w:eastAsia="MS Gothic"/>
      <w:b/>
      <w:bCs/>
      <w:color w:val="71818C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E492C"/>
    <w:pPr>
      <w:keepNext/>
      <w:keepLines/>
      <w:outlineLvl w:val="1"/>
    </w:pPr>
    <w:rPr>
      <w:rFonts w:eastAsia="MS Gothic"/>
      <w:b/>
      <w:bCs/>
      <w:color w:val="71818C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E492C"/>
    <w:pPr>
      <w:keepNext/>
      <w:keepLines/>
      <w:outlineLvl w:val="2"/>
    </w:pPr>
    <w:rPr>
      <w:rFonts w:eastAsia="MS Gothic"/>
      <w:b/>
      <w:bCs/>
      <w:color w:val="71818C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E492C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E492C"/>
    <w:rPr>
      <w:rFonts w:ascii="Arial" w:eastAsia="MS Gothic" w:hAnsi="Arial" w:cs="Times New Roman"/>
      <w:b/>
      <w:color w:val="71818C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E492C"/>
    <w:rPr>
      <w:rFonts w:ascii="Arial" w:eastAsia="MS Gothic" w:hAnsi="Arial" w:cs="Times New Roman"/>
      <w:b/>
      <w:color w:val="71818C"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E492C"/>
    <w:rPr>
      <w:rFonts w:ascii="Arial" w:eastAsia="MS Gothic" w:hAnsi="Arial" w:cs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521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521A1"/>
    <w:rPr>
      <w:rFonts w:ascii="Calibri" w:hAnsi="Calibri" w:cs="Times New Roman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sid w:val="00E71A58"/>
    <w:rPr>
      <w:rFonts w:cs="Times New Roman"/>
      <w:color w:val="0000FF"/>
      <w:u w:val="single"/>
    </w:rPr>
  </w:style>
  <w:style w:type="paragraph" w:customStyle="1" w:styleId="Styl1">
    <w:name w:val="Styl1"/>
    <w:uiPriority w:val="99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71A58"/>
    <w:rPr>
      <w:rFonts w:cs="Times New Roman"/>
    </w:rPr>
  </w:style>
  <w:style w:type="paragraph" w:styleId="Zpat">
    <w:name w:val="footer"/>
    <w:basedOn w:val="Normln"/>
    <w:link w:val="Zpat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71A5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A58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5E492C"/>
    <w:pPr>
      <w:contextualSpacing/>
      <w:outlineLvl w:val="0"/>
    </w:pPr>
    <w:rPr>
      <w:rFonts w:eastAsia="MS Gothic"/>
      <w:b/>
      <w:caps/>
      <w:color w:val="71818C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E492C"/>
    <w:rPr>
      <w:rFonts w:ascii="Arial" w:eastAsia="MS Gothic" w:hAnsi="Arial" w:cs="Times New Roman"/>
      <w:b/>
      <w:caps/>
      <w:color w:val="71818C"/>
      <w:sz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E492C"/>
    <w:pPr>
      <w:numPr>
        <w:ilvl w:val="1"/>
      </w:numPr>
    </w:pPr>
    <w:rPr>
      <w:rFonts w:eastAsia="MS Gothic"/>
      <w:b/>
      <w:iCs/>
      <w:color w:val="71818C"/>
      <w:sz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paragraph" w:customStyle="1" w:styleId="Bezmezer1">
    <w:name w:val="Bez mezer1"/>
    <w:aliases w:val="Bez zarážky"/>
    <w:link w:val="NoSpacingChar"/>
    <w:uiPriority w:val="99"/>
    <w:rsid w:val="005E492C"/>
    <w:pPr>
      <w:spacing w:line="288" w:lineRule="auto"/>
    </w:pPr>
    <w:rPr>
      <w:rFonts w:ascii="Arial" w:hAnsi="Arial"/>
      <w:sz w:val="22"/>
      <w:szCs w:val="22"/>
    </w:rPr>
  </w:style>
  <w:style w:type="paragraph" w:customStyle="1" w:styleId="Box1">
    <w:name w:val="Box 1"/>
    <w:basedOn w:val="Zkladnodstavec"/>
    <w:next w:val="Normln"/>
    <w:uiPriority w:val="99"/>
    <w:rsid w:val="005E492C"/>
    <w:pPr>
      <w:ind w:left="1134"/>
    </w:pPr>
    <w:rPr>
      <w:rFonts w:ascii="Arial" w:hAnsi="Arial" w:cs="Arial"/>
      <w:color w:val="71818C"/>
      <w:sz w:val="20"/>
    </w:rPr>
  </w:style>
  <w:style w:type="paragraph" w:customStyle="1" w:styleId="Box2">
    <w:name w:val="Box 2"/>
    <w:basedOn w:val="Zkladnodstavec"/>
    <w:link w:val="Box2Char"/>
    <w:uiPriority w:val="99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uiPriority w:val="99"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2"/>
      <w:szCs w:val="22"/>
    </w:rPr>
  </w:style>
  <w:style w:type="paragraph" w:customStyle="1" w:styleId="TL-Kontakty">
    <w:name w:val="TL - Kontakty"/>
    <w:next w:val="Normln"/>
    <w:link w:val="TL-KontaktyChar"/>
    <w:uiPriority w:val="99"/>
    <w:rsid w:val="005E492C"/>
    <w:pPr>
      <w:spacing w:after="80"/>
    </w:pPr>
    <w:rPr>
      <w:rFonts w:ascii="Arial" w:hAnsi="Arial"/>
      <w:b/>
      <w:caps/>
      <w:color w:val="BD1B21"/>
      <w:sz w:val="22"/>
      <w:szCs w:val="22"/>
    </w:rPr>
  </w:style>
  <w:style w:type="character" w:customStyle="1" w:styleId="ZkladnodstavecChar">
    <w:name w:val="[Základní odstavec] Char"/>
    <w:link w:val="Zkladnodstavec"/>
    <w:uiPriority w:val="99"/>
    <w:locked/>
    <w:rsid w:val="006710C9"/>
    <w:rPr>
      <w:rFonts w:ascii="Minion Pro" w:hAnsi="Minion Pro"/>
      <w:color w:val="000000"/>
      <w:sz w:val="24"/>
    </w:rPr>
  </w:style>
  <w:style w:type="character" w:customStyle="1" w:styleId="Box2Char">
    <w:name w:val="Box 2 Char"/>
    <w:link w:val="Box2"/>
    <w:uiPriority w:val="99"/>
    <w:locked/>
    <w:rsid w:val="006710C9"/>
    <w:rPr>
      <w:rFonts w:ascii="Arial" w:hAnsi="Arial"/>
      <w:b/>
      <w:color w:val="000000"/>
      <w:sz w:val="24"/>
      <w:shd w:val="clear" w:color="auto" w:fill="CCC0D9"/>
    </w:rPr>
  </w:style>
  <w:style w:type="character" w:customStyle="1" w:styleId="BoxChar">
    <w:name w:val="Box Char"/>
    <w:link w:val="Box"/>
    <w:uiPriority w:val="99"/>
    <w:locked/>
    <w:rsid w:val="005E492C"/>
    <w:rPr>
      <w:rFonts w:ascii="Arial" w:hAnsi="Arial"/>
      <w:color w:val="000000"/>
      <w:sz w:val="22"/>
      <w:szCs w:val="22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uiPriority w:val="99"/>
    <w:rsid w:val="005E492C"/>
    <w:pPr>
      <w:spacing w:after="200" w:line="288" w:lineRule="auto"/>
    </w:pPr>
    <w:rPr>
      <w:rFonts w:ascii="Arial" w:hAnsi="Arial"/>
      <w:sz w:val="22"/>
      <w:szCs w:val="22"/>
    </w:rPr>
  </w:style>
  <w:style w:type="character" w:customStyle="1" w:styleId="TL-KontaktyChar">
    <w:name w:val="TL - Kontakty Char"/>
    <w:link w:val="TL-Kontakty"/>
    <w:uiPriority w:val="99"/>
    <w:locked/>
    <w:rsid w:val="005E492C"/>
    <w:rPr>
      <w:rFonts w:ascii="Arial" w:hAnsi="Arial"/>
      <w:b/>
      <w:caps/>
      <w:color w:val="BD1B21"/>
      <w:sz w:val="22"/>
      <w:szCs w:val="22"/>
      <w:lang w:bidi="ar-SA"/>
    </w:rPr>
  </w:style>
  <w:style w:type="character" w:customStyle="1" w:styleId="TL-IdentifikaceChar">
    <w:name w:val="TL - Identifikace Char"/>
    <w:link w:val="TL-Identifikace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3372873BB58A4DED866D2BE34882C06C">
    <w:name w:val="3372873BB58A4DED866D2BE34882C06C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TL-identifikace-sted">
    <w:name w:val="TL - identifikace - střed"/>
    <w:basedOn w:val="Normln"/>
    <w:link w:val="TL-identifikace-stedChar"/>
    <w:uiPriority w:val="99"/>
    <w:rsid w:val="005E492C"/>
    <w:pPr>
      <w:spacing w:after="200"/>
    </w:pPr>
    <w:rPr>
      <w:sz w:val="24"/>
      <w:szCs w:val="20"/>
    </w:rPr>
  </w:style>
  <w:style w:type="paragraph" w:customStyle="1" w:styleId="TL-Identifikace-dole">
    <w:name w:val="TL - Identifikace - dole"/>
    <w:basedOn w:val="Normln"/>
    <w:link w:val="TL-Identifikace-doleChar"/>
    <w:uiPriority w:val="99"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uiPriority w:val="99"/>
    <w:locked/>
    <w:rsid w:val="005E492C"/>
    <w:rPr>
      <w:rFonts w:ascii="Arial" w:hAnsi="Arial"/>
      <w:sz w:val="24"/>
    </w:rPr>
  </w:style>
  <w:style w:type="character" w:customStyle="1" w:styleId="TL-Identifikace-doleChar">
    <w:name w:val="TL - Identifikace - dole Char"/>
    <w:link w:val="TL-Identifikace-dole"/>
    <w:uiPriority w:val="99"/>
    <w:locked/>
    <w:rsid w:val="005E492C"/>
    <w:rPr>
      <w:rFonts w:ascii="Arial" w:hAnsi="Arial"/>
      <w:lang w:eastAsia="ar-SA" w:bidi="ar-SA"/>
    </w:rPr>
  </w:style>
  <w:style w:type="paragraph" w:styleId="Nadpisobsahu">
    <w:name w:val="TOC Heading"/>
    <w:basedOn w:val="Nadpis1"/>
    <w:next w:val="Normln"/>
    <w:uiPriority w:val="99"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rsid w:val="00E921C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99"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99"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locked/>
    <w:rsid w:val="00972263"/>
    <w:rPr>
      <w:rFonts w:ascii="Arial" w:hAnsi="Arial" w:cs="Times New Roman"/>
    </w:rPr>
  </w:style>
  <w:style w:type="character" w:styleId="Znakapoznpodarou">
    <w:name w:val="footnote reference"/>
    <w:basedOn w:val="Standardnpsmoodstavce"/>
    <w:rsid w:val="00972263"/>
    <w:rPr>
      <w:rFonts w:cs="Times New Roman"/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rsid w:val="00D562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D5626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E921C7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uiPriority w:val="59"/>
    <w:rsid w:val="003D47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qFormat/>
    <w:rsid w:val="007D4281"/>
    <w:pPr>
      <w:jc w:val="both"/>
    </w:pPr>
    <w:rPr>
      <w:rFonts w:ascii="Arial" w:eastAsia="Times New Roman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VA~1\AppData\Local\Temp\publikace%20bar_vicetematick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5A67B-3A4F-4DE0-BEB0-7FC780920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bar_vicetematicke</Template>
  <TotalTime>107</TotalTime>
  <Pages>3</Pages>
  <Words>1873</Words>
  <Characters>9709</Characters>
  <Application>Microsoft Office Word</Application>
  <DocSecurity>0</DocSecurity>
  <Lines>80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11559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Jašová</dc:creator>
  <cp:lastModifiedBy>Ing. Drahomíra Dubská, CSc.</cp:lastModifiedBy>
  <cp:revision>25</cp:revision>
  <cp:lastPrinted>2015-06-19T06:21:00Z</cp:lastPrinted>
  <dcterms:created xsi:type="dcterms:W3CDTF">2015-09-15T08:14:00Z</dcterms:created>
  <dcterms:modified xsi:type="dcterms:W3CDTF">2015-09-18T08:39:00Z</dcterms:modified>
</cp:coreProperties>
</file>