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1" w:rsidRDefault="007D4281" w:rsidP="007F3983">
      <w:pPr>
        <w:pStyle w:val="Nadpis1"/>
        <w:numPr>
          <w:ilvl w:val="0"/>
          <w:numId w:val="6"/>
        </w:numPr>
        <w:jc w:val="both"/>
      </w:pPr>
      <w:bookmarkStart w:id="0" w:name="_Toc446341884"/>
      <w:r>
        <w:t>Ceny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960769" w:rsidRPr="007D44C3" w:rsidTr="00960769">
        <w:tc>
          <w:tcPr>
            <w:tcW w:w="1054" w:type="pct"/>
          </w:tcPr>
          <w:p w:rsidR="00960769" w:rsidRPr="00FD2CDB" w:rsidRDefault="00960769" w:rsidP="008B6B6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D2CDB">
              <w:rPr>
                <w:sz w:val="16"/>
                <w:szCs w:val="16"/>
              </w:rPr>
              <w:t>Celková cenová</w:t>
            </w:r>
            <w:r w:rsidR="008B6B67">
              <w:rPr>
                <w:sz w:val="16"/>
                <w:szCs w:val="16"/>
              </w:rPr>
              <w:t xml:space="preserve"> hladina vzrostla v roce 2015 jen o </w:t>
            </w:r>
            <w:r w:rsidRPr="00FD2CDB">
              <w:rPr>
                <w:sz w:val="16"/>
                <w:szCs w:val="16"/>
              </w:rPr>
              <w:t>0,7 %. Snížila se dynamika všech složek poptávky</w:t>
            </w:r>
          </w:p>
        </w:tc>
        <w:tc>
          <w:tcPr>
            <w:tcW w:w="143" w:type="pct"/>
          </w:tcPr>
          <w:p w:rsidR="00960769" w:rsidRPr="00FD2CDB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FD2CDB" w:rsidRDefault="00960769" w:rsidP="00960769">
            <w:pPr>
              <w:pStyle w:val="Textpoznpodarou"/>
              <w:jc w:val="both"/>
            </w:pPr>
            <w:r w:rsidRPr="00FD2CDB">
              <w:t>Celková cenová hladina vzrostla v roce 2015 podle implicitního deflátoru HDP</w:t>
            </w:r>
            <w:r w:rsidRPr="00FD2CDB">
              <w:rPr>
                <w:rStyle w:val="Znakapoznpodarou"/>
              </w:rPr>
              <w:footnoteReference w:id="1"/>
            </w:r>
            <w:r w:rsidRPr="00FD2CDB">
              <w:t xml:space="preserve"> jen o 0,7 %. Zřetelně zpomalila, neboť v roce 2014 stoupla o 2,5 %. Snížila se dynamika všech složek domácí poptávky a nižší byly i směnné relace. Spotřeba byla z pohledu domácností dražší pouze o 0,1 %, zboží a služby placené vládními institucemi o 1,2 %. Přitom ještě v roce 2014 rostly ceny těchto statků o 0,5 % a 1,5 %. Přírůstek cen investic se zmenšil o 1 p</w:t>
            </w:r>
            <w:r w:rsidR="00494343">
              <w:t>.</w:t>
            </w:r>
            <w:r w:rsidRPr="00FD2CDB">
              <w:t>b. na +0,9 %. Směnné relace v zahraničním obchodě se zbožím a službami setrvaly pozitivní, již třetí rok v řadě, jejich hodnota se však zmenšila na 100,4 %. Byly pozitivní u zboží, v případě služeb nedosáhly hodnoty 100 % již čtyři roky.</w:t>
            </w:r>
          </w:p>
          <w:p w:rsidR="00960769" w:rsidRPr="00DB5792" w:rsidRDefault="00960769" w:rsidP="00960769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960769" w:rsidRPr="007D44C3" w:rsidTr="00960769">
        <w:tc>
          <w:tcPr>
            <w:tcW w:w="1054" w:type="pct"/>
          </w:tcPr>
          <w:p w:rsidR="00960769" w:rsidRPr="000546BE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0546BE">
              <w:rPr>
                <w:sz w:val="16"/>
                <w:szCs w:val="16"/>
              </w:rPr>
              <w:t>Míra inflace klesla v loňském roce na +0,3 % a byla nejnižší za</w:t>
            </w:r>
            <w:r>
              <w:rPr>
                <w:sz w:val="16"/>
                <w:szCs w:val="16"/>
              </w:rPr>
              <w:t> </w:t>
            </w:r>
            <w:r w:rsidRPr="000546BE">
              <w:rPr>
                <w:sz w:val="16"/>
                <w:szCs w:val="16"/>
              </w:rPr>
              <w:t>posledních dvanáct let (v roce 2003 stouply ceny o 0,1 %), …</w:t>
            </w:r>
          </w:p>
        </w:tc>
        <w:tc>
          <w:tcPr>
            <w:tcW w:w="143" w:type="pct"/>
          </w:tcPr>
          <w:p w:rsidR="00960769" w:rsidRPr="000546BE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B01749" w:rsidRDefault="00960769" w:rsidP="00960769">
            <w:pPr>
              <w:pStyle w:val="Textpoznpodarou"/>
              <w:jc w:val="both"/>
            </w:pPr>
            <w:r w:rsidRPr="000546BE">
              <w:t>Míra inflace</w:t>
            </w:r>
            <w:r w:rsidR="00DB5792">
              <w:t xml:space="preserve"> vyjádřená meziroční změnou indexu spotřebitelských cen</w:t>
            </w:r>
            <w:r w:rsidRPr="000546BE">
              <w:t xml:space="preserve"> klesla v roce 2015 na pouhá +0,3 % a byla nejnižší od roku 2003 (+0,1 %). </w:t>
            </w:r>
            <w:r>
              <w:t>Snižovala se</w:t>
            </w:r>
            <w:r w:rsidRPr="000546BE">
              <w:t xml:space="preserve"> již třetím rokem a její dlouhodobý vývoj byl tedy zřejmý. Cenová dynamika v průběhu samotného roku 2015, pokud jde o jednotlivá </w:t>
            </w:r>
            <w:r w:rsidRPr="00B01749">
              <w:t xml:space="preserve">čtvrtletí, byla však rozkolísaná. Zatímco ve 2. a 3. čtvrtletí vzrostly </w:t>
            </w:r>
            <w:r w:rsidRPr="00222606">
              <w:rPr>
                <w:spacing w:val="-4"/>
              </w:rPr>
              <w:t xml:space="preserve">spotřebitelské ceny v meziročním srovnání o 0,7 % a 0,4 %, v 1. a </w:t>
            </w:r>
            <w:r w:rsidR="008B6B67">
              <w:rPr>
                <w:spacing w:val="-4"/>
              </w:rPr>
              <w:t>4.</w:t>
            </w:r>
            <w:r w:rsidRPr="00B01749">
              <w:t xml:space="preserve"> čtvrtletí česká ekonomika balancovala na hraně deflace (ceny stouply shodně </w:t>
            </w:r>
            <w:r w:rsidR="0001519F">
              <w:t>jen o</w:t>
            </w:r>
            <w:r w:rsidRPr="00B01749">
              <w:t xml:space="preserve"> 0,1 %).</w:t>
            </w:r>
          </w:p>
          <w:p w:rsidR="00960769" w:rsidRPr="00DB5792" w:rsidRDefault="00960769" w:rsidP="0096076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60769" w:rsidRPr="007D44C3" w:rsidTr="00960769">
        <w:tc>
          <w:tcPr>
            <w:tcW w:w="1054" w:type="pct"/>
          </w:tcPr>
          <w:p w:rsidR="00960769" w:rsidRPr="000546BE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0546BE">
              <w:rPr>
                <w:sz w:val="16"/>
                <w:szCs w:val="16"/>
              </w:rPr>
              <w:t>… na vině byly hlavně nabídkové faktory</w:t>
            </w:r>
          </w:p>
        </w:tc>
        <w:tc>
          <w:tcPr>
            <w:tcW w:w="143" w:type="pct"/>
          </w:tcPr>
          <w:p w:rsidR="00960769" w:rsidRPr="000546BE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0546BE" w:rsidRDefault="00960769" w:rsidP="00960769">
            <w:pPr>
              <w:pStyle w:val="Textpoznpodarou"/>
              <w:jc w:val="both"/>
            </w:pPr>
            <w:r w:rsidRPr="000546BE">
              <w:t>Utlumený cenový vývoj v roce 2015 byl způsoben zejména nabídkovými faktory. Tím klíčovým byl pokles ceny ropy na světovém komoditním trhu, kdy se průměrná cena barelu ropy Brent snížila z 99 amerických dolarů v roce 2014 na</w:t>
            </w:r>
            <w:r>
              <w:t> </w:t>
            </w:r>
            <w:r w:rsidRPr="000546BE">
              <w:t>52,3 dolaru v roce 2015.</w:t>
            </w:r>
            <w:r>
              <w:t xml:space="preserve"> K dezinflaci přispívaly</w:t>
            </w:r>
            <w:r w:rsidRPr="000546BE">
              <w:t xml:space="preserve"> nicméně </w:t>
            </w:r>
            <w:r>
              <w:t>i snižující se ceny</w:t>
            </w:r>
            <w:r w:rsidRPr="000546BE">
              <w:t xml:space="preserve"> ve zpracovatelském průmyslu v eurozóně ovlivňující ceny dovozu do ČR a také </w:t>
            </w:r>
            <w:r>
              <w:t>klesající ceny</w:t>
            </w:r>
            <w:r w:rsidRPr="000546BE">
              <w:t xml:space="preserve"> živočišné výroby </w:t>
            </w:r>
            <w:r>
              <w:t>dopadající do cen</w:t>
            </w:r>
            <w:r w:rsidRPr="000546BE">
              <w:t xml:space="preserve"> potravin. Dramaticky oslabující koruna k americkému dolaru a rostoucí poptávka domácností po zboží a službách nastolený trend tlumily, zvrátit jej však nedokázaly.</w:t>
            </w:r>
          </w:p>
          <w:p w:rsidR="00960769" w:rsidRPr="00DB5792" w:rsidRDefault="00960769" w:rsidP="0096076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60769" w:rsidRPr="007D44C3" w:rsidTr="00960769">
        <w:tc>
          <w:tcPr>
            <w:tcW w:w="1054" w:type="pct"/>
          </w:tcPr>
          <w:p w:rsidR="00960769" w:rsidRPr="000546BE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0546BE">
              <w:rPr>
                <w:sz w:val="16"/>
                <w:szCs w:val="16"/>
              </w:rPr>
              <w:t>Ceny tabáku stouply v loňském roce o 7,6 % a zajistily, že česká ekonomika nesestoupila do deflace</w:t>
            </w:r>
          </w:p>
        </w:tc>
        <w:tc>
          <w:tcPr>
            <w:tcW w:w="143" w:type="pct"/>
          </w:tcPr>
          <w:p w:rsidR="00960769" w:rsidRPr="000546BE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0546BE" w:rsidRDefault="00960769" w:rsidP="00960769">
            <w:pPr>
              <w:pStyle w:val="Textpoznpodarou"/>
              <w:jc w:val="both"/>
            </w:pPr>
            <w:r w:rsidRPr="000546BE">
              <w:t xml:space="preserve">Z váhově významnějších oddílů spotřebního koše se cenová dynamika v loňském roce zhoršila v případě potravin </w:t>
            </w:r>
            <w:r w:rsidR="008E0367">
              <w:t>a nealkoholických nápojů (z +2</w:t>
            </w:r>
            <w:r w:rsidRPr="000546BE">
              <w:t xml:space="preserve"> % na -1,1 %) a výdajů za dopravu (z +0,2 % na -4,2 %). Ke zpomalení cenového vývoje přispěl </w:t>
            </w:r>
            <w:r w:rsidRPr="000546BE">
              <w:rPr>
                <w:spacing w:val="-2"/>
              </w:rPr>
              <w:t>ale i hluboký pokles cen výdajů za zdraví (prohloubil</w:t>
            </w:r>
            <w:r w:rsidR="00447E36">
              <w:rPr>
                <w:spacing w:val="-2"/>
              </w:rPr>
              <w:t xml:space="preserve"> se</w:t>
            </w:r>
            <w:r w:rsidRPr="000546BE">
              <w:rPr>
                <w:spacing w:val="-2"/>
              </w:rPr>
              <w:t xml:space="preserve"> z -1,8 % na -7,1</w:t>
            </w:r>
            <w:r w:rsidRPr="000546BE">
              <w:t xml:space="preserve"> %), který souvisel se zrušením regulačních poplatků za výdej léků na recept a poplatků při návštěvě lékaře. Mírně se na něm podílel i slabší nárůst cen výdajů za stravování a ubytování a výdajů za vzdělávání. Ve směru nárůstu </w:t>
            </w:r>
            <w:r>
              <w:t>spotřebitelských cen</w:t>
            </w:r>
            <w:r w:rsidRPr="000546BE">
              <w:t xml:space="preserve"> působily v roce 2015 hlavně ceny tabáku. Stouply o 7,6 %, díky zvýšení spotřebních daní, a přispěly tak podstatnou měrou k tomu, že česká ekonomika zůstala v kladném inflačním pásmu a nesestoupila do deflace.</w:t>
            </w:r>
          </w:p>
          <w:p w:rsidR="00960769" w:rsidRPr="00DB5792" w:rsidRDefault="00960769" w:rsidP="00960769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960769" w:rsidRPr="007D44C3" w:rsidTr="00960769">
        <w:tc>
          <w:tcPr>
            <w:tcW w:w="1054" w:type="pct"/>
          </w:tcPr>
          <w:p w:rsidR="00960769" w:rsidRPr="000546BE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0546BE">
              <w:rPr>
                <w:sz w:val="16"/>
                <w:szCs w:val="16"/>
              </w:rPr>
              <w:t>Cenový vývoj v posledních dvou letech působil mírně ve směru narovnávání sociálních nerovností</w:t>
            </w:r>
          </w:p>
        </w:tc>
        <w:tc>
          <w:tcPr>
            <w:tcW w:w="143" w:type="pct"/>
          </w:tcPr>
          <w:p w:rsidR="00960769" w:rsidRPr="000546BE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0546BE" w:rsidRDefault="00960769" w:rsidP="00960769">
            <w:pPr>
              <w:pStyle w:val="Textpoznpodarou"/>
              <w:jc w:val="both"/>
            </w:pPr>
            <w:r w:rsidRPr="000546BE">
              <w:t>Z hlediska vývoje sociálních nerovností je pozitivem, že dynamika cen pro domácnosti důchodců (+0,1 %) byla v loňském roce slabší než pro domácnosti celkem (+0,3 %). Opakovala se situace z předchozího roku</w:t>
            </w:r>
            <w:r>
              <w:t>.</w:t>
            </w:r>
            <w:r w:rsidRPr="000546BE">
              <w:t xml:space="preserve"> </w:t>
            </w:r>
            <w:r w:rsidR="00457296">
              <w:t>V průběhu p</w:t>
            </w:r>
            <w:r w:rsidRPr="000546BE">
              <w:t>oslední</w:t>
            </w:r>
            <w:r w:rsidR="00457296">
              <w:t>ch dvou</w:t>
            </w:r>
            <w:r w:rsidRPr="000546BE">
              <w:t xml:space="preserve"> </w:t>
            </w:r>
            <w:r w:rsidR="00457296">
              <w:t>let se tak mírně napravoval</w:t>
            </w:r>
            <w:r w:rsidRPr="000546BE">
              <w:t xml:space="preserve"> dlouhodobý nárůst sociálních nerovno</w:t>
            </w:r>
            <w:r w:rsidR="00457296">
              <w:t>stí, které přesto</w:t>
            </w:r>
            <w:r w:rsidRPr="000546BE">
              <w:t xml:space="preserve"> zůstaly značné. Jestliže z pohledu domácností celkem stouply ceny za posledních deset let o 23,6 %, domácnostem důchodců se životní náklady v tomto období zvýšily o</w:t>
            </w:r>
            <w:r>
              <w:t> </w:t>
            </w:r>
            <w:r w:rsidRPr="000546BE">
              <w:t>32,4 %.</w:t>
            </w:r>
          </w:p>
          <w:p w:rsidR="00960769" w:rsidRPr="00DB5792" w:rsidRDefault="00960769" w:rsidP="0096076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60769" w:rsidRPr="007D44C3" w:rsidTr="00960769">
        <w:tc>
          <w:tcPr>
            <w:tcW w:w="1054" w:type="pct"/>
          </w:tcPr>
          <w:p w:rsidR="00960769" w:rsidRPr="00F502F5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F502F5">
              <w:rPr>
                <w:sz w:val="16"/>
                <w:szCs w:val="16"/>
              </w:rPr>
              <w:t>Ceny nemovitostí se v prostředí nízkých úrokových sazeb dynamicky zvyšují. Nájemné se však příliš nemění</w:t>
            </w:r>
          </w:p>
        </w:tc>
        <w:tc>
          <w:tcPr>
            <w:tcW w:w="143" w:type="pct"/>
          </w:tcPr>
          <w:p w:rsidR="00960769" w:rsidRPr="00F502F5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F502F5" w:rsidRDefault="00960769" w:rsidP="00960769">
            <w:pPr>
              <w:pStyle w:val="Textpoznpodarou"/>
              <w:jc w:val="both"/>
            </w:pPr>
            <w:r w:rsidRPr="00F502F5">
              <w:t xml:space="preserve">V české ekonomice dochází </w:t>
            </w:r>
            <w:r w:rsidR="007C0065">
              <w:t>k rychlému</w:t>
            </w:r>
            <w:r w:rsidRPr="00F502F5">
              <w:t xml:space="preserve"> růstu cen nemovitostí. Realizované ceny nových bytů v Praze st</w:t>
            </w:r>
            <w:r w:rsidR="000B48A2" w:rsidRPr="00F502F5">
              <w:t>ouply ve 4. čtvrtletí 2015 o 5,2 % meziročně, s</w:t>
            </w:r>
            <w:r w:rsidRPr="00F502F5">
              <w:t xml:space="preserve">tarší byty zdražily </w:t>
            </w:r>
            <w:r w:rsidR="000B48A2" w:rsidRPr="00F502F5">
              <w:t>o 4,6</w:t>
            </w:r>
            <w:r w:rsidRPr="00F502F5">
              <w:t xml:space="preserve"> %. </w:t>
            </w:r>
            <w:r w:rsidR="000B48A2" w:rsidRPr="00F502F5">
              <w:t>V</w:t>
            </w:r>
            <w:r w:rsidRPr="00F502F5">
              <w:t xml:space="preserve">ývoj cen v ostatních regionech </w:t>
            </w:r>
            <w:r w:rsidR="000B48A2" w:rsidRPr="00F502F5">
              <w:t>byl dokonce ještě rychlejší</w:t>
            </w:r>
            <w:r w:rsidRPr="00F502F5">
              <w:t xml:space="preserve">, realizované ceny starších bytů mimo Prahu narostly v posledním čtvrtletí 2015 </w:t>
            </w:r>
            <w:r w:rsidR="000B48A2" w:rsidRPr="00F502F5">
              <w:t>totiž o 7,4</w:t>
            </w:r>
            <w:r w:rsidRPr="00F502F5">
              <w:t xml:space="preserve"> %. Tento vývoj byl podporován nízkými úrokovými sazbami promítajícími se do nárůstu objemu úvěrů na bydlení. Je však překvapivé, že ceny nájmů na silný růst cen nemovitostí prozatím nereagují. </w:t>
            </w:r>
            <w:r w:rsidR="007C0065">
              <w:t>C</w:t>
            </w:r>
            <w:r w:rsidRPr="00F502F5">
              <w:t xml:space="preserve">eny nájemného z bytu stouply </w:t>
            </w:r>
            <w:r w:rsidRPr="00F502F5">
              <w:rPr>
                <w:spacing w:val="-2"/>
              </w:rPr>
              <w:t>v posledním čtvrtletí loňského roku jen o</w:t>
            </w:r>
            <w:r w:rsidR="000B48A2" w:rsidRPr="00F502F5">
              <w:rPr>
                <w:spacing w:val="-2"/>
              </w:rPr>
              <w:t> </w:t>
            </w:r>
            <w:r w:rsidR="007C0065">
              <w:rPr>
                <w:spacing w:val="-2"/>
              </w:rPr>
              <w:t>0,8 % meziročně a</w:t>
            </w:r>
            <w:r w:rsidRPr="00F502F5">
              <w:rPr>
                <w:spacing w:val="-2"/>
              </w:rPr>
              <w:t xml:space="preserve"> ceny imputovaného nájemného o 0,</w:t>
            </w:r>
            <w:r w:rsidRPr="00F502F5">
              <w:t>9 %.</w:t>
            </w:r>
          </w:p>
          <w:p w:rsidR="00960769" w:rsidRPr="00DB5792" w:rsidRDefault="00960769" w:rsidP="0096076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60769" w:rsidRPr="007D44C3" w:rsidTr="00960769">
        <w:tc>
          <w:tcPr>
            <w:tcW w:w="1054" w:type="pct"/>
          </w:tcPr>
          <w:p w:rsidR="00960769" w:rsidRPr="000546BE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0546BE">
              <w:rPr>
                <w:sz w:val="16"/>
                <w:szCs w:val="16"/>
              </w:rPr>
              <w:t xml:space="preserve">Spotřebitelské ceny klesají hlavně v méně </w:t>
            </w:r>
            <w:r w:rsidRPr="000546BE">
              <w:rPr>
                <w:sz w:val="16"/>
                <w:szCs w:val="16"/>
              </w:rPr>
              <w:lastRenderedPageBreak/>
              <w:t>vyspělých ekonomikách EU</w:t>
            </w:r>
          </w:p>
        </w:tc>
        <w:tc>
          <w:tcPr>
            <w:tcW w:w="143" w:type="pct"/>
          </w:tcPr>
          <w:p w:rsidR="00960769" w:rsidRPr="000546BE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CA0883" w:rsidRDefault="00960769" w:rsidP="00960769">
            <w:pPr>
              <w:pStyle w:val="Textpoznpodarou"/>
              <w:jc w:val="both"/>
            </w:pPr>
            <w:r w:rsidRPr="00CA0883">
              <w:t xml:space="preserve">Propad cen ropy, který započal v létě 2014, ovlivňoval všechny země Evropské unie. V roce 2013 se harmonizovaný index spotřebitelských cen snížil pouze </w:t>
            </w:r>
            <w:r w:rsidRPr="00CA0883">
              <w:lastRenderedPageBreak/>
              <w:t xml:space="preserve">v Řecku. V roce 2014 se s deflací </w:t>
            </w:r>
            <w:r w:rsidR="001F3055" w:rsidRPr="00CA0883">
              <w:t xml:space="preserve">ale </w:t>
            </w:r>
            <w:r w:rsidRPr="00CA0883">
              <w:t>potýkalo už šest zemí Unie a loni dokonce jedenáct. Je přitom zajímavé, že</w:t>
            </w:r>
            <w:r w:rsidR="001F3055">
              <w:t xml:space="preserve"> deflace</w:t>
            </w:r>
            <w:r w:rsidRPr="00CA0883">
              <w:t xml:space="preserve"> byla patrná hlavně v méně vyspělých zemích </w:t>
            </w:r>
            <w:r w:rsidR="00B01436" w:rsidRPr="00CA0883">
              <w:t>EU</w:t>
            </w:r>
            <w:r w:rsidRPr="00CA0883">
              <w:t xml:space="preserve">. Z nadprůměrně vyspělých ekonomik </w:t>
            </w:r>
            <w:r w:rsidR="00B01436" w:rsidRPr="00CA0883">
              <w:t xml:space="preserve">podle HDP na obyvatele v PPS </w:t>
            </w:r>
            <w:r w:rsidR="001F3055" w:rsidRPr="00CA0883">
              <w:t xml:space="preserve">čelilo </w:t>
            </w:r>
            <w:r w:rsidR="00CA0883" w:rsidRPr="00CA0883">
              <w:t>deflaci</w:t>
            </w:r>
            <w:r w:rsidRPr="00CA0883">
              <w:t xml:space="preserve"> pouze Finsko (-0,2 %). V eurozóně přešly ceny i přes probíhající kvantitativní uvolňování z mírného růstu do stagnace, stejně tak v celé Unii.</w:t>
            </w:r>
          </w:p>
          <w:p w:rsidR="00960769" w:rsidRPr="003B2580" w:rsidRDefault="00960769" w:rsidP="00960769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960769" w:rsidRPr="007D44C3" w:rsidTr="00960769">
        <w:tc>
          <w:tcPr>
            <w:tcW w:w="1054" w:type="pct"/>
          </w:tcPr>
          <w:p w:rsidR="00960769" w:rsidRPr="000546BE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0546BE">
              <w:rPr>
                <w:sz w:val="16"/>
                <w:szCs w:val="16"/>
              </w:rPr>
              <w:lastRenderedPageBreak/>
              <w:t>Ceny průmyslových výrobců klesly nejrychleji v historii. Snížily se o 3,2 %, …</w:t>
            </w:r>
          </w:p>
        </w:tc>
        <w:tc>
          <w:tcPr>
            <w:tcW w:w="143" w:type="pct"/>
          </w:tcPr>
          <w:p w:rsidR="00960769" w:rsidRPr="000546BE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Default="00960769" w:rsidP="00960769">
            <w:pPr>
              <w:pStyle w:val="Textpoznpodarou"/>
              <w:jc w:val="both"/>
            </w:pPr>
            <w:r w:rsidRPr="000546BE">
              <w:t>Ceny průmyslových výrobců klesly v roce 2015 o 3,2 %, ne</w:t>
            </w:r>
            <w:r>
              <w:t>j</w:t>
            </w:r>
            <w:r w:rsidRPr="000546BE">
              <w:t xml:space="preserve">rychleji v historii České republiky. Vzhledem k obnovenému poklesu ceny ropy od poloviny roku </w:t>
            </w:r>
            <w:r>
              <w:t>se ceny</w:t>
            </w:r>
            <w:r w:rsidRPr="000546BE">
              <w:t xml:space="preserve"> v</w:t>
            </w:r>
            <w:r>
              <w:t> </w:t>
            </w:r>
            <w:r w:rsidRPr="000546BE">
              <w:t>průmyslu</w:t>
            </w:r>
            <w:r>
              <w:t xml:space="preserve"> snižovaly rychleji</w:t>
            </w:r>
            <w:r w:rsidRPr="000546BE">
              <w:t xml:space="preserve"> ve 3. a 4. čtvrtletí. V 1. a 2. kvartále ceny klesly v meziročním srovnání o 3,3 % a 2,3 %, avšak ve 3. a 4. </w:t>
            </w:r>
            <w:r>
              <w:t>č</w:t>
            </w:r>
            <w:r w:rsidRPr="000546BE">
              <w:t>tvrtletí</w:t>
            </w:r>
            <w:r>
              <w:t xml:space="preserve"> již</w:t>
            </w:r>
            <w:r w:rsidRPr="000546BE">
              <w:t xml:space="preserve"> o 3,6 % a</w:t>
            </w:r>
            <w:r>
              <w:t> </w:t>
            </w:r>
            <w:r w:rsidRPr="000546BE">
              <w:t>3,5</w:t>
            </w:r>
            <w:r>
              <w:t> </w:t>
            </w:r>
            <w:r w:rsidRPr="000546BE">
              <w:t>%. Podobně se ceny průmyslových výrobců vyvíjely i v</w:t>
            </w:r>
            <w:r>
              <w:t> EU</w:t>
            </w:r>
            <w:r w:rsidRPr="000546BE">
              <w:t xml:space="preserve">. </w:t>
            </w:r>
            <w:r>
              <w:t>Pokles cen</w:t>
            </w:r>
            <w:r w:rsidRPr="000546BE">
              <w:t xml:space="preserve"> se v průběhu roku 2015 prohloub</w:t>
            </w:r>
            <w:r>
              <w:t>il</w:t>
            </w:r>
            <w:r w:rsidRPr="000546BE">
              <w:t xml:space="preserve"> ve všech</w:t>
            </w:r>
            <w:r>
              <w:t xml:space="preserve"> členských zemích</w:t>
            </w:r>
            <w:r w:rsidRPr="000546BE">
              <w:t xml:space="preserve"> s výjimkou Belgie, Polska, Velké Británie, Irska a Ma</w:t>
            </w:r>
            <w:r>
              <w:t>ďarska.</w:t>
            </w:r>
          </w:p>
          <w:p w:rsidR="00960769" w:rsidRPr="003B2580" w:rsidRDefault="00960769" w:rsidP="0096076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60769" w:rsidRPr="007D44C3" w:rsidTr="00960769">
        <w:tc>
          <w:tcPr>
            <w:tcW w:w="1054" w:type="pct"/>
          </w:tcPr>
          <w:p w:rsidR="00960769" w:rsidRPr="000546BE" w:rsidRDefault="00960769" w:rsidP="003B2580">
            <w:pPr>
              <w:spacing w:line="240" w:lineRule="auto"/>
              <w:rPr>
                <w:sz w:val="16"/>
                <w:szCs w:val="16"/>
              </w:rPr>
            </w:pPr>
            <w:r w:rsidRPr="000546BE">
              <w:rPr>
                <w:sz w:val="16"/>
                <w:szCs w:val="16"/>
              </w:rPr>
              <w:t>… v samotném zpracovatelském průmyslu poklesly dokonce o 3,9 %</w:t>
            </w:r>
          </w:p>
        </w:tc>
        <w:tc>
          <w:tcPr>
            <w:tcW w:w="143" w:type="pct"/>
          </w:tcPr>
          <w:p w:rsidR="00960769" w:rsidRPr="000546BE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0546BE" w:rsidRDefault="00960769" w:rsidP="00960769">
            <w:pPr>
              <w:pStyle w:val="Textpoznpodarou"/>
              <w:jc w:val="both"/>
            </w:pPr>
            <w:r w:rsidRPr="000546BE">
              <w:t>Ve zpracovatelském průmyslu se ceny v loňském roce snížily o 3,9 %, tedy rychleji než v průmyslu jako celku. Deflace byla nejsilnější v případě výrobců koksu a rafinovaných ropných produktů a producentů chemických látek a výrobků. K vývoji cen průmyslových výrobců nepřispěla pozitivně ale ani těžba a dobývání (-0,6 %), kde ceny klesly v loňském roce již poč</w:t>
            </w:r>
            <w:r w:rsidR="003B2580">
              <w:t>tvrté, ani energetika (-0,8 %).</w:t>
            </w:r>
          </w:p>
          <w:p w:rsidR="00960769" w:rsidRPr="003B2580" w:rsidRDefault="00960769" w:rsidP="0096076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60769" w:rsidRPr="007D44C3" w:rsidTr="00960769">
        <w:tc>
          <w:tcPr>
            <w:tcW w:w="1054" w:type="pct"/>
          </w:tcPr>
          <w:p w:rsidR="00960769" w:rsidRPr="000546BE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Dobrá sklizeň</w:t>
            </w:r>
            <w:r w:rsidRPr="000546BE">
              <w:rPr>
                <w:sz w:val="16"/>
                <w:szCs w:val="16"/>
              </w:rPr>
              <w:t xml:space="preserve"> zdrojem poklesu cen rostlinné výroby, </w:t>
            </w:r>
            <w:r>
              <w:rPr>
                <w:sz w:val="16"/>
                <w:szCs w:val="16"/>
              </w:rPr>
              <w:t xml:space="preserve">restrikce </w:t>
            </w:r>
            <w:r w:rsidRPr="000546BE"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> </w:t>
            </w:r>
            <w:r w:rsidRPr="000546BE">
              <w:rPr>
                <w:sz w:val="16"/>
                <w:szCs w:val="16"/>
              </w:rPr>
              <w:t>dovozy do Ruska a zrušení mléčných kvót příčinou nižších cen živočišné produkce</w:t>
            </w:r>
          </w:p>
        </w:tc>
        <w:tc>
          <w:tcPr>
            <w:tcW w:w="143" w:type="pct"/>
          </w:tcPr>
          <w:p w:rsidR="00960769" w:rsidRPr="000546BE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526DB6" w:rsidRDefault="00960769" w:rsidP="00960769">
            <w:pPr>
              <w:pStyle w:val="Textpoznpodarou"/>
              <w:jc w:val="both"/>
            </w:pPr>
            <w:r w:rsidRPr="00526DB6">
              <w:t>Ceny zemědělských výrobců (vč. ryb) v loňském roce poklesly o 6 % a navázaly tak na vývoj v roce 2014, kdy se snížily o 3,7 %. Změnily se však příčiny tohoto vývoje. V roce 2014 spadly ceny rostlinné výroby – díky velmi dobré sklizni – o</w:t>
            </w:r>
            <w:r w:rsidR="00526DB6">
              <w:t> </w:t>
            </w:r>
            <w:r w:rsidRPr="00526DB6">
              <w:t>10,3 %. Živočišná produkce naproti tomu mírně podražila (+4,9 %). Také v roce 2015 byla sklizeň zemědělských plodin dobrá (hlavně u obilovin), ceny rostlinné výroby se ale snížily už jen o 2,2 %. Výkupní ceny živočišné výroby</w:t>
            </w:r>
            <w:r w:rsidR="008B07EF" w:rsidRPr="00526DB6">
              <w:t xml:space="preserve"> se</w:t>
            </w:r>
            <w:r w:rsidRPr="00526DB6">
              <w:t xml:space="preserve"> však propadly o 10,5 %. Souviselo to jednak se zákazem dovozu zemědělských produktů a potravin do Ruské federace, jednak se zrušení</w:t>
            </w:r>
            <w:r w:rsidR="008B07EF" w:rsidRPr="00526DB6">
              <w:t>m mléčných kvót, které</w:t>
            </w:r>
            <w:r w:rsidR="00526DB6">
              <w:t> </w:t>
            </w:r>
            <w:r w:rsidR="008B07EF" w:rsidRPr="00526DB6">
              <w:t>nabylo</w:t>
            </w:r>
            <w:r w:rsidRPr="00526DB6">
              <w:t xml:space="preserve"> platnosti na</w:t>
            </w:r>
            <w:r w:rsidR="00DB19BD" w:rsidRPr="00526DB6">
              <w:t> </w:t>
            </w:r>
            <w:r w:rsidRPr="00526DB6">
              <w:t>začátku dubna. Ceny jatečných prasat poklesly v meziročním srovnání o</w:t>
            </w:r>
            <w:r w:rsidR="00DB19BD" w:rsidRPr="00526DB6">
              <w:t> </w:t>
            </w:r>
            <w:r w:rsidRPr="00526DB6">
              <w:t>12</w:t>
            </w:r>
            <w:r w:rsidR="00DB19BD" w:rsidRPr="00526DB6">
              <w:t> </w:t>
            </w:r>
            <w:r w:rsidRPr="00526DB6">
              <w:t>%,</w:t>
            </w:r>
            <w:r w:rsidR="00DB19BD" w:rsidRPr="00526DB6">
              <w:t> </w:t>
            </w:r>
            <w:r w:rsidRPr="00526DB6">
              <w:t>mléko se od zemědělců vykupovalo o 17,2 % levněji než před rokem.</w:t>
            </w:r>
          </w:p>
          <w:p w:rsidR="00960769" w:rsidRPr="003B2580" w:rsidRDefault="00960769" w:rsidP="00960769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960769" w:rsidRPr="007D44C3" w:rsidTr="00960769">
        <w:tc>
          <w:tcPr>
            <w:tcW w:w="1054" w:type="pct"/>
          </w:tcPr>
          <w:p w:rsidR="00960769" w:rsidRPr="000546BE" w:rsidRDefault="002A4F70" w:rsidP="009607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stavebních prací stouply loni o 1,2 %</w:t>
            </w:r>
          </w:p>
        </w:tc>
        <w:tc>
          <w:tcPr>
            <w:tcW w:w="143" w:type="pct"/>
          </w:tcPr>
          <w:p w:rsidR="00960769" w:rsidRPr="000546BE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2A4F70" w:rsidRDefault="00960769" w:rsidP="00960769">
            <w:pPr>
              <w:pStyle w:val="Textpoznpodarou"/>
              <w:jc w:val="both"/>
            </w:pPr>
            <w:r w:rsidRPr="002A4F70">
              <w:t>Stavebnictví bylo v loňském roce podstatně ovlivněno dočerpáváním peněz z fondů EU. Jen prost</w:t>
            </w:r>
            <w:r w:rsidR="004B0803" w:rsidRPr="002A4F70">
              <w:t>řednictvím Operačního programu D</w:t>
            </w:r>
            <w:r w:rsidRPr="002A4F70">
              <w:t>oprava se ke stavebním firmám dostalo 41,4 mld. korun, o 27,9 mld. více než v roce 2014. Úzce zaměřená poptávka veřejného sektoru, hlavně po infrastrukturních stavbách, omezený počet firem schopných tuto poptávku uspokojovat a blížící se termín, do kterého mohly</w:t>
            </w:r>
            <w:r w:rsidR="002A4F70">
              <w:t> </w:t>
            </w:r>
            <w:r w:rsidRPr="002A4F70">
              <w:t>být peníze z programovacího období 2007–2013 čerpány – to byl</w:t>
            </w:r>
            <w:r w:rsidR="00C86127" w:rsidRPr="002A4F70">
              <w:t>a</w:t>
            </w:r>
            <w:r w:rsidRPr="002A4F70">
              <w:t xml:space="preserve"> </w:t>
            </w:r>
            <w:r w:rsidR="00C86127" w:rsidRPr="002A4F70">
              <w:t>kombinace, jejímž</w:t>
            </w:r>
            <w:r w:rsidRPr="002A4F70">
              <w:t xml:space="preserve"> výsledkem byl nárůst cen stavebních prací o 1,2 %. Šlo o</w:t>
            </w:r>
            <w:r w:rsidR="002A4F70">
              <w:t> </w:t>
            </w:r>
            <w:r w:rsidRPr="002A4F70">
              <w:t>nejrychlejší růst cen za posledních</w:t>
            </w:r>
            <w:r w:rsidR="002A4F70" w:rsidRPr="002A4F70">
              <w:t xml:space="preserve"> šest let.</w:t>
            </w:r>
          </w:p>
          <w:p w:rsidR="00960769" w:rsidRPr="003B2580" w:rsidRDefault="00960769" w:rsidP="00960769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960769" w:rsidRPr="007D44C3" w:rsidTr="00960769">
        <w:tc>
          <w:tcPr>
            <w:tcW w:w="1054" w:type="pct"/>
          </w:tcPr>
          <w:p w:rsidR="00960769" w:rsidRPr="000546BE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0546BE">
              <w:rPr>
                <w:sz w:val="16"/>
                <w:szCs w:val="16"/>
              </w:rPr>
              <w:t>Pokles cen ropy snížil náklady dopravcům a ti zlevnili o 1,4 %</w:t>
            </w:r>
          </w:p>
        </w:tc>
        <w:tc>
          <w:tcPr>
            <w:tcW w:w="143" w:type="pct"/>
          </w:tcPr>
          <w:p w:rsidR="00960769" w:rsidRPr="000546BE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526DB6" w:rsidRDefault="00960769" w:rsidP="00960769">
            <w:pPr>
              <w:pStyle w:val="Textpoznpodarou"/>
              <w:jc w:val="both"/>
            </w:pPr>
            <w:r w:rsidRPr="00526DB6">
              <w:t>Ceny tržních služeb se loni nezměnily, avšak vývoj v jednotlivých čtvrtletích naznačoval, že do deflace postupně směřuje i tento segment ekonomiky. V 1. a 2.</w:t>
            </w:r>
            <w:r w:rsidR="00C86127">
              <w:t> </w:t>
            </w:r>
            <w:r w:rsidRPr="00526DB6">
              <w:t>čtvrtletí 2015 byly ceny tržních služeb v meziročním srovnání vyšší o 0,3 % a</w:t>
            </w:r>
            <w:r w:rsidR="00526DB6">
              <w:t> </w:t>
            </w:r>
            <w:r w:rsidRPr="00526DB6">
              <w:t>0,2</w:t>
            </w:r>
            <w:r w:rsidR="00526DB6">
              <w:t> </w:t>
            </w:r>
            <w:r w:rsidRPr="00526DB6">
              <w:t>%, ve 3. a 4. kvartále ale již mírně klesaly (-0,2 %, -0,1 %). Zatímco vysoký nárůst cen poštovních a kurýrních služeb (+</w:t>
            </w:r>
            <w:r w:rsidR="007159D2">
              <w:t>6,4 %) a finančních služeb (+3</w:t>
            </w:r>
            <w:r w:rsidRPr="00526DB6">
              <w:t xml:space="preserve"> %) působil v loňském roce inflačně, ceny ve váhově významné pozemní a potrubní dopravě klesly o 1,4 %. Také obrat ve vývoji cen služeb v oblasti zaměstnání, </w:t>
            </w:r>
            <w:r w:rsidRPr="00526DB6">
              <w:rPr>
                <w:spacing w:val="-4"/>
              </w:rPr>
              <w:t>po</w:t>
            </w:r>
            <w:r w:rsidR="00526DB6" w:rsidRPr="00526DB6">
              <w:rPr>
                <w:spacing w:val="-4"/>
              </w:rPr>
              <w:t> </w:t>
            </w:r>
            <w:r w:rsidRPr="00526DB6">
              <w:rPr>
                <w:spacing w:val="-4"/>
              </w:rPr>
              <w:t>dva roky trvajícím růstu, přispěl negativně k cenovému vývoji. Snížily se o 7,5</w:t>
            </w:r>
            <w:r w:rsidRPr="00526DB6">
              <w:t xml:space="preserve"> %.</w:t>
            </w:r>
          </w:p>
          <w:p w:rsidR="00960769" w:rsidRPr="003B2580" w:rsidRDefault="00960769" w:rsidP="00960769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960769" w:rsidRPr="007D44C3" w:rsidTr="00960769">
        <w:tc>
          <w:tcPr>
            <w:tcW w:w="1054" w:type="pct"/>
          </w:tcPr>
          <w:p w:rsidR="00960769" w:rsidRPr="000546BE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dovozu zboží se loni snížily o 1,9 % a poklesly tak již popáté za posledních deset let</w:t>
            </w:r>
          </w:p>
        </w:tc>
        <w:tc>
          <w:tcPr>
            <w:tcW w:w="143" w:type="pct"/>
          </w:tcPr>
          <w:p w:rsidR="00960769" w:rsidRPr="000546BE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0546BE" w:rsidRDefault="00960769" w:rsidP="003B2580">
            <w:pPr>
              <w:pStyle w:val="Textpoznpodarou"/>
              <w:jc w:val="both"/>
              <w:rPr>
                <w:spacing w:val="-2"/>
              </w:rPr>
            </w:pPr>
            <w:r w:rsidRPr="00802468">
              <w:t>Dovoz zboží zlevnil v roce 2015 o 1,9 %, kurzovému vývoji české koruny navzdory. K</w:t>
            </w:r>
            <w:r w:rsidR="00812386">
              <w:t> </w:t>
            </w:r>
            <w:r w:rsidRPr="00802468">
              <w:t>euru</w:t>
            </w:r>
            <w:r w:rsidR="00812386">
              <w:t xml:space="preserve"> koruna</w:t>
            </w:r>
            <w:r w:rsidRPr="00802468">
              <w:t xml:space="preserve"> sice mírně posílila (o 0,9 %), což působilo ve směru poklesu cen, k americkému dolaru však oslabila o ojedinělých 18,5 %. Pokles cen dovozu byl výsledkem nižší ceny ropy a klesajících cen ve zpracovatelském průmyslu v eurozóně. Ceny minerálních paliv se snížily téměř o čtvrtinu (-23,8 %), ostatních </w:t>
            </w:r>
            <w:r w:rsidRPr="00802468">
              <w:rPr>
                <w:spacing w:val="2"/>
              </w:rPr>
              <w:t>surovin o 9,2 % a chemikálií</w:t>
            </w:r>
            <w:r>
              <w:rPr>
                <w:spacing w:val="2"/>
              </w:rPr>
              <w:t xml:space="preserve"> o 3,1 %. Také</w:t>
            </w:r>
            <w:r w:rsidRPr="00802468">
              <w:rPr>
                <w:spacing w:val="2"/>
              </w:rPr>
              <w:t xml:space="preserve"> nápoje a tabák (-0,7 %) a</w:t>
            </w:r>
            <w:r w:rsidR="00812386">
              <w:rPr>
                <w:spacing w:val="2"/>
              </w:rPr>
              <w:t> </w:t>
            </w:r>
            <w:r w:rsidRPr="00802468">
              <w:rPr>
                <w:spacing w:val="2"/>
              </w:rPr>
              <w:t>polotovary (-</w:t>
            </w:r>
            <w:r w:rsidRPr="00802468">
              <w:t>0,4 %) se do ČR dovážely za nižší ceny než v roce 2014. Právě pokles cen dovozu byl primá</w:t>
            </w:r>
            <w:r w:rsidR="008E0367">
              <w:t>rním zdrojem deflace v průmyslu</w:t>
            </w:r>
            <w:r w:rsidRPr="00802468">
              <w:t xml:space="preserve"> </w:t>
            </w:r>
            <w:r w:rsidR="008E0367">
              <w:t>(a „prosakoval“ i</w:t>
            </w:r>
            <w:r w:rsidR="00812386">
              <w:t> </w:t>
            </w:r>
            <w:r w:rsidRPr="00802468">
              <w:t>do</w:t>
            </w:r>
            <w:r w:rsidR="00812386">
              <w:t> </w:t>
            </w:r>
            <w:r>
              <w:t>spotřebitelských cen</w:t>
            </w:r>
            <w:r w:rsidR="008E0367">
              <w:t>)</w:t>
            </w:r>
            <w:r w:rsidRPr="00802468">
              <w:t xml:space="preserve">. Také dynamika po jednotlivých čtvrtletích na to ukazuje, neboť byla horší ve </w:t>
            </w:r>
            <w:r w:rsidR="008E0367">
              <w:t>2. polovině roku, stejně jako u cen průmyslových výrobců. V </w:t>
            </w:r>
            <w:r w:rsidRPr="00802468">
              <w:t>1. kvartále 2015 se ceny dovozu zboží do Česka snížily meziročně o</w:t>
            </w:r>
            <w:r w:rsidR="00812386">
              <w:t> </w:t>
            </w:r>
            <w:r w:rsidRPr="00802468">
              <w:t>1,5 % a</w:t>
            </w:r>
            <w:r w:rsidR="003C03CC">
              <w:t> </w:t>
            </w:r>
            <w:r w:rsidRPr="00802468">
              <w:t>ve</w:t>
            </w:r>
            <w:r w:rsidR="003C03CC">
              <w:t> </w:t>
            </w:r>
            <w:r w:rsidRPr="00802468">
              <w:t>2. čtvrtletí stagnovaly. Ve 3. čtvrtletí se snížily ale o 2,6 % a ve 4.</w:t>
            </w:r>
            <w:r w:rsidR="00812386">
              <w:t> </w:t>
            </w:r>
            <w:r w:rsidRPr="00802468">
              <w:t>čtvrtletí dokonce o 3,8 %.</w:t>
            </w:r>
          </w:p>
        </w:tc>
      </w:tr>
      <w:tr w:rsidR="00960769" w:rsidRPr="007D44C3" w:rsidTr="00960769">
        <w:tc>
          <w:tcPr>
            <w:tcW w:w="1054" w:type="pct"/>
          </w:tcPr>
          <w:p w:rsidR="00960769" w:rsidRPr="000546BE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Cenová hladina se snížila i na straně vývozu, v porovnání s dovozy však nepatrně pomaleji …</w:t>
            </w:r>
          </w:p>
        </w:tc>
        <w:tc>
          <w:tcPr>
            <w:tcW w:w="143" w:type="pct"/>
          </w:tcPr>
          <w:p w:rsidR="00960769" w:rsidRPr="000546BE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0546BE" w:rsidRDefault="00960769" w:rsidP="00960769">
            <w:pPr>
              <w:pStyle w:val="Textpoznpodarou"/>
              <w:jc w:val="both"/>
            </w:pPr>
            <w:r w:rsidRPr="000546BE">
              <w:t xml:space="preserve">Ceny vývozu zboží klesly v loňském roce o 1,7 %. Za nižší ceny se do zahraničí vyvážely všechny třídy SITC s výjimkou </w:t>
            </w:r>
            <w:r w:rsidR="00526DB6">
              <w:t xml:space="preserve">váhově </w:t>
            </w:r>
            <w:r w:rsidRPr="000546BE">
              <w:t>málo významných nápojů a</w:t>
            </w:r>
            <w:r w:rsidR="00944380">
              <w:t> </w:t>
            </w:r>
            <w:r w:rsidRPr="000546BE">
              <w:t>tabáku (+3,1 %). Ceny strojů a dopravních prostředků se snížily o 0,4 %, polotovary byly levnější o 1,6 % a průmyslové spotřební zboží o 0,3 %. Pokles cen minerálních paliv byl hluboký (-12,6 %), nikoliv ale tak, jako na straně dovozu. Je to logické, váha obchodu s ropou a ropnými produkty má na vývozu menší podíl než na</w:t>
            </w:r>
            <w:r>
              <w:t> </w:t>
            </w:r>
            <w:r w:rsidRPr="000546BE">
              <w:t>dovozu a proto pokles cen této komodity ovlivňoval více stranu dovozu.</w:t>
            </w:r>
          </w:p>
          <w:p w:rsidR="00960769" w:rsidRPr="000546BE" w:rsidRDefault="00960769" w:rsidP="00960769">
            <w:pPr>
              <w:pStyle w:val="Textpoznpodarou"/>
              <w:jc w:val="both"/>
            </w:pPr>
          </w:p>
        </w:tc>
      </w:tr>
      <w:tr w:rsidR="00960769" w:rsidRPr="007D44C3" w:rsidTr="00960769">
        <w:tc>
          <w:tcPr>
            <w:tcW w:w="1054" w:type="pct"/>
          </w:tcPr>
          <w:p w:rsidR="00960769" w:rsidRPr="000546BE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a směnné relace tak zůstaly pozitivní třetí rok v řadě</w:t>
            </w:r>
          </w:p>
        </w:tc>
        <w:tc>
          <w:tcPr>
            <w:tcW w:w="143" w:type="pct"/>
          </w:tcPr>
          <w:p w:rsidR="00960769" w:rsidRPr="000546BE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0546BE" w:rsidRDefault="00960769" w:rsidP="00960769">
            <w:pPr>
              <w:pStyle w:val="Textpoznpodarou"/>
              <w:jc w:val="both"/>
            </w:pPr>
            <w:r w:rsidRPr="000546BE">
              <w:t xml:space="preserve">Směnné relace v zahraničním obchodě se zbožím setrvaly pozitivní. Velikost dodatečných zisků české ekonomiky z příznivého vývoje cen se však proti rokům 2013 a 2014 podstatně zmenšila, neboť hodnota směnných relací poklesla z 101,4 % a 101,6 % na pouhých 100,2 %. Z jednotlivých tříd SITC byly směnné relace v loňském roce vysoce pozitivní u minerálních paliv (114,7 %), </w:t>
            </w:r>
            <w:r w:rsidRPr="000546BE">
              <w:rPr>
                <w:spacing w:val="-2"/>
              </w:rPr>
              <w:t>dále ale už jen v případě nápojů a tabáku (103,8 %) a ostatních surovin (101,5</w:t>
            </w:r>
            <w:r w:rsidRPr="000546BE">
              <w:t xml:space="preserve"> %).</w:t>
            </w:r>
          </w:p>
        </w:tc>
      </w:tr>
    </w:tbl>
    <w:p w:rsidR="00960769" w:rsidRDefault="00960769" w:rsidP="007C605B"/>
    <w:tbl>
      <w:tblPr>
        <w:tblW w:w="5000" w:type="pct"/>
        <w:tblLook w:val="04A0"/>
      </w:tblPr>
      <w:tblGrid>
        <w:gridCol w:w="1104"/>
        <w:gridCol w:w="3823"/>
        <w:gridCol w:w="1135"/>
        <w:gridCol w:w="3792"/>
      </w:tblGrid>
      <w:tr w:rsidR="00960769" w:rsidRPr="005819C0" w:rsidTr="00960769">
        <w:tc>
          <w:tcPr>
            <w:tcW w:w="560" w:type="pct"/>
          </w:tcPr>
          <w:p w:rsidR="00960769" w:rsidRPr="005819C0" w:rsidRDefault="00960769" w:rsidP="00960769">
            <w:pPr>
              <w:pStyle w:val="Textpoznpodarou"/>
            </w:pPr>
            <w:r w:rsidRPr="005819C0">
              <w:t>Graf č. 11</w:t>
            </w:r>
          </w:p>
        </w:tc>
        <w:tc>
          <w:tcPr>
            <w:tcW w:w="1940" w:type="pct"/>
          </w:tcPr>
          <w:p w:rsidR="00960769" w:rsidRPr="005819C0" w:rsidRDefault="00960769" w:rsidP="00960769">
            <w:pPr>
              <w:pStyle w:val="Textpoznpodarou"/>
            </w:pPr>
            <w:r w:rsidRPr="005819C0">
              <w:rPr>
                <w:b/>
              </w:rPr>
              <w:t>Spotřebitelské ceny jednotlivých typů domácností</w:t>
            </w:r>
            <w:r w:rsidRPr="005819C0">
              <w:t xml:space="preserve"> (y/y v %)</w:t>
            </w:r>
          </w:p>
        </w:tc>
        <w:tc>
          <w:tcPr>
            <w:tcW w:w="576" w:type="pct"/>
          </w:tcPr>
          <w:p w:rsidR="00960769" w:rsidRPr="005819C0" w:rsidRDefault="00960769" w:rsidP="00960769">
            <w:pPr>
              <w:pStyle w:val="Textpoznpodarou"/>
            </w:pPr>
            <w:r w:rsidRPr="005819C0">
              <w:t>Graf č. 12</w:t>
            </w:r>
          </w:p>
        </w:tc>
        <w:tc>
          <w:tcPr>
            <w:tcW w:w="1924" w:type="pct"/>
          </w:tcPr>
          <w:p w:rsidR="00960769" w:rsidRPr="005819C0" w:rsidRDefault="00960769" w:rsidP="00960769">
            <w:pPr>
              <w:pStyle w:val="Textpoznpodarou"/>
            </w:pPr>
            <w:r w:rsidRPr="005819C0">
              <w:rPr>
                <w:b/>
              </w:rPr>
              <w:t>Ceny ve vybraných oddílech indexu spotřebitelských cen</w:t>
            </w:r>
            <w:r w:rsidRPr="005819C0">
              <w:t xml:space="preserve"> (y/y v %)</w:t>
            </w:r>
          </w:p>
        </w:tc>
      </w:tr>
      <w:tr w:rsidR="00960769" w:rsidRPr="005819C0" w:rsidTr="00960769">
        <w:tc>
          <w:tcPr>
            <w:tcW w:w="2499" w:type="pct"/>
            <w:gridSpan w:val="2"/>
          </w:tcPr>
          <w:p w:rsidR="00960769" w:rsidRPr="005819C0" w:rsidRDefault="00285AE7" w:rsidP="00960769">
            <w:pPr>
              <w:pStyle w:val="Textpoznpodarou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36.65pt;height:186.55pt;visibility:visible;mso-wrap-style:square">
                  <v:imagedata r:id="rId8" o:title=""/>
                </v:shape>
              </w:pict>
            </w:r>
          </w:p>
        </w:tc>
        <w:tc>
          <w:tcPr>
            <w:tcW w:w="2501" w:type="pct"/>
            <w:gridSpan w:val="2"/>
          </w:tcPr>
          <w:p w:rsidR="00960769" w:rsidRPr="005819C0" w:rsidRDefault="00285AE7" w:rsidP="00960769">
            <w:pPr>
              <w:pStyle w:val="Textpoznpodarou"/>
              <w:jc w:val="both"/>
            </w:pPr>
            <w:r>
              <w:rPr>
                <w:noProof/>
              </w:rPr>
              <w:pict>
                <v:shape id="_x0000_i1036" type="#_x0000_t75" style="width:236.65pt;height:186.55pt;visibility:visible;mso-wrap-style:square">
                  <v:imagedata r:id="rId9" o:title=""/>
                </v:shape>
              </w:pict>
            </w:r>
          </w:p>
        </w:tc>
      </w:tr>
      <w:tr w:rsidR="00960769" w:rsidRPr="005819C0" w:rsidTr="00960769">
        <w:tc>
          <w:tcPr>
            <w:tcW w:w="5000" w:type="pct"/>
            <w:gridSpan w:val="4"/>
          </w:tcPr>
          <w:p w:rsidR="00960769" w:rsidRPr="005819C0" w:rsidRDefault="00960769" w:rsidP="00960769">
            <w:pPr>
              <w:pStyle w:val="Textpoznpodarou"/>
              <w:jc w:val="right"/>
              <w:rPr>
                <w:noProof/>
              </w:rPr>
            </w:pPr>
            <w:r w:rsidRPr="005819C0">
              <w:rPr>
                <w:sz w:val="18"/>
                <w:szCs w:val="18"/>
              </w:rPr>
              <w:t>Zdroj: ČSÚ</w:t>
            </w:r>
          </w:p>
        </w:tc>
      </w:tr>
    </w:tbl>
    <w:p w:rsidR="00960769" w:rsidRDefault="00960769" w:rsidP="007C605B"/>
    <w:tbl>
      <w:tblPr>
        <w:tblW w:w="5000" w:type="pct"/>
        <w:tblLook w:val="04A0"/>
      </w:tblPr>
      <w:tblGrid>
        <w:gridCol w:w="1104"/>
        <w:gridCol w:w="3823"/>
        <w:gridCol w:w="710"/>
        <w:gridCol w:w="4217"/>
      </w:tblGrid>
      <w:tr w:rsidR="00960769" w:rsidRPr="005819C0" w:rsidTr="00960769">
        <w:tc>
          <w:tcPr>
            <w:tcW w:w="560" w:type="pct"/>
          </w:tcPr>
          <w:p w:rsidR="00960769" w:rsidRPr="00C024DA" w:rsidRDefault="00960769" w:rsidP="00960769">
            <w:pPr>
              <w:pStyle w:val="Textpoznpodarou"/>
              <w:rPr>
                <w:lang w:eastAsia="en-US"/>
              </w:rPr>
            </w:pPr>
            <w:r w:rsidRPr="00C024DA">
              <w:rPr>
                <w:lang w:eastAsia="en-US"/>
              </w:rPr>
              <w:t>Graf č. 13</w:t>
            </w:r>
          </w:p>
        </w:tc>
        <w:tc>
          <w:tcPr>
            <w:tcW w:w="1940" w:type="pct"/>
          </w:tcPr>
          <w:p w:rsidR="00960769" w:rsidRPr="00C024DA" w:rsidRDefault="00960769" w:rsidP="00960769">
            <w:pPr>
              <w:pStyle w:val="Textpoznpodarou"/>
              <w:rPr>
                <w:lang w:eastAsia="en-US"/>
              </w:rPr>
            </w:pPr>
            <w:r w:rsidRPr="00960769">
              <w:rPr>
                <w:b/>
                <w:lang w:eastAsia="en-US"/>
              </w:rPr>
              <w:t>Deflátory</w:t>
            </w:r>
            <w:r w:rsidRPr="00C024DA">
              <w:rPr>
                <w:lang w:eastAsia="en-US"/>
              </w:rPr>
              <w:t xml:space="preserve"> (bez očištění o sezónní a kalendářní vlivy, y/y v %)</w:t>
            </w:r>
          </w:p>
        </w:tc>
        <w:tc>
          <w:tcPr>
            <w:tcW w:w="360" w:type="pct"/>
          </w:tcPr>
          <w:p w:rsidR="00960769" w:rsidRPr="005819C0" w:rsidRDefault="00960769" w:rsidP="00960769">
            <w:pPr>
              <w:pStyle w:val="Textpoznpodarou"/>
              <w:rPr>
                <w:lang w:eastAsia="en-US"/>
              </w:rPr>
            </w:pPr>
            <w:r w:rsidRPr="005819C0">
              <w:rPr>
                <w:lang w:eastAsia="en-US"/>
              </w:rPr>
              <w:t>Graf č. 14</w:t>
            </w:r>
          </w:p>
        </w:tc>
        <w:tc>
          <w:tcPr>
            <w:tcW w:w="2140" w:type="pct"/>
          </w:tcPr>
          <w:p w:rsidR="00960769" w:rsidRPr="005819C0" w:rsidRDefault="00960769" w:rsidP="00960769">
            <w:pPr>
              <w:pStyle w:val="Textpoznpodarou"/>
              <w:rPr>
                <w:lang w:eastAsia="en-US"/>
              </w:rPr>
            </w:pPr>
            <w:r w:rsidRPr="00960769">
              <w:rPr>
                <w:b/>
                <w:lang w:eastAsia="en-US"/>
              </w:rPr>
              <w:t>Ceny výrobců</w:t>
            </w:r>
            <w:r w:rsidRPr="005819C0">
              <w:rPr>
                <w:lang w:eastAsia="en-US"/>
              </w:rPr>
              <w:t xml:space="preserve"> (y/y v %, ceny v zemědělství na pravé ose, ostatní na levé ose)</w:t>
            </w:r>
          </w:p>
        </w:tc>
      </w:tr>
      <w:tr w:rsidR="00960769" w:rsidRPr="005819C0" w:rsidTr="00960769">
        <w:tc>
          <w:tcPr>
            <w:tcW w:w="2500" w:type="pct"/>
            <w:gridSpan w:val="2"/>
          </w:tcPr>
          <w:p w:rsidR="00960769" w:rsidRPr="005819C0" w:rsidRDefault="00285AE7" w:rsidP="00960769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37" type="#_x0000_t75" style="width:236.65pt;height:186.55pt;visibility:visible;mso-wrap-style:square">
                  <v:imagedata r:id="rId10" o:title=""/>
                </v:shape>
              </w:pict>
            </w:r>
          </w:p>
        </w:tc>
        <w:tc>
          <w:tcPr>
            <w:tcW w:w="2500" w:type="pct"/>
            <w:gridSpan w:val="2"/>
          </w:tcPr>
          <w:p w:rsidR="00960769" w:rsidRPr="005819C0" w:rsidRDefault="00285AE7" w:rsidP="00960769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38" type="#_x0000_t75" style="width:236.65pt;height:186.55pt;visibility:visible;mso-wrap-style:square">
                  <v:imagedata r:id="rId11" o:title=""/>
                </v:shape>
              </w:pict>
            </w:r>
          </w:p>
        </w:tc>
      </w:tr>
      <w:tr w:rsidR="00960769" w:rsidRPr="005819C0" w:rsidTr="00960769">
        <w:tc>
          <w:tcPr>
            <w:tcW w:w="5000" w:type="pct"/>
            <w:gridSpan w:val="4"/>
          </w:tcPr>
          <w:p w:rsidR="00960769" w:rsidRPr="00960769" w:rsidRDefault="00960769" w:rsidP="00960769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960769">
              <w:rPr>
                <w:sz w:val="18"/>
                <w:szCs w:val="18"/>
                <w:lang w:eastAsia="en-US"/>
              </w:rPr>
              <w:t>Zdroj: ČSÚ</w:t>
            </w:r>
          </w:p>
        </w:tc>
      </w:tr>
    </w:tbl>
    <w:p w:rsidR="00886A8F" w:rsidRDefault="00886A8F" w:rsidP="007C605B"/>
    <w:sectPr w:rsidR="00886A8F" w:rsidSect="007F398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92" w:rsidRDefault="00DB5792" w:rsidP="00E71A58">
      <w:r>
        <w:separator/>
      </w:r>
    </w:p>
  </w:endnote>
  <w:endnote w:type="continuationSeparator" w:id="0">
    <w:p w:rsidR="00DB5792" w:rsidRDefault="00DB579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Default="00285AE7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DB579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7F3983">
      <w:rPr>
        <w:rFonts w:ascii="Arial" w:hAnsi="Arial" w:cs="Arial"/>
        <w:noProof/>
        <w:sz w:val="16"/>
        <w:szCs w:val="16"/>
      </w:rPr>
      <w:t>16</w:t>
    </w:r>
    <w:r w:rsidRPr="005A21E0">
      <w:rPr>
        <w:rFonts w:ascii="Arial" w:hAnsi="Arial" w:cs="Arial"/>
        <w:sz w:val="16"/>
        <w:szCs w:val="16"/>
      </w:rPr>
      <w:fldChar w:fldCharType="end"/>
    </w:r>
    <w:r w:rsidR="00DB5792">
      <w:rPr>
        <w:rFonts w:ascii="Arial" w:hAnsi="Arial" w:cs="Arial"/>
        <w:sz w:val="16"/>
        <w:szCs w:val="16"/>
      </w:rPr>
      <w:tab/>
      <w:t>2016</w:t>
    </w:r>
    <w:r w:rsidR="00DB5792">
      <w:tab/>
    </w:r>
    <w:r w:rsidR="00DB579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Default="00285AE7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DB5792">
      <w:tab/>
    </w:r>
    <w:r w:rsidR="00DB5792">
      <w:tab/>
    </w:r>
    <w:r w:rsidR="00DB5792" w:rsidRPr="00DC5B3B">
      <w:t xml:space="preserve">                              </w:t>
    </w:r>
  </w:p>
  <w:p w:rsidR="00DB5792" w:rsidRPr="00223E00" w:rsidRDefault="00DB5792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285AE7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285AE7" w:rsidRPr="00223E00">
      <w:rPr>
        <w:rFonts w:ascii="Arial" w:hAnsi="Arial" w:cs="Arial"/>
        <w:sz w:val="16"/>
        <w:szCs w:val="16"/>
      </w:rPr>
      <w:fldChar w:fldCharType="separate"/>
    </w:r>
    <w:r w:rsidR="007F3983">
      <w:rPr>
        <w:rFonts w:ascii="Arial" w:hAnsi="Arial" w:cs="Arial"/>
        <w:noProof/>
        <w:sz w:val="16"/>
        <w:szCs w:val="16"/>
      </w:rPr>
      <w:t>15</w:t>
    </w:r>
    <w:r w:rsidR="00285AE7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92" w:rsidRDefault="00DB5792" w:rsidP="00E71A58">
      <w:r>
        <w:separator/>
      </w:r>
    </w:p>
  </w:footnote>
  <w:footnote w:type="continuationSeparator" w:id="0">
    <w:p w:rsidR="00DB5792" w:rsidRDefault="00DB5792" w:rsidP="00E71A58">
      <w:r>
        <w:continuationSeparator/>
      </w:r>
    </w:p>
  </w:footnote>
  <w:footnote w:id="1">
    <w:p w:rsidR="00DB5792" w:rsidRPr="00481C00" w:rsidRDefault="00DB5792" w:rsidP="00960769">
      <w:pPr>
        <w:pStyle w:val="Textpoznpodarou"/>
        <w:jc w:val="both"/>
        <w:rPr>
          <w:sz w:val="16"/>
          <w:szCs w:val="16"/>
        </w:rPr>
      </w:pPr>
      <w:r w:rsidRPr="00481C00">
        <w:rPr>
          <w:rStyle w:val="Znakapoznpodarou"/>
          <w:sz w:val="16"/>
          <w:szCs w:val="16"/>
        </w:rPr>
        <w:footnoteRef/>
      </w:r>
      <w:r w:rsidRPr="00481C00">
        <w:rPr>
          <w:sz w:val="16"/>
          <w:szCs w:val="16"/>
        </w:rPr>
        <w:t xml:space="preserve"> Bez očištění o sezónní a kalendářní vlivy.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Pr="00D766EF" w:rsidRDefault="00DB5792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Pr="00D766EF" w:rsidRDefault="00DB5792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6B3D39"/>
    <w:multiLevelType w:val="hybridMultilevel"/>
    <w:tmpl w:val="2326E83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195"/>
    <w:rsid w:val="0001519F"/>
    <w:rsid w:val="0001572B"/>
    <w:rsid w:val="0001573E"/>
    <w:rsid w:val="000162DB"/>
    <w:rsid w:val="00017F05"/>
    <w:rsid w:val="000202C6"/>
    <w:rsid w:val="00020946"/>
    <w:rsid w:val="00022B41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5CCF"/>
    <w:rsid w:val="00035FC6"/>
    <w:rsid w:val="00037667"/>
    <w:rsid w:val="0004075D"/>
    <w:rsid w:val="000411E1"/>
    <w:rsid w:val="00043E05"/>
    <w:rsid w:val="0004694F"/>
    <w:rsid w:val="000500DC"/>
    <w:rsid w:val="00052172"/>
    <w:rsid w:val="00053CBA"/>
    <w:rsid w:val="00054E43"/>
    <w:rsid w:val="00055059"/>
    <w:rsid w:val="000553E4"/>
    <w:rsid w:val="000567FA"/>
    <w:rsid w:val="00057C16"/>
    <w:rsid w:val="00060F26"/>
    <w:rsid w:val="00062D43"/>
    <w:rsid w:val="00062EC5"/>
    <w:rsid w:val="00064256"/>
    <w:rsid w:val="000706A4"/>
    <w:rsid w:val="00071F80"/>
    <w:rsid w:val="00072118"/>
    <w:rsid w:val="00073173"/>
    <w:rsid w:val="000779AC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DB9"/>
    <w:rsid w:val="000B3F02"/>
    <w:rsid w:val="000B48A2"/>
    <w:rsid w:val="000B48E7"/>
    <w:rsid w:val="000B4F41"/>
    <w:rsid w:val="000B7663"/>
    <w:rsid w:val="000C11D3"/>
    <w:rsid w:val="000C12F5"/>
    <w:rsid w:val="000C3408"/>
    <w:rsid w:val="000C5C0F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707DE"/>
    <w:rsid w:val="00170B04"/>
    <w:rsid w:val="00170F47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50C"/>
    <w:rsid w:val="001B1D89"/>
    <w:rsid w:val="001B3110"/>
    <w:rsid w:val="001B4198"/>
    <w:rsid w:val="001B44BC"/>
    <w:rsid w:val="001B618F"/>
    <w:rsid w:val="001B6545"/>
    <w:rsid w:val="001B681B"/>
    <w:rsid w:val="001B6A49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3055"/>
    <w:rsid w:val="001F31BC"/>
    <w:rsid w:val="001F378E"/>
    <w:rsid w:val="001F3C79"/>
    <w:rsid w:val="001F3E68"/>
    <w:rsid w:val="001F4597"/>
    <w:rsid w:val="001F56A9"/>
    <w:rsid w:val="001F5C6A"/>
    <w:rsid w:val="001F670A"/>
    <w:rsid w:val="00200D15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36BA"/>
    <w:rsid w:val="002444ED"/>
    <w:rsid w:val="00244A15"/>
    <w:rsid w:val="00244D40"/>
    <w:rsid w:val="00246AE9"/>
    <w:rsid w:val="0024799E"/>
    <w:rsid w:val="00250C59"/>
    <w:rsid w:val="00250E0D"/>
    <w:rsid w:val="00251D59"/>
    <w:rsid w:val="00252602"/>
    <w:rsid w:val="00252FDC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AE7"/>
    <w:rsid w:val="00285CD3"/>
    <w:rsid w:val="0028686A"/>
    <w:rsid w:val="00286E66"/>
    <w:rsid w:val="002919B5"/>
    <w:rsid w:val="00293441"/>
    <w:rsid w:val="00294238"/>
    <w:rsid w:val="0029493E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2500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34F3"/>
    <w:rsid w:val="002E435E"/>
    <w:rsid w:val="002E73F2"/>
    <w:rsid w:val="002F33FB"/>
    <w:rsid w:val="002F7594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7038"/>
    <w:rsid w:val="00370963"/>
    <w:rsid w:val="0037144E"/>
    <w:rsid w:val="003736B5"/>
    <w:rsid w:val="00374F1E"/>
    <w:rsid w:val="00376DEC"/>
    <w:rsid w:val="00377200"/>
    <w:rsid w:val="00380E04"/>
    <w:rsid w:val="00383227"/>
    <w:rsid w:val="00384D8F"/>
    <w:rsid w:val="00385D98"/>
    <w:rsid w:val="00385EC5"/>
    <w:rsid w:val="0038658E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D2C4E"/>
    <w:rsid w:val="003D3600"/>
    <w:rsid w:val="003D3825"/>
    <w:rsid w:val="003D3EC4"/>
    <w:rsid w:val="003D4760"/>
    <w:rsid w:val="003D49DC"/>
    <w:rsid w:val="003D5D7A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2B0A"/>
    <w:rsid w:val="003F313C"/>
    <w:rsid w:val="003F341B"/>
    <w:rsid w:val="003F37FC"/>
    <w:rsid w:val="003F49A6"/>
    <w:rsid w:val="003F5098"/>
    <w:rsid w:val="003F5568"/>
    <w:rsid w:val="003F5A95"/>
    <w:rsid w:val="003F6D19"/>
    <w:rsid w:val="004000D5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C30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29FD"/>
    <w:rsid w:val="00463B4B"/>
    <w:rsid w:val="00463F4D"/>
    <w:rsid w:val="0046471F"/>
    <w:rsid w:val="00464BE8"/>
    <w:rsid w:val="00465019"/>
    <w:rsid w:val="00465FA4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E1E4B"/>
    <w:rsid w:val="005E362D"/>
    <w:rsid w:val="005E492C"/>
    <w:rsid w:val="005E4BAA"/>
    <w:rsid w:val="005E52EF"/>
    <w:rsid w:val="005E5B56"/>
    <w:rsid w:val="005E6088"/>
    <w:rsid w:val="005E61DF"/>
    <w:rsid w:val="005E6B65"/>
    <w:rsid w:val="005E6B78"/>
    <w:rsid w:val="005F26CE"/>
    <w:rsid w:val="005F4057"/>
    <w:rsid w:val="005F4088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4DFC"/>
    <w:rsid w:val="006451E4"/>
    <w:rsid w:val="006454B4"/>
    <w:rsid w:val="00645A9C"/>
    <w:rsid w:val="006460B8"/>
    <w:rsid w:val="006504A0"/>
    <w:rsid w:val="006520C7"/>
    <w:rsid w:val="00652CBB"/>
    <w:rsid w:val="006530B8"/>
    <w:rsid w:val="006535D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90A09"/>
    <w:rsid w:val="00690A25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3F8A"/>
    <w:rsid w:val="006B5CA3"/>
    <w:rsid w:val="006B6B3B"/>
    <w:rsid w:val="006B7714"/>
    <w:rsid w:val="006B78D8"/>
    <w:rsid w:val="006C090F"/>
    <w:rsid w:val="006C0935"/>
    <w:rsid w:val="006C0BCE"/>
    <w:rsid w:val="006C113F"/>
    <w:rsid w:val="006C2AED"/>
    <w:rsid w:val="006C38DD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6043"/>
    <w:rsid w:val="0072704A"/>
    <w:rsid w:val="00730AE8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C0065"/>
    <w:rsid w:val="007C010B"/>
    <w:rsid w:val="007C605B"/>
    <w:rsid w:val="007D2A5A"/>
    <w:rsid w:val="007D2AD8"/>
    <w:rsid w:val="007D2C47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983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7181"/>
    <w:rsid w:val="0082733C"/>
    <w:rsid w:val="00827746"/>
    <w:rsid w:val="0083143E"/>
    <w:rsid w:val="0083159D"/>
    <w:rsid w:val="008318FF"/>
    <w:rsid w:val="00832187"/>
    <w:rsid w:val="0083249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6673"/>
    <w:rsid w:val="0085281A"/>
    <w:rsid w:val="008559FE"/>
    <w:rsid w:val="00857339"/>
    <w:rsid w:val="00860706"/>
    <w:rsid w:val="00862A7A"/>
    <w:rsid w:val="00863104"/>
    <w:rsid w:val="008636CD"/>
    <w:rsid w:val="00863D9E"/>
    <w:rsid w:val="00863FDC"/>
    <w:rsid w:val="008642AF"/>
    <w:rsid w:val="00865ED4"/>
    <w:rsid w:val="008669A7"/>
    <w:rsid w:val="00867E29"/>
    <w:rsid w:val="00870F2B"/>
    <w:rsid w:val="008746E6"/>
    <w:rsid w:val="0087594C"/>
    <w:rsid w:val="00876086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6B67"/>
    <w:rsid w:val="008B7306"/>
    <w:rsid w:val="008B775F"/>
    <w:rsid w:val="008B7C02"/>
    <w:rsid w:val="008B7D13"/>
    <w:rsid w:val="008B7F9E"/>
    <w:rsid w:val="008C0E88"/>
    <w:rsid w:val="008C1AA8"/>
    <w:rsid w:val="008C22A8"/>
    <w:rsid w:val="008C5B43"/>
    <w:rsid w:val="008C63FD"/>
    <w:rsid w:val="008C6CB8"/>
    <w:rsid w:val="008C7815"/>
    <w:rsid w:val="008C7A07"/>
    <w:rsid w:val="008D0171"/>
    <w:rsid w:val="008D13EA"/>
    <w:rsid w:val="008D2671"/>
    <w:rsid w:val="008D2A16"/>
    <w:rsid w:val="008D2ECF"/>
    <w:rsid w:val="008D3F3D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967"/>
    <w:rsid w:val="008F6A0C"/>
    <w:rsid w:val="008F7721"/>
    <w:rsid w:val="008F7D28"/>
    <w:rsid w:val="009003A8"/>
    <w:rsid w:val="009010A7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D2"/>
    <w:rsid w:val="0092540B"/>
    <w:rsid w:val="00926283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E5F"/>
    <w:rsid w:val="009560B0"/>
    <w:rsid w:val="00956F23"/>
    <w:rsid w:val="00957871"/>
    <w:rsid w:val="00960077"/>
    <w:rsid w:val="00960769"/>
    <w:rsid w:val="00962D2E"/>
    <w:rsid w:val="00963724"/>
    <w:rsid w:val="00964498"/>
    <w:rsid w:val="0096504D"/>
    <w:rsid w:val="00965A2D"/>
    <w:rsid w:val="009663EB"/>
    <w:rsid w:val="0096650F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B52"/>
    <w:rsid w:val="009F7D77"/>
    <w:rsid w:val="00A015EA"/>
    <w:rsid w:val="00A10D66"/>
    <w:rsid w:val="00A12BA8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48"/>
    <w:rsid w:val="00A46DE0"/>
    <w:rsid w:val="00A4778A"/>
    <w:rsid w:val="00A504C0"/>
    <w:rsid w:val="00A5067F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1336"/>
    <w:rsid w:val="00A9221C"/>
    <w:rsid w:val="00A94628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13681"/>
    <w:rsid w:val="00B15DCD"/>
    <w:rsid w:val="00B17E71"/>
    <w:rsid w:val="00B17FDE"/>
    <w:rsid w:val="00B208FC"/>
    <w:rsid w:val="00B20C65"/>
    <w:rsid w:val="00B22E17"/>
    <w:rsid w:val="00B266C5"/>
    <w:rsid w:val="00B27293"/>
    <w:rsid w:val="00B3229E"/>
    <w:rsid w:val="00B32DDB"/>
    <w:rsid w:val="00B35174"/>
    <w:rsid w:val="00B35BEA"/>
    <w:rsid w:val="00B37915"/>
    <w:rsid w:val="00B3793D"/>
    <w:rsid w:val="00B41BE6"/>
    <w:rsid w:val="00B428A4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186B"/>
    <w:rsid w:val="00BD1EAC"/>
    <w:rsid w:val="00BD254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23B4"/>
    <w:rsid w:val="00C12A69"/>
    <w:rsid w:val="00C13737"/>
    <w:rsid w:val="00C150BE"/>
    <w:rsid w:val="00C158B0"/>
    <w:rsid w:val="00C15A0C"/>
    <w:rsid w:val="00C15DCB"/>
    <w:rsid w:val="00C1711F"/>
    <w:rsid w:val="00C17E38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76C5"/>
    <w:rsid w:val="00C503B0"/>
    <w:rsid w:val="00C511C2"/>
    <w:rsid w:val="00C53D82"/>
    <w:rsid w:val="00C54748"/>
    <w:rsid w:val="00C60696"/>
    <w:rsid w:val="00C60EEF"/>
    <w:rsid w:val="00C6121D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A02B2"/>
    <w:rsid w:val="00CA0883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A36"/>
    <w:rsid w:val="00CC2E15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442A"/>
    <w:rsid w:val="00CE57D8"/>
    <w:rsid w:val="00CE617A"/>
    <w:rsid w:val="00CF25D2"/>
    <w:rsid w:val="00CF28C2"/>
    <w:rsid w:val="00CF42BD"/>
    <w:rsid w:val="00CF51EC"/>
    <w:rsid w:val="00CF6A9D"/>
    <w:rsid w:val="00CF6CD7"/>
    <w:rsid w:val="00CF75EC"/>
    <w:rsid w:val="00D0037A"/>
    <w:rsid w:val="00D00DAF"/>
    <w:rsid w:val="00D017EC"/>
    <w:rsid w:val="00D01CDA"/>
    <w:rsid w:val="00D040DD"/>
    <w:rsid w:val="00D04E1B"/>
    <w:rsid w:val="00D0547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689"/>
    <w:rsid w:val="00D378CC"/>
    <w:rsid w:val="00D4042C"/>
    <w:rsid w:val="00D40B9E"/>
    <w:rsid w:val="00D41281"/>
    <w:rsid w:val="00D42312"/>
    <w:rsid w:val="00D43998"/>
    <w:rsid w:val="00D451E0"/>
    <w:rsid w:val="00D4615E"/>
    <w:rsid w:val="00D478E2"/>
    <w:rsid w:val="00D5264C"/>
    <w:rsid w:val="00D547BA"/>
    <w:rsid w:val="00D55626"/>
    <w:rsid w:val="00D556BC"/>
    <w:rsid w:val="00D5626D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3256"/>
    <w:rsid w:val="00D73A30"/>
    <w:rsid w:val="00D74C65"/>
    <w:rsid w:val="00D75DC2"/>
    <w:rsid w:val="00D766EF"/>
    <w:rsid w:val="00D76C03"/>
    <w:rsid w:val="00D77F8D"/>
    <w:rsid w:val="00D82462"/>
    <w:rsid w:val="00D868CE"/>
    <w:rsid w:val="00D86DAE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350B"/>
    <w:rsid w:val="00DC3790"/>
    <w:rsid w:val="00DC408A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57AD"/>
    <w:rsid w:val="00DE009B"/>
    <w:rsid w:val="00DE0C31"/>
    <w:rsid w:val="00DE2ED9"/>
    <w:rsid w:val="00DE319A"/>
    <w:rsid w:val="00DF0DC3"/>
    <w:rsid w:val="00DF21FD"/>
    <w:rsid w:val="00DF2873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4619"/>
    <w:rsid w:val="00E25223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C41"/>
    <w:rsid w:val="00E4500E"/>
    <w:rsid w:val="00E450CE"/>
    <w:rsid w:val="00E45A00"/>
    <w:rsid w:val="00E45CE7"/>
    <w:rsid w:val="00E4631F"/>
    <w:rsid w:val="00E47CB8"/>
    <w:rsid w:val="00E522BB"/>
    <w:rsid w:val="00E539E4"/>
    <w:rsid w:val="00E569C7"/>
    <w:rsid w:val="00E571F2"/>
    <w:rsid w:val="00E57429"/>
    <w:rsid w:val="00E61EA8"/>
    <w:rsid w:val="00E64EA1"/>
    <w:rsid w:val="00E70510"/>
    <w:rsid w:val="00E71262"/>
    <w:rsid w:val="00E71A58"/>
    <w:rsid w:val="00E737F6"/>
    <w:rsid w:val="00E7568F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4DF"/>
    <w:rsid w:val="00F10A33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273D4"/>
    <w:rsid w:val="00F307DD"/>
    <w:rsid w:val="00F318FC"/>
    <w:rsid w:val="00F31F76"/>
    <w:rsid w:val="00F3364D"/>
    <w:rsid w:val="00F35ACD"/>
    <w:rsid w:val="00F365BF"/>
    <w:rsid w:val="00F36BF8"/>
    <w:rsid w:val="00F375BA"/>
    <w:rsid w:val="00F37760"/>
    <w:rsid w:val="00F403D1"/>
    <w:rsid w:val="00F43921"/>
    <w:rsid w:val="00F4524F"/>
    <w:rsid w:val="00F45530"/>
    <w:rsid w:val="00F4591F"/>
    <w:rsid w:val="00F4736B"/>
    <w:rsid w:val="00F47997"/>
    <w:rsid w:val="00F47D05"/>
    <w:rsid w:val="00F50030"/>
    <w:rsid w:val="00F502F5"/>
    <w:rsid w:val="00F50B9D"/>
    <w:rsid w:val="00F51FC9"/>
    <w:rsid w:val="00F541ED"/>
    <w:rsid w:val="00F54B31"/>
    <w:rsid w:val="00F54FD3"/>
    <w:rsid w:val="00F55605"/>
    <w:rsid w:val="00F57CD7"/>
    <w:rsid w:val="00F62F02"/>
    <w:rsid w:val="00F63DDE"/>
    <w:rsid w:val="00F63FB7"/>
    <w:rsid w:val="00F64726"/>
    <w:rsid w:val="00F6561A"/>
    <w:rsid w:val="00F70309"/>
    <w:rsid w:val="00F7078A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310A"/>
    <w:rsid w:val="00F95117"/>
    <w:rsid w:val="00FA05D7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D56CE-EF89-4DCA-9230-BDB69718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867</TotalTime>
  <Pages>3</Pages>
  <Words>1555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292</cp:revision>
  <cp:lastPrinted>2015-06-19T06:21:00Z</cp:lastPrinted>
  <dcterms:created xsi:type="dcterms:W3CDTF">2015-12-16T13:30:00Z</dcterms:created>
  <dcterms:modified xsi:type="dcterms:W3CDTF">2016-03-23T12:47:00Z</dcterms:modified>
</cp:coreProperties>
</file>