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35E" w:rsidRDefault="002E435E" w:rsidP="005125D5">
      <w:pPr>
        <w:pStyle w:val="Nadpis1"/>
        <w:numPr>
          <w:ilvl w:val="0"/>
          <w:numId w:val="6"/>
        </w:numPr>
        <w:jc w:val="both"/>
      </w:pPr>
      <w:bookmarkStart w:id="0" w:name="_Toc446341887"/>
      <w:r>
        <w:t>Státní rozpočet</w:t>
      </w:r>
      <w:bookmarkEnd w:id="0"/>
    </w:p>
    <w:tbl>
      <w:tblPr>
        <w:tblW w:w="5063" w:type="pct"/>
        <w:tblCellMar>
          <w:left w:w="28" w:type="dxa"/>
          <w:right w:w="28" w:type="dxa"/>
        </w:tblCellMar>
        <w:tblLook w:val="04A0"/>
      </w:tblPr>
      <w:tblGrid>
        <w:gridCol w:w="588"/>
        <w:gridCol w:w="1454"/>
        <w:gridCol w:w="274"/>
        <w:gridCol w:w="2621"/>
        <w:gridCol w:w="707"/>
        <w:gridCol w:w="4048"/>
        <w:gridCol w:w="124"/>
      </w:tblGrid>
      <w:tr w:rsidR="00A644E1" w:rsidRPr="003A21DC" w:rsidTr="00E90A4B">
        <w:trPr>
          <w:gridAfter w:val="1"/>
          <w:wAfter w:w="62" w:type="pct"/>
        </w:trPr>
        <w:tc>
          <w:tcPr>
            <w:tcW w:w="1041" w:type="pct"/>
            <w:gridSpan w:val="2"/>
          </w:tcPr>
          <w:p w:rsidR="00A644E1" w:rsidRDefault="00A644E1" w:rsidP="00611531">
            <w:pPr>
              <w:spacing w:line="240" w:lineRule="auto"/>
              <w:rPr>
                <w:rFonts w:cs="Arial"/>
                <w:bCs/>
                <w:iCs/>
                <w:color w:val="0D0D0D" w:themeColor="text1" w:themeTint="F2"/>
                <w:spacing w:val="-2"/>
                <w:sz w:val="16"/>
                <w:szCs w:val="16"/>
              </w:rPr>
            </w:pPr>
            <w:r w:rsidRPr="00155C57">
              <w:rPr>
                <w:rFonts w:cs="Arial"/>
                <w:bCs/>
                <w:iCs/>
                <w:color w:val="0D0D0D" w:themeColor="text1" w:themeTint="F2"/>
                <w:spacing w:val="-2"/>
                <w:sz w:val="16"/>
                <w:szCs w:val="16"/>
              </w:rPr>
              <w:t>Sílící růst eko</w:t>
            </w:r>
            <w:r>
              <w:rPr>
                <w:rFonts w:cs="Arial"/>
                <w:bCs/>
                <w:iCs/>
                <w:color w:val="0D0D0D" w:themeColor="text1" w:themeTint="F2"/>
                <w:spacing w:val="-2"/>
                <w:sz w:val="16"/>
                <w:szCs w:val="16"/>
              </w:rPr>
              <w:t xml:space="preserve">nomiky podpořený rekordním čerpáním prostředků z evropských fondů </w:t>
            </w:r>
          </w:p>
          <w:p w:rsidR="00A644E1" w:rsidRDefault="00A644E1" w:rsidP="00611531">
            <w:pPr>
              <w:pStyle w:val="Textpoznpodarou"/>
              <w:jc w:val="both"/>
              <w:rPr>
                <w:rFonts w:cs="Arial"/>
                <w:bCs/>
                <w:iCs/>
                <w:color w:val="0D0D0D" w:themeColor="text1" w:themeTint="F2"/>
                <w:spacing w:val="-2"/>
                <w:sz w:val="16"/>
                <w:szCs w:val="16"/>
              </w:rPr>
            </w:pPr>
            <w:r>
              <w:rPr>
                <w:rFonts w:cs="Arial"/>
                <w:bCs/>
                <w:iCs/>
                <w:color w:val="0D0D0D" w:themeColor="text1" w:themeTint="F2"/>
                <w:spacing w:val="-2"/>
                <w:sz w:val="16"/>
                <w:szCs w:val="16"/>
              </w:rPr>
              <w:t>pomohly státnímu rozpočtu k nejnižšímu deficitu po roce 2008</w:t>
            </w:r>
            <w:r w:rsidRPr="00750404">
              <w:rPr>
                <w:rFonts w:cs="Arial"/>
                <w:bCs/>
                <w:iCs/>
                <w:color w:val="0D0D0D" w:themeColor="text1" w:themeTint="F2"/>
                <w:spacing w:val="-2"/>
                <w:sz w:val="16"/>
                <w:szCs w:val="16"/>
              </w:rPr>
              <w:t xml:space="preserve"> </w:t>
            </w:r>
          </w:p>
          <w:p w:rsidR="00A644E1" w:rsidRPr="00912F8D" w:rsidRDefault="00A644E1" w:rsidP="00611531">
            <w:pPr>
              <w:spacing w:line="240" w:lineRule="auto"/>
              <w:rPr>
                <w:rFonts w:cs="Arial"/>
                <w:color w:val="0D0D0D" w:themeColor="text1" w:themeTint="F2"/>
                <w:spacing w:val="-4"/>
                <w:szCs w:val="20"/>
              </w:rPr>
            </w:pPr>
          </w:p>
        </w:tc>
        <w:tc>
          <w:tcPr>
            <w:tcW w:w="140" w:type="pct"/>
          </w:tcPr>
          <w:p w:rsidR="00A644E1" w:rsidRPr="009720D9" w:rsidRDefault="00A644E1" w:rsidP="00611531">
            <w:pPr>
              <w:pStyle w:val="Textpoznpodarou"/>
              <w:jc w:val="both"/>
              <w:rPr>
                <w:color w:val="0D0D0D" w:themeColor="text1" w:themeTint="F2"/>
              </w:rPr>
            </w:pPr>
          </w:p>
        </w:tc>
        <w:tc>
          <w:tcPr>
            <w:tcW w:w="3757" w:type="pct"/>
            <w:gridSpan w:val="3"/>
          </w:tcPr>
          <w:p w:rsidR="00A644E1" w:rsidRPr="00240815" w:rsidRDefault="00A644E1" w:rsidP="00611531">
            <w:pPr>
              <w:pStyle w:val="Textpoznpodarou"/>
              <w:jc w:val="both"/>
              <w:rPr>
                <w:rFonts w:cs="Arial"/>
                <w:color w:val="0D0D0D" w:themeColor="text1" w:themeTint="F2"/>
              </w:rPr>
            </w:pPr>
            <w:r w:rsidRPr="00240815">
              <w:rPr>
                <w:rFonts w:cs="Arial"/>
                <w:color w:val="0D0D0D" w:themeColor="text1" w:themeTint="F2"/>
              </w:rPr>
              <w:t xml:space="preserve">Sílící ekonomický růst doprovázený intenzivním dočerpáním </w:t>
            </w:r>
            <w:r w:rsidR="00752BC3" w:rsidRPr="00240815">
              <w:rPr>
                <w:rFonts w:cs="Arial"/>
                <w:color w:val="0D0D0D" w:themeColor="text1" w:themeTint="F2"/>
              </w:rPr>
              <w:t>prostředků z rozpočtu EU pomohl</w:t>
            </w:r>
            <w:r w:rsidRPr="00240815">
              <w:rPr>
                <w:rFonts w:cs="Arial"/>
                <w:color w:val="0D0D0D" w:themeColor="text1" w:themeTint="F2"/>
              </w:rPr>
              <w:t xml:space="preserve"> v roce 2015 udržet trend snižování schodků státního rozpočtu (SR). Ten skončil (dle pokladního plnění) deficitem 62,8 mld. korun, šlo </w:t>
            </w:r>
            <w:r w:rsidR="00FF02EB" w:rsidRPr="00240815">
              <w:rPr>
                <w:rFonts w:cs="Arial"/>
                <w:color w:val="0D0D0D" w:themeColor="text1" w:themeTint="F2"/>
              </w:rPr>
              <w:t xml:space="preserve">přitom </w:t>
            </w:r>
            <w:r w:rsidRPr="00240815">
              <w:rPr>
                <w:rFonts w:cs="Arial"/>
                <w:color w:val="0D0D0D" w:themeColor="text1" w:themeTint="F2"/>
              </w:rPr>
              <w:t>o čtvrtý nejlepší výsledek po roce 2000. Dosažený deficit byl (stejně jako v předchozích dvou letech) viditelně příznivější než rozpočtová očekávání. Prohlubující se nepravidelnosti na straně příjmů i výdajů způsobily, že do významnějších deficitů se SR dostal až v poslední čtvrtině roku. Saldo SR (tvořící klíčovou složku deficitu popř. přebytku sektoru vládních institucí) činilo v roce 2015 v poměru k</w:t>
            </w:r>
            <w:r w:rsidRPr="00240815">
              <w:t> </w:t>
            </w:r>
            <w:r w:rsidRPr="00240815">
              <w:rPr>
                <w:rFonts w:cs="Arial"/>
                <w:color w:val="0D0D0D" w:themeColor="text1" w:themeTint="F2"/>
              </w:rPr>
              <w:t xml:space="preserve">nominálnímu HDP -1,4 % (o rok dříve -1,8 %) a patřilo </w:t>
            </w:r>
            <w:r w:rsidR="00FF02EB" w:rsidRPr="00240815">
              <w:rPr>
                <w:rFonts w:cs="Arial"/>
                <w:color w:val="0D0D0D" w:themeColor="text1" w:themeTint="F2"/>
              </w:rPr>
              <w:t xml:space="preserve">tak </w:t>
            </w:r>
            <w:r w:rsidRPr="00240815">
              <w:rPr>
                <w:rFonts w:cs="Arial"/>
                <w:color w:val="0D0D0D" w:themeColor="text1" w:themeTint="F2"/>
              </w:rPr>
              <w:t xml:space="preserve">(společně s rokem 2008) k nejnižším v novém miléniu. </w:t>
            </w:r>
          </w:p>
          <w:p w:rsidR="00A644E1" w:rsidRPr="00611531" w:rsidRDefault="00A644E1" w:rsidP="00611531">
            <w:pPr>
              <w:pStyle w:val="Textpoznpodarou"/>
              <w:jc w:val="both"/>
              <w:rPr>
                <w:rFonts w:cs="Arial"/>
                <w:color w:val="0D0D0D" w:themeColor="text1" w:themeTint="F2"/>
                <w:spacing w:val="-2"/>
                <w:sz w:val="18"/>
                <w:szCs w:val="18"/>
              </w:rPr>
            </w:pPr>
          </w:p>
        </w:tc>
      </w:tr>
      <w:tr w:rsidR="00A644E1" w:rsidTr="00E90A4B">
        <w:trPr>
          <w:gridAfter w:val="1"/>
          <w:wAfter w:w="62" w:type="pct"/>
        </w:trPr>
        <w:tc>
          <w:tcPr>
            <w:tcW w:w="1041" w:type="pct"/>
            <w:gridSpan w:val="2"/>
          </w:tcPr>
          <w:p w:rsidR="00A644E1" w:rsidRDefault="00A644E1" w:rsidP="00611531">
            <w:pPr>
              <w:spacing w:line="240" w:lineRule="auto"/>
              <w:rPr>
                <w:rFonts w:cs="Arial"/>
                <w:bCs/>
                <w:iCs/>
                <w:color w:val="0D0D0D" w:themeColor="text1" w:themeTint="F2"/>
                <w:spacing w:val="-4"/>
                <w:sz w:val="16"/>
                <w:szCs w:val="16"/>
              </w:rPr>
            </w:pPr>
            <w:r w:rsidRPr="00590AD7">
              <w:rPr>
                <w:rFonts w:cs="Arial"/>
                <w:bCs/>
                <w:iCs/>
                <w:color w:val="0D0D0D" w:themeColor="text1" w:themeTint="F2"/>
                <w:spacing w:val="-4"/>
                <w:sz w:val="16"/>
                <w:szCs w:val="16"/>
              </w:rPr>
              <w:t xml:space="preserve">Meziroční dynamika </w:t>
            </w:r>
            <w:r>
              <w:rPr>
                <w:rFonts w:cs="Arial"/>
                <w:bCs/>
                <w:iCs/>
                <w:color w:val="0D0D0D" w:themeColor="text1" w:themeTint="F2"/>
                <w:spacing w:val="-4"/>
                <w:sz w:val="16"/>
                <w:szCs w:val="16"/>
              </w:rPr>
              <w:t xml:space="preserve">celostátního výběru DPH (+2,8 %) byla i vlivem legislativních opatření nejnižší za poslední tři roky, </w:t>
            </w:r>
          </w:p>
          <w:p w:rsidR="00A644E1" w:rsidRPr="00590AD7" w:rsidRDefault="00A644E1" w:rsidP="00611531">
            <w:pPr>
              <w:spacing w:line="240" w:lineRule="auto"/>
              <w:rPr>
                <w:rFonts w:cs="Arial"/>
                <w:bCs/>
                <w:iCs/>
                <w:color w:val="0D0D0D" w:themeColor="text1" w:themeTint="F2"/>
                <w:spacing w:val="-4"/>
                <w:sz w:val="16"/>
                <w:szCs w:val="16"/>
              </w:rPr>
            </w:pPr>
            <w:r>
              <w:rPr>
                <w:rFonts w:cs="Arial"/>
                <w:bCs/>
                <w:iCs/>
                <w:color w:val="0D0D0D" w:themeColor="text1" w:themeTint="F2"/>
                <w:spacing w:val="-4"/>
                <w:sz w:val="16"/>
                <w:szCs w:val="16"/>
              </w:rPr>
              <w:t>i tak však překonala rozpočtová očekávání</w:t>
            </w:r>
          </w:p>
          <w:p w:rsidR="00A644E1" w:rsidRDefault="00A644E1" w:rsidP="00611531">
            <w:pPr>
              <w:spacing w:line="240" w:lineRule="auto"/>
              <w:rPr>
                <w:color w:val="0D0D0D" w:themeColor="text1" w:themeTint="F2"/>
                <w:spacing w:val="-2"/>
                <w:szCs w:val="20"/>
              </w:rPr>
            </w:pPr>
          </w:p>
          <w:p w:rsidR="00A644E1" w:rsidRPr="00750404" w:rsidRDefault="00A644E1" w:rsidP="00611531">
            <w:pPr>
              <w:spacing w:line="240" w:lineRule="auto"/>
              <w:rPr>
                <w:color w:val="0D0D0D" w:themeColor="text1" w:themeTint="F2"/>
                <w:spacing w:val="-2"/>
                <w:szCs w:val="20"/>
              </w:rPr>
            </w:pPr>
          </w:p>
        </w:tc>
        <w:tc>
          <w:tcPr>
            <w:tcW w:w="140" w:type="pct"/>
          </w:tcPr>
          <w:p w:rsidR="00A644E1" w:rsidRPr="009720D9" w:rsidRDefault="00A644E1" w:rsidP="00611531">
            <w:pPr>
              <w:pStyle w:val="Textpoznpodarou"/>
              <w:jc w:val="both"/>
              <w:rPr>
                <w:color w:val="0D0D0D" w:themeColor="text1" w:themeTint="F2"/>
              </w:rPr>
            </w:pPr>
          </w:p>
        </w:tc>
        <w:tc>
          <w:tcPr>
            <w:tcW w:w="3757" w:type="pct"/>
            <w:gridSpan w:val="3"/>
          </w:tcPr>
          <w:p w:rsidR="00A644E1" w:rsidRPr="00240815" w:rsidRDefault="00A644E1" w:rsidP="00611531">
            <w:pPr>
              <w:pStyle w:val="Textpoznpodarou"/>
              <w:jc w:val="both"/>
              <w:rPr>
                <w:rFonts w:cs="Arial"/>
                <w:color w:val="0D0D0D" w:themeColor="text1" w:themeTint="F2"/>
              </w:rPr>
            </w:pPr>
            <w:r w:rsidRPr="00240815">
              <w:rPr>
                <w:rFonts w:cs="Arial"/>
                <w:color w:val="0D0D0D" w:themeColor="text1" w:themeTint="F2"/>
              </w:rPr>
              <w:t>K růstu celkových příjmů SR (meziročně o 8,9 %) podobným dílem přispěly jak transfery z EU, tak i veškeré daňové příjmy (vyšší o téměř 50 mld. korun). V</w:t>
            </w:r>
            <w:r w:rsidR="00B92A4B">
              <w:rPr>
                <w:rFonts w:cs="Arial"/>
                <w:color w:val="0D0D0D" w:themeColor="text1" w:themeTint="F2"/>
              </w:rPr>
              <w:t> </w:t>
            </w:r>
            <w:r w:rsidRPr="00240815">
              <w:rPr>
                <w:rFonts w:cs="Arial"/>
                <w:color w:val="0D0D0D" w:themeColor="text1" w:themeTint="F2"/>
              </w:rPr>
              <w:t>inkasu daňových příjmů se v průběhu roku stále více odrážel svižný růst ekonomiky, a to vč. nepřímých daní, jejichž meziroční dynamika byla v počátku roku rozostřena uměle navýšenou základnou</w:t>
            </w:r>
            <w:r w:rsidRPr="00240815">
              <w:rPr>
                <w:rStyle w:val="Znakapoznpodarou"/>
                <w:rFonts w:cs="Arial"/>
                <w:color w:val="0D0D0D" w:themeColor="text1" w:themeTint="F2"/>
              </w:rPr>
              <w:footnoteReference w:id="1"/>
            </w:r>
            <w:r w:rsidRPr="00240815">
              <w:rPr>
                <w:rFonts w:cs="Arial"/>
                <w:color w:val="0D0D0D" w:themeColor="text1" w:themeTint="F2"/>
              </w:rPr>
              <w:t>. Výběr váhově dominantní DPH za</w:t>
            </w:r>
            <w:r w:rsidR="00B92A4B">
              <w:rPr>
                <w:rFonts w:cs="Arial"/>
                <w:color w:val="0D0D0D" w:themeColor="text1" w:themeTint="F2"/>
              </w:rPr>
              <w:t> </w:t>
            </w:r>
            <w:r w:rsidRPr="00240815">
              <w:rPr>
                <w:rFonts w:cs="Arial"/>
                <w:color w:val="0D0D0D" w:themeColor="text1" w:themeTint="F2"/>
              </w:rPr>
              <w:t xml:space="preserve">celý rok 2015 vzrostl o 2,8 %. Efekt silného růstu výdajů na konečnou spotřebu v ekonomice byl tlumen zavedením druhé snížené sazby DPH, klesajícími cenami </w:t>
            </w:r>
            <w:r w:rsidRPr="00240815">
              <w:rPr>
                <w:rFonts w:cs="Arial"/>
                <w:color w:val="0D0D0D" w:themeColor="text1" w:themeTint="F2"/>
                <w:spacing w:val="-2"/>
              </w:rPr>
              <w:t>PHM a stále ještě také vyplacením dočasně zadržených nadměrných odpočtů</w:t>
            </w:r>
            <w:r w:rsidRPr="00240815">
              <w:rPr>
                <w:rFonts w:cs="Arial"/>
                <w:color w:val="0D0D0D" w:themeColor="text1" w:themeTint="F2"/>
              </w:rPr>
              <w:t xml:space="preserve"> DPH.</w:t>
            </w:r>
          </w:p>
          <w:p w:rsidR="00A644E1" w:rsidRPr="00611531" w:rsidRDefault="00A644E1" w:rsidP="00611531">
            <w:pPr>
              <w:pStyle w:val="Textpoznpodarou"/>
              <w:jc w:val="both"/>
              <w:rPr>
                <w:rFonts w:cs="Arial"/>
                <w:color w:val="0D0D0D" w:themeColor="text1" w:themeTint="F2"/>
                <w:spacing w:val="-2"/>
                <w:sz w:val="18"/>
                <w:szCs w:val="18"/>
              </w:rPr>
            </w:pPr>
          </w:p>
        </w:tc>
      </w:tr>
      <w:tr w:rsidR="00A644E1" w:rsidTr="00E90A4B">
        <w:trPr>
          <w:gridAfter w:val="1"/>
          <w:wAfter w:w="62" w:type="pct"/>
        </w:trPr>
        <w:tc>
          <w:tcPr>
            <w:tcW w:w="1041" w:type="pct"/>
            <w:gridSpan w:val="2"/>
          </w:tcPr>
          <w:p w:rsidR="00A644E1" w:rsidRDefault="00A644E1" w:rsidP="00611531">
            <w:pPr>
              <w:spacing w:line="240" w:lineRule="auto"/>
              <w:rPr>
                <w:rFonts w:cs="Arial"/>
                <w:bCs/>
                <w:iCs/>
                <w:color w:val="0D0D0D" w:themeColor="text1" w:themeTint="F2"/>
                <w:spacing w:val="-4"/>
                <w:sz w:val="16"/>
                <w:szCs w:val="16"/>
              </w:rPr>
            </w:pPr>
            <w:r>
              <w:rPr>
                <w:rFonts w:cs="Arial"/>
                <w:bCs/>
                <w:iCs/>
                <w:color w:val="0D0D0D" w:themeColor="text1" w:themeTint="F2"/>
                <w:spacing w:val="-4"/>
                <w:sz w:val="16"/>
                <w:szCs w:val="16"/>
              </w:rPr>
              <w:t>Tempo výběru spotřebních daní v n</w:t>
            </w:r>
            <w:r w:rsidRPr="002145FE">
              <w:rPr>
                <w:rFonts w:cs="Arial"/>
                <w:bCs/>
                <w:iCs/>
                <w:color w:val="0D0D0D" w:themeColor="text1" w:themeTint="F2"/>
                <w:spacing w:val="-4"/>
                <w:sz w:val="16"/>
                <w:szCs w:val="16"/>
              </w:rPr>
              <w:t xml:space="preserve">ejvyšší za posledních </w:t>
            </w:r>
            <w:r>
              <w:rPr>
                <w:rFonts w:cs="Arial"/>
                <w:bCs/>
                <w:iCs/>
                <w:color w:val="0D0D0D" w:themeColor="text1" w:themeTint="F2"/>
                <w:spacing w:val="-4"/>
                <w:sz w:val="16"/>
                <w:szCs w:val="16"/>
              </w:rPr>
              <w:t xml:space="preserve">osm let, především zásluhou rostoucích sazeb daně </w:t>
            </w:r>
          </w:p>
          <w:p w:rsidR="00A644E1" w:rsidRPr="009720D9" w:rsidRDefault="00A644E1" w:rsidP="00611531">
            <w:pPr>
              <w:spacing w:line="240" w:lineRule="auto"/>
              <w:rPr>
                <w:rFonts w:cs="Arial"/>
                <w:bCs/>
                <w:iCs/>
                <w:color w:val="0D0D0D" w:themeColor="text1" w:themeTint="F2"/>
                <w:szCs w:val="20"/>
              </w:rPr>
            </w:pPr>
            <w:r>
              <w:rPr>
                <w:rFonts w:cs="Arial"/>
                <w:bCs/>
                <w:iCs/>
                <w:color w:val="0D0D0D" w:themeColor="text1" w:themeTint="F2"/>
                <w:spacing w:val="-4"/>
                <w:sz w:val="16"/>
                <w:szCs w:val="16"/>
              </w:rPr>
              <w:t>u tabákových výrobků</w:t>
            </w:r>
          </w:p>
        </w:tc>
        <w:tc>
          <w:tcPr>
            <w:tcW w:w="140" w:type="pct"/>
          </w:tcPr>
          <w:p w:rsidR="00A644E1" w:rsidRPr="009720D9" w:rsidRDefault="00A644E1" w:rsidP="00611531">
            <w:pPr>
              <w:pStyle w:val="Textpoznpodarou"/>
              <w:jc w:val="both"/>
              <w:rPr>
                <w:color w:val="0D0D0D" w:themeColor="text1" w:themeTint="F2"/>
              </w:rPr>
            </w:pPr>
          </w:p>
        </w:tc>
        <w:tc>
          <w:tcPr>
            <w:tcW w:w="3757" w:type="pct"/>
            <w:gridSpan w:val="3"/>
          </w:tcPr>
          <w:p w:rsidR="00A644E1" w:rsidRPr="00240815" w:rsidRDefault="00A644E1" w:rsidP="00611531">
            <w:pPr>
              <w:pStyle w:val="Textpoznpodarou"/>
              <w:jc w:val="both"/>
              <w:rPr>
                <w:rFonts w:cs="Arial"/>
                <w:color w:val="0D0D0D" w:themeColor="text1" w:themeTint="F2"/>
              </w:rPr>
            </w:pPr>
            <w:r w:rsidRPr="00240815">
              <w:rPr>
                <w:rFonts w:cs="Arial"/>
                <w:color w:val="0D0D0D" w:themeColor="text1" w:themeTint="F2"/>
              </w:rPr>
              <w:t>Celostátní inkaso všech spotřebních daní rostlo nejrychleji po roce 2007 (+6,5 %), zejména zásluhou daně z tabákových výrobků (meziročně o sedminu vyšší), jejíž výběr se (dle pokladního plnění) poprvé po roce 2011 vrátil k plynulému průběhu. Inkaso váhově dominantní daně z minerálních olejů v roce 2015 posílilo o 3,3 %, rostla spotřeba hlavně motorové nafty. Nízké</w:t>
            </w:r>
            <w:r w:rsidRPr="00240815">
              <w:rPr>
                <w:rFonts w:cs="Arial"/>
                <w:color w:val="000000" w:themeColor="text1"/>
              </w:rPr>
              <w:t xml:space="preserve"> ceny PHM</w:t>
            </w:r>
            <w:r w:rsidRPr="00240815">
              <w:rPr>
                <w:rFonts w:cs="Arial"/>
                <w:color w:val="0D0D0D" w:themeColor="text1" w:themeTint="F2"/>
              </w:rPr>
              <w:t xml:space="preserve"> stimulovaly poptávku (vč.</w:t>
            </w:r>
            <w:r w:rsidR="00240815">
              <w:rPr>
                <w:rFonts w:cs="Arial"/>
                <w:color w:val="0D0D0D" w:themeColor="text1" w:themeTint="F2"/>
              </w:rPr>
              <w:t> </w:t>
            </w:r>
            <w:r w:rsidRPr="00240815">
              <w:rPr>
                <w:rFonts w:cs="Arial"/>
                <w:color w:val="0D0D0D" w:themeColor="text1" w:themeTint="F2"/>
              </w:rPr>
              <w:t>tranzitní dopravy), k rozvoji osobní i nákladní dopravy pomohla i sílící ekonomika, mírně negativně naopak působilo opětovné zavedení daňových úlev (</w:t>
            </w:r>
            <w:r w:rsidRPr="00240815">
              <w:t>tzv. zelené nafty)</w:t>
            </w:r>
            <w:r w:rsidRPr="00240815">
              <w:rPr>
                <w:rFonts w:cs="Arial"/>
                <w:color w:val="0D0D0D" w:themeColor="text1" w:themeTint="F2"/>
              </w:rPr>
              <w:t xml:space="preserve">. </w:t>
            </w:r>
          </w:p>
          <w:p w:rsidR="00A644E1" w:rsidRPr="00611531" w:rsidRDefault="00A644E1" w:rsidP="00611531">
            <w:pPr>
              <w:pStyle w:val="Textpoznpodarou"/>
              <w:jc w:val="both"/>
              <w:rPr>
                <w:rFonts w:cs="Arial"/>
                <w:color w:val="0D0D0D" w:themeColor="text1" w:themeTint="F2"/>
                <w:spacing w:val="-2"/>
                <w:sz w:val="18"/>
                <w:szCs w:val="18"/>
              </w:rPr>
            </w:pPr>
          </w:p>
        </w:tc>
      </w:tr>
      <w:tr w:rsidR="00A644E1" w:rsidTr="00E90A4B">
        <w:trPr>
          <w:gridAfter w:val="1"/>
          <w:wAfter w:w="62" w:type="pct"/>
        </w:trPr>
        <w:tc>
          <w:tcPr>
            <w:tcW w:w="1041" w:type="pct"/>
            <w:gridSpan w:val="2"/>
          </w:tcPr>
          <w:p w:rsidR="00A644E1" w:rsidRDefault="00A644E1" w:rsidP="00611531">
            <w:pPr>
              <w:spacing w:line="240" w:lineRule="auto"/>
              <w:rPr>
                <w:rFonts w:cs="Arial"/>
                <w:bCs/>
                <w:iCs/>
                <w:color w:val="0D0D0D" w:themeColor="text1" w:themeTint="F2"/>
                <w:spacing w:val="-4"/>
                <w:sz w:val="16"/>
                <w:szCs w:val="16"/>
              </w:rPr>
            </w:pPr>
            <w:r w:rsidRPr="003744E1">
              <w:rPr>
                <w:rFonts w:cs="Arial"/>
                <w:bCs/>
                <w:iCs/>
                <w:color w:val="0D0D0D" w:themeColor="text1" w:themeTint="F2"/>
                <w:sz w:val="16"/>
                <w:szCs w:val="16"/>
              </w:rPr>
              <w:t xml:space="preserve">Celostátní inkaso </w:t>
            </w:r>
            <w:r w:rsidRPr="003744E1">
              <w:rPr>
                <w:rFonts w:cs="Arial"/>
                <w:bCs/>
                <w:iCs/>
                <w:color w:val="0D0D0D" w:themeColor="text1" w:themeTint="F2"/>
                <w:spacing w:val="-4"/>
                <w:sz w:val="16"/>
                <w:szCs w:val="16"/>
              </w:rPr>
              <w:t>korporátních</w:t>
            </w:r>
            <w:r>
              <w:rPr>
                <w:rFonts w:cs="Arial"/>
                <w:bCs/>
                <w:iCs/>
                <w:color w:val="0D0D0D" w:themeColor="text1" w:themeTint="F2"/>
                <w:spacing w:val="-4"/>
                <w:sz w:val="16"/>
                <w:szCs w:val="16"/>
              </w:rPr>
              <w:t xml:space="preserve"> daní rostlo </w:t>
            </w:r>
            <w:r w:rsidRPr="003744E1">
              <w:rPr>
                <w:rFonts w:cs="Arial"/>
                <w:bCs/>
                <w:iCs/>
                <w:color w:val="0D0D0D" w:themeColor="text1" w:themeTint="F2"/>
                <w:spacing w:val="-4"/>
                <w:sz w:val="16"/>
                <w:szCs w:val="16"/>
              </w:rPr>
              <w:t>nejvíce od konjunkturního roku 2008</w:t>
            </w:r>
          </w:p>
          <w:p w:rsidR="00A644E1" w:rsidRDefault="00A644E1" w:rsidP="00611531">
            <w:pPr>
              <w:spacing w:line="240" w:lineRule="auto"/>
              <w:rPr>
                <w:rFonts w:cs="Arial"/>
                <w:bCs/>
                <w:iCs/>
                <w:color w:val="0D0D0D" w:themeColor="text1" w:themeTint="F2"/>
                <w:spacing w:val="-4"/>
                <w:sz w:val="16"/>
                <w:szCs w:val="16"/>
              </w:rPr>
            </w:pPr>
          </w:p>
          <w:p w:rsidR="00A644E1" w:rsidRDefault="00A644E1" w:rsidP="00611531">
            <w:pPr>
              <w:spacing w:line="240" w:lineRule="auto"/>
              <w:rPr>
                <w:rFonts w:cs="Arial"/>
                <w:bCs/>
                <w:iCs/>
                <w:color w:val="0D0D0D" w:themeColor="text1" w:themeTint="F2"/>
                <w:spacing w:val="-4"/>
                <w:sz w:val="16"/>
                <w:szCs w:val="16"/>
              </w:rPr>
            </w:pPr>
          </w:p>
          <w:p w:rsidR="00A644E1" w:rsidRDefault="00A644E1" w:rsidP="00611531">
            <w:pPr>
              <w:spacing w:line="240" w:lineRule="auto"/>
              <w:rPr>
                <w:rFonts w:cs="Arial"/>
                <w:bCs/>
                <w:iCs/>
                <w:color w:val="0D0D0D" w:themeColor="text1" w:themeTint="F2"/>
                <w:spacing w:val="-4"/>
                <w:sz w:val="16"/>
                <w:szCs w:val="16"/>
              </w:rPr>
            </w:pPr>
          </w:p>
          <w:p w:rsidR="00A644E1" w:rsidRDefault="00A644E1" w:rsidP="00611531">
            <w:pPr>
              <w:spacing w:line="240" w:lineRule="auto"/>
              <w:rPr>
                <w:rFonts w:cs="Arial"/>
                <w:bCs/>
                <w:iCs/>
                <w:color w:val="0D0D0D" w:themeColor="text1" w:themeTint="F2"/>
                <w:sz w:val="16"/>
                <w:szCs w:val="16"/>
              </w:rPr>
            </w:pPr>
            <w:r>
              <w:rPr>
                <w:rFonts w:cs="Arial"/>
                <w:bCs/>
                <w:iCs/>
                <w:color w:val="0D0D0D" w:themeColor="text1" w:themeTint="F2"/>
                <w:sz w:val="16"/>
                <w:szCs w:val="16"/>
              </w:rPr>
              <w:t>Vyššímu výběru daní z příjmů od zaměstnanců bránilo rozšíření daňových slev a částečně i umírněný růst mezd zejména v první polovině roku</w:t>
            </w:r>
          </w:p>
          <w:p w:rsidR="00A644E1" w:rsidRPr="003744E1" w:rsidRDefault="00A644E1" w:rsidP="00611531">
            <w:pPr>
              <w:spacing w:line="240" w:lineRule="auto"/>
              <w:rPr>
                <w:rFonts w:cs="Arial"/>
                <w:bCs/>
                <w:iCs/>
                <w:color w:val="0D0D0D" w:themeColor="text1" w:themeTint="F2"/>
                <w:spacing w:val="-4"/>
                <w:sz w:val="16"/>
                <w:szCs w:val="16"/>
              </w:rPr>
            </w:pPr>
          </w:p>
          <w:p w:rsidR="00A644E1" w:rsidRPr="009720D9" w:rsidRDefault="00A644E1" w:rsidP="00611531">
            <w:pPr>
              <w:spacing w:line="240" w:lineRule="auto"/>
              <w:rPr>
                <w:rFonts w:cs="Arial"/>
                <w:bCs/>
                <w:iCs/>
                <w:color w:val="0D0D0D" w:themeColor="text1" w:themeTint="F2"/>
                <w:szCs w:val="20"/>
              </w:rPr>
            </w:pPr>
          </w:p>
        </w:tc>
        <w:tc>
          <w:tcPr>
            <w:tcW w:w="140" w:type="pct"/>
          </w:tcPr>
          <w:p w:rsidR="00A644E1" w:rsidRPr="009720D9" w:rsidRDefault="00A644E1" w:rsidP="00611531">
            <w:pPr>
              <w:pStyle w:val="Textpoznpodarou"/>
              <w:jc w:val="both"/>
              <w:rPr>
                <w:color w:val="0D0D0D" w:themeColor="text1" w:themeTint="F2"/>
              </w:rPr>
            </w:pPr>
          </w:p>
        </w:tc>
        <w:tc>
          <w:tcPr>
            <w:tcW w:w="3757" w:type="pct"/>
            <w:gridSpan w:val="3"/>
          </w:tcPr>
          <w:p w:rsidR="00A644E1" w:rsidRPr="001E0D70" w:rsidRDefault="00A644E1" w:rsidP="00611531">
            <w:pPr>
              <w:pStyle w:val="Textpoznpodarou"/>
              <w:jc w:val="both"/>
              <w:rPr>
                <w:spacing w:val="-2"/>
              </w:rPr>
            </w:pPr>
            <w:r w:rsidRPr="001E0D70">
              <w:rPr>
                <w:rFonts w:cs="Arial"/>
                <w:color w:val="0D0D0D" w:themeColor="text1" w:themeTint="F2"/>
                <w:spacing w:val="-2"/>
              </w:rPr>
              <w:t xml:space="preserve">Sílící zisky podniků se postupně promítaly rovněž do nárůstu tempa </w:t>
            </w:r>
            <w:r w:rsidRPr="001E0D70">
              <w:rPr>
                <w:spacing w:val="-2"/>
              </w:rPr>
              <w:t>výběru korporátních daní (+9,7 % v roce 2014, +11,4 % rok později). Naopak pod úrovní rozpočtových očekávání zůstal (podobně jako v letech 2013 a 2014) výběr daně z</w:t>
            </w:r>
            <w:r w:rsidR="00FF02EB" w:rsidRPr="001E0D70">
              <w:rPr>
                <w:rFonts w:cs="Arial"/>
                <w:color w:val="0D0D0D" w:themeColor="text1" w:themeTint="F2"/>
                <w:spacing w:val="-2"/>
              </w:rPr>
              <w:t> </w:t>
            </w:r>
            <w:r w:rsidRPr="001E0D70">
              <w:rPr>
                <w:spacing w:val="-2"/>
              </w:rPr>
              <w:t>příjmů fyzických osob (DPFO) ze závislé činnosti, když vzrostl o 4 % (obdobným tempem jako v roce 2014). Pozitivní vliv vyšší zaměstnanosti i postupného zrychlování růstu mezd zčásti tlumila legislativní opatření (zvýšení slevy na druhé a</w:t>
            </w:r>
            <w:r w:rsidR="00FF02EB" w:rsidRPr="001E0D70">
              <w:rPr>
                <w:rFonts w:cs="Arial"/>
                <w:color w:val="0D0D0D" w:themeColor="text1" w:themeTint="F2"/>
                <w:spacing w:val="-2"/>
              </w:rPr>
              <w:t> </w:t>
            </w:r>
            <w:r w:rsidRPr="001E0D70">
              <w:rPr>
                <w:spacing w:val="-2"/>
              </w:rPr>
              <w:t>další dítě, „školkovné“, uplatnění základní slevy u pracujících důchodců). Přestože celostátní výběr korporátních daní rostl v roce 2015 nejrychleji za posledních sedm let, proti svému předkrizovému maximu (z roku 2008) stále o téměř pětinu zaostával. Kromě dopadů recese na daňové inkaso (nejvyšší v roce 2009, ale také v letech 2011 a 2013), působil i vliv snížení daňový sazeb. Inkaso daní od zaměstnanců bylo</w:t>
            </w:r>
            <w:r w:rsidR="00240815">
              <w:rPr>
                <w:spacing w:val="-2"/>
              </w:rPr>
              <w:t> </w:t>
            </w:r>
            <w:r w:rsidRPr="001E0D70">
              <w:rPr>
                <w:spacing w:val="-2"/>
              </w:rPr>
              <w:t>proti svému předkrizovému maximu (z roku 2007) již o 7,7 % vyšší.</w:t>
            </w:r>
          </w:p>
          <w:p w:rsidR="00A644E1" w:rsidRPr="00611531" w:rsidRDefault="00A644E1" w:rsidP="00611531">
            <w:pPr>
              <w:pStyle w:val="Textpoznpodarou"/>
              <w:jc w:val="both"/>
              <w:rPr>
                <w:rFonts w:cs="Arial"/>
                <w:color w:val="0D0D0D" w:themeColor="text1" w:themeTint="F2"/>
                <w:spacing w:val="-2"/>
                <w:sz w:val="18"/>
                <w:szCs w:val="18"/>
              </w:rPr>
            </w:pPr>
          </w:p>
        </w:tc>
      </w:tr>
      <w:tr w:rsidR="00A644E1" w:rsidTr="00E90A4B">
        <w:trPr>
          <w:gridAfter w:val="1"/>
          <w:wAfter w:w="62" w:type="pct"/>
        </w:trPr>
        <w:tc>
          <w:tcPr>
            <w:tcW w:w="1041" w:type="pct"/>
            <w:gridSpan w:val="2"/>
          </w:tcPr>
          <w:p w:rsidR="00A644E1" w:rsidRDefault="00A644E1" w:rsidP="00611531">
            <w:pPr>
              <w:spacing w:line="240" w:lineRule="auto"/>
              <w:rPr>
                <w:rFonts w:cs="Arial"/>
                <w:bCs/>
                <w:iCs/>
                <w:color w:val="0D0D0D" w:themeColor="text1" w:themeTint="F2"/>
                <w:sz w:val="16"/>
                <w:szCs w:val="16"/>
              </w:rPr>
            </w:pPr>
            <w:r>
              <w:rPr>
                <w:rFonts w:cs="Arial"/>
                <w:bCs/>
                <w:iCs/>
                <w:color w:val="0D0D0D" w:themeColor="text1" w:themeTint="F2"/>
                <w:sz w:val="16"/>
                <w:szCs w:val="16"/>
              </w:rPr>
              <w:t>Více než pětina příjmů</w:t>
            </w:r>
            <w:r w:rsidR="001F670A">
              <w:rPr>
                <w:rFonts w:cs="Arial"/>
                <w:bCs/>
                <w:iCs/>
                <w:color w:val="0D0D0D" w:themeColor="text1" w:themeTint="F2"/>
                <w:sz w:val="16"/>
                <w:szCs w:val="16"/>
              </w:rPr>
              <w:t xml:space="preserve"> ČR z rozpočtu EU v období 2007</w:t>
            </w:r>
            <w:r w:rsidR="001F670A" w:rsidRPr="001F670A">
              <w:rPr>
                <w:rFonts w:cs="Arial"/>
                <w:bCs/>
                <w:iCs/>
                <w:color w:val="0D0D0D" w:themeColor="text1" w:themeTint="F2"/>
                <w:sz w:val="16"/>
                <w:szCs w:val="16"/>
              </w:rPr>
              <w:t>–</w:t>
            </w:r>
            <w:r>
              <w:rPr>
                <w:rFonts w:cs="Arial"/>
                <w:bCs/>
                <w:iCs/>
                <w:color w:val="0D0D0D" w:themeColor="text1" w:themeTint="F2"/>
                <w:sz w:val="16"/>
                <w:szCs w:val="16"/>
              </w:rPr>
              <w:t>2015 připadla na poslední rok</w:t>
            </w:r>
          </w:p>
          <w:p w:rsidR="00A644E1" w:rsidRPr="000C0310" w:rsidRDefault="00A644E1" w:rsidP="00611531">
            <w:pPr>
              <w:spacing w:line="240" w:lineRule="auto"/>
              <w:rPr>
                <w:rFonts w:cs="Arial"/>
                <w:bCs/>
                <w:iCs/>
                <w:color w:val="0D0D0D" w:themeColor="text1" w:themeTint="F2"/>
                <w:sz w:val="6"/>
                <w:szCs w:val="6"/>
              </w:rPr>
            </w:pPr>
          </w:p>
        </w:tc>
        <w:tc>
          <w:tcPr>
            <w:tcW w:w="140" w:type="pct"/>
          </w:tcPr>
          <w:p w:rsidR="00A644E1" w:rsidRPr="009720D9" w:rsidRDefault="00A644E1" w:rsidP="00611531">
            <w:pPr>
              <w:pStyle w:val="Textpoznpodarou"/>
              <w:jc w:val="both"/>
              <w:rPr>
                <w:color w:val="0D0D0D" w:themeColor="text1" w:themeTint="F2"/>
              </w:rPr>
            </w:pPr>
          </w:p>
        </w:tc>
        <w:tc>
          <w:tcPr>
            <w:tcW w:w="3757" w:type="pct"/>
            <w:gridSpan w:val="3"/>
          </w:tcPr>
          <w:p w:rsidR="00A644E1" w:rsidRPr="001E0D70" w:rsidRDefault="00A644E1" w:rsidP="00611531">
            <w:pPr>
              <w:pStyle w:val="Textpoznpodarou"/>
              <w:jc w:val="both"/>
              <w:rPr>
                <w:spacing w:val="-2"/>
              </w:rPr>
            </w:pPr>
            <w:r w:rsidRPr="001E0D70">
              <w:rPr>
                <w:spacing w:val="-2"/>
              </w:rPr>
              <w:t>Příjmovou, ale i výdajovou stránku rozpočtu zásadně ovlivnilo očekávané intenzivní dočerpávání prostředků z rozpočtu EU. Celkově získala ČR v roce 2015 téměř 194 mld. korun, šlo o více než pětinu přij</w:t>
            </w:r>
            <w:r w:rsidR="001F670A">
              <w:rPr>
                <w:spacing w:val="-2"/>
              </w:rPr>
              <w:t>atých prostředků za období 2007</w:t>
            </w:r>
            <w:r w:rsidR="001F670A" w:rsidRPr="002A4F70">
              <w:t>–</w:t>
            </w:r>
            <w:r w:rsidRPr="001E0D70">
              <w:rPr>
                <w:spacing w:val="-2"/>
              </w:rPr>
              <w:t>2015. Téměř 57 % příjmů v roce 2015 souviselo se strukturálními fondy, které se také nejvíce podílely na zrychleném dočerpávání (meziročn</w:t>
            </w:r>
            <w:r w:rsidR="00FF02EB">
              <w:rPr>
                <w:spacing w:val="-2"/>
              </w:rPr>
              <w:t>ě byly vyšší o 53 mld. korun, u</w:t>
            </w:r>
            <w:r w:rsidR="00FF02EB" w:rsidRPr="001E0D70">
              <w:rPr>
                <w:rFonts w:cs="Arial"/>
                <w:color w:val="0D0D0D" w:themeColor="text1" w:themeTint="F2"/>
                <w:spacing w:val="-2"/>
              </w:rPr>
              <w:t> </w:t>
            </w:r>
            <w:r w:rsidRPr="001E0D70">
              <w:rPr>
                <w:spacing w:val="-2"/>
              </w:rPr>
              <w:t>kohezních fondů o 23 mld. korun). Po zohlednění plateb do rozpočtu EU činila čistá pozice ČR téměř 152 mld. korun, dvakrát více než v roce 2014.</w:t>
            </w:r>
          </w:p>
          <w:p w:rsidR="00A644E1" w:rsidRPr="00611531" w:rsidRDefault="00A644E1" w:rsidP="00611531">
            <w:pPr>
              <w:pStyle w:val="Textpoznpodarou"/>
              <w:jc w:val="both"/>
              <w:rPr>
                <w:spacing w:val="-2"/>
                <w:sz w:val="18"/>
                <w:szCs w:val="18"/>
              </w:rPr>
            </w:pPr>
          </w:p>
        </w:tc>
      </w:tr>
      <w:tr w:rsidR="00A644E1" w:rsidTr="00E90A4B">
        <w:trPr>
          <w:gridAfter w:val="1"/>
          <w:wAfter w:w="62" w:type="pct"/>
        </w:trPr>
        <w:tc>
          <w:tcPr>
            <w:tcW w:w="1041" w:type="pct"/>
            <w:gridSpan w:val="2"/>
          </w:tcPr>
          <w:p w:rsidR="00A644E1" w:rsidRDefault="00A644E1" w:rsidP="00611531">
            <w:pPr>
              <w:spacing w:line="240" w:lineRule="auto"/>
              <w:rPr>
                <w:rFonts w:cs="Arial"/>
                <w:bCs/>
                <w:iCs/>
                <w:color w:val="0D0D0D" w:themeColor="text1" w:themeTint="F2"/>
                <w:sz w:val="16"/>
                <w:szCs w:val="16"/>
              </w:rPr>
            </w:pPr>
            <w:r w:rsidRPr="0076251D">
              <w:rPr>
                <w:rFonts w:cs="Arial"/>
                <w:bCs/>
                <w:iCs/>
                <w:color w:val="0D0D0D" w:themeColor="text1" w:themeTint="F2"/>
                <w:sz w:val="16"/>
                <w:szCs w:val="16"/>
              </w:rPr>
              <w:t>Dyna</w:t>
            </w:r>
            <w:r>
              <w:rPr>
                <w:rFonts w:cs="Arial"/>
                <w:bCs/>
                <w:iCs/>
                <w:color w:val="0D0D0D" w:themeColor="text1" w:themeTint="F2"/>
                <w:sz w:val="16"/>
                <w:szCs w:val="16"/>
              </w:rPr>
              <w:t>mika růstu výdajů SR zrychlila na nejvyšší tempo po roce 2006</w:t>
            </w:r>
          </w:p>
          <w:p w:rsidR="00A644E1" w:rsidRDefault="00A644E1" w:rsidP="00611531">
            <w:pPr>
              <w:spacing w:line="240" w:lineRule="auto"/>
              <w:rPr>
                <w:rFonts w:cs="Arial"/>
                <w:bCs/>
                <w:iCs/>
                <w:color w:val="0D0D0D" w:themeColor="text1" w:themeTint="F2"/>
                <w:sz w:val="16"/>
                <w:szCs w:val="16"/>
              </w:rPr>
            </w:pPr>
          </w:p>
          <w:p w:rsidR="00FF02EB" w:rsidRDefault="00FF02EB" w:rsidP="00611531">
            <w:pPr>
              <w:spacing w:line="240" w:lineRule="auto"/>
              <w:rPr>
                <w:rFonts w:cs="Arial"/>
                <w:bCs/>
                <w:iCs/>
                <w:color w:val="0D0D0D" w:themeColor="text1" w:themeTint="F2"/>
                <w:sz w:val="16"/>
                <w:szCs w:val="16"/>
              </w:rPr>
            </w:pPr>
          </w:p>
          <w:p w:rsidR="00FF02EB" w:rsidRDefault="00FF02EB" w:rsidP="00611531">
            <w:pPr>
              <w:spacing w:line="240" w:lineRule="auto"/>
              <w:rPr>
                <w:rFonts w:cs="Arial"/>
                <w:bCs/>
                <w:iCs/>
                <w:color w:val="0D0D0D" w:themeColor="text1" w:themeTint="F2"/>
                <w:sz w:val="16"/>
                <w:szCs w:val="16"/>
              </w:rPr>
            </w:pPr>
          </w:p>
          <w:p w:rsidR="00A644E1" w:rsidRDefault="00A644E1" w:rsidP="00611531">
            <w:pPr>
              <w:spacing w:line="240" w:lineRule="auto"/>
              <w:rPr>
                <w:rFonts w:cs="Arial"/>
                <w:bCs/>
                <w:iCs/>
                <w:color w:val="0D0D0D" w:themeColor="text1" w:themeTint="F2"/>
                <w:sz w:val="16"/>
                <w:szCs w:val="16"/>
              </w:rPr>
            </w:pPr>
            <w:r>
              <w:rPr>
                <w:rFonts w:cs="Arial"/>
                <w:bCs/>
                <w:iCs/>
                <w:color w:val="0D0D0D" w:themeColor="text1" w:themeTint="F2"/>
                <w:sz w:val="16"/>
                <w:szCs w:val="16"/>
              </w:rPr>
              <w:lastRenderedPageBreak/>
              <w:t>Na investice směřovala téměř sedmina výdajů státního rozpočtu</w:t>
            </w:r>
          </w:p>
          <w:p w:rsidR="00A644E1" w:rsidRPr="009720D9" w:rsidRDefault="00A644E1" w:rsidP="00611531">
            <w:pPr>
              <w:spacing w:line="240" w:lineRule="auto"/>
              <w:rPr>
                <w:rFonts w:cs="Arial"/>
                <w:bCs/>
                <w:iCs/>
                <w:color w:val="0D0D0D" w:themeColor="text1" w:themeTint="F2"/>
                <w:szCs w:val="20"/>
              </w:rPr>
            </w:pPr>
          </w:p>
        </w:tc>
        <w:tc>
          <w:tcPr>
            <w:tcW w:w="140" w:type="pct"/>
          </w:tcPr>
          <w:p w:rsidR="00A644E1" w:rsidRPr="009720D9" w:rsidRDefault="00A644E1" w:rsidP="00611531">
            <w:pPr>
              <w:pStyle w:val="Textpoznpodarou"/>
              <w:jc w:val="both"/>
              <w:rPr>
                <w:color w:val="0D0D0D" w:themeColor="text1" w:themeTint="F2"/>
              </w:rPr>
            </w:pPr>
          </w:p>
        </w:tc>
        <w:tc>
          <w:tcPr>
            <w:tcW w:w="3757" w:type="pct"/>
            <w:gridSpan w:val="3"/>
          </w:tcPr>
          <w:p w:rsidR="00A644E1" w:rsidRPr="00240815" w:rsidRDefault="00A644E1" w:rsidP="00611531">
            <w:pPr>
              <w:pStyle w:val="Textpoznpodarou"/>
              <w:jc w:val="both"/>
              <w:rPr>
                <w:rFonts w:cs="Arial"/>
              </w:rPr>
            </w:pPr>
            <w:r w:rsidRPr="00240815">
              <w:rPr>
                <w:rFonts w:cs="Arial"/>
                <w:color w:val="0D0D0D" w:themeColor="text1" w:themeTint="F2"/>
              </w:rPr>
              <w:t>Celkové výdaje SR meziročně zrychlily na 7,1 %, proti roku 2014 rostly více než dvojnásobným tempem. Přispěly k tomu hlavně investiční výdaje, meziročně vyšší o</w:t>
            </w:r>
            <w:r w:rsidR="00FF02EB" w:rsidRPr="00240815">
              <w:rPr>
                <w:rFonts w:cs="Arial"/>
                <w:color w:val="0D0D0D" w:themeColor="text1" w:themeTint="F2"/>
              </w:rPr>
              <w:t> </w:t>
            </w:r>
            <w:r w:rsidRPr="00240815">
              <w:rPr>
                <w:rFonts w:cs="Arial"/>
                <w:color w:val="0D0D0D" w:themeColor="text1" w:themeTint="F2"/>
              </w:rPr>
              <w:t xml:space="preserve">58 %. Na spolufinancování společných programů ČR a EU směřovalo 83 % kapitálových výdajů SR. Jednalo se zejména o </w:t>
            </w:r>
            <w:r w:rsidR="00240815" w:rsidRPr="00240815">
              <w:rPr>
                <w:rFonts w:cs="Arial"/>
                <w:color w:val="0D0D0D" w:themeColor="text1" w:themeTint="F2"/>
              </w:rPr>
              <w:t>Operační program D</w:t>
            </w:r>
            <w:r w:rsidRPr="00240815">
              <w:rPr>
                <w:rFonts w:cs="Arial"/>
                <w:color w:val="0D0D0D" w:themeColor="text1" w:themeTint="F2"/>
              </w:rPr>
              <w:t>oprava (</w:t>
            </w:r>
            <w:r w:rsidRPr="00B92A4B">
              <w:rPr>
                <w:rFonts w:cs="Arial"/>
                <w:color w:val="0D0D0D" w:themeColor="text1" w:themeTint="F2"/>
                <w:spacing w:val="-4"/>
              </w:rPr>
              <w:t>41,4</w:t>
            </w:r>
            <w:r w:rsidR="00B92A4B" w:rsidRPr="00B92A4B">
              <w:rPr>
                <w:rFonts w:cs="Arial"/>
                <w:color w:val="0D0D0D" w:themeColor="text1" w:themeTint="F2"/>
                <w:spacing w:val="-4"/>
              </w:rPr>
              <w:t> </w:t>
            </w:r>
            <w:r w:rsidRPr="00B92A4B">
              <w:rPr>
                <w:rFonts w:cs="Arial"/>
                <w:color w:val="0D0D0D" w:themeColor="text1" w:themeTint="F2"/>
                <w:spacing w:val="-4"/>
              </w:rPr>
              <w:t>mld. Kč, meziročně o 27,9 mld. korun více), a dále o oblast podnikání a</w:t>
            </w:r>
            <w:r w:rsidRPr="00240815">
              <w:rPr>
                <w:rFonts w:cs="Arial"/>
                <w:color w:val="0D0D0D" w:themeColor="text1" w:themeTint="F2"/>
              </w:rPr>
              <w:t xml:space="preserve"> inovací, </w:t>
            </w:r>
            <w:r w:rsidRPr="00240815">
              <w:rPr>
                <w:rFonts w:cs="Arial"/>
                <w:color w:val="0D0D0D" w:themeColor="text1" w:themeTint="F2"/>
              </w:rPr>
              <w:lastRenderedPageBreak/>
              <w:t xml:space="preserve">životního prostředí a také regionální operační programy. Investice tvořily rekordních 13,6 % všech výdajů SR, když v letech silné konjunktury se jejich podíl pohyboval jen mírně nad 10 </w:t>
            </w:r>
            <w:r w:rsidRPr="00240815">
              <w:rPr>
                <w:rFonts w:cs="Arial"/>
              </w:rPr>
              <w:t>%.</w:t>
            </w:r>
          </w:p>
          <w:p w:rsidR="00A644E1" w:rsidRPr="00A81094" w:rsidRDefault="00A644E1" w:rsidP="00611531">
            <w:pPr>
              <w:pStyle w:val="Textpoznpodarou"/>
              <w:jc w:val="both"/>
              <w:rPr>
                <w:rFonts w:cs="Arial"/>
                <w:color w:val="0D0D0D" w:themeColor="text1" w:themeTint="F2"/>
                <w:spacing w:val="-2"/>
                <w:sz w:val="14"/>
                <w:szCs w:val="14"/>
              </w:rPr>
            </w:pPr>
          </w:p>
        </w:tc>
      </w:tr>
      <w:tr w:rsidR="00A644E1" w:rsidTr="00E90A4B">
        <w:trPr>
          <w:gridAfter w:val="1"/>
          <w:wAfter w:w="62" w:type="pct"/>
        </w:trPr>
        <w:tc>
          <w:tcPr>
            <w:tcW w:w="1041" w:type="pct"/>
            <w:gridSpan w:val="2"/>
          </w:tcPr>
          <w:p w:rsidR="00A644E1" w:rsidRDefault="00A644E1" w:rsidP="00611531">
            <w:pPr>
              <w:spacing w:line="240" w:lineRule="auto"/>
              <w:rPr>
                <w:rFonts w:cs="Arial"/>
                <w:bCs/>
                <w:iCs/>
                <w:color w:val="0D0D0D" w:themeColor="text1" w:themeTint="F2"/>
                <w:spacing w:val="-4"/>
                <w:sz w:val="16"/>
                <w:szCs w:val="16"/>
              </w:rPr>
            </w:pPr>
            <w:r w:rsidRPr="007D72E0">
              <w:rPr>
                <w:rFonts w:cs="Arial"/>
                <w:bCs/>
                <w:iCs/>
                <w:color w:val="0D0D0D" w:themeColor="text1" w:themeTint="F2"/>
                <w:spacing w:val="-4"/>
                <w:sz w:val="16"/>
                <w:szCs w:val="16"/>
              </w:rPr>
              <w:lastRenderedPageBreak/>
              <w:t>Deficit důchodového účtu se snížil již podruhé v řadě a v roce 2015 dosáhl nejlepšího výsledku za posledních pět let</w:t>
            </w:r>
          </w:p>
          <w:p w:rsidR="00A644E1" w:rsidRDefault="00A644E1" w:rsidP="00611531">
            <w:pPr>
              <w:spacing w:line="240" w:lineRule="auto"/>
              <w:rPr>
                <w:rFonts w:cs="Arial"/>
                <w:bCs/>
                <w:iCs/>
                <w:color w:val="0D0D0D" w:themeColor="text1" w:themeTint="F2"/>
                <w:spacing w:val="-4"/>
                <w:sz w:val="16"/>
                <w:szCs w:val="16"/>
              </w:rPr>
            </w:pPr>
          </w:p>
          <w:p w:rsidR="00A644E1" w:rsidRPr="007D72E0" w:rsidRDefault="00A644E1" w:rsidP="00611531">
            <w:pPr>
              <w:spacing w:line="240" w:lineRule="auto"/>
              <w:rPr>
                <w:rFonts w:cs="Arial"/>
                <w:bCs/>
                <w:iCs/>
                <w:color w:val="0D0D0D" w:themeColor="text1" w:themeTint="F2"/>
                <w:spacing w:val="-4"/>
                <w:sz w:val="16"/>
                <w:szCs w:val="16"/>
              </w:rPr>
            </w:pPr>
          </w:p>
        </w:tc>
        <w:tc>
          <w:tcPr>
            <w:tcW w:w="140" w:type="pct"/>
          </w:tcPr>
          <w:p w:rsidR="00A644E1" w:rsidRPr="009720D9" w:rsidRDefault="00A644E1" w:rsidP="00611531">
            <w:pPr>
              <w:pStyle w:val="Textpoznpodarou"/>
              <w:jc w:val="both"/>
              <w:rPr>
                <w:color w:val="0D0D0D" w:themeColor="text1" w:themeTint="F2"/>
              </w:rPr>
            </w:pPr>
          </w:p>
        </w:tc>
        <w:tc>
          <w:tcPr>
            <w:tcW w:w="3757" w:type="pct"/>
            <w:gridSpan w:val="3"/>
          </w:tcPr>
          <w:p w:rsidR="00A644E1" w:rsidRPr="00240815" w:rsidRDefault="00A644E1" w:rsidP="00611531">
            <w:pPr>
              <w:pStyle w:val="Textpoznpodarou"/>
              <w:jc w:val="both"/>
              <w:rPr>
                <w:rFonts w:cs="Arial"/>
                <w:color w:val="0D0D0D" w:themeColor="text1" w:themeTint="F2"/>
              </w:rPr>
            </w:pPr>
            <w:r w:rsidRPr="00240815">
              <w:rPr>
                <w:rFonts w:cs="Arial"/>
                <w:color w:val="0D0D0D" w:themeColor="text1" w:themeTint="F2"/>
              </w:rPr>
              <w:t>Na vyšších běžných výdajích (o 1,9 %) se z poloviny podílely rostoucí sociální dávky (o 10,5 mld. korun). Bezmála čtyři pětiny sociálních výdajů směřovaly na</w:t>
            </w:r>
            <w:r w:rsidR="00240815">
              <w:rPr>
                <w:rFonts w:cs="Arial"/>
                <w:color w:val="0D0D0D" w:themeColor="text1" w:themeTint="F2"/>
              </w:rPr>
              <w:t> </w:t>
            </w:r>
            <w:r w:rsidRPr="00240815">
              <w:rPr>
                <w:rFonts w:cs="Arial"/>
                <w:color w:val="0D0D0D" w:themeColor="text1" w:themeTint="F2"/>
              </w:rPr>
              <w:t>důchody, jejichž výše byla ovlivněná opětovným přechodem na dřívější valorizační schéma, zčásti i mezigenerační obměnou důchodců. Počet příjemců důchodů nepatrně zrychloval (z 0,2 % na 0,4 %), výhradně vlivem vyšších počtů starobních důchodců. Ačkoliv růst výdajů na důchody (meziročně o 2,4 %) byl letos nejvyšší za poslední tři roky, deficit salda důchodového účtu (rozdíl mezi příjmy a výdaji na důchody ze SR) se díky dynamickému růstu výběru pojistného (o 5,2 %, nejvyšším po roce 2008) nadále snižoval (na 35 mld. korun).</w:t>
            </w:r>
          </w:p>
          <w:p w:rsidR="00A644E1" w:rsidRPr="00A81094" w:rsidRDefault="00A644E1" w:rsidP="00611531">
            <w:pPr>
              <w:pStyle w:val="Textpoznpodarou"/>
              <w:jc w:val="both"/>
              <w:rPr>
                <w:rFonts w:cs="Arial"/>
                <w:color w:val="0D0D0D" w:themeColor="text1" w:themeTint="F2"/>
                <w:spacing w:val="-2"/>
                <w:sz w:val="14"/>
                <w:szCs w:val="14"/>
              </w:rPr>
            </w:pPr>
          </w:p>
        </w:tc>
      </w:tr>
      <w:tr w:rsidR="00A644E1" w:rsidRPr="003A21DC" w:rsidTr="00E90A4B">
        <w:trPr>
          <w:gridAfter w:val="1"/>
          <w:wAfter w:w="62" w:type="pct"/>
        </w:trPr>
        <w:tc>
          <w:tcPr>
            <w:tcW w:w="1041" w:type="pct"/>
            <w:gridSpan w:val="2"/>
          </w:tcPr>
          <w:p w:rsidR="00A644E1" w:rsidRDefault="00A644E1" w:rsidP="00611531">
            <w:pPr>
              <w:spacing w:line="240" w:lineRule="auto"/>
              <w:rPr>
                <w:rFonts w:cs="Arial"/>
                <w:bCs/>
                <w:iCs/>
                <w:color w:val="0D0D0D" w:themeColor="text1" w:themeTint="F2"/>
                <w:spacing w:val="-4"/>
                <w:sz w:val="16"/>
                <w:szCs w:val="16"/>
              </w:rPr>
            </w:pPr>
            <w:r>
              <w:rPr>
                <w:rFonts w:cs="Arial"/>
                <w:bCs/>
                <w:iCs/>
                <w:color w:val="0D0D0D" w:themeColor="text1" w:themeTint="F2"/>
                <w:spacing w:val="-4"/>
                <w:sz w:val="16"/>
                <w:szCs w:val="16"/>
              </w:rPr>
              <w:t>Výdaje na dávky nemocenského pojištění dosáhly nejvyšší absolutní výše po roce 2009, přesto byly stále o více než 3 mld. korun nižší než objem vybraného pojistného</w:t>
            </w:r>
          </w:p>
          <w:p w:rsidR="00A644E1" w:rsidRDefault="00A644E1" w:rsidP="00611531">
            <w:pPr>
              <w:spacing w:line="240" w:lineRule="auto"/>
              <w:rPr>
                <w:rFonts w:cs="Arial"/>
                <w:bCs/>
                <w:iCs/>
                <w:color w:val="0D0D0D" w:themeColor="text1" w:themeTint="F2"/>
                <w:spacing w:val="-4"/>
                <w:sz w:val="16"/>
                <w:szCs w:val="16"/>
              </w:rPr>
            </w:pPr>
          </w:p>
          <w:p w:rsidR="00A644E1" w:rsidRDefault="00A644E1" w:rsidP="00611531">
            <w:pPr>
              <w:spacing w:line="240" w:lineRule="auto"/>
              <w:rPr>
                <w:rFonts w:cs="Arial"/>
                <w:bCs/>
                <w:iCs/>
                <w:color w:val="0D0D0D" w:themeColor="text1" w:themeTint="F2"/>
                <w:spacing w:val="-2"/>
                <w:sz w:val="16"/>
                <w:szCs w:val="16"/>
              </w:rPr>
            </w:pPr>
            <w:r w:rsidRPr="007329F3">
              <w:rPr>
                <w:rFonts w:cs="Arial"/>
                <w:bCs/>
                <w:iCs/>
                <w:color w:val="0D0D0D" w:themeColor="text1" w:themeTint="F2"/>
                <w:spacing w:val="-2"/>
                <w:sz w:val="16"/>
                <w:szCs w:val="16"/>
              </w:rPr>
              <w:t>Dávky státní sociální podpory a pěstounské péče v úhrnu meziročně stagnovaly, podobně jako dávky sociální péče</w:t>
            </w:r>
          </w:p>
          <w:p w:rsidR="00A644E1" w:rsidRDefault="00A644E1" w:rsidP="00611531">
            <w:pPr>
              <w:spacing w:line="240" w:lineRule="auto"/>
              <w:rPr>
                <w:rFonts w:cs="Arial"/>
                <w:bCs/>
                <w:iCs/>
                <w:color w:val="0D0D0D" w:themeColor="text1" w:themeTint="F2"/>
                <w:spacing w:val="-2"/>
                <w:sz w:val="16"/>
                <w:szCs w:val="16"/>
              </w:rPr>
            </w:pPr>
          </w:p>
          <w:p w:rsidR="00A644E1" w:rsidRDefault="00A644E1" w:rsidP="00611531">
            <w:pPr>
              <w:spacing w:line="240" w:lineRule="auto"/>
              <w:rPr>
                <w:rFonts w:cs="Arial"/>
                <w:bCs/>
                <w:iCs/>
                <w:color w:val="0D0D0D" w:themeColor="text1" w:themeTint="F2"/>
                <w:spacing w:val="-4"/>
                <w:sz w:val="16"/>
                <w:szCs w:val="16"/>
              </w:rPr>
            </w:pPr>
          </w:p>
          <w:p w:rsidR="00A644E1" w:rsidRPr="00750404" w:rsidRDefault="00A644E1" w:rsidP="00611531">
            <w:pPr>
              <w:spacing w:line="240" w:lineRule="auto"/>
              <w:rPr>
                <w:color w:val="0D0D0D" w:themeColor="text1" w:themeTint="F2"/>
                <w:spacing w:val="-2"/>
                <w:szCs w:val="20"/>
              </w:rPr>
            </w:pPr>
          </w:p>
        </w:tc>
        <w:tc>
          <w:tcPr>
            <w:tcW w:w="140" w:type="pct"/>
          </w:tcPr>
          <w:p w:rsidR="00A644E1" w:rsidRPr="009720D9" w:rsidRDefault="00A644E1" w:rsidP="00611531">
            <w:pPr>
              <w:pStyle w:val="Textpoznpodarou"/>
              <w:jc w:val="both"/>
              <w:rPr>
                <w:color w:val="0D0D0D" w:themeColor="text1" w:themeTint="F2"/>
              </w:rPr>
            </w:pPr>
          </w:p>
        </w:tc>
        <w:tc>
          <w:tcPr>
            <w:tcW w:w="3757" w:type="pct"/>
            <w:gridSpan w:val="3"/>
          </w:tcPr>
          <w:p w:rsidR="00A644E1" w:rsidRPr="00240815" w:rsidRDefault="00A644E1" w:rsidP="00611531">
            <w:pPr>
              <w:pStyle w:val="Textpoznpodarou"/>
              <w:jc w:val="both"/>
              <w:rPr>
                <w:rFonts w:cs="Arial"/>
                <w:color w:val="0D0D0D" w:themeColor="text1" w:themeTint="F2"/>
                <w:spacing w:val="-2"/>
              </w:rPr>
            </w:pPr>
            <w:r w:rsidRPr="00240815">
              <w:rPr>
                <w:rFonts w:cs="Arial"/>
                <w:color w:val="0D0D0D" w:themeColor="text1" w:themeTint="F2"/>
                <w:spacing w:val="-2"/>
              </w:rPr>
              <w:t>Z ostatních sociálních dávek se zvyšovaly především výdaje na nemocenské pojištění (o 9 %), a to vlivem legislativních opatření (opětovného vyplácení nemocenské již od 15. dne) a také růstu pracovní neschopnosti. Váhově nejvýznamnější dávky státní sociální podpory v úhrnu stagnovaly. V jejich rámci rostly jen dávky pěstounské péče (meziročně o osminu), porodné a příspěvek na</w:t>
            </w:r>
            <w:r w:rsidR="00B92A4B">
              <w:rPr>
                <w:rFonts w:cs="Arial"/>
                <w:color w:val="0D0D0D" w:themeColor="text1" w:themeTint="F2"/>
                <w:spacing w:val="-2"/>
              </w:rPr>
              <w:t> </w:t>
            </w:r>
            <w:r w:rsidRPr="00240815">
              <w:rPr>
                <w:rFonts w:cs="Arial"/>
                <w:color w:val="0D0D0D" w:themeColor="text1" w:themeTint="F2"/>
                <w:spacing w:val="-2"/>
              </w:rPr>
              <w:t>bydlení (o 3,6 %). Dávky sociální péče také stagnovaly, když vyšší výdaje na péči (dle zákona o sociálních službách) byly kompenzovány 7% poklesem výdajů na</w:t>
            </w:r>
            <w:r w:rsidR="00240815">
              <w:rPr>
                <w:rFonts w:cs="Arial"/>
                <w:color w:val="0D0D0D" w:themeColor="text1" w:themeTint="F2"/>
                <w:spacing w:val="-2"/>
              </w:rPr>
              <w:t> </w:t>
            </w:r>
            <w:r w:rsidRPr="00240815">
              <w:rPr>
                <w:rFonts w:cs="Arial"/>
                <w:color w:val="0D0D0D" w:themeColor="text1" w:themeTint="F2"/>
                <w:spacing w:val="-2"/>
              </w:rPr>
              <w:t>dávky v hmotné nouzi. Příznivá situace na trhu práce vyústila také v razantní pokles</w:t>
            </w:r>
            <w:r w:rsidR="00240815">
              <w:rPr>
                <w:rFonts w:cs="Arial"/>
                <w:color w:val="0D0D0D" w:themeColor="text1" w:themeTint="F2"/>
                <w:spacing w:val="-2"/>
              </w:rPr>
              <w:t> </w:t>
            </w:r>
            <w:r w:rsidRPr="00240815">
              <w:rPr>
                <w:rFonts w:cs="Arial"/>
                <w:color w:val="0D0D0D" w:themeColor="text1" w:themeTint="F2"/>
                <w:spacing w:val="-2"/>
              </w:rPr>
              <w:t>výše vyplacených podpor v nezaměstnanosti (proti roku 2014 o celou desetinu, ve</w:t>
            </w:r>
            <w:r w:rsidR="00240815">
              <w:rPr>
                <w:rFonts w:cs="Arial"/>
                <w:color w:val="0D0D0D" w:themeColor="text1" w:themeTint="F2"/>
                <w:spacing w:val="-2"/>
              </w:rPr>
              <w:t> </w:t>
            </w:r>
            <w:r w:rsidRPr="00240815">
              <w:rPr>
                <w:rFonts w:cs="Arial"/>
                <w:color w:val="0D0D0D" w:themeColor="text1" w:themeTint="F2"/>
                <w:spacing w:val="-2"/>
              </w:rPr>
              <w:t>srovnání s rokem nejhlubší recese se snížily dokonce o 45 %). Podporu</w:t>
            </w:r>
            <w:r w:rsidR="00240815">
              <w:rPr>
                <w:rFonts w:cs="Arial"/>
                <w:color w:val="0D0D0D" w:themeColor="text1" w:themeTint="F2"/>
                <w:spacing w:val="-2"/>
              </w:rPr>
              <w:t> </w:t>
            </w:r>
            <w:r w:rsidRPr="00240815">
              <w:rPr>
                <w:rFonts w:cs="Arial"/>
                <w:color w:val="0D0D0D" w:themeColor="text1" w:themeTint="F2"/>
                <w:spacing w:val="-2"/>
              </w:rPr>
              <w:t>v nezaměstnanosti pobírala v prosinci 2015 necelá čtvrtina osob v evidenci úřadů práce (jejich</w:t>
            </w:r>
            <w:r w:rsidR="000567FA">
              <w:rPr>
                <w:rFonts w:cs="Arial"/>
                <w:color w:val="0D0D0D" w:themeColor="text1" w:themeTint="F2"/>
                <w:spacing w:val="-2"/>
              </w:rPr>
              <w:t xml:space="preserve"> podíl meziročně mírně vzrostl </w:t>
            </w:r>
            <w:r w:rsidR="000567FA" w:rsidRPr="002A4F70">
              <w:t>–</w:t>
            </w:r>
            <w:r w:rsidRPr="00240815">
              <w:rPr>
                <w:rFonts w:cs="Arial"/>
                <w:color w:val="0D0D0D" w:themeColor="text1" w:themeTint="F2"/>
                <w:spacing w:val="-2"/>
              </w:rPr>
              <w:t xml:space="preserve"> o 2,5 p</w:t>
            </w:r>
            <w:r w:rsidR="00494343">
              <w:rPr>
                <w:rFonts w:cs="Arial"/>
                <w:color w:val="0D0D0D" w:themeColor="text1" w:themeTint="F2"/>
                <w:spacing w:val="-2"/>
              </w:rPr>
              <w:t>.</w:t>
            </w:r>
            <w:r w:rsidRPr="00240815">
              <w:rPr>
                <w:rFonts w:cs="Arial"/>
                <w:color w:val="0D0D0D" w:themeColor="text1" w:themeTint="F2"/>
                <w:spacing w:val="-2"/>
              </w:rPr>
              <w:t>b.). Souběžně s tím výrazně posílily (zásluhou prostředků z EU) výdaje na aktivní politiku zaměstnanosti, které byly za 1. až 3. čtvrtletí 2015 meziročně o víc</w:t>
            </w:r>
            <w:r w:rsidR="00F7717C">
              <w:rPr>
                <w:rFonts w:cs="Arial"/>
                <w:color w:val="0D0D0D" w:themeColor="text1" w:themeTint="F2"/>
                <w:spacing w:val="-2"/>
              </w:rPr>
              <w:t>e než polovinu vyšší a po dlouhé</w:t>
            </w:r>
            <w:r w:rsidRPr="00240815">
              <w:rPr>
                <w:rFonts w:cs="Arial"/>
                <w:color w:val="0D0D0D" w:themeColor="text1" w:themeTint="F2"/>
                <w:spacing w:val="-2"/>
              </w:rPr>
              <w:t xml:space="preserve"> době dokonce převýšily prostředky na pasivní politiku zaměstnanosti. </w:t>
            </w:r>
          </w:p>
          <w:p w:rsidR="00A644E1" w:rsidRPr="00A81094" w:rsidRDefault="00A644E1" w:rsidP="00611531">
            <w:pPr>
              <w:pStyle w:val="Textpoznpodarou"/>
              <w:jc w:val="both"/>
              <w:rPr>
                <w:rFonts w:cs="Arial"/>
                <w:color w:val="0D0D0D" w:themeColor="text1" w:themeTint="F2"/>
                <w:spacing w:val="-2"/>
                <w:sz w:val="14"/>
                <w:szCs w:val="14"/>
              </w:rPr>
            </w:pPr>
          </w:p>
        </w:tc>
      </w:tr>
      <w:tr w:rsidR="00A644E1" w:rsidTr="00E90A4B">
        <w:trPr>
          <w:gridAfter w:val="1"/>
          <w:wAfter w:w="62" w:type="pct"/>
        </w:trPr>
        <w:tc>
          <w:tcPr>
            <w:tcW w:w="1041" w:type="pct"/>
            <w:gridSpan w:val="2"/>
          </w:tcPr>
          <w:p w:rsidR="00A644E1" w:rsidRPr="009720D9" w:rsidRDefault="00A644E1" w:rsidP="00611531">
            <w:pPr>
              <w:spacing w:line="240" w:lineRule="auto"/>
              <w:rPr>
                <w:rFonts w:cs="Arial"/>
                <w:bCs/>
                <w:iCs/>
                <w:color w:val="0D0D0D" w:themeColor="text1" w:themeTint="F2"/>
                <w:szCs w:val="20"/>
              </w:rPr>
            </w:pPr>
            <w:r w:rsidRPr="000802D1">
              <w:rPr>
                <w:rFonts w:cs="Arial"/>
                <w:bCs/>
                <w:iCs/>
                <w:color w:val="000000" w:themeColor="text1"/>
                <w:spacing w:val="-4"/>
                <w:sz w:val="16"/>
                <w:szCs w:val="16"/>
              </w:rPr>
              <w:t>Výdaje na platy a ostatní platby za odvedenou práci</w:t>
            </w:r>
            <w:r>
              <w:rPr>
                <w:rFonts w:cs="Arial"/>
                <w:bCs/>
                <w:iCs/>
                <w:color w:val="000000" w:themeColor="text1"/>
                <w:spacing w:val="-4"/>
                <w:sz w:val="16"/>
                <w:szCs w:val="16"/>
              </w:rPr>
              <w:t xml:space="preserve"> zrychlily na 7,8 %, proti roku 2009 byly však vyšší jen o</w:t>
            </w:r>
            <w:r w:rsidRPr="00D574FE">
              <w:rPr>
                <w:rFonts w:cs="Arial"/>
                <w:bCs/>
                <w:iCs/>
                <w:color w:val="000000" w:themeColor="text1"/>
                <w:spacing w:val="-4"/>
                <w:sz w:val="16"/>
                <w:szCs w:val="16"/>
              </w:rPr>
              <w:t> </w:t>
            </w:r>
            <w:r>
              <w:rPr>
                <w:rFonts w:cs="Arial"/>
                <w:bCs/>
                <w:iCs/>
                <w:color w:val="000000" w:themeColor="text1"/>
                <w:spacing w:val="-4"/>
                <w:sz w:val="16"/>
                <w:szCs w:val="16"/>
              </w:rPr>
              <w:t>4</w:t>
            </w:r>
            <w:r w:rsidRPr="00D574FE">
              <w:rPr>
                <w:rFonts w:cs="Arial"/>
                <w:bCs/>
                <w:iCs/>
                <w:color w:val="000000" w:themeColor="text1"/>
                <w:spacing w:val="-4"/>
                <w:sz w:val="16"/>
                <w:szCs w:val="16"/>
              </w:rPr>
              <w:t> </w:t>
            </w:r>
            <w:r>
              <w:rPr>
                <w:rFonts w:cs="Arial"/>
                <w:bCs/>
                <w:iCs/>
                <w:color w:val="000000" w:themeColor="text1"/>
                <w:spacing w:val="-4"/>
                <w:sz w:val="16"/>
                <w:szCs w:val="16"/>
              </w:rPr>
              <w:t>%</w:t>
            </w:r>
            <w:r>
              <w:rPr>
                <w:rFonts w:cs="Arial"/>
                <w:bCs/>
                <w:iCs/>
                <w:color w:val="0D0D0D" w:themeColor="text1" w:themeTint="F2"/>
                <w:szCs w:val="20"/>
              </w:rPr>
              <w:t xml:space="preserve"> </w:t>
            </w:r>
          </w:p>
        </w:tc>
        <w:tc>
          <w:tcPr>
            <w:tcW w:w="140" w:type="pct"/>
          </w:tcPr>
          <w:p w:rsidR="00A644E1" w:rsidRPr="009720D9" w:rsidRDefault="00A644E1" w:rsidP="00611531">
            <w:pPr>
              <w:pStyle w:val="Textpoznpodarou"/>
              <w:jc w:val="both"/>
              <w:rPr>
                <w:color w:val="0D0D0D" w:themeColor="text1" w:themeTint="F2"/>
              </w:rPr>
            </w:pPr>
          </w:p>
        </w:tc>
        <w:tc>
          <w:tcPr>
            <w:tcW w:w="3757" w:type="pct"/>
            <w:gridSpan w:val="3"/>
          </w:tcPr>
          <w:p w:rsidR="00A644E1" w:rsidRPr="00240815" w:rsidRDefault="00A644E1" w:rsidP="00611531">
            <w:pPr>
              <w:pStyle w:val="Textpoznpodarou"/>
              <w:jc w:val="both"/>
              <w:rPr>
                <w:rFonts w:cs="Arial"/>
                <w:color w:val="0D0D0D" w:themeColor="text1" w:themeTint="F2"/>
              </w:rPr>
            </w:pPr>
            <w:r w:rsidRPr="00240815">
              <w:rPr>
                <w:rFonts w:cs="Arial"/>
                <w:color w:val="0D0D0D" w:themeColor="text1" w:themeTint="F2"/>
              </w:rPr>
              <w:t>Za nárůstem běžných výdajů SR stál také ústup od dřívějších restriktivních opatření. Ten se projevil také vyššími neinvestičními transfery územním rozpočtům (např. na platy učitelů či příspěvek na výkon státní správy v obcích), růstem výdajů na platy státních zaměstnanců (o 7,8 %, zčásti i vlivem přípravy na</w:t>
            </w:r>
            <w:r w:rsidR="00240815">
              <w:rPr>
                <w:rFonts w:cs="Arial"/>
                <w:color w:val="0D0D0D" w:themeColor="text1" w:themeTint="F2"/>
              </w:rPr>
              <w:t> </w:t>
            </w:r>
            <w:r w:rsidR="00FF02EB" w:rsidRPr="00240815">
              <w:rPr>
                <w:rFonts w:cs="Arial"/>
                <w:color w:val="0D0D0D" w:themeColor="text1" w:themeTint="F2"/>
              </w:rPr>
              <w:t>nový služební zákon, ale i </w:t>
            </w:r>
            <w:r w:rsidRPr="00240815">
              <w:rPr>
                <w:rFonts w:cs="Arial"/>
                <w:color w:val="0D0D0D" w:themeColor="text1" w:themeTint="F2"/>
              </w:rPr>
              <w:t>vyššími platy v obraně či soudnictví). Meziročně vyšší byly také výdaje na neinvestiční nákupy.</w:t>
            </w:r>
          </w:p>
          <w:p w:rsidR="00A644E1" w:rsidRPr="00A81094" w:rsidRDefault="00A644E1" w:rsidP="00611531">
            <w:pPr>
              <w:pStyle w:val="Textpoznpodarou"/>
              <w:jc w:val="both"/>
              <w:rPr>
                <w:rFonts w:cs="Arial"/>
                <w:color w:val="0D0D0D" w:themeColor="text1" w:themeTint="F2"/>
                <w:spacing w:val="-2"/>
                <w:sz w:val="14"/>
                <w:szCs w:val="14"/>
              </w:rPr>
            </w:pPr>
          </w:p>
        </w:tc>
      </w:tr>
      <w:tr w:rsidR="00A644E1" w:rsidTr="00E90A4B">
        <w:trPr>
          <w:gridAfter w:val="1"/>
          <w:wAfter w:w="62" w:type="pct"/>
        </w:trPr>
        <w:tc>
          <w:tcPr>
            <w:tcW w:w="1041" w:type="pct"/>
            <w:gridSpan w:val="2"/>
          </w:tcPr>
          <w:p w:rsidR="00A644E1" w:rsidRPr="00E90A4B" w:rsidRDefault="000A36CE" w:rsidP="00611531">
            <w:pPr>
              <w:spacing w:line="240" w:lineRule="auto"/>
              <w:rPr>
                <w:rFonts w:cs="Arial"/>
                <w:bCs/>
                <w:iCs/>
                <w:color w:val="000000" w:themeColor="text1"/>
                <w:sz w:val="16"/>
                <w:szCs w:val="16"/>
              </w:rPr>
            </w:pPr>
            <w:r w:rsidRPr="00E90A4B">
              <w:rPr>
                <w:rFonts w:cs="Arial"/>
                <w:bCs/>
                <w:iCs/>
                <w:color w:val="000000" w:themeColor="text1"/>
                <w:sz w:val="16"/>
                <w:szCs w:val="16"/>
              </w:rPr>
              <w:t>Výdaje</w:t>
            </w:r>
            <w:r w:rsidR="00A644E1" w:rsidRPr="00E90A4B">
              <w:rPr>
                <w:rFonts w:cs="Arial"/>
                <w:bCs/>
                <w:iCs/>
                <w:color w:val="000000" w:themeColor="text1"/>
                <w:sz w:val="16"/>
                <w:szCs w:val="16"/>
              </w:rPr>
              <w:t xml:space="preserve"> na státní dluh klesaly již druhý rok v řadě, </w:t>
            </w:r>
          </w:p>
          <w:p w:rsidR="00A644E1" w:rsidRPr="00E90A4B" w:rsidRDefault="00A644E1" w:rsidP="00611531">
            <w:pPr>
              <w:spacing w:line="240" w:lineRule="auto"/>
              <w:rPr>
                <w:rFonts w:cs="Arial"/>
                <w:bCs/>
                <w:iCs/>
                <w:color w:val="000000" w:themeColor="text1"/>
                <w:szCs w:val="20"/>
              </w:rPr>
            </w:pPr>
            <w:r w:rsidRPr="00E90A4B">
              <w:rPr>
                <w:rFonts w:cs="Arial"/>
                <w:bCs/>
                <w:iCs/>
                <w:color w:val="000000" w:themeColor="text1"/>
                <w:sz w:val="16"/>
                <w:szCs w:val="16"/>
              </w:rPr>
              <w:t>v kumulaci o 8 %</w:t>
            </w:r>
          </w:p>
        </w:tc>
        <w:tc>
          <w:tcPr>
            <w:tcW w:w="140" w:type="pct"/>
          </w:tcPr>
          <w:p w:rsidR="00A644E1" w:rsidRPr="009720D9" w:rsidRDefault="00A644E1" w:rsidP="00611531">
            <w:pPr>
              <w:pStyle w:val="Textpoznpodarou"/>
              <w:jc w:val="both"/>
              <w:rPr>
                <w:color w:val="0D0D0D" w:themeColor="text1" w:themeTint="F2"/>
              </w:rPr>
            </w:pPr>
          </w:p>
        </w:tc>
        <w:tc>
          <w:tcPr>
            <w:tcW w:w="3757" w:type="pct"/>
            <w:gridSpan w:val="3"/>
          </w:tcPr>
          <w:p w:rsidR="00A644E1" w:rsidRPr="00240815" w:rsidRDefault="00A644E1" w:rsidP="00611531">
            <w:pPr>
              <w:pStyle w:val="Textpoznpodarou"/>
              <w:jc w:val="both"/>
              <w:rPr>
                <w:rFonts w:cs="Arial"/>
                <w:color w:val="0D0D0D" w:themeColor="text1" w:themeTint="F2"/>
              </w:rPr>
            </w:pPr>
            <w:r w:rsidRPr="00240815">
              <w:rPr>
                <w:rFonts w:cs="Arial"/>
                <w:color w:val="0D0D0D" w:themeColor="text1" w:themeTint="F2"/>
              </w:rPr>
              <w:t xml:space="preserve">Podobně jako loni SR ušetřil na odvodech do rozpočtu EU i na výdajích na státní dluh </w:t>
            </w:r>
            <w:r w:rsidRPr="00240815">
              <w:rPr>
                <w:rFonts w:cs="Arial"/>
                <w:color w:val="000000" w:themeColor="text1"/>
              </w:rPr>
              <w:t xml:space="preserve">(-2,7 mld. korun). </w:t>
            </w:r>
            <w:r w:rsidRPr="00240815">
              <w:rPr>
                <w:rFonts w:cs="Arial"/>
                <w:color w:val="0D0D0D" w:themeColor="text1" w:themeTint="F2"/>
              </w:rPr>
              <w:t>Státu</w:t>
            </w:r>
            <w:r w:rsidR="00F7717C">
              <w:rPr>
                <w:rFonts w:cs="Arial"/>
                <w:color w:val="0D0D0D" w:themeColor="text1" w:themeTint="F2"/>
              </w:rPr>
              <w:t xml:space="preserve"> se</w:t>
            </w:r>
            <w:r w:rsidRPr="00240815">
              <w:rPr>
                <w:rFonts w:cs="Arial"/>
                <w:color w:val="0D0D0D" w:themeColor="text1" w:themeTint="F2"/>
              </w:rPr>
              <w:t xml:space="preserve"> koncem léta podařilo poprvé v historii prodat své střednědobé dluhopisy na primárním trhu se zápornými úrokovými sazbami. </w:t>
            </w:r>
          </w:p>
          <w:p w:rsidR="00A644E1" w:rsidRPr="00A81094" w:rsidRDefault="00A644E1" w:rsidP="00611531">
            <w:pPr>
              <w:pStyle w:val="Textpoznpodarou"/>
              <w:jc w:val="both"/>
              <w:rPr>
                <w:rFonts w:cs="Arial"/>
                <w:color w:val="0D0D0D" w:themeColor="text1" w:themeTint="F2"/>
                <w:spacing w:val="-2"/>
                <w:sz w:val="14"/>
                <w:szCs w:val="14"/>
              </w:rPr>
            </w:pPr>
          </w:p>
        </w:tc>
      </w:tr>
      <w:tr w:rsidR="00A644E1" w:rsidTr="00E90A4B">
        <w:trPr>
          <w:gridAfter w:val="1"/>
          <w:wAfter w:w="62" w:type="pct"/>
        </w:trPr>
        <w:tc>
          <w:tcPr>
            <w:tcW w:w="1041" w:type="pct"/>
            <w:gridSpan w:val="2"/>
          </w:tcPr>
          <w:p w:rsidR="00A644E1" w:rsidRPr="00E90A4B" w:rsidRDefault="00A644E1" w:rsidP="00611531">
            <w:pPr>
              <w:spacing w:line="240" w:lineRule="auto"/>
              <w:rPr>
                <w:rFonts w:cs="Arial"/>
                <w:bCs/>
                <w:iCs/>
                <w:color w:val="000000" w:themeColor="text1"/>
                <w:sz w:val="16"/>
                <w:szCs w:val="16"/>
              </w:rPr>
            </w:pPr>
            <w:r w:rsidRPr="00E90A4B">
              <w:rPr>
                <w:rFonts w:cs="Arial"/>
                <w:bCs/>
                <w:iCs/>
                <w:color w:val="000000" w:themeColor="text1"/>
                <w:sz w:val="16"/>
                <w:szCs w:val="16"/>
              </w:rPr>
              <w:t xml:space="preserve">Výše státního dluhu byla v posledních devíti </w:t>
            </w:r>
            <w:r w:rsidR="000A36CE" w:rsidRPr="00E90A4B">
              <w:rPr>
                <w:rFonts w:cs="Arial"/>
                <w:bCs/>
                <w:iCs/>
                <w:color w:val="000000" w:themeColor="text1"/>
                <w:sz w:val="16"/>
                <w:szCs w:val="16"/>
              </w:rPr>
              <w:t>čtvrtletích stabilizovaná</w:t>
            </w:r>
          </w:p>
          <w:p w:rsidR="00A644E1" w:rsidRPr="00E90A4B" w:rsidRDefault="00A644E1" w:rsidP="00611531">
            <w:pPr>
              <w:spacing w:line="240" w:lineRule="auto"/>
              <w:rPr>
                <w:rFonts w:cs="Arial"/>
                <w:bCs/>
                <w:iCs/>
                <w:color w:val="0D0D0D" w:themeColor="text1" w:themeTint="F2"/>
                <w:szCs w:val="20"/>
              </w:rPr>
            </w:pPr>
          </w:p>
        </w:tc>
        <w:tc>
          <w:tcPr>
            <w:tcW w:w="140" w:type="pct"/>
          </w:tcPr>
          <w:p w:rsidR="00A644E1" w:rsidRPr="009720D9" w:rsidRDefault="00A644E1" w:rsidP="00611531">
            <w:pPr>
              <w:pStyle w:val="Textpoznpodarou"/>
              <w:jc w:val="both"/>
              <w:rPr>
                <w:color w:val="0D0D0D" w:themeColor="text1" w:themeTint="F2"/>
              </w:rPr>
            </w:pPr>
          </w:p>
        </w:tc>
        <w:tc>
          <w:tcPr>
            <w:tcW w:w="3757" w:type="pct"/>
            <w:gridSpan w:val="3"/>
          </w:tcPr>
          <w:p w:rsidR="00E90A4B" w:rsidRPr="00240815" w:rsidRDefault="00A644E1" w:rsidP="00611531">
            <w:pPr>
              <w:pStyle w:val="Textpoznpodarou"/>
              <w:jc w:val="both"/>
              <w:rPr>
                <w:rFonts w:cs="Arial"/>
                <w:color w:val="000000" w:themeColor="text1"/>
                <w:spacing w:val="-2"/>
              </w:rPr>
            </w:pPr>
            <w:r w:rsidRPr="00240815">
              <w:rPr>
                <w:rFonts w:cs="Arial"/>
                <w:color w:val="000000" w:themeColor="text1"/>
                <w:spacing w:val="-2"/>
              </w:rPr>
              <w:t>Pokračovala faktická stabilizace státního dluhu. Jeho výše dosahovala na konci roku 2015</w:t>
            </w:r>
            <w:r w:rsidR="00E90A4B">
              <w:rPr>
                <w:rFonts w:cs="Arial"/>
                <w:color w:val="000000" w:themeColor="text1"/>
                <w:spacing w:val="-2"/>
              </w:rPr>
              <w:t xml:space="preserve"> dle MF ČR</w:t>
            </w:r>
            <w:r w:rsidRPr="00240815">
              <w:rPr>
                <w:rFonts w:cs="Arial"/>
                <w:color w:val="000000" w:themeColor="text1"/>
                <w:spacing w:val="-2"/>
              </w:rPr>
              <w:t xml:space="preserve"> rovných 1 673 mld. korun a meziročně vzrostla o 0,6 % (po poklesu v předešlém roce o 1,2 %). Stalo se tak vlivem vývoje v samotném 4. čtvrtletí, během něhož se celkové zadlužení navýšilo o 10 mld. korun. S</w:t>
            </w:r>
            <w:r w:rsidRPr="00240815">
              <w:rPr>
                <w:spacing w:val="-2"/>
              </w:rPr>
              <w:t>tát využil příznivé situace na finančních trzích, kdy si půjčoval se záporným výnosem. Vnější dluh se</w:t>
            </w:r>
            <w:r w:rsidR="00240815">
              <w:rPr>
                <w:spacing w:val="-2"/>
              </w:rPr>
              <w:t> </w:t>
            </w:r>
            <w:r w:rsidRPr="00240815">
              <w:rPr>
                <w:spacing w:val="-2"/>
              </w:rPr>
              <w:t>na celkové zadluženosti státu na konci roku 2015 podílel 17 % (nejméně od</w:t>
            </w:r>
            <w:r w:rsidR="00B92A4B">
              <w:rPr>
                <w:spacing w:val="-2"/>
              </w:rPr>
              <w:t xml:space="preserve"> </w:t>
            </w:r>
            <w:r w:rsidRPr="00240815">
              <w:rPr>
                <w:spacing w:val="-2"/>
              </w:rPr>
              <w:t>počátku roku 2008). Objem českých dluhopisů v držbě zahraničních investorů se během</w:t>
            </w:r>
            <w:r w:rsidR="00240815">
              <w:rPr>
                <w:spacing w:val="-2"/>
              </w:rPr>
              <w:t> </w:t>
            </w:r>
            <w:r w:rsidRPr="00240815">
              <w:rPr>
                <w:spacing w:val="-2"/>
              </w:rPr>
              <w:t>roku 2015 zvýšil téměř o polovinu a na konci 4. čtvrtletí činil 295 mld.</w:t>
            </w:r>
            <w:r w:rsidR="00240815" w:rsidRPr="00240815">
              <w:rPr>
                <w:spacing w:val="-2"/>
              </w:rPr>
              <w:t> </w:t>
            </w:r>
            <w:r w:rsidRPr="00240815">
              <w:rPr>
                <w:spacing w:val="-2"/>
              </w:rPr>
              <w:t>korun.</w:t>
            </w:r>
          </w:p>
          <w:p w:rsidR="00A644E1" w:rsidRPr="00A81094" w:rsidRDefault="00A644E1" w:rsidP="00611531">
            <w:pPr>
              <w:pStyle w:val="Textpoznpodarou"/>
              <w:jc w:val="both"/>
              <w:rPr>
                <w:rFonts w:cs="Arial"/>
                <w:color w:val="0D0D0D" w:themeColor="text1" w:themeTint="F2"/>
                <w:spacing w:val="-2"/>
                <w:sz w:val="14"/>
                <w:szCs w:val="14"/>
              </w:rPr>
            </w:pPr>
          </w:p>
        </w:tc>
      </w:tr>
      <w:tr w:rsidR="00E90A4B" w:rsidTr="00E90A4B">
        <w:trPr>
          <w:gridAfter w:val="1"/>
          <w:wAfter w:w="62" w:type="pct"/>
        </w:trPr>
        <w:tc>
          <w:tcPr>
            <w:tcW w:w="1041" w:type="pct"/>
            <w:gridSpan w:val="2"/>
          </w:tcPr>
          <w:p w:rsidR="00E90A4B" w:rsidRPr="00E90A4B" w:rsidRDefault="00E90A4B" w:rsidP="00611531">
            <w:pPr>
              <w:spacing w:line="240" w:lineRule="auto"/>
              <w:rPr>
                <w:rFonts w:cs="Arial"/>
                <w:bCs/>
                <w:iCs/>
                <w:color w:val="000000" w:themeColor="text1"/>
                <w:sz w:val="16"/>
                <w:szCs w:val="16"/>
              </w:rPr>
            </w:pPr>
            <w:r w:rsidRPr="00E90A4B">
              <w:rPr>
                <w:rFonts w:cs="Arial"/>
                <w:bCs/>
                <w:iCs/>
                <w:color w:val="000000" w:themeColor="text1"/>
                <w:sz w:val="16"/>
                <w:szCs w:val="16"/>
              </w:rPr>
              <w:t>Dluh sektoru vládních institucí ve vztahu k HDP se během prvních třech čtvrtletí roku 2015 snížil, podobně jako ve většině zemí EU</w:t>
            </w:r>
          </w:p>
        </w:tc>
        <w:tc>
          <w:tcPr>
            <w:tcW w:w="140" w:type="pct"/>
          </w:tcPr>
          <w:p w:rsidR="00E90A4B" w:rsidRPr="009720D9" w:rsidRDefault="00E90A4B" w:rsidP="00611531">
            <w:pPr>
              <w:pStyle w:val="Textpoznpodarou"/>
              <w:jc w:val="both"/>
              <w:rPr>
                <w:color w:val="0D0D0D" w:themeColor="text1" w:themeTint="F2"/>
              </w:rPr>
            </w:pPr>
          </w:p>
        </w:tc>
        <w:tc>
          <w:tcPr>
            <w:tcW w:w="3757" w:type="pct"/>
            <w:gridSpan w:val="3"/>
          </w:tcPr>
          <w:p w:rsidR="00E90A4B" w:rsidRPr="00E90A4B" w:rsidRDefault="00E90A4B" w:rsidP="00E90A4B">
            <w:pPr>
              <w:pStyle w:val="Textpoznpodarou"/>
              <w:jc w:val="both"/>
              <w:rPr>
                <w:rFonts w:cs="Arial"/>
                <w:color w:val="000000" w:themeColor="text1"/>
              </w:rPr>
            </w:pPr>
            <w:r w:rsidRPr="00E90A4B">
              <w:t>Dluh celého sektoru vládních institucí (zohledňující mj. i hospodaření územně správních celků či fondů sociálního zabezpečení) dosáhl dle aktuálních dat ČSÚ na konci 3. čtvrtletí 2015</w:t>
            </w:r>
            <w:r>
              <w:rPr>
                <w:rStyle w:val="Znakapoznpodarou"/>
              </w:rPr>
              <w:footnoteReference w:id="2"/>
            </w:r>
            <w:r w:rsidRPr="00E90A4B">
              <w:t xml:space="preserve"> výše 1831,3 mld. korun a ve vztahu k HDP činil 41,4 % (na konci roku 2014 pak 42,7 %). Pokles relativní úrovně dluhu vládních institucí je výsledkem jak růstu nominálního HDP, tak stabilizace nominální úrovně státního dluhu, jenž tvoří dominantní část celkového dluhu vládních institucí. Relativní výše dluhu sektoru vládních institucí v ČR byla na konci 3. čtvrtletí 2015 sedmá nejnižší mezi zeměmi EU (podobné postavení jako ČR měly např. také Dánsko či Švédsko). Od počátku roku 2015 se relativní zadluženost snížila ve větši</w:t>
            </w:r>
            <w:r>
              <w:t>ně zemí EU (nejvíce v Irsku – z</w:t>
            </w:r>
            <w:r w:rsidRPr="00E90A4B">
              <w:t xml:space="preserve"> 107,5 % na 99,4 %), naopak o více než 3 p.b. se navýšila ve Slovinsku (na 84,1 %).</w:t>
            </w:r>
          </w:p>
        </w:tc>
      </w:tr>
      <w:tr w:rsidR="00A644E1" w:rsidTr="00E90A4B">
        <w:tc>
          <w:tcPr>
            <w:tcW w:w="300" w:type="pct"/>
          </w:tcPr>
          <w:p w:rsidR="00A644E1" w:rsidRDefault="00FF02EB" w:rsidP="00611531">
            <w:pPr>
              <w:spacing w:line="240" w:lineRule="auto"/>
            </w:pPr>
            <w:r>
              <w:rPr>
                <w:sz w:val="14"/>
                <w:szCs w:val="14"/>
              </w:rPr>
              <w:lastRenderedPageBreak/>
              <w:br w:type="page"/>
            </w:r>
            <w:r w:rsidR="00A644E1">
              <w:t>Graf č. 19</w:t>
            </w:r>
          </w:p>
        </w:tc>
        <w:tc>
          <w:tcPr>
            <w:tcW w:w="2216" w:type="pct"/>
            <w:gridSpan w:val="3"/>
          </w:tcPr>
          <w:p w:rsidR="00A644E1" w:rsidRPr="00E43BFF" w:rsidRDefault="00A644E1" w:rsidP="00611531">
            <w:pPr>
              <w:spacing w:line="240" w:lineRule="auto"/>
              <w:rPr>
                <w:rFonts w:cs="Arial"/>
                <w:b/>
                <w:bCs/>
              </w:rPr>
            </w:pPr>
            <w:r>
              <w:rPr>
                <w:rFonts w:cs="Arial"/>
                <w:b/>
                <w:bCs/>
              </w:rPr>
              <w:t xml:space="preserve">Celostátní inkasa daňových příjmů </w:t>
            </w:r>
            <w:r w:rsidRPr="008A3A85">
              <w:rPr>
                <w:rFonts w:cs="Arial"/>
                <w:bCs/>
              </w:rPr>
              <w:t>(y/y, v %)</w:t>
            </w:r>
            <w:r>
              <w:rPr>
                <w:rFonts w:cs="Arial"/>
                <w:bCs/>
              </w:rPr>
              <w:t xml:space="preserve"> </w:t>
            </w:r>
            <w:r>
              <w:rPr>
                <w:rFonts w:cs="Arial"/>
                <w:b/>
                <w:bCs/>
              </w:rPr>
              <w:t>a saldo státního rozpočtu</w:t>
            </w:r>
            <w:r>
              <w:t xml:space="preserve"> </w:t>
            </w:r>
            <w:r>
              <w:rPr>
                <w:rFonts w:cs="Arial"/>
                <w:bCs/>
              </w:rPr>
              <w:t>(v mld. korun)</w:t>
            </w:r>
          </w:p>
        </w:tc>
        <w:tc>
          <w:tcPr>
            <w:tcW w:w="360" w:type="pct"/>
          </w:tcPr>
          <w:p w:rsidR="00A644E1" w:rsidRDefault="00A644E1" w:rsidP="00611531">
            <w:pPr>
              <w:spacing w:line="240" w:lineRule="auto"/>
            </w:pPr>
            <w:r>
              <w:t>Graf č. 20</w:t>
            </w:r>
          </w:p>
        </w:tc>
        <w:tc>
          <w:tcPr>
            <w:tcW w:w="2125" w:type="pct"/>
            <w:gridSpan w:val="2"/>
          </w:tcPr>
          <w:p w:rsidR="00A644E1" w:rsidRDefault="00A644E1" w:rsidP="00611531">
            <w:pPr>
              <w:spacing w:line="240" w:lineRule="auto"/>
              <w:rPr>
                <w:rFonts w:cs="Arial"/>
                <w:b/>
                <w:bCs/>
              </w:rPr>
            </w:pPr>
            <w:r>
              <w:rPr>
                <w:rFonts w:cs="Arial"/>
                <w:b/>
                <w:bCs/>
              </w:rPr>
              <w:t>Vybrané výdaje státního rozpočtu</w:t>
            </w:r>
          </w:p>
          <w:p w:rsidR="00A644E1" w:rsidRPr="006F2BEE" w:rsidRDefault="00A644E1" w:rsidP="00611531">
            <w:pPr>
              <w:spacing w:line="240" w:lineRule="auto"/>
              <w:rPr>
                <w:rFonts w:cs="Arial"/>
                <w:b/>
                <w:bCs/>
                <w:spacing w:val="-2"/>
              </w:rPr>
            </w:pPr>
            <w:r>
              <w:rPr>
                <w:rFonts w:cs="Arial"/>
                <w:bCs/>
              </w:rPr>
              <w:t>(</w:t>
            </w:r>
            <w:r w:rsidRPr="00DB06E9">
              <w:rPr>
                <w:rFonts w:cs="Arial"/>
                <w:bCs/>
              </w:rPr>
              <w:t>v mld. korun</w:t>
            </w:r>
            <w:r>
              <w:rPr>
                <w:rFonts w:cs="Arial"/>
                <w:bCs/>
              </w:rPr>
              <w:t>)</w:t>
            </w:r>
          </w:p>
        </w:tc>
      </w:tr>
      <w:tr w:rsidR="00A644E1" w:rsidTr="00E90A4B">
        <w:tc>
          <w:tcPr>
            <w:tcW w:w="2515" w:type="pct"/>
            <w:gridSpan w:val="4"/>
          </w:tcPr>
          <w:p w:rsidR="00A644E1" w:rsidRDefault="00587B29" w:rsidP="00611531">
            <w:pPr>
              <w:pStyle w:val="Textpoznpodarou"/>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242.3pt;height:181.55pt">
                  <v:imagedata r:id="rId8" o:title=""/>
                </v:shape>
              </w:pict>
            </w:r>
          </w:p>
        </w:tc>
        <w:tc>
          <w:tcPr>
            <w:tcW w:w="2485" w:type="pct"/>
            <w:gridSpan w:val="3"/>
          </w:tcPr>
          <w:p w:rsidR="00A644E1" w:rsidRDefault="00587B29" w:rsidP="00611531">
            <w:pPr>
              <w:pStyle w:val="Textpoznpodarou"/>
              <w:jc w:val="both"/>
            </w:pPr>
            <w:r>
              <w:pict>
                <v:shape id="_x0000_i1044" type="#_x0000_t75" style="width:241.05pt;height:182.2pt">
                  <v:imagedata r:id="rId9" o:title=""/>
                </v:shape>
              </w:pict>
            </w:r>
          </w:p>
        </w:tc>
      </w:tr>
      <w:tr w:rsidR="00A644E1" w:rsidTr="00E90A4B">
        <w:tc>
          <w:tcPr>
            <w:tcW w:w="5000" w:type="pct"/>
            <w:gridSpan w:val="7"/>
          </w:tcPr>
          <w:p w:rsidR="00A644E1" w:rsidRDefault="00A644E1" w:rsidP="00611531">
            <w:pPr>
              <w:pStyle w:val="Textpoznpodarou"/>
              <w:rPr>
                <w:sz w:val="18"/>
                <w:szCs w:val="18"/>
              </w:rPr>
            </w:pPr>
            <w:r w:rsidRPr="004C5813">
              <w:rPr>
                <w:sz w:val="18"/>
                <w:szCs w:val="18"/>
              </w:rPr>
              <w:t>*vč. dávek pěstounské péče</w:t>
            </w:r>
            <w:r>
              <w:rPr>
                <w:sz w:val="18"/>
                <w:szCs w:val="18"/>
              </w:rPr>
              <w:t xml:space="preserve">         </w:t>
            </w:r>
          </w:p>
          <w:p w:rsidR="00A644E1" w:rsidRDefault="00A644E1" w:rsidP="00611531">
            <w:pPr>
              <w:pStyle w:val="Textpoznpodarou"/>
              <w:rPr>
                <w:sz w:val="18"/>
                <w:szCs w:val="18"/>
              </w:rPr>
            </w:pPr>
            <w:r w:rsidRPr="004C5813">
              <w:rPr>
                <w:sz w:val="18"/>
                <w:szCs w:val="18"/>
              </w:rPr>
              <w:t>**dávky pomoci</w:t>
            </w:r>
            <w:r>
              <w:rPr>
                <w:sz w:val="18"/>
                <w:szCs w:val="18"/>
              </w:rPr>
              <w:t xml:space="preserve"> v hmotné</w:t>
            </w:r>
            <w:r w:rsidRPr="004C5813">
              <w:rPr>
                <w:sz w:val="18"/>
                <w:szCs w:val="18"/>
              </w:rPr>
              <w:t xml:space="preserve"> n</w:t>
            </w:r>
            <w:r>
              <w:rPr>
                <w:sz w:val="18"/>
                <w:szCs w:val="18"/>
              </w:rPr>
              <w:t>ouzi, dávky osobám se zdravotním</w:t>
            </w:r>
            <w:r w:rsidRPr="004C5813">
              <w:rPr>
                <w:sz w:val="18"/>
                <w:szCs w:val="18"/>
              </w:rPr>
              <w:t xml:space="preserve"> </w:t>
            </w:r>
            <w:r>
              <w:rPr>
                <w:sz w:val="18"/>
                <w:szCs w:val="18"/>
              </w:rPr>
              <w:t xml:space="preserve">postižením, příspěvek na péči </w:t>
            </w:r>
            <w:r w:rsidRPr="004C5813">
              <w:rPr>
                <w:sz w:val="18"/>
                <w:szCs w:val="18"/>
              </w:rPr>
              <w:t>dle zákona o sociálních službách</w:t>
            </w:r>
            <w:r>
              <w:rPr>
                <w:sz w:val="18"/>
                <w:szCs w:val="18"/>
              </w:rPr>
              <w:t xml:space="preserve">, </w:t>
            </w:r>
          </w:p>
          <w:p w:rsidR="00A644E1" w:rsidRPr="009E6613" w:rsidRDefault="00A644E1" w:rsidP="00611531">
            <w:pPr>
              <w:pStyle w:val="Textpoznpodarou"/>
              <w:rPr>
                <w:sz w:val="18"/>
                <w:szCs w:val="18"/>
              </w:rPr>
            </w:pPr>
            <w:r>
              <w:rPr>
                <w:sz w:val="18"/>
                <w:szCs w:val="18"/>
              </w:rPr>
              <w:t xml:space="preserve">*** bez </w:t>
            </w:r>
            <w:r w:rsidRPr="00242FC4">
              <w:rPr>
                <w:sz w:val="18"/>
                <w:szCs w:val="18"/>
              </w:rPr>
              <w:t>úroků a ostatních finančních výdajů</w:t>
            </w:r>
            <w:r>
              <w:rPr>
                <w:sz w:val="18"/>
                <w:szCs w:val="18"/>
              </w:rPr>
              <w:t xml:space="preserve">                                                             </w:t>
            </w:r>
            <w:r w:rsidR="00240815">
              <w:rPr>
                <w:sz w:val="18"/>
                <w:szCs w:val="18"/>
              </w:rPr>
              <w:t xml:space="preserve">                          </w:t>
            </w:r>
            <w:r>
              <w:rPr>
                <w:sz w:val="18"/>
                <w:szCs w:val="18"/>
              </w:rPr>
              <w:t xml:space="preserve">     </w:t>
            </w:r>
            <w:r>
              <w:rPr>
                <w:rFonts w:cs="Arial"/>
                <w:sz w:val="18"/>
                <w:szCs w:val="18"/>
              </w:rPr>
              <w:t>Zdroj: MF</w:t>
            </w:r>
            <w:r w:rsidR="00240815">
              <w:rPr>
                <w:rFonts w:cs="Arial"/>
                <w:sz w:val="18"/>
                <w:szCs w:val="18"/>
              </w:rPr>
              <w:t xml:space="preserve"> ČR</w:t>
            </w:r>
            <w:r>
              <w:rPr>
                <w:rFonts w:cs="Arial"/>
                <w:sz w:val="18"/>
                <w:szCs w:val="18"/>
              </w:rPr>
              <w:t>, MPSV</w:t>
            </w:r>
          </w:p>
        </w:tc>
      </w:tr>
    </w:tbl>
    <w:p w:rsidR="00A644E1" w:rsidRPr="001E0D70" w:rsidRDefault="00A644E1" w:rsidP="00A644E1">
      <w:pPr>
        <w:pStyle w:val="Textpoznpodarou"/>
        <w:rPr>
          <w:rFonts w:cs="Arial"/>
        </w:rPr>
      </w:pPr>
    </w:p>
    <w:tbl>
      <w:tblPr>
        <w:tblW w:w="5079" w:type="pct"/>
        <w:tblCellMar>
          <w:left w:w="28" w:type="dxa"/>
          <w:right w:w="28" w:type="dxa"/>
        </w:tblCellMar>
        <w:tblLook w:val="04A0"/>
      </w:tblPr>
      <w:tblGrid>
        <w:gridCol w:w="750"/>
        <w:gridCol w:w="4181"/>
        <w:gridCol w:w="714"/>
        <w:gridCol w:w="4202"/>
      </w:tblGrid>
      <w:tr w:rsidR="00A644E1" w:rsidTr="00611531">
        <w:tc>
          <w:tcPr>
            <w:tcW w:w="382" w:type="pct"/>
          </w:tcPr>
          <w:p w:rsidR="00A644E1" w:rsidRDefault="007F42E0" w:rsidP="00611531">
            <w:pPr>
              <w:spacing w:line="240" w:lineRule="auto"/>
            </w:pPr>
            <w:r>
              <w:t>Graf č. 21</w:t>
            </w:r>
          </w:p>
        </w:tc>
        <w:tc>
          <w:tcPr>
            <w:tcW w:w="2128" w:type="pct"/>
          </w:tcPr>
          <w:p w:rsidR="00A644E1" w:rsidRPr="00D90B56" w:rsidRDefault="00A644E1" w:rsidP="00611531">
            <w:pPr>
              <w:spacing w:line="240" w:lineRule="auto"/>
              <w:rPr>
                <w:rFonts w:cs="Arial"/>
                <w:b/>
                <w:bCs/>
              </w:rPr>
            </w:pPr>
            <w:r>
              <w:rPr>
                <w:rFonts w:cs="Arial"/>
                <w:b/>
                <w:bCs/>
              </w:rPr>
              <w:t xml:space="preserve">Struktura příjmů ČR z rozpočtu EU, celková čistá pozice </w:t>
            </w:r>
            <w:r>
              <w:rPr>
                <w:rFonts w:cs="Arial"/>
                <w:bCs/>
              </w:rPr>
              <w:t>(</w:t>
            </w:r>
            <w:r w:rsidRPr="00DB06E9">
              <w:rPr>
                <w:rFonts w:cs="Arial"/>
                <w:bCs/>
              </w:rPr>
              <w:t>v mld. korun)</w:t>
            </w:r>
          </w:p>
        </w:tc>
        <w:tc>
          <w:tcPr>
            <w:tcW w:w="362" w:type="pct"/>
          </w:tcPr>
          <w:p w:rsidR="00A644E1" w:rsidRDefault="00A644E1" w:rsidP="00611531">
            <w:pPr>
              <w:spacing w:line="240" w:lineRule="auto"/>
            </w:pPr>
            <w:r>
              <w:t>Graf č. 2</w:t>
            </w:r>
            <w:r w:rsidR="007F42E0">
              <w:t>2</w:t>
            </w:r>
          </w:p>
        </w:tc>
        <w:tc>
          <w:tcPr>
            <w:tcW w:w="2129" w:type="pct"/>
          </w:tcPr>
          <w:p w:rsidR="00A644E1" w:rsidRDefault="00A644E1" w:rsidP="00611531">
            <w:pPr>
              <w:spacing w:line="240" w:lineRule="auto"/>
              <w:rPr>
                <w:rFonts w:cs="Arial"/>
                <w:bCs/>
                <w:spacing w:val="-2"/>
              </w:rPr>
            </w:pPr>
            <w:r>
              <w:rPr>
                <w:rFonts w:cs="Arial"/>
                <w:b/>
                <w:bCs/>
                <w:spacing w:val="-2"/>
              </w:rPr>
              <w:t xml:space="preserve">Příjmy </w:t>
            </w:r>
            <w:r w:rsidRPr="006F2BEE">
              <w:rPr>
                <w:rFonts w:cs="Arial"/>
                <w:b/>
                <w:bCs/>
                <w:spacing w:val="-2"/>
              </w:rPr>
              <w:t>a výdaje</w:t>
            </w:r>
            <w:r>
              <w:rPr>
                <w:rFonts w:cs="Arial"/>
                <w:b/>
                <w:bCs/>
                <w:spacing w:val="-2"/>
              </w:rPr>
              <w:t xml:space="preserve"> na důchody ze SR</w:t>
            </w:r>
            <w:r w:rsidRPr="006F2BEE">
              <w:rPr>
                <w:rFonts w:cs="Arial"/>
                <w:b/>
                <w:bCs/>
                <w:spacing w:val="-2"/>
              </w:rPr>
              <w:t xml:space="preserve"> </w:t>
            </w:r>
            <w:r w:rsidRPr="006F2BEE">
              <w:rPr>
                <w:rFonts w:cs="Arial"/>
                <w:bCs/>
                <w:spacing w:val="-2"/>
              </w:rPr>
              <w:t xml:space="preserve">(y/y, v %) </w:t>
            </w:r>
          </w:p>
          <w:p w:rsidR="00A644E1" w:rsidRPr="006F2BEE" w:rsidRDefault="00A644E1" w:rsidP="00611531">
            <w:pPr>
              <w:spacing w:line="240" w:lineRule="auto"/>
              <w:rPr>
                <w:rFonts w:cs="Arial"/>
                <w:b/>
                <w:bCs/>
                <w:spacing w:val="-2"/>
              </w:rPr>
            </w:pPr>
            <w:r w:rsidRPr="006F2BEE">
              <w:rPr>
                <w:rFonts w:cs="Arial"/>
                <w:b/>
                <w:bCs/>
                <w:spacing w:val="-2"/>
              </w:rPr>
              <w:t xml:space="preserve">a bilance </w:t>
            </w:r>
            <w:r>
              <w:rPr>
                <w:rFonts w:cs="Arial"/>
                <w:b/>
                <w:bCs/>
                <w:spacing w:val="-2"/>
              </w:rPr>
              <w:t>důchodového</w:t>
            </w:r>
            <w:r w:rsidRPr="006F2BEE">
              <w:rPr>
                <w:rFonts w:cs="Arial"/>
                <w:b/>
                <w:bCs/>
                <w:spacing w:val="-2"/>
              </w:rPr>
              <w:t xml:space="preserve"> účtu </w:t>
            </w:r>
            <w:r w:rsidRPr="006F2BEE">
              <w:rPr>
                <w:rFonts w:cs="Arial"/>
                <w:bCs/>
                <w:spacing w:val="-2"/>
              </w:rPr>
              <w:t>(v mld. korun)</w:t>
            </w:r>
            <w:r>
              <w:rPr>
                <w:rFonts w:cs="Arial"/>
                <w:bCs/>
              </w:rPr>
              <w:t xml:space="preserve"> </w:t>
            </w:r>
          </w:p>
        </w:tc>
      </w:tr>
      <w:tr w:rsidR="00A644E1" w:rsidTr="00611531">
        <w:tc>
          <w:tcPr>
            <w:tcW w:w="2509" w:type="pct"/>
            <w:gridSpan w:val="2"/>
          </w:tcPr>
          <w:p w:rsidR="00A644E1" w:rsidRDefault="00587B29" w:rsidP="00611531">
            <w:pPr>
              <w:pStyle w:val="Textpoznpodarou"/>
              <w:jc w:val="both"/>
            </w:pPr>
            <w:r>
              <w:pict>
                <v:shape id="_x0000_i1045" type="#_x0000_t75" style="width:243.55pt;height:179.05pt">
                  <v:imagedata r:id="rId10" o:title=""/>
                </v:shape>
              </w:pict>
            </w:r>
          </w:p>
        </w:tc>
        <w:tc>
          <w:tcPr>
            <w:tcW w:w="2491" w:type="pct"/>
            <w:gridSpan w:val="2"/>
          </w:tcPr>
          <w:p w:rsidR="00A644E1" w:rsidRDefault="00587B29" w:rsidP="00611531">
            <w:pPr>
              <w:pStyle w:val="Textpoznpodarou"/>
              <w:jc w:val="both"/>
            </w:pPr>
            <w:r>
              <w:pict>
                <v:shape id="_x0000_i1046" type="#_x0000_t75" style="width:242.9pt;height:179.05pt">
                  <v:imagedata r:id="rId11" o:title=""/>
                </v:shape>
              </w:pict>
            </w:r>
          </w:p>
        </w:tc>
      </w:tr>
      <w:tr w:rsidR="00A644E1" w:rsidTr="00611531">
        <w:tc>
          <w:tcPr>
            <w:tcW w:w="5000" w:type="pct"/>
            <w:gridSpan w:val="4"/>
          </w:tcPr>
          <w:p w:rsidR="00A644E1" w:rsidRPr="004C5813" w:rsidRDefault="00A644E1" w:rsidP="00611531">
            <w:pPr>
              <w:autoSpaceDE w:val="0"/>
              <w:autoSpaceDN w:val="0"/>
              <w:adjustRightInd w:val="0"/>
              <w:spacing w:line="240" w:lineRule="auto"/>
              <w:rPr>
                <w:rFonts w:cs="Arial"/>
                <w:color w:val="000000" w:themeColor="text1"/>
                <w:spacing w:val="-2"/>
                <w:sz w:val="18"/>
                <w:szCs w:val="18"/>
              </w:rPr>
            </w:pPr>
            <w:r w:rsidRPr="004C5813">
              <w:rPr>
                <w:sz w:val="18"/>
                <w:szCs w:val="18"/>
                <w:lang w:eastAsia="ar-SA"/>
              </w:rPr>
              <w:t>*</w:t>
            </w:r>
            <w:r w:rsidRPr="004C5813">
              <w:rPr>
                <w:rFonts w:ascii="TimesNewRoman,Italic" w:hAnsi="TimesNewRoman,Italic" w:cs="TimesNewRoman,Italic"/>
                <w:i/>
                <w:iCs/>
                <w:sz w:val="18"/>
                <w:szCs w:val="18"/>
              </w:rPr>
              <w:t xml:space="preserve"> </w:t>
            </w:r>
            <w:r w:rsidRPr="00D90B56">
              <w:rPr>
                <w:rFonts w:cs="Arial"/>
                <w:color w:val="000000" w:themeColor="text1"/>
                <w:spacing w:val="-2"/>
                <w:sz w:val="18"/>
                <w:szCs w:val="18"/>
              </w:rPr>
              <w:t>zahrnují programy přímo řízené Komisí (Horizont 2020, Nástroj pro</w:t>
            </w:r>
            <w:r>
              <w:rPr>
                <w:rFonts w:cs="Arial"/>
                <w:color w:val="000000" w:themeColor="text1"/>
                <w:spacing w:val="-2"/>
                <w:sz w:val="18"/>
                <w:szCs w:val="18"/>
              </w:rPr>
              <w:t xml:space="preserve"> propojení Evropy, Erasmus+</w:t>
            </w:r>
            <w:r w:rsidRPr="00D90B56">
              <w:rPr>
                <w:rFonts w:cs="Arial"/>
                <w:color w:val="000000" w:themeColor="text1"/>
                <w:spacing w:val="-2"/>
                <w:sz w:val="18"/>
                <w:szCs w:val="18"/>
              </w:rPr>
              <w:t>)</w:t>
            </w:r>
            <w:r w:rsidR="00240815">
              <w:rPr>
                <w:rFonts w:cs="Arial"/>
                <w:color w:val="000000" w:themeColor="text1"/>
                <w:spacing w:val="-2"/>
                <w:sz w:val="18"/>
                <w:szCs w:val="18"/>
              </w:rPr>
              <w:t xml:space="preserve">        </w:t>
            </w:r>
            <w:r>
              <w:rPr>
                <w:rFonts w:cs="Arial"/>
                <w:color w:val="000000" w:themeColor="text1"/>
                <w:spacing w:val="-2"/>
                <w:sz w:val="18"/>
                <w:szCs w:val="18"/>
              </w:rPr>
              <w:t xml:space="preserve">  </w:t>
            </w:r>
            <w:r>
              <w:rPr>
                <w:rFonts w:cs="Arial"/>
                <w:sz w:val="18"/>
                <w:szCs w:val="18"/>
              </w:rPr>
              <w:t>Zdroj: MF</w:t>
            </w:r>
            <w:r w:rsidR="00240815">
              <w:rPr>
                <w:rFonts w:cs="Arial"/>
                <w:sz w:val="18"/>
                <w:szCs w:val="18"/>
              </w:rPr>
              <w:t xml:space="preserve"> ČR</w:t>
            </w:r>
            <w:r>
              <w:rPr>
                <w:rFonts w:cs="Arial"/>
                <w:sz w:val="18"/>
                <w:szCs w:val="18"/>
              </w:rPr>
              <w:t>, ČSSZ</w:t>
            </w:r>
          </w:p>
        </w:tc>
      </w:tr>
    </w:tbl>
    <w:p w:rsidR="00A644E1" w:rsidRDefault="00A644E1" w:rsidP="00A644E1">
      <w:pPr>
        <w:pStyle w:val="Textpoznpodarou"/>
        <w:jc w:val="both"/>
        <w:rPr>
          <w:rFonts w:cs="Arial"/>
          <w:color w:val="000000" w:themeColor="text1"/>
          <w:spacing w:val="-2"/>
        </w:rPr>
      </w:pPr>
    </w:p>
    <w:p w:rsidR="000F5673" w:rsidRDefault="000F5673" w:rsidP="00C2463B">
      <w:pPr>
        <w:pStyle w:val="Textpoznpodarou"/>
        <w:jc w:val="both"/>
        <w:rPr>
          <w:rFonts w:cs="Arial"/>
          <w:color w:val="000000" w:themeColor="text1"/>
          <w:spacing w:val="-2"/>
        </w:rPr>
      </w:pPr>
    </w:p>
    <w:sectPr w:rsidR="000F5673" w:rsidSect="005125D5">
      <w:headerReference w:type="even" r:id="rId12"/>
      <w:headerReference w:type="default" r:id="rId13"/>
      <w:footerReference w:type="even" r:id="rId14"/>
      <w:footerReference w:type="default" r:id="rId15"/>
      <w:type w:val="continuous"/>
      <w:pgSz w:w="11906" w:h="16838" w:code="9"/>
      <w:pgMar w:top="1134" w:right="1134" w:bottom="1418" w:left="1134" w:header="680" w:footer="680" w:gutter="0"/>
      <w:pgNumType w:start="2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792" w:rsidRDefault="00DB5792" w:rsidP="00E71A58">
      <w:r>
        <w:separator/>
      </w:r>
    </w:p>
  </w:endnote>
  <w:endnote w:type="continuationSeparator" w:id="0">
    <w:p w:rsidR="00DB5792" w:rsidRDefault="00DB5792"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imesNewRoman,Italic">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792" w:rsidRDefault="00587B29" w:rsidP="00357449">
    <w:pPr>
      <w:pStyle w:val="Zpat"/>
      <w:tabs>
        <w:tab w:val="clear" w:pos="4536"/>
        <w:tab w:val="clear" w:pos="9072"/>
        <w:tab w:val="center" w:pos="4820"/>
        <w:tab w:val="right" w:pos="9639"/>
      </w:tabs>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50" type="#_x0000_t75" alt="Description: 3" style="position:absolute;margin-left:445.7pt;margin-top:-4.1pt;width:36.75pt;height:17.25pt;z-index:251657728;visibility:visible">
          <v:imagedata r:id="rId1" o:title=""/>
        </v:shape>
      </w:pict>
    </w:r>
    <w:r w:rsidRPr="005A21E0">
      <w:rPr>
        <w:rFonts w:ascii="Arial" w:hAnsi="Arial" w:cs="Arial"/>
        <w:sz w:val="16"/>
        <w:szCs w:val="16"/>
      </w:rPr>
      <w:fldChar w:fldCharType="begin"/>
    </w:r>
    <w:r w:rsidR="00DB5792" w:rsidRPr="005A21E0">
      <w:rPr>
        <w:rFonts w:ascii="Arial" w:hAnsi="Arial" w:cs="Arial"/>
        <w:sz w:val="16"/>
        <w:szCs w:val="16"/>
      </w:rPr>
      <w:instrText>PAGE   \* MERGEFORMAT</w:instrText>
    </w:r>
    <w:r w:rsidRPr="005A21E0">
      <w:rPr>
        <w:rFonts w:ascii="Arial" w:hAnsi="Arial" w:cs="Arial"/>
        <w:sz w:val="16"/>
        <w:szCs w:val="16"/>
      </w:rPr>
      <w:fldChar w:fldCharType="separate"/>
    </w:r>
    <w:r w:rsidR="005125D5">
      <w:rPr>
        <w:rFonts w:ascii="Arial" w:hAnsi="Arial" w:cs="Arial"/>
        <w:noProof/>
        <w:sz w:val="16"/>
        <w:szCs w:val="16"/>
      </w:rPr>
      <w:t>22</w:t>
    </w:r>
    <w:r w:rsidRPr="005A21E0">
      <w:rPr>
        <w:rFonts w:ascii="Arial" w:hAnsi="Arial" w:cs="Arial"/>
        <w:sz w:val="16"/>
        <w:szCs w:val="16"/>
      </w:rPr>
      <w:fldChar w:fldCharType="end"/>
    </w:r>
    <w:r w:rsidR="00DB5792">
      <w:rPr>
        <w:rFonts w:ascii="Arial" w:hAnsi="Arial" w:cs="Arial"/>
        <w:sz w:val="16"/>
        <w:szCs w:val="16"/>
      </w:rPr>
      <w:tab/>
      <w:t>2016</w:t>
    </w:r>
    <w:r w:rsidR="00DB5792">
      <w:tab/>
    </w:r>
    <w:r w:rsidR="00DB5792">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792" w:rsidRDefault="00587B29" w:rsidP="00357449">
    <w:pPr>
      <w:pStyle w:val="Zpat"/>
      <w:tabs>
        <w:tab w:val="clear" w:pos="4536"/>
        <w:tab w:val="clear" w:pos="9072"/>
        <w:tab w:val="left" w:pos="1134"/>
        <w:tab w:val="left" w:pos="1920"/>
        <w:tab w:val="center" w:pos="4820"/>
        <w:tab w:val="right" w:pos="9639"/>
      </w:tabs>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Description: 3" style="position:absolute;margin-left:.3pt;margin-top:7.1pt;width:39pt;height:21pt;z-index:251658752;visibility:visible">
          <v:imagedata r:id="rId1" o:title=""/>
        </v:shape>
      </w:pict>
    </w:r>
    <w:r w:rsidR="00DB5792">
      <w:tab/>
    </w:r>
    <w:r w:rsidR="00DB5792">
      <w:tab/>
    </w:r>
    <w:r w:rsidR="00DB5792" w:rsidRPr="00DC5B3B">
      <w:t xml:space="preserve">                              </w:t>
    </w:r>
  </w:p>
  <w:p w:rsidR="00DB5792" w:rsidRPr="00223E00" w:rsidRDefault="00DB5792"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2016</w:t>
    </w:r>
    <w:r>
      <w:rPr>
        <w:rFonts w:ascii="Arial" w:hAnsi="Arial" w:cs="Arial"/>
        <w:sz w:val="16"/>
        <w:szCs w:val="16"/>
      </w:rPr>
      <w:tab/>
    </w:r>
    <w:r w:rsidR="00587B29"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587B29" w:rsidRPr="00223E00">
      <w:rPr>
        <w:rFonts w:ascii="Arial" w:hAnsi="Arial" w:cs="Arial"/>
        <w:sz w:val="16"/>
        <w:szCs w:val="16"/>
      </w:rPr>
      <w:fldChar w:fldCharType="separate"/>
    </w:r>
    <w:r w:rsidR="005125D5">
      <w:rPr>
        <w:rFonts w:ascii="Arial" w:hAnsi="Arial" w:cs="Arial"/>
        <w:noProof/>
        <w:sz w:val="16"/>
        <w:szCs w:val="16"/>
      </w:rPr>
      <w:t>23</w:t>
    </w:r>
    <w:r w:rsidR="00587B29"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792" w:rsidRDefault="00DB5792" w:rsidP="00E71A58">
      <w:r>
        <w:separator/>
      </w:r>
    </w:p>
  </w:footnote>
  <w:footnote w:type="continuationSeparator" w:id="0">
    <w:p w:rsidR="00DB5792" w:rsidRDefault="00DB5792" w:rsidP="00E71A58">
      <w:r>
        <w:continuationSeparator/>
      </w:r>
    </w:p>
  </w:footnote>
  <w:footnote w:id="1">
    <w:p w:rsidR="00DB5792" w:rsidRPr="00611531" w:rsidRDefault="00DB5792" w:rsidP="00A644E1">
      <w:pPr>
        <w:autoSpaceDE w:val="0"/>
        <w:autoSpaceDN w:val="0"/>
        <w:adjustRightInd w:val="0"/>
        <w:spacing w:line="240" w:lineRule="auto"/>
        <w:jc w:val="both"/>
        <w:rPr>
          <w:spacing w:val="-2"/>
          <w:sz w:val="16"/>
          <w:szCs w:val="16"/>
        </w:rPr>
      </w:pPr>
      <w:r w:rsidRPr="00611531">
        <w:rPr>
          <w:rStyle w:val="Znakapoznpodarou"/>
          <w:sz w:val="16"/>
          <w:szCs w:val="16"/>
        </w:rPr>
        <w:footnoteRef/>
      </w:r>
      <w:r w:rsidRPr="00611531">
        <w:rPr>
          <w:sz w:val="16"/>
          <w:szCs w:val="16"/>
        </w:rPr>
        <w:t xml:space="preserve"> </w:t>
      </w:r>
      <w:r w:rsidRPr="00611531">
        <w:rPr>
          <w:spacing w:val="-4"/>
          <w:sz w:val="16"/>
          <w:szCs w:val="16"/>
        </w:rPr>
        <w:t xml:space="preserve">U </w:t>
      </w:r>
      <w:r w:rsidRPr="00611531">
        <w:rPr>
          <w:iCs/>
          <w:spacing w:val="-4"/>
          <w:sz w:val="16"/>
          <w:szCs w:val="16"/>
        </w:rPr>
        <w:t xml:space="preserve">spotřební daně z tabákových výrobků souviselo vyšší inkaso z počátku roku 2014 s intenzivním </w:t>
      </w:r>
      <w:r w:rsidRPr="00611531">
        <w:rPr>
          <w:spacing w:val="-4"/>
          <w:sz w:val="16"/>
          <w:szCs w:val="16"/>
        </w:rPr>
        <w:t xml:space="preserve">předzásobením obchodníků na konci roku 2013 z důvodu následného zvýšení sazeb. K 1. 12. 2014 došlo k dalšímu navýšení sazeb spotřební daně u tabákových výrobků, doplněné ale navíc i regulací předzásobení. Vyšší základna u DPH souvisela s dočasným zadržením výplaty části nadměrných odpočtů na počátku roku 2014 (ve výši 8,7 mld. </w:t>
      </w:r>
      <w:r w:rsidR="000567FA">
        <w:rPr>
          <w:spacing w:val="-4"/>
          <w:sz w:val="16"/>
          <w:szCs w:val="16"/>
        </w:rPr>
        <w:t>korun) u neusazených plátců DPH.</w:t>
      </w:r>
      <w:r w:rsidRPr="00611531">
        <w:rPr>
          <w:spacing w:val="-4"/>
          <w:sz w:val="16"/>
          <w:szCs w:val="16"/>
        </w:rPr>
        <w:t xml:space="preserve"> Na konci prosince 2014 byla zadržována ještě částka ve výši 1,8 mld. korun.</w:t>
      </w:r>
    </w:p>
  </w:footnote>
  <w:footnote w:id="2">
    <w:p w:rsidR="00E90A4B" w:rsidRPr="00E90A4B" w:rsidRDefault="00E90A4B">
      <w:pPr>
        <w:pStyle w:val="Textpoznpodarou"/>
        <w:rPr>
          <w:sz w:val="16"/>
          <w:szCs w:val="16"/>
        </w:rPr>
      </w:pPr>
      <w:r w:rsidRPr="00E90A4B">
        <w:rPr>
          <w:rStyle w:val="Znakapoznpodarou"/>
          <w:sz w:val="16"/>
          <w:szCs w:val="16"/>
        </w:rPr>
        <w:footnoteRef/>
      </w:r>
      <w:r w:rsidRPr="00E90A4B">
        <w:rPr>
          <w:sz w:val="16"/>
          <w:szCs w:val="16"/>
        </w:rPr>
        <w:t xml:space="preserve"> Údaj o dluhu a deficitu sektoru vládních institucí za 4. čtvrtletí 2015 zveřejní ČSÚ 1. dubna 2016.</w:t>
      </w:r>
      <w:r w:rsidR="00A81094">
        <w:rPr>
          <w:sz w:val="16"/>
          <w:szCs w:val="16"/>
        </w:rPr>
        <w:t xml:space="preserve"> Společně s tím budou revidovány také předchozí údaje.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792" w:rsidRPr="00D766EF" w:rsidRDefault="00DB5792" w:rsidP="00D766EF">
    <w:pPr>
      <w:pStyle w:val="Zhlav"/>
      <w:tabs>
        <w:tab w:val="clear" w:pos="4536"/>
        <w:tab w:val="clear" w:pos="9072"/>
        <w:tab w:val="left" w:pos="-6379"/>
        <w:tab w:val="center" w:pos="4820"/>
        <w:tab w:val="right" w:pos="9639"/>
      </w:tabs>
      <w:rPr>
        <w:szCs w:val="16"/>
      </w:rPr>
    </w:pPr>
    <w:r>
      <w:rPr>
        <w:rFonts w:ascii="Arial" w:hAnsi="Arial" w:cs="Arial"/>
        <w:sz w:val="16"/>
        <w:szCs w:val="16"/>
      </w:rPr>
      <w:t>Vývoj ekonomiky České republiky v roce 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792" w:rsidRPr="00D766EF" w:rsidRDefault="00DB5792" w:rsidP="00D766EF">
    <w:pPr>
      <w:pStyle w:val="Zhlav"/>
      <w:tabs>
        <w:tab w:val="clear" w:pos="4536"/>
        <w:tab w:val="clear" w:pos="9072"/>
        <w:tab w:val="left" w:pos="-6379"/>
        <w:tab w:val="center" w:pos="4820"/>
        <w:tab w:val="right" w:pos="9639"/>
      </w:tabs>
      <w:rPr>
        <w:szCs w:val="16"/>
      </w:rPr>
    </w:pPr>
    <w:r>
      <w:rPr>
        <w:rFonts w:ascii="Arial" w:hAnsi="Arial" w:cs="Arial"/>
        <w:sz w:val="16"/>
        <w:szCs w:val="16"/>
      </w:rPr>
      <w:t>Vývoj ekonomiky České republiky v roce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F0109"/>
    <w:multiLevelType w:val="hybridMultilevel"/>
    <w:tmpl w:val="C01C8546"/>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D4D0FE2"/>
    <w:multiLevelType w:val="hybridMultilevel"/>
    <w:tmpl w:val="03541CA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1024"/>
  <w:doNotTrackMoves/>
  <w:defaultTabStop w:val="708"/>
  <w:hyphenationZone w:val="425"/>
  <w:evenAndOddHeaders/>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70BD"/>
    <w:rsid w:val="00000FA7"/>
    <w:rsid w:val="00001EFF"/>
    <w:rsid w:val="00003687"/>
    <w:rsid w:val="00003C43"/>
    <w:rsid w:val="00007498"/>
    <w:rsid w:val="0000767A"/>
    <w:rsid w:val="000101F5"/>
    <w:rsid w:val="000104B9"/>
    <w:rsid w:val="00010702"/>
    <w:rsid w:val="00011191"/>
    <w:rsid w:val="0001159B"/>
    <w:rsid w:val="00012986"/>
    <w:rsid w:val="00015195"/>
    <w:rsid w:val="0001519F"/>
    <w:rsid w:val="0001572B"/>
    <w:rsid w:val="0001573E"/>
    <w:rsid w:val="000162DB"/>
    <w:rsid w:val="00017F05"/>
    <w:rsid w:val="000202C6"/>
    <w:rsid w:val="00020946"/>
    <w:rsid w:val="00022B41"/>
    <w:rsid w:val="00024887"/>
    <w:rsid w:val="00024CBA"/>
    <w:rsid w:val="00025501"/>
    <w:rsid w:val="00026998"/>
    <w:rsid w:val="000304C4"/>
    <w:rsid w:val="0003066A"/>
    <w:rsid w:val="00030F14"/>
    <w:rsid w:val="000311C5"/>
    <w:rsid w:val="00032838"/>
    <w:rsid w:val="00032C12"/>
    <w:rsid w:val="00035CCF"/>
    <w:rsid w:val="00035FC6"/>
    <w:rsid w:val="00037667"/>
    <w:rsid w:val="0004075D"/>
    <w:rsid w:val="000411E1"/>
    <w:rsid w:val="00043E05"/>
    <w:rsid w:val="0004694F"/>
    <w:rsid w:val="000500DC"/>
    <w:rsid w:val="00052172"/>
    <w:rsid w:val="00053CBA"/>
    <w:rsid w:val="00054E43"/>
    <w:rsid w:val="00055059"/>
    <w:rsid w:val="000553E4"/>
    <w:rsid w:val="000567FA"/>
    <w:rsid w:val="00057C16"/>
    <w:rsid w:val="00060F26"/>
    <w:rsid w:val="00062D43"/>
    <w:rsid w:val="00062EC5"/>
    <w:rsid w:val="00064256"/>
    <w:rsid w:val="000706A4"/>
    <w:rsid w:val="00071F80"/>
    <w:rsid w:val="00072118"/>
    <w:rsid w:val="00073173"/>
    <w:rsid w:val="000779AC"/>
    <w:rsid w:val="00083803"/>
    <w:rsid w:val="00084393"/>
    <w:rsid w:val="0008716A"/>
    <w:rsid w:val="00087634"/>
    <w:rsid w:val="00091237"/>
    <w:rsid w:val="0009191B"/>
    <w:rsid w:val="000920EC"/>
    <w:rsid w:val="00092208"/>
    <w:rsid w:val="00092505"/>
    <w:rsid w:val="00092C9A"/>
    <w:rsid w:val="00097D02"/>
    <w:rsid w:val="000A1183"/>
    <w:rsid w:val="000A2121"/>
    <w:rsid w:val="000A2484"/>
    <w:rsid w:val="000A36CE"/>
    <w:rsid w:val="000A59BF"/>
    <w:rsid w:val="000A66C2"/>
    <w:rsid w:val="000B1CFE"/>
    <w:rsid w:val="000B210A"/>
    <w:rsid w:val="000B249B"/>
    <w:rsid w:val="000B3DB9"/>
    <w:rsid w:val="000B3F02"/>
    <w:rsid w:val="000B48A2"/>
    <w:rsid w:val="000B48E7"/>
    <w:rsid w:val="000B4F41"/>
    <w:rsid w:val="000B7663"/>
    <w:rsid w:val="000C11D3"/>
    <w:rsid w:val="000C12F5"/>
    <w:rsid w:val="000C3408"/>
    <w:rsid w:val="000C5C0F"/>
    <w:rsid w:val="000C6498"/>
    <w:rsid w:val="000D0D51"/>
    <w:rsid w:val="000D14B3"/>
    <w:rsid w:val="000D208B"/>
    <w:rsid w:val="000D2B8D"/>
    <w:rsid w:val="000D2E41"/>
    <w:rsid w:val="000D342A"/>
    <w:rsid w:val="000D5E7A"/>
    <w:rsid w:val="000D5FAA"/>
    <w:rsid w:val="000D65A4"/>
    <w:rsid w:val="000D6AEF"/>
    <w:rsid w:val="000E025B"/>
    <w:rsid w:val="000E0ECB"/>
    <w:rsid w:val="000E153A"/>
    <w:rsid w:val="000E19A8"/>
    <w:rsid w:val="000E4A42"/>
    <w:rsid w:val="000E6476"/>
    <w:rsid w:val="000E78D2"/>
    <w:rsid w:val="000F3332"/>
    <w:rsid w:val="000F33EE"/>
    <w:rsid w:val="000F401E"/>
    <w:rsid w:val="000F5445"/>
    <w:rsid w:val="000F5673"/>
    <w:rsid w:val="000F67B2"/>
    <w:rsid w:val="000F790F"/>
    <w:rsid w:val="000F7E1B"/>
    <w:rsid w:val="00100014"/>
    <w:rsid w:val="0010039A"/>
    <w:rsid w:val="00101FB2"/>
    <w:rsid w:val="00102CB8"/>
    <w:rsid w:val="00102F02"/>
    <w:rsid w:val="0010385D"/>
    <w:rsid w:val="00103E41"/>
    <w:rsid w:val="001041B6"/>
    <w:rsid w:val="001070EA"/>
    <w:rsid w:val="0011002A"/>
    <w:rsid w:val="001107CE"/>
    <w:rsid w:val="0011110A"/>
    <w:rsid w:val="001118AF"/>
    <w:rsid w:val="00111CA5"/>
    <w:rsid w:val="0011256E"/>
    <w:rsid w:val="0011352E"/>
    <w:rsid w:val="00114FC0"/>
    <w:rsid w:val="00116DB9"/>
    <w:rsid w:val="00116F28"/>
    <w:rsid w:val="00121C39"/>
    <w:rsid w:val="00123255"/>
    <w:rsid w:val="00124D2D"/>
    <w:rsid w:val="00124DA1"/>
    <w:rsid w:val="00125326"/>
    <w:rsid w:val="00125CB5"/>
    <w:rsid w:val="00127535"/>
    <w:rsid w:val="001307BE"/>
    <w:rsid w:val="00130C8F"/>
    <w:rsid w:val="001314F2"/>
    <w:rsid w:val="001317DA"/>
    <w:rsid w:val="001323BA"/>
    <w:rsid w:val="0013254D"/>
    <w:rsid w:val="00133AAC"/>
    <w:rsid w:val="00133FBD"/>
    <w:rsid w:val="00136561"/>
    <w:rsid w:val="001400E1"/>
    <w:rsid w:val="001405FA"/>
    <w:rsid w:val="001413B3"/>
    <w:rsid w:val="001425C3"/>
    <w:rsid w:val="00142F16"/>
    <w:rsid w:val="00143E03"/>
    <w:rsid w:val="00143E93"/>
    <w:rsid w:val="00151AC0"/>
    <w:rsid w:val="00151B27"/>
    <w:rsid w:val="00152046"/>
    <w:rsid w:val="00154147"/>
    <w:rsid w:val="00155746"/>
    <w:rsid w:val="00156318"/>
    <w:rsid w:val="0015639A"/>
    <w:rsid w:val="0016081D"/>
    <w:rsid w:val="00160CF3"/>
    <w:rsid w:val="00160E61"/>
    <w:rsid w:val="001620FA"/>
    <w:rsid w:val="00162853"/>
    <w:rsid w:val="00163793"/>
    <w:rsid w:val="001707DE"/>
    <w:rsid w:val="00170B04"/>
    <w:rsid w:val="00170F47"/>
    <w:rsid w:val="001714F2"/>
    <w:rsid w:val="00173642"/>
    <w:rsid w:val="00173AF4"/>
    <w:rsid w:val="00173CB0"/>
    <w:rsid w:val="00174CE8"/>
    <w:rsid w:val="00175351"/>
    <w:rsid w:val="00175F60"/>
    <w:rsid w:val="00176050"/>
    <w:rsid w:val="001764D8"/>
    <w:rsid w:val="00176A8F"/>
    <w:rsid w:val="00180D58"/>
    <w:rsid w:val="00182981"/>
    <w:rsid w:val="00184CF9"/>
    <w:rsid w:val="00185010"/>
    <w:rsid w:val="001852EC"/>
    <w:rsid w:val="00186447"/>
    <w:rsid w:val="001874CF"/>
    <w:rsid w:val="00190D9B"/>
    <w:rsid w:val="00191BAE"/>
    <w:rsid w:val="00193432"/>
    <w:rsid w:val="0019346C"/>
    <w:rsid w:val="00195444"/>
    <w:rsid w:val="001A199D"/>
    <w:rsid w:val="001A2BDB"/>
    <w:rsid w:val="001A30F4"/>
    <w:rsid w:val="001A4C0D"/>
    <w:rsid w:val="001A552F"/>
    <w:rsid w:val="001A56F3"/>
    <w:rsid w:val="001A750C"/>
    <w:rsid w:val="001B1D89"/>
    <w:rsid w:val="001B3110"/>
    <w:rsid w:val="001B4198"/>
    <w:rsid w:val="001B44BC"/>
    <w:rsid w:val="001B618F"/>
    <w:rsid w:val="001B6545"/>
    <w:rsid w:val="001B681B"/>
    <w:rsid w:val="001B6A49"/>
    <w:rsid w:val="001B74FB"/>
    <w:rsid w:val="001B77A1"/>
    <w:rsid w:val="001C0422"/>
    <w:rsid w:val="001C0E0E"/>
    <w:rsid w:val="001C0EB9"/>
    <w:rsid w:val="001C1219"/>
    <w:rsid w:val="001C357A"/>
    <w:rsid w:val="001C3A37"/>
    <w:rsid w:val="001C4384"/>
    <w:rsid w:val="001C65FF"/>
    <w:rsid w:val="001D47E5"/>
    <w:rsid w:val="001D584C"/>
    <w:rsid w:val="001D5E1B"/>
    <w:rsid w:val="001D66C1"/>
    <w:rsid w:val="001D7C6F"/>
    <w:rsid w:val="001E0024"/>
    <w:rsid w:val="001E0C65"/>
    <w:rsid w:val="001E23E3"/>
    <w:rsid w:val="001E387A"/>
    <w:rsid w:val="001E3DA4"/>
    <w:rsid w:val="001E5830"/>
    <w:rsid w:val="001E684C"/>
    <w:rsid w:val="001E701C"/>
    <w:rsid w:val="001E7C03"/>
    <w:rsid w:val="001F02AF"/>
    <w:rsid w:val="001F0649"/>
    <w:rsid w:val="001F28F4"/>
    <w:rsid w:val="001F3055"/>
    <w:rsid w:val="001F31BC"/>
    <w:rsid w:val="001F378E"/>
    <w:rsid w:val="001F3C79"/>
    <w:rsid w:val="001F3E68"/>
    <w:rsid w:val="001F4597"/>
    <w:rsid w:val="001F56A9"/>
    <w:rsid w:val="001F5C6A"/>
    <w:rsid w:val="001F670A"/>
    <w:rsid w:val="00200D15"/>
    <w:rsid w:val="00203074"/>
    <w:rsid w:val="00203B46"/>
    <w:rsid w:val="002048E1"/>
    <w:rsid w:val="00207DB6"/>
    <w:rsid w:val="00210278"/>
    <w:rsid w:val="00210CC2"/>
    <w:rsid w:val="00210F5B"/>
    <w:rsid w:val="00210FFA"/>
    <w:rsid w:val="00211262"/>
    <w:rsid w:val="002115F5"/>
    <w:rsid w:val="00211AC9"/>
    <w:rsid w:val="0021355B"/>
    <w:rsid w:val="002179F9"/>
    <w:rsid w:val="002205F2"/>
    <w:rsid w:val="0022080E"/>
    <w:rsid w:val="0022139E"/>
    <w:rsid w:val="0022272B"/>
    <w:rsid w:val="00222A99"/>
    <w:rsid w:val="00223678"/>
    <w:rsid w:val="002236F7"/>
    <w:rsid w:val="00223E00"/>
    <w:rsid w:val="002252E0"/>
    <w:rsid w:val="002255F6"/>
    <w:rsid w:val="00226466"/>
    <w:rsid w:val="002266D0"/>
    <w:rsid w:val="00226887"/>
    <w:rsid w:val="00230DAD"/>
    <w:rsid w:val="0023229C"/>
    <w:rsid w:val="0023355C"/>
    <w:rsid w:val="00234280"/>
    <w:rsid w:val="00235000"/>
    <w:rsid w:val="002350E3"/>
    <w:rsid w:val="00235330"/>
    <w:rsid w:val="00236443"/>
    <w:rsid w:val="00240773"/>
    <w:rsid w:val="00240815"/>
    <w:rsid w:val="00240A5B"/>
    <w:rsid w:val="00240C76"/>
    <w:rsid w:val="002436BA"/>
    <w:rsid w:val="002444ED"/>
    <w:rsid w:val="00244A15"/>
    <w:rsid w:val="00244D40"/>
    <w:rsid w:val="00246AE9"/>
    <w:rsid w:val="0024799E"/>
    <w:rsid w:val="00250C59"/>
    <w:rsid w:val="00250E0D"/>
    <w:rsid w:val="00251D59"/>
    <w:rsid w:val="00252602"/>
    <w:rsid w:val="00252FDC"/>
    <w:rsid w:val="00257613"/>
    <w:rsid w:val="00261E5B"/>
    <w:rsid w:val="00262F34"/>
    <w:rsid w:val="00263470"/>
    <w:rsid w:val="00263733"/>
    <w:rsid w:val="00264676"/>
    <w:rsid w:val="00265536"/>
    <w:rsid w:val="00265E54"/>
    <w:rsid w:val="00266F3E"/>
    <w:rsid w:val="00272464"/>
    <w:rsid w:val="00273DCD"/>
    <w:rsid w:val="00274291"/>
    <w:rsid w:val="00276CFE"/>
    <w:rsid w:val="00277071"/>
    <w:rsid w:val="0027786C"/>
    <w:rsid w:val="00277BF7"/>
    <w:rsid w:val="00281416"/>
    <w:rsid w:val="00285CD3"/>
    <w:rsid w:val="0028686A"/>
    <w:rsid w:val="00286E66"/>
    <w:rsid w:val="002919B5"/>
    <w:rsid w:val="00293441"/>
    <w:rsid w:val="00294238"/>
    <w:rsid w:val="0029493E"/>
    <w:rsid w:val="00296C2E"/>
    <w:rsid w:val="002A1B05"/>
    <w:rsid w:val="002A267F"/>
    <w:rsid w:val="002A3354"/>
    <w:rsid w:val="002A35EA"/>
    <w:rsid w:val="002A37B6"/>
    <w:rsid w:val="002A3BD5"/>
    <w:rsid w:val="002A43A2"/>
    <w:rsid w:val="002A44ED"/>
    <w:rsid w:val="002A4612"/>
    <w:rsid w:val="002A4F70"/>
    <w:rsid w:val="002A5263"/>
    <w:rsid w:val="002A6821"/>
    <w:rsid w:val="002A74D2"/>
    <w:rsid w:val="002A7CDA"/>
    <w:rsid w:val="002A7F47"/>
    <w:rsid w:val="002B1544"/>
    <w:rsid w:val="002B36C8"/>
    <w:rsid w:val="002B7240"/>
    <w:rsid w:val="002C2668"/>
    <w:rsid w:val="002C43BD"/>
    <w:rsid w:val="002C5261"/>
    <w:rsid w:val="002C6091"/>
    <w:rsid w:val="002D0562"/>
    <w:rsid w:val="002D1B5A"/>
    <w:rsid w:val="002D2500"/>
    <w:rsid w:val="002D3F00"/>
    <w:rsid w:val="002D4D59"/>
    <w:rsid w:val="002D54BF"/>
    <w:rsid w:val="002D5E94"/>
    <w:rsid w:val="002D632D"/>
    <w:rsid w:val="002E02A1"/>
    <w:rsid w:val="002E0982"/>
    <w:rsid w:val="002E0DB9"/>
    <w:rsid w:val="002E2CE4"/>
    <w:rsid w:val="002E34F3"/>
    <w:rsid w:val="002E435E"/>
    <w:rsid w:val="002E73F2"/>
    <w:rsid w:val="002F33FB"/>
    <w:rsid w:val="002F7594"/>
    <w:rsid w:val="00301357"/>
    <w:rsid w:val="00301D04"/>
    <w:rsid w:val="003035D4"/>
    <w:rsid w:val="00303DCB"/>
    <w:rsid w:val="00304771"/>
    <w:rsid w:val="00305736"/>
    <w:rsid w:val="00306C5B"/>
    <w:rsid w:val="00306E3B"/>
    <w:rsid w:val="003119B6"/>
    <w:rsid w:val="00312C3D"/>
    <w:rsid w:val="00314331"/>
    <w:rsid w:val="00317E31"/>
    <w:rsid w:val="00320214"/>
    <w:rsid w:val="003209D6"/>
    <w:rsid w:val="0032109A"/>
    <w:rsid w:val="0032214F"/>
    <w:rsid w:val="00322164"/>
    <w:rsid w:val="00323CF7"/>
    <w:rsid w:val="00323E61"/>
    <w:rsid w:val="0032513D"/>
    <w:rsid w:val="00326251"/>
    <w:rsid w:val="0032739C"/>
    <w:rsid w:val="00327DEE"/>
    <w:rsid w:val="003302DA"/>
    <w:rsid w:val="00330EB0"/>
    <w:rsid w:val="003329F3"/>
    <w:rsid w:val="0033352E"/>
    <w:rsid w:val="00333690"/>
    <w:rsid w:val="00333D20"/>
    <w:rsid w:val="00333F53"/>
    <w:rsid w:val="003340EF"/>
    <w:rsid w:val="00334A49"/>
    <w:rsid w:val="0033536F"/>
    <w:rsid w:val="00335BB0"/>
    <w:rsid w:val="0033627B"/>
    <w:rsid w:val="003406BD"/>
    <w:rsid w:val="00343474"/>
    <w:rsid w:val="00343F84"/>
    <w:rsid w:val="00344135"/>
    <w:rsid w:val="003450E2"/>
    <w:rsid w:val="00351B63"/>
    <w:rsid w:val="00352E57"/>
    <w:rsid w:val="003541B0"/>
    <w:rsid w:val="0035457E"/>
    <w:rsid w:val="00355885"/>
    <w:rsid w:val="0035605E"/>
    <w:rsid w:val="00357449"/>
    <w:rsid w:val="0036238B"/>
    <w:rsid w:val="003651A4"/>
    <w:rsid w:val="00365680"/>
    <w:rsid w:val="003657F3"/>
    <w:rsid w:val="00367038"/>
    <w:rsid w:val="00370963"/>
    <w:rsid w:val="0037144E"/>
    <w:rsid w:val="003736B5"/>
    <w:rsid w:val="00374F1E"/>
    <w:rsid w:val="00376DEC"/>
    <w:rsid w:val="00377200"/>
    <w:rsid w:val="00380E04"/>
    <w:rsid w:val="00383227"/>
    <w:rsid w:val="00384D8F"/>
    <w:rsid w:val="00385D98"/>
    <w:rsid w:val="00385EC5"/>
    <w:rsid w:val="0038658E"/>
    <w:rsid w:val="0039066E"/>
    <w:rsid w:val="00391C95"/>
    <w:rsid w:val="00394D49"/>
    <w:rsid w:val="00396DAC"/>
    <w:rsid w:val="003A0214"/>
    <w:rsid w:val="003A027D"/>
    <w:rsid w:val="003A1D74"/>
    <w:rsid w:val="003A2B4D"/>
    <w:rsid w:val="003A2D2B"/>
    <w:rsid w:val="003A2DD4"/>
    <w:rsid w:val="003A3B1C"/>
    <w:rsid w:val="003A4088"/>
    <w:rsid w:val="003A478C"/>
    <w:rsid w:val="003A4F82"/>
    <w:rsid w:val="003A5525"/>
    <w:rsid w:val="003A6B38"/>
    <w:rsid w:val="003B2580"/>
    <w:rsid w:val="003B2E63"/>
    <w:rsid w:val="003B3189"/>
    <w:rsid w:val="003B3A9D"/>
    <w:rsid w:val="003B3DDD"/>
    <w:rsid w:val="003B5031"/>
    <w:rsid w:val="003B5A32"/>
    <w:rsid w:val="003B6105"/>
    <w:rsid w:val="003C03CC"/>
    <w:rsid w:val="003C04C4"/>
    <w:rsid w:val="003C26F4"/>
    <w:rsid w:val="003C3686"/>
    <w:rsid w:val="003C4852"/>
    <w:rsid w:val="003C5BC7"/>
    <w:rsid w:val="003C601E"/>
    <w:rsid w:val="003D2C4E"/>
    <w:rsid w:val="003D3600"/>
    <w:rsid w:val="003D3825"/>
    <w:rsid w:val="003D3EC4"/>
    <w:rsid w:val="003D4760"/>
    <w:rsid w:val="003D49DC"/>
    <w:rsid w:val="003D5D7A"/>
    <w:rsid w:val="003E0663"/>
    <w:rsid w:val="003E133F"/>
    <w:rsid w:val="003E49F6"/>
    <w:rsid w:val="003E699C"/>
    <w:rsid w:val="003E69F3"/>
    <w:rsid w:val="003E782E"/>
    <w:rsid w:val="003E7A0B"/>
    <w:rsid w:val="003E7B2B"/>
    <w:rsid w:val="003F181F"/>
    <w:rsid w:val="003F1A48"/>
    <w:rsid w:val="003F2B0A"/>
    <w:rsid w:val="003F313C"/>
    <w:rsid w:val="003F341B"/>
    <w:rsid w:val="003F37FC"/>
    <w:rsid w:val="003F49A6"/>
    <w:rsid w:val="003F5098"/>
    <w:rsid w:val="003F5568"/>
    <w:rsid w:val="003F5A95"/>
    <w:rsid w:val="003F6D19"/>
    <w:rsid w:val="004000D5"/>
    <w:rsid w:val="004005C1"/>
    <w:rsid w:val="00401716"/>
    <w:rsid w:val="00401A09"/>
    <w:rsid w:val="0040273A"/>
    <w:rsid w:val="00402C25"/>
    <w:rsid w:val="004050D7"/>
    <w:rsid w:val="004078BD"/>
    <w:rsid w:val="00410132"/>
    <w:rsid w:val="00410BCD"/>
    <w:rsid w:val="0041175D"/>
    <w:rsid w:val="004123BE"/>
    <w:rsid w:val="00414CE5"/>
    <w:rsid w:val="00416673"/>
    <w:rsid w:val="0042160D"/>
    <w:rsid w:val="00423A3C"/>
    <w:rsid w:val="0042681B"/>
    <w:rsid w:val="00427193"/>
    <w:rsid w:val="0043068A"/>
    <w:rsid w:val="004306E0"/>
    <w:rsid w:val="00431D54"/>
    <w:rsid w:val="004329BE"/>
    <w:rsid w:val="00432C38"/>
    <w:rsid w:val="004342EC"/>
    <w:rsid w:val="00437C76"/>
    <w:rsid w:val="0044105C"/>
    <w:rsid w:val="004441A0"/>
    <w:rsid w:val="00444268"/>
    <w:rsid w:val="00444326"/>
    <w:rsid w:val="004443BF"/>
    <w:rsid w:val="00444C19"/>
    <w:rsid w:val="00445218"/>
    <w:rsid w:val="00445CDD"/>
    <w:rsid w:val="00446892"/>
    <w:rsid w:val="00447E36"/>
    <w:rsid w:val="00450C30"/>
    <w:rsid w:val="004540FF"/>
    <w:rsid w:val="004541F1"/>
    <w:rsid w:val="00455ECA"/>
    <w:rsid w:val="00457296"/>
    <w:rsid w:val="00457320"/>
    <w:rsid w:val="00460164"/>
    <w:rsid w:val="0046039A"/>
    <w:rsid w:val="00460A6B"/>
    <w:rsid w:val="00461977"/>
    <w:rsid w:val="004629FD"/>
    <w:rsid w:val="00463B4B"/>
    <w:rsid w:val="00463F4D"/>
    <w:rsid w:val="0046471F"/>
    <w:rsid w:val="00464BE8"/>
    <w:rsid w:val="00465019"/>
    <w:rsid w:val="00465FA4"/>
    <w:rsid w:val="0046613F"/>
    <w:rsid w:val="0046655D"/>
    <w:rsid w:val="0046765E"/>
    <w:rsid w:val="004676E2"/>
    <w:rsid w:val="00471EDD"/>
    <w:rsid w:val="00473E94"/>
    <w:rsid w:val="0047400C"/>
    <w:rsid w:val="004745D9"/>
    <w:rsid w:val="004762D8"/>
    <w:rsid w:val="004765B3"/>
    <w:rsid w:val="00476D29"/>
    <w:rsid w:val="00477241"/>
    <w:rsid w:val="00477EAF"/>
    <w:rsid w:val="00477EE0"/>
    <w:rsid w:val="00480AB8"/>
    <w:rsid w:val="0048139F"/>
    <w:rsid w:val="00481C00"/>
    <w:rsid w:val="00483053"/>
    <w:rsid w:val="00484874"/>
    <w:rsid w:val="00485230"/>
    <w:rsid w:val="004879E9"/>
    <w:rsid w:val="00487F81"/>
    <w:rsid w:val="00490247"/>
    <w:rsid w:val="0049104F"/>
    <w:rsid w:val="00491218"/>
    <w:rsid w:val="00491CFD"/>
    <w:rsid w:val="00493362"/>
    <w:rsid w:val="00494343"/>
    <w:rsid w:val="00496C2F"/>
    <w:rsid w:val="0049740D"/>
    <w:rsid w:val="004978D3"/>
    <w:rsid w:val="004A11F8"/>
    <w:rsid w:val="004A22BD"/>
    <w:rsid w:val="004A22FA"/>
    <w:rsid w:val="004A269A"/>
    <w:rsid w:val="004A30FB"/>
    <w:rsid w:val="004A35DD"/>
    <w:rsid w:val="004A37D3"/>
    <w:rsid w:val="004A3AD6"/>
    <w:rsid w:val="004A5865"/>
    <w:rsid w:val="004A77DF"/>
    <w:rsid w:val="004B0295"/>
    <w:rsid w:val="004B0803"/>
    <w:rsid w:val="004B10A8"/>
    <w:rsid w:val="004B22DA"/>
    <w:rsid w:val="004B3CB7"/>
    <w:rsid w:val="004B3D55"/>
    <w:rsid w:val="004B55B7"/>
    <w:rsid w:val="004C00A6"/>
    <w:rsid w:val="004C0BBB"/>
    <w:rsid w:val="004C1AD6"/>
    <w:rsid w:val="004C1B86"/>
    <w:rsid w:val="004C3382"/>
    <w:rsid w:val="004C3867"/>
    <w:rsid w:val="004C4AB7"/>
    <w:rsid w:val="004C4CD0"/>
    <w:rsid w:val="004C57B5"/>
    <w:rsid w:val="004C5C25"/>
    <w:rsid w:val="004C6717"/>
    <w:rsid w:val="004C6CFF"/>
    <w:rsid w:val="004C70DC"/>
    <w:rsid w:val="004C7268"/>
    <w:rsid w:val="004D0211"/>
    <w:rsid w:val="004D1C9C"/>
    <w:rsid w:val="004D504B"/>
    <w:rsid w:val="004D536E"/>
    <w:rsid w:val="004D76CC"/>
    <w:rsid w:val="004E1839"/>
    <w:rsid w:val="004E4A75"/>
    <w:rsid w:val="004E541A"/>
    <w:rsid w:val="004E5A5C"/>
    <w:rsid w:val="004E7007"/>
    <w:rsid w:val="004E76D6"/>
    <w:rsid w:val="004E7F57"/>
    <w:rsid w:val="004F06F5"/>
    <w:rsid w:val="004F191F"/>
    <w:rsid w:val="004F2A73"/>
    <w:rsid w:val="004F33A0"/>
    <w:rsid w:val="004F4353"/>
    <w:rsid w:val="004F447D"/>
    <w:rsid w:val="004F4C28"/>
    <w:rsid w:val="004F4E82"/>
    <w:rsid w:val="004F5CC5"/>
    <w:rsid w:val="004F6350"/>
    <w:rsid w:val="005028E1"/>
    <w:rsid w:val="0050692E"/>
    <w:rsid w:val="00507040"/>
    <w:rsid w:val="005079F8"/>
    <w:rsid w:val="00510189"/>
    <w:rsid w:val="005108C0"/>
    <w:rsid w:val="00511873"/>
    <w:rsid w:val="005125D5"/>
    <w:rsid w:val="00513B7E"/>
    <w:rsid w:val="005140DE"/>
    <w:rsid w:val="00514474"/>
    <w:rsid w:val="005147E9"/>
    <w:rsid w:val="0051778E"/>
    <w:rsid w:val="005215EF"/>
    <w:rsid w:val="00524637"/>
    <w:rsid w:val="00524FDD"/>
    <w:rsid w:val="00525137"/>
    <w:rsid w:val="005251DD"/>
    <w:rsid w:val="00526DB6"/>
    <w:rsid w:val="0053017A"/>
    <w:rsid w:val="00530492"/>
    <w:rsid w:val="00532854"/>
    <w:rsid w:val="005350F2"/>
    <w:rsid w:val="00535152"/>
    <w:rsid w:val="00535359"/>
    <w:rsid w:val="005357A2"/>
    <w:rsid w:val="00535D87"/>
    <w:rsid w:val="00535EF0"/>
    <w:rsid w:val="005363DF"/>
    <w:rsid w:val="0053734B"/>
    <w:rsid w:val="005375B1"/>
    <w:rsid w:val="00537AFD"/>
    <w:rsid w:val="00537CB4"/>
    <w:rsid w:val="0054516B"/>
    <w:rsid w:val="0054559E"/>
    <w:rsid w:val="005513D5"/>
    <w:rsid w:val="005523B9"/>
    <w:rsid w:val="005545E0"/>
    <w:rsid w:val="00554865"/>
    <w:rsid w:val="00554E57"/>
    <w:rsid w:val="00562749"/>
    <w:rsid w:val="00562DE9"/>
    <w:rsid w:val="005638A5"/>
    <w:rsid w:val="00566381"/>
    <w:rsid w:val="00566A03"/>
    <w:rsid w:val="00571932"/>
    <w:rsid w:val="00573C97"/>
    <w:rsid w:val="00574240"/>
    <w:rsid w:val="00575CDC"/>
    <w:rsid w:val="005765D5"/>
    <w:rsid w:val="00576A3E"/>
    <w:rsid w:val="0057703D"/>
    <w:rsid w:val="0058366F"/>
    <w:rsid w:val="00583D5B"/>
    <w:rsid w:val="00583FFD"/>
    <w:rsid w:val="00587B29"/>
    <w:rsid w:val="00587CCD"/>
    <w:rsid w:val="005908AE"/>
    <w:rsid w:val="0059176E"/>
    <w:rsid w:val="00592854"/>
    <w:rsid w:val="00593152"/>
    <w:rsid w:val="00593CA3"/>
    <w:rsid w:val="00594161"/>
    <w:rsid w:val="00594969"/>
    <w:rsid w:val="00596C5E"/>
    <w:rsid w:val="005A2194"/>
    <w:rsid w:val="005A21E0"/>
    <w:rsid w:val="005A33A1"/>
    <w:rsid w:val="005A54EE"/>
    <w:rsid w:val="005A563B"/>
    <w:rsid w:val="005A7500"/>
    <w:rsid w:val="005A77E4"/>
    <w:rsid w:val="005B1BDB"/>
    <w:rsid w:val="005B2BAA"/>
    <w:rsid w:val="005B2D53"/>
    <w:rsid w:val="005B3247"/>
    <w:rsid w:val="005B3409"/>
    <w:rsid w:val="005B498A"/>
    <w:rsid w:val="005B7B12"/>
    <w:rsid w:val="005C16CB"/>
    <w:rsid w:val="005C21D6"/>
    <w:rsid w:val="005C3F9F"/>
    <w:rsid w:val="005C406F"/>
    <w:rsid w:val="005C4A23"/>
    <w:rsid w:val="005C562C"/>
    <w:rsid w:val="005C5812"/>
    <w:rsid w:val="005C6400"/>
    <w:rsid w:val="005C7F1E"/>
    <w:rsid w:val="005D374F"/>
    <w:rsid w:val="005D5802"/>
    <w:rsid w:val="005D6CFC"/>
    <w:rsid w:val="005D73E2"/>
    <w:rsid w:val="005D757A"/>
    <w:rsid w:val="005E1E4B"/>
    <w:rsid w:val="005E362D"/>
    <w:rsid w:val="005E492C"/>
    <w:rsid w:val="005E4BAA"/>
    <w:rsid w:val="005E52EF"/>
    <w:rsid w:val="005E5B56"/>
    <w:rsid w:val="005E6088"/>
    <w:rsid w:val="005E61DF"/>
    <w:rsid w:val="005E6B65"/>
    <w:rsid w:val="005E6B78"/>
    <w:rsid w:val="005F26CE"/>
    <w:rsid w:val="005F4057"/>
    <w:rsid w:val="005F4088"/>
    <w:rsid w:val="005F601D"/>
    <w:rsid w:val="005F6119"/>
    <w:rsid w:val="005F7940"/>
    <w:rsid w:val="0060107A"/>
    <w:rsid w:val="00601AFF"/>
    <w:rsid w:val="00602D1D"/>
    <w:rsid w:val="00604307"/>
    <w:rsid w:val="0060487F"/>
    <w:rsid w:val="00605814"/>
    <w:rsid w:val="00606B93"/>
    <w:rsid w:val="00607727"/>
    <w:rsid w:val="00610BD5"/>
    <w:rsid w:val="00611531"/>
    <w:rsid w:val="006118AA"/>
    <w:rsid w:val="006139C7"/>
    <w:rsid w:val="006153E3"/>
    <w:rsid w:val="006167AB"/>
    <w:rsid w:val="00617D2D"/>
    <w:rsid w:val="00617D83"/>
    <w:rsid w:val="00620430"/>
    <w:rsid w:val="00620AC5"/>
    <w:rsid w:val="00621575"/>
    <w:rsid w:val="006215FC"/>
    <w:rsid w:val="00624093"/>
    <w:rsid w:val="00630F66"/>
    <w:rsid w:val="00631FC2"/>
    <w:rsid w:val="00632171"/>
    <w:rsid w:val="0063332A"/>
    <w:rsid w:val="006347F9"/>
    <w:rsid w:val="0063494E"/>
    <w:rsid w:val="00634C90"/>
    <w:rsid w:val="00635E79"/>
    <w:rsid w:val="00636E5E"/>
    <w:rsid w:val="006379E0"/>
    <w:rsid w:val="006404A7"/>
    <w:rsid w:val="006407F3"/>
    <w:rsid w:val="006408EC"/>
    <w:rsid w:val="0064129B"/>
    <w:rsid w:val="00644DFC"/>
    <w:rsid w:val="006451E4"/>
    <w:rsid w:val="006454B4"/>
    <w:rsid w:val="00645A9C"/>
    <w:rsid w:val="006460B8"/>
    <w:rsid w:val="006504A0"/>
    <w:rsid w:val="006520C7"/>
    <w:rsid w:val="00652CBB"/>
    <w:rsid w:val="006530B8"/>
    <w:rsid w:val="006535D6"/>
    <w:rsid w:val="006572ED"/>
    <w:rsid w:val="00657E87"/>
    <w:rsid w:val="00660457"/>
    <w:rsid w:val="00660E1E"/>
    <w:rsid w:val="006637B1"/>
    <w:rsid w:val="00664B64"/>
    <w:rsid w:val="00665D67"/>
    <w:rsid w:val="00665D77"/>
    <w:rsid w:val="006660CD"/>
    <w:rsid w:val="00666EC8"/>
    <w:rsid w:val="00666F4B"/>
    <w:rsid w:val="006676D0"/>
    <w:rsid w:val="0066796E"/>
    <w:rsid w:val="00670FAC"/>
    <w:rsid w:val="006710C9"/>
    <w:rsid w:val="006716A5"/>
    <w:rsid w:val="00675E37"/>
    <w:rsid w:val="00676AFC"/>
    <w:rsid w:val="00676F11"/>
    <w:rsid w:val="00680079"/>
    <w:rsid w:val="00680F68"/>
    <w:rsid w:val="0068260E"/>
    <w:rsid w:val="0068373D"/>
    <w:rsid w:val="00683BFE"/>
    <w:rsid w:val="0068437D"/>
    <w:rsid w:val="006857DF"/>
    <w:rsid w:val="00685E66"/>
    <w:rsid w:val="00686B72"/>
    <w:rsid w:val="00686BF1"/>
    <w:rsid w:val="00690A09"/>
    <w:rsid w:val="00690A25"/>
    <w:rsid w:val="00693EA1"/>
    <w:rsid w:val="00693FEA"/>
    <w:rsid w:val="00694930"/>
    <w:rsid w:val="00695170"/>
    <w:rsid w:val="00695BEF"/>
    <w:rsid w:val="006960D6"/>
    <w:rsid w:val="00696AA5"/>
    <w:rsid w:val="006977F6"/>
    <w:rsid w:val="00697A13"/>
    <w:rsid w:val="006A109C"/>
    <w:rsid w:val="006A18AE"/>
    <w:rsid w:val="006A2EE8"/>
    <w:rsid w:val="006A3CF3"/>
    <w:rsid w:val="006A568F"/>
    <w:rsid w:val="006A65EF"/>
    <w:rsid w:val="006A672B"/>
    <w:rsid w:val="006B23A9"/>
    <w:rsid w:val="006B3F8A"/>
    <w:rsid w:val="006B5CA3"/>
    <w:rsid w:val="006B6B3B"/>
    <w:rsid w:val="006B7714"/>
    <w:rsid w:val="006B78D8"/>
    <w:rsid w:val="006C090F"/>
    <w:rsid w:val="006C0935"/>
    <w:rsid w:val="006C0BCE"/>
    <w:rsid w:val="006C113F"/>
    <w:rsid w:val="006C2AED"/>
    <w:rsid w:val="006C38DD"/>
    <w:rsid w:val="006C5577"/>
    <w:rsid w:val="006C559A"/>
    <w:rsid w:val="006C58FA"/>
    <w:rsid w:val="006D042D"/>
    <w:rsid w:val="006D06EF"/>
    <w:rsid w:val="006D142E"/>
    <w:rsid w:val="006D4497"/>
    <w:rsid w:val="006D4E6F"/>
    <w:rsid w:val="006D61F6"/>
    <w:rsid w:val="006E0EB0"/>
    <w:rsid w:val="006E1F4C"/>
    <w:rsid w:val="006E22C8"/>
    <w:rsid w:val="006E279A"/>
    <w:rsid w:val="006E2F3F"/>
    <w:rsid w:val="006E313B"/>
    <w:rsid w:val="006E442A"/>
    <w:rsid w:val="006E4434"/>
    <w:rsid w:val="006E59FC"/>
    <w:rsid w:val="006E5CFD"/>
    <w:rsid w:val="006E7E2C"/>
    <w:rsid w:val="006F1326"/>
    <w:rsid w:val="006F2BEE"/>
    <w:rsid w:val="006F3708"/>
    <w:rsid w:val="006F3E6B"/>
    <w:rsid w:val="006F4619"/>
    <w:rsid w:val="006F4A59"/>
    <w:rsid w:val="00700232"/>
    <w:rsid w:val="007014C7"/>
    <w:rsid w:val="00702D6F"/>
    <w:rsid w:val="00703B6C"/>
    <w:rsid w:val="00703C6B"/>
    <w:rsid w:val="007047D5"/>
    <w:rsid w:val="00705D98"/>
    <w:rsid w:val="00707891"/>
    <w:rsid w:val="00707D43"/>
    <w:rsid w:val="00711EF1"/>
    <w:rsid w:val="0071229A"/>
    <w:rsid w:val="00712572"/>
    <w:rsid w:val="00713495"/>
    <w:rsid w:val="00713EEB"/>
    <w:rsid w:val="007159D2"/>
    <w:rsid w:val="0072050E"/>
    <w:rsid w:val="00720FA2"/>
    <w:rsid w:val="007211F5"/>
    <w:rsid w:val="00724666"/>
    <w:rsid w:val="00726043"/>
    <w:rsid w:val="0072704A"/>
    <w:rsid w:val="00730AE8"/>
    <w:rsid w:val="00731963"/>
    <w:rsid w:val="00734321"/>
    <w:rsid w:val="0073532E"/>
    <w:rsid w:val="00740310"/>
    <w:rsid w:val="00740652"/>
    <w:rsid w:val="00740F02"/>
    <w:rsid w:val="00740FEC"/>
    <w:rsid w:val="0074132E"/>
    <w:rsid w:val="00741493"/>
    <w:rsid w:val="007426B3"/>
    <w:rsid w:val="007426FD"/>
    <w:rsid w:val="0074329D"/>
    <w:rsid w:val="00744376"/>
    <w:rsid w:val="007449EA"/>
    <w:rsid w:val="00744D00"/>
    <w:rsid w:val="00745273"/>
    <w:rsid w:val="00746DD9"/>
    <w:rsid w:val="0075057A"/>
    <w:rsid w:val="00751771"/>
    <w:rsid w:val="00751C1C"/>
    <w:rsid w:val="00752180"/>
    <w:rsid w:val="007521A1"/>
    <w:rsid w:val="00752BC3"/>
    <w:rsid w:val="0075315D"/>
    <w:rsid w:val="007538F9"/>
    <w:rsid w:val="00754253"/>
    <w:rsid w:val="007552BB"/>
    <w:rsid w:val="007558D3"/>
    <w:rsid w:val="007559D7"/>
    <w:rsid w:val="00755D3A"/>
    <w:rsid w:val="00760141"/>
    <w:rsid w:val="007609C6"/>
    <w:rsid w:val="007610A0"/>
    <w:rsid w:val="007620F2"/>
    <w:rsid w:val="00762EBA"/>
    <w:rsid w:val="0076359D"/>
    <w:rsid w:val="0077058D"/>
    <w:rsid w:val="00772536"/>
    <w:rsid w:val="00773613"/>
    <w:rsid w:val="00774782"/>
    <w:rsid w:val="00776476"/>
    <w:rsid w:val="00776527"/>
    <w:rsid w:val="007805E1"/>
    <w:rsid w:val="0078113E"/>
    <w:rsid w:val="00781834"/>
    <w:rsid w:val="007821DB"/>
    <w:rsid w:val="00782818"/>
    <w:rsid w:val="007838F1"/>
    <w:rsid w:val="00784C4A"/>
    <w:rsid w:val="00787432"/>
    <w:rsid w:val="00787507"/>
    <w:rsid w:val="007879F2"/>
    <w:rsid w:val="00791CF8"/>
    <w:rsid w:val="00791EF9"/>
    <w:rsid w:val="00792262"/>
    <w:rsid w:val="00793387"/>
    <w:rsid w:val="00793BAE"/>
    <w:rsid w:val="00794E0A"/>
    <w:rsid w:val="00796642"/>
    <w:rsid w:val="007A11D9"/>
    <w:rsid w:val="007A327B"/>
    <w:rsid w:val="007A45B1"/>
    <w:rsid w:val="007A4606"/>
    <w:rsid w:val="007B0D67"/>
    <w:rsid w:val="007B1966"/>
    <w:rsid w:val="007B2779"/>
    <w:rsid w:val="007B3DCC"/>
    <w:rsid w:val="007B4518"/>
    <w:rsid w:val="007B5031"/>
    <w:rsid w:val="007B573F"/>
    <w:rsid w:val="007C0065"/>
    <w:rsid w:val="007C010B"/>
    <w:rsid w:val="007C605B"/>
    <w:rsid w:val="007D2A5A"/>
    <w:rsid w:val="007D2AD8"/>
    <w:rsid w:val="007D2C47"/>
    <w:rsid w:val="007D3167"/>
    <w:rsid w:val="007D4128"/>
    <w:rsid w:val="007D4281"/>
    <w:rsid w:val="007D42F5"/>
    <w:rsid w:val="007D44C3"/>
    <w:rsid w:val="007D5947"/>
    <w:rsid w:val="007D65C1"/>
    <w:rsid w:val="007E030F"/>
    <w:rsid w:val="007E0E59"/>
    <w:rsid w:val="007E0F4B"/>
    <w:rsid w:val="007E3715"/>
    <w:rsid w:val="007E7E61"/>
    <w:rsid w:val="007F0845"/>
    <w:rsid w:val="007F16F9"/>
    <w:rsid w:val="007F3E3E"/>
    <w:rsid w:val="007F42E0"/>
    <w:rsid w:val="007F500D"/>
    <w:rsid w:val="007F5F14"/>
    <w:rsid w:val="007F7B54"/>
    <w:rsid w:val="00800073"/>
    <w:rsid w:val="008005D7"/>
    <w:rsid w:val="00801FDD"/>
    <w:rsid w:val="008020C2"/>
    <w:rsid w:val="0080255C"/>
    <w:rsid w:val="0081187C"/>
    <w:rsid w:val="00811E24"/>
    <w:rsid w:val="00812386"/>
    <w:rsid w:val="00812E2B"/>
    <w:rsid w:val="00813A70"/>
    <w:rsid w:val="00813FE6"/>
    <w:rsid w:val="00815C6E"/>
    <w:rsid w:val="0081645F"/>
    <w:rsid w:val="00817755"/>
    <w:rsid w:val="008178C2"/>
    <w:rsid w:val="008178CF"/>
    <w:rsid w:val="00817C98"/>
    <w:rsid w:val="00820C9F"/>
    <w:rsid w:val="00821FF6"/>
    <w:rsid w:val="00823AAF"/>
    <w:rsid w:val="00824081"/>
    <w:rsid w:val="0082409A"/>
    <w:rsid w:val="008252D7"/>
    <w:rsid w:val="00825C0F"/>
    <w:rsid w:val="00827181"/>
    <w:rsid w:val="0082733C"/>
    <w:rsid w:val="00827746"/>
    <w:rsid w:val="0083143E"/>
    <w:rsid w:val="0083159D"/>
    <w:rsid w:val="008318FF"/>
    <w:rsid w:val="00832187"/>
    <w:rsid w:val="00832493"/>
    <w:rsid w:val="008336D8"/>
    <w:rsid w:val="008339C4"/>
    <w:rsid w:val="00834F0A"/>
    <w:rsid w:val="00834FAA"/>
    <w:rsid w:val="00835181"/>
    <w:rsid w:val="00835991"/>
    <w:rsid w:val="00836086"/>
    <w:rsid w:val="00840699"/>
    <w:rsid w:val="00841D9F"/>
    <w:rsid w:val="00842604"/>
    <w:rsid w:val="00843ECF"/>
    <w:rsid w:val="00846673"/>
    <w:rsid w:val="0085281A"/>
    <w:rsid w:val="008559FE"/>
    <w:rsid w:val="00857339"/>
    <w:rsid w:val="00860706"/>
    <w:rsid w:val="00862A7A"/>
    <w:rsid w:val="00863104"/>
    <w:rsid w:val="008636CD"/>
    <w:rsid w:val="00863D9E"/>
    <w:rsid w:val="00863FDC"/>
    <w:rsid w:val="008642AF"/>
    <w:rsid w:val="00865ED4"/>
    <w:rsid w:val="008669A7"/>
    <w:rsid w:val="00867E29"/>
    <w:rsid w:val="00870F2B"/>
    <w:rsid w:val="008746E6"/>
    <w:rsid w:val="0087594C"/>
    <w:rsid w:val="00876086"/>
    <w:rsid w:val="008768D6"/>
    <w:rsid w:val="008775D1"/>
    <w:rsid w:val="008777BB"/>
    <w:rsid w:val="00877D68"/>
    <w:rsid w:val="00877E5D"/>
    <w:rsid w:val="00880150"/>
    <w:rsid w:val="00880ABA"/>
    <w:rsid w:val="00883A67"/>
    <w:rsid w:val="00883D45"/>
    <w:rsid w:val="00884D69"/>
    <w:rsid w:val="0088503D"/>
    <w:rsid w:val="00886A8F"/>
    <w:rsid w:val="0088733A"/>
    <w:rsid w:val="00891BE0"/>
    <w:rsid w:val="00893302"/>
    <w:rsid w:val="00893648"/>
    <w:rsid w:val="00893F3C"/>
    <w:rsid w:val="008945A1"/>
    <w:rsid w:val="00894A63"/>
    <w:rsid w:val="00895A54"/>
    <w:rsid w:val="00896916"/>
    <w:rsid w:val="00896BDE"/>
    <w:rsid w:val="008A0861"/>
    <w:rsid w:val="008A0BB2"/>
    <w:rsid w:val="008A1AB3"/>
    <w:rsid w:val="008A1D5C"/>
    <w:rsid w:val="008A3292"/>
    <w:rsid w:val="008A3A85"/>
    <w:rsid w:val="008A43E9"/>
    <w:rsid w:val="008A4CB1"/>
    <w:rsid w:val="008A615E"/>
    <w:rsid w:val="008A632B"/>
    <w:rsid w:val="008A6BFE"/>
    <w:rsid w:val="008B00C2"/>
    <w:rsid w:val="008B07EF"/>
    <w:rsid w:val="008B16DE"/>
    <w:rsid w:val="008B190E"/>
    <w:rsid w:val="008B1A8A"/>
    <w:rsid w:val="008B1FC9"/>
    <w:rsid w:val="008B6B67"/>
    <w:rsid w:val="008B7306"/>
    <w:rsid w:val="008B775F"/>
    <w:rsid w:val="008B7C02"/>
    <w:rsid w:val="008B7D13"/>
    <w:rsid w:val="008B7F9E"/>
    <w:rsid w:val="008C0E88"/>
    <w:rsid w:val="008C1AA8"/>
    <w:rsid w:val="008C22A8"/>
    <w:rsid w:val="008C5B43"/>
    <w:rsid w:val="008C63FD"/>
    <w:rsid w:val="008C6CB8"/>
    <w:rsid w:val="008C7815"/>
    <w:rsid w:val="008C7A07"/>
    <w:rsid w:val="008D0171"/>
    <w:rsid w:val="008D13EA"/>
    <w:rsid w:val="008D2671"/>
    <w:rsid w:val="008D2A16"/>
    <w:rsid w:val="008D2ECF"/>
    <w:rsid w:val="008D3F3D"/>
    <w:rsid w:val="008E0367"/>
    <w:rsid w:val="008E308D"/>
    <w:rsid w:val="008E31FF"/>
    <w:rsid w:val="008E46A3"/>
    <w:rsid w:val="008E5DE6"/>
    <w:rsid w:val="008E6113"/>
    <w:rsid w:val="008E6AB3"/>
    <w:rsid w:val="008E6AD3"/>
    <w:rsid w:val="008E71A6"/>
    <w:rsid w:val="008E77B6"/>
    <w:rsid w:val="008E7C55"/>
    <w:rsid w:val="008F032E"/>
    <w:rsid w:val="008F0F14"/>
    <w:rsid w:val="008F4FCE"/>
    <w:rsid w:val="008F5301"/>
    <w:rsid w:val="008F6967"/>
    <w:rsid w:val="008F6A0C"/>
    <w:rsid w:val="008F7721"/>
    <w:rsid w:val="008F7D28"/>
    <w:rsid w:val="009003A8"/>
    <w:rsid w:val="009010A7"/>
    <w:rsid w:val="00902CBE"/>
    <w:rsid w:val="00902D74"/>
    <w:rsid w:val="00902EFF"/>
    <w:rsid w:val="00903E06"/>
    <w:rsid w:val="00904B9D"/>
    <w:rsid w:val="00905A11"/>
    <w:rsid w:val="009066E1"/>
    <w:rsid w:val="00907A41"/>
    <w:rsid w:val="009102BD"/>
    <w:rsid w:val="00910F93"/>
    <w:rsid w:val="0091255A"/>
    <w:rsid w:val="00914426"/>
    <w:rsid w:val="0091675F"/>
    <w:rsid w:val="00917709"/>
    <w:rsid w:val="00917918"/>
    <w:rsid w:val="00920874"/>
    <w:rsid w:val="00921F14"/>
    <w:rsid w:val="00923750"/>
    <w:rsid w:val="009243A5"/>
    <w:rsid w:val="009250D2"/>
    <w:rsid w:val="0092540B"/>
    <w:rsid w:val="00926283"/>
    <w:rsid w:val="00937B11"/>
    <w:rsid w:val="00940F1F"/>
    <w:rsid w:val="00941250"/>
    <w:rsid w:val="0094427A"/>
    <w:rsid w:val="00944380"/>
    <w:rsid w:val="009459C5"/>
    <w:rsid w:val="0094626C"/>
    <w:rsid w:val="0095013A"/>
    <w:rsid w:val="00953AEF"/>
    <w:rsid w:val="009551E2"/>
    <w:rsid w:val="00955783"/>
    <w:rsid w:val="00955E5F"/>
    <w:rsid w:val="009560B0"/>
    <w:rsid w:val="00956F23"/>
    <w:rsid w:val="00957871"/>
    <w:rsid w:val="00960077"/>
    <w:rsid w:val="00960769"/>
    <w:rsid w:val="00962D2E"/>
    <w:rsid w:val="00963724"/>
    <w:rsid w:val="00964498"/>
    <w:rsid w:val="0096504D"/>
    <w:rsid w:val="00965A2D"/>
    <w:rsid w:val="009663EB"/>
    <w:rsid w:val="0096650F"/>
    <w:rsid w:val="00967AD2"/>
    <w:rsid w:val="009700DB"/>
    <w:rsid w:val="00971DC6"/>
    <w:rsid w:val="00972263"/>
    <w:rsid w:val="00972502"/>
    <w:rsid w:val="00972D8D"/>
    <w:rsid w:val="00973AAE"/>
    <w:rsid w:val="0097476C"/>
    <w:rsid w:val="00974923"/>
    <w:rsid w:val="00974D48"/>
    <w:rsid w:val="00974D5F"/>
    <w:rsid w:val="00975017"/>
    <w:rsid w:val="009759DF"/>
    <w:rsid w:val="00980373"/>
    <w:rsid w:val="00980621"/>
    <w:rsid w:val="00982072"/>
    <w:rsid w:val="009833FA"/>
    <w:rsid w:val="00983DBB"/>
    <w:rsid w:val="00983ECF"/>
    <w:rsid w:val="00986745"/>
    <w:rsid w:val="009867BC"/>
    <w:rsid w:val="00987109"/>
    <w:rsid w:val="00987309"/>
    <w:rsid w:val="0099012D"/>
    <w:rsid w:val="00990363"/>
    <w:rsid w:val="009954FF"/>
    <w:rsid w:val="009961BC"/>
    <w:rsid w:val="00996355"/>
    <w:rsid w:val="009A2014"/>
    <w:rsid w:val="009A3A87"/>
    <w:rsid w:val="009A4E12"/>
    <w:rsid w:val="009A5C68"/>
    <w:rsid w:val="009A6EF7"/>
    <w:rsid w:val="009B04D0"/>
    <w:rsid w:val="009B052C"/>
    <w:rsid w:val="009B0EF2"/>
    <w:rsid w:val="009B23A3"/>
    <w:rsid w:val="009B4925"/>
    <w:rsid w:val="009B4B4B"/>
    <w:rsid w:val="009B6FD3"/>
    <w:rsid w:val="009B70BD"/>
    <w:rsid w:val="009C07A5"/>
    <w:rsid w:val="009C7388"/>
    <w:rsid w:val="009D0CFF"/>
    <w:rsid w:val="009D1551"/>
    <w:rsid w:val="009D2859"/>
    <w:rsid w:val="009D36EC"/>
    <w:rsid w:val="009D4173"/>
    <w:rsid w:val="009D6095"/>
    <w:rsid w:val="009D6306"/>
    <w:rsid w:val="009E048A"/>
    <w:rsid w:val="009E1FBA"/>
    <w:rsid w:val="009E2C54"/>
    <w:rsid w:val="009E3710"/>
    <w:rsid w:val="009E7B1F"/>
    <w:rsid w:val="009F41C4"/>
    <w:rsid w:val="009F5846"/>
    <w:rsid w:val="009F7B52"/>
    <w:rsid w:val="009F7D77"/>
    <w:rsid w:val="00A015EA"/>
    <w:rsid w:val="00A10D66"/>
    <w:rsid w:val="00A12BA8"/>
    <w:rsid w:val="00A1420C"/>
    <w:rsid w:val="00A1456C"/>
    <w:rsid w:val="00A14821"/>
    <w:rsid w:val="00A17754"/>
    <w:rsid w:val="00A2055B"/>
    <w:rsid w:val="00A2253C"/>
    <w:rsid w:val="00A23545"/>
    <w:rsid w:val="00A23A55"/>
    <w:rsid w:val="00A23E43"/>
    <w:rsid w:val="00A24F8C"/>
    <w:rsid w:val="00A262BF"/>
    <w:rsid w:val="00A271AD"/>
    <w:rsid w:val="00A276D5"/>
    <w:rsid w:val="00A30336"/>
    <w:rsid w:val="00A30BB5"/>
    <w:rsid w:val="00A3128F"/>
    <w:rsid w:val="00A326D0"/>
    <w:rsid w:val="00A35287"/>
    <w:rsid w:val="00A378F8"/>
    <w:rsid w:val="00A40B19"/>
    <w:rsid w:val="00A424F8"/>
    <w:rsid w:val="00A437B7"/>
    <w:rsid w:val="00A46D48"/>
    <w:rsid w:val="00A46DE0"/>
    <w:rsid w:val="00A4778A"/>
    <w:rsid w:val="00A504C0"/>
    <w:rsid w:val="00A5067F"/>
    <w:rsid w:val="00A55301"/>
    <w:rsid w:val="00A572FB"/>
    <w:rsid w:val="00A57B3C"/>
    <w:rsid w:val="00A57F1B"/>
    <w:rsid w:val="00A6128E"/>
    <w:rsid w:val="00A62CE1"/>
    <w:rsid w:val="00A631FA"/>
    <w:rsid w:val="00A64203"/>
    <w:rsid w:val="00A64348"/>
    <w:rsid w:val="00A644E1"/>
    <w:rsid w:val="00A721FB"/>
    <w:rsid w:val="00A727BA"/>
    <w:rsid w:val="00A72D4B"/>
    <w:rsid w:val="00A732AE"/>
    <w:rsid w:val="00A75E40"/>
    <w:rsid w:val="00A77EB2"/>
    <w:rsid w:val="00A81094"/>
    <w:rsid w:val="00A82B66"/>
    <w:rsid w:val="00A83B58"/>
    <w:rsid w:val="00A84FAF"/>
    <w:rsid w:val="00A851B6"/>
    <w:rsid w:val="00A85729"/>
    <w:rsid w:val="00A8574B"/>
    <w:rsid w:val="00A857C0"/>
    <w:rsid w:val="00A91336"/>
    <w:rsid w:val="00A9221C"/>
    <w:rsid w:val="00A94628"/>
    <w:rsid w:val="00A96463"/>
    <w:rsid w:val="00A97E3F"/>
    <w:rsid w:val="00AA09D3"/>
    <w:rsid w:val="00AA23FB"/>
    <w:rsid w:val="00AA42AB"/>
    <w:rsid w:val="00AA559A"/>
    <w:rsid w:val="00AB104D"/>
    <w:rsid w:val="00AB2AF1"/>
    <w:rsid w:val="00AB440B"/>
    <w:rsid w:val="00AB47E3"/>
    <w:rsid w:val="00AB74C5"/>
    <w:rsid w:val="00AB7BEE"/>
    <w:rsid w:val="00AB7DF2"/>
    <w:rsid w:val="00AC1E3F"/>
    <w:rsid w:val="00AC219A"/>
    <w:rsid w:val="00AC4F18"/>
    <w:rsid w:val="00AD0B46"/>
    <w:rsid w:val="00AD1094"/>
    <w:rsid w:val="00AD2565"/>
    <w:rsid w:val="00AD306C"/>
    <w:rsid w:val="00AD3424"/>
    <w:rsid w:val="00AD50D1"/>
    <w:rsid w:val="00AD59BB"/>
    <w:rsid w:val="00AD5D68"/>
    <w:rsid w:val="00AD6C73"/>
    <w:rsid w:val="00AD7D49"/>
    <w:rsid w:val="00AE06D0"/>
    <w:rsid w:val="00AE1B8A"/>
    <w:rsid w:val="00AE39DC"/>
    <w:rsid w:val="00AE3CDA"/>
    <w:rsid w:val="00AE7968"/>
    <w:rsid w:val="00AF128B"/>
    <w:rsid w:val="00AF1AEA"/>
    <w:rsid w:val="00AF2852"/>
    <w:rsid w:val="00AF3225"/>
    <w:rsid w:val="00AF518B"/>
    <w:rsid w:val="00AF5275"/>
    <w:rsid w:val="00AF6367"/>
    <w:rsid w:val="00AF6A79"/>
    <w:rsid w:val="00AF724E"/>
    <w:rsid w:val="00AF73A9"/>
    <w:rsid w:val="00B01436"/>
    <w:rsid w:val="00B01C2C"/>
    <w:rsid w:val="00B0231C"/>
    <w:rsid w:val="00B13681"/>
    <w:rsid w:val="00B15DCD"/>
    <w:rsid w:val="00B17E71"/>
    <w:rsid w:val="00B17FDE"/>
    <w:rsid w:val="00B208FC"/>
    <w:rsid w:val="00B20C65"/>
    <w:rsid w:val="00B22E17"/>
    <w:rsid w:val="00B266C5"/>
    <w:rsid w:val="00B27293"/>
    <w:rsid w:val="00B3229E"/>
    <w:rsid w:val="00B32DDB"/>
    <w:rsid w:val="00B35174"/>
    <w:rsid w:val="00B35BEA"/>
    <w:rsid w:val="00B37915"/>
    <w:rsid w:val="00B3793D"/>
    <w:rsid w:val="00B41BE6"/>
    <w:rsid w:val="00B428A4"/>
    <w:rsid w:val="00B457E7"/>
    <w:rsid w:val="00B45D1B"/>
    <w:rsid w:val="00B46D25"/>
    <w:rsid w:val="00B47430"/>
    <w:rsid w:val="00B52D2D"/>
    <w:rsid w:val="00B55BA8"/>
    <w:rsid w:val="00B55F15"/>
    <w:rsid w:val="00B561A6"/>
    <w:rsid w:val="00B60062"/>
    <w:rsid w:val="00B62960"/>
    <w:rsid w:val="00B63A11"/>
    <w:rsid w:val="00B63FD0"/>
    <w:rsid w:val="00B65C84"/>
    <w:rsid w:val="00B6608F"/>
    <w:rsid w:val="00B74317"/>
    <w:rsid w:val="00B76D1E"/>
    <w:rsid w:val="00B77BC8"/>
    <w:rsid w:val="00B800EB"/>
    <w:rsid w:val="00B822D2"/>
    <w:rsid w:val="00B83D46"/>
    <w:rsid w:val="00B848B8"/>
    <w:rsid w:val="00B84A41"/>
    <w:rsid w:val="00B84D57"/>
    <w:rsid w:val="00B8504B"/>
    <w:rsid w:val="00B85689"/>
    <w:rsid w:val="00B86748"/>
    <w:rsid w:val="00B907EA"/>
    <w:rsid w:val="00B91EC9"/>
    <w:rsid w:val="00B924CA"/>
    <w:rsid w:val="00B92A4B"/>
    <w:rsid w:val="00B93384"/>
    <w:rsid w:val="00B94417"/>
    <w:rsid w:val="00B95566"/>
    <w:rsid w:val="00B95940"/>
    <w:rsid w:val="00B95EF8"/>
    <w:rsid w:val="00B95F50"/>
    <w:rsid w:val="00B96BD9"/>
    <w:rsid w:val="00BB0274"/>
    <w:rsid w:val="00BB1CFD"/>
    <w:rsid w:val="00BB2C53"/>
    <w:rsid w:val="00BB32DA"/>
    <w:rsid w:val="00BB3A54"/>
    <w:rsid w:val="00BB4D26"/>
    <w:rsid w:val="00BB4E21"/>
    <w:rsid w:val="00BB7746"/>
    <w:rsid w:val="00BC22EB"/>
    <w:rsid w:val="00BC682B"/>
    <w:rsid w:val="00BC6B04"/>
    <w:rsid w:val="00BC6D27"/>
    <w:rsid w:val="00BD186B"/>
    <w:rsid w:val="00BD1EAC"/>
    <w:rsid w:val="00BD254C"/>
    <w:rsid w:val="00BD3428"/>
    <w:rsid w:val="00BD366B"/>
    <w:rsid w:val="00BD534C"/>
    <w:rsid w:val="00BD56BC"/>
    <w:rsid w:val="00BD5D91"/>
    <w:rsid w:val="00BD6615"/>
    <w:rsid w:val="00BD6D50"/>
    <w:rsid w:val="00BE0D79"/>
    <w:rsid w:val="00BE0DB0"/>
    <w:rsid w:val="00BE3381"/>
    <w:rsid w:val="00BE3F09"/>
    <w:rsid w:val="00BE670A"/>
    <w:rsid w:val="00BE6906"/>
    <w:rsid w:val="00BF18F4"/>
    <w:rsid w:val="00BF1A69"/>
    <w:rsid w:val="00BF3BC8"/>
    <w:rsid w:val="00BF3DF1"/>
    <w:rsid w:val="00BF4C31"/>
    <w:rsid w:val="00BF4E57"/>
    <w:rsid w:val="00BF53B8"/>
    <w:rsid w:val="00BF7CB8"/>
    <w:rsid w:val="00C00F20"/>
    <w:rsid w:val="00C01700"/>
    <w:rsid w:val="00C034E6"/>
    <w:rsid w:val="00C05715"/>
    <w:rsid w:val="00C05926"/>
    <w:rsid w:val="00C0784A"/>
    <w:rsid w:val="00C10B28"/>
    <w:rsid w:val="00C10D62"/>
    <w:rsid w:val="00C10FAE"/>
    <w:rsid w:val="00C123B4"/>
    <w:rsid w:val="00C12A69"/>
    <w:rsid w:val="00C13737"/>
    <w:rsid w:val="00C150BE"/>
    <w:rsid w:val="00C158B0"/>
    <w:rsid w:val="00C15A0C"/>
    <w:rsid w:val="00C15DCB"/>
    <w:rsid w:val="00C1711F"/>
    <w:rsid w:val="00C17E38"/>
    <w:rsid w:val="00C20744"/>
    <w:rsid w:val="00C20C4D"/>
    <w:rsid w:val="00C21D46"/>
    <w:rsid w:val="00C21F94"/>
    <w:rsid w:val="00C222A1"/>
    <w:rsid w:val="00C23371"/>
    <w:rsid w:val="00C23CBD"/>
    <w:rsid w:val="00C23D22"/>
    <w:rsid w:val="00C2463B"/>
    <w:rsid w:val="00C24E77"/>
    <w:rsid w:val="00C2732D"/>
    <w:rsid w:val="00C273C6"/>
    <w:rsid w:val="00C27913"/>
    <w:rsid w:val="00C300C6"/>
    <w:rsid w:val="00C30828"/>
    <w:rsid w:val="00C31DD8"/>
    <w:rsid w:val="00C3271C"/>
    <w:rsid w:val="00C34FDE"/>
    <w:rsid w:val="00C35C16"/>
    <w:rsid w:val="00C40F81"/>
    <w:rsid w:val="00C41463"/>
    <w:rsid w:val="00C41A72"/>
    <w:rsid w:val="00C42D45"/>
    <w:rsid w:val="00C476C5"/>
    <w:rsid w:val="00C503B0"/>
    <w:rsid w:val="00C511C2"/>
    <w:rsid w:val="00C53D82"/>
    <w:rsid w:val="00C54748"/>
    <w:rsid w:val="00C60696"/>
    <w:rsid w:val="00C60EEF"/>
    <w:rsid w:val="00C6121D"/>
    <w:rsid w:val="00C615F1"/>
    <w:rsid w:val="00C61627"/>
    <w:rsid w:val="00C64E60"/>
    <w:rsid w:val="00C657A4"/>
    <w:rsid w:val="00C6736C"/>
    <w:rsid w:val="00C71A1D"/>
    <w:rsid w:val="00C71EC4"/>
    <w:rsid w:val="00C7591E"/>
    <w:rsid w:val="00C75C7E"/>
    <w:rsid w:val="00C75C9B"/>
    <w:rsid w:val="00C76D8E"/>
    <w:rsid w:val="00C77833"/>
    <w:rsid w:val="00C80C9B"/>
    <w:rsid w:val="00C8335E"/>
    <w:rsid w:val="00C83F9C"/>
    <w:rsid w:val="00C84CE3"/>
    <w:rsid w:val="00C85614"/>
    <w:rsid w:val="00C86127"/>
    <w:rsid w:val="00C90CF4"/>
    <w:rsid w:val="00C91C19"/>
    <w:rsid w:val="00C929A0"/>
    <w:rsid w:val="00C93389"/>
    <w:rsid w:val="00C937DB"/>
    <w:rsid w:val="00C94519"/>
    <w:rsid w:val="00C94E83"/>
    <w:rsid w:val="00CA02B2"/>
    <w:rsid w:val="00CA0883"/>
    <w:rsid w:val="00CA140F"/>
    <w:rsid w:val="00CA25C2"/>
    <w:rsid w:val="00CA37BB"/>
    <w:rsid w:val="00CA37CA"/>
    <w:rsid w:val="00CA5724"/>
    <w:rsid w:val="00CA6508"/>
    <w:rsid w:val="00CA6BA1"/>
    <w:rsid w:val="00CA6CD5"/>
    <w:rsid w:val="00CB1910"/>
    <w:rsid w:val="00CB2150"/>
    <w:rsid w:val="00CB28EE"/>
    <w:rsid w:val="00CB43A7"/>
    <w:rsid w:val="00CB4DF1"/>
    <w:rsid w:val="00CB5996"/>
    <w:rsid w:val="00CB6809"/>
    <w:rsid w:val="00CB7452"/>
    <w:rsid w:val="00CC0E10"/>
    <w:rsid w:val="00CC1DAF"/>
    <w:rsid w:val="00CC2642"/>
    <w:rsid w:val="00CC2A36"/>
    <w:rsid w:val="00CC2E15"/>
    <w:rsid w:val="00CC3908"/>
    <w:rsid w:val="00CC62AD"/>
    <w:rsid w:val="00CC6CA2"/>
    <w:rsid w:val="00CC7B80"/>
    <w:rsid w:val="00CD2B3C"/>
    <w:rsid w:val="00CD30F6"/>
    <w:rsid w:val="00CD4B29"/>
    <w:rsid w:val="00CD6954"/>
    <w:rsid w:val="00CD6DA3"/>
    <w:rsid w:val="00CD6EF1"/>
    <w:rsid w:val="00CD7E35"/>
    <w:rsid w:val="00CE21C7"/>
    <w:rsid w:val="00CE2682"/>
    <w:rsid w:val="00CE442A"/>
    <w:rsid w:val="00CE57D8"/>
    <w:rsid w:val="00CE617A"/>
    <w:rsid w:val="00CF25D2"/>
    <w:rsid w:val="00CF28C2"/>
    <w:rsid w:val="00CF42BD"/>
    <w:rsid w:val="00CF51EC"/>
    <w:rsid w:val="00CF6A9D"/>
    <w:rsid w:val="00CF6CD7"/>
    <w:rsid w:val="00CF75EC"/>
    <w:rsid w:val="00D0037A"/>
    <w:rsid w:val="00D00DAF"/>
    <w:rsid w:val="00D017EC"/>
    <w:rsid w:val="00D01CDA"/>
    <w:rsid w:val="00D040DD"/>
    <w:rsid w:val="00D04E1B"/>
    <w:rsid w:val="00D0547B"/>
    <w:rsid w:val="00D076DB"/>
    <w:rsid w:val="00D1067C"/>
    <w:rsid w:val="00D136D4"/>
    <w:rsid w:val="00D13830"/>
    <w:rsid w:val="00D13ECF"/>
    <w:rsid w:val="00D142E5"/>
    <w:rsid w:val="00D148CD"/>
    <w:rsid w:val="00D1611E"/>
    <w:rsid w:val="00D16E69"/>
    <w:rsid w:val="00D205A9"/>
    <w:rsid w:val="00D217EE"/>
    <w:rsid w:val="00D245BA"/>
    <w:rsid w:val="00D26923"/>
    <w:rsid w:val="00D27856"/>
    <w:rsid w:val="00D301CA"/>
    <w:rsid w:val="00D30740"/>
    <w:rsid w:val="00D31075"/>
    <w:rsid w:val="00D31445"/>
    <w:rsid w:val="00D31932"/>
    <w:rsid w:val="00D37689"/>
    <w:rsid w:val="00D378CC"/>
    <w:rsid w:val="00D4042C"/>
    <w:rsid w:val="00D40B9E"/>
    <w:rsid w:val="00D41281"/>
    <w:rsid w:val="00D42312"/>
    <w:rsid w:val="00D43998"/>
    <w:rsid w:val="00D451E0"/>
    <w:rsid w:val="00D4615E"/>
    <w:rsid w:val="00D478E2"/>
    <w:rsid w:val="00D5264C"/>
    <w:rsid w:val="00D547BA"/>
    <w:rsid w:val="00D55626"/>
    <w:rsid w:val="00D556BC"/>
    <w:rsid w:val="00D5626D"/>
    <w:rsid w:val="00D60277"/>
    <w:rsid w:val="00D60336"/>
    <w:rsid w:val="00D61F88"/>
    <w:rsid w:val="00D62901"/>
    <w:rsid w:val="00D6470C"/>
    <w:rsid w:val="00D64853"/>
    <w:rsid w:val="00D64CB5"/>
    <w:rsid w:val="00D66D48"/>
    <w:rsid w:val="00D7162F"/>
    <w:rsid w:val="00D73256"/>
    <w:rsid w:val="00D73A30"/>
    <w:rsid w:val="00D74C65"/>
    <w:rsid w:val="00D75DC2"/>
    <w:rsid w:val="00D766EF"/>
    <w:rsid w:val="00D76C03"/>
    <w:rsid w:val="00D77F8D"/>
    <w:rsid w:val="00D82462"/>
    <w:rsid w:val="00D868CE"/>
    <w:rsid w:val="00D86DAE"/>
    <w:rsid w:val="00D90C1E"/>
    <w:rsid w:val="00D91BDF"/>
    <w:rsid w:val="00D91F2C"/>
    <w:rsid w:val="00D93F09"/>
    <w:rsid w:val="00D954C2"/>
    <w:rsid w:val="00D97BB8"/>
    <w:rsid w:val="00DA1318"/>
    <w:rsid w:val="00DA1382"/>
    <w:rsid w:val="00DA28B7"/>
    <w:rsid w:val="00DA2FE8"/>
    <w:rsid w:val="00DA4AF6"/>
    <w:rsid w:val="00DB016E"/>
    <w:rsid w:val="00DB06E9"/>
    <w:rsid w:val="00DB19BD"/>
    <w:rsid w:val="00DB378E"/>
    <w:rsid w:val="00DB3E9D"/>
    <w:rsid w:val="00DB47B9"/>
    <w:rsid w:val="00DB4FB8"/>
    <w:rsid w:val="00DB53CE"/>
    <w:rsid w:val="00DB549D"/>
    <w:rsid w:val="00DB5792"/>
    <w:rsid w:val="00DB6A88"/>
    <w:rsid w:val="00DB7BA4"/>
    <w:rsid w:val="00DC226A"/>
    <w:rsid w:val="00DC257F"/>
    <w:rsid w:val="00DC350B"/>
    <w:rsid w:val="00DC3790"/>
    <w:rsid w:val="00DC408A"/>
    <w:rsid w:val="00DC5B3B"/>
    <w:rsid w:val="00DC6796"/>
    <w:rsid w:val="00DC78DF"/>
    <w:rsid w:val="00DC7D4C"/>
    <w:rsid w:val="00DD0821"/>
    <w:rsid w:val="00DD0E32"/>
    <w:rsid w:val="00DD2872"/>
    <w:rsid w:val="00DD2BFE"/>
    <w:rsid w:val="00DD373E"/>
    <w:rsid w:val="00DD57AD"/>
    <w:rsid w:val="00DE009B"/>
    <w:rsid w:val="00DE0C31"/>
    <w:rsid w:val="00DE2ED9"/>
    <w:rsid w:val="00DE319A"/>
    <w:rsid w:val="00DF0DC3"/>
    <w:rsid w:val="00DF21FD"/>
    <w:rsid w:val="00DF2873"/>
    <w:rsid w:val="00DF4C74"/>
    <w:rsid w:val="00DF5578"/>
    <w:rsid w:val="00DF78DD"/>
    <w:rsid w:val="00DF7FEC"/>
    <w:rsid w:val="00E01C0E"/>
    <w:rsid w:val="00E02086"/>
    <w:rsid w:val="00E02740"/>
    <w:rsid w:val="00E03B27"/>
    <w:rsid w:val="00E04694"/>
    <w:rsid w:val="00E049F6"/>
    <w:rsid w:val="00E04CA9"/>
    <w:rsid w:val="00E05B2B"/>
    <w:rsid w:val="00E06A2A"/>
    <w:rsid w:val="00E07F05"/>
    <w:rsid w:val="00E127E1"/>
    <w:rsid w:val="00E144D2"/>
    <w:rsid w:val="00E144D6"/>
    <w:rsid w:val="00E15346"/>
    <w:rsid w:val="00E15B7D"/>
    <w:rsid w:val="00E2097E"/>
    <w:rsid w:val="00E215EA"/>
    <w:rsid w:val="00E21CAB"/>
    <w:rsid w:val="00E221FC"/>
    <w:rsid w:val="00E24619"/>
    <w:rsid w:val="00E25223"/>
    <w:rsid w:val="00E30BEA"/>
    <w:rsid w:val="00E31764"/>
    <w:rsid w:val="00E32BC2"/>
    <w:rsid w:val="00E34985"/>
    <w:rsid w:val="00E34E4A"/>
    <w:rsid w:val="00E365B3"/>
    <w:rsid w:val="00E366BB"/>
    <w:rsid w:val="00E37C45"/>
    <w:rsid w:val="00E40AAA"/>
    <w:rsid w:val="00E42444"/>
    <w:rsid w:val="00E438CF"/>
    <w:rsid w:val="00E43C41"/>
    <w:rsid w:val="00E4500E"/>
    <w:rsid w:val="00E450CE"/>
    <w:rsid w:val="00E45A00"/>
    <w:rsid w:val="00E45CE7"/>
    <w:rsid w:val="00E4631F"/>
    <w:rsid w:val="00E47CB8"/>
    <w:rsid w:val="00E522BB"/>
    <w:rsid w:val="00E539E4"/>
    <w:rsid w:val="00E569C7"/>
    <w:rsid w:val="00E571F2"/>
    <w:rsid w:val="00E57429"/>
    <w:rsid w:val="00E61EA8"/>
    <w:rsid w:val="00E64EA1"/>
    <w:rsid w:val="00E70510"/>
    <w:rsid w:val="00E71262"/>
    <w:rsid w:val="00E71A58"/>
    <w:rsid w:val="00E737F6"/>
    <w:rsid w:val="00E7568F"/>
    <w:rsid w:val="00E7724B"/>
    <w:rsid w:val="00E84F21"/>
    <w:rsid w:val="00E8618A"/>
    <w:rsid w:val="00E90A4B"/>
    <w:rsid w:val="00E90F73"/>
    <w:rsid w:val="00E910A7"/>
    <w:rsid w:val="00E91607"/>
    <w:rsid w:val="00E921C7"/>
    <w:rsid w:val="00E92995"/>
    <w:rsid w:val="00E94612"/>
    <w:rsid w:val="00E95797"/>
    <w:rsid w:val="00E9682F"/>
    <w:rsid w:val="00E96A8D"/>
    <w:rsid w:val="00E972BA"/>
    <w:rsid w:val="00E97FA2"/>
    <w:rsid w:val="00EA06CB"/>
    <w:rsid w:val="00EA0C68"/>
    <w:rsid w:val="00EA19E2"/>
    <w:rsid w:val="00EA3EBE"/>
    <w:rsid w:val="00EA3FAC"/>
    <w:rsid w:val="00EA4153"/>
    <w:rsid w:val="00EA5CD6"/>
    <w:rsid w:val="00EA76FD"/>
    <w:rsid w:val="00EB03D4"/>
    <w:rsid w:val="00EB0555"/>
    <w:rsid w:val="00EB20A0"/>
    <w:rsid w:val="00EB30B6"/>
    <w:rsid w:val="00EB4FA4"/>
    <w:rsid w:val="00EB5146"/>
    <w:rsid w:val="00EB522B"/>
    <w:rsid w:val="00EB55E9"/>
    <w:rsid w:val="00EB5641"/>
    <w:rsid w:val="00EB5CA9"/>
    <w:rsid w:val="00EB5ED4"/>
    <w:rsid w:val="00EB6537"/>
    <w:rsid w:val="00EB70E1"/>
    <w:rsid w:val="00EB7EB5"/>
    <w:rsid w:val="00EC454B"/>
    <w:rsid w:val="00EC6153"/>
    <w:rsid w:val="00EC7F92"/>
    <w:rsid w:val="00ED00A8"/>
    <w:rsid w:val="00ED0A79"/>
    <w:rsid w:val="00ED2989"/>
    <w:rsid w:val="00ED2CA5"/>
    <w:rsid w:val="00ED336F"/>
    <w:rsid w:val="00ED40F0"/>
    <w:rsid w:val="00ED4AC0"/>
    <w:rsid w:val="00ED54D6"/>
    <w:rsid w:val="00ED5726"/>
    <w:rsid w:val="00EE0113"/>
    <w:rsid w:val="00EE0298"/>
    <w:rsid w:val="00EE0384"/>
    <w:rsid w:val="00EE10AA"/>
    <w:rsid w:val="00EE1637"/>
    <w:rsid w:val="00EE3B7A"/>
    <w:rsid w:val="00EE3E78"/>
    <w:rsid w:val="00EE495A"/>
    <w:rsid w:val="00EE5E02"/>
    <w:rsid w:val="00EE617D"/>
    <w:rsid w:val="00EE61BF"/>
    <w:rsid w:val="00EE6748"/>
    <w:rsid w:val="00EE6C6B"/>
    <w:rsid w:val="00EF0E75"/>
    <w:rsid w:val="00EF1F5A"/>
    <w:rsid w:val="00EF4685"/>
    <w:rsid w:val="00EF5397"/>
    <w:rsid w:val="00EF6BE3"/>
    <w:rsid w:val="00F00D0E"/>
    <w:rsid w:val="00F00D3C"/>
    <w:rsid w:val="00F04811"/>
    <w:rsid w:val="00F0488C"/>
    <w:rsid w:val="00F0496E"/>
    <w:rsid w:val="00F04D10"/>
    <w:rsid w:val="00F0625B"/>
    <w:rsid w:val="00F101FF"/>
    <w:rsid w:val="00F104DF"/>
    <w:rsid w:val="00F10A33"/>
    <w:rsid w:val="00F1186C"/>
    <w:rsid w:val="00F14ACD"/>
    <w:rsid w:val="00F15BEF"/>
    <w:rsid w:val="00F172BE"/>
    <w:rsid w:val="00F1776C"/>
    <w:rsid w:val="00F2037E"/>
    <w:rsid w:val="00F20D17"/>
    <w:rsid w:val="00F2103E"/>
    <w:rsid w:val="00F214FC"/>
    <w:rsid w:val="00F21C31"/>
    <w:rsid w:val="00F23825"/>
    <w:rsid w:val="00F23FFF"/>
    <w:rsid w:val="00F2441D"/>
    <w:rsid w:val="00F24FAA"/>
    <w:rsid w:val="00F26197"/>
    <w:rsid w:val="00F273D4"/>
    <w:rsid w:val="00F307DD"/>
    <w:rsid w:val="00F318FC"/>
    <w:rsid w:val="00F31F76"/>
    <w:rsid w:val="00F3364D"/>
    <w:rsid w:val="00F35ACD"/>
    <w:rsid w:val="00F365BF"/>
    <w:rsid w:val="00F36BF8"/>
    <w:rsid w:val="00F375BA"/>
    <w:rsid w:val="00F37760"/>
    <w:rsid w:val="00F403D1"/>
    <w:rsid w:val="00F43921"/>
    <w:rsid w:val="00F4524F"/>
    <w:rsid w:val="00F45530"/>
    <w:rsid w:val="00F4591F"/>
    <w:rsid w:val="00F4736B"/>
    <w:rsid w:val="00F47997"/>
    <w:rsid w:val="00F47D05"/>
    <w:rsid w:val="00F50030"/>
    <w:rsid w:val="00F502F5"/>
    <w:rsid w:val="00F50B9D"/>
    <w:rsid w:val="00F51FC9"/>
    <w:rsid w:val="00F541ED"/>
    <w:rsid w:val="00F54B31"/>
    <w:rsid w:val="00F54FD3"/>
    <w:rsid w:val="00F55605"/>
    <w:rsid w:val="00F57CD7"/>
    <w:rsid w:val="00F62F02"/>
    <w:rsid w:val="00F63DDE"/>
    <w:rsid w:val="00F63FB7"/>
    <w:rsid w:val="00F64726"/>
    <w:rsid w:val="00F6561A"/>
    <w:rsid w:val="00F70309"/>
    <w:rsid w:val="00F7078A"/>
    <w:rsid w:val="00F727D5"/>
    <w:rsid w:val="00F72F44"/>
    <w:rsid w:val="00F73A0C"/>
    <w:rsid w:val="00F759DC"/>
    <w:rsid w:val="00F7717C"/>
    <w:rsid w:val="00F771A5"/>
    <w:rsid w:val="00F817A4"/>
    <w:rsid w:val="00F81C3A"/>
    <w:rsid w:val="00F835FC"/>
    <w:rsid w:val="00F8373A"/>
    <w:rsid w:val="00F83E21"/>
    <w:rsid w:val="00F83FA4"/>
    <w:rsid w:val="00F84E18"/>
    <w:rsid w:val="00F852E5"/>
    <w:rsid w:val="00F9310A"/>
    <w:rsid w:val="00F95117"/>
    <w:rsid w:val="00FA05D7"/>
    <w:rsid w:val="00FA1C6C"/>
    <w:rsid w:val="00FA2447"/>
    <w:rsid w:val="00FA2C2A"/>
    <w:rsid w:val="00FA309A"/>
    <w:rsid w:val="00FA7644"/>
    <w:rsid w:val="00FB0A9A"/>
    <w:rsid w:val="00FB16AD"/>
    <w:rsid w:val="00FB483B"/>
    <w:rsid w:val="00FB56F1"/>
    <w:rsid w:val="00FB5FD4"/>
    <w:rsid w:val="00FB67F3"/>
    <w:rsid w:val="00FC0D8A"/>
    <w:rsid w:val="00FC0E5F"/>
    <w:rsid w:val="00FC135D"/>
    <w:rsid w:val="00FC3C84"/>
    <w:rsid w:val="00FC4660"/>
    <w:rsid w:val="00FC56DE"/>
    <w:rsid w:val="00FC5E01"/>
    <w:rsid w:val="00FD1261"/>
    <w:rsid w:val="00FD1627"/>
    <w:rsid w:val="00FD1BBD"/>
    <w:rsid w:val="00FD473D"/>
    <w:rsid w:val="00FD61C8"/>
    <w:rsid w:val="00FD63CE"/>
    <w:rsid w:val="00FD7D49"/>
    <w:rsid w:val="00FE1251"/>
    <w:rsid w:val="00FE16E6"/>
    <w:rsid w:val="00FE2F78"/>
    <w:rsid w:val="00FE3510"/>
    <w:rsid w:val="00FE371D"/>
    <w:rsid w:val="00FE375F"/>
    <w:rsid w:val="00FE3D8B"/>
    <w:rsid w:val="00FE4FCB"/>
    <w:rsid w:val="00FE705E"/>
    <w:rsid w:val="00FF02EB"/>
    <w:rsid w:val="00FF28E0"/>
    <w:rsid w:val="00FF2FB4"/>
    <w:rsid w:val="00FF30B3"/>
    <w:rsid w:val="00FF3DF3"/>
    <w:rsid w:val="00FF4027"/>
    <w:rsid w:val="00FF45A2"/>
    <w:rsid w:val="00FF55B1"/>
    <w:rsid w:val="00FF65DF"/>
    <w:rsid w:val="00FF7D9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s>
</file>

<file path=word/webSettings.xml><?xml version="1.0" encoding="utf-8"?>
<w:webSettings xmlns:r="http://schemas.openxmlformats.org/officeDocument/2006/relationships" xmlns:w="http://schemas.openxmlformats.org/wordprocessingml/2006/main">
  <w:divs>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2882E-696C-4F7C-A091-976748814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bar_vicetematicke.dot</Template>
  <TotalTime>867</TotalTime>
  <Pages>3</Pages>
  <Words>1522</Words>
  <Characters>8981</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10483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kucera4376</cp:lastModifiedBy>
  <cp:revision>292</cp:revision>
  <cp:lastPrinted>2015-06-19T06:21:00Z</cp:lastPrinted>
  <dcterms:created xsi:type="dcterms:W3CDTF">2015-12-16T13:30:00Z</dcterms:created>
  <dcterms:modified xsi:type="dcterms:W3CDTF">2016-03-23T12:51:00Z</dcterms:modified>
</cp:coreProperties>
</file>