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FC3C84">
      <w:pPr>
        <w:pStyle w:val="Nadpis1"/>
        <w:numPr>
          <w:ilvl w:val="0"/>
          <w:numId w:val="3"/>
        </w:numPr>
        <w:jc w:val="both"/>
      </w:pPr>
      <w:bookmarkStart w:id="0" w:name="_Toc422471566"/>
      <w:r w:rsidRPr="000732DB">
        <w:t>Souhrnná výkonnost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Ekonomika na počátku roku 2015 zrychlila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2540B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02540B">
              <w:rPr>
                <w:spacing w:val="-4"/>
              </w:rPr>
              <w:t>Ekonomika České republiky pokračovala v 1. čtvrtletí 2015 v růstu, na tempa ze závěru roku 2014 ovšem nenavázala a zrychlila</w:t>
            </w:r>
            <w:r w:rsidRPr="0002540B">
              <w:rPr>
                <w:rStyle w:val="Znakapoznpodarou"/>
                <w:spacing w:val="-4"/>
              </w:rPr>
              <w:footnoteReference w:id="1"/>
            </w:r>
            <w:r w:rsidRPr="0002540B">
              <w:rPr>
                <w:spacing w:val="-4"/>
              </w:rPr>
              <w:t>. V  meziročním srovnání se její výkon zvýšil již pošesté, v </w:t>
            </w:r>
            <w:proofErr w:type="spellStart"/>
            <w:r w:rsidRPr="0002540B">
              <w:rPr>
                <w:spacing w:val="-4"/>
              </w:rPr>
              <w:t>mezikvartálním</w:t>
            </w:r>
            <w:proofErr w:type="spellEnd"/>
            <w:r w:rsidRPr="0002540B">
              <w:rPr>
                <w:spacing w:val="-4"/>
              </w:rPr>
              <w:t xml:space="preserve"> dokonce poosmé. Plyne to z dynamiky hrubého domácího produktu (HDP), ale také z tempa růstu hrubé přidané hodnoty.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Vyšší tempa růstu HDP oproti hrubé přidané hodnotě v 1. čtvrtletí 2015, meziročně i </w:t>
            </w:r>
            <w:proofErr w:type="spellStart"/>
            <w:r w:rsidRPr="0002540B">
              <w:rPr>
                <w:sz w:val="16"/>
                <w:szCs w:val="16"/>
              </w:rPr>
              <w:t>mezikvartálně</w:t>
            </w:r>
            <w:proofErr w:type="spellEnd"/>
            <w:r w:rsidRPr="0002540B">
              <w:rPr>
                <w:sz w:val="16"/>
                <w:szCs w:val="16"/>
              </w:rPr>
              <w:t xml:space="preserve">, v režii nerovnoměrného výběru spotřebních daní z tabákových výrobků 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2540B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02540B">
              <w:rPr>
                <w:spacing w:val="-2"/>
              </w:rPr>
              <w:t>Z hlediska HDP vzrostla ekonomika v meziročním srovnání o 4,2 % a </w:t>
            </w:r>
            <w:proofErr w:type="spellStart"/>
            <w:r w:rsidRPr="0002540B">
              <w:rPr>
                <w:spacing w:val="-2"/>
              </w:rPr>
              <w:t>mezikvartálně</w:t>
            </w:r>
            <w:proofErr w:type="spellEnd"/>
            <w:r w:rsidRPr="0002540B">
              <w:rPr>
                <w:spacing w:val="-2"/>
              </w:rPr>
              <w:t xml:space="preserve"> o 3,1 %, podle hrubé přidané hodnoty ale „jen“ o 3,8 %, respektive o 1,6 %. Za touto mimořádně velkou disproporcí stál především nerovnoměrný výběr spotřebních daní z tabákových výrobků. V</w:t>
            </w:r>
            <w:r>
              <w:rPr>
                <w:spacing w:val="-2"/>
              </w:rPr>
              <w:t> úhrnu za celý rok</w:t>
            </w:r>
            <w:r w:rsidRPr="0002540B">
              <w:rPr>
                <w:spacing w:val="-2"/>
              </w:rPr>
              <w:t xml:space="preserve"> 2014 – následkem předzásobení těmito produkty na sklonku roku předchozího –</w:t>
            </w:r>
            <w:r>
              <w:rPr>
                <w:spacing w:val="-2"/>
              </w:rPr>
              <w:t xml:space="preserve"> se</w:t>
            </w:r>
            <w:r w:rsidRPr="0002540B">
              <w:rPr>
                <w:spacing w:val="-2"/>
              </w:rPr>
              <w:t xml:space="preserve"> výběr spotřebních daní z tabákových výrobků</w:t>
            </w:r>
            <w:r>
              <w:rPr>
                <w:spacing w:val="-2"/>
              </w:rPr>
              <w:t xml:space="preserve"> snížil</w:t>
            </w:r>
            <w:r w:rsidRPr="0002540B">
              <w:rPr>
                <w:spacing w:val="-2"/>
              </w:rPr>
              <w:t>. V 1. čtvrtletí 2015, vlivem nízké srovnávací základny, jejich výběr ale již stoupnul. Vzhledem k tomu, že do HDP jsou tyto daně započítávány a do h</w:t>
            </w:r>
            <w:r>
              <w:rPr>
                <w:spacing w:val="-2"/>
              </w:rPr>
              <w:t>rubé přidané hodnoty nikoliv, v úhrnu za celý rok</w:t>
            </w:r>
            <w:r w:rsidRPr="0002540B">
              <w:rPr>
                <w:spacing w:val="-2"/>
              </w:rPr>
              <w:t xml:space="preserve"> 2014 </w:t>
            </w:r>
            <w:r>
              <w:rPr>
                <w:spacing w:val="-2"/>
              </w:rPr>
              <w:t>se výkon ekonomiky navýšil více</w:t>
            </w:r>
            <w:r w:rsidRPr="0002540B">
              <w:rPr>
                <w:spacing w:val="-2"/>
              </w:rPr>
              <w:t xml:space="preserve"> podle hrubé přidané hodnoty. V 1. čtvrtletí 2015 však došlo k opaku, růst ekonomiky byl silnější podle HDP.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Růst českého hospodářství v 1. čtvrtletí 2015 byl v historických kontextech vysoký, …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B67ECF" w:rsidRDefault="007D4281" w:rsidP="007D4281">
            <w:pPr>
              <w:pStyle w:val="Textpoznpodarou"/>
              <w:jc w:val="both"/>
            </w:pPr>
            <w:r w:rsidRPr="00B67ECF">
              <w:t xml:space="preserve">Historické kontexty dokládají, že počátek roku 2015 zastihl tuzemskou ekonomiku ve velmi dobré kondici. Vyšší meziroční tempo růstu HDP, než jaké bylo patrné v 1. čtvrtletí, bylo možné vysledovat naposledy v roce 2007, v případě hrubé přidané hodnoty v roce 2008. Obdobné platilo i pro </w:t>
            </w:r>
            <w:proofErr w:type="spellStart"/>
            <w:r w:rsidRPr="00B67ECF">
              <w:t>mezičtvrtletní</w:t>
            </w:r>
            <w:proofErr w:type="spellEnd"/>
            <w:r w:rsidRPr="00B67ECF">
              <w:t xml:space="preserve"> dynamiku hrubé přidané hodnoty (2008), nikoliv ale pro </w:t>
            </w:r>
            <w:proofErr w:type="spellStart"/>
            <w:r w:rsidRPr="00B67ECF">
              <w:t>mezičtvrtletní</w:t>
            </w:r>
            <w:proofErr w:type="spellEnd"/>
            <w:r w:rsidRPr="00B67ECF">
              <w:t xml:space="preserve"> růst HDP. Tak vysoké tempo růstu HDP – jaké bylo vykázáno v 1. čtvrtletí letošního roku (+3,1 % </w:t>
            </w:r>
            <w:proofErr w:type="spellStart"/>
            <w:r w:rsidRPr="00B67ECF">
              <w:t>mezikvartálně</w:t>
            </w:r>
            <w:proofErr w:type="spellEnd"/>
            <w:r w:rsidRPr="00B67ECF">
              <w:t>) – nemělo v historii ČR obdoby, je třeba ale dodat, že právě tento údaj byl nízkou srovnávací základnou související s nerovnoměrným výběrem spotřebních daní zatížen nejvíce.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…byl výjimečný ale také při srovnání s aktuálními výsledky za země Evropské unie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B67ECF" w:rsidRDefault="007D4281" w:rsidP="007D4281">
            <w:pPr>
              <w:pStyle w:val="Textpoznpodarou"/>
              <w:jc w:val="both"/>
            </w:pPr>
            <w:r w:rsidRPr="00B67ECF">
              <w:t>Růst ekonomiky ČR v 1. čtvrtletí 2015 byl výjimečný i v porovnání se zeměmi Evropské unie, přitom neobvykle vysoké přírůstky si Česko připisovalo nejen z pohledu rozkolísaného HDP, ale také z pohledu reprezentativnější hrubé přidané hodnoty. V meziročním srovnání stoupla rychleji než v ČR (+3,8 %) podle dostupných údajů jen v Rumunsku (+4,5 %), v </w:t>
            </w:r>
            <w:proofErr w:type="spellStart"/>
            <w:r w:rsidRPr="00B67ECF">
              <w:t>mezičtvrtletním</w:t>
            </w:r>
            <w:proofErr w:type="spellEnd"/>
            <w:r w:rsidRPr="00B67ECF">
              <w:t xml:space="preserve"> (+1,6 %) nikde. Ve třech největších ekonomikách EU – v Německu, Velké Británii a Francii</w:t>
            </w:r>
            <w:r>
              <w:t xml:space="preserve"> –</w:t>
            </w:r>
            <w:r w:rsidRPr="00B67ECF">
              <w:t xml:space="preserve"> hrubá přidaná hodnota </w:t>
            </w:r>
            <w:r>
              <w:t>narostla</w:t>
            </w:r>
            <w:r w:rsidRPr="00B67ECF">
              <w:t xml:space="preserve"> (meziročně i </w:t>
            </w:r>
            <w:proofErr w:type="spellStart"/>
            <w:r w:rsidRPr="00B67ECF">
              <w:t>mezikvartálně</w:t>
            </w:r>
            <w:proofErr w:type="spellEnd"/>
            <w:r w:rsidRPr="00B67ECF">
              <w:t xml:space="preserve">), proti výsledkům za ČR </w:t>
            </w:r>
            <w:r>
              <w:t>bylo zlepšení výkonnosti</w:t>
            </w:r>
            <w:r w:rsidRPr="00B67ECF">
              <w:t xml:space="preserve"> těchto ekonomik ale </w:t>
            </w:r>
            <w:r>
              <w:t>nevýrazné</w:t>
            </w:r>
            <w:r w:rsidRPr="00B67ECF">
              <w:t>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Vrchol konjunktury již překonán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A2035" w:rsidRDefault="007D4281" w:rsidP="007D4281">
            <w:pPr>
              <w:pStyle w:val="Textpoznpodarou"/>
              <w:jc w:val="both"/>
            </w:pPr>
            <w:r w:rsidRPr="000A2035">
              <w:t>Česká ekonomika vrchol konjunktury z 3. čtvrtletí 2008 už překonala, a to jak podle výše HDP, tak podle hrubé přidané hodnoty. HDP byl na začátku roku 2015 proti tomuto kvartálu vyšší o 2,8 %, hrubá přidaná hodnota o 2,9 %.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Na růstu HDP v 1. čtvrtletí 2015 o 4,2 % meziročně se podílely především</w:t>
            </w:r>
            <w:r>
              <w:rPr>
                <w:sz w:val="16"/>
                <w:szCs w:val="16"/>
              </w:rPr>
              <w:t xml:space="preserve"> zásoby. Nebýt jejich vlivu, růst HDP by byl zhruba poloviční. </w:t>
            </w:r>
            <w:r w:rsidRPr="0002540B">
              <w:rPr>
                <w:sz w:val="16"/>
                <w:szCs w:val="16"/>
              </w:rPr>
              <w:t>Platilo to v pojetí klasickém, …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2540B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02540B">
              <w:rPr>
                <w:spacing w:val="-4"/>
              </w:rPr>
              <w:t>K růstu HDP v 1. čtvrtletí 2015 o 4,2 % meziročně přispěly pozitivně všechny významné složky domácí poptávky</w:t>
            </w:r>
            <w:r w:rsidRPr="0002540B">
              <w:rPr>
                <w:rStyle w:val="Znakapoznpodarou"/>
                <w:spacing w:val="-4"/>
              </w:rPr>
              <w:footnoteReference w:id="2"/>
            </w:r>
            <w:r w:rsidRPr="0002540B">
              <w:rPr>
                <w:spacing w:val="-4"/>
              </w:rPr>
              <w:t>. Výdaje na konečnou spotřebu domácností působily ve směru růstu už</w:t>
            </w:r>
            <w:r>
              <w:rPr>
                <w:spacing w:val="-4"/>
              </w:rPr>
              <w:t xml:space="preserve"> posedmé</w:t>
            </w:r>
            <w:r w:rsidRPr="0002540B">
              <w:rPr>
                <w:spacing w:val="-4"/>
              </w:rPr>
              <w:t xml:space="preserve"> (+1,4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>.), výdaje na konečnou spotřebu vládních </w:t>
            </w:r>
            <w:r>
              <w:rPr>
                <w:spacing w:val="-4"/>
              </w:rPr>
              <w:t>institucí dokonce podesáté</w:t>
            </w:r>
            <w:r w:rsidRPr="0002540B">
              <w:rPr>
                <w:spacing w:val="-4"/>
              </w:rPr>
              <w:t xml:space="preserve"> (+0,3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.).  Přetrvala i vyšší poptávka po investicích (+0,8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.). </w:t>
            </w:r>
            <w:r w:rsidRPr="0002540B">
              <w:rPr>
                <w:spacing w:val="-6"/>
              </w:rPr>
              <w:t xml:space="preserve">Na rozdíl od předchozího čtvrtletí se na růstu podílely také </w:t>
            </w:r>
            <w:r>
              <w:rPr>
                <w:spacing w:val="-6"/>
              </w:rPr>
              <w:t>zásoby. Jejich nárůst byl</w:t>
            </w:r>
            <w:r w:rsidRPr="0002540B">
              <w:rPr>
                <w:spacing w:val="-6"/>
              </w:rPr>
              <w:t xml:space="preserve"> mohutný, </w:t>
            </w:r>
            <w:r>
              <w:rPr>
                <w:spacing w:val="-6"/>
              </w:rPr>
              <w:t xml:space="preserve">a logicky tedy i </w:t>
            </w:r>
            <w:r w:rsidRPr="0002540B">
              <w:rPr>
                <w:spacing w:val="-6"/>
              </w:rPr>
              <w:t xml:space="preserve">příspěvek </w:t>
            </w:r>
            <w:r>
              <w:rPr>
                <w:spacing w:val="-6"/>
              </w:rPr>
              <w:t>(</w:t>
            </w:r>
            <w:r w:rsidRPr="0002540B">
              <w:rPr>
                <w:spacing w:val="-6"/>
              </w:rPr>
              <w:t xml:space="preserve">+2,2 </w:t>
            </w:r>
            <w:proofErr w:type="spellStart"/>
            <w:r w:rsidRPr="0002540B">
              <w:rPr>
                <w:spacing w:val="-6"/>
              </w:rPr>
              <w:t>pb</w:t>
            </w:r>
            <w:proofErr w:type="spellEnd"/>
            <w:r w:rsidRPr="0002540B">
              <w:rPr>
                <w:spacing w:val="-6"/>
              </w:rPr>
              <w:t>.</w:t>
            </w:r>
            <w:r>
              <w:rPr>
                <w:spacing w:val="-6"/>
              </w:rPr>
              <w:t xml:space="preserve">). Co se týče výsledku zahraničního obchodu, v reálném vyjádření byl meziročně slabší – stejně jako tomu bylo po většinu roku 2014 – a růst ekonomiky tak brzdil. Přispěl -0,5 </w:t>
            </w:r>
            <w:proofErr w:type="spellStart"/>
            <w:r>
              <w:rPr>
                <w:spacing w:val="-6"/>
              </w:rPr>
              <w:t>pb</w:t>
            </w:r>
            <w:proofErr w:type="spellEnd"/>
            <w:r>
              <w:rPr>
                <w:spacing w:val="-6"/>
              </w:rPr>
              <w:t>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 xml:space="preserve">… ale také v pojetí modifikovaném, tedy po vyloučení dovozu určeného pro konečné užití 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2540B" w:rsidRDefault="007D4281" w:rsidP="007D4281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  <w:r w:rsidRPr="0002540B">
              <w:rPr>
                <w:spacing w:val="-4"/>
              </w:rPr>
              <w:t>Pokud z celkového objemu dovozu zboží a služeb do ČR vyloučíme dovoz určený pro konečné užití, pak jsou příspěvky jednotlivých složek poptávky k růstu HDP odlišné. Výdaje domácností a investice – které jsou dovozně velmi náročné – se na meziročním růstu HDP v 1. čtvrtletí 2015 v tomto modifikovaném pojetí podílely pouze +0,8 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., respektive +0,3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 Výdaje vládních institucí přidaly +0,2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 Příspěvek ze strany zásob – vzhledem k tomu, že byly navyšovány především z domácích zdrojů – se téměř nezměnil a byl hlavním faktorem růstu i v tomto modifikovaném pojetí (+2,1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 xml:space="preserve">.). Rozdíl mezi vývozem a dovozem, který ovšem nezahrnuje dovoz určený pro konečné užití, k růstu ekonomiky přispěl +0,8 </w:t>
            </w:r>
            <w:proofErr w:type="spellStart"/>
            <w:r w:rsidRPr="0002540B">
              <w:rPr>
                <w:spacing w:val="-4"/>
              </w:rPr>
              <w:t>pb</w:t>
            </w:r>
            <w:proofErr w:type="spellEnd"/>
            <w:r w:rsidRPr="0002540B">
              <w:rPr>
                <w:spacing w:val="-4"/>
              </w:rPr>
              <w:t>.</w:t>
            </w:r>
          </w:p>
        </w:tc>
      </w:tr>
      <w:tr w:rsidR="007D4281" w:rsidRPr="0002540B" w:rsidTr="007D4281">
        <w:tc>
          <w:tcPr>
            <w:tcW w:w="1054" w:type="pct"/>
          </w:tcPr>
          <w:p w:rsidR="007D4281" w:rsidRPr="000672C7" w:rsidRDefault="007D4281" w:rsidP="007D4281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0672C7">
              <w:rPr>
                <w:spacing w:val="-4"/>
                <w:sz w:val="16"/>
                <w:szCs w:val="16"/>
              </w:rPr>
              <w:t>Výdaje na konečnou spotřebu domácností stouply v 1. čtvrtletí 2015 o 3,0 % meziročně. Vysoký přírůstek byl odrazem dále se zvyšujících příjmů, …</w:t>
            </w:r>
          </w:p>
        </w:tc>
        <w:tc>
          <w:tcPr>
            <w:tcW w:w="143" w:type="pct"/>
          </w:tcPr>
          <w:p w:rsidR="007D4281" w:rsidRPr="000672C7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672C7" w:rsidRDefault="007D4281" w:rsidP="007D4281">
            <w:pPr>
              <w:pStyle w:val="Textpoznpodarou"/>
              <w:jc w:val="both"/>
            </w:pPr>
            <w:r w:rsidRPr="000672C7">
              <w:rPr>
                <w:spacing w:val="-2"/>
              </w:rPr>
              <w:t xml:space="preserve">Nadále narůstající příjmy domácností – na které poukazují reálně se zvyšující mzdy v podnikatelské i v </w:t>
            </w:r>
            <w:proofErr w:type="spellStart"/>
            <w:r w:rsidRPr="000672C7">
              <w:rPr>
                <w:spacing w:val="-2"/>
              </w:rPr>
              <w:t>nepodnikatelské</w:t>
            </w:r>
            <w:proofErr w:type="spellEnd"/>
            <w:r w:rsidRPr="000672C7">
              <w:rPr>
                <w:spacing w:val="-2"/>
              </w:rPr>
              <w:t xml:space="preserve"> sféře (+2,0 %, respektive +2,8 % meziročně),</w:t>
            </w:r>
            <w:r w:rsidRPr="000672C7">
              <w:t xml:space="preserve"> ale také stoupající počty zaměstnaných osob (dle národních účtů +1,1 %) – </w:t>
            </w:r>
            <w:r w:rsidRPr="000672C7">
              <w:rPr>
                <w:spacing w:val="-2"/>
              </w:rPr>
              <w:t>se promítaly do rostoucích výdajů na konečnou spotřebu i v 1. čtvrtletí 2015. Zvýšily se o rovná 3 %, nejvíce od posledního čtvrtletí 2008.</w:t>
            </w:r>
          </w:p>
          <w:p w:rsidR="007D4281" w:rsidRPr="00840E05" w:rsidRDefault="007D4281" w:rsidP="007D4281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7D4281" w:rsidRPr="0002540B" w:rsidTr="007D4281">
        <w:trPr>
          <w:trHeight w:val="1320"/>
        </w:trPr>
        <w:tc>
          <w:tcPr>
            <w:tcW w:w="1054" w:type="pct"/>
          </w:tcPr>
          <w:p w:rsidR="007D4281" w:rsidRPr="000672C7" w:rsidRDefault="007D4281" w:rsidP="007D428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7D4281" w:rsidRPr="000672C7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672C7" w:rsidRDefault="007D4281" w:rsidP="007D4281">
            <w:pPr>
              <w:pStyle w:val="Textpoznpodarou"/>
              <w:jc w:val="both"/>
            </w:pPr>
            <w:r w:rsidRPr="000672C7">
              <w:t>To, jak jsou domácnosti schopné vydávat prostředky na běžné nákupy zboží a služeb, je dáno zejména jejich příjmy. Důležitá je ale také ochota utrácet. A ta je ovlivňována především náladami. V nich se zrcadlí zkušenosti spotřebitelů s aktuální situací na trhu práce, očekávání ohledně budoucnosti, ale také například to, jakým způsobem vyhodnocují informace přicházející z médií.</w:t>
            </w:r>
          </w:p>
          <w:p w:rsidR="007D4281" w:rsidRPr="000672C7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672C7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672C7">
              <w:rPr>
                <w:sz w:val="16"/>
                <w:szCs w:val="16"/>
              </w:rPr>
              <w:t>… ale také zlepšujících se nálad</w:t>
            </w:r>
          </w:p>
        </w:tc>
        <w:tc>
          <w:tcPr>
            <w:tcW w:w="143" w:type="pct"/>
          </w:tcPr>
          <w:p w:rsidR="007D4281" w:rsidRPr="000672C7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672C7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0672C7">
              <w:rPr>
                <w:spacing w:val="-4"/>
              </w:rPr>
              <w:t xml:space="preserve">Jak plyne z indikátoru důvěry spotřebitelů, na přelomu roku 2014 a 2015 nálady </w:t>
            </w:r>
            <w:r w:rsidRPr="000672C7">
              <w:rPr>
                <w:spacing w:val="-2"/>
              </w:rPr>
              <w:t>vystoupaly až na úroveň sr</w:t>
            </w:r>
            <w:r>
              <w:rPr>
                <w:spacing w:val="-2"/>
              </w:rPr>
              <w:t>ovnatelnou s počátkem roku 2007, a p</w:t>
            </w:r>
            <w:r w:rsidRPr="000672C7">
              <w:rPr>
                <w:spacing w:val="-2"/>
              </w:rPr>
              <w:t>řestože se v únoru začaly</w:t>
            </w:r>
            <w:r>
              <w:rPr>
                <w:spacing w:val="-2"/>
              </w:rPr>
              <w:t xml:space="preserve"> pozvolna</w:t>
            </w:r>
            <w:r w:rsidRPr="000672C7">
              <w:rPr>
                <w:spacing w:val="-2"/>
              </w:rPr>
              <w:t xml:space="preserve"> snižovat, v meziročním srovnání setrvávaly vyšší </w:t>
            </w:r>
            <w:r>
              <w:rPr>
                <w:spacing w:val="-2"/>
              </w:rPr>
              <w:t xml:space="preserve">i </w:t>
            </w:r>
            <w:r w:rsidRPr="000672C7">
              <w:rPr>
                <w:spacing w:val="-2"/>
              </w:rPr>
              <w:t>nadále.</w:t>
            </w:r>
            <w:r>
              <w:rPr>
                <w:spacing w:val="-2"/>
              </w:rPr>
              <w:t xml:space="preserve"> I nálady tedy ovlivňovaly spotřebu pozitivně.</w:t>
            </w:r>
          </w:p>
          <w:p w:rsidR="007D4281" w:rsidRPr="000672C7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Vyšší výdaje především na předměty dlouhodobé spotřeby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443721" w:rsidRDefault="007D4281" w:rsidP="007D4281">
            <w:pPr>
              <w:pStyle w:val="Textpoznpodarou"/>
              <w:jc w:val="both"/>
              <w:rPr>
                <w:spacing w:val="-6"/>
              </w:rPr>
            </w:pPr>
            <w:r w:rsidRPr="00443721">
              <w:rPr>
                <w:spacing w:val="-6"/>
              </w:rPr>
              <w:t>Ze struktury výdajů na konečnou spotřebu domácností podle trvanlivosti</w:t>
            </w:r>
            <w:r w:rsidRPr="00443721">
              <w:rPr>
                <w:rStyle w:val="Znakapoznpodarou"/>
                <w:spacing w:val="-6"/>
              </w:rPr>
              <w:footnoteReference w:id="3"/>
            </w:r>
            <w:r w:rsidRPr="00443721">
              <w:rPr>
                <w:spacing w:val="-6"/>
              </w:rPr>
              <w:t xml:space="preserve"> je zřejmé, že v 1. čtvrtletí 2015 stouply především výdaje na předměty dlouhodobé spotřeby (+9,2 % meziročně). Výrazně méně se již ale zvýšily nákupy předmětů krátkodobé spotřeby (+3,2 %) </w:t>
            </w:r>
            <w:r>
              <w:rPr>
                <w:spacing w:val="-6"/>
              </w:rPr>
              <w:t>a</w:t>
            </w:r>
            <w:r w:rsidRPr="00443721">
              <w:rPr>
                <w:spacing w:val="-6"/>
              </w:rPr>
              <w:t> střednědobé spotřeby (+2,8 %). Výdaje na služby vzrostly jen o 1,2 %.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Výdaje vládních institucí rostou v meziročním srovnání i nadále, jejich růstové efekty nicméně oslabily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2540B" w:rsidRDefault="007D4281" w:rsidP="007D4281">
            <w:pPr>
              <w:pStyle w:val="Textpoznpodarou"/>
              <w:jc w:val="both"/>
            </w:pPr>
            <w:r w:rsidRPr="0002540B">
              <w:t xml:space="preserve">Výdaje na konečnou spotřebu vládních institucí se po </w:t>
            </w:r>
            <w:r>
              <w:t>výstředním</w:t>
            </w:r>
            <w:r w:rsidRPr="0002540B">
              <w:t xml:space="preserve"> nárůstu v posledním čtvrtletí 2014 (+4,2 % meziročně) vrátily k  dynamice střídmější. Stouply o 1,5 %, v rámci posledních deseti čtvrtletí – kdy kontinuálně rostly – spíše podprůměrně. Pokud tento vývoj přetrvá, a přitom ekonomika poroste i nadále tempy srovnatelnými s přírůstky z roku 2014 a počátku roku 2015, pak </w:t>
            </w:r>
            <w:r>
              <w:t xml:space="preserve">ho </w:t>
            </w:r>
            <w:r w:rsidRPr="0002540B">
              <w:t>lze považovat spíše za příznivý. Plynou z něho totiž menší nároky na potřebu externího financování, a tedy i růst vládního dluhu.</w:t>
            </w:r>
          </w:p>
          <w:p w:rsidR="007D4281" w:rsidRPr="0002540B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02540B">
              <w:rPr>
                <w:sz w:val="16"/>
                <w:szCs w:val="16"/>
              </w:rPr>
              <w:t>Vysoký nárůst zisků nefinančních podniků, ke kterému došlo v roce 2014, se do vyšší dynamiky investic v 1. čtvrtletí 2015 nepromítnul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C86AFC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C86AFC">
              <w:rPr>
                <w:spacing w:val="-4"/>
              </w:rPr>
              <w:t xml:space="preserve">Investice, tedy tvorba hrubého fixního kapitálu, se v 1. čtvrtletí 2015 zvýšily meziročně již popáté, </w:t>
            </w:r>
            <w:proofErr w:type="spellStart"/>
            <w:r w:rsidRPr="00C86AFC">
              <w:rPr>
                <w:spacing w:val="-4"/>
              </w:rPr>
              <w:t>mezikvartálně</w:t>
            </w:r>
            <w:proofErr w:type="spellEnd"/>
            <w:r w:rsidRPr="00C86AFC">
              <w:rPr>
                <w:spacing w:val="-4"/>
              </w:rPr>
              <w:t xml:space="preserve"> dokonce posedmé. Velikost jejich přírůstku se ale zmenšila – v meziročním srovnání stouply o 3,2 % (ve 4. čtvrtletí 2014 o 4,3 %), </w:t>
            </w:r>
            <w:proofErr w:type="spellStart"/>
            <w:r w:rsidRPr="00C86AFC">
              <w:rPr>
                <w:spacing w:val="-4"/>
              </w:rPr>
              <w:t>mezičtvrtletně</w:t>
            </w:r>
            <w:proofErr w:type="spellEnd"/>
            <w:r w:rsidRPr="00C86AFC">
              <w:rPr>
                <w:spacing w:val="-4"/>
              </w:rPr>
              <w:t xml:space="preserve"> o 0,2 % (ve 4. čtvrtletí 2014 o 1,2 %). Investiční potenciál, který vyplynul z mimořádně vysokých zisků nefinančních podniků v loňském roce, tak nebyl vyčerpán. „Volné prostředky“ mohou být zužitkovány ve čtvrtletích nadcházejících.</w:t>
            </w:r>
          </w:p>
          <w:p w:rsidR="007D4281" w:rsidRPr="00840E05" w:rsidRDefault="007D4281" w:rsidP="007D4281">
            <w:pPr>
              <w:pStyle w:val="Textpoznpodarou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Středem zájmu především dopravní prostředky a zařízení, ale také stavby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840E05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840E05">
              <w:rPr>
                <w:spacing w:val="-2"/>
              </w:rPr>
              <w:t>Z věcného členění investic je patrné, že v 1. čtvrtletí se zvýšila především poptávka po dopravních prostředcích a zařízeních (+12,1 % meziročně</w:t>
            </w:r>
            <w:r w:rsidRPr="00840E05">
              <w:rPr>
                <w:spacing w:val="-2"/>
                <w:lang w:val="en-US"/>
              </w:rPr>
              <w:t xml:space="preserve">, </w:t>
            </w:r>
            <w:r w:rsidRPr="00840E05">
              <w:rPr>
                <w:spacing w:val="-2"/>
              </w:rPr>
              <w:t>bez sezónního očištění). Přírůstek investic do ICT, strojů a zařízení po velmi pěkném výsledku za</w:t>
            </w:r>
            <w:r>
              <w:rPr>
                <w:spacing w:val="-2"/>
              </w:rPr>
              <w:t> </w:t>
            </w:r>
            <w:r w:rsidRPr="00840E05">
              <w:rPr>
                <w:spacing w:val="-2"/>
              </w:rPr>
              <w:t>celý rok 2014 (+6,8 %) oslabil (+0,9 %), do produktů duševního vlastnictví se investovalo dokonce méně (v roce 2014 +3,3 %, v 1. čtvrtletí 2015 -1,6 %). Pokračující intenzivní výstavba inženýrských děl financovaných z veřejných peněz se nadále příznivě promítala v přírůstcích investic do budov a staveb (+4,5 %). Investice do staveb pro bydlení, které v úhrnu za tři roky 2011-2013 klesly o 9,1 % a v roce 2014 pouze stagnovaly, již</w:t>
            </w:r>
            <w:r>
              <w:rPr>
                <w:spacing w:val="-2"/>
              </w:rPr>
              <w:t xml:space="preserve"> v</w:t>
            </w:r>
            <w:r w:rsidRPr="00840E05">
              <w:rPr>
                <w:spacing w:val="-2"/>
              </w:rPr>
              <w:t xml:space="preserve"> 1. čtvrtletí 2015 – patrně i díky trvajícímu růstu příjmů domácností –</w:t>
            </w:r>
            <w:r>
              <w:rPr>
                <w:spacing w:val="-2"/>
              </w:rPr>
              <w:t xml:space="preserve"> </w:t>
            </w:r>
            <w:r w:rsidRPr="00840E05">
              <w:rPr>
                <w:spacing w:val="-2"/>
              </w:rPr>
              <w:t>stouply (+3,0 %).</w:t>
            </w:r>
          </w:p>
          <w:p w:rsidR="007D4281" w:rsidRPr="00840E05" w:rsidRDefault="007D4281" w:rsidP="007D4281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zásob na skladech stoupla během 1. čtvrtletí 2015 o 20,6 mld. korun nominálně. Jednalo se o nejsilnější „naskladňování“ od konce roku 2008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500998">
              <w:rPr>
                <w:spacing w:val="-2"/>
              </w:rPr>
              <w:t>Klíčovým faktorem růstu české ekonomiky na počátku letošního roku</w:t>
            </w:r>
            <w:r>
              <w:rPr>
                <w:spacing w:val="-2"/>
              </w:rPr>
              <w:t xml:space="preserve"> </w:t>
            </w:r>
            <w:r w:rsidRPr="00500998">
              <w:rPr>
                <w:spacing w:val="-2"/>
              </w:rPr>
              <w:t xml:space="preserve">byly zásoby. </w:t>
            </w:r>
            <w:r>
              <w:rPr>
                <w:spacing w:val="-2"/>
              </w:rPr>
              <w:t>Zatímco</w:t>
            </w:r>
            <w:r w:rsidRPr="00500998">
              <w:rPr>
                <w:spacing w:val="-2"/>
              </w:rPr>
              <w:t xml:space="preserve"> během prvních tří měsíců roku 2014 hodnota</w:t>
            </w:r>
            <w:r>
              <w:rPr>
                <w:spacing w:val="-2"/>
              </w:rPr>
              <w:t xml:space="preserve"> zásob na skladech</w:t>
            </w:r>
            <w:r w:rsidRPr="00500998">
              <w:rPr>
                <w:spacing w:val="-2"/>
              </w:rPr>
              <w:t xml:space="preserve"> klesla nominálně o 2,8 mld. korun, v 1. čtvrtletí 2015</w:t>
            </w:r>
            <w:r>
              <w:rPr>
                <w:spacing w:val="-2"/>
              </w:rPr>
              <w:t xml:space="preserve"> došlo k opaku –</w:t>
            </w:r>
            <w:r w:rsidRPr="00500998">
              <w:rPr>
                <w:spacing w:val="-2"/>
              </w:rPr>
              <w:t xml:space="preserve"> o 20,6 mld. korun stoupla. Jestliže se</w:t>
            </w:r>
            <w:r>
              <w:rPr>
                <w:spacing w:val="-2"/>
              </w:rPr>
              <w:t xml:space="preserve"> obdobný</w:t>
            </w:r>
            <w:r w:rsidRPr="00500998">
              <w:rPr>
                <w:spacing w:val="-2"/>
              </w:rPr>
              <w:t xml:space="preserve"> nárůst v dalších čtvrtletích již opakovat nebude, což je vzhledem k jeho mimořádnému rozměru pravděpodobné, </w:t>
            </w:r>
            <w:r>
              <w:rPr>
                <w:spacing w:val="-2"/>
              </w:rPr>
              <w:t xml:space="preserve">kladný </w:t>
            </w:r>
            <w:r w:rsidRPr="00500998">
              <w:rPr>
                <w:spacing w:val="-2"/>
              </w:rPr>
              <w:t>příspěvek k</w:t>
            </w:r>
            <w:r>
              <w:rPr>
                <w:spacing w:val="-2"/>
              </w:rPr>
              <w:t> </w:t>
            </w:r>
            <w:r w:rsidRPr="00500998">
              <w:rPr>
                <w:spacing w:val="-2"/>
              </w:rPr>
              <w:t>růstu</w:t>
            </w:r>
            <w:r>
              <w:rPr>
                <w:spacing w:val="-2"/>
              </w:rPr>
              <w:t xml:space="preserve"> ekonomiky</w:t>
            </w:r>
            <w:r w:rsidRPr="00500998">
              <w:rPr>
                <w:spacing w:val="-2"/>
              </w:rPr>
              <w:t xml:space="preserve"> ze strany </w:t>
            </w:r>
            <w:r>
              <w:rPr>
                <w:spacing w:val="-2"/>
              </w:rPr>
              <w:t>zásob</w:t>
            </w:r>
            <w:r w:rsidRPr="00500998">
              <w:rPr>
                <w:spacing w:val="-2"/>
              </w:rPr>
              <w:t xml:space="preserve"> </w:t>
            </w:r>
            <w:r>
              <w:rPr>
                <w:spacing w:val="-2"/>
              </w:rPr>
              <w:t>oslabí, a p</w:t>
            </w:r>
            <w:r w:rsidRPr="00500998">
              <w:rPr>
                <w:spacing w:val="-2"/>
              </w:rPr>
              <w:t xml:space="preserve">okud </w:t>
            </w:r>
            <w:r>
              <w:rPr>
                <w:spacing w:val="-2"/>
              </w:rPr>
              <w:t>jej</w:t>
            </w:r>
            <w:r w:rsidRPr="00500998">
              <w:rPr>
                <w:spacing w:val="-2"/>
              </w:rPr>
              <w:t xml:space="preserve"> nebude </w:t>
            </w:r>
            <w:r>
              <w:rPr>
                <w:spacing w:val="-2"/>
              </w:rPr>
              <w:t>„</w:t>
            </w:r>
            <w:r w:rsidRPr="00500998">
              <w:rPr>
                <w:spacing w:val="-2"/>
              </w:rPr>
              <w:t>suplovat</w:t>
            </w:r>
            <w:r>
              <w:rPr>
                <w:spacing w:val="-2"/>
              </w:rPr>
              <w:t>“</w:t>
            </w:r>
            <w:r w:rsidRPr="00500998">
              <w:rPr>
                <w:spacing w:val="-2"/>
              </w:rPr>
              <w:t xml:space="preserve"> jiná</w:t>
            </w:r>
            <w:r>
              <w:rPr>
                <w:spacing w:val="-2"/>
              </w:rPr>
              <w:t xml:space="preserve"> složka poptávky</w:t>
            </w:r>
            <w:r w:rsidRPr="00500998">
              <w:rPr>
                <w:spacing w:val="-2"/>
              </w:rPr>
              <w:t>, pak oslabí také</w:t>
            </w:r>
            <w:r>
              <w:rPr>
                <w:spacing w:val="-2"/>
              </w:rPr>
              <w:t xml:space="preserve"> vlastní</w:t>
            </w:r>
            <w:r w:rsidRPr="00500998">
              <w:rPr>
                <w:spacing w:val="-2"/>
              </w:rPr>
              <w:t xml:space="preserve"> </w:t>
            </w:r>
            <w:r>
              <w:rPr>
                <w:spacing w:val="-2"/>
              </w:rPr>
              <w:t>hospodářský</w:t>
            </w:r>
            <w:r w:rsidRPr="00500998">
              <w:rPr>
                <w:spacing w:val="-2"/>
              </w:rPr>
              <w:t xml:space="preserve"> růst.</w:t>
            </w:r>
          </w:p>
          <w:p w:rsidR="007D4281" w:rsidRPr="00402AFE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Pr="003076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 w:rsidRPr="0030760B">
              <w:rPr>
                <w:sz w:val="16"/>
                <w:szCs w:val="16"/>
              </w:rPr>
              <w:t>Předstih meziročního tempa růstu dovozu zboží a služeb oproti vývozu trval již čtyři čtvrtletí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3E78C2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3E78C2">
              <w:rPr>
                <w:spacing w:val="-4"/>
              </w:rPr>
              <w:t xml:space="preserve">Jestliže se zlepšující ekonomický vývoj v zemích platícím eurem, zejména ale v Německu, přenášel do rostoucí poptávky po tuzemském zboží a službách i v 1. čtvrtletí 2015 (vývoz narostl meziročně o 7,7 % reálně), pro hospodářský vývoj v tuzemsku a s ním spjatou poptávku po produktech pocházejících ze zahraničí to platilo „dvojnásob“ (dovoz stoupl reálně o 9,0 %). </w:t>
            </w:r>
            <w:r w:rsidRPr="003E78C2">
              <w:rPr>
                <w:spacing w:val="-2"/>
              </w:rPr>
              <w:t>Síla tuzemské poptávky pramenící především z rostoucí spotřeby domácností a investic, ale také zvyšujících se nároků zpracovatelského průmyslu na vstupy, byla neoddiskutovatelná. Předstih tempa růstu dovozu oproti vývozu trval již čtyři čtvrtletí.</w:t>
            </w:r>
          </w:p>
          <w:p w:rsidR="007D4281" w:rsidRPr="00E16FBE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Přebytek zahraničního obchodu se zbožím v nominálním vyjádření se meziročně zlepšil, v případě obchodu </w:t>
            </w:r>
            <w:r w:rsidRPr="005524AE">
              <w:rPr>
                <w:spacing w:val="-2"/>
                <w:sz w:val="16"/>
                <w:szCs w:val="16"/>
              </w:rPr>
              <w:t>se službami došlo k opaku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0672C7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0672C7">
              <w:rPr>
                <w:spacing w:val="-4"/>
              </w:rPr>
              <w:t>Přebytek zahraničního obchodu se zbožím v pojetí národních účtů vystoupal v 1. čtvrtletí 2015 na 72,0 mld. korun nominálně (meziročně +2,0 mld. korun), avšak převaha vývozu služeb nad jejich dovozem se zmenšila na 15,6 mld. korun (-2,3 mld. korun). Zatímco tak bilance zahraničního obchodu ve zboží narostla již pošestnácté za sebou, přebytek zahraničního obchodu se službami se popáté zmenšil.</w:t>
            </w:r>
          </w:p>
          <w:p w:rsidR="007D4281" w:rsidRPr="00FD74FB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Meziroční růst ekonomiky v 1. čtvrtletí byl rozložen mezi široké spektrum odvětví. Přispěl k němu pozitivně zpracovatelský průmysl, jednotlivé segmenty služeb, stavebnictví, ale také shluk odvětví zahrnující zemědělství, lesnictví a rybářství</w:t>
            </w:r>
          </w:p>
        </w:tc>
        <w:tc>
          <w:tcPr>
            <w:tcW w:w="143" w:type="pct"/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D4281" w:rsidRPr="007B731B" w:rsidRDefault="007D4281" w:rsidP="007D4281">
            <w:pPr>
              <w:pStyle w:val="Textpoznpodarou"/>
              <w:jc w:val="both"/>
              <w:rPr>
                <w:spacing w:val="-6"/>
              </w:rPr>
            </w:pPr>
            <w:r w:rsidRPr="00443721">
              <w:t xml:space="preserve">Přestože se na růstu hrubé přidané hodnoty v 1. čtvrtletí 2015 o 3,8 % meziročně podílel především zpracovatelský průmysl (+1,8 </w:t>
            </w:r>
            <w:proofErr w:type="spellStart"/>
            <w:r w:rsidRPr="00443721">
              <w:t>pb</w:t>
            </w:r>
            <w:proofErr w:type="spellEnd"/>
            <w:r w:rsidRPr="00443721">
              <w:t xml:space="preserve">.), stejně jako tomu bylo v každém jednotlivém čtvrtletí roku 2014, přispěly k němu pozitivně i další odvětví ekonomiky. Zemědělství, lesnictví a rybářství společně přispěly +0,1 </w:t>
            </w:r>
            <w:proofErr w:type="spellStart"/>
            <w:r w:rsidRPr="00443721">
              <w:t>pb</w:t>
            </w:r>
            <w:proofErr w:type="spellEnd"/>
            <w:r w:rsidRPr="00443721">
              <w:t xml:space="preserve">., stejně tak stavebnictví. </w:t>
            </w:r>
            <w:r w:rsidRPr="00A52CB8">
              <w:rPr>
                <w:spacing w:val="-2"/>
              </w:rPr>
              <w:t xml:space="preserve">Soubor odvětví zahrnující obchod, dopravu, ubytování a pohostinství přidal +0,6 </w:t>
            </w:r>
            <w:proofErr w:type="spellStart"/>
            <w:r w:rsidRPr="00A52CB8">
              <w:rPr>
                <w:spacing w:val="-2"/>
              </w:rPr>
              <w:t>pb</w:t>
            </w:r>
            <w:proofErr w:type="spellEnd"/>
            <w:r w:rsidRPr="00A52CB8">
              <w:rPr>
                <w:spacing w:val="-2"/>
              </w:rPr>
              <w:t>., odvětví s převahou veřejného sektoru (CZ-NACE O-Q)</w:t>
            </w:r>
            <w:r w:rsidRPr="00443721">
              <w:t xml:space="preserve"> +0,4 </w:t>
            </w:r>
            <w:proofErr w:type="spellStart"/>
            <w:r w:rsidRPr="00443721">
              <w:t>pb</w:t>
            </w:r>
            <w:proofErr w:type="spellEnd"/>
            <w:r w:rsidRPr="00443721">
              <w:t xml:space="preserve">. a činnosti v oblasti nemovitostí +0,3 </w:t>
            </w:r>
            <w:proofErr w:type="spellStart"/>
            <w:r w:rsidRPr="00443721">
              <w:t>pb</w:t>
            </w:r>
            <w:proofErr w:type="spellEnd"/>
            <w:r w:rsidRPr="00443721">
              <w:t xml:space="preserve">. </w:t>
            </w:r>
            <w:r>
              <w:t>Zbývající odvětví spadající</w:t>
            </w:r>
            <w:r w:rsidRPr="00443721">
              <w:t xml:space="preserve"> do terciárního sektoru se na růstu ekonomiky podílely +0,5 </w:t>
            </w:r>
            <w:proofErr w:type="spellStart"/>
            <w:r w:rsidRPr="00443721">
              <w:t>pb</w:t>
            </w:r>
            <w:proofErr w:type="spellEnd"/>
            <w:r w:rsidRPr="00443721">
              <w:t>. P</w:t>
            </w:r>
            <w:r w:rsidRPr="00A52CB8">
              <w:rPr>
                <w:spacing w:val="-2"/>
              </w:rPr>
              <w:t>ozitivem bylo také to, že soubor „nezpracovatelských průmyslových odvětví“ – to znamená energetiky, těžby a dobývání, zásobování vodou – se již vymanil z</w:t>
            </w:r>
            <w:r>
              <w:rPr>
                <w:spacing w:val="-2"/>
              </w:rPr>
              <w:t xml:space="preserve"> dlouhotrvajícího</w:t>
            </w:r>
            <w:r w:rsidRPr="00A52CB8">
              <w:rPr>
                <w:spacing w:val="-2"/>
              </w:rPr>
              <w:t> </w:t>
            </w:r>
            <w:r>
              <w:rPr>
                <w:spacing w:val="-2"/>
              </w:rPr>
              <w:t>poklesu</w:t>
            </w:r>
            <w:r w:rsidRPr="00A52CB8">
              <w:rPr>
                <w:spacing w:val="-2"/>
              </w:rPr>
              <w:t>. K růstu ekonomiky sice nic nepřidal, její růst ale ani nebrzdil</w:t>
            </w:r>
            <w:r w:rsidRPr="007B731B">
              <w:rPr>
                <w:spacing w:val="-6"/>
              </w:rPr>
              <w:t>.</w:t>
            </w:r>
          </w:p>
        </w:tc>
      </w:tr>
    </w:tbl>
    <w:p w:rsidR="007D4281" w:rsidRPr="0035009C" w:rsidRDefault="007D4281" w:rsidP="007D4281">
      <w:pPr>
        <w:rPr>
          <w:sz w:val="16"/>
          <w:szCs w:val="16"/>
          <w:lang w:eastAsia="ar-SA"/>
        </w:rPr>
      </w:pPr>
    </w:p>
    <w:tbl>
      <w:tblPr>
        <w:tblW w:w="5000" w:type="pct"/>
        <w:tblLook w:val="04A0"/>
      </w:tblPr>
      <w:tblGrid>
        <w:gridCol w:w="1056"/>
        <w:gridCol w:w="3871"/>
        <w:gridCol w:w="622"/>
        <w:gridCol w:w="4305"/>
      </w:tblGrid>
      <w:tr w:rsidR="007D4281" w:rsidRPr="0002540B" w:rsidTr="007D4281">
        <w:tc>
          <w:tcPr>
            <w:tcW w:w="536" w:type="pct"/>
          </w:tcPr>
          <w:p w:rsidR="007D4281" w:rsidRPr="0002540B" w:rsidRDefault="007D4281" w:rsidP="007D4281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>Graf č. 1</w:t>
            </w:r>
          </w:p>
        </w:tc>
        <w:tc>
          <w:tcPr>
            <w:tcW w:w="1965" w:type="pct"/>
          </w:tcPr>
          <w:p w:rsidR="007D4281" w:rsidRPr="0002540B" w:rsidRDefault="007D4281" w:rsidP="007D4281">
            <w:pPr>
              <w:pStyle w:val="Textpoznpodarou"/>
              <w:rPr>
                <w:lang w:eastAsia="en-US"/>
              </w:rPr>
            </w:pPr>
            <w:r w:rsidRPr="007D4281">
              <w:rPr>
                <w:b/>
                <w:lang w:eastAsia="en-US"/>
              </w:rPr>
              <w:t xml:space="preserve">HDP </w:t>
            </w:r>
            <w:r w:rsidRPr="0002540B">
              <w:rPr>
                <w:lang w:eastAsia="en-US"/>
              </w:rPr>
              <w:t>(stálé ceny, očištěno od sezónnosti a vlivu počtu pracovních dní, v %)</w:t>
            </w:r>
          </w:p>
        </w:tc>
        <w:tc>
          <w:tcPr>
            <w:tcW w:w="315" w:type="pct"/>
          </w:tcPr>
          <w:p w:rsidR="007D4281" w:rsidRPr="0002540B" w:rsidRDefault="007D4281" w:rsidP="007D4281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>Graf č. 2</w:t>
            </w:r>
          </w:p>
        </w:tc>
        <w:tc>
          <w:tcPr>
            <w:tcW w:w="2185" w:type="pct"/>
          </w:tcPr>
          <w:p w:rsidR="007D4281" w:rsidRPr="007D4281" w:rsidRDefault="007D4281" w:rsidP="007D4281">
            <w:pPr>
              <w:pStyle w:val="Textpoznpodarou"/>
              <w:rPr>
                <w:spacing w:val="-2"/>
                <w:lang w:eastAsia="en-US"/>
              </w:rPr>
            </w:pPr>
            <w:r w:rsidRPr="007D4281">
              <w:rPr>
                <w:b/>
                <w:spacing w:val="-2"/>
                <w:lang w:eastAsia="en-US"/>
              </w:rPr>
              <w:t xml:space="preserve">HDP </w:t>
            </w:r>
            <w:r w:rsidRPr="007D4281">
              <w:rPr>
                <w:spacing w:val="-2"/>
                <w:lang w:eastAsia="en-US"/>
              </w:rPr>
              <w:t xml:space="preserve">(stálé ceny, očištěno od sezónnosti a vlivu počtu pracovních dní, y/y v %, pravá osa) </w:t>
            </w:r>
            <w:r w:rsidRPr="007D4281">
              <w:rPr>
                <w:b/>
                <w:spacing w:val="-2"/>
                <w:lang w:eastAsia="en-US"/>
              </w:rPr>
              <w:t>a indikátory důvěry</w:t>
            </w:r>
            <w:r w:rsidRPr="007D4281">
              <w:rPr>
                <w:spacing w:val="-2"/>
                <w:lang w:eastAsia="en-US"/>
              </w:rPr>
              <w:t xml:space="preserve"> (2005=100, levá osa)</w:t>
            </w:r>
          </w:p>
        </w:tc>
      </w:tr>
      <w:tr w:rsidR="007D4281" w:rsidRPr="0002540B" w:rsidTr="007D4281">
        <w:tc>
          <w:tcPr>
            <w:tcW w:w="2501" w:type="pct"/>
            <w:gridSpan w:val="2"/>
          </w:tcPr>
          <w:p w:rsidR="007D4281" w:rsidRPr="0002540B" w:rsidRDefault="0035009C" w:rsidP="007D4281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88.25pt;visibility:visible;mso-wrap-style:square">
                  <v:imagedata r:id="rId8" o:title=""/>
                </v:shape>
              </w:pict>
            </w:r>
          </w:p>
        </w:tc>
        <w:tc>
          <w:tcPr>
            <w:tcW w:w="2499" w:type="pct"/>
            <w:gridSpan w:val="2"/>
          </w:tcPr>
          <w:p w:rsidR="007D4281" w:rsidRPr="0002540B" w:rsidRDefault="0035009C" w:rsidP="007D4281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26" type="#_x0000_t75" style="width:237pt;height:188.25pt;visibility:visible;mso-wrap-style:square">
                  <v:imagedata r:id="rId9" o:title=""/>
                </v:shape>
              </w:pict>
            </w:r>
          </w:p>
        </w:tc>
      </w:tr>
      <w:tr w:rsidR="007D4281" w:rsidRPr="0002540B" w:rsidTr="007D4281">
        <w:tc>
          <w:tcPr>
            <w:tcW w:w="5000" w:type="pct"/>
            <w:gridSpan w:val="4"/>
          </w:tcPr>
          <w:p w:rsidR="007D4281" w:rsidRPr="007D4281" w:rsidRDefault="007D4281" w:rsidP="007D4281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7D4281">
              <w:rPr>
                <w:sz w:val="18"/>
                <w:szCs w:val="18"/>
                <w:lang w:eastAsia="en-US"/>
              </w:rPr>
              <w:t xml:space="preserve">Zdroj: ČSÚ, </w:t>
            </w:r>
            <w:proofErr w:type="spellStart"/>
            <w:r w:rsidRPr="007D4281">
              <w:rPr>
                <w:sz w:val="18"/>
                <w:szCs w:val="18"/>
                <w:lang w:eastAsia="en-US"/>
              </w:rPr>
              <w:t>Eurostat</w:t>
            </w:r>
            <w:proofErr w:type="spellEnd"/>
          </w:p>
        </w:tc>
      </w:tr>
    </w:tbl>
    <w:p w:rsidR="007D4281" w:rsidRPr="0035009C" w:rsidRDefault="007D4281" w:rsidP="007D4281">
      <w:pPr>
        <w:rPr>
          <w:sz w:val="16"/>
          <w:szCs w:val="16"/>
          <w:lang w:eastAsia="ar-SA"/>
        </w:rPr>
      </w:pPr>
    </w:p>
    <w:tbl>
      <w:tblPr>
        <w:tblW w:w="5000" w:type="pct"/>
        <w:tblLook w:val="04A0"/>
      </w:tblPr>
      <w:tblGrid>
        <w:gridCol w:w="632"/>
        <w:gridCol w:w="4285"/>
        <w:gridCol w:w="1007"/>
        <w:gridCol w:w="1396"/>
        <w:gridCol w:w="2534"/>
      </w:tblGrid>
      <w:tr w:rsidR="0035009C" w:rsidRPr="0002540B" w:rsidTr="0035009C">
        <w:tc>
          <w:tcPr>
            <w:tcW w:w="320" w:type="pct"/>
          </w:tcPr>
          <w:p w:rsidR="0035009C" w:rsidRPr="0002540B" w:rsidRDefault="0035009C" w:rsidP="006F7976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>Graf č. 3</w:t>
            </w:r>
          </w:p>
        </w:tc>
        <w:tc>
          <w:tcPr>
            <w:tcW w:w="2175" w:type="pct"/>
          </w:tcPr>
          <w:p w:rsidR="0035009C" w:rsidRPr="007D4281" w:rsidRDefault="0035009C" w:rsidP="006F7976">
            <w:pPr>
              <w:pStyle w:val="Textpoznpodarou"/>
              <w:rPr>
                <w:spacing w:val="-6"/>
                <w:lang w:eastAsia="en-US"/>
              </w:rPr>
            </w:pPr>
            <w:r w:rsidRPr="007D4281">
              <w:rPr>
                <w:b/>
                <w:spacing w:val="-6"/>
                <w:lang w:eastAsia="en-US"/>
              </w:rPr>
              <w:t>Příspěvky výdajových složek ke změně HDP*</w:t>
            </w:r>
            <w:r w:rsidRPr="007D4281">
              <w:rPr>
                <w:spacing w:val="-6"/>
                <w:lang w:eastAsia="en-US"/>
              </w:rPr>
              <w:t xml:space="preserve"> (stálé ceny, y/y, příspěvky v </w:t>
            </w:r>
            <w:proofErr w:type="spellStart"/>
            <w:r w:rsidRPr="007D4281">
              <w:rPr>
                <w:spacing w:val="-6"/>
                <w:lang w:eastAsia="en-US"/>
              </w:rPr>
              <w:t>pb</w:t>
            </w:r>
            <w:proofErr w:type="spellEnd"/>
            <w:r w:rsidRPr="007D4281">
              <w:rPr>
                <w:spacing w:val="-6"/>
                <w:lang w:eastAsia="en-US"/>
              </w:rPr>
              <w:t>., HDP v %)</w:t>
            </w:r>
          </w:p>
        </w:tc>
        <w:tc>
          <w:tcPr>
            <w:tcW w:w="511" w:type="pct"/>
          </w:tcPr>
          <w:p w:rsidR="0035009C" w:rsidRPr="0002540B" w:rsidRDefault="0035009C" w:rsidP="006F7976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>Graf č. 4</w:t>
            </w:r>
          </w:p>
        </w:tc>
        <w:tc>
          <w:tcPr>
            <w:tcW w:w="1994" w:type="pct"/>
            <w:gridSpan w:val="2"/>
          </w:tcPr>
          <w:p w:rsidR="0035009C" w:rsidRPr="0002540B" w:rsidRDefault="0035009C" w:rsidP="006F7976">
            <w:pPr>
              <w:pStyle w:val="Textpoznpodarou"/>
              <w:rPr>
                <w:lang w:eastAsia="en-US"/>
              </w:rPr>
            </w:pPr>
            <w:r w:rsidRPr="007D4281">
              <w:rPr>
                <w:b/>
                <w:lang w:eastAsia="en-US"/>
              </w:rPr>
              <w:t>Příspěvky odvětví ke změně HPH</w:t>
            </w:r>
            <w:r w:rsidRPr="0002540B">
              <w:rPr>
                <w:lang w:eastAsia="en-US"/>
              </w:rPr>
              <w:t xml:space="preserve"> (stálé ceny, y/y, příspěvky v </w:t>
            </w:r>
            <w:proofErr w:type="spellStart"/>
            <w:r w:rsidRPr="0002540B">
              <w:rPr>
                <w:lang w:eastAsia="en-US"/>
              </w:rPr>
              <w:t>pb</w:t>
            </w:r>
            <w:proofErr w:type="spellEnd"/>
            <w:r w:rsidRPr="0002540B">
              <w:rPr>
                <w:lang w:eastAsia="en-US"/>
              </w:rPr>
              <w:t>., HPH v %)</w:t>
            </w:r>
          </w:p>
        </w:tc>
      </w:tr>
      <w:tr w:rsidR="0035009C" w:rsidRPr="0002540B" w:rsidTr="0035009C">
        <w:tc>
          <w:tcPr>
            <w:tcW w:w="2495" w:type="pct"/>
            <w:gridSpan w:val="2"/>
          </w:tcPr>
          <w:p w:rsidR="0035009C" w:rsidRPr="0002540B" w:rsidRDefault="0035009C" w:rsidP="006F7976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71" type="#_x0000_t75" style="width:237pt;height:188.25pt;visibility:visible;mso-wrap-style:square">
                  <v:imagedata r:id="rId10" o:title=""/>
                </v:shape>
              </w:pict>
            </w:r>
          </w:p>
        </w:tc>
        <w:tc>
          <w:tcPr>
            <w:tcW w:w="2505" w:type="pct"/>
            <w:gridSpan w:val="3"/>
          </w:tcPr>
          <w:p w:rsidR="0035009C" w:rsidRPr="0002540B" w:rsidRDefault="0035009C" w:rsidP="006F7976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72" type="#_x0000_t75" style="width:237.75pt;height:188.25pt;visibility:visible;mso-wrap-style:square">
                  <v:imagedata r:id="rId11" o:title=""/>
                </v:shape>
              </w:pict>
            </w:r>
          </w:p>
        </w:tc>
      </w:tr>
      <w:tr w:rsidR="0035009C" w:rsidRPr="0002540B" w:rsidTr="0035009C">
        <w:tc>
          <w:tcPr>
            <w:tcW w:w="3714" w:type="pct"/>
            <w:gridSpan w:val="4"/>
          </w:tcPr>
          <w:p w:rsidR="0035009C" w:rsidRPr="0035009C" w:rsidRDefault="0035009C" w:rsidP="006F7976">
            <w:pPr>
              <w:pStyle w:val="Textpoznpodarou"/>
              <w:rPr>
                <w:lang w:eastAsia="en-US"/>
              </w:rPr>
            </w:pPr>
            <w:r w:rsidRPr="007D4281">
              <w:rPr>
                <w:sz w:val="18"/>
                <w:szCs w:val="18"/>
                <w:lang w:eastAsia="en-US"/>
              </w:rPr>
              <w:t>*příspěvky ke změně HDP bez vyloučení dovozu pro konečné užití</w:t>
            </w:r>
          </w:p>
        </w:tc>
        <w:tc>
          <w:tcPr>
            <w:tcW w:w="1286" w:type="pct"/>
          </w:tcPr>
          <w:p w:rsidR="0035009C" w:rsidRPr="007D4281" w:rsidRDefault="0035009C" w:rsidP="006F7976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7D4281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7D4281" w:rsidRPr="0035009C" w:rsidRDefault="007D4281" w:rsidP="0035009C">
      <w:pPr>
        <w:rPr>
          <w:lang w:eastAsia="ar-SA"/>
        </w:rPr>
      </w:pPr>
    </w:p>
    <w:sectPr w:rsidR="007D4281" w:rsidRPr="0035009C" w:rsidSect="0035009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A3323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5009C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A3323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A3323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A3323D" w:rsidRPr="00223E00">
      <w:rPr>
        <w:rFonts w:ascii="Arial" w:hAnsi="Arial" w:cs="Arial"/>
        <w:sz w:val="16"/>
        <w:szCs w:val="16"/>
      </w:rPr>
      <w:fldChar w:fldCharType="separate"/>
    </w:r>
    <w:r w:rsidR="0035009C">
      <w:rPr>
        <w:rFonts w:ascii="Arial" w:hAnsi="Arial" w:cs="Arial"/>
        <w:noProof/>
        <w:sz w:val="16"/>
        <w:szCs w:val="16"/>
      </w:rPr>
      <w:t>7</w:t>
    </w:r>
    <w:r w:rsidR="00A3323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Pr="0002540B" w:rsidRDefault="00AB104D" w:rsidP="007D4281">
      <w:pPr>
        <w:pStyle w:val="Textpoznpodarou"/>
        <w:rPr>
          <w:sz w:val="16"/>
          <w:szCs w:val="16"/>
        </w:rPr>
      </w:pPr>
      <w:r w:rsidRPr="0002540B">
        <w:rPr>
          <w:rStyle w:val="Znakapoznpodarou"/>
          <w:sz w:val="16"/>
          <w:szCs w:val="16"/>
        </w:rPr>
        <w:footnoteRef/>
      </w:r>
      <w:r w:rsidRPr="0002540B">
        <w:rPr>
          <w:sz w:val="16"/>
          <w:szCs w:val="16"/>
        </w:rPr>
        <w:t xml:space="preserve"> Reálně, očištěno od sezónnosti a vlivu nestejného počtu pracovních dní - pokud není uvedeno jinak.</w:t>
      </w:r>
    </w:p>
  </w:footnote>
  <w:footnote w:id="2">
    <w:p w:rsidR="00AB104D" w:rsidRPr="00B52BAF" w:rsidRDefault="00AB104D" w:rsidP="007D4281">
      <w:pPr>
        <w:pStyle w:val="Textpoznpodarou"/>
        <w:rPr>
          <w:color w:val="FF0000"/>
          <w:sz w:val="16"/>
          <w:szCs w:val="16"/>
        </w:rPr>
      </w:pPr>
      <w:r w:rsidRPr="0002540B">
        <w:rPr>
          <w:rStyle w:val="Znakapoznpodarou"/>
          <w:sz w:val="16"/>
          <w:szCs w:val="16"/>
        </w:rPr>
        <w:footnoteRef/>
      </w:r>
      <w:r w:rsidRPr="0002540B">
        <w:rPr>
          <w:sz w:val="16"/>
          <w:szCs w:val="16"/>
        </w:rPr>
        <w:t xml:space="preserve"> Příspěvky ke změně HDP bez vyloučení dovozu pro konečné užití.</w:t>
      </w:r>
    </w:p>
  </w:footnote>
  <w:footnote w:id="3">
    <w:p w:rsidR="00AB104D" w:rsidRPr="00735953" w:rsidRDefault="00AB104D" w:rsidP="007D4281">
      <w:pPr>
        <w:pStyle w:val="Textpoznpodarou"/>
        <w:rPr>
          <w:sz w:val="16"/>
          <w:szCs w:val="16"/>
        </w:rPr>
      </w:pPr>
      <w:r w:rsidRPr="00735953">
        <w:rPr>
          <w:rStyle w:val="Znakapoznpodarou"/>
          <w:sz w:val="16"/>
          <w:szCs w:val="16"/>
        </w:rPr>
        <w:footnoteRef/>
      </w:r>
      <w:r w:rsidRPr="00735953">
        <w:rPr>
          <w:sz w:val="16"/>
          <w:szCs w:val="16"/>
        </w:rPr>
        <w:t xml:space="preserve"> V tzv. domácním pojetí, které uvažuje výdaje rezidentů a nerezidentů na území ČR.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009C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323D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C0F12-1086-446B-94B9-D990069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21</TotalTime>
  <Pages>3</Pages>
  <Words>1811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2015-06-19T08:37:00Z</dcterms:modified>
</cp:coreProperties>
</file>