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1" w:rsidRDefault="007D4281" w:rsidP="00721368">
      <w:pPr>
        <w:pStyle w:val="Nadpis1"/>
        <w:numPr>
          <w:ilvl w:val="0"/>
          <w:numId w:val="6"/>
        </w:numPr>
        <w:jc w:val="both"/>
      </w:pPr>
      <w:bookmarkStart w:id="0" w:name="_Toc422471569"/>
      <w:r>
        <w:t>Ceny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7495"/>
      </w:tblGrid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Celková cenová hladina v ekonomice stoupla v 1. čtvrtletí 2015 v meziročním srovnání o 1,2 %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Pr="00F82C8F" w:rsidRDefault="007D4281" w:rsidP="007D4281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F82C8F">
              <w:rPr>
                <w:color w:val="000000" w:themeColor="text1"/>
                <w:spacing w:val="-4"/>
              </w:rPr>
              <w:t>Celková cenová hladina</w:t>
            </w:r>
            <w:r>
              <w:rPr>
                <w:color w:val="000000" w:themeColor="text1"/>
                <w:spacing w:val="-4"/>
              </w:rPr>
              <w:t xml:space="preserve"> v ekonomice</w:t>
            </w:r>
            <w:r w:rsidRPr="00F82C8F">
              <w:rPr>
                <w:color w:val="000000" w:themeColor="text1"/>
                <w:spacing w:val="-4"/>
              </w:rPr>
              <w:t xml:space="preserve"> se v 1. čtvrtletí 2015 podle implicitního deflátoru HDP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1"/>
            </w:r>
            <w:r w:rsidRPr="00F82C8F">
              <w:rPr>
                <w:color w:val="000000" w:themeColor="text1"/>
                <w:spacing w:val="-4"/>
              </w:rPr>
              <w:t xml:space="preserve"> zvýšila v meziročním srovnání o 1,2 %. Stoupla méně než ve čtvrtletí předchozím</w:t>
            </w:r>
            <w:r>
              <w:rPr>
                <w:color w:val="000000" w:themeColor="text1"/>
                <w:spacing w:val="-4"/>
              </w:rPr>
              <w:t xml:space="preserve"> (+1,8 %)</w:t>
            </w:r>
            <w:r w:rsidRPr="00F82C8F">
              <w:rPr>
                <w:color w:val="000000" w:themeColor="text1"/>
                <w:spacing w:val="-4"/>
              </w:rPr>
              <w:t>, a to i přesto, že ceny pro domácnosti podle deflátoru výdajů na</w:t>
            </w:r>
            <w:r>
              <w:rPr>
                <w:color w:val="000000" w:themeColor="text1"/>
                <w:spacing w:val="-4"/>
              </w:rPr>
              <w:t> </w:t>
            </w:r>
            <w:r w:rsidRPr="00F82C8F">
              <w:rPr>
                <w:color w:val="000000" w:themeColor="text1"/>
                <w:spacing w:val="-4"/>
              </w:rPr>
              <w:t>konečnou spotřebu přešly z poklesu o 0,3 % do stagnace a růst cen zboží a</w:t>
            </w:r>
            <w:r>
              <w:rPr>
                <w:color w:val="000000" w:themeColor="text1"/>
                <w:spacing w:val="-4"/>
              </w:rPr>
              <w:t> </w:t>
            </w:r>
            <w:r w:rsidRPr="00F82C8F">
              <w:rPr>
                <w:color w:val="000000" w:themeColor="text1"/>
                <w:spacing w:val="-4"/>
              </w:rPr>
              <w:t>služeb vstupujících do</w:t>
            </w:r>
            <w:r>
              <w:rPr>
                <w:color w:val="000000" w:themeColor="text1"/>
                <w:spacing w:val="-4"/>
              </w:rPr>
              <w:t> </w:t>
            </w:r>
            <w:r w:rsidRPr="00F82C8F">
              <w:rPr>
                <w:color w:val="000000" w:themeColor="text1"/>
                <w:spacing w:val="-4"/>
              </w:rPr>
              <w:t xml:space="preserve">spotřeby vládních institucí nepatrně zrychlil. </w:t>
            </w:r>
            <w:r w:rsidRPr="00F82C8F">
              <w:rPr>
                <w:color w:val="000000" w:themeColor="text1"/>
                <w:spacing w:val="-6"/>
              </w:rPr>
              <w:t>Příčinou menšího přírůstku celkové cenové hladiny byl slabší růst cen investic</w:t>
            </w:r>
            <w:r>
              <w:rPr>
                <w:color w:val="000000" w:themeColor="text1"/>
                <w:spacing w:val="-6"/>
              </w:rPr>
              <w:t xml:space="preserve"> do fixního kapitálu a zásob</w:t>
            </w:r>
            <w:r w:rsidRPr="00F82C8F">
              <w:rPr>
                <w:color w:val="000000" w:themeColor="text1"/>
                <w:spacing w:val="-4"/>
              </w:rPr>
              <w:t>, především ale nižší – přestože stále kladné – směnné relace v zahraničním obchodě se zbožím a službami (zatímco v posledním čtvrtletí 2014 se zlepšily o</w:t>
            </w:r>
            <w:r>
              <w:rPr>
                <w:color w:val="000000" w:themeColor="text1"/>
                <w:spacing w:val="-4"/>
              </w:rPr>
              <w:t> </w:t>
            </w:r>
            <w:r w:rsidRPr="00F82C8F">
              <w:rPr>
                <w:color w:val="000000" w:themeColor="text1"/>
                <w:spacing w:val="-4"/>
              </w:rPr>
              <w:t>1,0</w:t>
            </w:r>
            <w:r>
              <w:rPr>
                <w:color w:val="000000" w:themeColor="text1"/>
                <w:spacing w:val="-4"/>
              </w:rPr>
              <w:t> </w:t>
            </w:r>
            <w:r w:rsidRPr="00F82C8F">
              <w:rPr>
                <w:color w:val="000000" w:themeColor="text1"/>
                <w:spacing w:val="-4"/>
              </w:rPr>
              <w:t xml:space="preserve">%, v 1. </w:t>
            </w:r>
            <w:r>
              <w:rPr>
                <w:color w:val="000000" w:themeColor="text1"/>
                <w:spacing w:val="-4"/>
              </w:rPr>
              <w:t>kvartále</w:t>
            </w:r>
            <w:r w:rsidRPr="00F82C8F">
              <w:rPr>
                <w:color w:val="000000" w:themeColor="text1"/>
                <w:spacing w:val="-4"/>
              </w:rPr>
              <w:t xml:space="preserve"> 2015 </w:t>
            </w:r>
            <w:r>
              <w:rPr>
                <w:color w:val="000000" w:themeColor="text1"/>
                <w:spacing w:val="-4"/>
              </w:rPr>
              <w:t>už pouze</w:t>
            </w:r>
            <w:r w:rsidRPr="00F82C8F">
              <w:rPr>
                <w:color w:val="000000" w:themeColor="text1"/>
                <w:spacing w:val="-4"/>
              </w:rPr>
              <w:t xml:space="preserve"> o 0,5 %).</w:t>
            </w:r>
          </w:p>
          <w:p w:rsidR="007D4281" w:rsidRPr="00CC145C" w:rsidRDefault="007D4281" w:rsidP="007D4281">
            <w:pPr>
              <w:pStyle w:val="Textpoznpodarou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Meziroční růst spotřebitelských cen nejnižší od 3. čtvrtletí 2009, tj. za posledního pět a půl roku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Pr="000D49B3" w:rsidRDefault="007D4281" w:rsidP="007D4281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0D49B3">
              <w:rPr>
                <w:color w:val="000000" w:themeColor="text1"/>
                <w:spacing w:val="-2"/>
              </w:rPr>
              <w:t>Míra inflace opět zpomalila. V 1. čtvrtletí 2015 narostly ceny pro spotřebitele v meziročním srovnání pouze o 0,1 %, přitom ještě ve 3. a 4. čtvrtletí roku předchozího stouply o 0,6 %, respektive o 0,5 %. Slabý růst cen byl důsledkem pokračujícího nepříznivého cenového vývoje v </w:t>
            </w:r>
            <w:proofErr w:type="spellStart"/>
            <w:r w:rsidRPr="000D49B3">
              <w:rPr>
                <w:color w:val="000000" w:themeColor="text1"/>
                <w:spacing w:val="-2"/>
              </w:rPr>
              <w:t>eurozóně</w:t>
            </w:r>
            <w:proofErr w:type="spellEnd"/>
            <w:r w:rsidRPr="000D49B3">
              <w:rPr>
                <w:color w:val="000000" w:themeColor="text1"/>
                <w:spacing w:val="-2"/>
              </w:rPr>
              <w:t xml:space="preserve">, který do české ekonomiky prolínal skrze ceny dovozu. Nedotýkal se jen vybraného zboží či služby, ale působil plošně na </w:t>
            </w:r>
            <w:r>
              <w:rPr>
                <w:color w:val="000000" w:themeColor="text1"/>
                <w:spacing w:val="-2"/>
              </w:rPr>
              <w:t>velkou část spotřebního</w:t>
            </w:r>
            <w:r w:rsidRPr="000D49B3">
              <w:rPr>
                <w:color w:val="000000" w:themeColor="text1"/>
                <w:spacing w:val="-2"/>
              </w:rPr>
              <w:t xml:space="preserve"> koše. Na nízkém růstu cen se ovšem podepsaly i jiné, </w:t>
            </w:r>
            <w:r>
              <w:rPr>
                <w:color w:val="000000" w:themeColor="text1"/>
                <w:spacing w:val="-2"/>
              </w:rPr>
              <w:t>zřetelnější</w:t>
            </w:r>
            <w:r w:rsidRPr="000D49B3">
              <w:rPr>
                <w:color w:val="000000" w:themeColor="text1"/>
                <w:spacing w:val="-2"/>
              </w:rPr>
              <w:t xml:space="preserve"> faktory. Jednalo se především o prudký propad cen</w:t>
            </w:r>
            <w:r>
              <w:rPr>
                <w:color w:val="000000" w:themeColor="text1"/>
                <w:spacing w:val="-2"/>
              </w:rPr>
              <w:t>y </w:t>
            </w:r>
            <w:r w:rsidRPr="000D49B3">
              <w:rPr>
                <w:color w:val="000000" w:themeColor="text1"/>
                <w:spacing w:val="-2"/>
              </w:rPr>
              <w:t xml:space="preserve">ropy na světovém trhu, který se </w:t>
            </w:r>
            <w:r>
              <w:rPr>
                <w:color w:val="000000" w:themeColor="text1"/>
                <w:spacing w:val="-2"/>
              </w:rPr>
              <w:t xml:space="preserve">promítnul </w:t>
            </w:r>
            <w:r w:rsidRPr="000D49B3">
              <w:rPr>
                <w:color w:val="000000" w:themeColor="text1"/>
                <w:spacing w:val="-2"/>
              </w:rPr>
              <w:t>do nižších cen pohonných hmot, ale</w:t>
            </w:r>
            <w:r>
              <w:rPr>
                <w:color w:val="000000" w:themeColor="text1"/>
                <w:spacing w:val="-2"/>
              </w:rPr>
              <w:t> </w:t>
            </w:r>
            <w:r w:rsidRPr="000D49B3">
              <w:rPr>
                <w:color w:val="000000" w:themeColor="text1"/>
                <w:spacing w:val="-2"/>
              </w:rPr>
              <w:t>také o dobrou</w:t>
            </w:r>
            <w:r>
              <w:rPr>
                <w:color w:val="000000" w:themeColor="text1"/>
                <w:spacing w:val="-2"/>
              </w:rPr>
              <w:t xml:space="preserve"> loňskou</w:t>
            </w:r>
            <w:r w:rsidRPr="000D49B3">
              <w:rPr>
                <w:color w:val="000000" w:themeColor="text1"/>
                <w:spacing w:val="-2"/>
              </w:rPr>
              <w:t xml:space="preserve"> úrodu zemědělských plodin, která stlačila ceny některých druhů potravin. Nepříznivě se v cenách pro spotřebitele, konkrétně v cenác</w:t>
            </w:r>
            <w:r w:rsidR="00FA2C2A">
              <w:rPr>
                <w:color w:val="000000" w:themeColor="text1"/>
                <w:spacing w:val="-2"/>
              </w:rPr>
              <w:t>h výdajů n</w:t>
            </w:r>
            <w:r w:rsidRPr="000D49B3">
              <w:rPr>
                <w:color w:val="000000" w:themeColor="text1"/>
                <w:spacing w:val="-2"/>
              </w:rPr>
              <w:t>a</w:t>
            </w:r>
            <w:r>
              <w:rPr>
                <w:color w:val="000000" w:themeColor="text1"/>
                <w:spacing w:val="-2"/>
              </w:rPr>
              <w:t> </w:t>
            </w:r>
            <w:r w:rsidRPr="000D49B3">
              <w:rPr>
                <w:color w:val="000000" w:themeColor="text1"/>
                <w:spacing w:val="-2"/>
              </w:rPr>
              <w:t>zdraví, promítlo i zrušení regulačního poplatku za ošetření v ambulanci a </w:t>
            </w:r>
            <w:r>
              <w:rPr>
                <w:color w:val="000000" w:themeColor="text1"/>
                <w:spacing w:val="-2"/>
              </w:rPr>
              <w:t xml:space="preserve">regulačního </w:t>
            </w:r>
            <w:r w:rsidRPr="000D49B3">
              <w:rPr>
                <w:color w:val="000000" w:themeColor="text1"/>
                <w:spacing w:val="-2"/>
              </w:rPr>
              <w:t>poplatku za</w:t>
            </w:r>
            <w:r>
              <w:rPr>
                <w:color w:val="000000" w:themeColor="text1"/>
                <w:spacing w:val="-2"/>
              </w:rPr>
              <w:t> </w:t>
            </w:r>
            <w:r w:rsidRPr="000D49B3">
              <w:rPr>
                <w:color w:val="000000" w:themeColor="text1"/>
                <w:spacing w:val="-2"/>
              </w:rPr>
              <w:t>recept (vstoupilo v platnost 1. 1. 2015).</w:t>
            </w:r>
          </w:p>
          <w:p w:rsidR="007D4281" w:rsidRPr="00CC145C" w:rsidRDefault="007D4281" w:rsidP="007D4281">
            <w:pPr>
              <w:pStyle w:val="Textpoznpodarou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 deflaci devatenáct zemí EU včetně Německa, Francie a Itálie. Déle než rok se s ní potýká Řecko, Bulharsko a Slovensko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Pr="00F82C8F" w:rsidRDefault="007D4281" w:rsidP="007D4281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F82C8F">
              <w:rPr>
                <w:color w:val="000000" w:themeColor="text1"/>
                <w:spacing w:val="-2"/>
              </w:rPr>
              <w:t>Podle meziroční změny harmonizovaného indexu spotřebitelských cen (HICP) byla míra inflace v ČR v 1. čtvrtletí 2015 nulová, stejně jako v Portugalsku a v Dánsku. Ze všech osmadvaceti členských zemí ceny pro spotřebitele stouply pouze v šesti, vyšší než půl procentní růst si připsalo ale jen Rakousko, Malta a Švédsko. Zbývající část Evropské unie, tedy devatenáct zemí, byla v deflaci, některé z nich se přitom s klesajícími cenami potýkaly dlouhodobě (Řecko dva roky, Bulharsko rok a</w:t>
            </w:r>
            <w:r>
              <w:rPr>
                <w:color w:val="000000" w:themeColor="text1"/>
                <w:spacing w:val="-2"/>
              </w:rPr>
              <w:t> </w:t>
            </w:r>
            <w:proofErr w:type="spellStart"/>
            <w:r w:rsidRPr="00F82C8F">
              <w:rPr>
                <w:color w:val="000000" w:themeColor="text1"/>
                <w:spacing w:val="-2"/>
              </w:rPr>
              <w:t>třičtvrtě</w:t>
            </w:r>
            <w:proofErr w:type="spellEnd"/>
            <w:r w:rsidRPr="00F82C8F">
              <w:rPr>
                <w:color w:val="000000" w:themeColor="text1"/>
                <w:spacing w:val="-2"/>
              </w:rPr>
              <w:t xml:space="preserve">, Slovensko rok a čtvrt). Do deflace sklouzly v 1. kvartále 2015 i tři ze čtyř největších ekonomik EU (Německo, Francie a Itálie), spolu s nimi ale i celá </w:t>
            </w:r>
            <w:proofErr w:type="spellStart"/>
            <w:r w:rsidRPr="00F82C8F">
              <w:rPr>
                <w:color w:val="000000" w:themeColor="text1"/>
                <w:spacing w:val="-2"/>
              </w:rPr>
              <w:t>eurozóna</w:t>
            </w:r>
            <w:proofErr w:type="spellEnd"/>
            <w:r w:rsidRPr="00F82C8F">
              <w:rPr>
                <w:color w:val="000000" w:themeColor="text1"/>
                <w:spacing w:val="-2"/>
              </w:rPr>
              <w:t xml:space="preserve"> a také celá osmadvacítka (shodně -0,3 %). Efekty nízkých cen ropy, jak je patrné, byly značné.</w:t>
            </w:r>
          </w:p>
          <w:p w:rsidR="007D4281" w:rsidRPr="00CC145C" w:rsidRDefault="007D4281" w:rsidP="007D4281">
            <w:pPr>
              <w:pStyle w:val="Textpoznpodarou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Pokles cen pohonných hmot v ČR nadprůměrný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Pr="00F82C8F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  <w:r w:rsidRPr="00F82C8F">
              <w:rPr>
                <w:color w:val="000000" w:themeColor="text1"/>
              </w:rPr>
              <w:t xml:space="preserve">Ze všech zemí Evropské unie se ceny pohonných hmot v 1. čtvrtletí 2015 nejrazantněji snížily, jak plyne z meziroční změny HICP, v Bulharsku (-19,7 %) a v pobaltských republikách (Litva -18,2 %, Lotyšsko -16,8 %, Estonsko -16,1 %). Velmi málo se propad cen ropy naopak projevil v cenách pohonných hmot na Maltě (-3,8 %), v Rumunsku (-7,6 %) a ve Švédsku (-8,4 %). Čeští spotřebitelé se mohli těšit ze zlevnění </w:t>
            </w:r>
            <w:r w:rsidRPr="00F82C8F">
              <w:t>nadprůměrného (-14,4 %), a to</w:t>
            </w:r>
            <w:r w:rsidRPr="00F82C8F">
              <w:rPr>
                <w:color w:val="000000" w:themeColor="text1"/>
              </w:rPr>
              <w:t xml:space="preserve"> nejen z hlediska pozice v žebříčku zemí EU (10. místo), ale i v porovnání s poklesem těchto cen za EU jako celek (-13,1 %).</w:t>
            </w:r>
          </w:p>
          <w:p w:rsidR="007D4281" w:rsidRPr="00707B5C" w:rsidRDefault="007D4281" w:rsidP="007D4281">
            <w:pPr>
              <w:pStyle w:val="Textpoznpodarou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Pr="00B2269B" w:rsidRDefault="007D4281" w:rsidP="007D4281">
            <w:pPr>
              <w:spacing w:line="240" w:lineRule="auto"/>
              <w:rPr>
                <w:color w:val="000000" w:themeColor="text1"/>
                <w:spacing w:val="-2"/>
                <w:sz w:val="16"/>
                <w:szCs w:val="16"/>
              </w:rPr>
            </w:pPr>
            <w:r w:rsidRPr="00B2269B">
              <w:rPr>
                <w:color w:val="000000" w:themeColor="text1"/>
                <w:spacing w:val="-2"/>
                <w:sz w:val="16"/>
                <w:szCs w:val="16"/>
              </w:rPr>
              <w:t>Levněji než před rokem, tj.</w:t>
            </w:r>
            <w:r>
              <w:rPr>
                <w:color w:val="000000" w:themeColor="text1"/>
                <w:spacing w:val="-2"/>
                <w:sz w:val="16"/>
                <w:szCs w:val="16"/>
              </w:rPr>
              <w:t> </w:t>
            </w:r>
            <w:r w:rsidRPr="00B2269B">
              <w:rPr>
                <w:color w:val="000000" w:themeColor="text1"/>
                <w:spacing w:val="-2"/>
                <w:sz w:val="16"/>
                <w:szCs w:val="16"/>
              </w:rPr>
              <w:t xml:space="preserve">v 1. čtvrtletí 2014, se </w:t>
            </w:r>
            <w:r>
              <w:rPr>
                <w:color w:val="000000" w:themeColor="text1"/>
                <w:spacing w:val="-2"/>
                <w:sz w:val="16"/>
                <w:szCs w:val="16"/>
              </w:rPr>
              <w:t>nakupovaly</w:t>
            </w:r>
            <w:r w:rsidRPr="00B2269B">
              <w:rPr>
                <w:color w:val="000000" w:themeColor="text1"/>
                <w:spacing w:val="-2"/>
                <w:sz w:val="16"/>
                <w:szCs w:val="16"/>
              </w:rPr>
              <w:t xml:space="preserve"> všechny hlavní druhy potravin</w:t>
            </w:r>
            <w:r>
              <w:rPr>
                <w:color w:val="000000" w:themeColor="text1"/>
                <w:spacing w:val="-2"/>
                <w:sz w:val="16"/>
                <w:szCs w:val="16"/>
              </w:rPr>
              <w:t xml:space="preserve">: </w:t>
            </w:r>
            <w:r w:rsidRPr="00B2269B">
              <w:rPr>
                <w:color w:val="000000" w:themeColor="text1"/>
                <w:spacing w:val="-2"/>
                <w:sz w:val="16"/>
                <w:szCs w:val="16"/>
              </w:rPr>
              <w:t>maso</w:t>
            </w:r>
            <w:r w:rsidRPr="00B2269B">
              <w:rPr>
                <w:color w:val="000000" w:themeColor="text1"/>
                <w:spacing w:val="-2"/>
                <w:sz w:val="16"/>
                <w:szCs w:val="16"/>
                <w:lang w:val="en-US"/>
              </w:rPr>
              <w:t xml:space="preserve">; </w:t>
            </w:r>
            <w:r w:rsidRPr="00B2269B">
              <w:rPr>
                <w:color w:val="000000" w:themeColor="text1"/>
                <w:spacing w:val="-2"/>
                <w:sz w:val="16"/>
                <w:szCs w:val="16"/>
              </w:rPr>
              <w:t>mléko, sýry, vejce</w:t>
            </w:r>
            <w:r w:rsidRPr="00B2269B">
              <w:rPr>
                <w:color w:val="000000" w:themeColor="text1"/>
                <w:spacing w:val="-2"/>
                <w:sz w:val="16"/>
                <w:szCs w:val="16"/>
                <w:lang w:val="en-US"/>
              </w:rPr>
              <w:t>;</w:t>
            </w:r>
            <w:r>
              <w:rPr>
                <w:color w:val="000000" w:themeColor="text1"/>
                <w:spacing w:val="-2"/>
                <w:sz w:val="16"/>
                <w:szCs w:val="16"/>
              </w:rPr>
              <w:t xml:space="preserve"> pekárenské výrobky a obiloviny</w:t>
            </w:r>
            <w:r>
              <w:rPr>
                <w:color w:val="000000" w:themeColor="text1"/>
                <w:spacing w:val="-2"/>
                <w:sz w:val="16"/>
                <w:szCs w:val="16"/>
                <w:lang w:val="en-US"/>
              </w:rPr>
              <w:t>;</w:t>
            </w:r>
            <w:r w:rsidRPr="00B2269B">
              <w:rPr>
                <w:color w:val="000000" w:themeColor="text1"/>
                <w:spacing w:val="-2"/>
                <w:sz w:val="16"/>
                <w:szCs w:val="16"/>
              </w:rPr>
              <w:t xml:space="preserve"> zelen</w:t>
            </w:r>
            <w:r>
              <w:rPr>
                <w:color w:val="000000" w:themeColor="text1"/>
                <w:spacing w:val="-2"/>
                <w:sz w:val="16"/>
                <w:szCs w:val="16"/>
              </w:rPr>
              <w:t>ina;</w:t>
            </w:r>
            <w:r w:rsidRPr="00B2269B">
              <w:rPr>
                <w:color w:val="000000" w:themeColor="text1"/>
                <w:spacing w:val="-2"/>
                <w:sz w:val="16"/>
                <w:szCs w:val="16"/>
              </w:rPr>
              <w:t xml:space="preserve"> ovoce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Pr="00614436" w:rsidRDefault="007D4281" w:rsidP="007D4281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 w:rsidRPr="00614436">
              <w:rPr>
                <w:color w:val="000000" w:themeColor="text1"/>
                <w:spacing w:val="-2"/>
              </w:rPr>
              <w:t>Na potravinác</w:t>
            </w:r>
            <w:r w:rsidR="00FA2C2A">
              <w:rPr>
                <w:color w:val="000000" w:themeColor="text1"/>
                <w:spacing w:val="-2"/>
              </w:rPr>
              <w:t>h ušetřili tuzemští spotřebitelé</w:t>
            </w:r>
            <w:r w:rsidRPr="00614436">
              <w:rPr>
                <w:color w:val="000000" w:themeColor="text1"/>
                <w:spacing w:val="-2"/>
              </w:rPr>
              <w:t>, pokud srovnáme ceny potravin v 1.</w:t>
            </w:r>
            <w:r>
              <w:rPr>
                <w:color w:val="000000" w:themeColor="text1"/>
                <w:spacing w:val="-2"/>
              </w:rPr>
              <w:t> </w:t>
            </w:r>
            <w:r w:rsidRPr="00614436">
              <w:rPr>
                <w:color w:val="000000" w:themeColor="text1"/>
                <w:spacing w:val="-2"/>
              </w:rPr>
              <w:t xml:space="preserve">čtvrtletí 2015 </w:t>
            </w:r>
            <w:r>
              <w:rPr>
                <w:color w:val="000000" w:themeColor="text1"/>
                <w:spacing w:val="-2"/>
              </w:rPr>
              <w:t>s cenami ve stejném</w:t>
            </w:r>
            <w:r w:rsidRPr="00614436"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  <w:spacing w:val="-2"/>
              </w:rPr>
              <w:t>kvartálu</w:t>
            </w:r>
            <w:r w:rsidRPr="00614436">
              <w:rPr>
                <w:color w:val="000000" w:themeColor="text1"/>
                <w:spacing w:val="-2"/>
              </w:rPr>
              <w:t> roku předchozího, 1,8 %. Levněji mohli nakoupit všechny hlavní druhy potravin. Ceny masa byly nižší 0,4</w:t>
            </w:r>
            <w:r>
              <w:rPr>
                <w:color w:val="000000" w:themeColor="text1"/>
                <w:spacing w:val="-2"/>
              </w:rPr>
              <w:t> </w:t>
            </w:r>
            <w:r w:rsidRPr="00614436">
              <w:rPr>
                <w:color w:val="000000" w:themeColor="text1"/>
                <w:spacing w:val="-2"/>
              </w:rPr>
              <w:t>%, mléka, sýrů a vajec o 1,1 %, pekárenských výrobků a obilovin o 0,3 %. Zelenina meziročně zlevnila dokonce o desetinu, ovoce se kupovalo za ceny o</w:t>
            </w:r>
            <w:r>
              <w:rPr>
                <w:color w:val="000000" w:themeColor="text1"/>
                <w:spacing w:val="-2"/>
              </w:rPr>
              <w:t> </w:t>
            </w:r>
            <w:r w:rsidRPr="00614436">
              <w:rPr>
                <w:color w:val="000000" w:themeColor="text1"/>
                <w:spacing w:val="-2"/>
              </w:rPr>
              <w:t>6,4</w:t>
            </w:r>
            <w:r>
              <w:rPr>
                <w:color w:val="000000" w:themeColor="text1"/>
                <w:spacing w:val="-2"/>
              </w:rPr>
              <w:t> </w:t>
            </w:r>
            <w:r w:rsidRPr="00614436">
              <w:rPr>
                <w:color w:val="000000" w:themeColor="text1"/>
                <w:spacing w:val="-2"/>
              </w:rPr>
              <w:t>% nižší. Připlatili</w:t>
            </w:r>
            <w:r>
              <w:rPr>
                <w:color w:val="000000" w:themeColor="text1"/>
                <w:spacing w:val="-2"/>
              </w:rPr>
              <w:t xml:space="preserve"> jsme</w:t>
            </w:r>
            <w:r w:rsidRPr="00614436">
              <w:rPr>
                <w:color w:val="000000" w:themeColor="text1"/>
                <w:spacing w:val="-2"/>
              </w:rPr>
              <w:t xml:space="preserve"> si pouze za méně významné druhy potravin, například za cukr, marmeládu, med, čokoládu, ale třeba i za ryby.</w:t>
            </w:r>
          </w:p>
          <w:p w:rsidR="007D4281" w:rsidRPr="00707B5C" w:rsidRDefault="007D4281" w:rsidP="007D4281">
            <w:pPr>
              <w:pStyle w:val="Textpoznpodarou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Nebýt zvýšení spotřebních daní z cigaret, ceny pro spotřebitele by klesly 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72536" w:rsidRPr="00707B5C" w:rsidRDefault="007D4281" w:rsidP="00000FA7">
            <w:pPr>
              <w:pStyle w:val="Textpoznpodarou"/>
              <w:jc w:val="both"/>
              <w:rPr>
                <w:color w:val="000000" w:themeColor="text1"/>
                <w:sz w:val="18"/>
                <w:szCs w:val="18"/>
              </w:rPr>
            </w:pPr>
            <w:r w:rsidRPr="00613E6E">
              <w:rPr>
                <w:color w:val="000000" w:themeColor="text1"/>
              </w:rPr>
              <w:t>S jistou mírou nadsázky</w:t>
            </w:r>
            <w:r>
              <w:rPr>
                <w:color w:val="000000" w:themeColor="text1"/>
              </w:rPr>
              <w:t xml:space="preserve"> se dá říct</w:t>
            </w:r>
            <w:r w:rsidRPr="00613E6E">
              <w:rPr>
                <w:color w:val="000000" w:themeColor="text1"/>
              </w:rPr>
              <w:t>, že českou ekonomiku od deflace v 1. čtvrtletí 2015 zachránil tabák, přesněji řečeno vysoký nárůst cen tabáku</w:t>
            </w:r>
            <w:r>
              <w:rPr>
                <w:color w:val="000000" w:themeColor="text1"/>
              </w:rPr>
              <w:t xml:space="preserve"> (meziročně +5,5</w:t>
            </w:r>
            <w:r w:rsidRPr="00613E6E">
              <w:rPr>
                <w:color w:val="000000" w:themeColor="text1"/>
              </w:rPr>
              <w:t> %). Zatímco v lednu byly jeho ceny meziročně vyšší o 2,1 %, to znamená zhruba stejně jako v prosinci 2014, v únoru již o 6,1 % a v březnu dokonce o</w:t>
            </w:r>
            <w:r>
              <w:rPr>
                <w:color w:val="000000" w:themeColor="text1"/>
              </w:rPr>
              <w:t> </w:t>
            </w:r>
            <w:r w:rsidRPr="00613E6E">
              <w:rPr>
                <w:color w:val="000000" w:themeColor="text1"/>
              </w:rPr>
              <w:t>8,4</w:t>
            </w:r>
            <w:r>
              <w:rPr>
                <w:color w:val="000000" w:themeColor="text1"/>
              </w:rPr>
              <w:t> </w:t>
            </w:r>
            <w:r w:rsidRPr="00613E6E">
              <w:rPr>
                <w:color w:val="000000" w:themeColor="text1"/>
              </w:rPr>
              <w:t>%. Příčina</w:t>
            </w:r>
            <w:r>
              <w:rPr>
                <w:color w:val="000000" w:themeColor="text1"/>
              </w:rPr>
              <w:t xml:space="preserve"> růstu cen</w:t>
            </w:r>
            <w:r w:rsidRPr="00613E6E">
              <w:rPr>
                <w:color w:val="000000" w:themeColor="text1"/>
              </w:rPr>
              <w:t xml:space="preserve"> je nasnadě – zvýšila se spotřební daň z cigaret. S tím, jak byly zásoby cigaret se staršími kolky rozprodávány (směly se prodávat </w:t>
            </w:r>
            <w:r>
              <w:rPr>
                <w:color w:val="000000" w:themeColor="text1"/>
              </w:rPr>
              <w:t xml:space="preserve">jen </w:t>
            </w:r>
            <w:r w:rsidRPr="00613E6E">
              <w:rPr>
                <w:color w:val="000000" w:themeColor="text1"/>
              </w:rPr>
              <w:t>do konce února)</w:t>
            </w:r>
            <w:r>
              <w:rPr>
                <w:color w:val="000000" w:themeColor="text1"/>
              </w:rPr>
              <w:t xml:space="preserve"> </w:t>
            </w:r>
            <w:r w:rsidRPr="00613E6E">
              <w:rPr>
                <w:color w:val="000000" w:themeColor="text1"/>
              </w:rPr>
              <w:t xml:space="preserve">a nahrazovány novými, </w:t>
            </w:r>
            <w:r>
              <w:rPr>
                <w:color w:val="000000" w:themeColor="text1"/>
              </w:rPr>
              <w:t>narůstala</w:t>
            </w:r>
            <w:r w:rsidRPr="00613E6E">
              <w:rPr>
                <w:color w:val="000000" w:themeColor="text1"/>
              </w:rPr>
              <w:t xml:space="preserve"> logicky</w:t>
            </w:r>
            <w:r>
              <w:rPr>
                <w:color w:val="000000" w:themeColor="text1"/>
              </w:rPr>
              <w:t xml:space="preserve"> také</w:t>
            </w:r>
            <w:r w:rsidRPr="00613E6E">
              <w:rPr>
                <w:color w:val="000000" w:themeColor="text1"/>
              </w:rPr>
              <w:t xml:space="preserve"> jejich cena.</w:t>
            </w:r>
          </w:p>
        </w:tc>
      </w:tr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Ceny energií využívaných v domácnosti, které byly meziročně nižší v průběhu celého roku 2014, opět rostou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Default="007D4281" w:rsidP="007D4281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V každém měsíci roku</w:t>
            </w:r>
            <w:r w:rsidRPr="00185238">
              <w:rPr>
                <w:color w:val="000000" w:themeColor="text1"/>
                <w:spacing w:val="-2"/>
              </w:rPr>
              <w:t xml:space="preserve"> 2014 byly ceny energií využívaných v domácnosti – tj. výdajů na </w:t>
            </w:r>
            <w:r>
              <w:rPr>
                <w:color w:val="000000" w:themeColor="text1"/>
                <w:spacing w:val="-2"/>
              </w:rPr>
              <w:t>elektrickou a tepelnou energii, plyn a ostatní paliva</w:t>
            </w:r>
            <w:r w:rsidRPr="00185238">
              <w:rPr>
                <w:color w:val="000000" w:themeColor="text1"/>
                <w:spacing w:val="-2"/>
              </w:rPr>
              <w:t xml:space="preserve"> – </w:t>
            </w:r>
            <w:r>
              <w:rPr>
                <w:color w:val="000000" w:themeColor="text1"/>
                <w:spacing w:val="-2"/>
              </w:rPr>
              <w:t>nižší</w:t>
            </w:r>
            <w:r w:rsidRPr="00185238">
              <w:rPr>
                <w:color w:val="000000" w:themeColor="text1"/>
                <w:spacing w:val="-2"/>
              </w:rPr>
              <w:t xml:space="preserve"> než ve stejném měsíci roku předchozího. S lednem 2015 tento fenomén ale skončil. Ceny energií v meziročním srovnání již o</w:t>
            </w:r>
            <w:r>
              <w:rPr>
                <w:color w:val="000000" w:themeColor="text1"/>
                <w:spacing w:val="-2"/>
              </w:rPr>
              <w:t> </w:t>
            </w:r>
            <w:r w:rsidRPr="00185238">
              <w:rPr>
                <w:color w:val="000000" w:themeColor="text1"/>
                <w:spacing w:val="-2"/>
              </w:rPr>
              <w:t>1,3 % stouply, v únoru a v březnu byly vyšší o 1,5 %</w:t>
            </w:r>
            <w:r>
              <w:rPr>
                <w:color w:val="000000" w:themeColor="text1"/>
                <w:spacing w:val="-2"/>
              </w:rPr>
              <w:t>.</w:t>
            </w:r>
          </w:p>
          <w:p w:rsidR="007D4281" w:rsidRPr="00F82C8F" w:rsidRDefault="007D4281" w:rsidP="007D4281">
            <w:pPr>
              <w:pStyle w:val="Textpoznpodarou"/>
              <w:jc w:val="both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Nízká cena ropy na světovém trhu srazila zpracovatelský průmysl do deflace, …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Pr="009B1ABA" w:rsidRDefault="007D4281" w:rsidP="007D4281">
            <w:pPr>
              <w:pStyle w:val="Textpoznpodarou"/>
              <w:jc w:val="both"/>
            </w:pPr>
            <w:r w:rsidRPr="009B1ABA">
              <w:t xml:space="preserve">Zatímco v prvních třech čtvrtletích roku 2014 byly ceny v průmyslu meziročně nižší o 0,7 %, 0,2 % a 0,1 % a zdálo se, že deflace v průmyslu postupně vyprchává, v posledním kvartále se pokles cen prohloubil na -1,9 % a v 1. čtvrtletí 2015 dokonce na -3,3 %. Zvrat přinesla propadající se cena ropy na světovém trhu s komoditami, která s tím, jak byla vstřebávána </w:t>
            </w:r>
            <w:r>
              <w:t xml:space="preserve">tuzemským </w:t>
            </w:r>
            <w:r w:rsidRPr="009B1ABA">
              <w:t>výrobním řetězcem, postupně „přiškrcovala“ cenovou dynamiku výrobců a v konečném důsledku srazila do deflace celý zpracovatelský průmysl (jestliže ještě ve 3. čtvrtletí 2014 ceny zpracovatelů narostly meziročně o 1,8 %, v posledním kvartále 2014 klesly o 0,5 % a v 1. čtvrtletí 2015 dokonce o 4,1 %).</w:t>
            </w:r>
          </w:p>
          <w:p w:rsidR="007D4281" w:rsidRPr="00E1743F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…nejhlubší byla přitom patrná u producentů, kteří ropu přímo zpracovávají. Jednalo se o výrobce koksu a rafinovaných ropných produktů a producenty chemických látek a výrobků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Pr="009B1ABA" w:rsidRDefault="007D4281" w:rsidP="007D4281">
            <w:pPr>
              <w:pStyle w:val="Textpoznpodarou"/>
              <w:jc w:val="both"/>
              <w:rPr>
                <w:spacing w:val="-2"/>
              </w:rPr>
            </w:pPr>
            <w:r w:rsidRPr="009B1ABA">
              <w:rPr>
                <w:spacing w:val="-2"/>
              </w:rPr>
              <w:t xml:space="preserve">Nákladový šok v podobě nižší ceny ropy zapůsobil téměř na všechny zpracovatele. Plyne to z cenové dynamiky v jednotlivých </w:t>
            </w:r>
            <w:proofErr w:type="spellStart"/>
            <w:r w:rsidRPr="009B1ABA">
              <w:rPr>
                <w:spacing w:val="-2"/>
              </w:rPr>
              <w:t>subsekcích</w:t>
            </w:r>
            <w:proofErr w:type="spellEnd"/>
            <w:r w:rsidRPr="009B1ABA">
              <w:rPr>
                <w:spacing w:val="-2"/>
              </w:rPr>
              <w:t xml:space="preserve"> zpracovatelského průmyslu dle členění CZ-CPA, ta se totiž mezi 4. čtvrtletím 2014 a 1. kvartálem 2015 navýšila jen v případě producentů základních farmaceutických výrobků (z +1,0 % na +1,6 %) a v případě producentů nábytku a ostatních výrobků zpracovatelského průmyslu (z +0,1 % na +1,8 %). Cenový vývoj v ostatních </w:t>
            </w:r>
            <w:proofErr w:type="spellStart"/>
            <w:r w:rsidRPr="009B1ABA">
              <w:rPr>
                <w:spacing w:val="-2"/>
              </w:rPr>
              <w:t>subsekcích</w:t>
            </w:r>
            <w:proofErr w:type="spellEnd"/>
            <w:r w:rsidRPr="009B1ABA">
              <w:rPr>
                <w:spacing w:val="-2"/>
              </w:rPr>
              <w:t xml:space="preserve"> se zhoršil, nejvýrazněji byly efekty nižších cen ropy patrné ovšem v těch, které</w:t>
            </w:r>
            <w:r>
              <w:rPr>
                <w:spacing w:val="-2"/>
              </w:rPr>
              <w:t xml:space="preserve"> se zpracováním ropy</w:t>
            </w:r>
            <w:r w:rsidRPr="009B1ABA">
              <w:rPr>
                <w:spacing w:val="-2"/>
              </w:rPr>
              <w:t xml:space="preserve"> přímo </w:t>
            </w:r>
            <w:r>
              <w:rPr>
                <w:spacing w:val="-2"/>
              </w:rPr>
              <w:t>zabývají</w:t>
            </w:r>
            <w:r w:rsidRPr="009B1ABA">
              <w:rPr>
                <w:spacing w:val="-2"/>
              </w:rPr>
              <w:t>. Jednalo se o výrobce koksu a rafinovaných ropných produktů (ve 4. čtvrtletí 2014 pokles cen o 11,3 %, v 1. čtvrtletí 2015 již o tři desetiny) a také o producenty chemických látek a výrobků (deflace prohloubila z -1,7 % na -15,9 %).</w:t>
            </w:r>
          </w:p>
          <w:p w:rsidR="007D4281" w:rsidRPr="00E1743F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Meziroční pokles cen rostlinné výroby se prohloubil z -8,4 % v posledním čtvrtletí 2014 na -11,0 % v 1. kvartále 2015, v případě živočišné výroby z -2,3 % na -7,6 %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Default="007D4281" w:rsidP="007D4281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Ceny zemědělských výrobců klesly v 1. čtvrtletí 2015 v meziročním srovnání již téměř o desetinu (-9,3 %), přitom ještě v posledním kvartále loňského roku byly nižší o 5,8 %. Co se týče vývoje cen konkrétních zemědělských produktů, obiloviny v 1. kvartále 2015 v důsledku dobré loňské úrody a potažmo i sklizně zlevnily meziročně o 8,1 %, řepka o 2,3 %. Ceny zeleniny a zahradnických produktů se snížily o více než  10 %, v případě ovoce o více než 15 %. Brambory byly levnější dokonce zhruba o dvě pětiny. Z živočišné výroby se snížily výkupní ceny hospodářských zvířat (-6,2 %), především ale mléka (-10,5 %).</w:t>
            </w:r>
          </w:p>
          <w:p w:rsidR="007D4281" w:rsidRPr="00E1743F" w:rsidRDefault="007D4281" w:rsidP="007D4281">
            <w:pPr>
              <w:pStyle w:val="Textpoznpodarou"/>
              <w:jc w:val="both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Ceny stavebních prací vzrostly v meziročním srovnání již počtvrté. Ceny budov byly vyšší o 0,9 %, inženýrských děl o 1,1 %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Ceny stavebních prací se zvyšují i nadále, jejich dynamika navíc pozvolna sílí. V 1. čtvrtletí 2015 byly v meziročním srovnání vyšší již o rovné 1 %, přitom mírně dynamičtěji rostly ceny inženýrských děl (+1,1 %) než bytových budov (+0,9 %) a nebytových budov (+0,9 %). Příznivě – z pozice růstu marží stavebních firem – vyzněl také fakt, že náklady stavební výroby se snížily o 0,2 %.</w:t>
            </w:r>
          </w:p>
          <w:p w:rsidR="007D4281" w:rsidRPr="00E1743F" w:rsidRDefault="007D4281" w:rsidP="007D4281">
            <w:pPr>
              <w:pStyle w:val="Textpoznpodarou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Pr="0021355B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Pokles cen služeb pracovních agentur o 2,9 % meziročně zřejmě nebylo možné vysvětlit slabší poptávkou podniků po pracovnících, neboť tržby těchto agentur rostly i nadále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Pr="009F6BE5" w:rsidRDefault="007D4281" w:rsidP="007D4281">
            <w:pPr>
              <w:pStyle w:val="Textpoznpodarou"/>
              <w:jc w:val="both"/>
              <w:rPr>
                <w:spacing w:val="-2"/>
              </w:rPr>
            </w:pPr>
            <w:r>
              <w:rPr>
                <w:spacing w:val="-2"/>
              </w:rPr>
              <w:t>Meziroční p</w:t>
            </w:r>
            <w:r w:rsidRPr="009F6BE5">
              <w:rPr>
                <w:spacing w:val="-2"/>
              </w:rPr>
              <w:t>řírůstek cen tržních služeb se zmenšil z +0,8 % ve 4. čtvrtletí 2014 na</w:t>
            </w:r>
            <w:r>
              <w:rPr>
                <w:spacing w:val="-2"/>
              </w:rPr>
              <w:t> </w:t>
            </w:r>
            <w:r w:rsidRPr="009F6BE5">
              <w:rPr>
                <w:spacing w:val="-2"/>
              </w:rPr>
              <w:t>+0,3 % v 1. kvartále 2015. Slabší růst cen na začátku roku bylo možné z části vysvětlit nižšími cenami ropy, které se promítly do cen pozemní a potrubní dopravy (</w:t>
            </w:r>
            <w:r>
              <w:rPr>
                <w:spacing w:val="-2"/>
              </w:rPr>
              <w:t xml:space="preserve">v posledním čtvrtletí 2014 +1,3 %, v 1. kvartále 2015 </w:t>
            </w:r>
            <w:r w:rsidRPr="009F6BE5">
              <w:rPr>
                <w:spacing w:val="-2"/>
              </w:rPr>
              <w:t>-0,3 %), především ale méně příznivým vývojem cen v segmentu podniků nabízejících odborné služby. V architektonických a inženýrských službách, informačních službách, právních a účetnických službách přešly ceny z růstu do poklesu, služby v oblasti programování a poradenství a služby související s pojištěním a penzijním financováním se na nižším přírůstku cen tržních služeb podílely menší dynamikou. Třetím dílkem do mozaiky – vysvětlujícím dezinflaci v segmentu tržních služeb – pak byl vývoj cen s</w:t>
            </w:r>
            <w:r>
              <w:rPr>
                <w:spacing w:val="-2"/>
              </w:rPr>
              <w:t>lužeb v oblasti zaměstnání, to znamená</w:t>
            </w:r>
            <w:r w:rsidRPr="009F6BE5">
              <w:rPr>
                <w:spacing w:val="-2"/>
              </w:rPr>
              <w:t xml:space="preserve"> služeb pracovních agentur. Jestliže v průběhu celého roku 2014 byly</w:t>
            </w:r>
            <w:r>
              <w:rPr>
                <w:spacing w:val="-2"/>
              </w:rPr>
              <w:t xml:space="preserve"> tyto ceny</w:t>
            </w:r>
            <w:r w:rsidRPr="009F6BE5">
              <w:rPr>
                <w:spacing w:val="-2"/>
              </w:rPr>
              <w:t xml:space="preserve"> meziročně výrazně vyšší (v</w:t>
            </w:r>
            <w:r>
              <w:rPr>
                <w:spacing w:val="-2"/>
              </w:rPr>
              <w:t> </w:t>
            </w:r>
            <w:r w:rsidRPr="009F6BE5">
              <w:rPr>
                <w:spacing w:val="-2"/>
              </w:rPr>
              <w:t>samotném 4. čtvrtletí o 4,7 %), v 1. čtvrtletí 2015 již o 2,9 % klesly.</w:t>
            </w:r>
          </w:p>
          <w:p w:rsidR="007D4281" w:rsidRPr="00E1743F" w:rsidRDefault="007D4281" w:rsidP="007D4281">
            <w:pPr>
              <w:pStyle w:val="Textpoznpodarou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Přestože koruna v meziročním srovnání oslabila vůči oběma hlavním světovým měnám, ze zahraničí byla v 1. čtvrtletí 2015 spolu se zbožím dovážena deflace, …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72536" w:rsidRPr="009C0A75" w:rsidRDefault="007D4281" w:rsidP="00000FA7">
            <w:pPr>
              <w:pStyle w:val="Textpoznpodarou"/>
              <w:jc w:val="both"/>
              <w:rPr>
                <w:spacing w:val="-6"/>
                <w:sz w:val="16"/>
                <w:szCs w:val="16"/>
              </w:rPr>
            </w:pPr>
            <w:r w:rsidRPr="009C0A75">
              <w:rPr>
                <w:spacing w:val="-6"/>
              </w:rPr>
              <w:t xml:space="preserve">Ceny dovozu zboží se v 1. čtvrtletí 2015 v meziročním srovnání snížily o 1,5 %, a to i přesto, že koruna oslabila vůči oběma hlavním světovým měnám (k euru o 0,7 %, k americkému dolaru dokonce o 22,5 %) a kurzový vývoj tak působil silně </w:t>
            </w:r>
            <w:proofErr w:type="spellStart"/>
            <w:r w:rsidRPr="009C0A75">
              <w:rPr>
                <w:spacing w:val="-6"/>
              </w:rPr>
              <w:t>proinflačně</w:t>
            </w:r>
            <w:proofErr w:type="spellEnd"/>
            <w:r w:rsidRPr="009C0A75">
              <w:rPr>
                <w:spacing w:val="-6"/>
              </w:rPr>
              <w:t>. Deflace na straně dovozu zboží byla dána především nižšími</w:t>
            </w:r>
            <w:r>
              <w:rPr>
                <w:spacing w:val="-6"/>
              </w:rPr>
              <w:t xml:space="preserve"> cenami</w:t>
            </w:r>
            <w:r w:rsidRPr="009C0A75">
              <w:rPr>
                <w:spacing w:val="-6"/>
              </w:rPr>
              <w:t xml:space="preserve"> minerálních paliv (meziročně byly nižší o čtvrtinu), ale také poklesem cen ostatních surovin (-11,2 %), chemikálií (-2,7 %) a potravin a živých zvířat (-1,4 %). Nejvíce zastoupená komodita na</w:t>
            </w:r>
            <w:r>
              <w:rPr>
                <w:spacing w:val="-6"/>
              </w:rPr>
              <w:t> </w:t>
            </w:r>
            <w:r w:rsidRPr="009C0A75">
              <w:rPr>
                <w:spacing w:val="-6"/>
              </w:rPr>
              <w:t>straně dovozu zboží do ČR, tedy stroje a dopravní prostředky, podražily o 3,9 %, druhé nejvýznamnější zboží – tj. polotovary – o 1,5 %.</w:t>
            </w:r>
          </w:p>
        </w:tc>
      </w:tr>
      <w:tr w:rsidR="007D4281" w:rsidRPr="007D44C3" w:rsidTr="007D4281">
        <w:tc>
          <w:tcPr>
            <w:tcW w:w="1054" w:type="pct"/>
          </w:tcPr>
          <w:p w:rsidR="007D4281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…pokles cen se ale nevyhnul ani straně vývozu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Default="007D4281" w:rsidP="007D4281">
            <w:pPr>
              <w:pStyle w:val="Textpoznpodarou"/>
              <w:jc w:val="both"/>
            </w:pPr>
            <w:r>
              <w:t xml:space="preserve">Pokles cen v meziročním srovnání se v 1. čtvrtletí 2015 nevyhnul ani straně vývozu (-0,5 %). Pramenil taktéž z nižších cen minerálních paliv (-13,5 %), chemikálií (-5,7 %), ostatních surovin (-5,6 %) a potravin a živých zvířat (-5,0 %), k deflaci navíc přispěl ale i pokles cen v málo významné třídě živočišných a rostlinných olejů (-4,8 %). Cenový růst v případě tří nejvýznamnějších tříd na straně vývozu sice setrval v pozitivních číslech, dosáhl ale jen do 1,0 % včetně </w:t>
            </w:r>
            <w:r w:rsidRPr="0082332B">
              <w:rPr>
                <w:spacing w:val="-4"/>
              </w:rPr>
              <w:t>–</w:t>
            </w:r>
            <w:r>
              <w:t xml:space="preserve"> ceny strojů a dopravních prostředků meziročně stouply o 0,9 %, polotovarů o 1,0 %, ceny průmyslového spotřebního zboží byly vyšší o 0,6 %.</w:t>
            </w:r>
          </w:p>
          <w:p w:rsidR="007D4281" w:rsidRPr="00E130EE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Směnné relace </w:t>
            </w:r>
            <w:r w:rsidRPr="00CA3796">
              <w:rPr>
                <w:color w:val="000000" w:themeColor="text1"/>
                <w:spacing w:val="-6"/>
                <w:sz w:val="16"/>
                <w:szCs w:val="16"/>
              </w:rPr>
              <w:t>v zahraničním obchodě se zbožím se v 1. čtvrtletí 2015 meziročně zlepšily o 1,0 %, …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Default="007D4281" w:rsidP="007D4281">
            <w:pPr>
              <w:pStyle w:val="Textpoznpodarou"/>
              <w:jc w:val="both"/>
            </w:pPr>
            <w:r>
              <w:t>Mělčí meziroční pokles cen vývozu zboží v porovnání s cenami dovozu se promítnul do pozitivních směnných relací. Zlepšily se o 1,0 %, proti čtvrtletí předchozímu jejich hodnota mírně narostla (v posledním kvartále 2014 se směnné relace meziročně zlepšily o 0,9 %). Byly pozitivní již deváté čtvrtletí za sebou.</w:t>
            </w:r>
          </w:p>
          <w:p w:rsidR="007D4281" w:rsidRPr="004E3391" w:rsidRDefault="007D4281" w:rsidP="007D428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D4281" w:rsidRPr="007D44C3" w:rsidTr="007D4281">
        <w:tc>
          <w:tcPr>
            <w:tcW w:w="1054" w:type="pct"/>
          </w:tcPr>
          <w:p w:rsidR="007D4281" w:rsidRDefault="007D4281" w:rsidP="007D4281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…a to zejména vlivem hlubšího poklesu cen dovozu minerálních paliv oproti snížení jejich cen na straně vývozu</w:t>
            </w:r>
          </w:p>
        </w:tc>
        <w:tc>
          <w:tcPr>
            <w:tcW w:w="143" w:type="pct"/>
          </w:tcPr>
          <w:p w:rsidR="007D4281" w:rsidRPr="0021355B" w:rsidRDefault="007D4281" w:rsidP="007D4281">
            <w:pPr>
              <w:pStyle w:val="Textpoznpodarou"/>
              <w:jc w:val="both"/>
              <w:rPr>
                <w:color w:val="000000" w:themeColor="text1"/>
              </w:rPr>
            </w:pPr>
          </w:p>
        </w:tc>
        <w:tc>
          <w:tcPr>
            <w:tcW w:w="3803" w:type="pct"/>
          </w:tcPr>
          <w:p w:rsidR="007D4281" w:rsidRPr="00BD2A87" w:rsidRDefault="007D4281" w:rsidP="007D4281">
            <w:pPr>
              <w:pStyle w:val="Textpoznpodarou"/>
              <w:jc w:val="both"/>
              <w:rPr>
                <w:spacing w:val="-2"/>
              </w:rPr>
            </w:pPr>
            <w:r w:rsidRPr="00BD2A87">
              <w:rPr>
                <w:spacing w:val="-2"/>
              </w:rPr>
              <w:t xml:space="preserve">Přestože z pohledu celkových směnných relací bylo možné vývoj cen v zahraničním obchodě se zbožím považovat za příznivý, co do počtu převážily ty </w:t>
            </w:r>
            <w:r>
              <w:rPr>
                <w:spacing w:val="-2"/>
              </w:rPr>
              <w:t>třídy</w:t>
            </w:r>
            <w:r w:rsidRPr="00BD2A87">
              <w:rPr>
                <w:spacing w:val="-2"/>
              </w:rPr>
              <w:t>, ve</w:t>
            </w:r>
            <w:r>
              <w:rPr>
                <w:spacing w:val="-2"/>
              </w:rPr>
              <w:t> </w:t>
            </w:r>
            <w:r w:rsidRPr="00BD2A87">
              <w:rPr>
                <w:spacing w:val="-2"/>
              </w:rPr>
              <w:t>kterých</w:t>
            </w:r>
            <w:r>
              <w:rPr>
                <w:spacing w:val="-2"/>
              </w:rPr>
              <w:t> </w:t>
            </w:r>
            <w:r w:rsidRPr="00BD2A87">
              <w:rPr>
                <w:spacing w:val="-2"/>
              </w:rPr>
              <w:t>se směnné relace zhoršily. Zlepšily se totiž jen v případě minerálních paliv (+15,3 %), ostatních surovin (+6,3 %) a nápojů a tabáku (+3,9 %).</w:t>
            </w:r>
          </w:p>
        </w:tc>
      </w:tr>
    </w:tbl>
    <w:p w:rsidR="007D4281" w:rsidRDefault="007D4281" w:rsidP="007D4281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961"/>
        <w:gridCol w:w="3966"/>
        <w:gridCol w:w="910"/>
        <w:gridCol w:w="4017"/>
      </w:tblGrid>
      <w:tr w:rsidR="007D4281" w:rsidRPr="0021355B" w:rsidTr="007D4281">
        <w:tc>
          <w:tcPr>
            <w:tcW w:w="487" w:type="pct"/>
          </w:tcPr>
          <w:p w:rsidR="007D4281" w:rsidRPr="0021355B" w:rsidRDefault="007D4281" w:rsidP="007D4281">
            <w:pPr>
              <w:pStyle w:val="Textpoznpodarou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Graf č. 11</w:t>
            </w:r>
          </w:p>
        </w:tc>
        <w:tc>
          <w:tcPr>
            <w:tcW w:w="2013" w:type="pct"/>
          </w:tcPr>
          <w:p w:rsidR="007D4281" w:rsidRPr="0021355B" w:rsidRDefault="007D4281" w:rsidP="007D4281">
            <w:pPr>
              <w:pStyle w:val="Textpoznpodarou"/>
              <w:rPr>
                <w:color w:val="000000" w:themeColor="text1"/>
              </w:rPr>
            </w:pPr>
            <w:r w:rsidRPr="0021355B">
              <w:rPr>
                <w:b/>
                <w:color w:val="000000" w:themeColor="text1"/>
              </w:rPr>
              <w:t>Růst spotřebitelských cen jednotlivých typů domácností</w:t>
            </w:r>
            <w:r w:rsidRPr="0021355B">
              <w:rPr>
                <w:color w:val="000000" w:themeColor="text1"/>
              </w:rPr>
              <w:t xml:space="preserve"> (y/y v %)</w:t>
            </w:r>
          </w:p>
        </w:tc>
        <w:tc>
          <w:tcPr>
            <w:tcW w:w="461" w:type="pct"/>
          </w:tcPr>
          <w:p w:rsidR="007D4281" w:rsidRPr="0021355B" w:rsidRDefault="007D4281" w:rsidP="007D4281">
            <w:pPr>
              <w:pStyle w:val="Textpoznpodarou"/>
              <w:rPr>
                <w:color w:val="000000" w:themeColor="text1"/>
              </w:rPr>
            </w:pPr>
            <w:r w:rsidRPr="0021355B">
              <w:rPr>
                <w:color w:val="000000" w:themeColor="text1"/>
              </w:rPr>
              <w:t>Graf č. 12</w:t>
            </w:r>
          </w:p>
        </w:tc>
        <w:tc>
          <w:tcPr>
            <w:tcW w:w="2039" w:type="pct"/>
          </w:tcPr>
          <w:p w:rsidR="007D4281" w:rsidRPr="0021355B" w:rsidRDefault="007D4281" w:rsidP="007D4281">
            <w:pPr>
              <w:pStyle w:val="Textpoznpodarou"/>
              <w:rPr>
                <w:color w:val="000000" w:themeColor="text1"/>
              </w:rPr>
            </w:pPr>
            <w:r w:rsidRPr="0021355B">
              <w:rPr>
                <w:b/>
                <w:color w:val="000000" w:themeColor="text1"/>
              </w:rPr>
              <w:t>Růst cen ve vybraných oddílech CPI</w:t>
            </w:r>
            <w:r w:rsidRPr="0021355B">
              <w:rPr>
                <w:color w:val="000000" w:themeColor="text1"/>
              </w:rPr>
              <w:t xml:space="preserve"> (y/y v %)</w:t>
            </w:r>
          </w:p>
        </w:tc>
      </w:tr>
      <w:tr w:rsidR="007D4281" w:rsidRPr="0021355B" w:rsidTr="007D4281">
        <w:tc>
          <w:tcPr>
            <w:tcW w:w="2500" w:type="pct"/>
            <w:gridSpan w:val="2"/>
          </w:tcPr>
          <w:p w:rsidR="007D4281" w:rsidRPr="0021355B" w:rsidRDefault="00721368" w:rsidP="007D4281">
            <w:pPr>
              <w:pStyle w:val="Textpoznpodarou"/>
              <w:jc w:val="both"/>
              <w:rPr>
                <w:color w:val="000000" w:themeColor="text1"/>
              </w:rPr>
            </w:pPr>
            <w:r w:rsidRPr="00C16D0E">
              <w:rPr>
                <w:noProof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37pt;height:187.5pt;visibility:visible;mso-wrap-style:square">
                  <v:imagedata r:id="rId8" o:title=""/>
                </v:shape>
              </w:pict>
            </w:r>
          </w:p>
        </w:tc>
        <w:tc>
          <w:tcPr>
            <w:tcW w:w="2500" w:type="pct"/>
            <w:gridSpan w:val="2"/>
          </w:tcPr>
          <w:p w:rsidR="007D4281" w:rsidRPr="0021355B" w:rsidRDefault="00721368" w:rsidP="007D4281">
            <w:pPr>
              <w:pStyle w:val="Textpoznpodarou"/>
              <w:jc w:val="both"/>
              <w:rPr>
                <w:color w:val="000000" w:themeColor="text1"/>
              </w:rPr>
            </w:pPr>
            <w:r w:rsidRPr="00C16D0E">
              <w:rPr>
                <w:noProof/>
                <w:color w:val="000000" w:themeColor="text1"/>
              </w:rPr>
              <w:pict>
                <v:shape id="_x0000_i1036" type="#_x0000_t75" style="width:237pt;height:187.5pt;visibility:visible;mso-wrap-style:square">
                  <v:imagedata r:id="rId9" o:title=""/>
                </v:shape>
              </w:pict>
            </w:r>
          </w:p>
        </w:tc>
      </w:tr>
      <w:tr w:rsidR="007D4281" w:rsidRPr="0021355B" w:rsidTr="007D4281">
        <w:tc>
          <w:tcPr>
            <w:tcW w:w="5000" w:type="pct"/>
            <w:gridSpan w:val="4"/>
          </w:tcPr>
          <w:p w:rsidR="007D4281" w:rsidRPr="0021355B" w:rsidRDefault="007D4281" w:rsidP="007D4281">
            <w:pPr>
              <w:pStyle w:val="Textpoznpodarou"/>
              <w:jc w:val="right"/>
              <w:rPr>
                <w:noProof/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Zdroj</w:t>
            </w:r>
            <w:r w:rsidRPr="0021355B">
              <w:rPr>
                <w:color w:val="000000" w:themeColor="text1"/>
                <w:sz w:val="18"/>
                <w:szCs w:val="18"/>
              </w:rPr>
              <w:t>: ČSÚ</w:t>
            </w:r>
          </w:p>
        </w:tc>
      </w:tr>
    </w:tbl>
    <w:p w:rsidR="007D4281" w:rsidRPr="00ED2CA5" w:rsidRDefault="007D4281" w:rsidP="007D4281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043"/>
        <w:gridCol w:w="3884"/>
        <w:gridCol w:w="881"/>
        <w:gridCol w:w="4046"/>
      </w:tblGrid>
      <w:tr w:rsidR="007D4281" w:rsidRPr="0021355B" w:rsidTr="007D4281">
        <w:tc>
          <w:tcPr>
            <w:tcW w:w="527" w:type="pct"/>
          </w:tcPr>
          <w:p w:rsidR="007D4281" w:rsidRPr="007D4281" w:rsidRDefault="007D4281" w:rsidP="007D4281">
            <w:pPr>
              <w:pStyle w:val="Textpoznpodarou"/>
              <w:rPr>
                <w:color w:val="000000" w:themeColor="text1"/>
                <w:lang w:eastAsia="en-US"/>
              </w:rPr>
            </w:pPr>
            <w:r w:rsidRPr="007D4281">
              <w:rPr>
                <w:color w:val="000000" w:themeColor="text1"/>
                <w:lang w:eastAsia="en-US"/>
              </w:rPr>
              <w:t>Graf č. 13</w:t>
            </w:r>
          </w:p>
        </w:tc>
        <w:tc>
          <w:tcPr>
            <w:tcW w:w="1964" w:type="pct"/>
          </w:tcPr>
          <w:p w:rsidR="007D4281" w:rsidRPr="007D4281" w:rsidRDefault="007D4281" w:rsidP="007D4281">
            <w:pPr>
              <w:pStyle w:val="Textpoznpodarou"/>
              <w:rPr>
                <w:color w:val="000000" w:themeColor="text1"/>
                <w:lang w:eastAsia="en-US"/>
              </w:rPr>
            </w:pPr>
            <w:r w:rsidRPr="007D4281">
              <w:rPr>
                <w:b/>
                <w:color w:val="000000" w:themeColor="text1"/>
                <w:lang w:eastAsia="en-US"/>
              </w:rPr>
              <w:t>Deflátory</w:t>
            </w:r>
            <w:r w:rsidRPr="007D4281">
              <w:rPr>
                <w:color w:val="000000" w:themeColor="text1"/>
                <w:lang w:eastAsia="en-US"/>
              </w:rPr>
              <w:t xml:space="preserve"> (očištěno od sezónnosti a vlivu počtu pracovních dní, y/y v %)</w:t>
            </w:r>
          </w:p>
        </w:tc>
        <w:tc>
          <w:tcPr>
            <w:tcW w:w="448" w:type="pct"/>
          </w:tcPr>
          <w:p w:rsidR="007D4281" w:rsidRPr="007D4281" w:rsidRDefault="007D4281" w:rsidP="007D4281">
            <w:pPr>
              <w:pStyle w:val="Textpoznpodarou"/>
              <w:rPr>
                <w:color w:val="000000" w:themeColor="text1"/>
                <w:lang w:eastAsia="en-US"/>
              </w:rPr>
            </w:pPr>
            <w:r w:rsidRPr="007D4281">
              <w:rPr>
                <w:color w:val="000000" w:themeColor="text1"/>
                <w:lang w:eastAsia="en-US"/>
              </w:rPr>
              <w:t>Graf č. 14</w:t>
            </w:r>
          </w:p>
        </w:tc>
        <w:tc>
          <w:tcPr>
            <w:tcW w:w="2061" w:type="pct"/>
          </w:tcPr>
          <w:p w:rsidR="007D4281" w:rsidRPr="007D4281" w:rsidRDefault="007D4281" w:rsidP="007D4281">
            <w:pPr>
              <w:pStyle w:val="Textpoznpodarou"/>
              <w:rPr>
                <w:color w:val="000000" w:themeColor="text1"/>
                <w:spacing w:val="-6"/>
                <w:lang w:eastAsia="en-US"/>
              </w:rPr>
            </w:pPr>
            <w:r w:rsidRPr="007D4281">
              <w:rPr>
                <w:b/>
                <w:color w:val="000000" w:themeColor="text1"/>
                <w:spacing w:val="-6"/>
                <w:lang w:eastAsia="en-US"/>
              </w:rPr>
              <w:t>Ceny výrobců</w:t>
            </w:r>
            <w:r w:rsidRPr="007D4281">
              <w:rPr>
                <w:color w:val="000000" w:themeColor="text1"/>
                <w:spacing w:val="-6"/>
                <w:lang w:eastAsia="en-US"/>
              </w:rPr>
              <w:t xml:space="preserve"> (y/y v %, ceny v zemědělství na pravé ose, ostatní na levé ose)</w:t>
            </w:r>
          </w:p>
        </w:tc>
      </w:tr>
      <w:tr w:rsidR="007D4281" w:rsidRPr="0021355B" w:rsidTr="007D4281">
        <w:tc>
          <w:tcPr>
            <w:tcW w:w="2491" w:type="pct"/>
            <w:gridSpan w:val="2"/>
          </w:tcPr>
          <w:p w:rsidR="007D4281" w:rsidRPr="007D4281" w:rsidRDefault="00721368" w:rsidP="007D4281">
            <w:pPr>
              <w:pStyle w:val="Textpoznpodarou"/>
              <w:jc w:val="both"/>
              <w:rPr>
                <w:color w:val="000000" w:themeColor="text1"/>
                <w:lang w:eastAsia="en-US"/>
              </w:rPr>
            </w:pPr>
            <w:r w:rsidRPr="00C16D0E">
              <w:rPr>
                <w:noProof/>
                <w:color w:val="000000" w:themeColor="text1"/>
              </w:rPr>
              <w:pict>
                <v:shape id="_x0000_i1037" type="#_x0000_t75" style="width:237pt;height:187.5pt;visibility:visible;mso-wrap-style:square">
                  <v:imagedata r:id="rId10" o:title=""/>
                </v:shape>
              </w:pict>
            </w:r>
          </w:p>
        </w:tc>
        <w:tc>
          <w:tcPr>
            <w:tcW w:w="2509" w:type="pct"/>
            <w:gridSpan w:val="2"/>
          </w:tcPr>
          <w:p w:rsidR="007D4281" w:rsidRPr="007D4281" w:rsidRDefault="00721368" w:rsidP="007D4281">
            <w:pPr>
              <w:pStyle w:val="Textpoznpodarou"/>
              <w:jc w:val="both"/>
              <w:rPr>
                <w:color w:val="000000" w:themeColor="text1"/>
                <w:lang w:eastAsia="en-US"/>
              </w:rPr>
            </w:pPr>
            <w:r w:rsidRPr="00C16D0E">
              <w:rPr>
                <w:noProof/>
                <w:color w:val="000000" w:themeColor="text1"/>
              </w:rPr>
              <w:pict>
                <v:shape id="_x0000_i1038" type="#_x0000_t75" style="width:237pt;height:186pt;visibility:visible;mso-wrap-style:square">
                  <v:imagedata r:id="rId11" o:title=""/>
                </v:shape>
              </w:pict>
            </w:r>
          </w:p>
        </w:tc>
      </w:tr>
      <w:tr w:rsidR="007D4281" w:rsidRPr="0021355B" w:rsidTr="007D4281">
        <w:tc>
          <w:tcPr>
            <w:tcW w:w="5000" w:type="pct"/>
            <w:gridSpan w:val="4"/>
          </w:tcPr>
          <w:p w:rsidR="007D4281" w:rsidRPr="007D4281" w:rsidRDefault="007D4281" w:rsidP="007D4281">
            <w:pPr>
              <w:pStyle w:val="Textpoznpodarou"/>
              <w:jc w:val="right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D4281">
              <w:rPr>
                <w:color w:val="000000" w:themeColor="text1"/>
                <w:sz w:val="18"/>
                <w:szCs w:val="18"/>
                <w:lang w:eastAsia="en-US"/>
              </w:rPr>
              <w:t>Zdroj: ČSÚ</w:t>
            </w:r>
          </w:p>
        </w:tc>
      </w:tr>
    </w:tbl>
    <w:p w:rsidR="007D4281" w:rsidRDefault="007D4281" w:rsidP="007D4281"/>
    <w:sectPr w:rsidR="007D4281" w:rsidSect="0072136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4D" w:rsidRDefault="00AB104D" w:rsidP="00E71A58">
      <w:r>
        <w:separator/>
      </w:r>
    </w:p>
  </w:endnote>
  <w:endnote w:type="continuationSeparator" w:id="0">
    <w:p w:rsidR="00AB104D" w:rsidRDefault="00AB104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C16D0E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AB104D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21368">
      <w:rPr>
        <w:rFonts w:ascii="Arial" w:hAnsi="Arial" w:cs="Arial"/>
        <w:noProof/>
        <w:sz w:val="16"/>
        <w:szCs w:val="16"/>
      </w:rPr>
      <w:t>16</w:t>
    </w:r>
    <w:r w:rsidRPr="005A21E0">
      <w:rPr>
        <w:rFonts w:ascii="Arial" w:hAnsi="Arial" w:cs="Arial"/>
        <w:sz w:val="16"/>
        <w:szCs w:val="16"/>
      </w:rPr>
      <w:fldChar w:fldCharType="end"/>
    </w:r>
    <w:r w:rsidR="00AB104D">
      <w:rPr>
        <w:rFonts w:ascii="Arial" w:hAnsi="Arial" w:cs="Arial"/>
        <w:sz w:val="16"/>
        <w:szCs w:val="16"/>
      </w:rPr>
      <w:tab/>
      <w:t>2015</w:t>
    </w:r>
    <w:r w:rsidR="00AB104D">
      <w:tab/>
    </w:r>
    <w:r w:rsidR="00AB104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Default="00C16D0E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AB104D">
      <w:tab/>
    </w:r>
    <w:r w:rsidR="00AB104D">
      <w:tab/>
    </w:r>
    <w:r w:rsidR="00AB104D" w:rsidRPr="00DC5B3B">
      <w:t xml:space="preserve">                              </w:t>
    </w:r>
  </w:p>
  <w:p w:rsidR="00AB104D" w:rsidRPr="00223E00" w:rsidRDefault="00AB104D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C16D0E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C16D0E" w:rsidRPr="00223E00">
      <w:rPr>
        <w:rFonts w:ascii="Arial" w:hAnsi="Arial" w:cs="Arial"/>
        <w:sz w:val="16"/>
        <w:szCs w:val="16"/>
      </w:rPr>
      <w:fldChar w:fldCharType="separate"/>
    </w:r>
    <w:r w:rsidR="00721368">
      <w:rPr>
        <w:rFonts w:ascii="Arial" w:hAnsi="Arial" w:cs="Arial"/>
        <w:noProof/>
        <w:sz w:val="16"/>
        <w:szCs w:val="16"/>
      </w:rPr>
      <w:t>15</w:t>
    </w:r>
    <w:r w:rsidR="00C16D0E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4D" w:rsidRDefault="00AB104D" w:rsidP="00E71A58">
      <w:r>
        <w:separator/>
      </w:r>
    </w:p>
  </w:footnote>
  <w:footnote w:type="continuationSeparator" w:id="0">
    <w:p w:rsidR="00AB104D" w:rsidRDefault="00AB104D" w:rsidP="00E71A58">
      <w:r>
        <w:continuationSeparator/>
      </w:r>
    </w:p>
  </w:footnote>
  <w:footnote w:id="1">
    <w:p w:rsidR="00AB104D" w:rsidRPr="00F82C8F" w:rsidRDefault="00AB104D" w:rsidP="007D4281">
      <w:pPr>
        <w:pStyle w:val="Textpoznpodarou"/>
        <w:rPr>
          <w:sz w:val="16"/>
          <w:szCs w:val="16"/>
        </w:rPr>
      </w:pPr>
      <w:r w:rsidRPr="00F82C8F">
        <w:rPr>
          <w:rStyle w:val="Znakapoznpodarou"/>
          <w:sz w:val="16"/>
          <w:szCs w:val="16"/>
        </w:rPr>
        <w:footnoteRef/>
      </w:r>
      <w:r w:rsidRPr="00F82C8F">
        <w:rPr>
          <w:sz w:val="16"/>
          <w:szCs w:val="16"/>
        </w:rPr>
        <w:t xml:space="preserve"> Sezónně očištěno.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173642" w:rsidRDefault="00AB104D" w:rsidP="00173642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4D" w:rsidRPr="00DC5B3B" w:rsidRDefault="00AB104D" w:rsidP="002C609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DD5"/>
    <w:multiLevelType w:val="hybridMultilevel"/>
    <w:tmpl w:val="DA92C4B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78D2"/>
    <w:rsid w:val="000F3332"/>
    <w:rsid w:val="000F33EE"/>
    <w:rsid w:val="000F401E"/>
    <w:rsid w:val="000F5445"/>
    <w:rsid w:val="000F67B2"/>
    <w:rsid w:val="000F7E1B"/>
    <w:rsid w:val="00100014"/>
    <w:rsid w:val="0010039A"/>
    <w:rsid w:val="00102F02"/>
    <w:rsid w:val="001041B6"/>
    <w:rsid w:val="001070EA"/>
    <w:rsid w:val="0011002A"/>
    <w:rsid w:val="0011110A"/>
    <w:rsid w:val="001118AF"/>
    <w:rsid w:val="0011256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74CF"/>
    <w:rsid w:val="00190D9B"/>
    <w:rsid w:val="00191BAE"/>
    <w:rsid w:val="00195444"/>
    <w:rsid w:val="001A2BDB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48E1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1D59"/>
    <w:rsid w:val="00252602"/>
    <w:rsid w:val="00252FDC"/>
    <w:rsid w:val="00261E5B"/>
    <w:rsid w:val="00263470"/>
    <w:rsid w:val="00263733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D29"/>
    <w:rsid w:val="00477241"/>
    <w:rsid w:val="00477EAF"/>
    <w:rsid w:val="00477EE0"/>
    <w:rsid w:val="0048139F"/>
    <w:rsid w:val="00483053"/>
    <w:rsid w:val="004879E9"/>
    <w:rsid w:val="00491218"/>
    <w:rsid w:val="00493362"/>
    <w:rsid w:val="00496C2F"/>
    <w:rsid w:val="0049740D"/>
    <w:rsid w:val="004A11F8"/>
    <w:rsid w:val="004A22FA"/>
    <w:rsid w:val="004A269A"/>
    <w:rsid w:val="004A30FB"/>
    <w:rsid w:val="004A35DD"/>
    <w:rsid w:val="004A37D3"/>
    <w:rsid w:val="004A5865"/>
    <w:rsid w:val="004A77DF"/>
    <w:rsid w:val="004B0295"/>
    <w:rsid w:val="004B22DA"/>
    <w:rsid w:val="004B3CB7"/>
    <w:rsid w:val="004B3D55"/>
    <w:rsid w:val="004B55B7"/>
    <w:rsid w:val="004C00A6"/>
    <w:rsid w:val="004C0BBB"/>
    <w:rsid w:val="004C3382"/>
    <w:rsid w:val="004C3867"/>
    <w:rsid w:val="004C4CD0"/>
    <w:rsid w:val="004C57B5"/>
    <w:rsid w:val="004C5C25"/>
    <w:rsid w:val="004C6CFF"/>
    <w:rsid w:val="004C70DC"/>
    <w:rsid w:val="004C7268"/>
    <w:rsid w:val="004D0211"/>
    <w:rsid w:val="004D1C9C"/>
    <w:rsid w:val="004D504B"/>
    <w:rsid w:val="004D536E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10189"/>
    <w:rsid w:val="005108C0"/>
    <w:rsid w:val="00511873"/>
    <w:rsid w:val="00513B7E"/>
    <w:rsid w:val="00514474"/>
    <w:rsid w:val="005215EF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118AA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260E"/>
    <w:rsid w:val="0068373D"/>
    <w:rsid w:val="00683BFE"/>
    <w:rsid w:val="006857DF"/>
    <w:rsid w:val="00685E66"/>
    <w:rsid w:val="00686B72"/>
    <w:rsid w:val="00690A09"/>
    <w:rsid w:val="00693FEA"/>
    <w:rsid w:val="00695170"/>
    <w:rsid w:val="00695BEF"/>
    <w:rsid w:val="006960D6"/>
    <w:rsid w:val="00696AA5"/>
    <w:rsid w:val="006977F6"/>
    <w:rsid w:val="00697A13"/>
    <w:rsid w:val="006A109C"/>
    <w:rsid w:val="006A672B"/>
    <w:rsid w:val="006B3F8A"/>
    <w:rsid w:val="006B5CA3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47D5"/>
    <w:rsid w:val="00705D98"/>
    <w:rsid w:val="00707891"/>
    <w:rsid w:val="00711EF1"/>
    <w:rsid w:val="0071229A"/>
    <w:rsid w:val="00712572"/>
    <w:rsid w:val="00713495"/>
    <w:rsid w:val="00720FA2"/>
    <w:rsid w:val="007211F5"/>
    <w:rsid w:val="00721368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4253"/>
    <w:rsid w:val="007558D3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3387"/>
    <w:rsid w:val="00793BAE"/>
    <w:rsid w:val="00794E0A"/>
    <w:rsid w:val="00796642"/>
    <w:rsid w:val="007A11D9"/>
    <w:rsid w:val="007A327B"/>
    <w:rsid w:val="007A4606"/>
    <w:rsid w:val="007B3DCC"/>
    <w:rsid w:val="007B4518"/>
    <w:rsid w:val="007B5031"/>
    <w:rsid w:val="007B573F"/>
    <w:rsid w:val="007D2A5A"/>
    <w:rsid w:val="007D2AD8"/>
    <w:rsid w:val="007D2C47"/>
    <w:rsid w:val="007D3167"/>
    <w:rsid w:val="007D4281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7E29"/>
    <w:rsid w:val="00870F2B"/>
    <w:rsid w:val="008746E6"/>
    <w:rsid w:val="00876086"/>
    <w:rsid w:val="008768D6"/>
    <w:rsid w:val="008775D1"/>
    <w:rsid w:val="008777BB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43A5"/>
    <w:rsid w:val="00926283"/>
    <w:rsid w:val="00937B11"/>
    <w:rsid w:val="00940F1F"/>
    <w:rsid w:val="00941250"/>
    <w:rsid w:val="0094427A"/>
    <w:rsid w:val="009459C5"/>
    <w:rsid w:val="0095013A"/>
    <w:rsid w:val="00953AEF"/>
    <w:rsid w:val="009551E2"/>
    <w:rsid w:val="00955783"/>
    <w:rsid w:val="00955E5F"/>
    <w:rsid w:val="009560B0"/>
    <w:rsid w:val="00957871"/>
    <w:rsid w:val="00964498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9DF"/>
    <w:rsid w:val="00980621"/>
    <w:rsid w:val="00982072"/>
    <w:rsid w:val="00983ECF"/>
    <w:rsid w:val="00986745"/>
    <w:rsid w:val="009871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B4B"/>
    <w:rsid w:val="009B6FD3"/>
    <w:rsid w:val="009B70BD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BEA"/>
    <w:rsid w:val="00B3793D"/>
    <w:rsid w:val="00B41BE6"/>
    <w:rsid w:val="00B457E7"/>
    <w:rsid w:val="00B45D1B"/>
    <w:rsid w:val="00B47430"/>
    <w:rsid w:val="00B52D2D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22D2"/>
    <w:rsid w:val="00B848B8"/>
    <w:rsid w:val="00B84A41"/>
    <w:rsid w:val="00B84D57"/>
    <w:rsid w:val="00B85689"/>
    <w:rsid w:val="00B86748"/>
    <w:rsid w:val="00B91EC9"/>
    <w:rsid w:val="00B924CA"/>
    <w:rsid w:val="00B93384"/>
    <w:rsid w:val="00B94417"/>
    <w:rsid w:val="00B95940"/>
    <w:rsid w:val="00B95EF8"/>
    <w:rsid w:val="00B95F50"/>
    <w:rsid w:val="00B96BD9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6D0E"/>
    <w:rsid w:val="00C1711F"/>
    <w:rsid w:val="00C20744"/>
    <w:rsid w:val="00C20C4D"/>
    <w:rsid w:val="00C21D46"/>
    <w:rsid w:val="00C21F94"/>
    <w:rsid w:val="00C222A1"/>
    <w:rsid w:val="00C23D22"/>
    <w:rsid w:val="00C24E77"/>
    <w:rsid w:val="00C2732D"/>
    <w:rsid w:val="00C273C6"/>
    <w:rsid w:val="00C27913"/>
    <w:rsid w:val="00C300C6"/>
    <w:rsid w:val="00C3271C"/>
    <w:rsid w:val="00C34FDE"/>
    <w:rsid w:val="00C35C16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ECF"/>
    <w:rsid w:val="00D142E5"/>
    <w:rsid w:val="00D148CD"/>
    <w:rsid w:val="00D1611E"/>
    <w:rsid w:val="00D16E69"/>
    <w:rsid w:val="00D205A9"/>
    <w:rsid w:val="00D217EE"/>
    <w:rsid w:val="00D26923"/>
    <w:rsid w:val="00D27856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3AF9-3FA5-4412-897D-4A45752E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19</TotalTime>
  <Pages>3</Pages>
  <Words>1952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dubska1552</cp:lastModifiedBy>
  <cp:revision>6</cp:revision>
  <cp:lastPrinted>2015-06-19T06:21:00Z</cp:lastPrinted>
  <dcterms:created xsi:type="dcterms:W3CDTF">2015-06-19T08:08:00Z</dcterms:created>
  <dcterms:modified xsi:type="dcterms:W3CDTF">2015-06-19T08:46:00Z</dcterms:modified>
</cp:coreProperties>
</file>