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F1" w:rsidRDefault="00986EF1" w:rsidP="005F035D">
      <w:pPr>
        <w:pStyle w:val="Nadpis1"/>
        <w:spacing w:before="0" w:after="0"/>
        <w:ind w:left="431" w:hanging="431"/>
      </w:pPr>
      <w:r>
        <w:t>Úmrtnost</w:t>
      </w:r>
    </w:p>
    <w:p w:rsidR="00986EF1" w:rsidRPr="005F035D" w:rsidRDefault="00986EF1">
      <w:pPr>
        <w:rPr>
          <w:sz w:val="24"/>
        </w:rPr>
      </w:pPr>
    </w:p>
    <w:p w:rsidR="00D75E2C" w:rsidRDefault="008D3B78">
      <w:pPr>
        <w:pStyle w:val="Pedmtkomente"/>
        <w:rPr>
          <w:bCs w:val="0"/>
          <w:szCs w:val="24"/>
        </w:rPr>
      </w:pPr>
      <w:r>
        <w:rPr>
          <w:bCs w:val="0"/>
          <w:szCs w:val="24"/>
        </w:rPr>
        <w:t xml:space="preserve">V roce 2014 se počet zemřelých meziročně snížil </w:t>
      </w:r>
      <w:r w:rsidR="00FB7749">
        <w:rPr>
          <w:bCs w:val="0"/>
          <w:szCs w:val="24"/>
        </w:rPr>
        <w:t xml:space="preserve">o 3,5 tisíce </w:t>
      </w:r>
      <w:r>
        <w:rPr>
          <w:bCs w:val="0"/>
          <w:szCs w:val="24"/>
        </w:rPr>
        <w:t xml:space="preserve">na 105,7 tisíce. </w:t>
      </w:r>
      <w:r w:rsidR="00F675A9">
        <w:rPr>
          <w:bCs w:val="0"/>
          <w:szCs w:val="24"/>
        </w:rPr>
        <w:t>Naděje dožití při narození se zvýšila u obou pohlaví o 0,6 roku a dosáhla 75,8</w:t>
      </w:r>
      <w:r w:rsidR="001D683C">
        <w:rPr>
          <w:bCs w:val="0"/>
          <w:szCs w:val="24"/>
        </w:rPr>
        <w:t xml:space="preserve"> </w:t>
      </w:r>
      <w:r w:rsidR="00F675A9">
        <w:rPr>
          <w:bCs w:val="0"/>
          <w:szCs w:val="24"/>
        </w:rPr>
        <w:t xml:space="preserve">let u mužů a 81,6 let u žen. </w:t>
      </w:r>
      <w:r w:rsidR="00FB7749">
        <w:rPr>
          <w:bCs w:val="0"/>
          <w:szCs w:val="24"/>
        </w:rPr>
        <w:t xml:space="preserve">Kojenecká úmrtnost se snížila o jednu desetinu </w:t>
      </w:r>
      <w:r w:rsidR="00B135E5">
        <w:rPr>
          <w:bCs w:val="0"/>
          <w:szCs w:val="24"/>
        </w:rPr>
        <w:t xml:space="preserve">promilového </w:t>
      </w:r>
      <w:r w:rsidR="00FB7749">
        <w:rPr>
          <w:bCs w:val="0"/>
          <w:szCs w:val="24"/>
        </w:rPr>
        <w:t>bodu na hodnot</w:t>
      </w:r>
      <w:r w:rsidR="002B34FD">
        <w:rPr>
          <w:bCs w:val="0"/>
          <w:szCs w:val="24"/>
        </w:rPr>
        <w:t>u</w:t>
      </w:r>
      <w:r w:rsidR="00FB7749">
        <w:rPr>
          <w:bCs w:val="0"/>
          <w:szCs w:val="24"/>
        </w:rPr>
        <w:t xml:space="preserve"> 2,4 promile. U mužů i žen došlo ke snížení úmrtnosti na nemoci oběhové soustavy</w:t>
      </w:r>
      <w:r w:rsidR="00B135E5">
        <w:rPr>
          <w:bCs w:val="0"/>
          <w:szCs w:val="24"/>
        </w:rPr>
        <w:t>,</w:t>
      </w:r>
      <w:r w:rsidR="00FB7749">
        <w:rPr>
          <w:bCs w:val="0"/>
          <w:szCs w:val="24"/>
        </w:rPr>
        <w:t xml:space="preserve"> novotvary</w:t>
      </w:r>
      <w:r w:rsidR="00B135E5">
        <w:rPr>
          <w:bCs w:val="0"/>
          <w:szCs w:val="24"/>
        </w:rPr>
        <w:t xml:space="preserve"> a </w:t>
      </w:r>
      <w:r w:rsidR="004B0B53">
        <w:rPr>
          <w:bCs w:val="0"/>
          <w:szCs w:val="24"/>
        </w:rPr>
        <w:t xml:space="preserve">nemoci </w:t>
      </w:r>
      <w:r w:rsidR="00B135E5">
        <w:rPr>
          <w:bCs w:val="0"/>
          <w:szCs w:val="24"/>
        </w:rPr>
        <w:t>dýchací soustavy</w:t>
      </w:r>
      <w:r w:rsidR="00FB7749">
        <w:rPr>
          <w:bCs w:val="0"/>
          <w:szCs w:val="24"/>
        </w:rPr>
        <w:t xml:space="preserve">, úmrtnost na vnější příčiny </w:t>
      </w:r>
      <w:r w:rsidR="00B135E5">
        <w:rPr>
          <w:bCs w:val="0"/>
          <w:szCs w:val="24"/>
        </w:rPr>
        <w:t xml:space="preserve">smrti ale </w:t>
      </w:r>
      <w:r w:rsidR="00FB7749">
        <w:rPr>
          <w:bCs w:val="0"/>
          <w:szCs w:val="24"/>
        </w:rPr>
        <w:t>mírně narostla.</w:t>
      </w:r>
    </w:p>
    <w:p w:rsidR="00D75E2C" w:rsidRDefault="00D75E2C">
      <w:pPr>
        <w:pStyle w:val="Pedmtkomente"/>
        <w:rPr>
          <w:bCs w:val="0"/>
          <w:szCs w:val="24"/>
        </w:rPr>
      </w:pPr>
    </w:p>
    <w:p w:rsidR="00F675A9" w:rsidRDefault="00FB7749" w:rsidP="003E5123">
      <w:r>
        <w:t xml:space="preserve">Počet zemřelých se po nárůstu </w:t>
      </w:r>
      <w:r w:rsidR="00B135E5">
        <w:t>v období let</w:t>
      </w:r>
      <w:r>
        <w:t xml:space="preserve"> 2010 až 2013</w:t>
      </w:r>
      <w:r w:rsidR="001D683C">
        <w:t xml:space="preserve"> </w:t>
      </w:r>
      <w:r>
        <w:t>v </w:t>
      </w:r>
      <w:r w:rsidR="001D683C">
        <w:t>roce</w:t>
      </w:r>
      <w:r>
        <w:t xml:space="preserve"> 2014</w:t>
      </w:r>
      <w:r w:rsidR="001D683C">
        <w:t xml:space="preserve"> </w:t>
      </w:r>
      <w:r w:rsidR="006E1F08">
        <w:t>m</w:t>
      </w:r>
      <w:r w:rsidR="00173DCA">
        <w:t>eziročně snížil o 3 495 úmrtí na 105 </w:t>
      </w:r>
      <w:r w:rsidR="006E1F08">
        <w:t xml:space="preserve">665. Obdobně vysoký </w:t>
      </w:r>
      <w:r>
        <w:t xml:space="preserve">absolutní </w:t>
      </w:r>
      <w:r w:rsidR="006E1F08">
        <w:t>pokles byl naposledy zaznamenán v roce 2006. Případy úmr</w:t>
      </w:r>
      <w:r w:rsidR="00173DCA">
        <w:t>tí žen se meziročně snížily o 2 137 na 51 925 a mužů o 1 358 na 53 </w:t>
      </w:r>
      <w:r w:rsidR="006E1F08">
        <w:t xml:space="preserve">740. </w:t>
      </w:r>
      <w:r w:rsidR="00A63E73">
        <w:t>V případě mužů nejvíce ubylo úmrtí ve věkové skupině 15</w:t>
      </w:r>
      <w:r w:rsidR="00741C92">
        <w:t>-</w:t>
      </w:r>
      <w:r w:rsidR="00A63E73">
        <w:t>64 let a to 881, zatímco u žen se jednalo o věkovou kategorii 65+, kde</w:t>
      </w:r>
      <w:r w:rsidR="00173DCA">
        <w:t xml:space="preserve"> se počty zemřelých snížily o 1 </w:t>
      </w:r>
      <w:r w:rsidR="00A63E73">
        <w:t xml:space="preserve">636. </w:t>
      </w:r>
      <w:r w:rsidR="000977F2">
        <w:t xml:space="preserve">Dlouhodobě přibývá úmrtí ve vyšších věcích. Podíl zemřelých ve věku 80 let a více se </w:t>
      </w:r>
      <w:r w:rsidR="00173DCA">
        <w:t>u mužů zvýšil z 25,2 % v roce 2004 na 32,5 </w:t>
      </w:r>
      <w:r w:rsidR="00AB66AB">
        <w:t xml:space="preserve">% o deset let později. Ve stejném období se tento ukazatel zvýšil </w:t>
      </w:r>
      <w:r>
        <w:t xml:space="preserve">u </w:t>
      </w:r>
      <w:proofErr w:type="gramStart"/>
      <w:r>
        <w:t xml:space="preserve">žen </w:t>
      </w:r>
      <w:r w:rsidR="00AB66AB">
        <w:t>z 49,1</w:t>
      </w:r>
      <w:proofErr w:type="gramEnd"/>
      <w:r w:rsidR="00173DCA">
        <w:t> % na 57,9 </w:t>
      </w:r>
      <w:r w:rsidR="00AB66AB">
        <w:t>%.</w:t>
      </w:r>
    </w:p>
    <w:p w:rsidR="003E5123" w:rsidRDefault="003E5123">
      <w:pPr>
        <w:pStyle w:val="Zpat"/>
        <w:tabs>
          <w:tab w:val="clear" w:pos="4536"/>
          <w:tab w:val="clear" w:pos="9072"/>
        </w:tabs>
        <w:rPr>
          <w:sz w:val="16"/>
        </w:rPr>
      </w:pPr>
    </w:p>
    <w:p w:rsidR="00986EF1" w:rsidRDefault="00986EF1" w:rsidP="0031448B">
      <w:pPr>
        <w:pStyle w:val="Titulek"/>
        <w:spacing w:before="0" w:after="60"/>
        <w:jc w:val="left"/>
      </w:pPr>
      <w:r>
        <w:t xml:space="preserve">Tab. </w:t>
      </w:r>
      <w:r w:rsidR="00E252CA">
        <w:fldChar w:fldCharType="begin"/>
      </w:r>
      <w:r>
        <w:instrText xml:space="preserve"> STYLEREF 1 \s </w:instrText>
      </w:r>
      <w:r w:rsidR="00E252CA">
        <w:fldChar w:fldCharType="separate"/>
      </w:r>
      <w:proofErr w:type="gramStart"/>
      <w:r w:rsidR="00C120C8">
        <w:rPr>
          <w:noProof/>
        </w:rPr>
        <w:t>6</w:t>
      </w:r>
      <w:r w:rsidR="00E252CA">
        <w:fldChar w:fldCharType="end"/>
      </w:r>
      <w:r>
        <w:t>.</w:t>
      </w:r>
      <w:r w:rsidR="00E252CA">
        <w:fldChar w:fldCharType="begin"/>
      </w:r>
      <w:r w:rsidR="00553304">
        <w:instrText xml:space="preserve"> SEQ Tab. \* ARABIC \s 1 </w:instrText>
      </w:r>
      <w:r w:rsidR="00E252CA">
        <w:fldChar w:fldCharType="separate"/>
      </w:r>
      <w:r w:rsidR="00C120C8">
        <w:rPr>
          <w:noProof/>
        </w:rPr>
        <w:t>1</w:t>
      </w:r>
      <w:r w:rsidR="00E252CA">
        <w:rPr>
          <w:noProof/>
        </w:rPr>
        <w:fldChar w:fldCharType="end"/>
      </w:r>
      <w:proofErr w:type="gramEnd"/>
      <w:r w:rsidR="005D658A">
        <w:t xml:space="preserve"> Zemřelí, 2004–2014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76"/>
        <w:gridCol w:w="1060"/>
        <w:gridCol w:w="833"/>
        <w:gridCol w:w="834"/>
        <w:gridCol w:w="834"/>
        <w:gridCol w:w="834"/>
        <w:gridCol w:w="834"/>
        <w:gridCol w:w="834"/>
      </w:tblGrid>
      <w:tr w:rsidR="005D5CA0" w:rsidTr="00622204">
        <w:trPr>
          <w:trHeight w:val="255"/>
        </w:trPr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CA0" w:rsidRDefault="005D5CA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D5CA0" w:rsidRDefault="005D5CA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D5CA0" w:rsidRDefault="00E4407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5D5CA0" w:rsidRDefault="005D5CA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D5CA0" w:rsidRDefault="005D5CA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D5CA0" w:rsidRDefault="005D5CA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D5CA0" w:rsidRDefault="005D5CA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D5CA0" w:rsidRDefault="005D5CA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</w:tr>
      <w:tr w:rsidR="00E44073" w:rsidTr="00622204">
        <w:trPr>
          <w:trHeight w:val="255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Zemřelí celkem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107 177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107 421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106 844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106 848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108 189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109 160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105 665</w:t>
            </w:r>
          </w:p>
        </w:tc>
      </w:tr>
      <w:tr w:rsidR="00E44073" w:rsidTr="00622204">
        <w:trPr>
          <w:trHeight w:val="255"/>
        </w:trPr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Zemřelí muži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54 190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54 080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54 150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54 141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54 550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55 098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53 740</w:t>
            </w:r>
          </w:p>
        </w:tc>
      </w:tr>
      <w:tr w:rsidR="00E44073" w:rsidTr="00622204">
        <w:trPr>
          <w:trHeight w:val="255"/>
        </w:trPr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 tom ve věku: 0-14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241</w:t>
            </w:r>
          </w:p>
        </w:tc>
      </w:tr>
      <w:tr w:rsidR="00E44073" w:rsidTr="00622204">
        <w:trPr>
          <w:trHeight w:val="255"/>
        </w:trPr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15-64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18 276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17 263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17 123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16 598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15 835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15 113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14 232</w:t>
            </w:r>
          </w:p>
        </w:tc>
      </w:tr>
      <w:tr w:rsidR="00E44073" w:rsidTr="00622204">
        <w:trPr>
          <w:trHeight w:val="255"/>
        </w:trPr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65+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35 576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36 517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36 747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37 271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38 450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39 733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39 267</w:t>
            </w:r>
          </w:p>
        </w:tc>
      </w:tr>
      <w:tr w:rsidR="00E44073" w:rsidTr="00622204">
        <w:trPr>
          <w:trHeight w:val="255"/>
        </w:trPr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z toho 80+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13 679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15 903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16 225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16 531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17 204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17 631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17 444</w:t>
            </w:r>
          </w:p>
        </w:tc>
      </w:tr>
      <w:tr w:rsidR="00E44073" w:rsidTr="00622204">
        <w:trPr>
          <w:trHeight w:val="255"/>
        </w:trPr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Zemřelé ženy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52 987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53 341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52 694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52 707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53 639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54 062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51 925</w:t>
            </w:r>
          </w:p>
        </w:tc>
      </w:tr>
      <w:tr w:rsidR="00E44073" w:rsidTr="00622204">
        <w:trPr>
          <w:trHeight w:val="255"/>
        </w:trPr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 tom ve věku: 0-14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180</w:t>
            </w:r>
          </w:p>
        </w:tc>
      </w:tr>
      <w:tr w:rsidR="00E44073" w:rsidTr="00622204">
        <w:trPr>
          <w:trHeight w:val="255"/>
        </w:trPr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15-64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7 979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7 784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7 510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7 434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7 258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7 028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6 514</w:t>
            </w:r>
          </w:p>
        </w:tc>
      </w:tr>
      <w:tr w:rsidR="00E44073" w:rsidTr="00622204">
        <w:trPr>
          <w:trHeight w:val="255"/>
        </w:trPr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65+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44 754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45 318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44 956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45 075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46 188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46 867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45 231</w:t>
            </w:r>
          </w:p>
        </w:tc>
      </w:tr>
      <w:tr w:rsidR="00E44073" w:rsidTr="00622204">
        <w:trPr>
          <w:trHeight w:val="255"/>
        </w:trPr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z toho 80+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26 028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29 113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29 222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29 611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30 656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31 118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30 053</w:t>
            </w:r>
          </w:p>
        </w:tc>
      </w:tr>
      <w:tr w:rsidR="00E44073" w:rsidTr="00622204">
        <w:trPr>
          <w:trHeight w:val="255"/>
        </w:trPr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Podíl zemřelých ve věku 80 a více let (%): muži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25,2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32,5</w:t>
            </w:r>
          </w:p>
        </w:tc>
      </w:tr>
      <w:tr w:rsidR="00E44073" w:rsidTr="00622204">
        <w:trPr>
          <w:trHeight w:val="255"/>
        </w:trPr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                              ženy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57,9</w:t>
            </w:r>
          </w:p>
        </w:tc>
      </w:tr>
    </w:tbl>
    <w:p w:rsidR="00986EF1" w:rsidRDefault="00986EF1" w:rsidP="00DF49D6">
      <w:pPr>
        <w:spacing w:after="60"/>
      </w:pPr>
    </w:p>
    <w:p w:rsidR="00E51E4E" w:rsidRDefault="00507310">
      <w:pPr>
        <w:rPr>
          <w:rFonts w:cs="Arial"/>
        </w:rPr>
      </w:pPr>
      <w:r>
        <w:rPr>
          <w:rFonts w:cs="Arial"/>
        </w:rPr>
        <w:t xml:space="preserve">Počet zemřelých do jednoho roku věku byl v roce 2014 obdobný jako o rok dříve. </w:t>
      </w:r>
      <w:r w:rsidR="00B135E5">
        <w:rPr>
          <w:rFonts w:cs="Arial"/>
        </w:rPr>
        <w:t>Před dosažením prvních narozenin zemřelo c</w:t>
      </w:r>
      <w:r>
        <w:rPr>
          <w:rFonts w:cs="Arial"/>
        </w:rPr>
        <w:t>elkem 263 dětí</w:t>
      </w:r>
      <w:r w:rsidR="00E51E4E">
        <w:rPr>
          <w:rFonts w:cs="Arial"/>
        </w:rPr>
        <w:t xml:space="preserve">. Zatímco </w:t>
      </w:r>
      <w:r w:rsidR="00B135E5">
        <w:rPr>
          <w:rFonts w:cs="Arial"/>
        </w:rPr>
        <w:t xml:space="preserve">počet zemřelých </w:t>
      </w:r>
      <w:r w:rsidR="00E51E4E">
        <w:rPr>
          <w:rFonts w:cs="Arial"/>
        </w:rPr>
        <w:t>kojenc</w:t>
      </w:r>
      <w:r w:rsidR="00B135E5">
        <w:rPr>
          <w:rFonts w:cs="Arial"/>
        </w:rPr>
        <w:t>ů</w:t>
      </w:r>
      <w:r w:rsidR="00E51E4E">
        <w:rPr>
          <w:rFonts w:cs="Arial"/>
        </w:rPr>
        <w:t xml:space="preserve"> do 27 dokončených dnů </w:t>
      </w:r>
      <w:r w:rsidR="00B135E5">
        <w:rPr>
          <w:rFonts w:cs="Arial"/>
        </w:rPr>
        <w:t>byl vyšší o</w:t>
      </w:r>
      <w:r w:rsidR="00741C92">
        <w:rPr>
          <w:rFonts w:cs="Arial"/>
        </w:rPr>
        <w:t> </w:t>
      </w:r>
      <w:r w:rsidR="00E51E4E">
        <w:rPr>
          <w:rFonts w:cs="Arial"/>
        </w:rPr>
        <w:t>21, počty úmrtí kojenců starších 27 dní byly nižší o</w:t>
      </w:r>
      <w:r w:rsidR="00741C92">
        <w:rPr>
          <w:rFonts w:cs="Arial"/>
        </w:rPr>
        <w:t> </w:t>
      </w:r>
      <w:r w:rsidR="00E51E4E">
        <w:rPr>
          <w:rFonts w:cs="Arial"/>
        </w:rPr>
        <w:t xml:space="preserve">23. Za posledních deset let se </w:t>
      </w:r>
      <w:r w:rsidR="00CB250E">
        <w:rPr>
          <w:rFonts w:cs="Arial"/>
        </w:rPr>
        <w:t>počty zemřelých kojenc</w:t>
      </w:r>
      <w:r>
        <w:rPr>
          <w:rFonts w:cs="Arial"/>
        </w:rPr>
        <w:t>ů do jednoho roku snížily o 28</w:t>
      </w:r>
      <w:r w:rsidR="00173DCA">
        <w:rPr>
          <w:rFonts w:cs="Arial"/>
        </w:rPr>
        <w:t> </w:t>
      </w:r>
      <w:r w:rsidR="00CB250E">
        <w:rPr>
          <w:rFonts w:cs="Arial"/>
        </w:rPr>
        <w:t>%, přičemž relativně nejnižší pokles byl zaznamenán u úm</w:t>
      </w:r>
      <w:r>
        <w:rPr>
          <w:rFonts w:cs="Arial"/>
        </w:rPr>
        <w:t>rtí do 6 dokončených dnů (o 12</w:t>
      </w:r>
      <w:r w:rsidR="00173DCA">
        <w:rPr>
          <w:rFonts w:cs="Arial"/>
        </w:rPr>
        <w:t> </w:t>
      </w:r>
      <w:r w:rsidR="00CB250E">
        <w:rPr>
          <w:rFonts w:cs="Arial"/>
        </w:rPr>
        <w:t>%). Naopak vyšší relativní pokles bylo možné sledovat v případě zemřelých mez</w:t>
      </w:r>
      <w:r>
        <w:rPr>
          <w:rFonts w:cs="Arial"/>
        </w:rPr>
        <w:t>i 7</w:t>
      </w:r>
      <w:r w:rsidR="004E32A4">
        <w:rPr>
          <w:rFonts w:cs="Arial"/>
        </w:rPr>
        <w:t>.</w:t>
      </w:r>
      <w:r>
        <w:rPr>
          <w:rFonts w:cs="Arial"/>
        </w:rPr>
        <w:t xml:space="preserve"> a 27</w:t>
      </w:r>
      <w:r w:rsidR="004E32A4">
        <w:rPr>
          <w:rFonts w:cs="Arial"/>
        </w:rPr>
        <w:t>.</w:t>
      </w:r>
      <w:r>
        <w:rPr>
          <w:rFonts w:cs="Arial"/>
        </w:rPr>
        <w:t xml:space="preserve"> dokončeným dnem (o 39</w:t>
      </w:r>
      <w:r w:rsidR="00173DCA">
        <w:rPr>
          <w:rFonts w:cs="Arial"/>
        </w:rPr>
        <w:t> </w:t>
      </w:r>
      <w:r w:rsidR="00CB250E">
        <w:rPr>
          <w:rFonts w:cs="Arial"/>
        </w:rPr>
        <w:t>%) a mezi</w:t>
      </w:r>
      <w:r w:rsidR="00173DCA">
        <w:rPr>
          <w:rFonts w:cs="Arial"/>
        </w:rPr>
        <w:t xml:space="preserve"> 28</w:t>
      </w:r>
      <w:r w:rsidR="004E32A4">
        <w:rPr>
          <w:rFonts w:cs="Arial"/>
        </w:rPr>
        <w:t>.</w:t>
      </w:r>
      <w:r w:rsidR="00173DCA">
        <w:rPr>
          <w:rFonts w:cs="Arial"/>
        </w:rPr>
        <w:t xml:space="preserve"> a 364</w:t>
      </w:r>
      <w:r w:rsidR="004E32A4">
        <w:rPr>
          <w:rFonts w:cs="Arial"/>
        </w:rPr>
        <w:t>.</w:t>
      </w:r>
      <w:r w:rsidR="00173DCA">
        <w:rPr>
          <w:rFonts w:cs="Arial"/>
        </w:rPr>
        <w:t xml:space="preserve"> dokončeným dnem (35,9 </w:t>
      </w:r>
      <w:r w:rsidR="00CB250E">
        <w:rPr>
          <w:rFonts w:cs="Arial"/>
        </w:rPr>
        <w:t>%).</w:t>
      </w:r>
    </w:p>
    <w:p w:rsidR="00986EF1" w:rsidRDefault="00986EF1">
      <w:pPr>
        <w:rPr>
          <w:rFonts w:cs="Arial"/>
        </w:rPr>
      </w:pPr>
    </w:p>
    <w:p w:rsidR="00986EF1" w:rsidRDefault="00986EF1" w:rsidP="0031448B">
      <w:pPr>
        <w:pStyle w:val="Titulek"/>
        <w:spacing w:before="0" w:after="60"/>
        <w:jc w:val="left"/>
      </w:pPr>
      <w:r>
        <w:t xml:space="preserve">Tab. </w:t>
      </w:r>
      <w:r w:rsidR="00E252CA">
        <w:fldChar w:fldCharType="begin"/>
      </w:r>
      <w:r>
        <w:instrText xml:space="preserve"> STYLEREF 1 \s </w:instrText>
      </w:r>
      <w:r w:rsidR="00E252CA">
        <w:fldChar w:fldCharType="separate"/>
      </w:r>
      <w:proofErr w:type="gramStart"/>
      <w:r w:rsidR="00C120C8">
        <w:rPr>
          <w:noProof/>
        </w:rPr>
        <w:t>6</w:t>
      </w:r>
      <w:r w:rsidR="00E252CA">
        <w:fldChar w:fldCharType="end"/>
      </w:r>
      <w:r>
        <w:t>.</w:t>
      </w:r>
      <w:r w:rsidR="00E252CA">
        <w:fldChar w:fldCharType="begin"/>
      </w:r>
      <w:r w:rsidR="00553304">
        <w:instrText xml:space="preserve"> SEQ Tab. \* ARABIC \s 1 </w:instrText>
      </w:r>
      <w:r w:rsidR="00E252CA">
        <w:fldChar w:fldCharType="separate"/>
      </w:r>
      <w:r w:rsidR="00C120C8">
        <w:rPr>
          <w:noProof/>
        </w:rPr>
        <w:t>2</w:t>
      </w:r>
      <w:r w:rsidR="00E252CA">
        <w:rPr>
          <w:noProof/>
        </w:rPr>
        <w:fldChar w:fldCharType="end"/>
      </w:r>
      <w:proofErr w:type="gramEnd"/>
      <w:r>
        <w:t xml:space="preserve"> Zemřelí ko</w:t>
      </w:r>
      <w:r w:rsidR="00C60E30">
        <w:t xml:space="preserve">jenci a kojenecká úmrtnost, </w:t>
      </w:r>
      <w:r w:rsidR="005D658A">
        <w:t>2004–2014</w:t>
      </w:r>
    </w:p>
    <w:tbl>
      <w:tblPr>
        <w:tblW w:w="9639" w:type="dxa"/>
        <w:tblCellMar>
          <w:left w:w="0" w:type="dxa"/>
          <w:right w:w="0" w:type="dxa"/>
        </w:tblCellMar>
        <w:tblLook w:val="0000"/>
      </w:tblPr>
      <w:tblGrid>
        <w:gridCol w:w="4018"/>
        <w:gridCol w:w="803"/>
        <w:gridCol w:w="803"/>
        <w:gridCol w:w="803"/>
        <w:gridCol w:w="803"/>
        <w:gridCol w:w="803"/>
        <w:gridCol w:w="803"/>
        <w:gridCol w:w="803"/>
      </w:tblGrid>
      <w:tr w:rsidR="005D658A" w:rsidTr="00E4407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58A" w:rsidRDefault="005D658A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D658A" w:rsidRDefault="005D658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D658A" w:rsidRDefault="00E4407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D658A" w:rsidRDefault="005D658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D658A" w:rsidRDefault="005D658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D658A" w:rsidRDefault="005D658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D658A" w:rsidRDefault="005D658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D658A" w:rsidRDefault="005D658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</w:tr>
      <w:tr w:rsidR="00E44073" w:rsidTr="00E4407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Zemřelí kojenci do 1 roku věku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263</w:t>
            </w:r>
          </w:p>
        </w:tc>
      </w:tr>
      <w:tr w:rsidR="00E44073" w:rsidTr="00E4407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 tom ve věku: 0 dnů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</w:t>
            </w:r>
          </w:p>
        </w:tc>
      </w:tr>
      <w:tr w:rsidR="00E44073" w:rsidTr="00E4407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0-6 dokončených dnů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130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</w:t>
            </w:r>
          </w:p>
        </w:tc>
      </w:tr>
      <w:tr w:rsidR="00E44073" w:rsidTr="00E4407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7-27 dokončených dnů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</w:t>
            </w:r>
          </w:p>
        </w:tc>
      </w:tr>
      <w:tr w:rsidR="00E44073" w:rsidTr="00E4407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0-27 dokončených dnů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172</w:t>
            </w:r>
          </w:p>
        </w:tc>
      </w:tr>
      <w:tr w:rsidR="00E44073" w:rsidTr="00E4407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28-364 dokončených dnů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</w:t>
            </w:r>
          </w:p>
        </w:tc>
      </w:tr>
      <w:tr w:rsidR="00E44073" w:rsidTr="00E4407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Kojenecká úmrtnost* podle věku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44073" w:rsidTr="00E4407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 dnů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</w:tr>
      <w:tr w:rsidR="00E44073" w:rsidTr="00E4407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0-6 dokončených dnů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</w:t>
            </w:r>
          </w:p>
        </w:tc>
      </w:tr>
      <w:tr w:rsidR="00E44073" w:rsidTr="00E4407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7-27 dokončených dnů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</w:tr>
      <w:tr w:rsidR="00E44073" w:rsidTr="00E4407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0-27 dokončených dnů (novorozenecká úmrtnost)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1,6</w:t>
            </w:r>
          </w:p>
        </w:tc>
      </w:tr>
      <w:tr w:rsidR="00E44073" w:rsidTr="00E4407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pStyle w:val="font5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28-364 dokončených dnů (</w:t>
            </w:r>
            <w:proofErr w:type="spellStart"/>
            <w:r>
              <w:rPr>
                <w:rFonts w:eastAsia="Times New Roman"/>
              </w:rPr>
              <w:t>ponovorozenecká</w:t>
            </w:r>
            <w:proofErr w:type="spellEnd"/>
            <w:r>
              <w:rPr>
                <w:rFonts w:eastAsia="Times New Roman"/>
              </w:rPr>
              <w:t xml:space="preserve"> úmrtnost)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</w:tr>
      <w:tr w:rsidR="00E44073" w:rsidTr="00E4407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 1 roku celkem (kojenecká úmrtnost)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</w:tr>
    </w:tbl>
    <w:p w:rsidR="00DB77CB" w:rsidRDefault="00DB77CB" w:rsidP="00F125E5">
      <w:pPr>
        <w:spacing w:before="60"/>
        <w:jc w:val="left"/>
        <w:rPr>
          <w:i/>
          <w:iCs/>
          <w:sz w:val="16"/>
        </w:rPr>
      </w:pPr>
      <w:r>
        <w:rPr>
          <w:i/>
          <w:iCs/>
          <w:sz w:val="16"/>
        </w:rPr>
        <w:t>* Počet zemřelých daného věku na 1 000 živě narozených dětí.</w:t>
      </w:r>
    </w:p>
    <w:p w:rsidR="007E1326" w:rsidRDefault="007E1326" w:rsidP="007E1326">
      <w:pPr>
        <w:spacing w:after="60"/>
      </w:pPr>
    </w:p>
    <w:p w:rsidR="00647564" w:rsidRDefault="005F035D">
      <w:r>
        <w:br w:type="page"/>
      </w:r>
      <w:r w:rsidR="00647564">
        <w:lastRenderedPageBreak/>
        <w:t>Kojenecká ú</w:t>
      </w:r>
      <w:r w:rsidR="00507310">
        <w:t>mrtnost klesla třetí rok po sobě</w:t>
      </w:r>
      <w:r w:rsidR="00647564">
        <w:t xml:space="preserve"> o 0,1 promile a v posledním sledovaném roce </w:t>
      </w:r>
      <w:r w:rsidR="006022ED">
        <w:t>dosáhla</w:t>
      </w:r>
      <w:r w:rsidR="00647564">
        <w:t xml:space="preserve"> 2,4 promile. Šlo o jednu z nejnižších úrovní kojenecké úmrtnosti na světě. Meziročně klesla </w:t>
      </w:r>
      <w:proofErr w:type="spellStart"/>
      <w:r w:rsidR="00647564">
        <w:t>ponovorozenecká</w:t>
      </w:r>
      <w:proofErr w:type="spellEnd"/>
      <w:r w:rsidR="00647564">
        <w:t xml:space="preserve"> úmrtnost z 1,1 promile na 0,8 promile, zatímco novorozenecká úmrtnost </w:t>
      </w:r>
      <w:r w:rsidR="006022ED">
        <w:t xml:space="preserve">se </w:t>
      </w:r>
      <w:proofErr w:type="gramStart"/>
      <w:r w:rsidR="006022ED">
        <w:t>zvýšila</w:t>
      </w:r>
      <w:r w:rsidR="00647564">
        <w:t xml:space="preserve"> z 1,4</w:t>
      </w:r>
      <w:proofErr w:type="gramEnd"/>
      <w:r w:rsidR="00647564">
        <w:t xml:space="preserve"> na 1,6 promile.</w:t>
      </w:r>
      <w:r w:rsidR="00A81D01">
        <w:t xml:space="preserve"> Z</w:t>
      </w:r>
      <w:r w:rsidR="00741C92">
        <w:t> </w:t>
      </w:r>
      <w:r w:rsidR="00A81D01">
        <w:t>pohledu posledních deseti let k</w:t>
      </w:r>
      <w:r w:rsidR="00173DCA">
        <w:t>lesla kojenecká úmrtnost o 36,1 </w:t>
      </w:r>
      <w:r w:rsidR="00A81D01">
        <w:t>%</w:t>
      </w:r>
      <w:r w:rsidR="00002CC1">
        <w:t xml:space="preserve">. Relativně více se snížila </w:t>
      </w:r>
      <w:proofErr w:type="spellStart"/>
      <w:r w:rsidR="00002CC1">
        <w:t>ponovorozenecká</w:t>
      </w:r>
      <w:proofErr w:type="spellEnd"/>
      <w:r w:rsidR="00002CC1">
        <w:t xml:space="preserve"> úmrtnost. V rámci novorozenecké úmrtnosti potom došlo k</w:t>
      </w:r>
      <w:r w:rsidR="002B34FD">
        <w:t xml:space="preserve"> většímu </w:t>
      </w:r>
      <w:r w:rsidR="00002CC1">
        <w:t>poklesu úmrtnosti v</w:t>
      </w:r>
      <w:r w:rsidR="00741C92">
        <w:t> </w:t>
      </w:r>
      <w:r w:rsidR="00002CC1">
        <w:t>7</w:t>
      </w:r>
      <w:r w:rsidR="00741C92">
        <w:t>-</w:t>
      </w:r>
      <w:r w:rsidR="00002CC1">
        <w:t>27 dokončených dnech.</w:t>
      </w:r>
    </w:p>
    <w:p w:rsidR="00647564" w:rsidRDefault="00647564"/>
    <w:p w:rsidR="00002CC1" w:rsidRDefault="00002CC1">
      <w:r>
        <w:t xml:space="preserve">Míry úmrtnosti podle věku se obecně s rostoucím věkem zvyšují. </w:t>
      </w:r>
      <w:r w:rsidR="00170918">
        <w:t>V</w:t>
      </w:r>
      <w:r>
        <w:t xml:space="preserve">ýjimkou je úmrtnost během prvního roku života, která je </w:t>
      </w:r>
      <w:r w:rsidR="00BB493C">
        <w:t>vyšší než v druhém roce života</w:t>
      </w:r>
      <w:r w:rsidR="006022ED">
        <w:t>, zhruba na úrovni</w:t>
      </w:r>
      <w:r>
        <w:t xml:space="preserve"> úmr</w:t>
      </w:r>
      <w:r w:rsidR="00472827">
        <w:t>tnosti dospělých okolo 45. roku</w:t>
      </w:r>
      <w:r w:rsidR="00F125E5">
        <w:t xml:space="preserve"> věku</w:t>
      </w:r>
      <w:r w:rsidR="00472827">
        <w:t xml:space="preserve">. Míry úmrtnosti se v roce 2014 u mužů snížily prakticky ve všech věkových skupinách. V případě žen se </w:t>
      </w:r>
      <w:r w:rsidR="00BB493C">
        <w:t xml:space="preserve">meziročně </w:t>
      </w:r>
      <w:r w:rsidR="00472827">
        <w:t xml:space="preserve">mírně zvýšila úmrtnost do 14 let, ve všech vyšších věkových kategoriích došlo </w:t>
      </w:r>
      <w:r w:rsidR="00170918">
        <w:t xml:space="preserve">ale </w:t>
      </w:r>
      <w:r w:rsidR="00472827">
        <w:t>také k poklesu. V posledních deseti letech docházelo k markantnějšímu snížení měr úmrtnosti podle věku u mužů</w:t>
      </w:r>
      <w:r w:rsidR="009745AB">
        <w:t xml:space="preserve"> než u žen</w:t>
      </w:r>
      <w:r w:rsidR="00472827">
        <w:t>. Často šlo až o třetinový pokles (např. ve skupině 0</w:t>
      </w:r>
      <w:r w:rsidR="00741C92">
        <w:t>-</w:t>
      </w:r>
      <w:r w:rsidR="00472827">
        <w:t>9 a 45</w:t>
      </w:r>
      <w:r w:rsidR="00741C92">
        <w:t>-</w:t>
      </w:r>
      <w:r w:rsidR="00472827">
        <w:t>54 let).</w:t>
      </w:r>
    </w:p>
    <w:p w:rsidR="00002CC1" w:rsidRDefault="00002CC1"/>
    <w:p w:rsidR="009745AB" w:rsidRDefault="00BC553D">
      <w:r>
        <w:t>V roce 2014 měli</w:t>
      </w:r>
      <w:r w:rsidR="006F7FF2">
        <w:t xml:space="preserve"> muži vyšší míru úmrtnosti </w:t>
      </w:r>
      <w:r w:rsidR="007377FF">
        <w:t xml:space="preserve">téměř </w:t>
      </w:r>
      <w:r w:rsidR="006F7FF2">
        <w:t>ve všech věkových skupinách s výjimkou dětí ve věku 1</w:t>
      </w:r>
      <w:r w:rsidR="00741C92">
        <w:t>-</w:t>
      </w:r>
      <w:r w:rsidR="006F7FF2">
        <w:t xml:space="preserve">4 let, kde </w:t>
      </w:r>
      <w:r>
        <w:t xml:space="preserve">byla úmrtnost chlapců nepatrně </w:t>
      </w:r>
      <w:r w:rsidR="00B002AE">
        <w:t xml:space="preserve">nižší </w:t>
      </w:r>
      <w:r>
        <w:t>(šlo ovšem pouze o jednoletý výkyv daný nízkým počtem událostí)</w:t>
      </w:r>
      <w:r w:rsidR="006F7FF2">
        <w:t xml:space="preserve">. Nejvýraznější mužská </w:t>
      </w:r>
      <w:proofErr w:type="spellStart"/>
      <w:r w:rsidR="006F7FF2">
        <w:t>nadúmrtnost</w:t>
      </w:r>
      <w:proofErr w:type="spellEnd"/>
      <w:r w:rsidR="006F7FF2">
        <w:t xml:space="preserve"> byla zaznamenána ve věkových skupinách 15</w:t>
      </w:r>
      <w:r w:rsidR="00741C92">
        <w:t>-</w:t>
      </w:r>
      <w:r w:rsidR="006F7FF2">
        <w:t>19 a 20</w:t>
      </w:r>
      <w:r w:rsidR="00741C92">
        <w:t>-</w:t>
      </w:r>
      <w:r w:rsidR="006F7FF2">
        <w:t xml:space="preserve">24 let, </w:t>
      </w:r>
      <w:r>
        <w:t>v</w:t>
      </w:r>
      <w:r w:rsidR="00741C92">
        <w:t> </w:t>
      </w:r>
      <w:r>
        <w:t>důsledku vyšší úmrtnosti na vnější příčiny</w:t>
      </w:r>
      <w:r w:rsidR="006F7FF2">
        <w:t xml:space="preserve"> (zejména autonehody a sebevraždy). S rostoucím věkem mužská </w:t>
      </w:r>
      <w:proofErr w:type="spellStart"/>
      <w:r w:rsidR="006F7FF2">
        <w:t>nadúmrtnost</w:t>
      </w:r>
      <w:proofErr w:type="spellEnd"/>
      <w:r w:rsidR="006F7FF2">
        <w:t xml:space="preserve"> spíše klesala kromě věkové skupiny 50</w:t>
      </w:r>
      <w:r w:rsidR="00741C92">
        <w:t>-</w:t>
      </w:r>
      <w:r w:rsidR="006F7FF2">
        <w:t>64 let, kde mírně narostla</w:t>
      </w:r>
      <w:r w:rsidR="00B41453">
        <w:t xml:space="preserve"> (i v předchozích letech)</w:t>
      </w:r>
      <w:r w:rsidR="006F7FF2">
        <w:t>. Ve věku 95 let a více byly dosažené míry úmrtn</w:t>
      </w:r>
      <w:r w:rsidR="001A7A5A">
        <w:t>osti u obou pohlaví prakticky i</w:t>
      </w:r>
      <w:r w:rsidR="006F7FF2">
        <w:t>dentické.</w:t>
      </w:r>
    </w:p>
    <w:p w:rsidR="00B41453" w:rsidRDefault="00B41453"/>
    <w:p w:rsidR="00986EF1" w:rsidRDefault="00986EF1" w:rsidP="0031448B">
      <w:pPr>
        <w:pStyle w:val="Titulek"/>
        <w:spacing w:before="0" w:after="60"/>
        <w:jc w:val="left"/>
      </w:pPr>
      <w:bookmarkStart w:id="0" w:name="_Ref332105294"/>
      <w:bookmarkStart w:id="1" w:name="_Ref332105309"/>
      <w:r>
        <w:t xml:space="preserve">Tab. </w:t>
      </w:r>
      <w:r w:rsidR="00E252CA">
        <w:fldChar w:fldCharType="begin"/>
      </w:r>
      <w:r>
        <w:instrText xml:space="preserve"> STYLEREF 1 \s </w:instrText>
      </w:r>
      <w:r w:rsidR="00E252CA">
        <w:fldChar w:fldCharType="separate"/>
      </w:r>
      <w:proofErr w:type="gramStart"/>
      <w:r w:rsidR="00C120C8">
        <w:rPr>
          <w:noProof/>
        </w:rPr>
        <w:t>6</w:t>
      </w:r>
      <w:r w:rsidR="00E252CA">
        <w:fldChar w:fldCharType="end"/>
      </w:r>
      <w:r>
        <w:t>.</w:t>
      </w:r>
      <w:r w:rsidR="00E252CA">
        <w:fldChar w:fldCharType="begin"/>
      </w:r>
      <w:r w:rsidR="00553304">
        <w:instrText xml:space="preserve"> SEQ Tab. \* ARABIC \s 1 </w:instrText>
      </w:r>
      <w:r w:rsidR="00E252CA">
        <w:fldChar w:fldCharType="separate"/>
      </w:r>
      <w:r w:rsidR="00C120C8">
        <w:rPr>
          <w:noProof/>
        </w:rPr>
        <w:t>3</w:t>
      </w:r>
      <w:r w:rsidR="00E252CA">
        <w:rPr>
          <w:noProof/>
        </w:rPr>
        <w:fldChar w:fldCharType="end"/>
      </w:r>
      <w:bookmarkEnd w:id="0"/>
      <w:proofErr w:type="gramEnd"/>
      <w:r w:rsidR="007E1326">
        <w:t xml:space="preserve"> Míry úmrtnosti</w:t>
      </w:r>
      <w:r>
        <w:t xml:space="preserve"> podle pětiletých věkových skupin a poh</w:t>
      </w:r>
      <w:r w:rsidR="00710206">
        <w:t>laví, 2004</w:t>
      </w:r>
      <w:r>
        <w:t>–201</w:t>
      </w:r>
      <w:bookmarkEnd w:id="1"/>
      <w:r w:rsidR="00710206">
        <w:t>4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7"/>
        <w:gridCol w:w="603"/>
        <w:gridCol w:w="603"/>
        <w:gridCol w:w="603"/>
        <w:gridCol w:w="603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986EF1" w:rsidTr="0081414B">
        <w:trPr>
          <w:cantSplit/>
          <w:trHeight w:val="255"/>
        </w:trPr>
        <w:tc>
          <w:tcPr>
            <w:tcW w:w="120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6EF1" w:rsidRDefault="00986EF1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Věková skupina</w:t>
            </w:r>
          </w:p>
        </w:tc>
        <w:tc>
          <w:tcPr>
            <w:tcW w:w="421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86EF1" w:rsidRDefault="00986EF1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42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86EF1" w:rsidRDefault="00986EF1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Ženy</w:t>
            </w:r>
          </w:p>
        </w:tc>
      </w:tr>
      <w:tr w:rsidR="00710206" w:rsidTr="0081414B">
        <w:trPr>
          <w:cantSplit/>
          <w:trHeight w:val="255"/>
        </w:trPr>
        <w:tc>
          <w:tcPr>
            <w:tcW w:w="120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10206" w:rsidRDefault="00710206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710206" w:rsidRDefault="0071020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710206" w:rsidRDefault="00E4407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710206" w:rsidRDefault="0071020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710206" w:rsidRDefault="0071020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710206" w:rsidRDefault="0071020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710206" w:rsidRDefault="0071020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710206" w:rsidRDefault="0071020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710206" w:rsidRDefault="0071020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710206" w:rsidRDefault="00E4407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710206" w:rsidRDefault="0071020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710206" w:rsidRDefault="0071020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710206" w:rsidRDefault="0071020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710206" w:rsidRDefault="0071020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710206" w:rsidRDefault="0071020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</w:tr>
      <w:tr w:rsidR="00E44073" w:rsidTr="0081414B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2,1</w:t>
            </w:r>
          </w:p>
        </w:tc>
      </w:tr>
      <w:tr w:rsidR="00E44073" w:rsidTr="0081414B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1-4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</w:tr>
      <w:tr w:rsidR="00E44073" w:rsidTr="0081414B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5-9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</w:tr>
      <w:tr w:rsidR="00E44073" w:rsidTr="0081414B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10-14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</w:tr>
      <w:tr w:rsidR="00E44073" w:rsidTr="0081414B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15-19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</w:tr>
      <w:tr w:rsidR="00E44073" w:rsidTr="0081414B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20-24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</w:tr>
      <w:tr w:rsidR="00E44073" w:rsidTr="0081414B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25-29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</w:tr>
      <w:tr w:rsidR="00E44073" w:rsidTr="0081414B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30-34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</w:tr>
      <w:tr w:rsidR="00E44073" w:rsidTr="0081414B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35-39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</w:tr>
      <w:tr w:rsidR="00E44073" w:rsidTr="0081414B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40-44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0,9</w:t>
            </w:r>
          </w:p>
        </w:tc>
      </w:tr>
      <w:tr w:rsidR="00E44073" w:rsidTr="0081414B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45-49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1,7</w:t>
            </w:r>
          </w:p>
        </w:tc>
      </w:tr>
      <w:tr w:rsidR="00E44073" w:rsidTr="0081414B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50-54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</w:tr>
      <w:tr w:rsidR="00E44073" w:rsidTr="0081414B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55-59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4,3</w:t>
            </w:r>
          </w:p>
        </w:tc>
      </w:tr>
      <w:tr w:rsidR="00E44073" w:rsidTr="0081414B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60-64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7,0</w:t>
            </w:r>
          </w:p>
        </w:tc>
      </w:tr>
      <w:tr w:rsidR="00E44073" w:rsidTr="0081414B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65-69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11,4</w:t>
            </w:r>
          </w:p>
        </w:tc>
      </w:tr>
      <w:tr w:rsidR="00E44073" w:rsidTr="0081414B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70-74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18,6</w:t>
            </w:r>
          </w:p>
        </w:tc>
      </w:tr>
      <w:tr w:rsidR="00E44073" w:rsidTr="0081414B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75-79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33,4</w:t>
            </w:r>
          </w:p>
        </w:tc>
      </w:tr>
      <w:tr w:rsidR="00E44073" w:rsidTr="0081414B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80-84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121,0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104,2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65,0</w:t>
            </w:r>
          </w:p>
        </w:tc>
      </w:tr>
      <w:tr w:rsidR="00E44073" w:rsidTr="0081414B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85-89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191,4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183,9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174,5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170,4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171,4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169,6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159,0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154,1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143,5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139,9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135,6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136,6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134,2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126,0</w:t>
            </w:r>
          </w:p>
        </w:tc>
      </w:tr>
      <w:tr w:rsidR="00E44073" w:rsidTr="0081414B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90-94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298,6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265,9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267,7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267,6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262,2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268,1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270,2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251,3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244,1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232,6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226,5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229,0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229,5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222,9</w:t>
            </w:r>
          </w:p>
        </w:tc>
      </w:tr>
      <w:tr w:rsidR="00E44073" w:rsidTr="0081414B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95+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401,9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396,8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351,4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399,8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404,0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415,5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361,1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383,3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357,1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347,8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364,8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394,2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389,8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356,0</w:t>
            </w:r>
          </w:p>
        </w:tc>
      </w:tr>
      <w:tr w:rsidR="00E44073" w:rsidTr="0081414B">
        <w:trPr>
          <w:trHeight w:val="255"/>
        </w:trPr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073" w:rsidRPr="0031448B" w:rsidRDefault="00E44073">
            <w:pPr>
              <w:rPr>
                <w:rFonts w:eastAsia="Arial Unicode MS" w:cs="Arial"/>
                <w:bCs/>
                <w:sz w:val="16"/>
                <w:szCs w:val="16"/>
              </w:rPr>
            </w:pPr>
            <w:r w:rsidRPr="0031448B">
              <w:rPr>
                <w:rFonts w:cs="Arial"/>
                <w:bCs/>
                <w:sz w:val="16"/>
                <w:szCs w:val="16"/>
              </w:rPr>
              <w:t>Celkem (</w:t>
            </w:r>
            <w:proofErr w:type="spellStart"/>
            <w:r w:rsidRPr="0031448B">
              <w:rPr>
                <w:rFonts w:cs="Arial"/>
                <w:bCs/>
                <w:sz w:val="16"/>
                <w:szCs w:val="16"/>
              </w:rPr>
              <w:t>hmú</w:t>
            </w:r>
            <w:proofErr w:type="spellEnd"/>
            <w:r w:rsidR="004B0B53" w:rsidRPr="0031448B">
              <w:rPr>
                <w:rFonts w:cs="Arial"/>
                <w:bCs/>
                <w:sz w:val="16"/>
                <w:szCs w:val="16"/>
              </w:rPr>
              <w:t>*</w:t>
            </w:r>
            <w:r w:rsidRPr="0031448B">
              <w:rPr>
                <w:rFonts w:cs="Arial"/>
                <w:bCs/>
                <w:sz w:val="16"/>
                <w:szCs w:val="16"/>
              </w:rPr>
              <w:t>)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Pr="0031448B" w:rsidRDefault="00E44073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31448B">
              <w:rPr>
                <w:rFonts w:cs="Arial"/>
                <w:bCs/>
                <w:sz w:val="16"/>
                <w:szCs w:val="16"/>
              </w:rPr>
              <w:t>10,9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Pr="0031448B" w:rsidRDefault="00E44073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31448B">
              <w:rPr>
                <w:rFonts w:cs="Arial"/>
                <w:bCs/>
                <w:sz w:val="16"/>
                <w:szCs w:val="16"/>
              </w:rPr>
              <w:t>10,5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Pr="0031448B" w:rsidRDefault="00E44073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31448B">
              <w:rPr>
                <w:rFonts w:cs="Arial"/>
                <w:bCs/>
                <w:sz w:val="16"/>
                <w:szCs w:val="16"/>
              </w:rPr>
              <w:t>10,5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Pr="0031448B" w:rsidRDefault="00E44073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31448B">
              <w:rPr>
                <w:rFonts w:cs="Arial"/>
                <w:bCs/>
                <w:sz w:val="16"/>
                <w:szCs w:val="16"/>
              </w:rPr>
              <w:t>10,5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Pr="0031448B" w:rsidRDefault="00E44073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31448B">
              <w:rPr>
                <w:rFonts w:cs="Arial"/>
                <w:bCs/>
                <w:sz w:val="16"/>
                <w:szCs w:val="16"/>
              </w:rPr>
              <w:t>10,6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Pr="0031448B" w:rsidRDefault="00E44073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31448B">
              <w:rPr>
                <w:rFonts w:cs="Arial"/>
                <w:bCs/>
                <w:sz w:val="16"/>
                <w:szCs w:val="16"/>
              </w:rPr>
              <w:t>10,7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E44073" w:rsidRPr="0031448B" w:rsidRDefault="00E44073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31448B">
              <w:rPr>
                <w:rFonts w:cs="Arial"/>
                <w:bCs/>
                <w:sz w:val="16"/>
                <w:szCs w:val="16"/>
              </w:rPr>
              <w:t>10,4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Pr="0031448B" w:rsidRDefault="00E44073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31448B">
              <w:rPr>
                <w:rFonts w:cs="Arial"/>
                <w:bCs/>
                <w:sz w:val="16"/>
                <w:szCs w:val="16"/>
              </w:rPr>
              <w:t>10,1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Pr="0031448B" w:rsidRDefault="00E44073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31448B">
              <w:rPr>
                <w:rFonts w:cs="Arial"/>
                <w:bCs/>
                <w:sz w:val="16"/>
                <w:szCs w:val="16"/>
              </w:rPr>
              <w:t>10,5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Pr="0031448B" w:rsidRDefault="00E44073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31448B">
              <w:rPr>
                <w:rFonts w:cs="Arial"/>
                <w:bCs/>
                <w:sz w:val="16"/>
                <w:szCs w:val="16"/>
              </w:rPr>
              <w:t>9,8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Pr="0031448B" w:rsidRDefault="00E44073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31448B">
              <w:rPr>
                <w:rFonts w:cs="Arial"/>
                <w:bCs/>
                <w:sz w:val="16"/>
                <w:szCs w:val="16"/>
              </w:rPr>
              <w:t>9,9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Pr="0031448B" w:rsidRDefault="00E44073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31448B">
              <w:rPr>
                <w:rFonts w:cs="Arial"/>
                <w:bCs/>
                <w:sz w:val="16"/>
                <w:szCs w:val="16"/>
              </w:rPr>
              <w:t>10,0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Pr="0031448B" w:rsidRDefault="00E44073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31448B">
              <w:rPr>
                <w:rFonts w:cs="Arial"/>
                <w:bCs/>
                <w:sz w:val="16"/>
                <w:szCs w:val="16"/>
              </w:rPr>
              <w:t>10,1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E44073" w:rsidRPr="0031448B" w:rsidRDefault="00E44073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31448B">
              <w:rPr>
                <w:rFonts w:cs="Arial"/>
                <w:bCs/>
                <w:sz w:val="16"/>
                <w:szCs w:val="16"/>
              </w:rPr>
              <w:t>9,7</w:t>
            </w:r>
          </w:p>
        </w:tc>
      </w:tr>
    </w:tbl>
    <w:p w:rsidR="004B0B53" w:rsidRDefault="004B0B53" w:rsidP="00F125E5">
      <w:pPr>
        <w:spacing w:before="60"/>
        <w:jc w:val="left"/>
        <w:rPr>
          <w:i/>
          <w:iCs/>
          <w:sz w:val="16"/>
        </w:rPr>
      </w:pPr>
      <w:r>
        <w:rPr>
          <w:i/>
          <w:iCs/>
          <w:sz w:val="16"/>
        </w:rPr>
        <w:t xml:space="preserve">* Hrubá míra úmrtnosti </w:t>
      </w:r>
      <w:r w:rsidR="004E32A4">
        <w:rPr>
          <w:i/>
          <w:iCs/>
          <w:sz w:val="16"/>
        </w:rPr>
        <w:t>je definována</w:t>
      </w:r>
      <w:r>
        <w:rPr>
          <w:i/>
          <w:iCs/>
          <w:sz w:val="16"/>
        </w:rPr>
        <w:t xml:space="preserve"> jako podíl zemřelých ke střednímu stavu obyvatelstva daného roku (v promilích)</w:t>
      </w:r>
      <w:r w:rsidR="004E32A4">
        <w:rPr>
          <w:i/>
          <w:iCs/>
          <w:sz w:val="16"/>
        </w:rPr>
        <w:t>.</w:t>
      </w:r>
    </w:p>
    <w:p w:rsidR="007E1326" w:rsidRDefault="007E1326" w:rsidP="00677FF0"/>
    <w:p w:rsidR="00B62D36" w:rsidRDefault="00B41453">
      <w:r>
        <w:t>Tabulkové počty zemřelých podle věku z úmrtnostních tabulek jsou nezávislé na věkové struktuře, tj. nejsou ovlivněny měnícím se reálným počtem obyvatel v jednotlivých věkových skupinách. V případě žen se zemřelí koncentrovali do užšího věkového intervalu a to ve starším věku.</w:t>
      </w:r>
      <w:r w:rsidR="0070696B">
        <w:t xml:space="preserve"> </w:t>
      </w:r>
      <w:r w:rsidR="002D16C4">
        <w:t>Věk, ve kterém bylo dosaženo nejvyššího počtu úmrtí u žen v roce 2014</w:t>
      </w:r>
      <w:r>
        <w:t>,</w:t>
      </w:r>
      <w:r w:rsidR="00173DCA">
        <w:t xml:space="preserve"> byl 88 let (4 </w:t>
      </w:r>
      <w:r w:rsidR="002D16C4">
        <w:t xml:space="preserve">588 případů). O deset let dříve to </w:t>
      </w:r>
      <w:r w:rsidR="00173DCA">
        <w:t>bylo o tři roky méně s počtem 4 </w:t>
      </w:r>
      <w:r w:rsidR="002D16C4">
        <w:t xml:space="preserve">526 tabulkových úmrtí. </w:t>
      </w:r>
      <w:r w:rsidR="009D3CE7">
        <w:t>Maximální hodnoty pro muže byly ve věku 83 let v roce 2014</w:t>
      </w:r>
      <w:r w:rsidR="00B20FDA">
        <w:t xml:space="preserve"> </w:t>
      </w:r>
      <w:r w:rsidR="00173DCA">
        <w:t>(</w:t>
      </w:r>
      <w:r w:rsidR="00173DCA" w:rsidRPr="00173DCA">
        <w:t>3</w:t>
      </w:r>
      <w:r w:rsidR="00173DCA">
        <w:t> </w:t>
      </w:r>
      <w:r w:rsidRPr="00173DCA">
        <w:t>297</w:t>
      </w:r>
      <w:r>
        <w:t xml:space="preserve"> tabulkových zemřelých) a 79 let o </w:t>
      </w:r>
      <w:r w:rsidR="009D3CE7">
        <w:t xml:space="preserve">deset </w:t>
      </w:r>
      <w:r>
        <w:t xml:space="preserve">let dříve </w:t>
      </w:r>
      <w:r w:rsidR="00173DCA">
        <w:t>(3 </w:t>
      </w:r>
      <w:r w:rsidR="009D3CE7">
        <w:t>404 tabulkových úmrtí).</w:t>
      </w:r>
      <w:r w:rsidR="00B20FDA">
        <w:t xml:space="preserve"> Ve srovnání let 2004 a 2014 se tabulkové počty zemřelých u žen snížily ve věcích zhruba do 85 let, přičemž nejvýraznější pokles byl zaznamenán u</w:t>
      </w:r>
      <w:r w:rsidR="00741C92">
        <w:t> </w:t>
      </w:r>
      <w:r w:rsidR="00B20FDA">
        <w:t>věkové skupiny 75</w:t>
      </w:r>
      <w:r w:rsidR="00741C92">
        <w:t>-</w:t>
      </w:r>
      <w:r w:rsidR="00B20FDA">
        <w:t xml:space="preserve">81 let. </w:t>
      </w:r>
      <w:r>
        <w:t>Více žen tak umíralo až po 85. roku věku, zejména ve věku 91</w:t>
      </w:r>
      <w:r w:rsidR="00741C92">
        <w:t>-</w:t>
      </w:r>
      <w:r>
        <w:t>95 let</w:t>
      </w:r>
      <w:r w:rsidR="00B20FDA">
        <w:t>. U mužů byl pokles ve stejném období typický do 80 let bez zřetelného vrcholu, zatímco nárůst ve starších věcích se koncentroval zejména do věkové skupiny 88</w:t>
      </w:r>
      <w:r w:rsidR="00741C92">
        <w:t>-94</w:t>
      </w:r>
      <w:r w:rsidR="002B34FD">
        <w:t xml:space="preserve"> </w:t>
      </w:r>
      <w:r w:rsidR="00741C92">
        <w:t>let.</w:t>
      </w:r>
    </w:p>
    <w:p w:rsidR="00B20FDA" w:rsidRDefault="00B20FDA"/>
    <w:p w:rsidR="00986EF1" w:rsidRDefault="00677FF0" w:rsidP="0031448B">
      <w:pPr>
        <w:pStyle w:val="Titulek"/>
        <w:spacing w:before="0" w:after="60"/>
        <w:jc w:val="left"/>
        <w:rPr>
          <w:rFonts w:cs="Arial"/>
        </w:rPr>
      </w:pPr>
      <w:bookmarkStart w:id="2" w:name="_Ref332105362"/>
      <w:bookmarkStart w:id="3" w:name="_Ref332105366"/>
      <w:r>
        <w:br w:type="page"/>
      </w:r>
      <w:r w:rsidR="00986EF1">
        <w:lastRenderedPageBreak/>
        <w:t xml:space="preserve">Obr. </w:t>
      </w:r>
      <w:proofErr w:type="gramStart"/>
      <w:r w:rsidR="00E252CA">
        <w:fldChar w:fldCharType="begin"/>
      </w:r>
      <w:r w:rsidR="00986EF1">
        <w:instrText xml:space="preserve"> STYLEREF 1 \s </w:instrText>
      </w:r>
      <w:r w:rsidR="00E252CA">
        <w:fldChar w:fldCharType="separate"/>
      </w:r>
      <w:r w:rsidR="00C120C8">
        <w:rPr>
          <w:noProof/>
        </w:rPr>
        <w:t>6</w:t>
      </w:r>
      <w:r w:rsidR="00E252CA">
        <w:fldChar w:fldCharType="end"/>
      </w:r>
      <w:r w:rsidR="00986EF1">
        <w:t>.</w:t>
      </w:r>
      <w:r w:rsidR="00E252CA">
        <w:fldChar w:fldCharType="begin"/>
      </w:r>
      <w:r w:rsidR="00553304">
        <w:instrText xml:space="preserve"> SEQ Obr. \* ARABIC \s 1 </w:instrText>
      </w:r>
      <w:r w:rsidR="00E252CA">
        <w:fldChar w:fldCharType="separate"/>
      </w:r>
      <w:r w:rsidR="00C120C8">
        <w:rPr>
          <w:noProof/>
        </w:rPr>
        <w:t>1</w:t>
      </w:r>
      <w:r w:rsidR="00E252CA">
        <w:rPr>
          <w:noProof/>
        </w:rPr>
        <w:fldChar w:fldCharType="end"/>
      </w:r>
      <w:bookmarkEnd w:id="2"/>
      <w:proofErr w:type="gramEnd"/>
      <w:r w:rsidR="00986EF1">
        <w:t xml:space="preserve"> Tabulkové počty zemře</w:t>
      </w:r>
      <w:r w:rsidR="007E1326">
        <w:t>lých</w:t>
      </w:r>
      <w:r w:rsidR="00847115">
        <w:t xml:space="preserve"> podle pohlaví a věku, 2004</w:t>
      </w:r>
      <w:r w:rsidR="00986EF1">
        <w:t>–201</w:t>
      </w:r>
      <w:bookmarkEnd w:id="3"/>
      <w:r w:rsidR="00847115">
        <w:t>4</w:t>
      </w:r>
    </w:p>
    <w:p w:rsidR="00986EF1" w:rsidRDefault="002E0D76">
      <w:pPr>
        <w:pStyle w:val="Zkladntextodsazen"/>
        <w:ind w:firstLine="0"/>
        <w:rPr>
          <w:rFonts w:ascii="Arial" w:hAnsi="Arial" w:cs="Arial"/>
          <w:sz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5pt;height:234.75pt">
            <v:imagedata r:id="rId8" o:title=""/>
          </v:shape>
        </w:pict>
      </w:r>
    </w:p>
    <w:p w:rsidR="00986EF1" w:rsidRDefault="00986EF1" w:rsidP="0071128F">
      <w:pPr>
        <w:pStyle w:val="Zkladntextodsazen"/>
        <w:spacing w:after="60"/>
        <w:ind w:firstLine="0"/>
        <w:rPr>
          <w:rFonts w:ascii="Arial" w:hAnsi="Arial" w:cs="Arial"/>
          <w:sz w:val="20"/>
        </w:rPr>
      </w:pPr>
    </w:p>
    <w:p w:rsidR="00B20FDA" w:rsidRDefault="00064BC3">
      <w:pPr>
        <w:pStyle w:val="Zkladntextodsazen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Naděje dožití je jedním z výstupů úmrtnostních tabulek a udává</w:t>
      </w:r>
      <w:r w:rsidR="00B41453" w:rsidRPr="00B41453">
        <w:rPr>
          <w:rFonts w:ascii="Arial" w:hAnsi="Arial" w:cs="Arial"/>
          <w:bCs/>
          <w:sz w:val="20"/>
          <w:szCs w:val="20"/>
        </w:rPr>
        <w:t xml:space="preserve"> </w:t>
      </w:r>
      <w:r w:rsidR="00B41453" w:rsidRPr="00B41453">
        <w:rPr>
          <w:rFonts w:ascii="Arial" w:hAnsi="Arial" w:cs="Arial"/>
          <w:bCs/>
          <w:sz w:val="20"/>
        </w:rPr>
        <w:t xml:space="preserve">průměrný </w:t>
      </w:r>
      <w:r w:rsidR="00B41453" w:rsidRPr="00B41453">
        <w:rPr>
          <w:rFonts w:ascii="Arial" w:hAnsi="Arial" w:cs="Arial" w:hint="eastAsia"/>
          <w:bCs/>
          <w:sz w:val="20"/>
        </w:rPr>
        <w:t>počet let, kter</w:t>
      </w:r>
      <w:r w:rsidR="00B41453" w:rsidRPr="00B41453">
        <w:rPr>
          <w:rFonts w:ascii="Arial" w:hAnsi="Arial" w:cs="Arial"/>
          <w:bCs/>
          <w:sz w:val="20"/>
        </w:rPr>
        <w:t>ý</w:t>
      </w:r>
      <w:r w:rsidR="00B41453" w:rsidRPr="00B41453">
        <w:rPr>
          <w:rFonts w:ascii="Arial" w:hAnsi="Arial" w:cs="Arial" w:hint="eastAsia"/>
          <w:bCs/>
          <w:sz w:val="20"/>
        </w:rPr>
        <w:t xml:space="preserve"> má naději </w:t>
      </w:r>
      <w:r w:rsidR="00B41453" w:rsidRPr="00B41453">
        <w:rPr>
          <w:rFonts w:ascii="Arial" w:hAnsi="Arial" w:cs="Arial"/>
          <w:bCs/>
          <w:sz w:val="20"/>
        </w:rPr>
        <w:t xml:space="preserve">ještě </w:t>
      </w:r>
      <w:r w:rsidR="00B41453" w:rsidRPr="00B41453">
        <w:rPr>
          <w:rFonts w:ascii="Arial" w:hAnsi="Arial" w:cs="Arial" w:hint="eastAsia"/>
          <w:bCs/>
          <w:sz w:val="20"/>
        </w:rPr>
        <w:t>prožít osoba právě x-</w:t>
      </w:r>
      <w:proofErr w:type="spellStart"/>
      <w:r w:rsidR="00B41453" w:rsidRPr="00B41453">
        <w:rPr>
          <w:rFonts w:ascii="Arial" w:hAnsi="Arial" w:cs="Arial" w:hint="eastAsia"/>
          <w:bCs/>
          <w:sz w:val="20"/>
        </w:rPr>
        <w:t>letá</w:t>
      </w:r>
      <w:proofErr w:type="spellEnd"/>
      <w:r w:rsidR="00B41453" w:rsidRPr="00B41453">
        <w:rPr>
          <w:rFonts w:ascii="Arial" w:hAnsi="Arial" w:cs="Arial" w:hint="eastAsia"/>
          <w:bCs/>
          <w:sz w:val="20"/>
        </w:rPr>
        <w:t xml:space="preserve"> při </w:t>
      </w:r>
      <w:r w:rsidR="00B41453" w:rsidRPr="00B41453">
        <w:rPr>
          <w:rFonts w:ascii="Arial" w:hAnsi="Arial" w:cs="Arial"/>
          <w:bCs/>
          <w:sz w:val="20"/>
        </w:rPr>
        <w:t xml:space="preserve">zachování řádu </w:t>
      </w:r>
      <w:r w:rsidR="00B41453" w:rsidRPr="00B41453">
        <w:rPr>
          <w:rFonts w:ascii="Arial" w:hAnsi="Arial" w:cs="Arial" w:hint="eastAsia"/>
          <w:bCs/>
          <w:sz w:val="20"/>
        </w:rPr>
        <w:t>úmrtnosti sledované</w:t>
      </w:r>
      <w:r w:rsidR="00B41453" w:rsidRPr="00B41453">
        <w:rPr>
          <w:rFonts w:ascii="Arial" w:hAnsi="Arial" w:cs="Arial"/>
          <w:bCs/>
          <w:sz w:val="20"/>
        </w:rPr>
        <w:t>ho</w:t>
      </w:r>
      <w:r w:rsidR="00B41453" w:rsidRPr="00B41453">
        <w:rPr>
          <w:rFonts w:ascii="Arial" w:hAnsi="Arial" w:cs="Arial" w:hint="eastAsia"/>
          <w:bCs/>
          <w:sz w:val="20"/>
        </w:rPr>
        <w:t xml:space="preserve"> období</w:t>
      </w:r>
      <w:r>
        <w:rPr>
          <w:rFonts w:ascii="Arial" w:hAnsi="Arial" w:cs="Arial"/>
          <w:sz w:val="20"/>
        </w:rPr>
        <w:t>. V roce 2014 se naděje dožití při narození</w:t>
      </w:r>
      <w:r w:rsidR="00B41453">
        <w:rPr>
          <w:rFonts w:ascii="Arial" w:hAnsi="Arial" w:cs="Arial"/>
          <w:sz w:val="20"/>
        </w:rPr>
        <w:t xml:space="preserve"> meziročně zvýšila</w:t>
      </w:r>
      <w:r>
        <w:rPr>
          <w:rFonts w:ascii="Arial" w:hAnsi="Arial" w:cs="Arial"/>
          <w:sz w:val="20"/>
        </w:rPr>
        <w:t xml:space="preserve"> u mužů o 0,55</w:t>
      </w:r>
      <w:r w:rsidR="00170918">
        <w:rPr>
          <w:rFonts w:ascii="Arial" w:hAnsi="Arial" w:cs="Arial"/>
          <w:sz w:val="20"/>
        </w:rPr>
        <w:t xml:space="preserve"> roku</w:t>
      </w:r>
      <w:r>
        <w:rPr>
          <w:rFonts w:ascii="Arial" w:hAnsi="Arial" w:cs="Arial"/>
          <w:sz w:val="20"/>
        </w:rPr>
        <w:t xml:space="preserve"> a dosáhla 75,78 let, v případě žen šlo o nárůst o 0,56</w:t>
      </w:r>
      <w:r w:rsidR="00170918">
        <w:rPr>
          <w:rFonts w:ascii="Arial" w:hAnsi="Arial" w:cs="Arial"/>
          <w:sz w:val="20"/>
        </w:rPr>
        <w:t xml:space="preserve"> roku</w:t>
      </w:r>
      <w:r>
        <w:rPr>
          <w:rFonts w:ascii="Arial" w:hAnsi="Arial" w:cs="Arial"/>
          <w:sz w:val="20"/>
        </w:rPr>
        <w:t xml:space="preserve"> na 81,69 let. </w:t>
      </w:r>
      <w:r w:rsidR="00B41453">
        <w:rPr>
          <w:rFonts w:ascii="Arial" w:hAnsi="Arial" w:cs="Arial"/>
          <w:sz w:val="20"/>
        </w:rPr>
        <w:t xml:space="preserve">Ženy tak měly šanci dožít se o </w:t>
      </w:r>
      <w:r w:rsidR="00676B77">
        <w:rPr>
          <w:rFonts w:ascii="Arial" w:hAnsi="Arial" w:cs="Arial"/>
          <w:sz w:val="20"/>
        </w:rPr>
        <w:t xml:space="preserve">5,91 let více než muži. </w:t>
      </w:r>
      <w:r w:rsidR="00B41453">
        <w:rPr>
          <w:rFonts w:ascii="Arial" w:hAnsi="Arial" w:cs="Arial"/>
          <w:sz w:val="20"/>
        </w:rPr>
        <w:t xml:space="preserve">Snižování mužské </w:t>
      </w:r>
      <w:proofErr w:type="spellStart"/>
      <w:r w:rsidR="00B41453">
        <w:rPr>
          <w:rFonts w:ascii="Arial" w:hAnsi="Arial" w:cs="Arial"/>
          <w:sz w:val="20"/>
        </w:rPr>
        <w:t>nadúmrtnosti</w:t>
      </w:r>
      <w:proofErr w:type="spellEnd"/>
      <w:r w:rsidR="00B41453">
        <w:rPr>
          <w:rFonts w:ascii="Arial" w:hAnsi="Arial" w:cs="Arial"/>
          <w:sz w:val="20"/>
        </w:rPr>
        <w:t xml:space="preserve"> v posledních deseti letech se odrazilo ve snížení tohoto rozdílu (z 6,49 let</w:t>
      </w:r>
      <w:r w:rsidR="00D028FF">
        <w:rPr>
          <w:rFonts w:ascii="Arial" w:hAnsi="Arial" w:cs="Arial"/>
          <w:sz w:val="20"/>
        </w:rPr>
        <w:t xml:space="preserve"> v roce 2004</w:t>
      </w:r>
      <w:r w:rsidR="00B41453">
        <w:rPr>
          <w:rFonts w:ascii="Arial" w:hAnsi="Arial" w:cs="Arial"/>
          <w:sz w:val="20"/>
        </w:rPr>
        <w:t>).</w:t>
      </w:r>
      <w:r w:rsidR="00676B77">
        <w:rPr>
          <w:rFonts w:ascii="Arial" w:hAnsi="Arial" w:cs="Arial"/>
          <w:sz w:val="20"/>
        </w:rPr>
        <w:t xml:space="preserve"> Ze srovnání údajů za roky 2004 a 2014 také vyplývá, že naděje dožití relativně více rostla s rostoucím věkem a to u obou pohlaví. </w:t>
      </w:r>
      <w:r w:rsidR="00D028FF">
        <w:rPr>
          <w:rFonts w:ascii="Arial" w:hAnsi="Arial" w:cs="Arial"/>
          <w:sz w:val="20"/>
        </w:rPr>
        <w:t>Například naděje dožití ve věku 80 let vzrostla u mužů i u žen o 20 %, zatímco například ve věku 50 let šlo o 10% růst u mužů a 8% u žen.</w:t>
      </w:r>
    </w:p>
    <w:p w:rsidR="00B20FDA" w:rsidRDefault="00B20FDA">
      <w:pPr>
        <w:pStyle w:val="Zkladntextodsazen"/>
        <w:ind w:firstLine="0"/>
        <w:rPr>
          <w:rFonts w:ascii="Arial" w:hAnsi="Arial" w:cs="Arial"/>
          <w:sz w:val="20"/>
        </w:rPr>
      </w:pPr>
    </w:p>
    <w:p w:rsidR="00986EF1" w:rsidRDefault="00986EF1" w:rsidP="0031448B">
      <w:pPr>
        <w:pStyle w:val="Titulek"/>
        <w:spacing w:before="0" w:after="60"/>
        <w:jc w:val="left"/>
      </w:pPr>
      <w:r>
        <w:t xml:space="preserve">Tab. </w:t>
      </w:r>
      <w:r w:rsidR="00E252CA">
        <w:fldChar w:fldCharType="begin"/>
      </w:r>
      <w:r>
        <w:instrText xml:space="preserve"> STYLEREF 1 \s </w:instrText>
      </w:r>
      <w:r w:rsidR="00E252CA">
        <w:fldChar w:fldCharType="separate"/>
      </w:r>
      <w:proofErr w:type="gramStart"/>
      <w:r w:rsidR="00C120C8">
        <w:rPr>
          <w:noProof/>
        </w:rPr>
        <w:t>6</w:t>
      </w:r>
      <w:r w:rsidR="00E252CA">
        <w:fldChar w:fldCharType="end"/>
      </w:r>
      <w:r>
        <w:t>.</w:t>
      </w:r>
      <w:r w:rsidR="00E252CA">
        <w:fldChar w:fldCharType="begin"/>
      </w:r>
      <w:r w:rsidR="00553304">
        <w:instrText xml:space="preserve"> SEQ Tab. \* ARABIC \s 1 </w:instrText>
      </w:r>
      <w:r w:rsidR="00E252CA">
        <w:fldChar w:fldCharType="separate"/>
      </w:r>
      <w:r w:rsidR="00C120C8">
        <w:rPr>
          <w:noProof/>
        </w:rPr>
        <w:t>4</w:t>
      </w:r>
      <w:r w:rsidR="00E252CA">
        <w:rPr>
          <w:noProof/>
        </w:rPr>
        <w:fldChar w:fldCharType="end"/>
      </w:r>
      <w:proofErr w:type="gramEnd"/>
      <w:r>
        <w:t xml:space="preserve"> Naděje dožití ve v</w:t>
      </w:r>
      <w:r w:rsidR="001F1FAA">
        <w:t>ybraném věku podle pohlaví, 2004–2014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8"/>
        <w:gridCol w:w="620"/>
        <w:gridCol w:w="621"/>
        <w:gridCol w:w="621"/>
        <w:gridCol w:w="620"/>
        <w:gridCol w:w="621"/>
        <w:gridCol w:w="620"/>
        <w:gridCol w:w="620"/>
        <w:gridCol w:w="619"/>
        <w:gridCol w:w="620"/>
        <w:gridCol w:w="620"/>
        <w:gridCol w:w="619"/>
        <w:gridCol w:w="620"/>
        <w:gridCol w:w="620"/>
        <w:gridCol w:w="620"/>
      </w:tblGrid>
      <w:tr w:rsidR="00986EF1" w:rsidTr="0010071D">
        <w:trPr>
          <w:trHeight w:val="225"/>
        </w:trPr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86EF1" w:rsidRDefault="00986EF1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Věk</w:t>
            </w:r>
          </w:p>
        </w:tc>
        <w:tc>
          <w:tcPr>
            <w:tcW w:w="43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986EF1" w:rsidRDefault="00986EF1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43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86EF1" w:rsidRDefault="00986EF1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Ženy</w:t>
            </w:r>
          </w:p>
        </w:tc>
      </w:tr>
      <w:tr w:rsidR="001F1FAA" w:rsidTr="0010071D">
        <w:trPr>
          <w:trHeight w:val="255"/>
        </w:trPr>
        <w:tc>
          <w:tcPr>
            <w:tcW w:w="9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1FAA" w:rsidRDefault="001F1FAA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F1FAA" w:rsidRDefault="001F1FA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F1FAA" w:rsidRDefault="00E4407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F1FAA" w:rsidRDefault="001F1FA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F1FAA" w:rsidRDefault="001F1FA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F1FAA" w:rsidRDefault="001F1FA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F1FAA" w:rsidRDefault="001F1FA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1F1FAA" w:rsidRDefault="001F1FA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F1FAA" w:rsidRDefault="001F1FA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F1FAA" w:rsidRDefault="00E4407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F1FAA" w:rsidRDefault="001F1FA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F1FAA" w:rsidRDefault="001F1FA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F1FAA" w:rsidRDefault="001F1FA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F1FAA" w:rsidRDefault="001F1FA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F1FAA" w:rsidRDefault="001F1FA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</w:tr>
      <w:tr w:rsidR="00E44073" w:rsidTr="0010071D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72,55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74,19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74,37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74,69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75,00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75,23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75,78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79,04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80,13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80,60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80,74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80,88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81,13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81,69</w:t>
            </w:r>
          </w:p>
        </w:tc>
      </w:tr>
      <w:tr w:rsidR="00E44073" w:rsidTr="0010071D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53,18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54,69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54,86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55,19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55,48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55,71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56,24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59,52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60,53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60,99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61,11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61,24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61,45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62,01</w:t>
            </w:r>
          </w:p>
        </w:tc>
      </w:tr>
      <w:tr w:rsidR="00E44073" w:rsidTr="0010071D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43,66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45,09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45,27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45,59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45,84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46,11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46,61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49,67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50,69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51,14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51,27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51,38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51,60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52,15</w:t>
            </w:r>
          </w:p>
        </w:tc>
      </w:tr>
      <w:tr w:rsidR="00E44073" w:rsidTr="0010071D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34,21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35,57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35,73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36,05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36,31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36,55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37,02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39,92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40,92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41,35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41,50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41,60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41,81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42,36</w:t>
            </w:r>
          </w:p>
        </w:tc>
      </w:tr>
      <w:tr w:rsidR="00E44073" w:rsidTr="0010071D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25,32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26,53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26,94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27,87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32,83</w:t>
            </w:r>
          </w:p>
        </w:tc>
      </w:tr>
      <w:tr w:rsidR="00E44073" w:rsidTr="0010071D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17,59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18,59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18,94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19,09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19,21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19,59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21,64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22,52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22,91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23,02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23,11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23,28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23,78</w:t>
            </w:r>
          </w:p>
        </w:tc>
      </w:tr>
      <w:tr w:rsidR="00E44073" w:rsidTr="0010071D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15,17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15,47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16,02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18,71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19,09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19,54</w:t>
            </w:r>
          </w:p>
        </w:tc>
      </w:tr>
      <w:tr w:rsidR="00E44073" w:rsidTr="0010071D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12,05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12,84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14,77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15,54</w:t>
            </w:r>
          </w:p>
        </w:tc>
      </w:tr>
      <w:tr w:rsidR="00E44073" w:rsidTr="0010071D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073" w:rsidRDefault="00E4407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6,84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7,33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E44073" w:rsidRDefault="00E440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8,47</w:t>
            </w:r>
          </w:p>
        </w:tc>
      </w:tr>
    </w:tbl>
    <w:p w:rsidR="00986EF1" w:rsidRDefault="00986EF1" w:rsidP="00CC65B2">
      <w:pPr>
        <w:spacing w:after="60"/>
      </w:pPr>
    </w:p>
    <w:p w:rsidR="00D567BB" w:rsidRDefault="0022463B" w:rsidP="00741C92">
      <w:pPr>
        <w:pStyle w:val="Titulek"/>
        <w:spacing w:before="0" w:after="0"/>
        <w:rPr>
          <w:b w:val="0"/>
        </w:rPr>
      </w:pPr>
      <w:r>
        <w:rPr>
          <w:b w:val="0"/>
        </w:rPr>
        <w:t>Z</w:t>
      </w:r>
      <w:r w:rsidR="00170918">
        <w:rPr>
          <w:b w:val="0"/>
        </w:rPr>
        <w:t> údajů úmrtnost</w:t>
      </w:r>
      <w:r w:rsidR="004B0B53">
        <w:rPr>
          <w:b w:val="0"/>
        </w:rPr>
        <w:t xml:space="preserve">ních tabulek lze také vypočítat, </w:t>
      </w:r>
      <w:r w:rsidR="00170918">
        <w:rPr>
          <w:b w:val="0"/>
        </w:rPr>
        <w:t xml:space="preserve">jak se </w:t>
      </w:r>
      <w:r w:rsidR="00003868">
        <w:rPr>
          <w:b w:val="0"/>
        </w:rPr>
        <w:t>jednotlivé</w:t>
      </w:r>
      <w:r>
        <w:rPr>
          <w:b w:val="0"/>
        </w:rPr>
        <w:t xml:space="preserve"> věkové kategorie</w:t>
      </w:r>
      <w:r w:rsidR="00003868">
        <w:rPr>
          <w:b w:val="0"/>
        </w:rPr>
        <w:t xml:space="preserve"> podílely na nárůstu naděje dožití </w:t>
      </w:r>
      <w:r w:rsidR="00170918">
        <w:rPr>
          <w:b w:val="0"/>
        </w:rPr>
        <w:t xml:space="preserve">daného pohlaví. </w:t>
      </w:r>
      <w:r w:rsidR="00541734">
        <w:rPr>
          <w:b w:val="0"/>
        </w:rPr>
        <w:t xml:space="preserve">V případě mužů byla větší část příspěvků </w:t>
      </w:r>
      <w:r w:rsidR="00170918">
        <w:rPr>
          <w:b w:val="0"/>
        </w:rPr>
        <w:t xml:space="preserve">k rozdílu naděje dožití mezi roky 2004 a 2014 </w:t>
      </w:r>
      <w:r w:rsidR="00541734">
        <w:rPr>
          <w:b w:val="0"/>
        </w:rPr>
        <w:t xml:space="preserve">rozložena mezi více věkových </w:t>
      </w:r>
      <w:r w:rsidR="0054557E">
        <w:rPr>
          <w:b w:val="0"/>
        </w:rPr>
        <w:t>skupin, zatímco u žen bylo patrné, že jde o méně skupin, které</w:t>
      </w:r>
      <w:r w:rsidR="00541734">
        <w:rPr>
          <w:b w:val="0"/>
        </w:rPr>
        <w:t xml:space="preserve"> se na růstu naděje dožití podílel</w:t>
      </w:r>
      <w:r w:rsidR="0054557E">
        <w:rPr>
          <w:b w:val="0"/>
        </w:rPr>
        <w:t>y</w:t>
      </w:r>
      <w:r w:rsidR="00541734">
        <w:rPr>
          <w:b w:val="0"/>
        </w:rPr>
        <w:t xml:space="preserve"> nejvíce</w:t>
      </w:r>
      <w:r w:rsidR="007377FF">
        <w:rPr>
          <w:b w:val="0"/>
        </w:rPr>
        <w:t xml:space="preserve"> (obr. 6.2)</w:t>
      </w:r>
      <w:r w:rsidR="00541734">
        <w:rPr>
          <w:b w:val="0"/>
        </w:rPr>
        <w:t xml:space="preserve">. </w:t>
      </w:r>
      <w:r w:rsidR="00C56224">
        <w:rPr>
          <w:b w:val="0"/>
        </w:rPr>
        <w:t>Muži ve věkové</w:t>
      </w:r>
      <w:r w:rsidR="00170918">
        <w:rPr>
          <w:b w:val="0"/>
        </w:rPr>
        <w:t>m</w:t>
      </w:r>
      <w:r w:rsidR="00C56224">
        <w:rPr>
          <w:b w:val="0"/>
        </w:rPr>
        <w:t xml:space="preserve"> </w:t>
      </w:r>
      <w:r w:rsidR="00D028FF">
        <w:rPr>
          <w:b w:val="0"/>
        </w:rPr>
        <w:t>rozpětí</w:t>
      </w:r>
      <w:r w:rsidR="00541734">
        <w:rPr>
          <w:b w:val="0"/>
        </w:rPr>
        <w:t xml:space="preserve"> 50</w:t>
      </w:r>
      <w:r w:rsidR="00741C92">
        <w:rPr>
          <w:b w:val="0"/>
        </w:rPr>
        <w:t>-</w:t>
      </w:r>
      <w:r w:rsidR="00541734">
        <w:rPr>
          <w:b w:val="0"/>
        </w:rPr>
        <w:t>79 let se na rozdílu podílel</w:t>
      </w:r>
      <w:r w:rsidR="002B34FD">
        <w:rPr>
          <w:b w:val="0"/>
        </w:rPr>
        <w:t>i</w:t>
      </w:r>
      <w:r w:rsidR="00541734">
        <w:rPr>
          <w:b w:val="0"/>
        </w:rPr>
        <w:t xml:space="preserve"> z téměř </w:t>
      </w:r>
      <w:r w:rsidR="00173DCA">
        <w:rPr>
          <w:b w:val="0"/>
        </w:rPr>
        <w:t>60 </w:t>
      </w:r>
      <w:r w:rsidR="00541734">
        <w:rPr>
          <w:b w:val="0"/>
        </w:rPr>
        <w:t>%, ačkoliv tvořil</w:t>
      </w:r>
      <w:r w:rsidR="002B34FD">
        <w:rPr>
          <w:b w:val="0"/>
        </w:rPr>
        <w:t>i</w:t>
      </w:r>
      <w:r w:rsidR="00541734">
        <w:rPr>
          <w:b w:val="0"/>
        </w:rPr>
        <w:t xml:space="preserve"> zhruba </w:t>
      </w:r>
      <w:r w:rsidR="00173DCA">
        <w:rPr>
          <w:b w:val="0"/>
        </w:rPr>
        <w:t>50 </w:t>
      </w:r>
      <w:r w:rsidR="00541734">
        <w:rPr>
          <w:b w:val="0"/>
        </w:rPr>
        <w:t>% tabulkových úmrtí v roce 2014.</w:t>
      </w:r>
      <w:r w:rsidR="00C56224">
        <w:rPr>
          <w:b w:val="0"/>
        </w:rPr>
        <w:t xml:space="preserve"> Ženy ve věku 70 let a více se na nárůstu naděje dožití </w:t>
      </w:r>
      <w:r w:rsidR="0094005B">
        <w:rPr>
          <w:b w:val="0"/>
        </w:rPr>
        <w:t xml:space="preserve">podílely více než </w:t>
      </w:r>
      <w:r w:rsidR="00555EB1">
        <w:rPr>
          <w:b w:val="0"/>
        </w:rPr>
        <w:t>z</w:t>
      </w:r>
      <w:r w:rsidR="00173DCA">
        <w:rPr>
          <w:b w:val="0"/>
        </w:rPr>
        <w:t> 60 </w:t>
      </w:r>
      <w:r w:rsidR="0094005B">
        <w:rPr>
          <w:b w:val="0"/>
        </w:rPr>
        <w:t>%, při tom</w:t>
      </w:r>
      <w:r w:rsidR="001B3327">
        <w:rPr>
          <w:b w:val="0"/>
        </w:rPr>
        <w:t xml:space="preserve"> ale</w:t>
      </w:r>
      <w:r w:rsidR="0094005B">
        <w:rPr>
          <w:b w:val="0"/>
        </w:rPr>
        <w:t xml:space="preserve"> reprezentovaly asi </w:t>
      </w:r>
      <w:r w:rsidR="00173DCA">
        <w:rPr>
          <w:b w:val="0"/>
        </w:rPr>
        <w:t>86 </w:t>
      </w:r>
      <w:r w:rsidR="001B3327">
        <w:rPr>
          <w:b w:val="0"/>
        </w:rPr>
        <w:t xml:space="preserve">% všech tabulkových úmrtí, což lze interpretovat tak, že nižší </w:t>
      </w:r>
      <w:r w:rsidR="00D028FF">
        <w:rPr>
          <w:b w:val="0"/>
        </w:rPr>
        <w:t>úmrtnost</w:t>
      </w:r>
      <w:r w:rsidR="001B3327">
        <w:rPr>
          <w:b w:val="0"/>
        </w:rPr>
        <w:t xml:space="preserve"> v mladš</w:t>
      </w:r>
      <w:r w:rsidR="0054557E">
        <w:rPr>
          <w:b w:val="0"/>
        </w:rPr>
        <w:t>ích vě</w:t>
      </w:r>
      <w:r w:rsidR="001B3327">
        <w:rPr>
          <w:b w:val="0"/>
        </w:rPr>
        <w:t xml:space="preserve">cích se </w:t>
      </w:r>
      <w:r w:rsidR="00D028FF">
        <w:rPr>
          <w:b w:val="0"/>
        </w:rPr>
        <w:t>podílela</w:t>
      </w:r>
      <w:r w:rsidR="001B3327">
        <w:rPr>
          <w:b w:val="0"/>
        </w:rPr>
        <w:t xml:space="preserve"> na růstu naději dožití více</w:t>
      </w:r>
      <w:r w:rsidR="00D028FF">
        <w:rPr>
          <w:b w:val="0"/>
        </w:rPr>
        <w:t>, než by odpovídalo jejímu</w:t>
      </w:r>
      <w:r w:rsidR="001B3327">
        <w:rPr>
          <w:b w:val="0"/>
        </w:rPr>
        <w:t xml:space="preserve"> zastoupení</w:t>
      </w:r>
      <w:r w:rsidR="00D028FF">
        <w:rPr>
          <w:b w:val="0"/>
        </w:rPr>
        <w:t xml:space="preserve"> v populaci</w:t>
      </w:r>
      <w:r w:rsidR="001B3327">
        <w:rPr>
          <w:b w:val="0"/>
        </w:rPr>
        <w:t>.</w:t>
      </w:r>
    </w:p>
    <w:p w:rsidR="00741C92" w:rsidRPr="00741C92" w:rsidRDefault="00741C92" w:rsidP="00741C92"/>
    <w:p w:rsidR="0054557E" w:rsidRDefault="00A50F67" w:rsidP="007E1326">
      <w:r>
        <w:t xml:space="preserve">Byly také vypočítány příspěvky věkových skupin k rozdílu v naději dožití </w:t>
      </w:r>
      <w:r w:rsidR="009F137C">
        <w:t>mezi muži a ženami</w:t>
      </w:r>
      <w:r>
        <w:t xml:space="preserve"> a to za dva roky – 2004 a 2014. </w:t>
      </w:r>
      <w:r w:rsidR="00003868">
        <w:t xml:space="preserve">Z výpočtů bylo možné zjistit, v jakých věkových skupinách se nejvíce projevovala mužská </w:t>
      </w:r>
      <w:proofErr w:type="spellStart"/>
      <w:r w:rsidR="00003868">
        <w:t>nadúmrtnost</w:t>
      </w:r>
      <w:proofErr w:type="spellEnd"/>
      <w:r w:rsidR="00003868">
        <w:t xml:space="preserve"> a zda došlo k posunu v posledních deseti letech. </w:t>
      </w:r>
      <w:r w:rsidR="00877839">
        <w:t xml:space="preserve">V roce 2014 se oproti roku 2004 na lepších </w:t>
      </w:r>
      <w:r w:rsidR="009F137C">
        <w:t xml:space="preserve">celkových </w:t>
      </w:r>
      <w:r w:rsidR="00877839">
        <w:t>úmrtnostních poměrech u žen více podílely starší věkové skupiny</w:t>
      </w:r>
      <w:r w:rsidR="007377FF">
        <w:t xml:space="preserve"> (obr. 6.3). Na 54 % </w:t>
      </w:r>
      <w:r w:rsidR="00877839">
        <w:t>rozdíl</w:t>
      </w:r>
      <w:r w:rsidR="007377FF">
        <w:t>u naděje dožití mezi pohlavími</w:t>
      </w:r>
      <w:r w:rsidR="00877839">
        <w:t xml:space="preserve"> se v roce 2014 podílela věková skupina 60 až 79 let, zatímco o deset let dříve </w:t>
      </w:r>
      <w:r w:rsidR="007377FF">
        <w:t xml:space="preserve">připadalo </w:t>
      </w:r>
      <w:r w:rsidR="00877839">
        <w:t>51</w:t>
      </w:r>
      <w:r w:rsidR="00741C92">
        <w:t> </w:t>
      </w:r>
      <w:r w:rsidR="00877839">
        <w:t>% rozdíl</w:t>
      </w:r>
      <w:r w:rsidR="007377FF">
        <w:t>u</w:t>
      </w:r>
      <w:r w:rsidR="00877839">
        <w:t xml:space="preserve"> na </w:t>
      </w:r>
      <w:proofErr w:type="spellStart"/>
      <w:r w:rsidR="00877839">
        <w:t>subpopulaci</w:t>
      </w:r>
      <w:proofErr w:type="spellEnd"/>
      <w:r w:rsidR="00877839">
        <w:t xml:space="preserve"> ve věku 55 až 74 let.</w:t>
      </w:r>
      <w:r w:rsidR="008651DE">
        <w:t xml:space="preserve"> Příspěvky věkové skupiny s nejvyšší </w:t>
      </w:r>
      <w:proofErr w:type="spellStart"/>
      <w:r w:rsidR="008651DE">
        <w:lastRenderedPageBreak/>
        <w:t>nadúmrtnosti</w:t>
      </w:r>
      <w:proofErr w:type="spellEnd"/>
      <w:r w:rsidR="008651DE">
        <w:t xml:space="preserve"> mužů (tj. 15</w:t>
      </w:r>
      <w:r w:rsidR="00741C92">
        <w:t>-</w:t>
      </w:r>
      <w:r w:rsidR="008651DE">
        <w:t>24 let) nebyly tak podstatné, protože se jednalo o relativně nízký absolutní počet úmrtí ve srovnání se staršími věky.</w:t>
      </w:r>
    </w:p>
    <w:p w:rsidR="007377FF" w:rsidRDefault="007377FF" w:rsidP="00677FF0">
      <w:pPr>
        <w:pStyle w:val="Titulek"/>
        <w:spacing w:before="0" w:after="0"/>
      </w:pPr>
    </w:p>
    <w:p w:rsidR="00986EF1" w:rsidRDefault="00986EF1" w:rsidP="00F125E5">
      <w:pPr>
        <w:pStyle w:val="Titulek"/>
        <w:spacing w:before="0" w:after="60"/>
        <w:jc w:val="left"/>
      </w:pPr>
      <w:r>
        <w:t xml:space="preserve">Obr. </w:t>
      </w:r>
      <w:proofErr w:type="gramStart"/>
      <w:r w:rsidR="00E252CA">
        <w:fldChar w:fldCharType="begin"/>
      </w:r>
      <w:r>
        <w:instrText xml:space="preserve"> STYLEREF 1 \s </w:instrText>
      </w:r>
      <w:r w:rsidR="00E252CA">
        <w:fldChar w:fldCharType="separate"/>
      </w:r>
      <w:r w:rsidR="00C120C8">
        <w:rPr>
          <w:noProof/>
        </w:rPr>
        <w:t>6</w:t>
      </w:r>
      <w:r w:rsidR="00E252CA">
        <w:fldChar w:fldCharType="end"/>
      </w:r>
      <w:r>
        <w:t xml:space="preserve">.2 </w:t>
      </w:r>
      <w:bookmarkStart w:id="4" w:name="OLE_LINK1"/>
      <w:bookmarkStart w:id="5" w:name="OLE_LINK2"/>
      <w:r w:rsidR="00544F87" w:rsidRPr="00544F87">
        <w:t>Příspěvky</w:t>
      </w:r>
      <w:proofErr w:type="gramEnd"/>
      <w:r w:rsidR="00544F87" w:rsidRPr="00544F87">
        <w:t xml:space="preserve"> věkových skupin k rozd</w:t>
      </w:r>
      <w:r w:rsidR="007C2E25">
        <w:t xml:space="preserve">ílu naděje dožití </w:t>
      </w:r>
      <w:bookmarkEnd w:id="4"/>
      <w:bookmarkEnd w:id="5"/>
      <w:r w:rsidR="007C2E25">
        <w:t>mezi roky 2004 a 2014</w:t>
      </w:r>
      <w:r w:rsidR="00544F87" w:rsidRPr="00544F87">
        <w:t xml:space="preserve"> podle pohlaví (%)</w:t>
      </w:r>
    </w:p>
    <w:p w:rsidR="00151780" w:rsidRDefault="002E0D76">
      <w:r>
        <w:pict>
          <v:shape id="_x0000_i1026" type="#_x0000_t75" style="width:434.25pt;height:233.25pt">
            <v:imagedata r:id="rId9" o:title=""/>
          </v:shape>
        </w:pict>
      </w:r>
    </w:p>
    <w:p w:rsidR="00151780" w:rsidRDefault="00151780" w:rsidP="002023FD">
      <w:pPr>
        <w:spacing w:after="60"/>
      </w:pPr>
    </w:p>
    <w:p w:rsidR="00986EF1" w:rsidRDefault="00A92F11" w:rsidP="00F125E5">
      <w:pPr>
        <w:pStyle w:val="Titulek"/>
        <w:spacing w:before="0" w:after="60"/>
        <w:jc w:val="left"/>
      </w:pPr>
      <w:r w:rsidRPr="00795186">
        <w:t>Obr. 6.3 Příspě</w:t>
      </w:r>
      <w:r w:rsidR="00544F87">
        <w:t>vky věkových skupin k rozdílu naděje</w:t>
      </w:r>
      <w:r w:rsidRPr="00795186">
        <w:t xml:space="preserve"> dožití </w:t>
      </w:r>
      <w:r w:rsidR="00544F87">
        <w:t>mezi muži a ženami</w:t>
      </w:r>
      <w:r w:rsidRPr="00795186">
        <w:t xml:space="preserve"> (%), </w:t>
      </w:r>
      <w:r w:rsidR="001D1E54">
        <w:t>2004</w:t>
      </w:r>
      <w:r w:rsidR="00544F87">
        <w:t xml:space="preserve"> a </w:t>
      </w:r>
      <w:r w:rsidR="001D1E54">
        <w:t>2014</w:t>
      </w:r>
    </w:p>
    <w:p w:rsidR="00A92F11" w:rsidRPr="00A92F11" w:rsidRDefault="002E0D76" w:rsidP="00A92F11">
      <w:r>
        <w:pict>
          <v:shape id="_x0000_i1027" type="#_x0000_t75" style="width:435.75pt;height:234pt">
            <v:imagedata r:id="rId10" o:title=""/>
          </v:shape>
        </w:pict>
      </w:r>
    </w:p>
    <w:p w:rsidR="006C6420" w:rsidRDefault="006C6420" w:rsidP="006C6420">
      <w:pPr>
        <w:spacing w:after="60"/>
      </w:pPr>
    </w:p>
    <w:p w:rsidR="00A34DE8" w:rsidRDefault="00B64E0A" w:rsidP="00C72721">
      <w:r>
        <w:t xml:space="preserve">Statistika zemřelých podle příčin smrti </w:t>
      </w:r>
      <w:r w:rsidR="002C5E2D">
        <w:t xml:space="preserve">byla </w:t>
      </w:r>
      <w:r w:rsidR="00084C1A">
        <w:t>v</w:t>
      </w:r>
      <w:r w:rsidR="002C5E2D">
        <w:t xml:space="preserve"> analyzovaných </w:t>
      </w:r>
      <w:r w:rsidR="00084C1A">
        <w:t xml:space="preserve">letech 2004–2014 z pohledu časové řady ovlivněna </w:t>
      </w:r>
      <w:r w:rsidR="002C5E2D">
        <w:t xml:space="preserve">metodickými </w:t>
      </w:r>
      <w:r w:rsidR="00A34DE8">
        <w:t>změnami. O</w:t>
      </w:r>
      <w:r>
        <w:t xml:space="preserve">d roku 2007 </w:t>
      </w:r>
      <w:r w:rsidR="00A34DE8">
        <w:t xml:space="preserve">dochází </w:t>
      </w:r>
      <w:r>
        <w:t xml:space="preserve">ke změnám v systému kódovací praxe z důvodu zlepšení kódovacích procedur při výběru základní příčiny smrti, </w:t>
      </w:r>
      <w:r w:rsidR="00A34DE8">
        <w:t>přičemž jsou o</w:t>
      </w:r>
      <w:r>
        <w:t>d roku 2009 implement</w:t>
      </w:r>
      <w:r w:rsidR="00A34DE8">
        <w:t>ovány</w:t>
      </w:r>
      <w:r>
        <w:t xml:space="preserve"> aktualizac</w:t>
      </w:r>
      <w:r w:rsidR="00A34DE8">
        <w:t>e</w:t>
      </w:r>
      <w:r>
        <w:t xml:space="preserve"> </w:t>
      </w:r>
      <w:r w:rsidR="00A34DE8">
        <w:t xml:space="preserve">Mezinárodní </w:t>
      </w:r>
      <w:r>
        <w:t xml:space="preserve">klasifikace </w:t>
      </w:r>
      <w:r w:rsidR="00A34DE8">
        <w:t>nemocí vyhlašované WHO, od roku 2011 je zavedeno automatizované kódování příčin smrti (software IRIS).</w:t>
      </w:r>
      <w:r>
        <w:t xml:space="preserve"> </w:t>
      </w:r>
      <w:r w:rsidR="00A34DE8">
        <w:t>Poslední výrazná aktualizace klasifikace v roce 2013 a změny ve formuláři „List o prohlídce zemřelého“ (LPZ)</w:t>
      </w:r>
      <w:r w:rsidR="00A34DE8">
        <w:rPr>
          <w:rStyle w:val="Znakapoznpodarou"/>
        </w:rPr>
        <w:footnoteReference w:id="1"/>
      </w:r>
      <w:r w:rsidR="00A34DE8">
        <w:t xml:space="preserve"> a v systému přebírání dat o příčinách smrti Českým statistickým úřadem ve stejném roce vedly například ke zvýšení počtu úmrtí na diabetes </w:t>
      </w:r>
      <w:proofErr w:type="spellStart"/>
      <w:r w:rsidR="00A34DE8">
        <w:t>mellitus</w:t>
      </w:r>
      <w:proofErr w:type="spellEnd"/>
      <w:r w:rsidR="00A34DE8">
        <w:t xml:space="preserve"> a postižení srdce při hypertenzi. Dřívější z</w:t>
      </w:r>
      <w:r>
        <w:t xml:space="preserve">měny </w:t>
      </w:r>
      <w:r w:rsidR="00A34DE8">
        <w:t xml:space="preserve">mj. </w:t>
      </w:r>
      <w:r>
        <w:t>ovlivnily statistiku úmrtnosti na hypertenzi, selhání srdce, cévní nemoci mozku</w:t>
      </w:r>
      <w:r w:rsidR="00A34DE8">
        <w:t xml:space="preserve">, pneumonii či </w:t>
      </w:r>
      <w:r>
        <w:t xml:space="preserve">aterosklerózu </w:t>
      </w:r>
      <w:r w:rsidR="00A34DE8">
        <w:t>(jde</w:t>
      </w:r>
      <w:r>
        <w:t xml:space="preserve"> o má</w:t>
      </w:r>
      <w:r w:rsidR="00026BB8">
        <w:t>lo specifickou příčinu smrti)</w:t>
      </w:r>
      <w:r w:rsidR="00A34DE8">
        <w:t>.</w:t>
      </w:r>
    </w:p>
    <w:p w:rsidR="00E54CBD" w:rsidRDefault="000F5B19" w:rsidP="00C72721">
      <w:r>
        <w:lastRenderedPageBreak/>
        <w:t xml:space="preserve">V roce 2014 došlo k mírnému nárůstu počtu úmrtí na novotvary </w:t>
      </w:r>
      <w:r w:rsidR="00B64E0A">
        <w:t>a</w:t>
      </w:r>
      <w:r>
        <w:t xml:space="preserve"> vnější příčiny</w:t>
      </w:r>
      <w:r w:rsidR="00B64E0A">
        <w:t xml:space="preserve"> u mužů i u žen.</w:t>
      </w:r>
      <w:r>
        <w:t xml:space="preserve"> </w:t>
      </w:r>
      <w:r w:rsidR="00C13D04">
        <w:t>Výraznější zastoupení měla i skupina ostatních příčin úmrtí. Vzhledem k výraznému obecnému poklesu úmrtnosti došlo u dalších skupin příčin úmrtí k</w:t>
      </w:r>
      <w:r w:rsidR="00741C92">
        <w:t>e snížení počtu zemřelých.</w:t>
      </w:r>
    </w:p>
    <w:p w:rsidR="00555EB1" w:rsidRDefault="00555EB1" w:rsidP="00C72721"/>
    <w:p w:rsidR="005B14CC" w:rsidRDefault="00E54CBD" w:rsidP="00C72721">
      <w:r>
        <w:t>Muži v roce 2014 nejčastěji umírali na nemoci oběhové sou</w:t>
      </w:r>
      <w:r w:rsidR="00173DCA">
        <w:t>stavy (41,8 </w:t>
      </w:r>
      <w:r>
        <w:t>% ze všec</w:t>
      </w:r>
      <w:r w:rsidR="00173DCA">
        <w:t>h úmrtí mužů) a novotvary (28,4 </w:t>
      </w:r>
      <w:r>
        <w:t>%). Zastoupení nemocí oběhové soustav</w:t>
      </w:r>
      <w:r w:rsidR="00173DCA">
        <w:t xml:space="preserve">y se dlouhodobě </w:t>
      </w:r>
      <w:proofErr w:type="gramStart"/>
      <w:r w:rsidR="00173DCA">
        <w:t>snižuje (z 46,0</w:t>
      </w:r>
      <w:proofErr w:type="gramEnd"/>
      <w:r w:rsidR="00173DCA">
        <w:t> </w:t>
      </w:r>
      <w:r>
        <w:t>% v roce 2004). V příp</w:t>
      </w:r>
      <w:r w:rsidR="00173DCA">
        <w:t>adě novotvarů byl pokles z 30,0 </w:t>
      </w:r>
      <w:r>
        <w:t>% v roce 2004 zastaven v posledním sledo</w:t>
      </w:r>
      <w:r w:rsidR="00173DCA">
        <w:t>vaném roce, kdy došlo k růstu z </w:t>
      </w:r>
      <w:r>
        <w:t>27,6</w:t>
      </w:r>
      <w:r w:rsidR="00173DCA">
        <w:t> </w:t>
      </w:r>
      <w:r>
        <w:t>% n</w:t>
      </w:r>
      <w:r w:rsidR="00173DCA">
        <w:t>a 28,4 </w:t>
      </w:r>
      <w:r>
        <w:t>%.</w:t>
      </w:r>
      <w:r w:rsidR="003C0175">
        <w:t xml:space="preserve"> Vnější příčiny reprezentovaly 7,2</w:t>
      </w:r>
      <w:r w:rsidR="00741C92">
        <w:t> </w:t>
      </w:r>
      <w:r w:rsidR="003C0175">
        <w:t>% mužských úm</w:t>
      </w:r>
      <w:r w:rsidR="008C4234">
        <w:t xml:space="preserve">rtí </w:t>
      </w:r>
      <w:r w:rsidR="009F137C">
        <w:t xml:space="preserve">v roce 2014 </w:t>
      </w:r>
      <w:r w:rsidR="008C4234">
        <w:t xml:space="preserve">a i zde došlo k meziročnímu </w:t>
      </w:r>
      <w:r w:rsidR="003C0175">
        <w:t>nárůstu z</w:t>
      </w:r>
      <w:r w:rsidR="00871863">
        <w:t>e</w:t>
      </w:r>
      <w:r w:rsidR="003C0175">
        <w:t xml:space="preserve"> 7,</w:t>
      </w:r>
      <w:r w:rsidR="00173DCA">
        <w:t>0 </w:t>
      </w:r>
      <w:r w:rsidR="003C0175">
        <w:t xml:space="preserve">% v roce 2013. </w:t>
      </w:r>
      <w:r w:rsidR="00515188">
        <w:t xml:space="preserve">Z dlouhodobého hlediska tato skupina ovšem zaznamenala pokles (z </w:t>
      </w:r>
      <w:r w:rsidR="00173DCA">
        <w:t>8,4 </w:t>
      </w:r>
      <w:r w:rsidR="00666318">
        <w:t>% v roce 200</w:t>
      </w:r>
      <w:r w:rsidR="008C4234">
        <w:t>4)</w:t>
      </w:r>
      <w:r w:rsidR="00290F77">
        <w:t xml:space="preserve">. </w:t>
      </w:r>
      <w:r w:rsidR="00662046">
        <w:t>První pětici skupin příčin smrti podle četnosti úmrtí u mužů</w:t>
      </w:r>
      <w:r w:rsidR="00173DCA">
        <w:t xml:space="preserve"> doplňovaly nemoci dýchací (6,7 %) a trávicí soustavy (4,4 </w:t>
      </w:r>
      <w:r w:rsidR="00662046">
        <w:t>%)</w:t>
      </w:r>
      <w:r w:rsidR="005B14CC">
        <w:t>.</w:t>
      </w:r>
    </w:p>
    <w:p w:rsidR="005B14CC" w:rsidRDefault="005B14CC" w:rsidP="00677FF0"/>
    <w:p w:rsidR="008C4234" w:rsidRDefault="008C4234" w:rsidP="00084C1A">
      <w:pPr>
        <w:pStyle w:val="Titulek"/>
        <w:spacing w:before="0" w:after="60"/>
        <w:jc w:val="left"/>
      </w:pPr>
      <w:r>
        <w:t xml:space="preserve">Tab. </w:t>
      </w:r>
      <w:r w:rsidR="00E252CA">
        <w:fldChar w:fldCharType="begin"/>
      </w:r>
      <w:r w:rsidR="00E64324">
        <w:instrText xml:space="preserve"> STYLEREF 1 \s </w:instrText>
      </w:r>
      <w:r w:rsidR="00E252CA">
        <w:fldChar w:fldCharType="separate"/>
      </w:r>
      <w:proofErr w:type="gramStart"/>
      <w:r w:rsidR="00C120C8">
        <w:rPr>
          <w:noProof/>
        </w:rPr>
        <w:t>6</w:t>
      </w:r>
      <w:r w:rsidR="00E252CA">
        <w:fldChar w:fldCharType="end"/>
      </w:r>
      <w:r>
        <w:t>.</w:t>
      </w:r>
      <w:r w:rsidR="00E252CA">
        <w:fldChar w:fldCharType="begin"/>
      </w:r>
      <w:r w:rsidR="00553304">
        <w:instrText xml:space="preserve"> SEQ Tab. \* ARABIC \s 1 </w:instrText>
      </w:r>
      <w:r w:rsidR="00E252CA">
        <w:fldChar w:fldCharType="separate"/>
      </w:r>
      <w:r w:rsidR="00C120C8">
        <w:rPr>
          <w:noProof/>
        </w:rPr>
        <w:t>5</w:t>
      </w:r>
      <w:r w:rsidR="00E252CA">
        <w:rPr>
          <w:noProof/>
        </w:rPr>
        <w:fldChar w:fldCharType="end"/>
      </w:r>
      <w:proofErr w:type="gramEnd"/>
      <w:r>
        <w:t xml:space="preserve"> Zemřelí podle pohlaví a vybraných příčin smrti, 2004–2014*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32"/>
        <w:gridCol w:w="859"/>
        <w:gridCol w:w="858"/>
        <w:gridCol w:w="858"/>
        <w:gridCol w:w="858"/>
        <w:gridCol w:w="858"/>
        <w:gridCol w:w="858"/>
        <w:gridCol w:w="858"/>
      </w:tblGrid>
      <w:tr w:rsidR="008C4234" w:rsidTr="00AD1D9D">
        <w:trPr>
          <w:trHeight w:val="255"/>
        </w:trPr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234" w:rsidRDefault="008C4234" w:rsidP="00AD1D9D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Základní příčina smrti (kód dle MKN-10)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8C4234" w:rsidRDefault="008C4234" w:rsidP="00AD1D9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8C4234" w:rsidRDefault="003A5F3F" w:rsidP="00AD1D9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8C4234" w:rsidRDefault="008C4234" w:rsidP="00AD1D9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8C4234" w:rsidRDefault="008C4234" w:rsidP="00AD1D9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8C4234" w:rsidRDefault="008C4234" w:rsidP="00AD1D9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8C4234" w:rsidRDefault="008C4234" w:rsidP="00AD1D9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8C4234" w:rsidRDefault="008C4234" w:rsidP="00AD1D9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</w:tr>
      <w:tr w:rsidR="00AD1D9D" w:rsidTr="00AD1D9D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1D9D" w:rsidRDefault="00AD1D9D" w:rsidP="00AD1D9D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Muži celkem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54 190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54 080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54 150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54 141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54 550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55 098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53 740</w:t>
            </w:r>
          </w:p>
        </w:tc>
      </w:tr>
      <w:tr w:rsidR="00AD1D9D" w:rsidTr="00AD1D9D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1D9D" w:rsidRDefault="00AD1D9D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Novotvary (C00-D48)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16 280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15 673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15 865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15 180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15 189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15 208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15 252</w:t>
            </w:r>
          </w:p>
        </w:tc>
      </w:tr>
      <w:tr w:rsidR="00AD1D9D" w:rsidTr="00AD1D9D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1D9D" w:rsidRDefault="00AD1D9D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Zhoubný novotvar tlustého střeva (C18)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1 414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1 284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1 271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1 154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1 190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1 179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1 128</w:t>
            </w:r>
          </w:p>
        </w:tc>
      </w:tr>
      <w:tr w:rsidR="00AD1D9D" w:rsidTr="00AD1D9D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1D9D" w:rsidRDefault="00AD1D9D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Zhoubný novotvar průdušky a plíce (C34)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4 333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3 968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3 998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3 907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3 838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3 733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3 582</w:t>
            </w:r>
          </w:p>
        </w:tc>
      </w:tr>
      <w:tr w:rsidR="00AD1D9D" w:rsidTr="00AD1D9D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1D9D" w:rsidRDefault="00AD1D9D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Zhoubný novotvar prostaty (C61)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1 520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1 305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1 348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1 314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1 360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1 422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1 509</w:t>
            </w:r>
          </w:p>
        </w:tc>
      </w:tr>
      <w:tr w:rsidR="00AD1D9D" w:rsidTr="00AD1D9D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1D9D" w:rsidRDefault="00AD1D9D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Nemoci oběhové soustavy (I00-I99)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24 919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24 051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24 132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24 121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24 179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23 701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22 489</w:t>
            </w:r>
          </w:p>
        </w:tc>
      </w:tr>
      <w:tr w:rsidR="00AD1D9D" w:rsidTr="00AD1D9D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1D9D" w:rsidRDefault="00AD1D9D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Postižení srdce při hypertenzi (I11)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561</w:t>
            </w:r>
          </w:p>
        </w:tc>
      </w:tr>
      <w:tr w:rsidR="00AD1D9D" w:rsidTr="00AD1D9D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1D9D" w:rsidRDefault="00AD1D9D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Ischemické nemoci srdeční (I20-I25)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10 659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12 101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12 153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12 844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12 886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13 412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12 603</w:t>
            </w:r>
          </w:p>
        </w:tc>
      </w:tr>
      <w:tr w:rsidR="00AD1D9D" w:rsidTr="00AD1D9D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1D9D" w:rsidRDefault="00AD1D9D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Akutní infarkt myokardu (I21)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4 591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3 644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3 564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3 760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3 557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3 519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3 067</w:t>
            </w:r>
          </w:p>
        </w:tc>
      </w:tr>
      <w:tr w:rsidR="00AD1D9D" w:rsidTr="00AD1D9D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1D9D" w:rsidRDefault="00AD1D9D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Selhání srdce (I50)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2 003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2 076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1 454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1 456</w:t>
            </w:r>
          </w:p>
        </w:tc>
      </w:tr>
      <w:tr w:rsidR="00AD1D9D" w:rsidTr="00AD1D9D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1D9D" w:rsidRDefault="00AD1D9D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Cévní nemoci mozku (I60-I69)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5 797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4 820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4 522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4 306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4 339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4 249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3 885</w:t>
            </w:r>
          </w:p>
        </w:tc>
      </w:tr>
      <w:tr w:rsidR="00AD1D9D" w:rsidTr="00AD1D9D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1D9D" w:rsidRDefault="00AD1D9D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Ateroskleróza (I70)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4 742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2 484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2 845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1 432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1 407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647</w:t>
            </w:r>
          </w:p>
        </w:tc>
      </w:tr>
      <w:tr w:rsidR="00AD1D9D" w:rsidTr="00AD1D9D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1D9D" w:rsidRDefault="00AD1D9D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Nemoci dýchací soustavy (J00-J99)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2 686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3 505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3 359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3 253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3 230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3 853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3 520</w:t>
            </w:r>
          </w:p>
        </w:tc>
      </w:tr>
      <w:tr w:rsidR="00AD1D9D" w:rsidTr="00AD1D9D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1D9D" w:rsidRDefault="00AD1D9D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Nemoci trávicí soustavy (K00-K93)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2 583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2 710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2 638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2 562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2 487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2 609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2 537</w:t>
            </w:r>
          </w:p>
        </w:tc>
      </w:tr>
      <w:tr w:rsidR="00AD1D9D" w:rsidTr="00AD1D9D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1D9D" w:rsidRDefault="00AD1D9D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Vnější příčiny nemocnosti a úmrtnosti (V01-Y98)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4 578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4 176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4 193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4 142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4 060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3 848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3 860</w:t>
            </w:r>
          </w:p>
        </w:tc>
      </w:tr>
      <w:tr w:rsidR="00AD1D9D" w:rsidTr="00AD1D9D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1D9D" w:rsidRDefault="00AD1D9D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Dopravní nehody (V01-V99)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598</w:t>
            </w:r>
          </w:p>
        </w:tc>
      </w:tr>
      <w:tr w:rsidR="00AD1D9D" w:rsidTr="00AD1D9D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1D9D" w:rsidRDefault="00AD1D9D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Sebevraždy (X60-X84)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1 286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1 230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1 245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1 337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1 370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1 291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1 195</w:t>
            </w:r>
          </w:p>
        </w:tc>
      </w:tr>
      <w:tr w:rsidR="00AD1D9D" w:rsidTr="00AD1D9D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1D9D" w:rsidRDefault="00AD1D9D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Ostatní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3 144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3 965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3 963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4 883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5 405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5 879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6 082</w:t>
            </w:r>
          </w:p>
        </w:tc>
      </w:tr>
      <w:tr w:rsidR="00AD1D9D" w:rsidTr="00AD1D9D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D9D" w:rsidRDefault="00AD1D9D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Diabetes </w:t>
            </w:r>
            <w:proofErr w:type="spellStart"/>
            <w:r>
              <w:rPr>
                <w:rFonts w:cs="Arial"/>
                <w:sz w:val="16"/>
                <w:szCs w:val="16"/>
              </w:rPr>
              <w:t>mellitus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(E10-E14)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1 041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1 045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1 687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1 598</w:t>
            </w:r>
          </w:p>
        </w:tc>
      </w:tr>
      <w:tr w:rsidR="00AD1D9D" w:rsidTr="00AD1D9D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1D9D" w:rsidRDefault="00AD1D9D" w:rsidP="00AD1D9D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Ženy celkem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52 987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53 341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52 694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52 707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53 639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54 062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51 925</w:t>
            </w:r>
          </w:p>
        </w:tc>
      </w:tr>
      <w:tr w:rsidR="00AD1D9D" w:rsidTr="00AD1D9D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1D9D" w:rsidRDefault="00AD1D9D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Novotvary (C00-D48)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13 024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12 391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12 357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12 359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12 494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12 241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12 351</w:t>
            </w:r>
          </w:p>
        </w:tc>
      </w:tr>
      <w:tr w:rsidR="00AD1D9D" w:rsidTr="00AD1D9D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1D9D" w:rsidRDefault="00AD1D9D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Zhoubný novotvar tlustého střeva (C18)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1 143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909</w:t>
            </w:r>
          </w:p>
        </w:tc>
      </w:tr>
      <w:tr w:rsidR="00AD1D9D" w:rsidTr="00AD1D9D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1D9D" w:rsidRDefault="00AD1D9D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Zhoubný novotvar průdušky a plíce (C34)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1 339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1 478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1 556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1 675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1 748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1 678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1 664</w:t>
            </w:r>
          </w:p>
        </w:tc>
      </w:tr>
      <w:tr w:rsidR="00AD1D9D" w:rsidTr="00AD1D9D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1D9D" w:rsidRDefault="00AD1D9D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Zhoubný novotvar prsu (C50)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1 998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1 607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1 655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1 725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1 678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1 692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1 581</w:t>
            </w:r>
          </w:p>
        </w:tc>
      </w:tr>
      <w:tr w:rsidR="00AD1D9D" w:rsidTr="00AD1D9D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1D9D" w:rsidRDefault="00AD1D9D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Nemoci oběhové soustavy (I00-I99)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30 123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30 049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29 458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28 604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28 867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28 030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26 138</w:t>
            </w:r>
          </w:p>
        </w:tc>
      </w:tr>
      <w:tr w:rsidR="00AD1D9D" w:rsidTr="00AD1D9D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1D9D" w:rsidRDefault="00AD1D9D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Postižení srdce při hypertenzi (I11)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813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748</w:t>
            </w:r>
          </w:p>
        </w:tc>
      </w:tr>
      <w:tr w:rsidR="00AD1D9D" w:rsidTr="00AD1D9D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1D9D" w:rsidRDefault="00AD1D9D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Ischemické nemoci srdeční (I20-I25)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10 397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13 664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13 025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13 895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14 007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14 524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13 436</w:t>
            </w:r>
          </w:p>
        </w:tc>
      </w:tr>
      <w:tr w:rsidR="00AD1D9D" w:rsidTr="00AD1D9D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1D9D" w:rsidRDefault="00AD1D9D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Akutní infarkt myokardu (I21)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3 454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2 921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2 697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2 806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2 748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2 671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2 250</w:t>
            </w:r>
          </w:p>
        </w:tc>
      </w:tr>
      <w:tr w:rsidR="00AD1D9D" w:rsidTr="00AD1D9D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1D9D" w:rsidRDefault="00AD1D9D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Selhání srdce (I50)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1 017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2 211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2 404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1 683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1 589</w:t>
            </w:r>
          </w:p>
        </w:tc>
      </w:tr>
      <w:tr w:rsidR="00AD1D9D" w:rsidTr="00AD1D9D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1D9D" w:rsidRDefault="00AD1D9D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Cévní nemoci mozku (I60-I69)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8 669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7 372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7 045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6 497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6 330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6 067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5 525</w:t>
            </w:r>
          </w:p>
        </w:tc>
      </w:tr>
      <w:tr w:rsidR="00AD1D9D" w:rsidTr="00AD1D9D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1D9D" w:rsidRDefault="00AD1D9D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Ateroskleróza (I70)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6 876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3 436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3 814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2 010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1 961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1 096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939</w:t>
            </w:r>
          </w:p>
        </w:tc>
      </w:tr>
      <w:tr w:rsidR="00AD1D9D" w:rsidTr="00AD1D9D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1D9D" w:rsidRDefault="00AD1D9D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Nemoci dýchací soustavy (J00-J99)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2 069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2 888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2 792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2 437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2 652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2 980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2 690</w:t>
            </w:r>
          </w:p>
        </w:tc>
      </w:tr>
      <w:tr w:rsidR="00AD1D9D" w:rsidTr="00AD1D9D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1D9D" w:rsidRDefault="00AD1D9D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Nemoci trávicí soustavy (K00-K93)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1 954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2 099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2 026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1 969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2 004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1 998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1 937</w:t>
            </w:r>
          </w:p>
        </w:tc>
      </w:tr>
      <w:tr w:rsidR="00AD1D9D" w:rsidTr="00AD1D9D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1D9D" w:rsidRDefault="00AD1D9D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Vnější příčiny nemocnosti a úmrtnosti (V01-Y98)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2 413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1 770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1 816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1 831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1 786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1 750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1 854</w:t>
            </w:r>
          </w:p>
        </w:tc>
      </w:tr>
      <w:tr w:rsidR="00AD1D9D" w:rsidTr="00AD1D9D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1D9D" w:rsidRDefault="00AD1D9D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Dopravní nehody (V01-V99)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188</w:t>
            </w:r>
          </w:p>
        </w:tc>
      </w:tr>
      <w:tr w:rsidR="00AD1D9D" w:rsidTr="00AD1D9D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1D9D" w:rsidRDefault="00AD1D9D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Sebevraždy (X60-X84)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293</w:t>
            </w:r>
          </w:p>
        </w:tc>
      </w:tr>
      <w:tr w:rsidR="00AD1D9D" w:rsidTr="00AD1D9D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D1D9D" w:rsidRDefault="00AD1D9D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Ostatní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3 404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4 144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4 245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5 507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5 836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7 063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6 955</w:t>
            </w:r>
          </w:p>
        </w:tc>
      </w:tr>
      <w:tr w:rsidR="00AD1D9D" w:rsidTr="00AD1D9D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D9D" w:rsidRDefault="00AD1D9D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Diabetes </w:t>
            </w:r>
            <w:proofErr w:type="spellStart"/>
            <w:r>
              <w:rPr>
                <w:rFonts w:cs="Arial"/>
                <w:sz w:val="16"/>
                <w:szCs w:val="16"/>
              </w:rPr>
              <w:t>mellitus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(E10-E14)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1 079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1 086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1 337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1 202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2 061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AD1D9D" w:rsidRDefault="00AD1D9D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1 902</w:t>
            </w:r>
          </w:p>
        </w:tc>
      </w:tr>
    </w:tbl>
    <w:p w:rsidR="008C4234" w:rsidRDefault="008C4234" w:rsidP="00084C1A">
      <w:pPr>
        <w:spacing w:before="60"/>
        <w:jc w:val="left"/>
      </w:pPr>
      <w:r>
        <w:rPr>
          <w:i/>
          <w:iCs/>
          <w:sz w:val="16"/>
        </w:rPr>
        <w:t>* K větším aktualizacím MKN-10 došlo v letech 2009, 2012 a 2013.</w:t>
      </w:r>
    </w:p>
    <w:p w:rsidR="008C4234" w:rsidRDefault="008C4234" w:rsidP="00C72721"/>
    <w:p w:rsidR="00CE0729" w:rsidRDefault="005B14CC" w:rsidP="00C72721">
      <w:r>
        <w:t>V případě žen byl sledován největší podíl úmrtí v roce 2014 také n</w:t>
      </w:r>
      <w:r w:rsidR="00173DCA">
        <w:t>a nemoci oběhové soustavy (50,3 </w:t>
      </w:r>
      <w:r>
        <w:t>%)</w:t>
      </w:r>
      <w:r w:rsidR="00C46CCB">
        <w:t xml:space="preserve"> </w:t>
      </w:r>
      <w:r w:rsidR="00173DCA">
        <w:t>a </w:t>
      </w:r>
      <w:r>
        <w:t>novotvary (</w:t>
      </w:r>
      <w:r w:rsidR="00173DCA">
        <w:t>23,8 </w:t>
      </w:r>
      <w:r w:rsidR="007A1F7B">
        <w:t>%). Stejně jako u mužů klesalo zastoupení úmr</w:t>
      </w:r>
      <w:r w:rsidR="00173DCA">
        <w:t>tí na nejčetnější skupinu (56,8 </w:t>
      </w:r>
      <w:r w:rsidR="007A1F7B">
        <w:t>% v roce 2004)</w:t>
      </w:r>
      <w:r w:rsidR="004B0B53">
        <w:t xml:space="preserve">, podíl úmrtí na novotvary ale </w:t>
      </w:r>
      <w:r w:rsidR="009F137C">
        <w:t>m</w:t>
      </w:r>
      <w:r w:rsidR="007A1F7B">
        <w:t xml:space="preserve">eziročně </w:t>
      </w:r>
      <w:r w:rsidR="009F137C">
        <w:t xml:space="preserve">mírně </w:t>
      </w:r>
      <w:r w:rsidR="00173DCA">
        <w:t>narostl (22,6 </w:t>
      </w:r>
      <w:r w:rsidR="007A1F7B">
        <w:t>%</w:t>
      </w:r>
      <w:r w:rsidR="00BF303E">
        <w:t xml:space="preserve"> v roce 2013</w:t>
      </w:r>
      <w:r w:rsidR="007A1F7B">
        <w:t>)</w:t>
      </w:r>
      <w:r w:rsidR="00BF303E">
        <w:t>.</w:t>
      </w:r>
      <w:r w:rsidR="00220814">
        <w:t xml:space="preserve"> Třetí nejpočetnější příčinou úmrtí by</w:t>
      </w:r>
      <w:r w:rsidR="00173DCA">
        <w:t>ly nemoci dýchací soustavy (5,2 </w:t>
      </w:r>
      <w:r w:rsidR="00220814">
        <w:t xml:space="preserve">%) </w:t>
      </w:r>
      <w:r w:rsidR="00D23F5A">
        <w:t xml:space="preserve">a i </w:t>
      </w:r>
      <w:r w:rsidR="004B0B53">
        <w:t>na</w:t>
      </w:r>
      <w:r w:rsidR="00220814">
        <w:t xml:space="preserve"> dalších místech se pořadí od mužů liši</w:t>
      </w:r>
      <w:r w:rsidR="00173DCA">
        <w:t xml:space="preserve">lo. Za </w:t>
      </w:r>
      <w:r w:rsidR="00173DCA">
        <w:lastRenderedPageBreak/>
        <w:t>4,4 </w:t>
      </w:r>
      <w:r w:rsidR="008C4234">
        <w:t>% zemřelých žen stálo onemocnění ze skupiny</w:t>
      </w:r>
      <w:r w:rsidR="00220814">
        <w:t xml:space="preserve"> "</w:t>
      </w:r>
      <w:r w:rsidR="00084C1A">
        <w:t>n</w:t>
      </w:r>
      <w:r w:rsidR="00220814">
        <w:t>emoci endok</w:t>
      </w:r>
      <w:r w:rsidR="008C4234">
        <w:t>rinní, výživ</w:t>
      </w:r>
      <w:r w:rsidR="00173DCA">
        <w:t>y a přeměny látek“, kam patří i </w:t>
      </w:r>
      <w:r w:rsidR="008C4234">
        <w:t xml:space="preserve">diabetes </w:t>
      </w:r>
      <w:proofErr w:type="spellStart"/>
      <w:r w:rsidR="008C4234">
        <w:t>mellitus</w:t>
      </w:r>
      <w:proofErr w:type="spellEnd"/>
      <w:r w:rsidR="00220814">
        <w:t>.</w:t>
      </w:r>
      <w:r w:rsidR="00D822A2">
        <w:t xml:space="preserve"> V případě mužů bylo zastoupení této</w:t>
      </w:r>
      <w:r w:rsidR="00173DCA">
        <w:t xml:space="preserve"> skupiny příčin úmrtí pouze 3,4 </w:t>
      </w:r>
      <w:r w:rsidR="00D822A2">
        <w:t xml:space="preserve">%. </w:t>
      </w:r>
      <w:r w:rsidR="00EB0CBF">
        <w:t xml:space="preserve">Nemoci trávicí </w:t>
      </w:r>
      <w:r w:rsidR="00173DCA">
        <w:t>soustavy odpovídaly za 3,7 </w:t>
      </w:r>
      <w:r w:rsidR="00EB0CBF">
        <w:t>% případů úmrtí že</w:t>
      </w:r>
      <w:r w:rsidR="00173DCA">
        <w:t>n a vnější příčiny úmrtí za 3,6 </w:t>
      </w:r>
      <w:r w:rsidR="00EB0CBF">
        <w:t>%</w:t>
      </w:r>
      <w:r w:rsidR="00666318">
        <w:t>. U nich</w:t>
      </w:r>
      <w:r w:rsidR="00EB0CBF">
        <w:t xml:space="preserve"> došlo i přes dlouhodobý pokles zastoupen</w:t>
      </w:r>
      <w:r w:rsidR="00741C92">
        <w:t>í k meziročnímu nárůstu podílu.</w:t>
      </w:r>
    </w:p>
    <w:p w:rsidR="00555EB1" w:rsidRDefault="00555EB1" w:rsidP="00C72721"/>
    <w:p w:rsidR="008C4234" w:rsidRDefault="008C4234" w:rsidP="00677FF0">
      <w:pPr>
        <w:pStyle w:val="Titulek"/>
        <w:spacing w:before="0" w:after="60"/>
        <w:ind w:left="709" w:hanging="709"/>
        <w:jc w:val="left"/>
      </w:pPr>
      <w:r>
        <w:t>Tab. </w:t>
      </w:r>
      <w:r w:rsidR="00E252CA">
        <w:fldChar w:fldCharType="begin"/>
      </w:r>
      <w:r w:rsidR="00E64324">
        <w:instrText xml:space="preserve"> STYLEREF 1 \s </w:instrText>
      </w:r>
      <w:r w:rsidR="00E252CA">
        <w:fldChar w:fldCharType="separate"/>
      </w:r>
      <w:proofErr w:type="gramStart"/>
      <w:r w:rsidR="00C120C8">
        <w:rPr>
          <w:noProof/>
        </w:rPr>
        <w:t>6</w:t>
      </w:r>
      <w:r w:rsidR="00E252CA">
        <w:fldChar w:fldCharType="end"/>
      </w:r>
      <w:r>
        <w:t>.</w:t>
      </w:r>
      <w:r w:rsidR="00E252CA">
        <w:fldChar w:fldCharType="begin"/>
      </w:r>
      <w:r w:rsidR="00553304">
        <w:instrText xml:space="preserve"> SEQ Tab. \* ARABIC \s 1 </w:instrText>
      </w:r>
      <w:r w:rsidR="00E252CA">
        <w:fldChar w:fldCharType="separate"/>
      </w:r>
      <w:r w:rsidR="00C120C8">
        <w:rPr>
          <w:noProof/>
        </w:rPr>
        <w:t>6</w:t>
      </w:r>
      <w:r w:rsidR="00E252CA">
        <w:rPr>
          <w:noProof/>
        </w:rPr>
        <w:fldChar w:fldCharType="end"/>
      </w:r>
      <w:proofErr w:type="gramEnd"/>
      <w:r>
        <w:t xml:space="preserve"> Standardizované* míry úmrtnosti podle pohlaví a vybraných </w:t>
      </w:r>
      <w:r w:rsidR="002E0D76">
        <w:t>příčin smrti</w:t>
      </w:r>
      <w:r>
        <w:br/>
        <w:t xml:space="preserve">  (na 100 000 obyvatel), 2004–2014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89"/>
        <w:gridCol w:w="842"/>
        <w:gridCol w:w="818"/>
        <w:gridCol w:w="818"/>
        <w:gridCol w:w="818"/>
        <w:gridCol w:w="818"/>
        <w:gridCol w:w="818"/>
        <w:gridCol w:w="818"/>
      </w:tblGrid>
      <w:tr w:rsidR="008C4234" w:rsidTr="00AD1D9D">
        <w:trPr>
          <w:trHeight w:val="255"/>
        </w:trPr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234" w:rsidRDefault="008C4234" w:rsidP="00AD1D9D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Základní příčina smrti (kód dle MKN-10)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8C4234" w:rsidRDefault="008C4234" w:rsidP="00AD1D9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8C4234" w:rsidRDefault="00EE27CB" w:rsidP="00AD1D9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8C4234" w:rsidRDefault="008C4234" w:rsidP="00AD1D9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8C4234" w:rsidRDefault="008C4234" w:rsidP="00AD1D9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8C4234" w:rsidRDefault="008C4234" w:rsidP="00AD1D9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8C4234" w:rsidRDefault="008C4234" w:rsidP="00AD1D9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8C4234" w:rsidRDefault="008C4234" w:rsidP="00AD1D9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</w:tr>
      <w:tr w:rsidR="00EE27CB" w:rsidTr="00AD1D9D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27CB" w:rsidRDefault="00EE27CB" w:rsidP="00AD1D9D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Muži celkem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1 969,7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1 752,3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1 711,3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1 682,1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1 658,8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1 647,3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1 568,5</w:t>
            </w:r>
          </w:p>
        </w:tc>
      </w:tr>
      <w:tr w:rsidR="00EE27CB" w:rsidTr="00AD1D9D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27CB" w:rsidRDefault="00EE27CB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Novotvary (C00-D48)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516,3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441,8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438,1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412,9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403,8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394,2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390,4</w:t>
            </w:r>
          </w:p>
        </w:tc>
      </w:tr>
      <w:tr w:rsidR="00EE27CB" w:rsidTr="00AD1D9D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27CB" w:rsidRDefault="00EE27CB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Zhoubný novotvar tlustého střeva (C18)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47,2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38,9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30,4</w:t>
            </w:r>
          </w:p>
        </w:tc>
      </w:tr>
      <w:tr w:rsidR="00EE27CB" w:rsidTr="00AD1D9D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27CB" w:rsidRDefault="00EE27CB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Zhoubný novotvar průdušky a plíce (C34)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124,3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98,6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94,6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85,3</w:t>
            </w:r>
          </w:p>
        </w:tc>
      </w:tr>
      <w:tr w:rsidR="00EE27CB" w:rsidTr="00AD1D9D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27CB" w:rsidRDefault="00EE27CB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Zhoubný novotvar prostaty (C61)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63,2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47,2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44,7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47,4</w:t>
            </w:r>
          </w:p>
        </w:tc>
      </w:tr>
      <w:tr w:rsidR="00EE27CB" w:rsidTr="00AD1D9D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27CB" w:rsidRDefault="00EE27CB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Nemoci oběhové soustavy (I00-I99)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1 048,8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897,2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877,2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850,2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833,0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798,3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734,6</w:t>
            </w:r>
          </w:p>
        </w:tc>
      </w:tr>
      <w:tr w:rsidR="00EE27CB" w:rsidTr="00AD1D9D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27CB" w:rsidRDefault="00EE27CB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Postižení srdce při hypertenzi (I11)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18,7</w:t>
            </w:r>
          </w:p>
        </w:tc>
      </w:tr>
      <w:tr w:rsidR="00EE27CB" w:rsidTr="00AD1D9D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27CB" w:rsidRDefault="00EE27CB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Ischemické nemoci srdeční (I20-I25)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415,3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445,7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437,5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456,8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445,3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453,8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414,4</w:t>
            </w:r>
          </w:p>
        </w:tc>
      </w:tr>
      <w:tr w:rsidR="00EE27CB" w:rsidTr="00AD1D9D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27CB" w:rsidRDefault="00EE27CB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Akutní infarkt myokardu (I21)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158,2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115,3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110,5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113,6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104,3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85,3</w:t>
            </w:r>
          </w:p>
        </w:tc>
      </w:tr>
      <w:tr w:rsidR="00EE27CB" w:rsidTr="00AD1D9D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27CB" w:rsidRDefault="00EE27CB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Selhání srdce (I50)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70,6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47,4</w:t>
            </w:r>
          </w:p>
        </w:tc>
      </w:tr>
      <w:tr w:rsidR="00EE27CB" w:rsidTr="00AD1D9D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27CB" w:rsidRDefault="00EE27CB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Cévní nemoci mozku (I60-I69)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265,5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193,3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170,0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158,1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157,2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148,7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131,4</w:t>
            </w:r>
          </w:p>
        </w:tc>
      </w:tr>
      <w:tr w:rsidR="00EE27CB" w:rsidTr="00AD1D9D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27CB" w:rsidRDefault="00EE27CB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Ateroskleróza (I70)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237,8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117,0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52,9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22,7</w:t>
            </w:r>
          </w:p>
        </w:tc>
      </w:tr>
      <w:tr w:rsidR="00EE27CB" w:rsidTr="00AD1D9D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27CB" w:rsidRDefault="00EE27CB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Nemoci dýchací soustavy (J00-J99)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106,5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122,4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114,6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109,9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104,4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120,3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108,7</w:t>
            </w:r>
          </w:p>
        </w:tc>
      </w:tr>
      <w:tr w:rsidR="00EE27CB" w:rsidTr="00AD1D9D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27CB" w:rsidRDefault="00EE27CB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Nemoci trávicí soustavy (K00-K93)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70,2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65,9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63,9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60,5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63,6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60,8</w:t>
            </w:r>
          </w:p>
        </w:tc>
      </w:tr>
      <w:tr w:rsidR="00EE27CB" w:rsidTr="00AD1D9D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27CB" w:rsidRDefault="00EE27CB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Vnější příčiny nemocnosti a úmrtnosti (V01-Y98)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118,2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96,9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94,6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90,4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91,7</w:t>
            </w:r>
          </w:p>
        </w:tc>
      </w:tr>
      <w:tr w:rsidR="00EE27CB" w:rsidTr="00AD1D9D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27CB" w:rsidRDefault="00EE27CB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Dopravní nehody (V01-V99)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19,7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11,7</w:t>
            </w:r>
          </w:p>
        </w:tc>
      </w:tr>
      <w:tr w:rsidR="00EE27CB" w:rsidTr="00AD1D9D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27CB" w:rsidRDefault="00EE27CB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Sebevraždy (X60-X84)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25,5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25,6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24,5</w:t>
            </w:r>
          </w:p>
        </w:tc>
      </w:tr>
      <w:tr w:rsidR="00EE27CB" w:rsidTr="00AD1D9D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27CB" w:rsidRDefault="00EE27CB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Ostatní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90,7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116,7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131,7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129,3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182,4</w:t>
            </w:r>
          </w:p>
        </w:tc>
      </w:tr>
      <w:tr w:rsidR="00EE27CB" w:rsidTr="00AD1D9D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7CB" w:rsidRDefault="00EE27CB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Diabetes </w:t>
            </w:r>
            <w:proofErr w:type="spellStart"/>
            <w:r>
              <w:rPr>
                <w:rFonts w:cs="Arial"/>
                <w:sz w:val="16"/>
                <w:szCs w:val="16"/>
              </w:rPr>
              <w:t>mellitus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(E10-E14)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47,9</w:t>
            </w:r>
          </w:p>
        </w:tc>
      </w:tr>
      <w:tr w:rsidR="00EE27CB" w:rsidTr="00AD1D9D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27CB" w:rsidRDefault="00EE27CB" w:rsidP="00AD1D9D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Ženy celkem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1 277,6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1 155,2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1 112,8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1 090,9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1 089,3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1 074,9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1 009,9</w:t>
            </w:r>
          </w:p>
        </w:tc>
      </w:tr>
      <w:tr w:rsidR="00EE27CB" w:rsidTr="00AD1D9D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27CB" w:rsidRDefault="00EE27CB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Novotvary (C00-D48)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281,6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244,8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240,6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236,0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235,5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227,0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225,0</w:t>
            </w:r>
          </w:p>
        </w:tc>
      </w:tr>
      <w:tr w:rsidR="00EE27CB" w:rsidTr="00AD1D9D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27CB" w:rsidRDefault="00EE27CB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Zhoubný novotvar tlustého střeva (C18)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25,6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19,6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16,5</w:t>
            </w:r>
          </w:p>
        </w:tc>
      </w:tr>
      <w:tr w:rsidR="00EE27CB" w:rsidTr="00AD1D9D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27CB" w:rsidRDefault="00EE27CB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Zhoubný novotvar průdušky a plíce (C34)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29,6</w:t>
            </w:r>
          </w:p>
        </w:tc>
      </w:tr>
      <w:tr w:rsidR="00EE27CB" w:rsidTr="00AD1D9D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27CB" w:rsidRDefault="00EE27CB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Zhoubný novotvar prsu (C50)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43,4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29,1</w:t>
            </w:r>
          </w:p>
        </w:tc>
      </w:tr>
      <w:tr w:rsidR="00EE27CB" w:rsidTr="00AD1D9D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27CB" w:rsidRDefault="00EE27CB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Nemoci oběhové soustavy (I00-I99)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767,1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682,4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648,4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615,7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609,9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577,7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526,6</w:t>
            </w:r>
          </w:p>
        </w:tc>
      </w:tr>
      <w:tr w:rsidR="00EE27CB" w:rsidTr="00AD1D9D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27CB" w:rsidRDefault="00EE27CB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Postižení srdce při hypertenzi (I11)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20,6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15,0</w:t>
            </w:r>
          </w:p>
        </w:tc>
      </w:tr>
      <w:tr w:rsidR="00EE27CB" w:rsidTr="00AD1D9D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27CB" w:rsidRDefault="00EE27CB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Ischemické nemoci srdeční (I20-I25)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258,4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314,4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289,1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302,7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299,7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302,1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274,6</w:t>
            </w:r>
          </w:p>
        </w:tc>
      </w:tr>
      <w:tr w:rsidR="00EE27CB" w:rsidTr="00AD1D9D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27CB" w:rsidRDefault="00EE27CB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Akutní infarkt myokardu (I21)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81,1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58,2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56,4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44,0</w:t>
            </w:r>
          </w:p>
        </w:tc>
      </w:tr>
      <w:tr w:rsidR="00EE27CB" w:rsidTr="00AD1D9D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27CB" w:rsidRDefault="00EE27CB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Selhání srdce (I50)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20,6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35,3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32,3</w:t>
            </w:r>
          </w:p>
        </w:tc>
      </w:tr>
      <w:tr w:rsidR="00EE27CB" w:rsidTr="00AD1D9D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27CB" w:rsidRDefault="00EE27CB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Cévní nemoci mozku (I60-I69)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221,1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166,1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153,5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138,2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131,0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123,8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109,8</w:t>
            </w:r>
          </w:p>
        </w:tc>
      </w:tr>
      <w:tr w:rsidR="00EE27CB" w:rsidTr="00AD1D9D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27CB" w:rsidRDefault="00EE27CB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Ateroskleróza (I70)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188,2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80,9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45,2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43,2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23,4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19,7</w:t>
            </w:r>
          </w:p>
        </w:tc>
      </w:tr>
      <w:tr w:rsidR="00EE27CB" w:rsidTr="00AD1D9D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27CB" w:rsidRDefault="00EE27CB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Nemoci dýchací soustavy (J00-J99)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50,9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63,4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51,3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53,7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58,9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52,2</w:t>
            </w:r>
          </w:p>
        </w:tc>
      </w:tr>
      <w:tr w:rsidR="00EE27CB" w:rsidTr="00AD1D9D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27CB" w:rsidRDefault="00EE27CB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Nemoci trávicí soustavy (K00-K93)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42,5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38,2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36,3</w:t>
            </w:r>
          </w:p>
        </w:tc>
      </w:tr>
      <w:tr w:rsidR="00EE27CB" w:rsidTr="00AD1D9D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27CB" w:rsidRDefault="00EE27CB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Vnější příčiny nemocnosti a úmrtnosti (V01-Y98)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37,2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35,2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35,5</w:t>
            </w:r>
          </w:p>
        </w:tc>
      </w:tr>
      <w:tr w:rsidR="00EE27CB" w:rsidTr="00AD1D9D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27CB" w:rsidRDefault="00EE27CB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Dopravní nehody (V01-V99)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EE27CB" w:rsidTr="00AD1D9D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27CB" w:rsidRDefault="00EE27CB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Sebevraždy (X60-X84)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5,5</w:t>
            </w:r>
          </w:p>
        </w:tc>
      </w:tr>
      <w:tr w:rsidR="00EE27CB" w:rsidTr="00AD1D9D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E27CB" w:rsidRDefault="00EE27CB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Ostatní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77,9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65,2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84,9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98,9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134,3</w:t>
            </w:r>
          </w:p>
        </w:tc>
      </w:tr>
      <w:tr w:rsidR="00EE27CB" w:rsidTr="00AD1D9D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7CB" w:rsidRDefault="00EE27CB" w:rsidP="00AD1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Diabetes </w:t>
            </w:r>
            <w:proofErr w:type="spellStart"/>
            <w:r>
              <w:rPr>
                <w:rFonts w:cs="Arial"/>
                <w:sz w:val="16"/>
                <w:szCs w:val="16"/>
              </w:rPr>
              <w:t>mellitus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(E10-E14)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EE27CB" w:rsidRDefault="00EE27CB" w:rsidP="00AD1D9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36,8</w:t>
            </w:r>
          </w:p>
        </w:tc>
      </w:tr>
    </w:tbl>
    <w:p w:rsidR="008C4234" w:rsidRDefault="008C4234" w:rsidP="008C4234">
      <w:pPr>
        <w:spacing w:before="60"/>
        <w:jc w:val="left"/>
        <w:rPr>
          <w:i/>
          <w:iCs/>
          <w:sz w:val="16"/>
        </w:rPr>
      </w:pPr>
      <w:r>
        <w:rPr>
          <w:i/>
          <w:iCs/>
          <w:sz w:val="16"/>
        </w:rPr>
        <w:t xml:space="preserve">* Pro standardizaci byl použit nový standard evropské populace, vydaný </w:t>
      </w:r>
      <w:proofErr w:type="spellStart"/>
      <w:r>
        <w:rPr>
          <w:i/>
          <w:iCs/>
          <w:sz w:val="16"/>
        </w:rPr>
        <w:t>Eurostatem</w:t>
      </w:r>
      <w:proofErr w:type="spellEnd"/>
      <w:r>
        <w:rPr>
          <w:i/>
          <w:iCs/>
          <w:sz w:val="16"/>
        </w:rPr>
        <w:t xml:space="preserve"> v roce 2013 </w:t>
      </w:r>
      <w:r w:rsidR="00AF24A6">
        <w:rPr>
          <w:i/>
          <w:iCs/>
          <w:sz w:val="16"/>
        </w:rPr>
        <w:br/>
      </w:r>
      <w:r>
        <w:rPr>
          <w:i/>
          <w:iCs/>
          <w:sz w:val="16"/>
        </w:rPr>
        <w:t xml:space="preserve">(zdroj: </w:t>
      </w:r>
      <w:hyperlink r:id="rId11" w:history="1">
        <w:r w:rsidR="004E32A4" w:rsidRPr="004E32A4">
          <w:rPr>
            <w:rStyle w:val="Hypertextovodkaz"/>
            <w:i/>
            <w:iCs/>
            <w:sz w:val="16"/>
          </w:rPr>
          <w:t>http://ec.europa.eu/eurostat/en/web/products-manuals-and-guidelines/-/KS-RA-13-028</w:t>
        </w:r>
      </w:hyperlink>
      <w:r>
        <w:rPr>
          <w:i/>
          <w:iCs/>
          <w:sz w:val="16"/>
        </w:rPr>
        <w:t>).</w:t>
      </w:r>
    </w:p>
    <w:p w:rsidR="008C4234" w:rsidRDefault="008C4234" w:rsidP="00666318"/>
    <w:p w:rsidR="00666318" w:rsidRDefault="00666318" w:rsidP="00666318">
      <w:r>
        <w:t>Hodnoty standardizované míry úmrtnosti</w:t>
      </w:r>
      <w:r>
        <w:rPr>
          <w:rStyle w:val="Znakapoznpodarou"/>
        </w:rPr>
        <w:footnoteReference w:id="2"/>
      </w:r>
      <w:r>
        <w:t xml:space="preserve"> </w:t>
      </w:r>
      <w:r w:rsidR="006F3E32">
        <w:t>se v roce 2014</w:t>
      </w:r>
      <w:r>
        <w:t xml:space="preserve"> </w:t>
      </w:r>
      <w:r w:rsidR="000B38D8">
        <w:t>výrazně snížily u obou pohlaví a potvrdily tak trend zlepšování úmrtnostní</w:t>
      </w:r>
      <w:r w:rsidR="00677FF0">
        <w:t>ch</w:t>
      </w:r>
      <w:r w:rsidR="000B38D8">
        <w:t xml:space="preserve"> poměrů v Česku. Oproti roku 2004 došlo k poklesu hodnot tohoto </w:t>
      </w:r>
      <w:r w:rsidR="00173DCA">
        <w:t>ukazatele</w:t>
      </w:r>
      <w:r w:rsidR="00741C92">
        <w:t xml:space="preserve"> </w:t>
      </w:r>
      <w:r w:rsidR="00173DCA">
        <w:t>o</w:t>
      </w:r>
      <w:r w:rsidR="00741C92">
        <w:t> </w:t>
      </w:r>
      <w:r w:rsidR="00173DCA">
        <w:t>20,4 </w:t>
      </w:r>
      <w:r w:rsidR="008C4234">
        <w:t>% u mužů a o</w:t>
      </w:r>
      <w:r w:rsidR="00741C92">
        <w:t> </w:t>
      </w:r>
      <w:r w:rsidR="00173DCA">
        <w:t>20,9 </w:t>
      </w:r>
      <w:r w:rsidR="000B38D8">
        <w:t xml:space="preserve">% u žen. </w:t>
      </w:r>
      <w:r w:rsidR="008C4234">
        <w:t>Z příčin smrti uvedených v tabulce 6.6 byla jedna z nejvyšších</w:t>
      </w:r>
      <w:r w:rsidR="003F60E4">
        <w:t xml:space="preserve"> </w:t>
      </w:r>
      <w:proofErr w:type="spellStart"/>
      <w:r w:rsidR="003F60E4">
        <w:t>nadúmrtnost</w:t>
      </w:r>
      <w:r w:rsidR="008C4234">
        <w:t>í</w:t>
      </w:r>
      <w:proofErr w:type="spellEnd"/>
      <w:r w:rsidR="003F60E4">
        <w:t xml:space="preserve"> mužů ve srovnání se ženami u zhoubného </w:t>
      </w:r>
      <w:r w:rsidR="008C4234">
        <w:t>novotvaru průdušek a plic s 2,9</w:t>
      </w:r>
      <w:r w:rsidR="003F60E4">
        <w:t xml:space="preserve"> násobně vyšší hodnotou standardizované míry úmrtnosti v roce 2014. Velmi výrazné rozdíly byly zaznam</w:t>
      </w:r>
      <w:r w:rsidR="008C4234">
        <w:t>enány i u vnějších příčin (2,6</w:t>
      </w:r>
      <w:r w:rsidR="003F60E4">
        <w:t xml:space="preserve"> násobně vyšší hodnoty), z nichž ještě vyšší</w:t>
      </w:r>
      <w:r w:rsidR="008C4234">
        <w:t>ch</w:t>
      </w:r>
      <w:r w:rsidR="003F60E4">
        <w:t xml:space="preserve"> rozdílů</w:t>
      </w:r>
      <w:r w:rsidR="008C4234">
        <w:t xml:space="preserve"> bylo dosaženo u sebevražd (</w:t>
      </w:r>
      <w:r w:rsidR="00871863">
        <w:t xml:space="preserve">hodnota mužů </w:t>
      </w:r>
      <w:r w:rsidR="00871863">
        <w:lastRenderedPageBreak/>
        <w:t xml:space="preserve">je </w:t>
      </w:r>
      <w:r w:rsidR="008C4234">
        <w:t>4,5</w:t>
      </w:r>
      <w:r w:rsidR="003F60E4">
        <w:t xml:space="preserve"> násobk</w:t>
      </w:r>
      <w:r w:rsidR="00871863">
        <w:t>em</w:t>
      </w:r>
      <w:r w:rsidR="003F60E4">
        <w:t xml:space="preserve"> hodnoty </w:t>
      </w:r>
      <w:r w:rsidR="009F137C">
        <w:t xml:space="preserve">pro </w:t>
      </w:r>
      <w:r w:rsidR="008C4234">
        <w:t>ženy) a dopravních nehod (3,3</w:t>
      </w:r>
      <w:r w:rsidR="003F60E4">
        <w:t xml:space="preserve"> násobek).</w:t>
      </w:r>
      <w:r w:rsidR="00523DD9">
        <w:t xml:space="preserve"> Relativně nejnižší rozdíly lze pozorovat</w:t>
      </w:r>
      <w:r w:rsidR="008C4234">
        <w:t xml:space="preserve"> u nemocí oběhové soustavy (1,4</w:t>
      </w:r>
      <w:r w:rsidR="00523DD9">
        <w:t xml:space="preserve"> násobně vyšší hodnoty u mužů).</w:t>
      </w:r>
    </w:p>
    <w:p w:rsidR="00666318" w:rsidRDefault="00666318" w:rsidP="00BC1AB9"/>
    <w:p w:rsidR="007A7F1C" w:rsidRDefault="00BC238C" w:rsidP="007A7F1C">
      <w:r>
        <w:t>Meziroční p</w:t>
      </w:r>
      <w:r w:rsidR="00F80013">
        <w:t xml:space="preserve">okles standardizovaných měr úmrtnosti byl v roce 2014 typický skoro pro všechny </w:t>
      </w:r>
      <w:r w:rsidR="002C0C50">
        <w:t xml:space="preserve">nejčastější </w:t>
      </w:r>
      <w:r w:rsidR="00F80013">
        <w:t>příčiny smrti. Výjimku tvořila pouze skupina</w:t>
      </w:r>
      <w:r w:rsidR="008E70D9">
        <w:t xml:space="preserve"> vnějších příčin a to v případě obou pohlaví</w:t>
      </w:r>
      <w:r w:rsidR="002C0C50">
        <w:t>.</w:t>
      </w:r>
      <w:r w:rsidR="0059669B">
        <w:t xml:space="preserve"> </w:t>
      </w:r>
      <w:r w:rsidR="008C6388">
        <w:t>Při srovnání let 2004 a 2014 bylo možné sledovat n</w:t>
      </w:r>
      <w:r w:rsidR="00084C1A">
        <w:t>á</w:t>
      </w:r>
      <w:r w:rsidR="008C6388">
        <w:t>růst standardizovaných měr úmrtnosti na diabe</w:t>
      </w:r>
      <w:r w:rsidR="00173DCA">
        <w:t xml:space="preserve">tes </w:t>
      </w:r>
      <w:proofErr w:type="spellStart"/>
      <w:r w:rsidR="00173DCA">
        <w:t>mellitus</w:t>
      </w:r>
      <w:proofErr w:type="spellEnd"/>
      <w:r w:rsidR="00173DCA">
        <w:t>, ostatní příčiny a </w:t>
      </w:r>
      <w:r w:rsidR="008C6388">
        <w:t>selhání srdce</w:t>
      </w:r>
      <w:r w:rsidR="001A4768">
        <w:t xml:space="preserve"> u mužů i u žen</w:t>
      </w:r>
      <w:r w:rsidR="008C6388">
        <w:t xml:space="preserve">. </w:t>
      </w:r>
      <w:r w:rsidR="001A4768">
        <w:t>Naopak nejvýraznější pokles inten</w:t>
      </w:r>
      <w:r w:rsidR="00173DCA">
        <w:t>zity úmrtnosti byl zaznamenán u </w:t>
      </w:r>
      <w:r w:rsidR="001A4768">
        <w:t>aterosklerózy, cévních nemocí mozku a infarktu myokardu</w:t>
      </w:r>
      <w:r w:rsidR="002C5E2D">
        <w:rPr>
          <w:rStyle w:val="Znakapoznpodarou"/>
        </w:rPr>
        <w:footnoteReference w:id="3"/>
      </w:r>
      <w:r w:rsidR="001A4768">
        <w:t>.</w:t>
      </w:r>
    </w:p>
    <w:p w:rsidR="008C6388" w:rsidRDefault="008C6388" w:rsidP="00985F56"/>
    <w:p w:rsidR="00BE6B1C" w:rsidRDefault="00BE6B1C" w:rsidP="00985F56">
      <w:r>
        <w:t xml:space="preserve">Nejčastější příčinou úmrtí novorozenců byly "některé stavy vzniklé v perinatálním období", které </w:t>
      </w:r>
      <w:r w:rsidR="00D965CD">
        <w:t>zodpovídaly</w:t>
      </w:r>
      <w:r>
        <w:t xml:space="preserve"> celkem </w:t>
      </w:r>
      <w:r w:rsidR="002C0C50">
        <w:t xml:space="preserve">za </w:t>
      </w:r>
      <w:r w:rsidR="00173DCA">
        <w:t>72,7 </w:t>
      </w:r>
      <w:r>
        <w:t>% úmrtí. Dlouhodobě se zastoupení této skupiny pohybuje okolo tří čtvrtin. Druhou významnou skupinou byly "v</w:t>
      </w:r>
      <w:r w:rsidRPr="00BE6B1C">
        <w:t>rozené vady, deformace a chromozomální abnormality</w:t>
      </w:r>
      <w:r>
        <w:t>" s 17,4% zastoupením.</w:t>
      </w:r>
      <w:r w:rsidR="00D965CD">
        <w:t xml:space="preserve"> Tyto dvě př</w:t>
      </w:r>
      <w:r w:rsidR="00173DCA">
        <w:t>íčiny úmrtí tvořily více než 90 </w:t>
      </w:r>
      <w:r w:rsidR="00D965CD">
        <w:t>% úmrtí dětí do 27 dokončených dnů.</w:t>
      </w:r>
      <w:r w:rsidR="00580EE6">
        <w:t xml:space="preserve"> </w:t>
      </w:r>
    </w:p>
    <w:p w:rsidR="00D965CD" w:rsidRDefault="00D965CD" w:rsidP="00580EE6"/>
    <w:p w:rsidR="00D965CD" w:rsidRDefault="008E70D9" w:rsidP="00985F56">
      <w:r>
        <w:t xml:space="preserve">V </w:t>
      </w:r>
      <w:proofErr w:type="spellStart"/>
      <w:r>
        <w:t>ponovorozeneckém</w:t>
      </w:r>
      <w:proofErr w:type="spellEnd"/>
      <w:r>
        <w:t xml:space="preserve"> období je spektrum příčin smrti více rozmanité</w:t>
      </w:r>
      <w:r w:rsidR="00D965CD">
        <w:t>.</w:t>
      </w:r>
      <w:r w:rsidR="00D372B4">
        <w:t xml:space="preserve"> Nejvýznamnější skupinou byly v roce 2014 "</w:t>
      </w:r>
      <w:r w:rsidR="00F50047">
        <w:t>příznaky, znaky a abnormální klinické a labor</w:t>
      </w:r>
      <w:r w:rsidR="008C6103">
        <w:t>ator</w:t>
      </w:r>
      <w:r w:rsidR="00F50047">
        <w:t>ní</w:t>
      </w:r>
      <w:r w:rsidR="00F50047" w:rsidRPr="00F50047">
        <w:t xml:space="preserve"> nálezy</w:t>
      </w:r>
      <w:r w:rsidR="00F50047">
        <w:t>" s podílem 26,4</w:t>
      </w:r>
      <w:r w:rsidR="00173DCA">
        <w:t> </w:t>
      </w:r>
      <w:r w:rsidR="00D372B4" w:rsidRPr="00B002AE">
        <w:t>%</w:t>
      </w:r>
      <w:r w:rsidR="00E81083">
        <w:t>. V jejich rámci je</w:t>
      </w:r>
      <w:r w:rsidR="00565F64">
        <w:t xml:space="preserve"> tradičně</w:t>
      </w:r>
      <w:r w:rsidR="00E81083">
        <w:t xml:space="preserve"> nejčetnější příčinou „syndrom náhlé smrti dítěte“, </w:t>
      </w:r>
      <w:r w:rsidR="00554B23">
        <w:t xml:space="preserve">tato skupina příčin </w:t>
      </w:r>
      <w:r w:rsidR="00E81083">
        <w:t>obsahuje ale i „jiné nepřesně určené a neurčené příčiny smrti“</w:t>
      </w:r>
      <w:r w:rsidR="00554B23">
        <w:t>, do které od roku 2013 patří i případy, kdy ČSÚ nemá informaci o příčině smrti (není dostupný LPZ)</w:t>
      </w:r>
      <w:r w:rsidR="00E81083" w:rsidRPr="00B002AE">
        <w:rPr>
          <w:rStyle w:val="Znakapoznpodarou"/>
        </w:rPr>
        <w:footnoteReference w:id="4"/>
      </w:r>
      <w:r w:rsidR="00E81083">
        <w:t xml:space="preserve">. </w:t>
      </w:r>
      <w:r w:rsidR="00B002AE" w:rsidRPr="00B002AE">
        <w:t>Druhé nejčetnější byly</w:t>
      </w:r>
      <w:r w:rsidR="00C417D4" w:rsidRPr="00B002AE">
        <w:t xml:space="preserve"> </w:t>
      </w:r>
      <w:r w:rsidR="00E81083">
        <w:t xml:space="preserve">u zemřelých ve věku 28-365 dní </w:t>
      </w:r>
      <w:r w:rsidR="00F50047" w:rsidRPr="00B002AE">
        <w:t>"v</w:t>
      </w:r>
      <w:r w:rsidR="00173DCA" w:rsidRPr="00B002AE">
        <w:t>rozené vady, deformace</w:t>
      </w:r>
      <w:r w:rsidR="00173DCA">
        <w:t xml:space="preserve"> a </w:t>
      </w:r>
      <w:r w:rsidR="00F50047" w:rsidRPr="00BE6B1C">
        <w:t>chromozomální abnormality</w:t>
      </w:r>
      <w:r w:rsidR="00F50047">
        <w:t>" s 24,2% zastoupením.</w:t>
      </w:r>
      <w:r w:rsidR="005839D5">
        <w:t xml:space="preserve"> Třetí významnější skupinu </w:t>
      </w:r>
      <w:r w:rsidR="00E81083">
        <w:t xml:space="preserve">příčin tvořily </w:t>
      </w:r>
      <w:r w:rsidR="005839D5">
        <w:t>"některé stavy vzniklé v perinatálním období" s 17,6</w:t>
      </w:r>
      <w:r w:rsidR="00741C92">
        <w:t> </w:t>
      </w:r>
      <w:r w:rsidR="005839D5">
        <w:t xml:space="preserve">%, které byly </w:t>
      </w:r>
      <w:r w:rsidR="00E81083">
        <w:t xml:space="preserve">v </w:t>
      </w:r>
      <w:r w:rsidR="005839D5">
        <w:t xml:space="preserve">roce </w:t>
      </w:r>
      <w:r w:rsidR="00E81083">
        <w:t>2013 n</w:t>
      </w:r>
      <w:r w:rsidR="00B002AE">
        <w:t>ejrozšířenější</w:t>
      </w:r>
      <w:r w:rsidR="005839D5">
        <w:t>.</w:t>
      </w:r>
    </w:p>
    <w:p w:rsidR="005839D5" w:rsidRDefault="005839D5" w:rsidP="00985F56"/>
    <w:p w:rsidR="005839D5" w:rsidRDefault="005839D5" w:rsidP="00985F56">
      <w:r>
        <w:t>Úmrtí kojenců podle příčin jsou váženým průměrem úmrtí novorozenců</w:t>
      </w:r>
      <w:r w:rsidR="00741C92">
        <w:t xml:space="preserve"> </w:t>
      </w:r>
      <w:r>
        <w:t xml:space="preserve">a </w:t>
      </w:r>
      <w:proofErr w:type="spellStart"/>
      <w:r>
        <w:t>ponovorozenců</w:t>
      </w:r>
      <w:proofErr w:type="spellEnd"/>
      <w:r>
        <w:t xml:space="preserve">, kde větší zhruba </w:t>
      </w:r>
      <w:proofErr w:type="gramStart"/>
      <w:r>
        <w:t>dvou</w:t>
      </w:r>
      <w:proofErr w:type="gramEnd"/>
      <w:r>
        <w:t xml:space="preserve"> třetinové váhy mají novorozenci.</w:t>
      </w:r>
      <w:r w:rsidR="008C6103">
        <w:t xml:space="preserve"> Nadpoloviční zastoupení</w:t>
      </w:r>
      <w:r w:rsidR="008E70D9">
        <w:t xml:space="preserve"> (53,6</w:t>
      </w:r>
      <w:r w:rsidR="00741C92">
        <w:t> </w:t>
      </w:r>
      <w:r w:rsidR="008E70D9">
        <w:t>%)</w:t>
      </w:r>
      <w:r w:rsidR="008C6103">
        <w:t xml:space="preserve"> tak měly "některé stavy vzniklé v perinatálním období" (v posledních </w:t>
      </w:r>
      <w:r w:rsidR="008E70D9">
        <w:t xml:space="preserve">třech </w:t>
      </w:r>
      <w:r w:rsidR="008C6103">
        <w:t>letech dochází k poklesu podílu), které byly následovány skupinou "v</w:t>
      </w:r>
      <w:r w:rsidR="008C6103" w:rsidRPr="00BE6B1C">
        <w:t>rozené vady, deformace a chromozomální abnormality</w:t>
      </w:r>
      <w:r w:rsidR="008C6103">
        <w:t>" s téměř pětinovým zastoupením</w:t>
      </w:r>
      <w:r w:rsidR="008E70D9">
        <w:t xml:space="preserve"> (19,8</w:t>
      </w:r>
      <w:r w:rsidR="00741C92">
        <w:t> </w:t>
      </w:r>
      <w:r w:rsidR="008E70D9">
        <w:t>%)</w:t>
      </w:r>
      <w:r w:rsidR="008C6103">
        <w:t xml:space="preserve">. </w:t>
      </w:r>
      <w:r w:rsidR="008E70D9">
        <w:t xml:space="preserve">V posledních dvou letech se zvýšilo zastoupení skupiny </w:t>
      </w:r>
      <w:r w:rsidR="008C6103">
        <w:t>"příznaky, znaky a abnormální klinické a laboratorní</w:t>
      </w:r>
      <w:r w:rsidR="008C6103" w:rsidRPr="00F50047">
        <w:t xml:space="preserve"> nálezy</w:t>
      </w:r>
      <w:r w:rsidR="008C6103">
        <w:t xml:space="preserve">" </w:t>
      </w:r>
      <w:r w:rsidR="00565F64">
        <w:t>na</w:t>
      </w:r>
      <w:r w:rsidR="008C6103">
        <w:t xml:space="preserve"> 12,2</w:t>
      </w:r>
      <w:r w:rsidR="00741C92">
        <w:t> </w:t>
      </w:r>
      <w:r w:rsidR="008C6103">
        <w:t>% v roce 2014.</w:t>
      </w:r>
    </w:p>
    <w:p w:rsidR="00BE6B1C" w:rsidRDefault="00BE6B1C" w:rsidP="00985F56"/>
    <w:p w:rsidR="006E17AE" w:rsidRDefault="006E17AE" w:rsidP="002C5E2D">
      <w:pPr>
        <w:pStyle w:val="Titulek"/>
        <w:spacing w:before="0" w:after="60"/>
        <w:jc w:val="left"/>
      </w:pPr>
      <w:r>
        <w:t xml:space="preserve">Obr. </w:t>
      </w:r>
      <w:proofErr w:type="gramStart"/>
      <w:r w:rsidR="00E252CA">
        <w:fldChar w:fldCharType="begin"/>
      </w:r>
      <w:r w:rsidR="004A397A">
        <w:instrText xml:space="preserve"> STYLEREF 1 \s </w:instrText>
      </w:r>
      <w:r w:rsidR="00E252CA">
        <w:fldChar w:fldCharType="separate"/>
      </w:r>
      <w:r w:rsidR="00C120C8">
        <w:rPr>
          <w:noProof/>
        </w:rPr>
        <w:t>6</w:t>
      </w:r>
      <w:r w:rsidR="00E252CA">
        <w:fldChar w:fldCharType="end"/>
      </w:r>
      <w:r>
        <w:t>.4 Zemřelí</w:t>
      </w:r>
      <w:proofErr w:type="gramEnd"/>
      <w:r>
        <w:t xml:space="preserve"> kojenci podl</w:t>
      </w:r>
      <w:r w:rsidR="00A0286B">
        <w:t>e věku a příčiny smrti (%), 2004–2014</w:t>
      </w:r>
    </w:p>
    <w:p w:rsidR="006E17AE" w:rsidRDefault="002E0D76" w:rsidP="006E17AE">
      <w:r>
        <w:pict>
          <v:shape id="_x0000_i1028" type="#_x0000_t75" style="width:434.25pt;height:233.25pt">
            <v:imagedata r:id="rId12" o:title=""/>
          </v:shape>
        </w:pict>
      </w:r>
    </w:p>
    <w:p w:rsidR="00674331" w:rsidRDefault="00674331" w:rsidP="00674331">
      <w:pPr>
        <w:spacing w:after="60"/>
      </w:pPr>
    </w:p>
    <w:p w:rsidR="006C7883" w:rsidRDefault="002C0C50" w:rsidP="006C7883">
      <w:pPr>
        <w:rPr>
          <w:rFonts w:cs="Arial"/>
        </w:rPr>
      </w:pPr>
      <w:r>
        <w:t>Počínaje rokem 2007 je součástí hlášení o úmrtí i kolonka pro místo úmrtí. Nejčastěji docházelo v roce 2014 k úmrtí ve zdravotnick</w:t>
      </w:r>
      <w:r w:rsidR="00565F64">
        <w:t>ém</w:t>
      </w:r>
      <w:r w:rsidR="00173DCA">
        <w:t xml:space="preserve"> zařízení lůžkové péče (65,4 </w:t>
      </w:r>
      <w:r>
        <w:t>% ze všech úmrtí), nás</w:t>
      </w:r>
      <w:r w:rsidR="00173DCA">
        <w:t>ledova</w:t>
      </w:r>
      <w:r w:rsidR="00565F64">
        <w:t>la</w:t>
      </w:r>
      <w:r w:rsidR="00173DCA">
        <w:t xml:space="preserve"> úmrtí</w:t>
      </w:r>
      <w:r w:rsidR="00565F64">
        <w:t xml:space="preserve"> doma</w:t>
      </w:r>
      <w:r w:rsidR="00173DCA">
        <w:t xml:space="preserve"> (20,6 </w:t>
      </w:r>
      <w:r>
        <w:t>%). Významnější podíl tvořil</w:t>
      </w:r>
      <w:r w:rsidR="00565F64">
        <w:t>a</w:t>
      </w:r>
      <w:r>
        <w:t xml:space="preserve"> ještě úmrtí v </w:t>
      </w:r>
      <w:r>
        <w:rPr>
          <w:rFonts w:cs="Arial"/>
        </w:rPr>
        <w:t>zaří</w:t>
      </w:r>
      <w:r w:rsidR="00173DCA">
        <w:rPr>
          <w:rFonts w:cs="Arial"/>
        </w:rPr>
        <w:t>zení sociálních služeb a to 6,2 </w:t>
      </w:r>
      <w:r>
        <w:rPr>
          <w:rFonts w:cs="Arial"/>
        </w:rPr>
        <w:t>%. Ve</w:t>
      </w:r>
      <w:r w:rsidR="00741C92">
        <w:rPr>
          <w:rFonts w:cs="Arial"/>
        </w:rPr>
        <w:t> </w:t>
      </w:r>
      <w:r>
        <w:t>zdravotnických zařízeních lůžkové péče relativně častěji umírali pac</w:t>
      </w:r>
      <w:r w:rsidR="00173DCA">
        <w:t>ienti ve věku 0 až 14 let (71,7 </w:t>
      </w:r>
      <w:r>
        <w:t>% úmrtí v této věkové</w:t>
      </w:r>
      <w:r w:rsidR="00173DCA">
        <w:t xml:space="preserve"> skupině) a 60 a více let (67,2 </w:t>
      </w:r>
      <w:r>
        <w:t>%). Úmrtí doma bylo typičtější pro osoby ve v</w:t>
      </w:r>
      <w:r w:rsidR="00173DCA">
        <w:t>ěku 40 až 59 let (26,6 </w:t>
      </w:r>
      <w:r>
        <w:t>% úmrtí z této věkové kategorie). V zařízeních sociálních služeb zase převažoval</w:t>
      </w:r>
      <w:r w:rsidR="00565F64">
        <w:t>a</w:t>
      </w:r>
      <w:r>
        <w:t xml:space="preserve"> úmrtí obyvatel ve věku 60 a více let (</w:t>
      </w:r>
      <w:r w:rsidR="00B05977">
        <w:rPr>
          <w:rFonts w:cs="Arial"/>
        </w:rPr>
        <w:t>97,9</w:t>
      </w:r>
      <w:r w:rsidR="00173DCA">
        <w:rPr>
          <w:rFonts w:cs="Arial"/>
        </w:rPr>
        <w:t> </w:t>
      </w:r>
      <w:r>
        <w:rPr>
          <w:rFonts w:cs="Arial"/>
        </w:rPr>
        <w:t xml:space="preserve">% ze </w:t>
      </w:r>
      <w:r w:rsidR="00580EE6">
        <w:rPr>
          <w:rFonts w:cs="Arial"/>
        </w:rPr>
        <w:t xml:space="preserve">zde </w:t>
      </w:r>
      <w:r>
        <w:rPr>
          <w:rFonts w:cs="Arial"/>
        </w:rPr>
        <w:t>zemřelých). Ačkoliv je zastoupení místa úm</w:t>
      </w:r>
      <w:r w:rsidR="006D0234">
        <w:rPr>
          <w:rFonts w:cs="Arial"/>
        </w:rPr>
        <w:t xml:space="preserve">rtí na ulici či veřejném místě </w:t>
      </w:r>
      <w:r>
        <w:rPr>
          <w:rFonts w:cs="Arial"/>
        </w:rPr>
        <w:t>v</w:t>
      </w:r>
      <w:r w:rsidR="00580EE6">
        <w:rPr>
          <w:rFonts w:cs="Arial"/>
        </w:rPr>
        <w:t> </w:t>
      </w:r>
      <w:r>
        <w:rPr>
          <w:rFonts w:cs="Arial"/>
        </w:rPr>
        <w:t>celé populaci ma</w:t>
      </w:r>
      <w:r w:rsidR="00173DCA">
        <w:rPr>
          <w:rFonts w:cs="Arial"/>
        </w:rPr>
        <w:t>rginální (1,7 </w:t>
      </w:r>
      <w:r>
        <w:rPr>
          <w:rFonts w:cs="Arial"/>
        </w:rPr>
        <w:t>%), tak u osob ve věkových skupinách 15</w:t>
      </w:r>
      <w:r w:rsidR="002B7379">
        <w:rPr>
          <w:rFonts w:cs="Arial"/>
        </w:rPr>
        <w:t>-</w:t>
      </w:r>
      <w:r>
        <w:rPr>
          <w:rFonts w:cs="Arial"/>
        </w:rPr>
        <w:t>39 a 40</w:t>
      </w:r>
      <w:r w:rsidR="002B7379">
        <w:rPr>
          <w:rFonts w:cs="Arial"/>
        </w:rPr>
        <w:t>-</w:t>
      </w:r>
      <w:r>
        <w:rPr>
          <w:rFonts w:cs="Arial"/>
        </w:rPr>
        <w:t>59 let bylo víc</w:t>
      </w:r>
      <w:r w:rsidR="00173DCA">
        <w:rPr>
          <w:rFonts w:cs="Arial"/>
        </w:rPr>
        <w:t>e časté (18,3 %, respektive 5,8 </w:t>
      </w:r>
      <w:r>
        <w:rPr>
          <w:rFonts w:cs="Arial"/>
        </w:rPr>
        <w:t>%).</w:t>
      </w:r>
    </w:p>
    <w:p w:rsidR="002C0C50" w:rsidRPr="006C7883" w:rsidRDefault="002C0C50" w:rsidP="006C7883">
      <w:pPr>
        <w:spacing w:after="60"/>
        <w:rPr>
          <w:b/>
        </w:rPr>
      </w:pPr>
      <w:r w:rsidRPr="006C7883">
        <w:rPr>
          <w:b/>
        </w:rPr>
        <w:lastRenderedPageBreak/>
        <w:t xml:space="preserve">Tab. </w:t>
      </w:r>
      <w:r w:rsidR="00E252CA" w:rsidRPr="006C7883">
        <w:rPr>
          <w:b/>
        </w:rPr>
        <w:fldChar w:fldCharType="begin"/>
      </w:r>
      <w:r w:rsidRPr="006C7883">
        <w:rPr>
          <w:b/>
        </w:rPr>
        <w:instrText xml:space="preserve"> STYLEREF 1 \s </w:instrText>
      </w:r>
      <w:r w:rsidR="00E252CA" w:rsidRPr="006C7883">
        <w:rPr>
          <w:b/>
        </w:rPr>
        <w:fldChar w:fldCharType="separate"/>
      </w:r>
      <w:r w:rsidR="00C120C8">
        <w:rPr>
          <w:b/>
          <w:noProof/>
        </w:rPr>
        <w:t>6</w:t>
      </w:r>
      <w:r w:rsidR="00E252CA" w:rsidRPr="006C7883">
        <w:rPr>
          <w:b/>
          <w:noProof/>
        </w:rPr>
        <w:fldChar w:fldCharType="end"/>
      </w:r>
      <w:r w:rsidRPr="006C7883">
        <w:rPr>
          <w:b/>
        </w:rPr>
        <w:t>.</w:t>
      </w:r>
      <w:r w:rsidR="00580EE6">
        <w:rPr>
          <w:b/>
        </w:rPr>
        <w:t>7</w:t>
      </w:r>
      <w:r w:rsidRPr="006C7883">
        <w:rPr>
          <w:b/>
        </w:rPr>
        <w:t xml:space="preserve"> Zemřelí podle místa úmrtí, 2014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726"/>
        <w:gridCol w:w="1294"/>
        <w:gridCol w:w="1294"/>
        <w:gridCol w:w="1294"/>
        <w:gridCol w:w="1417"/>
      </w:tblGrid>
      <w:tr w:rsidR="002C0C50" w:rsidRPr="00D631AF" w:rsidTr="00C120C8">
        <w:trPr>
          <w:trHeight w:hRule="exact" w:val="255"/>
        </w:trPr>
        <w:tc>
          <w:tcPr>
            <w:tcW w:w="36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0" w:rsidRPr="00D631AF" w:rsidRDefault="002C0C50" w:rsidP="004B0B53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b/>
                <w:bCs/>
                <w:color w:val="000000"/>
                <w:sz w:val="16"/>
                <w:szCs w:val="16"/>
              </w:rPr>
              <w:t>Místo úmrtí</w:t>
            </w:r>
          </w:p>
          <w:p w:rsidR="002C0C50" w:rsidRPr="00D631AF" w:rsidRDefault="002C0C50" w:rsidP="004B0B53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0" w:rsidRPr="00D631AF" w:rsidRDefault="002C0C50" w:rsidP="004B0B5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b/>
                <w:bCs/>
                <w:color w:val="000000"/>
                <w:sz w:val="16"/>
                <w:szCs w:val="16"/>
              </w:rPr>
              <w:t>Věková skupina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C0C50" w:rsidRPr="00D631AF" w:rsidRDefault="002C0C50" w:rsidP="004B0B5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31AF"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  <w:t>Celkem</w:t>
            </w:r>
          </w:p>
          <w:p w:rsidR="002C0C50" w:rsidRPr="00D631AF" w:rsidRDefault="002C0C50" w:rsidP="004B0B5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0C50" w:rsidRPr="00D631AF" w:rsidTr="00C120C8">
        <w:trPr>
          <w:trHeight w:hRule="exact" w:val="255"/>
        </w:trPr>
        <w:tc>
          <w:tcPr>
            <w:tcW w:w="3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0" w:rsidRPr="00D631AF" w:rsidRDefault="002C0C50" w:rsidP="004B0B53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bottom"/>
            <w:hideMark/>
          </w:tcPr>
          <w:p w:rsidR="002C0C50" w:rsidRPr="00D631AF" w:rsidRDefault="002C0C50" w:rsidP="00580EE6">
            <w:pPr>
              <w:ind w:firstLineChars="100" w:firstLine="161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  <w:r w:rsidR="00580EE6">
              <w:rPr>
                <w:rFonts w:cs="Arial"/>
                <w:b/>
                <w:bCs/>
                <w:color w:val="000000"/>
                <w:sz w:val="16"/>
                <w:szCs w:val="16"/>
              </w:rPr>
              <w:t>-</w:t>
            </w:r>
            <w:r w:rsidRPr="00D631AF">
              <w:rPr>
                <w:rFonts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bottom"/>
            <w:hideMark/>
          </w:tcPr>
          <w:p w:rsidR="002C0C50" w:rsidRPr="00D631AF" w:rsidRDefault="002C0C50" w:rsidP="00580EE6">
            <w:pPr>
              <w:ind w:firstLineChars="100" w:firstLine="161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b/>
                <w:bCs/>
                <w:color w:val="000000"/>
                <w:sz w:val="16"/>
                <w:szCs w:val="16"/>
              </w:rPr>
              <w:t>15</w:t>
            </w:r>
            <w:r w:rsidR="00580EE6">
              <w:rPr>
                <w:rFonts w:cs="Arial"/>
                <w:b/>
                <w:bCs/>
                <w:color w:val="000000"/>
                <w:sz w:val="16"/>
                <w:szCs w:val="16"/>
              </w:rPr>
              <w:t>-</w:t>
            </w:r>
            <w:r w:rsidRPr="00D631AF">
              <w:rPr>
                <w:rFonts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bottom"/>
            <w:hideMark/>
          </w:tcPr>
          <w:p w:rsidR="002C0C50" w:rsidRPr="00D631AF" w:rsidRDefault="002C0C50" w:rsidP="00580EE6">
            <w:pPr>
              <w:ind w:firstLineChars="100" w:firstLine="161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b/>
                <w:bCs/>
                <w:color w:val="000000"/>
                <w:sz w:val="16"/>
                <w:szCs w:val="16"/>
              </w:rPr>
              <w:t>40</w:t>
            </w:r>
            <w:r w:rsidR="00580EE6">
              <w:rPr>
                <w:rFonts w:cs="Arial"/>
                <w:b/>
                <w:bCs/>
                <w:color w:val="000000"/>
                <w:sz w:val="16"/>
                <w:szCs w:val="16"/>
              </w:rPr>
              <w:t>-</w:t>
            </w:r>
            <w:r w:rsidRPr="00D631AF">
              <w:rPr>
                <w:rFonts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bottom"/>
            <w:hideMark/>
          </w:tcPr>
          <w:p w:rsidR="002C0C50" w:rsidRPr="00D631AF" w:rsidRDefault="002C0C50" w:rsidP="004B0B53">
            <w:pPr>
              <w:ind w:firstLineChars="100" w:firstLine="161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b/>
                <w:bCs/>
                <w:color w:val="000000"/>
                <w:sz w:val="16"/>
                <w:szCs w:val="16"/>
              </w:rPr>
              <w:t>60+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0C50" w:rsidRPr="00D631AF" w:rsidRDefault="002C0C50" w:rsidP="004B0B53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0C50" w:rsidRPr="00D631AF" w:rsidTr="00C120C8">
        <w:trPr>
          <w:trHeight w:hRule="exact" w:val="255"/>
        </w:trPr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0" w:rsidRPr="00D631AF" w:rsidRDefault="002C0C50" w:rsidP="00C120C8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b/>
                <w:bCs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bottom"/>
            <w:hideMark/>
          </w:tcPr>
          <w:p w:rsidR="002C0C50" w:rsidRDefault="002C0C50" w:rsidP="00C120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  <w:hideMark/>
          </w:tcPr>
          <w:p w:rsidR="002C0C50" w:rsidRDefault="002C0C50" w:rsidP="00C120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2 066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  <w:hideMark/>
          </w:tcPr>
          <w:p w:rsidR="002C0C50" w:rsidRDefault="002C0C50" w:rsidP="00C120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10 398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bottom"/>
            <w:hideMark/>
          </w:tcPr>
          <w:p w:rsidR="002C0C50" w:rsidRDefault="002C0C50" w:rsidP="00C120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92 780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40" w:type="dxa"/>
            </w:tcMar>
            <w:vAlign w:val="bottom"/>
            <w:hideMark/>
          </w:tcPr>
          <w:p w:rsidR="002C0C50" w:rsidRDefault="002C0C50" w:rsidP="00C120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105 665</w:t>
            </w:r>
          </w:p>
        </w:tc>
      </w:tr>
      <w:tr w:rsidR="002C0C50" w:rsidRPr="00D631AF" w:rsidTr="00C120C8">
        <w:trPr>
          <w:trHeight w:hRule="exact" w:val="255"/>
        </w:trPr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0" w:rsidRPr="00D631AF" w:rsidRDefault="002C0C50" w:rsidP="00C120C8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Doma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bottom"/>
            <w:hideMark/>
          </w:tcPr>
          <w:p w:rsidR="002C0C50" w:rsidRDefault="002C0C50" w:rsidP="00C120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  <w:hideMark/>
          </w:tcPr>
          <w:p w:rsidR="002C0C50" w:rsidRDefault="002C0C50" w:rsidP="00C120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  <w:hideMark/>
          </w:tcPr>
          <w:p w:rsidR="002C0C50" w:rsidRDefault="002C0C50" w:rsidP="00C120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2 769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bottom"/>
            <w:hideMark/>
          </w:tcPr>
          <w:p w:rsidR="002C0C50" w:rsidRDefault="002C0C50" w:rsidP="00C120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18 399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40" w:type="dxa"/>
            </w:tcMar>
            <w:vAlign w:val="bottom"/>
            <w:hideMark/>
          </w:tcPr>
          <w:p w:rsidR="002C0C50" w:rsidRDefault="002C0C50" w:rsidP="00C120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21 717</w:t>
            </w:r>
          </w:p>
        </w:tc>
      </w:tr>
      <w:tr w:rsidR="002C0C50" w:rsidRPr="00D631AF" w:rsidTr="00C120C8">
        <w:trPr>
          <w:trHeight w:hRule="exact" w:val="255"/>
        </w:trPr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0" w:rsidRPr="00D631AF" w:rsidRDefault="002C0C50" w:rsidP="00C120C8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Zdravotnické zařízení</w:t>
            </w:r>
            <w:r w:rsidRPr="00D631AF">
              <w:rPr>
                <w:rFonts w:cs="Arial"/>
                <w:color w:val="000000"/>
                <w:sz w:val="16"/>
                <w:szCs w:val="16"/>
              </w:rPr>
              <w:t xml:space="preserve"> lůžkové péče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bottom"/>
            <w:hideMark/>
          </w:tcPr>
          <w:p w:rsidR="002C0C50" w:rsidRDefault="002C0C50" w:rsidP="00C120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  <w:hideMark/>
          </w:tcPr>
          <w:p w:rsidR="002C0C50" w:rsidRDefault="002C0C50" w:rsidP="00C120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  <w:hideMark/>
          </w:tcPr>
          <w:p w:rsidR="002C0C50" w:rsidRDefault="002C0C50" w:rsidP="00C120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5 755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bottom"/>
            <w:hideMark/>
          </w:tcPr>
          <w:p w:rsidR="002C0C50" w:rsidRDefault="002C0C50" w:rsidP="00C120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62 328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40" w:type="dxa"/>
            </w:tcMar>
            <w:vAlign w:val="bottom"/>
            <w:hideMark/>
          </w:tcPr>
          <w:p w:rsidR="002C0C50" w:rsidRDefault="002C0C50" w:rsidP="00C120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69 141</w:t>
            </w:r>
          </w:p>
        </w:tc>
      </w:tr>
      <w:tr w:rsidR="002C0C50" w:rsidRPr="00D631AF" w:rsidTr="00C120C8">
        <w:trPr>
          <w:trHeight w:hRule="exact" w:val="255"/>
        </w:trPr>
        <w:tc>
          <w:tcPr>
            <w:tcW w:w="36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0" w:rsidRPr="00D631AF" w:rsidRDefault="002C0C50" w:rsidP="00C120C8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Zdravotnické zařízení</w:t>
            </w:r>
            <w:r w:rsidRPr="00D631AF">
              <w:rPr>
                <w:rFonts w:cs="Arial"/>
                <w:color w:val="000000"/>
                <w:sz w:val="16"/>
                <w:szCs w:val="16"/>
              </w:rPr>
              <w:t xml:space="preserve"> jiné formy zdravotní péče  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bottom"/>
            <w:hideMark/>
          </w:tcPr>
          <w:p w:rsidR="002C0C50" w:rsidRDefault="002C0C50" w:rsidP="00C120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  <w:hideMark/>
          </w:tcPr>
          <w:p w:rsidR="002C0C50" w:rsidRDefault="002C0C50" w:rsidP="00C120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  <w:hideMark/>
          </w:tcPr>
          <w:p w:rsidR="002C0C50" w:rsidRDefault="002C0C50" w:rsidP="00C120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2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bottom"/>
            <w:hideMark/>
          </w:tcPr>
          <w:p w:rsidR="002C0C50" w:rsidRDefault="002C0C50" w:rsidP="00C120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1 063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right w:w="340" w:type="dxa"/>
            </w:tcMar>
            <w:vAlign w:val="bottom"/>
            <w:hideMark/>
          </w:tcPr>
          <w:p w:rsidR="002C0C50" w:rsidRDefault="002C0C50" w:rsidP="00C120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1 155</w:t>
            </w:r>
          </w:p>
        </w:tc>
      </w:tr>
      <w:tr w:rsidR="002C0C50" w:rsidRPr="00D631AF" w:rsidTr="00C120C8">
        <w:trPr>
          <w:trHeight w:hRule="exact" w:val="255"/>
        </w:trPr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0" w:rsidRPr="00D631AF" w:rsidRDefault="002C0C50" w:rsidP="00C120C8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Na ulici, veřejném místě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bottom"/>
            <w:hideMark/>
          </w:tcPr>
          <w:p w:rsidR="002C0C50" w:rsidRDefault="002C0C50" w:rsidP="00C120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  <w:hideMark/>
          </w:tcPr>
          <w:p w:rsidR="002C0C50" w:rsidRDefault="002C0C50" w:rsidP="00C120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  <w:hideMark/>
          </w:tcPr>
          <w:p w:rsidR="002C0C50" w:rsidRDefault="002C0C50" w:rsidP="00C120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bottom"/>
            <w:hideMark/>
          </w:tcPr>
          <w:p w:rsidR="002C0C50" w:rsidRDefault="002C0C50" w:rsidP="00C120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40" w:type="dxa"/>
            </w:tcMar>
            <w:vAlign w:val="bottom"/>
            <w:hideMark/>
          </w:tcPr>
          <w:p w:rsidR="002C0C50" w:rsidRDefault="002C0C50" w:rsidP="00C120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1 776</w:t>
            </w:r>
          </w:p>
        </w:tc>
      </w:tr>
      <w:tr w:rsidR="002C0C50" w:rsidRPr="00D631AF" w:rsidTr="00C120C8">
        <w:trPr>
          <w:trHeight w:hRule="exact" w:val="255"/>
        </w:trPr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0" w:rsidRPr="00D631AF" w:rsidRDefault="002C0C50" w:rsidP="00C120C8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Při převozu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bottom"/>
            <w:hideMark/>
          </w:tcPr>
          <w:p w:rsidR="002C0C50" w:rsidRDefault="002C0C50" w:rsidP="00C120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  <w:hideMark/>
          </w:tcPr>
          <w:p w:rsidR="002C0C50" w:rsidRDefault="002C0C50" w:rsidP="00C120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  <w:hideMark/>
          </w:tcPr>
          <w:p w:rsidR="002C0C50" w:rsidRDefault="002C0C50" w:rsidP="00C120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bottom"/>
            <w:hideMark/>
          </w:tcPr>
          <w:p w:rsidR="002C0C50" w:rsidRDefault="002C0C50" w:rsidP="00C120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40" w:type="dxa"/>
            </w:tcMar>
            <w:vAlign w:val="bottom"/>
            <w:hideMark/>
          </w:tcPr>
          <w:p w:rsidR="002C0C50" w:rsidRDefault="002C0C50" w:rsidP="00C120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579</w:t>
            </w:r>
          </w:p>
        </w:tc>
      </w:tr>
      <w:tr w:rsidR="002C0C50" w:rsidRPr="00D631AF" w:rsidTr="00C120C8">
        <w:trPr>
          <w:trHeight w:hRule="exact" w:val="255"/>
        </w:trPr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0" w:rsidRPr="00D631AF" w:rsidRDefault="002C0C50" w:rsidP="00C120C8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 zařízení</w:t>
            </w:r>
            <w:r w:rsidRPr="00D631AF">
              <w:rPr>
                <w:rFonts w:cs="Arial"/>
                <w:color w:val="000000"/>
                <w:sz w:val="16"/>
                <w:szCs w:val="16"/>
              </w:rPr>
              <w:t xml:space="preserve"> sociálních služeb   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bottom"/>
            <w:hideMark/>
          </w:tcPr>
          <w:p w:rsidR="002C0C50" w:rsidRDefault="002C0C50" w:rsidP="00C120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  <w:hideMark/>
          </w:tcPr>
          <w:p w:rsidR="002C0C50" w:rsidRDefault="002C0C50" w:rsidP="00C120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  <w:hideMark/>
          </w:tcPr>
          <w:p w:rsidR="002C0C50" w:rsidRDefault="002C0C50" w:rsidP="00C120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bottom"/>
            <w:hideMark/>
          </w:tcPr>
          <w:p w:rsidR="002C0C50" w:rsidRDefault="002C0C50" w:rsidP="00C120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40" w:type="dxa"/>
            </w:tcMar>
            <w:vAlign w:val="bottom"/>
            <w:hideMark/>
          </w:tcPr>
          <w:p w:rsidR="002C0C50" w:rsidRDefault="002C0C50" w:rsidP="00C120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6 594</w:t>
            </w:r>
          </w:p>
        </w:tc>
      </w:tr>
      <w:tr w:rsidR="002C0C50" w:rsidRPr="00D631AF" w:rsidTr="00C120C8">
        <w:trPr>
          <w:trHeight w:hRule="exact" w:val="255"/>
        </w:trPr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0" w:rsidRPr="00D631AF" w:rsidRDefault="002C0C50" w:rsidP="00C120C8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Jinde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bottom"/>
            <w:hideMark/>
          </w:tcPr>
          <w:p w:rsidR="002C0C50" w:rsidRDefault="002C0C50" w:rsidP="00C120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  <w:hideMark/>
          </w:tcPr>
          <w:p w:rsidR="002C0C50" w:rsidRDefault="002C0C50" w:rsidP="00C120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  <w:hideMark/>
          </w:tcPr>
          <w:p w:rsidR="002C0C50" w:rsidRDefault="002C0C50" w:rsidP="00C120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bottom"/>
            <w:hideMark/>
          </w:tcPr>
          <w:p w:rsidR="002C0C50" w:rsidRDefault="002C0C50" w:rsidP="00C120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40" w:type="dxa"/>
            </w:tcMar>
            <w:vAlign w:val="bottom"/>
            <w:hideMark/>
          </w:tcPr>
          <w:p w:rsidR="002C0C50" w:rsidRDefault="002C0C50" w:rsidP="00C120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2 124</w:t>
            </w:r>
          </w:p>
        </w:tc>
      </w:tr>
      <w:tr w:rsidR="002C0C50" w:rsidRPr="00D631AF" w:rsidTr="00C120C8">
        <w:trPr>
          <w:trHeight w:hRule="exact" w:val="255"/>
        </w:trPr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0" w:rsidRPr="00D631AF" w:rsidRDefault="002C0C50" w:rsidP="00C120C8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Nezjištěno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bottom"/>
            <w:hideMark/>
          </w:tcPr>
          <w:p w:rsidR="002C0C50" w:rsidRDefault="002C0C50" w:rsidP="00C120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  <w:hideMark/>
          </w:tcPr>
          <w:p w:rsidR="002C0C50" w:rsidRDefault="002C0C50" w:rsidP="00C120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  <w:hideMark/>
          </w:tcPr>
          <w:p w:rsidR="002C0C50" w:rsidRDefault="002C0C50" w:rsidP="00C120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bottom"/>
            <w:hideMark/>
          </w:tcPr>
          <w:p w:rsidR="002C0C50" w:rsidRDefault="002C0C50" w:rsidP="00C120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340" w:type="dxa"/>
            </w:tcMar>
            <w:vAlign w:val="bottom"/>
            <w:hideMark/>
          </w:tcPr>
          <w:p w:rsidR="002C0C50" w:rsidRDefault="002C0C50" w:rsidP="00C120C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2 579</w:t>
            </w:r>
          </w:p>
        </w:tc>
      </w:tr>
    </w:tbl>
    <w:p w:rsidR="002C0C50" w:rsidRDefault="002C0C50" w:rsidP="002B7379">
      <w:pPr>
        <w:spacing w:after="60"/>
      </w:pPr>
    </w:p>
    <w:p w:rsidR="00A56FC8" w:rsidRDefault="00A56FC8" w:rsidP="006E17AE">
      <w:r>
        <w:t xml:space="preserve">Počet zemřelých osob cizí státní příslušnosti </w:t>
      </w:r>
      <w:r w:rsidR="00B37E1D">
        <w:t xml:space="preserve">v Česku </w:t>
      </w:r>
      <w:r>
        <w:t xml:space="preserve">vzrostl v roce 2014 na 560 z 534 v roce 2013. Téměř tak bylo překonáno maximum z roku 2012 (561 cizinců). </w:t>
      </w:r>
      <w:r w:rsidR="00085EFA">
        <w:t>V čase roste i podíl zemřelých cizinců na všech zemřelý</w:t>
      </w:r>
      <w:r w:rsidR="00173DCA">
        <w:t>ch z 0,22 % v roce 2004 na 0,53 </w:t>
      </w:r>
      <w:r w:rsidR="00085EFA">
        <w:t xml:space="preserve">% v posledním sledovaném roce. </w:t>
      </w:r>
      <w:r w:rsidR="00B37E1D">
        <w:t xml:space="preserve">Nejčastěji </w:t>
      </w:r>
      <w:r w:rsidR="002C0C50">
        <w:t xml:space="preserve">šlo o </w:t>
      </w:r>
      <w:r w:rsidR="00B37E1D">
        <w:t>cizinc</w:t>
      </w:r>
      <w:r w:rsidR="002C0C50">
        <w:t>e</w:t>
      </w:r>
      <w:r w:rsidR="00B37E1D">
        <w:t xml:space="preserve"> se slo</w:t>
      </w:r>
      <w:r w:rsidR="00173DCA">
        <w:t xml:space="preserve">venským státním občanstvím (106 </w:t>
      </w:r>
      <w:r w:rsidR="00B37E1D">
        <w:t>případů), následov</w:t>
      </w:r>
      <w:r w:rsidR="00565F64">
        <w:t>ali</w:t>
      </w:r>
      <w:r w:rsidR="00B37E1D">
        <w:t xml:space="preserve"> Ukrajinci (89 zemřelých) a Polá</w:t>
      </w:r>
      <w:r w:rsidR="00565F64">
        <w:t>ci</w:t>
      </w:r>
      <w:r w:rsidR="00B37E1D">
        <w:t xml:space="preserve"> (84 úmrtí). </w:t>
      </w:r>
      <w:r w:rsidR="009A6CA2">
        <w:t>Tyto tři skupiny se na úmrtí cizin</w:t>
      </w:r>
      <w:r w:rsidR="00173DCA">
        <w:t>ců v Česku podílely téměř ze 40 </w:t>
      </w:r>
      <w:r w:rsidR="009A6CA2">
        <w:t xml:space="preserve">%. </w:t>
      </w:r>
      <w:r w:rsidR="002C0C50">
        <w:t xml:space="preserve">Od roku 2013 je ve statistice zemřelých možnost </w:t>
      </w:r>
      <w:r w:rsidR="00C2569C">
        <w:t>třídění</w:t>
      </w:r>
      <w:r w:rsidR="002C0C50">
        <w:t xml:space="preserve"> dat také</w:t>
      </w:r>
      <w:r w:rsidR="00C2569C">
        <w:t xml:space="preserve"> podle země narození</w:t>
      </w:r>
      <w:r w:rsidR="0054285E">
        <w:t>. V tomto případě může jít o osoby, které již mají české státní občanství, ale odlišn</w:t>
      </w:r>
      <w:r w:rsidR="00B05977">
        <w:t>ou zemi narození</w:t>
      </w:r>
      <w:r w:rsidR="0054285E">
        <w:t xml:space="preserve">. </w:t>
      </w:r>
      <w:r w:rsidR="007C6791" w:rsidRPr="00A5010F">
        <w:t>V roce 2</w:t>
      </w:r>
      <w:r w:rsidR="00C2569C" w:rsidRPr="00A5010F">
        <w:t xml:space="preserve">014 </w:t>
      </w:r>
      <w:r w:rsidR="00B05977" w:rsidRPr="00A5010F">
        <w:t xml:space="preserve">v Česku </w:t>
      </w:r>
      <w:r w:rsidR="00580EE6" w:rsidRPr="00A5010F">
        <w:t>ze</w:t>
      </w:r>
      <w:r w:rsidR="00B05977" w:rsidRPr="00A5010F">
        <w:t>mřelo</w:t>
      </w:r>
      <w:r w:rsidR="00173DCA" w:rsidRPr="00A5010F">
        <w:t xml:space="preserve"> 6 </w:t>
      </w:r>
      <w:r w:rsidR="007C6791" w:rsidRPr="00A5010F">
        <w:t xml:space="preserve">423 </w:t>
      </w:r>
      <w:r w:rsidR="00B05977" w:rsidRPr="00A5010F">
        <w:t>osob</w:t>
      </w:r>
      <w:r w:rsidR="00580EE6" w:rsidRPr="00A5010F">
        <w:t xml:space="preserve"> s místem narození v</w:t>
      </w:r>
      <w:r w:rsidR="00961C6D" w:rsidRPr="00A5010F">
        <w:t> </w:t>
      </w:r>
      <w:r w:rsidR="00580EE6" w:rsidRPr="00A5010F">
        <w:t>cizině</w:t>
      </w:r>
      <w:r w:rsidR="00961C6D" w:rsidRPr="00A5010F">
        <w:t xml:space="preserve"> </w:t>
      </w:r>
      <w:r w:rsidR="00173DCA" w:rsidRPr="00A5010F">
        <w:t>(6,1 </w:t>
      </w:r>
      <w:r w:rsidR="001629D0" w:rsidRPr="00A5010F">
        <w:t>% ze všech zemřelých)</w:t>
      </w:r>
      <w:r w:rsidR="007C6791" w:rsidRPr="00A5010F">
        <w:t>, o 344 více než v</w:t>
      </w:r>
      <w:r w:rsidR="00741C92" w:rsidRPr="00A5010F">
        <w:t> </w:t>
      </w:r>
      <w:r w:rsidR="007C6791" w:rsidRPr="00A5010F">
        <w:t>předchozím roce.</w:t>
      </w:r>
      <w:r w:rsidR="00565F64">
        <w:t xml:space="preserve"> Nejčastěji šlo o osoby narozené na Slovensku (4 022).</w:t>
      </w:r>
    </w:p>
    <w:p w:rsidR="006D0234" w:rsidRDefault="006D0234" w:rsidP="006E17AE"/>
    <w:p w:rsidR="00070E11" w:rsidRDefault="00070E11" w:rsidP="002C5E2D">
      <w:pPr>
        <w:pStyle w:val="Titulek"/>
        <w:spacing w:before="0" w:after="60"/>
        <w:jc w:val="left"/>
      </w:pPr>
      <w:r>
        <w:t xml:space="preserve">Tab. </w:t>
      </w:r>
      <w:r w:rsidR="00E252CA">
        <w:fldChar w:fldCharType="begin"/>
      </w:r>
      <w:r w:rsidR="00F840B6">
        <w:instrText xml:space="preserve"> STYLEREF 1 \s </w:instrText>
      </w:r>
      <w:r w:rsidR="00E252CA">
        <w:fldChar w:fldCharType="separate"/>
      </w:r>
      <w:r w:rsidR="00C120C8">
        <w:rPr>
          <w:noProof/>
        </w:rPr>
        <w:t>6</w:t>
      </w:r>
      <w:r w:rsidR="00E252CA">
        <w:fldChar w:fldCharType="end"/>
      </w:r>
      <w:r>
        <w:t>.</w:t>
      </w:r>
      <w:r w:rsidR="00580EE6">
        <w:t>8</w:t>
      </w:r>
      <w:r>
        <w:t xml:space="preserve"> Zemřelí</w:t>
      </w:r>
      <w:r w:rsidR="00193C91">
        <w:t xml:space="preserve"> podle státního občanství*</w:t>
      </w:r>
      <w:r w:rsidR="00565F64">
        <w:t>,</w:t>
      </w:r>
      <w:r w:rsidR="00193C91">
        <w:t xml:space="preserve"> 2004–2014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24"/>
        <w:gridCol w:w="973"/>
        <w:gridCol w:w="974"/>
        <w:gridCol w:w="973"/>
        <w:gridCol w:w="974"/>
        <w:gridCol w:w="973"/>
        <w:gridCol w:w="974"/>
        <w:gridCol w:w="974"/>
      </w:tblGrid>
      <w:tr w:rsidR="00193C91" w:rsidRPr="00FF2B8F" w:rsidTr="002B49CD">
        <w:trPr>
          <w:trHeight w:hRule="exact" w:val="255"/>
        </w:trPr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91" w:rsidRPr="00FF2B8F" w:rsidRDefault="00193C91" w:rsidP="005D5CA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F2B8F">
              <w:rPr>
                <w:rFonts w:cs="Arial"/>
                <w:b/>
                <w:bCs/>
                <w:sz w:val="16"/>
                <w:szCs w:val="16"/>
              </w:rPr>
              <w:t>Státní občanství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C91" w:rsidRDefault="00193C9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C91" w:rsidRDefault="003A5F3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C91" w:rsidRDefault="00193C9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C91" w:rsidRDefault="00193C9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C91" w:rsidRDefault="00193C9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91" w:rsidRDefault="00193C9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C91" w:rsidRDefault="00193C9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</w:tr>
      <w:tr w:rsidR="00193C91" w:rsidRPr="00FF2B8F" w:rsidTr="002B49CD">
        <w:trPr>
          <w:trHeight w:hRule="exact" w:val="255"/>
        </w:trPr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91" w:rsidRPr="00FF2B8F" w:rsidRDefault="00193C91" w:rsidP="005D5CA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F2B8F">
              <w:rPr>
                <w:rFonts w:cs="Arial"/>
                <w:b/>
                <w:bCs/>
                <w:sz w:val="16"/>
                <w:szCs w:val="16"/>
              </w:rPr>
              <w:t>Zemřelí cizí státní občané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91" w:rsidRDefault="00193C9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91" w:rsidRDefault="003A5F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91" w:rsidRDefault="00193C9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91" w:rsidRDefault="00193C9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91" w:rsidRDefault="00193C9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91" w:rsidRDefault="00193C9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91" w:rsidRDefault="00193C9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560</w:t>
            </w:r>
          </w:p>
        </w:tc>
      </w:tr>
      <w:tr w:rsidR="00193C91" w:rsidRPr="00FF2B8F" w:rsidTr="002B49CD">
        <w:trPr>
          <w:trHeight w:hRule="exact" w:val="255"/>
        </w:trPr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91" w:rsidRPr="00FF2B8F" w:rsidRDefault="00193C91" w:rsidP="005D5CA0">
            <w:pPr>
              <w:rPr>
                <w:rFonts w:cs="Arial"/>
                <w:sz w:val="16"/>
                <w:szCs w:val="16"/>
              </w:rPr>
            </w:pPr>
            <w:r w:rsidRPr="00FF2B8F">
              <w:rPr>
                <w:rFonts w:cs="Arial"/>
                <w:sz w:val="16"/>
                <w:szCs w:val="16"/>
              </w:rPr>
              <w:t xml:space="preserve"> - podíl na všech zemřelých (%)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3C91" w:rsidRDefault="00193C9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3C91" w:rsidRDefault="003A5F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3C91" w:rsidRDefault="00193C9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3C91" w:rsidRDefault="00193C9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3C91" w:rsidRDefault="00193C9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3C91" w:rsidRDefault="00193C9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3C91" w:rsidRDefault="00193C9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0,53</w:t>
            </w:r>
          </w:p>
        </w:tc>
      </w:tr>
      <w:tr w:rsidR="00193C91" w:rsidRPr="00FF2B8F" w:rsidTr="002B49CD">
        <w:trPr>
          <w:trHeight w:hRule="exact" w:val="255"/>
        </w:trPr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91" w:rsidRPr="00FF2B8F" w:rsidRDefault="00193C91" w:rsidP="00193C91">
            <w:pPr>
              <w:rPr>
                <w:rFonts w:cs="Arial"/>
                <w:sz w:val="16"/>
                <w:szCs w:val="16"/>
              </w:rPr>
            </w:pPr>
            <w:r w:rsidRPr="00FF2B8F">
              <w:rPr>
                <w:rFonts w:cs="Arial"/>
                <w:sz w:val="16"/>
                <w:szCs w:val="16"/>
              </w:rPr>
              <w:t xml:space="preserve">Státní občanství: </w:t>
            </w: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91" w:rsidRDefault="00193C9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91" w:rsidRDefault="003A5F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C91" w:rsidRDefault="00193C9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C91" w:rsidRDefault="00193C9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C91" w:rsidRDefault="00193C9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C91" w:rsidRDefault="00193C9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C91" w:rsidRDefault="00193C9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</w:tr>
      <w:tr w:rsidR="00193C91" w:rsidRPr="00FF2B8F" w:rsidTr="002B49CD">
        <w:trPr>
          <w:trHeight w:hRule="exact" w:val="255"/>
        </w:trPr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91" w:rsidRPr="00FF2B8F" w:rsidRDefault="00193C91" w:rsidP="00565F64">
            <w:pPr>
              <w:rPr>
                <w:rFonts w:cs="Arial"/>
                <w:sz w:val="16"/>
                <w:szCs w:val="16"/>
              </w:rPr>
            </w:pPr>
            <w:r w:rsidRPr="00FF2B8F">
              <w:rPr>
                <w:rFonts w:cs="Arial"/>
                <w:sz w:val="16"/>
                <w:szCs w:val="16"/>
              </w:rPr>
              <w:t xml:space="preserve">                          </w:t>
            </w:r>
            <w:r>
              <w:rPr>
                <w:rFonts w:cs="Arial"/>
                <w:sz w:val="16"/>
                <w:szCs w:val="16"/>
              </w:rPr>
              <w:t xml:space="preserve">  Ukrajina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91" w:rsidRDefault="00193C9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91" w:rsidRDefault="003A5F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C91" w:rsidRDefault="00193C9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C91" w:rsidRDefault="00193C9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C91" w:rsidRDefault="00193C9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C91" w:rsidRDefault="00193C9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C91" w:rsidRDefault="00193C9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</w:tr>
      <w:tr w:rsidR="00193C91" w:rsidRPr="00FF2B8F" w:rsidTr="002B49CD">
        <w:trPr>
          <w:trHeight w:hRule="exact" w:val="255"/>
        </w:trPr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91" w:rsidRPr="00FF2B8F" w:rsidRDefault="00193C91" w:rsidP="00565F64">
            <w:pPr>
              <w:rPr>
                <w:rFonts w:cs="Arial"/>
                <w:sz w:val="16"/>
                <w:szCs w:val="16"/>
              </w:rPr>
            </w:pPr>
            <w:r w:rsidRPr="00FF2B8F">
              <w:rPr>
                <w:rFonts w:cs="Arial"/>
                <w:sz w:val="16"/>
                <w:szCs w:val="16"/>
              </w:rPr>
              <w:t xml:space="preserve">                          </w:t>
            </w:r>
            <w:r>
              <w:rPr>
                <w:rFonts w:cs="Arial"/>
                <w:sz w:val="16"/>
                <w:szCs w:val="16"/>
              </w:rPr>
              <w:t xml:space="preserve">  Polsko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91" w:rsidRDefault="00193C9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91" w:rsidRDefault="003A5F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C91" w:rsidRDefault="00193C9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C91" w:rsidRDefault="00193C9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C91" w:rsidRDefault="00193C9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C91" w:rsidRDefault="00193C9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C91" w:rsidRDefault="00193C9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</w:tr>
      <w:tr w:rsidR="00193C91" w:rsidRPr="00FF2B8F" w:rsidTr="002B49CD">
        <w:trPr>
          <w:trHeight w:hRule="exact" w:val="255"/>
        </w:trPr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91" w:rsidRPr="00FF2B8F" w:rsidRDefault="00193C91" w:rsidP="00565F64">
            <w:pPr>
              <w:rPr>
                <w:rFonts w:cs="Arial"/>
                <w:sz w:val="16"/>
                <w:szCs w:val="16"/>
              </w:rPr>
            </w:pPr>
            <w:r w:rsidRPr="00FF2B8F">
              <w:rPr>
                <w:rFonts w:cs="Arial"/>
                <w:sz w:val="16"/>
                <w:szCs w:val="16"/>
              </w:rPr>
              <w:t xml:space="preserve">                          </w:t>
            </w:r>
            <w:r>
              <w:rPr>
                <w:rFonts w:cs="Arial"/>
                <w:sz w:val="16"/>
                <w:szCs w:val="16"/>
              </w:rPr>
              <w:t xml:space="preserve">  Rusko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91" w:rsidRDefault="00193C9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91" w:rsidRDefault="003A5F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C91" w:rsidRDefault="00193C9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C91" w:rsidRDefault="00193C9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C91" w:rsidRDefault="00193C9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C91" w:rsidRDefault="00193C9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C91" w:rsidRDefault="00193C9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</w:tr>
      <w:tr w:rsidR="00193C91" w:rsidRPr="00FF2B8F" w:rsidTr="002B49CD">
        <w:trPr>
          <w:trHeight w:hRule="exact" w:val="255"/>
        </w:trPr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91" w:rsidRPr="00FF2B8F" w:rsidRDefault="00193C91" w:rsidP="00565F64">
            <w:pPr>
              <w:rPr>
                <w:rFonts w:cs="Arial"/>
                <w:sz w:val="16"/>
                <w:szCs w:val="16"/>
              </w:rPr>
            </w:pPr>
            <w:r w:rsidRPr="00FF2B8F">
              <w:rPr>
                <w:rFonts w:cs="Arial"/>
                <w:sz w:val="16"/>
                <w:szCs w:val="16"/>
              </w:rPr>
              <w:t xml:space="preserve">                          </w:t>
            </w:r>
            <w:r>
              <w:rPr>
                <w:rFonts w:cs="Arial"/>
                <w:sz w:val="16"/>
                <w:szCs w:val="16"/>
              </w:rPr>
              <w:t xml:space="preserve">  Německo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C91" w:rsidRDefault="00193C9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C91" w:rsidRDefault="003A5F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3C91" w:rsidRDefault="00193C9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3C91" w:rsidRDefault="00193C9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3C91" w:rsidRDefault="00193C9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3C91" w:rsidRDefault="00193C9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3C91" w:rsidRDefault="00193C9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</w:tr>
    </w:tbl>
    <w:p w:rsidR="002B49CD" w:rsidRPr="00741C92" w:rsidRDefault="002B49CD" w:rsidP="002C5E2D">
      <w:pPr>
        <w:spacing w:before="60"/>
        <w:jc w:val="left"/>
        <w:rPr>
          <w:i/>
          <w:iCs/>
          <w:sz w:val="16"/>
        </w:rPr>
      </w:pPr>
      <w:r>
        <w:rPr>
          <w:i/>
          <w:iCs/>
          <w:sz w:val="16"/>
        </w:rPr>
        <w:t>* Výběr a řazení obča</w:t>
      </w:r>
      <w:r w:rsidR="00193C91">
        <w:rPr>
          <w:i/>
          <w:iCs/>
          <w:sz w:val="16"/>
        </w:rPr>
        <w:t>nství podle četnosti v roce 2014</w:t>
      </w:r>
      <w:r>
        <w:rPr>
          <w:i/>
          <w:iCs/>
          <w:sz w:val="16"/>
        </w:rPr>
        <w:t>.</w:t>
      </w:r>
    </w:p>
    <w:sectPr w:rsidR="002B49CD" w:rsidRPr="00741C92" w:rsidSect="00FA6454">
      <w:headerReference w:type="even" r:id="rId13"/>
      <w:headerReference w:type="default" r:id="rId14"/>
      <w:footerReference w:type="even" r:id="rId15"/>
      <w:footerReference w:type="default" r:id="rId16"/>
      <w:footnotePr>
        <w:numStart w:val="12"/>
      </w:footnotePr>
      <w:pgSz w:w="11906" w:h="16838"/>
      <w:pgMar w:top="1134" w:right="1134" w:bottom="1134" w:left="1134" w:header="680" w:footer="680" w:gutter="0"/>
      <w:pgNumType w:start="3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C4A" w:rsidRDefault="00403C4A">
      <w:r>
        <w:separator/>
      </w:r>
    </w:p>
  </w:endnote>
  <w:endnote w:type="continuationSeparator" w:id="0">
    <w:p w:rsidR="00403C4A" w:rsidRDefault="0040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F0" w:rsidRDefault="00E252CA" w:rsidP="00FA6454">
    <w:pPr>
      <w:pStyle w:val="Zpat"/>
      <w:tabs>
        <w:tab w:val="clear" w:pos="4536"/>
        <w:tab w:val="clear" w:pos="9072"/>
        <w:tab w:val="center" w:pos="4819"/>
        <w:tab w:val="right" w:pos="9638"/>
      </w:tabs>
      <w:ind w:right="360"/>
    </w:pPr>
    <w:r w:rsidRPr="00E252CA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9217" type="#_x0000_t75" style="position:absolute;left:0;text-align:left;margin-left:444.35pt;margin-top:-3.95pt;width:38.05pt;height:17.9pt;z-index:1;visibility:visible">
          <v:imagedata r:id="rId1" o:title=""/>
        </v:shape>
      </w:pict>
    </w:r>
    <w:r w:rsidRPr="00FA6454">
      <w:rPr>
        <w:sz w:val="16"/>
        <w:szCs w:val="16"/>
      </w:rPr>
      <w:fldChar w:fldCharType="begin"/>
    </w:r>
    <w:r w:rsidR="00677FF0" w:rsidRPr="00FA6454">
      <w:rPr>
        <w:sz w:val="16"/>
        <w:szCs w:val="16"/>
      </w:rPr>
      <w:instrText xml:space="preserve"> PAGE   \* MERGEFORMAT </w:instrText>
    </w:r>
    <w:r w:rsidRPr="00FA6454">
      <w:rPr>
        <w:sz w:val="16"/>
        <w:szCs w:val="16"/>
      </w:rPr>
      <w:fldChar w:fldCharType="separate"/>
    </w:r>
    <w:r w:rsidR="002E0D76">
      <w:rPr>
        <w:noProof/>
        <w:sz w:val="16"/>
        <w:szCs w:val="16"/>
      </w:rPr>
      <w:t>36</w:t>
    </w:r>
    <w:r w:rsidRPr="00FA6454">
      <w:rPr>
        <w:sz w:val="16"/>
        <w:szCs w:val="16"/>
      </w:rPr>
      <w:fldChar w:fldCharType="end"/>
    </w:r>
    <w:r w:rsidR="00677FF0">
      <w:rPr>
        <w:sz w:val="16"/>
        <w:szCs w:val="16"/>
      </w:rPr>
      <w:tab/>
      <w:t>2014</w:t>
    </w:r>
    <w:r w:rsidR="00677FF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F0" w:rsidRDefault="00E252CA" w:rsidP="00FA6454">
    <w:pPr>
      <w:pStyle w:val="Zpat"/>
      <w:tabs>
        <w:tab w:val="clear" w:pos="4536"/>
        <w:tab w:val="clear" w:pos="9072"/>
        <w:tab w:val="center" w:pos="4819"/>
        <w:tab w:val="right" w:pos="9638"/>
      </w:tabs>
      <w:ind w:right="360"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9218" type="#_x0000_t75" style="position:absolute;left:0;text-align:left;margin-left:.55pt;margin-top:-7.95pt;width:39.25pt;height:20.55pt;z-index:2;visibility:visible">
          <v:imagedata r:id="rId1" o:title=""/>
        </v:shape>
      </w:pict>
    </w:r>
    <w:r w:rsidR="00677FF0" w:rsidRPr="00FA6454">
      <w:rPr>
        <w:sz w:val="16"/>
        <w:szCs w:val="16"/>
      </w:rPr>
      <w:tab/>
      <w:t>2014</w:t>
    </w:r>
    <w:r w:rsidR="00677FF0" w:rsidRPr="00FA6454">
      <w:rPr>
        <w:sz w:val="16"/>
        <w:szCs w:val="16"/>
      </w:rPr>
      <w:tab/>
    </w:r>
    <w:r w:rsidRPr="00FA6454">
      <w:rPr>
        <w:sz w:val="16"/>
        <w:szCs w:val="16"/>
      </w:rPr>
      <w:fldChar w:fldCharType="begin"/>
    </w:r>
    <w:r w:rsidR="00677FF0" w:rsidRPr="00FA6454">
      <w:rPr>
        <w:sz w:val="16"/>
        <w:szCs w:val="16"/>
      </w:rPr>
      <w:instrText xml:space="preserve"> PAGE   \* MERGEFORMAT </w:instrText>
    </w:r>
    <w:r w:rsidRPr="00FA6454">
      <w:rPr>
        <w:sz w:val="16"/>
        <w:szCs w:val="16"/>
      </w:rPr>
      <w:fldChar w:fldCharType="separate"/>
    </w:r>
    <w:r w:rsidR="002E0D76">
      <w:rPr>
        <w:noProof/>
        <w:sz w:val="16"/>
        <w:szCs w:val="16"/>
      </w:rPr>
      <w:t>43</w:t>
    </w:r>
    <w:r w:rsidRPr="00FA6454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C4A" w:rsidRDefault="00403C4A">
      <w:r>
        <w:separator/>
      </w:r>
    </w:p>
  </w:footnote>
  <w:footnote w:type="continuationSeparator" w:id="0">
    <w:p w:rsidR="00403C4A" w:rsidRDefault="00403C4A">
      <w:r>
        <w:continuationSeparator/>
      </w:r>
    </w:p>
  </w:footnote>
  <w:footnote w:id="1">
    <w:p w:rsidR="00A34DE8" w:rsidRDefault="00A34DE8" w:rsidP="00A34DE8">
      <w:pPr>
        <w:pStyle w:val="Textpoznpodarou"/>
        <w:jc w:val="left"/>
      </w:pPr>
      <w:r>
        <w:rPr>
          <w:rStyle w:val="Znakapoznpodarou"/>
        </w:rPr>
        <w:footnoteRef/>
      </w:r>
      <w:r>
        <w:t xml:space="preserve"> V souladu s mezinárodním doporučením se rozšířila část I LPZ určená pro vykazování příčin smrti o čtvrtý řádek a také se rozšířila část pro popis vnějších příčin smrti.</w:t>
      </w:r>
    </w:p>
  </w:footnote>
  <w:footnote w:id="2">
    <w:p w:rsidR="00677FF0" w:rsidRDefault="00677FF0" w:rsidP="002C5E2D">
      <w:pPr>
        <w:pStyle w:val="Textpoznpodarou"/>
        <w:jc w:val="left"/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</w:rPr>
        <w:t>Účelem standardizace je vyloučení vlivu věkové struktury daného roku, čímž je umožněno porovnávat míry úmrtnosti z různých období.</w:t>
      </w:r>
    </w:p>
  </w:footnote>
  <w:footnote w:id="3">
    <w:p w:rsidR="002C5E2D" w:rsidRDefault="002C5E2D" w:rsidP="002C5E2D">
      <w:pPr>
        <w:pStyle w:val="Textpoznpodarou"/>
        <w:jc w:val="left"/>
      </w:pPr>
      <w:r>
        <w:rPr>
          <w:rStyle w:val="Znakapoznpodarou"/>
        </w:rPr>
        <w:footnoteRef/>
      </w:r>
      <w:r>
        <w:t xml:space="preserve"> U většiny těchto příčin došlo k metodickým změnám při kódování.</w:t>
      </w:r>
    </w:p>
  </w:footnote>
  <w:footnote w:id="4">
    <w:p w:rsidR="00E81083" w:rsidRPr="00B002AE" w:rsidRDefault="00E81083" w:rsidP="00565F64">
      <w:pPr>
        <w:pStyle w:val="Textpoznpodarou"/>
        <w:jc w:val="left"/>
      </w:pPr>
      <w:r>
        <w:rPr>
          <w:rStyle w:val="Znakapoznpodarou"/>
        </w:rPr>
        <w:footnoteRef/>
      </w:r>
      <w:r>
        <w:t xml:space="preserve"> </w:t>
      </w:r>
      <w:r w:rsidR="00554B23">
        <w:t>V</w:t>
      </w:r>
      <w:r>
        <w:t xml:space="preserve"> ro</w:t>
      </w:r>
      <w:r w:rsidR="00554B23">
        <w:t>ce</w:t>
      </w:r>
      <w:r>
        <w:t xml:space="preserve"> 2013 </w:t>
      </w:r>
      <w:r w:rsidR="002B7379">
        <w:t>se jednalo o 5</w:t>
      </w:r>
      <w:r w:rsidR="00554B23">
        <w:t xml:space="preserve"> úmrtí </w:t>
      </w:r>
      <w:r w:rsidR="002B7379">
        <w:t>a v roce 2014 o 2 úmrtí.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F0" w:rsidRPr="00FA6454" w:rsidRDefault="00677FF0">
    <w:pPr>
      <w:pStyle w:val="Zhlav"/>
      <w:rPr>
        <w:sz w:val="16"/>
        <w:szCs w:val="16"/>
      </w:rPr>
    </w:pPr>
    <w:r w:rsidRPr="00FA6454">
      <w:rPr>
        <w:sz w:val="16"/>
        <w:szCs w:val="16"/>
      </w:rPr>
      <w:t>Vývoj obyvatelstva České republiky</w:t>
    </w:r>
    <w:r w:rsidR="00D2005D">
      <w:rPr>
        <w:sz w:val="16"/>
        <w:szCs w:val="16"/>
      </w:rPr>
      <w:t>, Úmrtnost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F0" w:rsidRPr="00FA6454" w:rsidRDefault="00677FF0">
    <w:pPr>
      <w:pStyle w:val="Zhlav"/>
      <w:rPr>
        <w:sz w:val="16"/>
        <w:szCs w:val="16"/>
      </w:rPr>
    </w:pPr>
    <w:r w:rsidRPr="00FA6454">
      <w:rPr>
        <w:sz w:val="16"/>
        <w:szCs w:val="16"/>
      </w:rPr>
      <w:t>Vývoj obyvatelstva České republiky</w:t>
    </w:r>
    <w:r w:rsidR="00D2005D">
      <w:rPr>
        <w:sz w:val="16"/>
        <w:szCs w:val="16"/>
      </w:rPr>
      <w:t>, Úmrtnost</w:t>
    </w:r>
  </w:p>
  <w:p w:rsidR="00677FF0" w:rsidRDefault="00677FF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0B7C"/>
    <w:multiLevelType w:val="hybridMultilevel"/>
    <w:tmpl w:val="99920BE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74E5F"/>
    <w:multiLevelType w:val="hybridMultilevel"/>
    <w:tmpl w:val="94DE9AF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11382C"/>
    <w:multiLevelType w:val="hybridMultilevel"/>
    <w:tmpl w:val="6106A4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6C0299"/>
    <w:multiLevelType w:val="hybridMultilevel"/>
    <w:tmpl w:val="B5E0FF56"/>
    <w:lvl w:ilvl="0" w:tplc="C02A9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2349B7"/>
    <w:multiLevelType w:val="multilevel"/>
    <w:tmpl w:val="47C6E0F6"/>
    <w:lvl w:ilvl="0">
      <w:start w:val="6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14338"/>
    <o:shapelayout v:ext="edit">
      <o:idmap v:ext="edit" data="9"/>
    </o:shapelayout>
  </w:hdrShapeDefaults>
  <w:footnotePr>
    <w:numStart w:val="12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204"/>
    <w:rsid w:val="00002CC1"/>
    <w:rsid w:val="00003868"/>
    <w:rsid w:val="000068C6"/>
    <w:rsid w:val="000130DB"/>
    <w:rsid w:val="00014BCF"/>
    <w:rsid w:val="00020D34"/>
    <w:rsid w:val="00022374"/>
    <w:rsid w:val="00026BB8"/>
    <w:rsid w:val="00030578"/>
    <w:rsid w:val="00040EE8"/>
    <w:rsid w:val="00052BE6"/>
    <w:rsid w:val="000531CD"/>
    <w:rsid w:val="00054AA6"/>
    <w:rsid w:val="000568BE"/>
    <w:rsid w:val="000602CB"/>
    <w:rsid w:val="0006179E"/>
    <w:rsid w:val="0006363C"/>
    <w:rsid w:val="00064BC3"/>
    <w:rsid w:val="00065899"/>
    <w:rsid w:val="00070E11"/>
    <w:rsid w:val="00080657"/>
    <w:rsid w:val="000807C6"/>
    <w:rsid w:val="0008136B"/>
    <w:rsid w:val="00084C1A"/>
    <w:rsid w:val="00085EFA"/>
    <w:rsid w:val="00087C5F"/>
    <w:rsid w:val="00094C67"/>
    <w:rsid w:val="000958CC"/>
    <w:rsid w:val="000977F2"/>
    <w:rsid w:val="00097FBB"/>
    <w:rsid w:val="000A2506"/>
    <w:rsid w:val="000A30DA"/>
    <w:rsid w:val="000A6986"/>
    <w:rsid w:val="000B38D8"/>
    <w:rsid w:val="000B42BD"/>
    <w:rsid w:val="000B7B57"/>
    <w:rsid w:val="000C4B26"/>
    <w:rsid w:val="000D253E"/>
    <w:rsid w:val="000D4993"/>
    <w:rsid w:val="000E1294"/>
    <w:rsid w:val="000F5B19"/>
    <w:rsid w:val="000F748D"/>
    <w:rsid w:val="0010071D"/>
    <w:rsid w:val="001066E7"/>
    <w:rsid w:val="00117B27"/>
    <w:rsid w:val="0012695F"/>
    <w:rsid w:val="00133CAC"/>
    <w:rsid w:val="00134740"/>
    <w:rsid w:val="00134A58"/>
    <w:rsid w:val="00145D59"/>
    <w:rsid w:val="00151780"/>
    <w:rsid w:val="001520C6"/>
    <w:rsid w:val="00152B20"/>
    <w:rsid w:val="00154C6D"/>
    <w:rsid w:val="001559F7"/>
    <w:rsid w:val="001629D0"/>
    <w:rsid w:val="0016393E"/>
    <w:rsid w:val="001650A1"/>
    <w:rsid w:val="001671CF"/>
    <w:rsid w:val="00170918"/>
    <w:rsid w:val="00170A07"/>
    <w:rsid w:val="00173DCA"/>
    <w:rsid w:val="00176BBD"/>
    <w:rsid w:val="00185EDA"/>
    <w:rsid w:val="00192540"/>
    <w:rsid w:val="00193C91"/>
    <w:rsid w:val="001A0D76"/>
    <w:rsid w:val="001A4768"/>
    <w:rsid w:val="001A7A5A"/>
    <w:rsid w:val="001B3327"/>
    <w:rsid w:val="001B6762"/>
    <w:rsid w:val="001B6C7E"/>
    <w:rsid w:val="001B71B0"/>
    <w:rsid w:val="001D011C"/>
    <w:rsid w:val="001D1E54"/>
    <w:rsid w:val="001D65DA"/>
    <w:rsid w:val="001D683C"/>
    <w:rsid w:val="001E2FEA"/>
    <w:rsid w:val="001F1FAA"/>
    <w:rsid w:val="001F275E"/>
    <w:rsid w:val="001F63F0"/>
    <w:rsid w:val="001F733D"/>
    <w:rsid w:val="002023FD"/>
    <w:rsid w:val="0021526E"/>
    <w:rsid w:val="00220662"/>
    <w:rsid w:val="00220814"/>
    <w:rsid w:val="0022463B"/>
    <w:rsid w:val="00230D13"/>
    <w:rsid w:val="00242C3E"/>
    <w:rsid w:val="002621A5"/>
    <w:rsid w:val="00277F03"/>
    <w:rsid w:val="00290F77"/>
    <w:rsid w:val="00293312"/>
    <w:rsid w:val="0029584A"/>
    <w:rsid w:val="002A0C6F"/>
    <w:rsid w:val="002A3547"/>
    <w:rsid w:val="002B05B9"/>
    <w:rsid w:val="002B34FD"/>
    <w:rsid w:val="002B49CD"/>
    <w:rsid w:val="002B7379"/>
    <w:rsid w:val="002C0C50"/>
    <w:rsid w:val="002C34AF"/>
    <w:rsid w:val="002C5809"/>
    <w:rsid w:val="002C5E2D"/>
    <w:rsid w:val="002D16C4"/>
    <w:rsid w:val="002D4FFE"/>
    <w:rsid w:val="002E0D76"/>
    <w:rsid w:val="002E7B8B"/>
    <w:rsid w:val="002F2A52"/>
    <w:rsid w:val="002F2EE8"/>
    <w:rsid w:val="002F5589"/>
    <w:rsid w:val="0031156C"/>
    <w:rsid w:val="0031448B"/>
    <w:rsid w:val="0032051A"/>
    <w:rsid w:val="00321FE6"/>
    <w:rsid w:val="00331781"/>
    <w:rsid w:val="00331AAD"/>
    <w:rsid w:val="00333235"/>
    <w:rsid w:val="003448CB"/>
    <w:rsid w:val="003449A7"/>
    <w:rsid w:val="00345FB2"/>
    <w:rsid w:val="00347872"/>
    <w:rsid w:val="0034795B"/>
    <w:rsid w:val="00350018"/>
    <w:rsid w:val="003635BB"/>
    <w:rsid w:val="00363FEB"/>
    <w:rsid w:val="00371A4A"/>
    <w:rsid w:val="003779E7"/>
    <w:rsid w:val="00386437"/>
    <w:rsid w:val="003A5ADF"/>
    <w:rsid w:val="003A5F3F"/>
    <w:rsid w:val="003B2CE9"/>
    <w:rsid w:val="003C0175"/>
    <w:rsid w:val="003C6A84"/>
    <w:rsid w:val="003D19E3"/>
    <w:rsid w:val="003E3267"/>
    <w:rsid w:val="003E4241"/>
    <w:rsid w:val="003E4DBD"/>
    <w:rsid w:val="003E5123"/>
    <w:rsid w:val="003E5882"/>
    <w:rsid w:val="003F2F43"/>
    <w:rsid w:val="003F521F"/>
    <w:rsid w:val="003F60E4"/>
    <w:rsid w:val="004033B9"/>
    <w:rsid w:val="00403C4A"/>
    <w:rsid w:val="00417F58"/>
    <w:rsid w:val="0042079E"/>
    <w:rsid w:val="00430AE2"/>
    <w:rsid w:val="00440E8E"/>
    <w:rsid w:val="0046711F"/>
    <w:rsid w:val="00472827"/>
    <w:rsid w:val="00474500"/>
    <w:rsid w:val="00475BD5"/>
    <w:rsid w:val="0048098E"/>
    <w:rsid w:val="004A3253"/>
    <w:rsid w:val="004A397A"/>
    <w:rsid w:val="004B0B53"/>
    <w:rsid w:val="004C5328"/>
    <w:rsid w:val="004D3120"/>
    <w:rsid w:val="004E17B9"/>
    <w:rsid w:val="004E2326"/>
    <w:rsid w:val="004E32A4"/>
    <w:rsid w:val="004F3F26"/>
    <w:rsid w:val="004F7B74"/>
    <w:rsid w:val="00500BA0"/>
    <w:rsid w:val="00507310"/>
    <w:rsid w:val="00515188"/>
    <w:rsid w:val="00522A3F"/>
    <w:rsid w:val="00523DCD"/>
    <w:rsid w:val="00523DD9"/>
    <w:rsid w:val="00541734"/>
    <w:rsid w:val="0054285E"/>
    <w:rsid w:val="00544F87"/>
    <w:rsid w:val="0054557E"/>
    <w:rsid w:val="00546283"/>
    <w:rsid w:val="00553304"/>
    <w:rsid w:val="00554B23"/>
    <w:rsid w:val="00555EB1"/>
    <w:rsid w:val="00560544"/>
    <w:rsid w:val="00565F64"/>
    <w:rsid w:val="00570A72"/>
    <w:rsid w:val="00580EE6"/>
    <w:rsid w:val="005839D5"/>
    <w:rsid w:val="00583BD0"/>
    <w:rsid w:val="00584EFE"/>
    <w:rsid w:val="00585AA6"/>
    <w:rsid w:val="0059669B"/>
    <w:rsid w:val="005A6A14"/>
    <w:rsid w:val="005B14CC"/>
    <w:rsid w:val="005B6794"/>
    <w:rsid w:val="005B6EFB"/>
    <w:rsid w:val="005C40AA"/>
    <w:rsid w:val="005C4FFA"/>
    <w:rsid w:val="005C73AC"/>
    <w:rsid w:val="005D5CA0"/>
    <w:rsid w:val="005D658A"/>
    <w:rsid w:val="005E1109"/>
    <w:rsid w:val="005E16B8"/>
    <w:rsid w:val="005F035D"/>
    <w:rsid w:val="005F29EA"/>
    <w:rsid w:val="006022ED"/>
    <w:rsid w:val="006177D7"/>
    <w:rsid w:val="00622204"/>
    <w:rsid w:val="00632E41"/>
    <w:rsid w:val="00641C5A"/>
    <w:rsid w:val="00645D0F"/>
    <w:rsid w:val="00645E4B"/>
    <w:rsid w:val="00647564"/>
    <w:rsid w:val="00662046"/>
    <w:rsid w:val="00666318"/>
    <w:rsid w:val="00674331"/>
    <w:rsid w:val="00674D66"/>
    <w:rsid w:val="00676B77"/>
    <w:rsid w:val="00677FF0"/>
    <w:rsid w:val="00684CCC"/>
    <w:rsid w:val="00686068"/>
    <w:rsid w:val="00687A2A"/>
    <w:rsid w:val="006A65CB"/>
    <w:rsid w:val="006B1E94"/>
    <w:rsid w:val="006C6420"/>
    <w:rsid w:val="006C72F6"/>
    <w:rsid w:val="006C7883"/>
    <w:rsid w:val="006D0234"/>
    <w:rsid w:val="006D237B"/>
    <w:rsid w:val="006E17AE"/>
    <w:rsid w:val="006E1F08"/>
    <w:rsid w:val="006E26CE"/>
    <w:rsid w:val="006F3E32"/>
    <w:rsid w:val="006F7FF2"/>
    <w:rsid w:val="0070126A"/>
    <w:rsid w:val="00701707"/>
    <w:rsid w:val="007055AA"/>
    <w:rsid w:val="0070696B"/>
    <w:rsid w:val="00706C81"/>
    <w:rsid w:val="00710206"/>
    <w:rsid w:val="00710B45"/>
    <w:rsid w:val="0071128F"/>
    <w:rsid w:val="00720FD6"/>
    <w:rsid w:val="007214F5"/>
    <w:rsid w:val="007336FF"/>
    <w:rsid w:val="0073581E"/>
    <w:rsid w:val="007377FF"/>
    <w:rsid w:val="00737AAD"/>
    <w:rsid w:val="00741C92"/>
    <w:rsid w:val="00762B7A"/>
    <w:rsid w:val="00771176"/>
    <w:rsid w:val="00772ABB"/>
    <w:rsid w:val="0077590B"/>
    <w:rsid w:val="007872C8"/>
    <w:rsid w:val="007945AA"/>
    <w:rsid w:val="00795186"/>
    <w:rsid w:val="007A1F7B"/>
    <w:rsid w:val="007A7F1C"/>
    <w:rsid w:val="007B4588"/>
    <w:rsid w:val="007C2C57"/>
    <w:rsid w:val="007C2E25"/>
    <w:rsid w:val="007C6791"/>
    <w:rsid w:val="007D242F"/>
    <w:rsid w:val="007D4A6A"/>
    <w:rsid w:val="007D5C7F"/>
    <w:rsid w:val="007E0DBC"/>
    <w:rsid w:val="007E1326"/>
    <w:rsid w:val="007E4877"/>
    <w:rsid w:val="007E5638"/>
    <w:rsid w:val="007F1DA8"/>
    <w:rsid w:val="007F595E"/>
    <w:rsid w:val="008028CD"/>
    <w:rsid w:val="00804198"/>
    <w:rsid w:val="0081414B"/>
    <w:rsid w:val="0081709A"/>
    <w:rsid w:val="00820307"/>
    <w:rsid w:val="0083281D"/>
    <w:rsid w:val="008406FF"/>
    <w:rsid w:val="0084633D"/>
    <w:rsid w:val="00847115"/>
    <w:rsid w:val="008574ED"/>
    <w:rsid w:val="00860200"/>
    <w:rsid w:val="008651DE"/>
    <w:rsid w:val="008675BC"/>
    <w:rsid w:val="00870339"/>
    <w:rsid w:val="00871863"/>
    <w:rsid w:val="00877839"/>
    <w:rsid w:val="008835A4"/>
    <w:rsid w:val="00884CF8"/>
    <w:rsid w:val="0088704D"/>
    <w:rsid w:val="00890B7A"/>
    <w:rsid w:val="00891722"/>
    <w:rsid w:val="008A55EF"/>
    <w:rsid w:val="008A61D8"/>
    <w:rsid w:val="008B2EEF"/>
    <w:rsid w:val="008B343C"/>
    <w:rsid w:val="008B3CCC"/>
    <w:rsid w:val="008C19B8"/>
    <w:rsid w:val="008C1F9E"/>
    <w:rsid w:val="008C4234"/>
    <w:rsid w:val="008C6103"/>
    <w:rsid w:val="008C6388"/>
    <w:rsid w:val="008D3A24"/>
    <w:rsid w:val="008D3B78"/>
    <w:rsid w:val="008E57E8"/>
    <w:rsid w:val="008E70D9"/>
    <w:rsid w:val="008F0E5C"/>
    <w:rsid w:val="008F621A"/>
    <w:rsid w:val="00903792"/>
    <w:rsid w:val="00903A45"/>
    <w:rsid w:val="00907702"/>
    <w:rsid w:val="009102FA"/>
    <w:rsid w:val="00910703"/>
    <w:rsid w:val="00926CC9"/>
    <w:rsid w:val="00935278"/>
    <w:rsid w:val="00935552"/>
    <w:rsid w:val="00936812"/>
    <w:rsid w:val="0094005B"/>
    <w:rsid w:val="00961C6D"/>
    <w:rsid w:val="0096322F"/>
    <w:rsid w:val="009707EC"/>
    <w:rsid w:val="009745AB"/>
    <w:rsid w:val="00980D93"/>
    <w:rsid w:val="00985F56"/>
    <w:rsid w:val="00986EF1"/>
    <w:rsid w:val="00992B20"/>
    <w:rsid w:val="00994073"/>
    <w:rsid w:val="00995391"/>
    <w:rsid w:val="009970E4"/>
    <w:rsid w:val="009A3548"/>
    <w:rsid w:val="009A3DB8"/>
    <w:rsid w:val="009A5C7B"/>
    <w:rsid w:val="009A6CA2"/>
    <w:rsid w:val="009B0EDB"/>
    <w:rsid w:val="009B12A9"/>
    <w:rsid w:val="009B2B5B"/>
    <w:rsid w:val="009B41EC"/>
    <w:rsid w:val="009C1651"/>
    <w:rsid w:val="009D13DD"/>
    <w:rsid w:val="009D3CE7"/>
    <w:rsid w:val="009D7F89"/>
    <w:rsid w:val="009F137C"/>
    <w:rsid w:val="009F1793"/>
    <w:rsid w:val="009F3818"/>
    <w:rsid w:val="009F6409"/>
    <w:rsid w:val="00A0286B"/>
    <w:rsid w:val="00A0733C"/>
    <w:rsid w:val="00A15D8E"/>
    <w:rsid w:val="00A2007B"/>
    <w:rsid w:val="00A34DE8"/>
    <w:rsid w:val="00A401C7"/>
    <w:rsid w:val="00A40BD2"/>
    <w:rsid w:val="00A43DA0"/>
    <w:rsid w:val="00A44ADE"/>
    <w:rsid w:val="00A5010F"/>
    <w:rsid w:val="00A50F67"/>
    <w:rsid w:val="00A51A95"/>
    <w:rsid w:val="00A53EC8"/>
    <w:rsid w:val="00A5572F"/>
    <w:rsid w:val="00A56FC8"/>
    <w:rsid w:val="00A60FE8"/>
    <w:rsid w:val="00A63E73"/>
    <w:rsid w:val="00A717A3"/>
    <w:rsid w:val="00A77890"/>
    <w:rsid w:val="00A81D01"/>
    <w:rsid w:val="00A83142"/>
    <w:rsid w:val="00A86E75"/>
    <w:rsid w:val="00A90C75"/>
    <w:rsid w:val="00A92F11"/>
    <w:rsid w:val="00A94C8F"/>
    <w:rsid w:val="00AB45FC"/>
    <w:rsid w:val="00AB66AB"/>
    <w:rsid w:val="00AC7855"/>
    <w:rsid w:val="00AC79CB"/>
    <w:rsid w:val="00AD1D9D"/>
    <w:rsid w:val="00AD646B"/>
    <w:rsid w:val="00AF24A6"/>
    <w:rsid w:val="00AF3F87"/>
    <w:rsid w:val="00B002AE"/>
    <w:rsid w:val="00B0143D"/>
    <w:rsid w:val="00B02338"/>
    <w:rsid w:val="00B036AE"/>
    <w:rsid w:val="00B05977"/>
    <w:rsid w:val="00B135E5"/>
    <w:rsid w:val="00B1461C"/>
    <w:rsid w:val="00B16921"/>
    <w:rsid w:val="00B20999"/>
    <w:rsid w:val="00B20FDA"/>
    <w:rsid w:val="00B2567B"/>
    <w:rsid w:val="00B26367"/>
    <w:rsid w:val="00B27AF3"/>
    <w:rsid w:val="00B312CD"/>
    <w:rsid w:val="00B37E1D"/>
    <w:rsid w:val="00B4040A"/>
    <w:rsid w:val="00B41453"/>
    <w:rsid w:val="00B4199A"/>
    <w:rsid w:val="00B453FD"/>
    <w:rsid w:val="00B46C06"/>
    <w:rsid w:val="00B53518"/>
    <w:rsid w:val="00B625F4"/>
    <w:rsid w:val="00B62D36"/>
    <w:rsid w:val="00B63311"/>
    <w:rsid w:val="00B64E0A"/>
    <w:rsid w:val="00B66A08"/>
    <w:rsid w:val="00B82EAE"/>
    <w:rsid w:val="00B83653"/>
    <w:rsid w:val="00B8646C"/>
    <w:rsid w:val="00B87E76"/>
    <w:rsid w:val="00B92793"/>
    <w:rsid w:val="00B93CE3"/>
    <w:rsid w:val="00B94A18"/>
    <w:rsid w:val="00B957F6"/>
    <w:rsid w:val="00B95D31"/>
    <w:rsid w:val="00B9680B"/>
    <w:rsid w:val="00BA2C47"/>
    <w:rsid w:val="00BA7FF6"/>
    <w:rsid w:val="00BB0359"/>
    <w:rsid w:val="00BB3F0A"/>
    <w:rsid w:val="00BB3FE6"/>
    <w:rsid w:val="00BB493C"/>
    <w:rsid w:val="00BC1AB9"/>
    <w:rsid w:val="00BC238C"/>
    <w:rsid w:val="00BC4203"/>
    <w:rsid w:val="00BC4CB3"/>
    <w:rsid w:val="00BC553D"/>
    <w:rsid w:val="00BD5A2C"/>
    <w:rsid w:val="00BD7920"/>
    <w:rsid w:val="00BE331F"/>
    <w:rsid w:val="00BE6B1C"/>
    <w:rsid w:val="00BF18D2"/>
    <w:rsid w:val="00BF303E"/>
    <w:rsid w:val="00C072D1"/>
    <w:rsid w:val="00C07AED"/>
    <w:rsid w:val="00C101C7"/>
    <w:rsid w:val="00C120C8"/>
    <w:rsid w:val="00C13D04"/>
    <w:rsid w:val="00C2569C"/>
    <w:rsid w:val="00C35124"/>
    <w:rsid w:val="00C365D9"/>
    <w:rsid w:val="00C366F8"/>
    <w:rsid w:val="00C417D4"/>
    <w:rsid w:val="00C44B03"/>
    <w:rsid w:val="00C46CCB"/>
    <w:rsid w:val="00C56224"/>
    <w:rsid w:val="00C60E30"/>
    <w:rsid w:val="00C636D0"/>
    <w:rsid w:val="00C67ED5"/>
    <w:rsid w:val="00C71F75"/>
    <w:rsid w:val="00C72721"/>
    <w:rsid w:val="00C7696B"/>
    <w:rsid w:val="00C8105E"/>
    <w:rsid w:val="00C81956"/>
    <w:rsid w:val="00C93477"/>
    <w:rsid w:val="00C966B0"/>
    <w:rsid w:val="00C96E5D"/>
    <w:rsid w:val="00CA5921"/>
    <w:rsid w:val="00CB0980"/>
    <w:rsid w:val="00CB250E"/>
    <w:rsid w:val="00CB437A"/>
    <w:rsid w:val="00CB60F6"/>
    <w:rsid w:val="00CB76C4"/>
    <w:rsid w:val="00CC65B2"/>
    <w:rsid w:val="00CD3DBD"/>
    <w:rsid w:val="00CE0729"/>
    <w:rsid w:val="00CE0E6B"/>
    <w:rsid w:val="00CE2003"/>
    <w:rsid w:val="00CE7C61"/>
    <w:rsid w:val="00D028FF"/>
    <w:rsid w:val="00D11249"/>
    <w:rsid w:val="00D2005D"/>
    <w:rsid w:val="00D23F5A"/>
    <w:rsid w:val="00D30EEE"/>
    <w:rsid w:val="00D372B4"/>
    <w:rsid w:val="00D471E9"/>
    <w:rsid w:val="00D51475"/>
    <w:rsid w:val="00D567BB"/>
    <w:rsid w:val="00D676C5"/>
    <w:rsid w:val="00D7235E"/>
    <w:rsid w:val="00D737F4"/>
    <w:rsid w:val="00D75E2C"/>
    <w:rsid w:val="00D822A2"/>
    <w:rsid w:val="00D8344C"/>
    <w:rsid w:val="00D86588"/>
    <w:rsid w:val="00D965CD"/>
    <w:rsid w:val="00D96A5C"/>
    <w:rsid w:val="00DA063B"/>
    <w:rsid w:val="00DA21C7"/>
    <w:rsid w:val="00DA2D88"/>
    <w:rsid w:val="00DA3428"/>
    <w:rsid w:val="00DA3844"/>
    <w:rsid w:val="00DB21F3"/>
    <w:rsid w:val="00DB44E7"/>
    <w:rsid w:val="00DB74FF"/>
    <w:rsid w:val="00DB77CB"/>
    <w:rsid w:val="00DD2BEC"/>
    <w:rsid w:val="00DD7BB1"/>
    <w:rsid w:val="00DF0AA0"/>
    <w:rsid w:val="00DF3F54"/>
    <w:rsid w:val="00DF49D6"/>
    <w:rsid w:val="00E05624"/>
    <w:rsid w:val="00E21A57"/>
    <w:rsid w:val="00E252CA"/>
    <w:rsid w:val="00E27DA6"/>
    <w:rsid w:val="00E301A0"/>
    <w:rsid w:val="00E44073"/>
    <w:rsid w:val="00E461B8"/>
    <w:rsid w:val="00E51E4E"/>
    <w:rsid w:val="00E5266A"/>
    <w:rsid w:val="00E53A81"/>
    <w:rsid w:val="00E54CBD"/>
    <w:rsid w:val="00E64324"/>
    <w:rsid w:val="00E81083"/>
    <w:rsid w:val="00E94FC6"/>
    <w:rsid w:val="00E978D3"/>
    <w:rsid w:val="00E97C85"/>
    <w:rsid w:val="00EA1135"/>
    <w:rsid w:val="00EB0CBF"/>
    <w:rsid w:val="00EB6184"/>
    <w:rsid w:val="00EE104D"/>
    <w:rsid w:val="00EE27CB"/>
    <w:rsid w:val="00EE6715"/>
    <w:rsid w:val="00EF3848"/>
    <w:rsid w:val="00EF5429"/>
    <w:rsid w:val="00EF6D2C"/>
    <w:rsid w:val="00F02880"/>
    <w:rsid w:val="00F02A82"/>
    <w:rsid w:val="00F125E5"/>
    <w:rsid w:val="00F16C5B"/>
    <w:rsid w:val="00F234EC"/>
    <w:rsid w:val="00F23528"/>
    <w:rsid w:val="00F241CD"/>
    <w:rsid w:val="00F35883"/>
    <w:rsid w:val="00F35B50"/>
    <w:rsid w:val="00F44828"/>
    <w:rsid w:val="00F50047"/>
    <w:rsid w:val="00F5007B"/>
    <w:rsid w:val="00F512E6"/>
    <w:rsid w:val="00F5324D"/>
    <w:rsid w:val="00F62EA0"/>
    <w:rsid w:val="00F6417A"/>
    <w:rsid w:val="00F675A9"/>
    <w:rsid w:val="00F67724"/>
    <w:rsid w:val="00F71512"/>
    <w:rsid w:val="00F80013"/>
    <w:rsid w:val="00F840B6"/>
    <w:rsid w:val="00F91BF6"/>
    <w:rsid w:val="00F92C69"/>
    <w:rsid w:val="00F93008"/>
    <w:rsid w:val="00FA1CD5"/>
    <w:rsid w:val="00FA6454"/>
    <w:rsid w:val="00FB4C9A"/>
    <w:rsid w:val="00FB5B6D"/>
    <w:rsid w:val="00FB7749"/>
    <w:rsid w:val="00FD2340"/>
    <w:rsid w:val="00FD28EE"/>
    <w:rsid w:val="00FD534D"/>
    <w:rsid w:val="00FD5DA3"/>
    <w:rsid w:val="00FE7664"/>
    <w:rsid w:val="00FE7C3C"/>
    <w:rsid w:val="00FF002A"/>
    <w:rsid w:val="00FF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581E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73581E"/>
    <w:pPr>
      <w:keepNext/>
      <w:numPr>
        <w:numId w:val="7"/>
      </w:numPr>
      <w:spacing w:before="240" w:after="12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3581E"/>
    <w:pPr>
      <w:keepNext/>
      <w:numPr>
        <w:ilvl w:val="1"/>
        <w:numId w:val="7"/>
      </w:numPr>
      <w:spacing w:before="240" w:after="280"/>
      <w:jc w:val="left"/>
      <w:outlineLvl w:val="1"/>
    </w:pPr>
    <w:rPr>
      <w:rFonts w:cs="Arial"/>
      <w:b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3581E"/>
    <w:pPr>
      <w:keepNext/>
      <w:numPr>
        <w:ilvl w:val="2"/>
        <w:numId w:val="7"/>
      </w:numPr>
      <w:spacing w:before="240" w:after="60"/>
      <w:jc w:val="left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rsid w:val="0073581E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73581E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3581E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3581E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rsid w:val="0073581E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rsid w:val="0073581E"/>
    <w:pPr>
      <w:numPr>
        <w:ilvl w:val="8"/>
        <w:numId w:val="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3581E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Titulek">
    <w:name w:val="caption"/>
    <w:basedOn w:val="Normln"/>
    <w:next w:val="Normln"/>
    <w:qFormat/>
    <w:rsid w:val="0073581E"/>
    <w:pPr>
      <w:spacing w:before="120" w:after="120"/>
    </w:pPr>
    <w:rPr>
      <w:b/>
      <w:bCs/>
      <w:szCs w:val="20"/>
    </w:rPr>
  </w:style>
  <w:style w:type="paragraph" w:styleId="Zpat">
    <w:name w:val="footer"/>
    <w:basedOn w:val="Normln"/>
    <w:semiHidden/>
    <w:rsid w:val="007358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3581E"/>
  </w:style>
  <w:style w:type="paragraph" w:styleId="Zhlav">
    <w:name w:val="header"/>
    <w:basedOn w:val="Normln"/>
    <w:link w:val="ZhlavChar"/>
    <w:uiPriority w:val="99"/>
    <w:rsid w:val="0073581E"/>
    <w:pPr>
      <w:tabs>
        <w:tab w:val="center" w:pos="4536"/>
        <w:tab w:val="right" w:pos="9072"/>
      </w:tabs>
    </w:pPr>
  </w:style>
  <w:style w:type="paragraph" w:customStyle="1" w:styleId="tabulkanadpis">
    <w:name w:val="tabulka_nadpis"/>
    <w:basedOn w:val="Nadpis3"/>
    <w:rsid w:val="0073581E"/>
    <w:pPr>
      <w:numPr>
        <w:ilvl w:val="0"/>
        <w:numId w:val="0"/>
      </w:numPr>
    </w:pPr>
    <w:rPr>
      <w:sz w:val="20"/>
    </w:rPr>
  </w:style>
  <w:style w:type="paragraph" w:customStyle="1" w:styleId="grafnadpis">
    <w:name w:val="graf_nadpis"/>
    <w:basedOn w:val="tabulkanadpis"/>
    <w:rsid w:val="0073581E"/>
  </w:style>
  <w:style w:type="paragraph" w:styleId="Zkladntext">
    <w:name w:val="Body Text"/>
    <w:basedOn w:val="Normln"/>
    <w:semiHidden/>
    <w:rsid w:val="0073581E"/>
    <w:rPr>
      <w:color w:val="800080"/>
    </w:rPr>
  </w:style>
  <w:style w:type="paragraph" w:customStyle="1" w:styleId="kapitola">
    <w:name w:val="kapitola"/>
    <w:next w:val="Normln"/>
    <w:rsid w:val="0073581E"/>
    <w:pPr>
      <w:widowControl w:val="0"/>
    </w:pPr>
    <w:rPr>
      <w:rFonts w:ascii="Arial" w:hAnsi="Arial"/>
      <w:b/>
      <w:sz w:val="24"/>
    </w:rPr>
  </w:style>
  <w:style w:type="paragraph" w:styleId="Zkladntext2">
    <w:name w:val="Body Text 2"/>
    <w:basedOn w:val="Normln"/>
    <w:semiHidden/>
    <w:rsid w:val="0073581E"/>
    <w:rPr>
      <w:color w:val="FF0000"/>
    </w:rPr>
  </w:style>
  <w:style w:type="paragraph" w:styleId="Textpoznpodarou">
    <w:name w:val="footnote text"/>
    <w:basedOn w:val="Normln"/>
    <w:semiHidden/>
    <w:rsid w:val="0073581E"/>
    <w:rPr>
      <w:i/>
      <w:sz w:val="18"/>
      <w:szCs w:val="20"/>
    </w:rPr>
  </w:style>
  <w:style w:type="character" w:styleId="Znakapoznpodarou">
    <w:name w:val="footnote reference"/>
    <w:semiHidden/>
    <w:rsid w:val="0073581E"/>
    <w:rPr>
      <w:vertAlign w:val="superscript"/>
    </w:rPr>
  </w:style>
  <w:style w:type="paragraph" w:customStyle="1" w:styleId="Muj-zakltext3">
    <w:name w:val="Muj-zakl.text3"/>
    <w:basedOn w:val="Normln"/>
    <w:rsid w:val="0073581E"/>
    <w:pPr>
      <w:keepNext/>
      <w:ind w:firstLine="709"/>
    </w:pPr>
    <w:rPr>
      <w:rFonts w:cs="Arial"/>
      <w:bCs/>
    </w:rPr>
  </w:style>
  <w:style w:type="paragraph" w:customStyle="1" w:styleId="obycA10">
    <w:name w:val="obyc_A10"/>
    <w:basedOn w:val="Normln"/>
    <w:rsid w:val="0073581E"/>
    <w:pPr>
      <w:jc w:val="left"/>
    </w:pPr>
  </w:style>
  <w:style w:type="character" w:styleId="Odkaznakoment">
    <w:name w:val="annotation reference"/>
    <w:semiHidden/>
    <w:rsid w:val="0073581E"/>
    <w:rPr>
      <w:sz w:val="16"/>
      <w:szCs w:val="16"/>
    </w:rPr>
  </w:style>
  <w:style w:type="paragraph" w:styleId="Textkomente">
    <w:name w:val="annotation text"/>
    <w:basedOn w:val="Normln"/>
    <w:semiHidden/>
    <w:rsid w:val="0073581E"/>
    <w:rPr>
      <w:szCs w:val="20"/>
    </w:rPr>
  </w:style>
  <w:style w:type="paragraph" w:styleId="Zkladntext3">
    <w:name w:val="Body Text 3"/>
    <w:basedOn w:val="Normln"/>
    <w:semiHidden/>
    <w:rsid w:val="0073581E"/>
    <w:rPr>
      <w:color w:val="993300"/>
    </w:rPr>
  </w:style>
  <w:style w:type="paragraph" w:styleId="Pedmtkomente">
    <w:name w:val="annotation subject"/>
    <w:basedOn w:val="Textkomente"/>
    <w:next w:val="Textkomente"/>
    <w:semiHidden/>
    <w:unhideWhenUsed/>
    <w:rsid w:val="0073581E"/>
    <w:rPr>
      <w:b/>
      <w:bCs/>
    </w:rPr>
  </w:style>
  <w:style w:type="character" w:customStyle="1" w:styleId="TextkomenteChar">
    <w:name w:val="Text komentáře Char"/>
    <w:semiHidden/>
    <w:rsid w:val="0073581E"/>
    <w:rPr>
      <w:rFonts w:ascii="Arial" w:hAnsi="Arial"/>
    </w:rPr>
  </w:style>
  <w:style w:type="character" w:customStyle="1" w:styleId="PedmtkomenteChar">
    <w:name w:val="Předmět komentáře Char"/>
    <w:rsid w:val="0073581E"/>
    <w:rPr>
      <w:rFonts w:ascii="Arial" w:hAnsi="Arial"/>
    </w:rPr>
  </w:style>
  <w:style w:type="paragraph" w:styleId="Textbubliny">
    <w:name w:val="Balloon Text"/>
    <w:basedOn w:val="Normln"/>
    <w:semiHidden/>
    <w:unhideWhenUsed/>
    <w:rsid w:val="007358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73581E"/>
    <w:rPr>
      <w:rFonts w:ascii="Tahoma" w:hAnsi="Tahoma" w:cs="Tahoma"/>
      <w:sz w:val="16"/>
      <w:szCs w:val="16"/>
    </w:rPr>
  </w:style>
  <w:style w:type="paragraph" w:styleId="Obsah2">
    <w:name w:val="toc 2"/>
    <w:basedOn w:val="Normln"/>
    <w:next w:val="Normln"/>
    <w:autoRedefine/>
    <w:semiHidden/>
    <w:rsid w:val="0073581E"/>
    <w:pPr>
      <w:ind w:left="200"/>
    </w:pPr>
  </w:style>
  <w:style w:type="paragraph" w:styleId="Obsah1">
    <w:name w:val="toc 1"/>
    <w:basedOn w:val="Normln"/>
    <w:next w:val="Normln"/>
    <w:autoRedefine/>
    <w:semiHidden/>
    <w:rsid w:val="0073581E"/>
  </w:style>
  <w:style w:type="paragraph" w:styleId="Obsah3">
    <w:name w:val="toc 3"/>
    <w:basedOn w:val="Normln"/>
    <w:next w:val="Normln"/>
    <w:autoRedefine/>
    <w:semiHidden/>
    <w:rsid w:val="0073581E"/>
    <w:pPr>
      <w:ind w:left="400"/>
    </w:pPr>
  </w:style>
  <w:style w:type="paragraph" w:styleId="Obsah4">
    <w:name w:val="toc 4"/>
    <w:basedOn w:val="Normln"/>
    <w:next w:val="Normln"/>
    <w:autoRedefine/>
    <w:semiHidden/>
    <w:rsid w:val="0073581E"/>
    <w:pPr>
      <w:ind w:left="600"/>
    </w:pPr>
  </w:style>
  <w:style w:type="paragraph" w:styleId="Obsah5">
    <w:name w:val="toc 5"/>
    <w:basedOn w:val="Normln"/>
    <w:next w:val="Normln"/>
    <w:autoRedefine/>
    <w:semiHidden/>
    <w:rsid w:val="0073581E"/>
    <w:pPr>
      <w:ind w:left="800"/>
    </w:pPr>
  </w:style>
  <w:style w:type="paragraph" w:styleId="Obsah6">
    <w:name w:val="toc 6"/>
    <w:basedOn w:val="Normln"/>
    <w:next w:val="Normln"/>
    <w:autoRedefine/>
    <w:semiHidden/>
    <w:rsid w:val="0073581E"/>
    <w:pPr>
      <w:ind w:left="1000"/>
    </w:pPr>
  </w:style>
  <w:style w:type="paragraph" w:styleId="Obsah7">
    <w:name w:val="toc 7"/>
    <w:basedOn w:val="Normln"/>
    <w:next w:val="Normln"/>
    <w:autoRedefine/>
    <w:semiHidden/>
    <w:rsid w:val="0073581E"/>
    <w:pPr>
      <w:ind w:left="1200"/>
    </w:pPr>
  </w:style>
  <w:style w:type="paragraph" w:styleId="Obsah8">
    <w:name w:val="toc 8"/>
    <w:basedOn w:val="Normln"/>
    <w:next w:val="Normln"/>
    <w:autoRedefine/>
    <w:semiHidden/>
    <w:rsid w:val="0073581E"/>
    <w:pPr>
      <w:ind w:left="1400"/>
    </w:pPr>
  </w:style>
  <w:style w:type="paragraph" w:styleId="Obsah9">
    <w:name w:val="toc 9"/>
    <w:basedOn w:val="Normln"/>
    <w:next w:val="Normln"/>
    <w:autoRedefine/>
    <w:semiHidden/>
    <w:rsid w:val="0073581E"/>
    <w:pPr>
      <w:ind w:left="1600"/>
    </w:pPr>
  </w:style>
  <w:style w:type="character" w:styleId="Hypertextovodkaz">
    <w:name w:val="Hyperlink"/>
    <w:semiHidden/>
    <w:rsid w:val="0073581E"/>
    <w:rPr>
      <w:color w:val="0000FF"/>
      <w:u w:val="single"/>
    </w:rPr>
  </w:style>
  <w:style w:type="character" w:styleId="Sledovanodkaz">
    <w:name w:val="FollowedHyperlink"/>
    <w:semiHidden/>
    <w:rsid w:val="0073581E"/>
    <w:rPr>
      <w:color w:val="800080"/>
      <w:u w:val="single"/>
    </w:rPr>
  </w:style>
  <w:style w:type="paragraph" w:styleId="Zkladntextodsazen">
    <w:name w:val="Body Text Indent"/>
    <w:basedOn w:val="Normln"/>
    <w:semiHidden/>
    <w:rsid w:val="0073581E"/>
    <w:pPr>
      <w:ind w:firstLine="540"/>
    </w:pPr>
    <w:rPr>
      <w:rFonts w:ascii="Times New Roman" w:hAnsi="Times New Roman"/>
      <w:sz w:val="24"/>
    </w:rPr>
  </w:style>
  <w:style w:type="paragraph" w:customStyle="1" w:styleId="xl98">
    <w:name w:val="xl98"/>
    <w:basedOn w:val="Normln"/>
    <w:rsid w:val="0073581E"/>
    <w:pPr>
      <w:spacing w:before="100" w:beforeAutospacing="1" w:after="100" w:afterAutospacing="1"/>
      <w:jc w:val="right"/>
    </w:pPr>
    <w:rPr>
      <w:rFonts w:eastAsia="Arial Unicode MS" w:cs="Arial"/>
      <w:sz w:val="16"/>
      <w:szCs w:val="16"/>
    </w:rPr>
  </w:style>
  <w:style w:type="paragraph" w:customStyle="1" w:styleId="font5">
    <w:name w:val="font5"/>
    <w:basedOn w:val="Normln"/>
    <w:rsid w:val="0073581E"/>
    <w:pPr>
      <w:spacing w:before="100" w:beforeAutospacing="1" w:after="100" w:afterAutospacing="1"/>
      <w:jc w:val="left"/>
    </w:pPr>
    <w:rPr>
      <w:rFonts w:eastAsia="Arial Unicode MS" w:cs="Arial"/>
      <w:sz w:val="16"/>
      <w:szCs w:val="16"/>
    </w:rPr>
  </w:style>
  <w:style w:type="paragraph" w:customStyle="1" w:styleId="xl97">
    <w:name w:val="xl97"/>
    <w:basedOn w:val="Normln"/>
    <w:rsid w:val="0073581E"/>
    <w:pPr>
      <w:spacing w:before="100" w:beforeAutospacing="1" w:after="100" w:afterAutospacing="1"/>
      <w:jc w:val="left"/>
    </w:pPr>
    <w:rPr>
      <w:rFonts w:eastAsia="Arial Unicode MS" w:cs="Arial"/>
      <w:sz w:val="16"/>
      <w:szCs w:val="16"/>
    </w:rPr>
  </w:style>
  <w:style w:type="paragraph" w:customStyle="1" w:styleId="xl99">
    <w:name w:val="xl99"/>
    <w:basedOn w:val="Normln"/>
    <w:rsid w:val="0073581E"/>
    <w:pPr>
      <w:spacing w:before="100" w:beforeAutospacing="1" w:after="100" w:afterAutospacing="1"/>
      <w:jc w:val="left"/>
    </w:pPr>
    <w:rPr>
      <w:rFonts w:eastAsia="Arial Unicode MS" w:cs="Arial"/>
      <w:sz w:val="16"/>
      <w:szCs w:val="16"/>
    </w:rPr>
  </w:style>
  <w:style w:type="paragraph" w:customStyle="1" w:styleId="xl100">
    <w:name w:val="xl100"/>
    <w:basedOn w:val="Normln"/>
    <w:rsid w:val="0073581E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sz w:val="16"/>
      <w:szCs w:val="16"/>
    </w:rPr>
  </w:style>
  <w:style w:type="paragraph" w:customStyle="1" w:styleId="xl101">
    <w:name w:val="xl101"/>
    <w:basedOn w:val="Normln"/>
    <w:rsid w:val="0073581E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sz w:val="16"/>
      <w:szCs w:val="16"/>
    </w:rPr>
  </w:style>
  <w:style w:type="paragraph" w:customStyle="1" w:styleId="xl102">
    <w:name w:val="xl102"/>
    <w:basedOn w:val="Normln"/>
    <w:rsid w:val="007358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sz w:val="16"/>
      <w:szCs w:val="16"/>
    </w:rPr>
  </w:style>
  <w:style w:type="paragraph" w:customStyle="1" w:styleId="xl103">
    <w:name w:val="xl103"/>
    <w:basedOn w:val="Normln"/>
    <w:rsid w:val="007358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b/>
      <w:bCs/>
      <w:sz w:val="16"/>
      <w:szCs w:val="16"/>
    </w:rPr>
  </w:style>
  <w:style w:type="paragraph" w:customStyle="1" w:styleId="xl104">
    <w:name w:val="xl104"/>
    <w:basedOn w:val="Normln"/>
    <w:rsid w:val="007358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b/>
      <w:bCs/>
      <w:sz w:val="16"/>
      <w:szCs w:val="16"/>
    </w:rPr>
  </w:style>
  <w:style w:type="paragraph" w:customStyle="1" w:styleId="xl105">
    <w:name w:val="xl105"/>
    <w:basedOn w:val="Normln"/>
    <w:rsid w:val="0073581E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sz w:val="16"/>
      <w:szCs w:val="16"/>
    </w:rPr>
  </w:style>
  <w:style w:type="paragraph" w:customStyle="1" w:styleId="xl106">
    <w:name w:val="xl106"/>
    <w:basedOn w:val="Normln"/>
    <w:rsid w:val="0073581E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b/>
      <w:bCs/>
      <w:sz w:val="16"/>
      <w:szCs w:val="16"/>
    </w:rPr>
  </w:style>
  <w:style w:type="paragraph" w:customStyle="1" w:styleId="xl107">
    <w:name w:val="xl107"/>
    <w:basedOn w:val="Normln"/>
    <w:rsid w:val="007358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sz w:val="16"/>
      <w:szCs w:val="16"/>
    </w:rPr>
  </w:style>
  <w:style w:type="paragraph" w:customStyle="1" w:styleId="xl108">
    <w:name w:val="xl108"/>
    <w:basedOn w:val="Normln"/>
    <w:rsid w:val="0073581E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sz w:val="16"/>
      <w:szCs w:val="16"/>
    </w:rPr>
  </w:style>
  <w:style w:type="paragraph" w:customStyle="1" w:styleId="xl109">
    <w:name w:val="xl109"/>
    <w:basedOn w:val="Normln"/>
    <w:rsid w:val="0073581E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b/>
      <w:bCs/>
      <w:sz w:val="16"/>
      <w:szCs w:val="16"/>
    </w:rPr>
  </w:style>
  <w:style w:type="paragraph" w:customStyle="1" w:styleId="xl110">
    <w:name w:val="xl110"/>
    <w:basedOn w:val="Normln"/>
    <w:rsid w:val="0073581E"/>
    <w:pPr>
      <w:spacing w:before="100" w:beforeAutospacing="1" w:after="100" w:afterAutospacing="1"/>
      <w:jc w:val="right"/>
    </w:pPr>
    <w:rPr>
      <w:rFonts w:eastAsia="Arial Unicode MS" w:cs="Arial"/>
      <w:sz w:val="16"/>
      <w:szCs w:val="16"/>
    </w:rPr>
  </w:style>
  <w:style w:type="paragraph" w:customStyle="1" w:styleId="xl111">
    <w:name w:val="xl111"/>
    <w:basedOn w:val="Normln"/>
    <w:rsid w:val="0073581E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sz w:val="16"/>
      <w:szCs w:val="16"/>
    </w:rPr>
  </w:style>
  <w:style w:type="paragraph" w:customStyle="1" w:styleId="xl112">
    <w:name w:val="xl112"/>
    <w:basedOn w:val="Normln"/>
    <w:rsid w:val="0073581E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 w:val="16"/>
      <w:szCs w:val="16"/>
    </w:rPr>
  </w:style>
  <w:style w:type="paragraph" w:customStyle="1" w:styleId="xl113">
    <w:name w:val="xl113"/>
    <w:basedOn w:val="Normln"/>
    <w:rsid w:val="007358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sz w:val="16"/>
      <w:szCs w:val="16"/>
    </w:rPr>
  </w:style>
  <w:style w:type="paragraph" w:customStyle="1" w:styleId="xl114">
    <w:name w:val="xl114"/>
    <w:basedOn w:val="Normln"/>
    <w:rsid w:val="0073581E"/>
    <w:pPr>
      <w:spacing w:before="100" w:beforeAutospacing="1" w:after="100" w:afterAutospacing="1"/>
      <w:jc w:val="left"/>
    </w:pPr>
    <w:rPr>
      <w:rFonts w:eastAsia="Arial Unicode MS" w:cs="Arial"/>
      <w:sz w:val="24"/>
    </w:rPr>
  </w:style>
  <w:style w:type="paragraph" w:styleId="Zkladntextodsazen2">
    <w:name w:val="Body Text Indent 2"/>
    <w:basedOn w:val="Normln"/>
    <w:semiHidden/>
    <w:rsid w:val="0073581E"/>
    <w:pPr>
      <w:ind w:firstLine="360"/>
      <w:jc w:val="left"/>
    </w:pPr>
    <w:rPr>
      <w:rFonts w:ascii="Times New Roman" w:hAnsi="Times New Roman"/>
      <w:color w:val="FF9900"/>
      <w:sz w:val="24"/>
    </w:rPr>
  </w:style>
  <w:style w:type="paragraph" w:styleId="Zkladntextodsazen3">
    <w:name w:val="Body Text Indent 3"/>
    <w:basedOn w:val="Normln"/>
    <w:semiHidden/>
    <w:rsid w:val="0073581E"/>
    <w:pPr>
      <w:ind w:firstLine="360"/>
    </w:pPr>
    <w:rPr>
      <w:rFonts w:cs="Arial"/>
      <w:sz w:val="24"/>
    </w:rPr>
  </w:style>
  <w:style w:type="paragraph" w:customStyle="1" w:styleId="xl72">
    <w:name w:val="xl72"/>
    <w:basedOn w:val="Normln"/>
    <w:rsid w:val="007358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 w:val="16"/>
      <w:szCs w:val="16"/>
    </w:rPr>
  </w:style>
  <w:style w:type="paragraph" w:customStyle="1" w:styleId="xl73">
    <w:name w:val="xl73"/>
    <w:basedOn w:val="Normln"/>
    <w:rsid w:val="0073581E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b/>
      <w:bCs/>
      <w:sz w:val="16"/>
      <w:szCs w:val="16"/>
    </w:rPr>
  </w:style>
  <w:style w:type="paragraph" w:customStyle="1" w:styleId="xl74">
    <w:name w:val="xl74"/>
    <w:basedOn w:val="Normln"/>
    <w:rsid w:val="0073581E"/>
    <w:pPr>
      <w:spacing w:before="100" w:beforeAutospacing="1" w:after="100" w:afterAutospacing="1"/>
      <w:jc w:val="left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73581E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73581E"/>
    <w:pPr>
      <w:spacing w:before="100" w:beforeAutospacing="1" w:after="100" w:afterAutospacing="1"/>
      <w:jc w:val="right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73581E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 w:val="16"/>
      <w:szCs w:val="16"/>
    </w:rPr>
  </w:style>
  <w:style w:type="paragraph" w:customStyle="1" w:styleId="xl79">
    <w:name w:val="xl79"/>
    <w:basedOn w:val="Normln"/>
    <w:rsid w:val="0073581E"/>
    <w:pPr>
      <w:spacing w:before="100" w:beforeAutospacing="1" w:after="100" w:afterAutospacing="1"/>
      <w:jc w:val="left"/>
    </w:pPr>
    <w:rPr>
      <w:rFonts w:eastAsia="Arial Unicode MS" w:cs="Arial"/>
      <w:sz w:val="16"/>
      <w:szCs w:val="16"/>
    </w:rPr>
  </w:style>
  <w:style w:type="paragraph" w:customStyle="1" w:styleId="xl80">
    <w:name w:val="xl80"/>
    <w:basedOn w:val="Normln"/>
    <w:rsid w:val="0073581E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sz w:val="16"/>
      <w:szCs w:val="16"/>
    </w:rPr>
  </w:style>
  <w:style w:type="paragraph" w:customStyle="1" w:styleId="xl76">
    <w:name w:val="xl76"/>
    <w:basedOn w:val="Normln"/>
    <w:rsid w:val="0073581E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sz w:val="16"/>
      <w:szCs w:val="16"/>
    </w:rPr>
  </w:style>
  <w:style w:type="paragraph" w:customStyle="1" w:styleId="xl81">
    <w:name w:val="xl81"/>
    <w:basedOn w:val="Normln"/>
    <w:rsid w:val="0073581E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sz w:val="16"/>
      <w:szCs w:val="16"/>
    </w:rPr>
  </w:style>
  <w:style w:type="paragraph" w:customStyle="1" w:styleId="xl82">
    <w:name w:val="xl82"/>
    <w:basedOn w:val="Normln"/>
    <w:rsid w:val="007358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sz w:val="16"/>
      <w:szCs w:val="16"/>
    </w:rPr>
  </w:style>
  <w:style w:type="paragraph" w:customStyle="1" w:styleId="xl83">
    <w:name w:val="xl83"/>
    <w:basedOn w:val="Normln"/>
    <w:rsid w:val="0073581E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</w:rPr>
  </w:style>
  <w:style w:type="paragraph" w:customStyle="1" w:styleId="xl84">
    <w:name w:val="xl84"/>
    <w:basedOn w:val="Normln"/>
    <w:rsid w:val="007358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</w:rPr>
  </w:style>
  <w:style w:type="paragraph" w:customStyle="1" w:styleId="xl85">
    <w:name w:val="xl85"/>
    <w:basedOn w:val="Normln"/>
    <w:rsid w:val="007358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86">
    <w:name w:val="xl86"/>
    <w:basedOn w:val="Normln"/>
    <w:rsid w:val="0073581E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115">
    <w:name w:val="xl115"/>
    <w:basedOn w:val="Normln"/>
    <w:rsid w:val="007358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116">
    <w:name w:val="xl116"/>
    <w:basedOn w:val="Normln"/>
    <w:rsid w:val="007358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b/>
      <w:bCs/>
      <w:sz w:val="16"/>
      <w:szCs w:val="16"/>
    </w:rPr>
  </w:style>
  <w:style w:type="paragraph" w:customStyle="1" w:styleId="xl117">
    <w:name w:val="xl117"/>
    <w:basedOn w:val="Normln"/>
    <w:rsid w:val="0073581E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sz w:val="16"/>
      <w:szCs w:val="16"/>
    </w:rPr>
  </w:style>
  <w:style w:type="paragraph" w:customStyle="1" w:styleId="xl118">
    <w:name w:val="xl118"/>
    <w:basedOn w:val="Normln"/>
    <w:rsid w:val="007358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sz w:val="16"/>
      <w:szCs w:val="16"/>
    </w:rPr>
  </w:style>
  <w:style w:type="paragraph" w:customStyle="1" w:styleId="xl119">
    <w:name w:val="xl119"/>
    <w:basedOn w:val="Normln"/>
    <w:rsid w:val="007358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b/>
      <w:bCs/>
      <w:sz w:val="16"/>
      <w:szCs w:val="16"/>
    </w:rPr>
  </w:style>
  <w:style w:type="paragraph" w:customStyle="1" w:styleId="xl120">
    <w:name w:val="xl120"/>
    <w:basedOn w:val="Normln"/>
    <w:rsid w:val="0073581E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121">
    <w:name w:val="xl121"/>
    <w:basedOn w:val="Normln"/>
    <w:rsid w:val="007358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tabtext">
    <w:name w:val="tab_text"/>
    <w:basedOn w:val="obycA10"/>
    <w:autoRedefine/>
    <w:rsid w:val="0073581E"/>
    <w:pPr>
      <w:ind w:left="62"/>
    </w:pPr>
    <w:rPr>
      <w:bCs/>
      <w:sz w:val="16"/>
      <w:szCs w:val="16"/>
    </w:rPr>
  </w:style>
  <w:style w:type="paragraph" w:customStyle="1" w:styleId="nadtab">
    <w:name w:val="nad_tab"/>
    <w:basedOn w:val="Normln"/>
    <w:rsid w:val="0073581E"/>
    <w:pPr>
      <w:jc w:val="left"/>
    </w:pPr>
    <w:rPr>
      <w:rFonts w:cs="Arial"/>
      <w:b/>
      <w:bCs/>
    </w:rPr>
  </w:style>
  <w:style w:type="paragraph" w:customStyle="1" w:styleId="font6">
    <w:name w:val="font6"/>
    <w:basedOn w:val="Normln"/>
    <w:rsid w:val="0073581E"/>
    <w:pPr>
      <w:spacing w:before="100" w:beforeAutospacing="1" w:after="100" w:afterAutospacing="1"/>
      <w:jc w:val="left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Normln"/>
    <w:rsid w:val="0073581E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sz w:val="16"/>
      <w:szCs w:val="16"/>
    </w:rPr>
  </w:style>
  <w:style w:type="paragraph" w:customStyle="1" w:styleId="xl123">
    <w:name w:val="xl123"/>
    <w:basedOn w:val="Normln"/>
    <w:rsid w:val="007358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b/>
      <w:bCs/>
      <w:sz w:val="16"/>
      <w:szCs w:val="16"/>
    </w:rPr>
  </w:style>
  <w:style w:type="paragraph" w:customStyle="1" w:styleId="xl124">
    <w:name w:val="xl124"/>
    <w:basedOn w:val="Normln"/>
    <w:rsid w:val="007358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b/>
      <w:bCs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FA6454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.europa.eu/eurostat/en/web/products-manuals-and-guidelines/-/KS-RA-13-02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A2516-3531-4697-BD58-A7908882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3860</Words>
  <Characters>22777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ČSÚ</Company>
  <LinksUpToDate>false</LinksUpToDate>
  <CharactersWithSpaces>26584</CharactersWithSpaces>
  <SharedDoc>false</SharedDoc>
  <HLinks>
    <vt:vector size="6" baseType="variant">
      <vt:variant>
        <vt:i4>2687078</vt:i4>
      </vt:variant>
      <vt:variant>
        <vt:i4>45</vt:i4>
      </vt:variant>
      <vt:variant>
        <vt:i4>0</vt:i4>
      </vt:variant>
      <vt:variant>
        <vt:i4>5</vt:i4>
      </vt:variant>
      <vt:variant>
        <vt:lpwstr>http://ec.europa.eu/eurostat/en/web/products-manuals-and-guidelines/-/KS-RA-13-028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ČSÚ</dc:creator>
  <cp:lastModifiedBy>MN</cp:lastModifiedBy>
  <cp:revision>4</cp:revision>
  <cp:lastPrinted>2015-09-15T12:34:00Z</cp:lastPrinted>
  <dcterms:created xsi:type="dcterms:W3CDTF">2015-09-15T12:49:00Z</dcterms:created>
  <dcterms:modified xsi:type="dcterms:W3CDTF">2015-09-16T08:06:00Z</dcterms:modified>
</cp:coreProperties>
</file>