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57" w:rsidRDefault="003822BA" w:rsidP="005636D4">
      <w:pPr>
        <w:pStyle w:val="Nadpis3"/>
        <w:spacing w:after="240"/>
        <w:rPr>
          <w:sz w:val="32"/>
          <w:szCs w:val="28"/>
        </w:rPr>
      </w:pPr>
      <w:r>
        <w:rPr>
          <w:sz w:val="32"/>
          <w:szCs w:val="28"/>
        </w:rPr>
        <w:t>GBA</w:t>
      </w:r>
      <w:r w:rsidR="003F4AB4">
        <w:rPr>
          <w:sz w:val="32"/>
          <w:szCs w:val="28"/>
        </w:rPr>
        <w:t>RD</w:t>
      </w:r>
      <w:r w:rsidR="003F4AB4" w:rsidRPr="003F4AB4">
        <w:rPr>
          <w:sz w:val="32"/>
          <w:szCs w:val="28"/>
        </w:rPr>
        <w:t xml:space="preserve"> – mezinárodní srovnání</w:t>
      </w:r>
    </w:p>
    <w:p w:rsidR="00526629" w:rsidRDefault="003F4AB4" w:rsidP="00D358E2">
      <w:pPr>
        <w:spacing w:before="120" w:after="120"/>
        <w:jc w:val="both"/>
      </w:pPr>
      <w:r w:rsidRPr="00EC6F5C">
        <w:rPr>
          <w:b/>
        </w:rPr>
        <w:t>V mezinárodním srovnání je podíl státní</w:t>
      </w:r>
      <w:r w:rsidR="0009534E">
        <w:rPr>
          <w:b/>
        </w:rPr>
        <w:t xml:space="preserve">ch rozpočtových výdajů </w:t>
      </w:r>
      <w:r w:rsidRPr="00EC6F5C">
        <w:rPr>
          <w:b/>
        </w:rPr>
        <w:t xml:space="preserve">na výzkum a vývoj České republiky ve vztahu k HDP </w:t>
      </w:r>
      <w:r w:rsidR="00201BD7">
        <w:rPr>
          <w:b/>
        </w:rPr>
        <w:t>mírně pod</w:t>
      </w:r>
      <w:r w:rsidRPr="00EC6F5C">
        <w:rPr>
          <w:b/>
        </w:rPr>
        <w:t xml:space="preserve"> průměr</w:t>
      </w:r>
      <w:r w:rsidR="0044354E">
        <w:rPr>
          <w:b/>
        </w:rPr>
        <w:t>em</w:t>
      </w:r>
      <w:r w:rsidRPr="00EC6F5C">
        <w:rPr>
          <w:b/>
        </w:rPr>
        <w:t xml:space="preserve"> EU28.</w:t>
      </w:r>
    </w:p>
    <w:p w:rsidR="00526629" w:rsidRDefault="002932A3" w:rsidP="00D358E2">
      <w:pPr>
        <w:spacing w:before="120" w:after="120"/>
        <w:jc w:val="both"/>
      </w:pPr>
      <w:r>
        <w:t>V ČR v roce 2014 dosáhl podíl 0,64 </w:t>
      </w:r>
      <w:r w:rsidR="003F4AB4" w:rsidRPr="003F4AB4">
        <w:t>%, z</w:t>
      </w:r>
      <w:r>
        <w:t>atímco průměr za EU28 činil 0,67 %</w:t>
      </w:r>
      <w:r w:rsidR="006D3963">
        <w:rPr>
          <w:rStyle w:val="Znakapoznpodarou"/>
        </w:rPr>
        <w:footnoteReference w:id="1"/>
      </w:r>
      <w:r>
        <w:t>.</w:t>
      </w:r>
      <w:r w:rsidR="003F4AB4" w:rsidRPr="003F4AB4">
        <w:t xml:space="preserve"> Nejvyšší podíl státních rozpočtových výdajů </w:t>
      </w:r>
      <w:r w:rsidR="00526629">
        <w:t>na VaV</w:t>
      </w:r>
      <w:r w:rsidR="003F4AB4" w:rsidRPr="003F4AB4">
        <w:t xml:space="preserve"> </w:t>
      </w:r>
      <w:r w:rsidR="00526629">
        <w:t>v poměru k HDP více jak 1 % mělo</w:t>
      </w:r>
      <w:r w:rsidR="003F4AB4" w:rsidRPr="003F4AB4">
        <w:t xml:space="preserve"> ze zemí EU </w:t>
      </w:r>
      <w:r w:rsidR="00526629">
        <w:t xml:space="preserve">pouze </w:t>
      </w:r>
      <w:r w:rsidR="003F4AB4" w:rsidRPr="003F4AB4">
        <w:t xml:space="preserve">Dánsko (1,02 %). </w:t>
      </w:r>
    </w:p>
    <w:p w:rsidR="00526629" w:rsidRDefault="003F4AB4" w:rsidP="00D358E2">
      <w:pPr>
        <w:spacing w:before="120" w:after="120"/>
        <w:jc w:val="both"/>
      </w:pPr>
      <w:r w:rsidRPr="003F4AB4">
        <w:t>Výdaje Japonska ve vztahu k HDP již něk</w:t>
      </w:r>
      <w:r w:rsidR="002932A3">
        <w:t>olik let stagnují na úrovni 0,75</w:t>
      </w:r>
      <w:r w:rsidR="00526629">
        <w:t> </w:t>
      </w:r>
      <w:r w:rsidRPr="003F4AB4">
        <w:t>%. Ve Spo</w:t>
      </w:r>
      <w:r w:rsidR="002932A3">
        <w:t>jených státech podíl dosáhl 0,78 </w:t>
      </w:r>
      <w:r w:rsidRPr="003F4AB4">
        <w:t>%, přičemž v posledních letech kle</w:t>
      </w:r>
      <w:r w:rsidR="002932A3">
        <w:t>sá (viz srovnání let 2005 a 2014).</w:t>
      </w:r>
      <w:r w:rsidRPr="003F4AB4">
        <w:t xml:space="preserve"> Sestupný trend byl </w:t>
      </w:r>
      <w:r w:rsidR="006D41B2">
        <w:t>zaznamenán</w:t>
      </w:r>
      <w:r w:rsidRPr="003F4AB4">
        <w:t xml:space="preserve"> také u </w:t>
      </w:r>
      <w:r w:rsidR="002932A3">
        <w:t xml:space="preserve">Francie. </w:t>
      </w:r>
    </w:p>
    <w:p w:rsidR="00526629" w:rsidRDefault="002932A3" w:rsidP="00D358E2">
      <w:pPr>
        <w:spacing w:before="120" w:after="120"/>
        <w:jc w:val="both"/>
      </w:pPr>
      <w:r>
        <w:t>Jižní Korea s podílem 0,98</w:t>
      </w:r>
      <w:r w:rsidR="003F4AB4" w:rsidRPr="003F4AB4">
        <w:t xml:space="preserve"> % v roce 2011 byla na úrovni </w:t>
      </w:r>
      <w:r w:rsidR="00526629">
        <w:t>Finska</w:t>
      </w:r>
      <w:r w:rsidR="003F4AB4" w:rsidRPr="003F4AB4">
        <w:t>. Na opačném konci s nejnižším podílem veřejné podpory výzku</w:t>
      </w:r>
      <w:r>
        <w:t>mu a vývoje stojí Lotyšsko (0,16</w:t>
      </w:r>
      <w:r w:rsidR="003F4AB4" w:rsidRPr="003F4AB4">
        <w:t xml:space="preserve"> %), Rumunsko (0,21 %) a </w:t>
      </w:r>
      <w:r>
        <w:t xml:space="preserve">Malta (0,25 %). </w:t>
      </w:r>
    </w:p>
    <w:p w:rsidR="00526629" w:rsidRDefault="002932A3" w:rsidP="00D358E2">
      <w:pPr>
        <w:spacing w:before="120" w:after="120"/>
        <w:jc w:val="both"/>
      </w:pPr>
      <w:r>
        <w:t>Rusko (0,51</w:t>
      </w:r>
      <w:r w:rsidR="003F4AB4" w:rsidRPr="003F4AB4">
        <w:t xml:space="preserve"> %) s klesajícím podílem se spíše vzdaluje průměru EU</w:t>
      </w:r>
      <w:r w:rsidR="00570DC1">
        <w:t>-</w:t>
      </w:r>
      <w:r w:rsidR="003F4AB4" w:rsidRPr="003F4AB4">
        <w:t xml:space="preserve">28. </w:t>
      </w:r>
    </w:p>
    <w:p w:rsidR="003F4AB4" w:rsidRDefault="003F4AB4" w:rsidP="00D358E2">
      <w:pPr>
        <w:spacing w:before="120" w:after="120"/>
        <w:jc w:val="both"/>
      </w:pPr>
      <w:r w:rsidRPr="003F4AB4">
        <w:t>Z nových členských zemí EU</w:t>
      </w:r>
      <w:r w:rsidR="00570DC1">
        <w:t>-</w:t>
      </w:r>
      <w:r w:rsidRPr="003F4AB4">
        <w:t xml:space="preserve">28, které vstoupily do EU po roce 2000, je na tom </w:t>
      </w:r>
      <w:r w:rsidR="002932A3">
        <w:t>lépe než ČR pouze Estonsko (0,76 %)</w:t>
      </w:r>
      <w:r w:rsidRPr="003F4AB4">
        <w:t xml:space="preserve">. </w:t>
      </w:r>
    </w:p>
    <w:p w:rsidR="0085659D" w:rsidRDefault="00A0646D" w:rsidP="003F4AB4">
      <w:pPr>
        <w:jc w:val="both"/>
        <w:rPr>
          <w:b/>
        </w:rPr>
      </w:pPr>
      <w:r>
        <w:rPr>
          <w:b/>
        </w:rPr>
        <w:t>GRAF 4-1: GBA</w:t>
      </w:r>
      <w:r w:rsidR="003F4AB4" w:rsidRPr="003F4AB4">
        <w:rPr>
          <w:b/>
        </w:rPr>
        <w:t xml:space="preserve">RD jako podíl na HDP </w:t>
      </w:r>
      <w:r w:rsidR="003F4AB4">
        <w:rPr>
          <w:b/>
        </w:rPr>
        <w:t>ve vybraných zemích; 2005 a 2014</w:t>
      </w:r>
    </w:p>
    <w:p w:rsidR="00FA46D4" w:rsidRDefault="00CB7789" w:rsidP="003F4AB4">
      <w:pPr>
        <w:jc w:val="both"/>
        <w:rPr>
          <w:b/>
        </w:rPr>
      </w:pPr>
      <w:r w:rsidRPr="00CB7789">
        <w:rPr>
          <w:b/>
          <w:noProof/>
        </w:rPr>
        <w:drawing>
          <wp:inline distT="0" distB="0" distL="0" distR="0" wp14:anchorId="75D67BFD" wp14:editId="405F98D0">
            <wp:extent cx="5972810" cy="2563495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C5CBD" w:rsidRPr="009C5CBD" w:rsidRDefault="00164613" w:rsidP="009C5CBD">
      <w:pPr>
        <w:jc w:val="right"/>
        <w:rPr>
          <w:rFonts w:cs="Arial"/>
          <w:i/>
          <w:sz w:val="18"/>
        </w:rPr>
      </w:pPr>
      <w:r>
        <w:rPr>
          <w:rFonts w:cs="Arial"/>
          <w:i/>
          <w:sz w:val="18"/>
        </w:rPr>
        <w:t xml:space="preserve">Zdroj: </w:t>
      </w:r>
      <w:proofErr w:type="spellStart"/>
      <w:r>
        <w:rPr>
          <w:rFonts w:cs="Arial"/>
          <w:i/>
          <w:sz w:val="18"/>
        </w:rPr>
        <w:t>Eurostat</w:t>
      </w:r>
      <w:proofErr w:type="spellEnd"/>
      <w:r>
        <w:rPr>
          <w:rFonts w:cs="Arial"/>
          <w:i/>
          <w:sz w:val="18"/>
        </w:rPr>
        <w:t xml:space="preserve"> 2015</w:t>
      </w:r>
      <w:r w:rsidR="009C5CBD" w:rsidRPr="009C5CBD">
        <w:rPr>
          <w:rFonts w:cs="Arial"/>
          <w:i/>
          <w:sz w:val="18"/>
        </w:rPr>
        <w:t>, dopočty ČSÚ</w:t>
      </w:r>
    </w:p>
    <w:p w:rsidR="009C5CBD" w:rsidRDefault="009C5CBD" w:rsidP="003F4AB4">
      <w:pPr>
        <w:jc w:val="both"/>
        <w:rPr>
          <w:b/>
        </w:rPr>
      </w:pPr>
    </w:p>
    <w:p w:rsidR="00526629" w:rsidRDefault="00A0646D" w:rsidP="00D358E2">
      <w:pPr>
        <w:spacing w:before="120" w:after="120"/>
        <w:jc w:val="both"/>
      </w:pPr>
      <w:r>
        <w:rPr>
          <w:b/>
        </w:rPr>
        <w:t>Výší podílu GBA</w:t>
      </w:r>
      <w:r w:rsidR="00FA46D4" w:rsidRPr="00FA46D4">
        <w:rPr>
          <w:b/>
        </w:rPr>
        <w:t>RD na ce</w:t>
      </w:r>
      <w:r>
        <w:rPr>
          <w:b/>
        </w:rPr>
        <w:t>lkových veřejných výdajích (1,48 %) byla ČR v roce 2014 nad průměrem zemí EU</w:t>
      </w:r>
      <w:r w:rsidR="00570DC1">
        <w:rPr>
          <w:b/>
        </w:rPr>
        <w:t>-</w:t>
      </w:r>
      <w:r>
        <w:rPr>
          <w:b/>
        </w:rPr>
        <w:t>28 (1,38</w:t>
      </w:r>
      <w:r w:rsidR="00FA46D4" w:rsidRPr="00FA46D4">
        <w:rPr>
          <w:b/>
        </w:rPr>
        <w:t xml:space="preserve"> %).</w:t>
      </w:r>
      <w:r w:rsidR="00FA46D4">
        <w:t xml:space="preserve"> </w:t>
      </w:r>
    </w:p>
    <w:p w:rsidR="00526629" w:rsidRDefault="00FA46D4" w:rsidP="00D358E2">
      <w:pPr>
        <w:spacing w:before="120" w:after="120"/>
        <w:jc w:val="both"/>
      </w:pPr>
      <w:r>
        <w:t xml:space="preserve">Z evropských zemí dosáhlo nejvyššího podílu </w:t>
      </w:r>
      <w:r w:rsidR="00A0646D">
        <w:t>Německo (2,01</w:t>
      </w:r>
      <w:r>
        <w:t xml:space="preserve"> %)</w:t>
      </w:r>
      <w:r w:rsidR="00A0646D">
        <w:t xml:space="preserve"> a Estonsko (1,96 %)</w:t>
      </w:r>
      <w:r>
        <w:t>.</w:t>
      </w:r>
    </w:p>
    <w:p w:rsidR="00526629" w:rsidRDefault="00FA46D4" w:rsidP="00D358E2">
      <w:pPr>
        <w:spacing w:before="120" w:after="120"/>
        <w:jc w:val="both"/>
      </w:pPr>
      <w:r>
        <w:t>Z neevropských zemí dosáhla vysok</w:t>
      </w:r>
      <w:r w:rsidR="00A0646D">
        <w:t>ého podílu také Jižní Korea (3</w:t>
      </w:r>
      <w:r>
        <w:t xml:space="preserve"> %). Ta zastínila všechny členské země EU, přičemž její podíl byl ve srovnání s průměrem EU28 téměř dvojnásobný. </w:t>
      </w:r>
    </w:p>
    <w:p w:rsidR="00526629" w:rsidRDefault="00FA46D4" w:rsidP="00D358E2">
      <w:pPr>
        <w:spacing w:before="120" w:after="120"/>
        <w:jc w:val="both"/>
      </w:pPr>
      <w:r>
        <w:t>Spojené státy za</w:t>
      </w:r>
      <w:r w:rsidR="00A0646D">
        <w:t>znamenaly v roce 2013 podíl 2,04</w:t>
      </w:r>
      <w:r>
        <w:t xml:space="preserve"> % s klesající tendencí v posledních letec</w:t>
      </w:r>
      <w:r w:rsidR="00A0646D">
        <w:t>h. Japonsko vykázalo v roce 2012 rovněž vyšší podíl GBA</w:t>
      </w:r>
      <w:r>
        <w:t>RD na celkový</w:t>
      </w:r>
      <w:r w:rsidR="00A0646D">
        <w:t>ch veřejných výdajích (1,77</w:t>
      </w:r>
      <w:r w:rsidR="00570DC1">
        <w:t xml:space="preserve"> %) než byl průměr </w:t>
      </w:r>
      <w:r>
        <w:t>EU</w:t>
      </w:r>
      <w:r w:rsidR="00570DC1">
        <w:t>-</w:t>
      </w:r>
      <w:r>
        <w:t xml:space="preserve">28. </w:t>
      </w:r>
    </w:p>
    <w:p w:rsidR="00FA46D4" w:rsidRDefault="00FA46D4" w:rsidP="00D358E2">
      <w:pPr>
        <w:spacing w:before="120" w:after="120"/>
        <w:jc w:val="both"/>
      </w:pPr>
      <w:r>
        <w:t>Naopak nejnižší podíl ze zemí EU</w:t>
      </w:r>
      <w:r w:rsidR="00570DC1">
        <w:t>-</w:t>
      </w:r>
      <w:r>
        <w:t xml:space="preserve">28 byl </w:t>
      </w:r>
      <w:r w:rsidR="00A0646D">
        <w:t>zjištěn v případě Lotyšska (0,43 %), Malty (0,55 %) a Rumunska (0,61</w:t>
      </w:r>
      <w:r>
        <w:t xml:space="preserve"> %).  </w:t>
      </w:r>
    </w:p>
    <w:p w:rsidR="00A616F2" w:rsidRDefault="00A616F2" w:rsidP="00D358E2">
      <w:pPr>
        <w:spacing w:before="120" w:after="120"/>
        <w:jc w:val="both"/>
      </w:pPr>
      <w:r>
        <w:t>Blíže viz graf č. 4-2 na následující straně.</w:t>
      </w:r>
    </w:p>
    <w:p w:rsidR="00FA46D4" w:rsidRDefault="00A0646D" w:rsidP="00FA46D4">
      <w:pPr>
        <w:jc w:val="both"/>
        <w:rPr>
          <w:b/>
        </w:rPr>
      </w:pPr>
      <w:r>
        <w:rPr>
          <w:b/>
        </w:rPr>
        <w:lastRenderedPageBreak/>
        <w:t>GRAF 4-2: GBA</w:t>
      </w:r>
      <w:r w:rsidR="00FA46D4" w:rsidRPr="00FA46D4">
        <w:rPr>
          <w:b/>
        </w:rPr>
        <w:t>RD jako podíl na celkových veřejných výdajích ve vybran</w:t>
      </w:r>
      <w:r w:rsidR="00FA46D4">
        <w:rPr>
          <w:b/>
        </w:rPr>
        <w:t>ých zemích; 2005 a 2014</w:t>
      </w:r>
    </w:p>
    <w:p w:rsidR="00A176E3" w:rsidRDefault="009777CB" w:rsidP="00FA46D4">
      <w:pPr>
        <w:jc w:val="both"/>
      </w:pPr>
      <w:r w:rsidRPr="009777CB">
        <w:rPr>
          <w:noProof/>
        </w:rPr>
        <w:drawing>
          <wp:inline distT="0" distB="0" distL="0" distR="0" wp14:anchorId="27E4C6F4" wp14:editId="0EB140E1">
            <wp:extent cx="5972810" cy="2494280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C5CBD" w:rsidRPr="009C5CBD" w:rsidRDefault="00164613" w:rsidP="009C5CBD">
      <w:pPr>
        <w:jc w:val="right"/>
        <w:rPr>
          <w:rFonts w:cs="Arial"/>
          <w:i/>
          <w:sz w:val="18"/>
        </w:rPr>
      </w:pPr>
      <w:r>
        <w:rPr>
          <w:rFonts w:cs="Arial"/>
          <w:i/>
          <w:sz w:val="18"/>
        </w:rPr>
        <w:t xml:space="preserve">Zdroj: </w:t>
      </w:r>
      <w:proofErr w:type="spellStart"/>
      <w:r>
        <w:rPr>
          <w:rFonts w:cs="Arial"/>
          <w:i/>
          <w:sz w:val="18"/>
        </w:rPr>
        <w:t>Eurostat</w:t>
      </w:r>
      <w:proofErr w:type="spellEnd"/>
      <w:r>
        <w:rPr>
          <w:rFonts w:cs="Arial"/>
          <w:i/>
          <w:sz w:val="18"/>
        </w:rPr>
        <w:t xml:space="preserve"> 2015</w:t>
      </w:r>
      <w:r w:rsidR="009C5CBD" w:rsidRPr="009C5CBD">
        <w:rPr>
          <w:rFonts w:cs="Arial"/>
          <w:i/>
          <w:sz w:val="18"/>
        </w:rPr>
        <w:t>, dopočty ČSÚ</w:t>
      </w:r>
    </w:p>
    <w:p w:rsidR="009C5CBD" w:rsidRDefault="009C5CBD" w:rsidP="00FA46D4">
      <w:pPr>
        <w:jc w:val="both"/>
      </w:pPr>
    </w:p>
    <w:p w:rsidR="00526629" w:rsidRDefault="00B51E84" w:rsidP="00D358E2">
      <w:pPr>
        <w:spacing w:before="120" w:after="120"/>
        <w:jc w:val="both"/>
      </w:pPr>
      <w:r w:rsidRPr="00526629">
        <w:rPr>
          <w:b/>
        </w:rPr>
        <w:t>V roce 2014 dosáhly předběžné celkové GBA</w:t>
      </w:r>
      <w:r w:rsidR="00A176E3" w:rsidRPr="00526629">
        <w:rPr>
          <w:b/>
        </w:rPr>
        <w:t>RD v souhrnu za vše</w:t>
      </w:r>
      <w:r w:rsidRPr="00526629">
        <w:rPr>
          <w:b/>
        </w:rPr>
        <w:t>chny členské země EU</w:t>
      </w:r>
      <w:r w:rsidR="00570DC1">
        <w:rPr>
          <w:b/>
        </w:rPr>
        <w:t>-</w:t>
      </w:r>
      <w:r w:rsidRPr="00526629">
        <w:rPr>
          <w:b/>
        </w:rPr>
        <w:t>28 částky 92 828 </w:t>
      </w:r>
      <w:r w:rsidR="00A176E3" w:rsidRPr="00526629">
        <w:rPr>
          <w:b/>
        </w:rPr>
        <w:t>mil. EUR.</w:t>
      </w:r>
      <w:r w:rsidR="00A176E3">
        <w:t xml:space="preserve"> </w:t>
      </w:r>
    </w:p>
    <w:p w:rsidR="00A176E3" w:rsidRDefault="00A176E3" w:rsidP="00D358E2">
      <w:pPr>
        <w:spacing w:before="120" w:after="120"/>
        <w:jc w:val="both"/>
      </w:pPr>
      <w:r>
        <w:t>Spojené státy vydaly na veřejnou podporu v</w:t>
      </w:r>
      <w:r w:rsidR="00B51E84">
        <w:t>ýzkumu a vývoje v témže roce 102 119 </w:t>
      </w:r>
      <w:r>
        <w:t>m</w:t>
      </w:r>
      <w:r w:rsidR="00B51E84">
        <w:t>il. EUR. V Japonsku dosáhly GBA</w:t>
      </w:r>
      <w:r>
        <w:t>RD výš</w:t>
      </w:r>
      <w:r w:rsidR="00B51E84">
        <w:t>e 26 023</w:t>
      </w:r>
      <w:r>
        <w:t xml:space="preserve"> mil. EUR, nicméně </w:t>
      </w:r>
      <w:r w:rsidR="00B51E84">
        <w:t>ve srovnání let 2012 a 2013</w:t>
      </w:r>
      <w:r>
        <w:t xml:space="preserve"> </w:t>
      </w:r>
      <w:r w:rsidR="00B51E84">
        <w:t>po</w:t>
      </w:r>
      <w:r>
        <w:t>klesly o výrazných 22,7 % na úroveň roku 2009.</w:t>
      </w:r>
    </w:p>
    <w:p w:rsidR="00B7686B" w:rsidRDefault="00A176E3" w:rsidP="00D358E2">
      <w:pPr>
        <w:spacing w:before="120" w:after="120"/>
        <w:jc w:val="both"/>
      </w:pPr>
      <w:r w:rsidRPr="00DD095F">
        <w:t>Sledujeme-li na příspěvky jednotlivýc</w:t>
      </w:r>
      <w:r w:rsidR="00B51E84" w:rsidRPr="00DD095F">
        <w:t>h členských zemí k celkovým GBA</w:t>
      </w:r>
      <w:r w:rsidRPr="00DD095F">
        <w:t>RD EU</w:t>
      </w:r>
      <w:r w:rsidR="00570DC1">
        <w:t>-</w:t>
      </w:r>
      <w:r w:rsidRPr="00DD095F">
        <w:t>28, vidíme na prvním místě Německo, které přispělo podílem 27,7 %. Následují další velké ekonom</w:t>
      </w:r>
      <w:r w:rsidR="002F6A07" w:rsidRPr="00DD095F">
        <w:t>iky jako Francie (s podílem 16 %), Spojené království (s 13,6 %) a Itálie (s 8,8</w:t>
      </w:r>
      <w:r w:rsidRPr="00DD095F">
        <w:t xml:space="preserve"> %). Německo, Francie a Spojené království dosáhly souhrnn</w:t>
      </w:r>
      <w:r w:rsidR="002F6A07" w:rsidRPr="00DD095F">
        <w:t>ého podílu 57,2</w:t>
      </w:r>
      <w:r w:rsidR="00FA7A2A" w:rsidRPr="00DD095F">
        <w:t xml:space="preserve"> % celkových GBA</w:t>
      </w:r>
      <w:r w:rsidRPr="00DD095F">
        <w:t>RD EU</w:t>
      </w:r>
      <w:r w:rsidR="00B66D41">
        <w:t>-</w:t>
      </w:r>
      <w:r w:rsidRPr="00DD095F">
        <w:t>28. Nejméně přispěly nové členské země. Situace je ovlivněna velikostí reálné ekonom</w:t>
      </w:r>
      <w:r w:rsidR="002F6A07" w:rsidRPr="00DD095F">
        <w:t xml:space="preserve">iky daného státu. </w:t>
      </w:r>
    </w:p>
    <w:p w:rsidR="00A176E3" w:rsidRPr="00DD095F" w:rsidRDefault="002F6A07" w:rsidP="00D358E2">
      <w:pPr>
        <w:spacing w:before="120" w:after="120"/>
        <w:jc w:val="both"/>
      </w:pPr>
      <w:r w:rsidRPr="00DD095F">
        <w:t>ČR v roce 2014 přispěla k celkových GBA</w:t>
      </w:r>
      <w:r w:rsidR="00A176E3" w:rsidRPr="00DD095F">
        <w:t>RD EU</w:t>
      </w:r>
      <w:r w:rsidR="00B66D41">
        <w:t>-</w:t>
      </w:r>
      <w:r w:rsidR="00A176E3" w:rsidRPr="00DD095F">
        <w:t xml:space="preserve">28 podílem 1,1 %, což je </w:t>
      </w:r>
      <w:r w:rsidRPr="00DD095F">
        <w:t xml:space="preserve">hned po Polsku (1,3 %) </w:t>
      </w:r>
      <w:r w:rsidR="00A176E3" w:rsidRPr="00DD095F">
        <w:t>nejvíce z nových členských zemí. Vůbec nejmenší</w:t>
      </w:r>
      <w:r w:rsidRPr="00DD095F">
        <w:t xml:space="preserve"> příspěvek poskytla Malta (0,02 </w:t>
      </w:r>
      <w:r w:rsidR="00A176E3" w:rsidRPr="00DD095F">
        <w:t xml:space="preserve">%) a Lotyško (0,04 %). </w:t>
      </w:r>
    </w:p>
    <w:p w:rsidR="00A176E3" w:rsidRDefault="00A176E3" w:rsidP="00A176E3">
      <w:pPr>
        <w:jc w:val="both"/>
      </w:pPr>
    </w:p>
    <w:p w:rsidR="00A176E3" w:rsidRDefault="00B7686B" w:rsidP="00A176E3">
      <w:pPr>
        <w:jc w:val="both"/>
        <w:rPr>
          <w:b/>
        </w:rPr>
      </w:pPr>
      <w:r>
        <w:rPr>
          <w:b/>
        </w:rPr>
        <w:t>GRAF 4-3: Podíl GBA</w:t>
      </w:r>
      <w:r w:rsidR="00A176E3" w:rsidRPr="00A176E3">
        <w:rPr>
          <w:b/>
        </w:rPr>
        <w:t xml:space="preserve">RD </w:t>
      </w:r>
      <w:r w:rsidR="00DD095F">
        <w:rPr>
          <w:b/>
        </w:rPr>
        <w:t>jednotlivých členských zemí EU28</w:t>
      </w:r>
      <w:r w:rsidR="00A176E3" w:rsidRPr="00A176E3">
        <w:rPr>
          <w:b/>
        </w:rPr>
        <w:t xml:space="preserve"> na celkových GBA</w:t>
      </w:r>
      <w:r w:rsidR="00DD095F">
        <w:rPr>
          <w:b/>
        </w:rPr>
        <w:t>RD EU28</w:t>
      </w:r>
      <w:r w:rsidR="00A176E3">
        <w:rPr>
          <w:b/>
        </w:rPr>
        <w:t xml:space="preserve"> v roce 2014</w:t>
      </w:r>
    </w:p>
    <w:p w:rsidR="00A176E3" w:rsidRDefault="00FE7FDD" w:rsidP="00A176E3">
      <w:pPr>
        <w:jc w:val="both"/>
        <w:rPr>
          <w:b/>
        </w:rPr>
      </w:pPr>
      <w:r w:rsidRPr="00FE7FDD">
        <w:rPr>
          <w:b/>
          <w:noProof/>
        </w:rPr>
        <w:drawing>
          <wp:inline distT="0" distB="0" distL="0" distR="0">
            <wp:extent cx="5972810" cy="2512060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5CBD" w:rsidRPr="009C5CBD" w:rsidRDefault="00164613" w:rsidP="009C5CBD">
      <w:pPr>
        <w:jc w:val="right"/>
        <w:rPr>
          <w:rFonts w:cs="Arial"/>
          <w:i/>
          <w:sz w:val="18"/>
        </w:rPr>
      </w:pPr>
      <w:r>
        <w:rPr>
          <w:rFonts w:cs="Arial"/>
          <w:i/>
          <w:sz w:val="18"/>
        </w:rPr>
        <w:t xml:space="preserve">Zdroj: </w:t>
      </w:r>
      <w:proofErr w:type="spellStart"/>
      <w:r>
        <w:rPr>
          <w:rFonts w:cs="Arial"/>
          <w:i/>
          <w:sz w:val="18"/>
        </w:rPr>
        <w:t>Eurostat</w:t>
      </w:r>
      <w:proofErr w:type="spellEnd"/>
      <w:r>
        <w:rPr>
          <w:rFonts w:cs="Arial"/>
          <w:i/>
          <w:sz w:val="18"/>
        </w:rPr>
        <w:t xml:space="preserve"> 2015</w:t>
      </w:r>
      <w:r w:rsidR="009C5CBD" w:rsidRPr="009C5CBD">
        <w:rPr>
          <w:rFonts w:cs="Arial"/>
          <w:i/>
          <w:sz w:val="18"/>
        </w:rPr>
        <w:t>, dopočty ČSÚ</w:t>
      </w:r>
    </w:p>
    <w:p w:rsidR="009C5CBD" w:rsidRDefault="009C5CBD" w:rsidP="00A176E3">
      <w:pPr>
        <w:jc w:val="both"/>
        <w:rPr>
          <w:b/>
        </w:rPr>
      </w:pPr>
    </w:p>
    <w:p w:rsidR="008E055A" w:rsidRPr="008E055A" w:rsidRDefault="00A176E3" w:rsidP="00D358E2">
      <w:pPr>
        <w:spacing w:before="120" w:after="120"/>
        <w:jc w:val="both"/>
      </w:pPr>
      <w:r>
        <w:lastRenderedPageBreak/>
        <w:t>Srov</w:t>
      </w:r>
      <w:r w:rsidR="008E055A">
        <w:t>náme-li podílovou strukturu GBA</w:t>
      </w:r>
      <w:r>
        <w:t>RD podle jednotlivých socioekonomických cílů NABS 2007,</w:t>
      </w:r>
      <w:r w:rsidR="008E055A">
        <w:t xml:space="preserve"> pak nejvíce veřejné podpory (31,9 % z GBARD) v ČR směřovalo v roce 2014</w:t>
      </w:r>
      <w:r>
        <w:t xml:space="preserve"> do všeobecného rozvoje znalostí, konkrétně do položky VaV financovaného z ostatních zdrojů než jsou všeobecné univerzitní fondy. </w:t>
      </w:r>
      <w:r w:rsidRPr="008E055A">
        <w:t>V průměru EU</w:t>
      </w:r>
      <w:r w:rsidR="00293677">
        <w:t>-</w:t>
      </w:r>
      <w:r w:rsidRPr="008E055A">
        <w:t>28 nejvíce veřejné podpory směřovalo do výzkumu, který je klasifikovaný pod socioekonomickým cílem všeobecný rozvoj znalostí pod položkou v</w:t>
      </w:r>
      <w:r w:rsidR="008E055A" w:rsidRPr="008E055A">
        <w:t>šeobecné univerzitní fondy (34,4 % z celkových GBA</w:t>
      </w:r>
      <w:r w:rsidRPr="008E055A">
        <w:t>RD EU</w:t>
      </w:r>
      <w:r w:rsidR="00293677">
        <w:t>-</w:t>
      </w:r>
      <w:r w:rsidRPr="008E055A">
        <w:t xml:space="preserve">28). Mezi ČR a průměrem EU je výraznější rozdíl i v dalších socioekonomických </w:t>
      </w:r>
      <w:r w:rsidR="008E055A" w:rsidRPr="008E055A">
        <w:t>cílech. Pokud ČR v roce 2014</w:t>
      </w:r>
      <w:r w:rsidRPr="008E055A">
        <w:t xml:space="preserve"> podpořila VaV v oblasti průmyslové výroby a technologií čás</w:t>
      </w:r>
      <w:r w:rsidR="008E055A" w:rsidRPr="008E055A">
        <w:t>tkou korespondující s podílem 12,9 % z GBA</w:t>
      </w:r>
      <w:r w:rsidRPr="008E055A">
        <w:t>RD, tak v</w:t>
      </w:r>
      <w:r w:rsidR="00293677">
        <w:t> </w:t>
      </w:r>
      <w:r w:rsidRPr="008E055A">
        <w:t>EU</w:t>
      </w:r>
      <w:r w:rsidR="00293677">
        <w:t>-</w:t>
      </w:r>
      <w:r w:rsidRPr="008E055A">
        <w:t>28 to bylo pouze</w:t>
      </w:r>
      <w:r w:rsidR="008E055A" w:rsidRPr="008E055A">
        <w:t xml:space="preserve"> 9,1</w:t>
      </w:r>
      <w:r w:rsidRPr="008E055A">
        <w:t xml:space="preserve"> %. Naopak větší podpoře se v průměru EU</w:t>
      </w:r>
      <w:r w:rsidR="00293677">
        <w:t>-</w:t>
      </w:r>
      <w:r w:rsidRPr="008E055A">
        <w:t xml:space="preserve">28 </w:t>
      </w:r>
      <w:r w:rsidR="008E055A" w:rsidRPr="008E055A">
        <w:t>těšil výzkum v oblasti zdraví (9,1 </w:t>
      </w:r>
      <w:r w:rsidRPr="008E055A">
        <w:t>%). V ČR podíl tohoto</w:t>
      </w:r>
      <w:r w:rsidR="008E055A" w:rsidRPr="008E055A">
        <w:t xml:space="preserve"> socioekonomického cíle dosáhl 6,4 </w:t>
      </w:r>
      <w:r w:rsidRPr="008E055A">
        <w:t xml:space="preserve">%.   </w:t>
      </w:r>
    </w:p>
    <w:p w:rsidR="00A176E3" w:rsidRDefault="00A176E3" w:rsidP="00A176E3">
      <w:pPr>
        <w:jc w:val="both"/>
        <w:rPr>
          <w:b/>
        </w:rPr>
      </w:pPr>
      <w:r w:rsidRPr="00A176E3">
        <w:rPr>
          <w:b/>
        </w:rPr>
        <w:t>GRAF 4-4: Srovnání vybraných socioekonomických cílů NABS 2007 v ČR a EU</w:t>
      </w:r>
      <w:r w:rsidR="00293677">
        <w:rPr>
          <w:b/>
        </w:rPr>
        <w:t>-</w:t>
      </w:r>
      <w:r w:rsidRPr="00A176E3">
        <w:rPr>
          <w:b/>
        </w:rPr>
        <w:t>28 v ro</w:t>
      </w:r>
      <w:r w:rsidR="00111818">
        <w:rPr>
          <w:b/>
        </w:rPr>
        <w:t>ce 2014</w:t>
      </w:r>
      <w:r w:rsidR="008E5D69">
        <w:rPr>
          <w:b/>
        </w:rPr>
        <w:t xml:space="preserve"> (podíl na celkových GBA</w:t>
      </w:r>
      <w:r w:rsidRPr="00A176E3">
        <w:rPr>
          <w:b/>
        </w:rPr>
        <w:t>RD)</w:t>
      </w:r>
    </w:p>
    <w:p w:rsidR="009C5CBD" w:rsidRDefault="009C5CBD" w:rsidP="00A176E3">
      <w:pPr>
        <w:jc w:val="both"/>
        <w:rPr>
          <w:b/>
        </w:rPr>
      </w:pPr>
    </w:p>
    <w:p w:rsidR="00655740" w:rsidRDefault="00655740" w:rsidP="00A176E3">
      <w:pPr>
        <w:jc w:val="both"/>
        <w:rPr>
          <w:b/>
        </w:rPr>
      </w:pPr>
      <w:r>
        <w:rPr>
          <w:noProof/>
        </w:rPr>
        <w:drawing>
          <wp:inline distT="0" distB="0" distL="0" distR="0" wp14:anchorId="373080B8" wp14:editId="5149D9F9">
            <wp:extent cx="5972810" cy="2552700"/>
            <wp:effectExtent l="0" t="0" r="889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C5CBD" w:rsidRPr="009C5CBD" w:rsidRDefault="00164613" w:rsidP="005210A8">
      <w:pPr>
        <w:spacing w:before="120" w:after="120"/>
        <w:jc w:val="right"/>
        <w:rPr>
          <w:rFonts w:cs="Arial"/>
          <w:i/>
          <w:sz w:val="18"/>
        </w:rPr>
      </w:pPr>
      <w:r>
        <w:rPr>
          <w:rFonts w:cs="Arial"/>
          <w:i/>
          <w:sz w:val="18"/>
        </w:rPr>
        <w:t xml:space="preserve">Zdroj: </w:t>
      </w:r>
      <w:proofErr w:type="spellStart"/>
      <w:r>
        <w:rPr>
          <w:rFonts w:cs="Arial"/>
          <w:i/>
          <w:sz w:val="18"/>
        </w:rPr>
        <w:t>Eurostat</w:t>
      </w:r>
      <w:proofErr w:type="spellEnd"/>
      <w:r>
        <w:rPr>
          <w:rFonts w:cs="Arial"/>
          <w:i/>
          <w:sz w:val="18"/>
        </w:rPr>
        <w:t xml:space="preserve"> 2015</w:t>
      </w:r>
      <w:r w:rsidR="009C5CBD" w:rsidRPr="009C5CBD">
        <w:rPr>
          <w:rFonts w:cs="Arial"/>
          <w:i/>
          <w:sz w:val="18"/>
        </w:rPr>
        <w:t>, dopočty ČSÚ</w:t>
      </w:r>
    </w:p>
    <w:p w:rsidR="009C5CBD" w:rsidRDefault="009C5CBD" w:rsidP="00A176E3">
      <w:pPr>
        <w:jc w:val="both"/>
        <w:rPr>
          <w:b/>
        </w:rPr>
      </w:pPr>
    </w:p>
    <w:p w:rsidR="009C5CBD" w:rsidRPr="009C5CBD" w:rsidRDefault="009C5CBD" w:rsidP="009C5CBD">
      <w:pPr>
        <w:spacing w:before="120" w:after="120"/>
        <w:jc w:val="both"/>
        <w:rPr>
          <w:rFonts w:cs="Arial"/>
          <w:szCs w:val="18"/>
        </w:rPr>
      </w:pPr>
      <w:r w:rsidRPr="009C5CBD">
        <w:rPr>
          <w:rFonts w:cs="Arial"/>
          <w:szCs w:val="18"/>
        </w:rPr>
        <w:t xml:space="preserve">Bližší informace o statistice GBARD z pohledu srovnání jednotlivých zemí EU a OECD jsou dostupné na stránkách </w:t>
      </w:r>
      <w:proofErr w:type="spellStart"/>
      <w:r w:rsidRPr="009C5CBD">
        <w:rPr>
          <w:rFonts w:cs="Arial"/>
          <w:szCs w:val="18"/>
        </w:rPr>
        <w:t>Eurostatu</w:t>
      </w:r>
      <w:proofErr w:type="spellEnd"/>
      <w:r w:rsidRPr="009C5CBD">
        <w:rPr>
          <w:rFonts w:cs="Arial"/>
          <w:szCs w:val="18"/>
        </w:rPr>
        <w:t xml:space="preserve"> (</w:t>
      </w:r>
      <w:hyperlink r:id="rId13" w:history="1">
        <w:r w:rsidRPr="009C5CBD">
          <w:rPr>
            <w:rStyle w:val="Hypertextovodkaz"/>
            <w:rFonts w:cs="Arial"/>
            <w:szCs w:val="18"/>
          </w:rPr>
          <w:t>http://ec.europa.eu/eurostat/web/science-technology-innovation</w:t>
        </w:r>
      </w:hyperlink>
      <w:r w:rsidRPr="009C5CBD">
        <w:rPr>
          <w:rFonts w:cs="Arial"/>
          <w:szCs w:val="18"/>
        </w:rPr>
        <w:t>) a OECD (</w:t>
      </w:r>
      <w:hyperlink r:id="rId14" w:history="1">
        <w:r w:rsidRPr="009C5CBD">
          <w:rPr>
            <w:rStyle w:val="Hypertextovodkaz"/>
            <w:rFonts w:cs="Arial"/>
            <w:szCs w:val="18"/>
          </w:rPr>
          <w:t>www.oecd.org/sti/rds</w:t>
        </w:r>
      </w:hyperlink>
      <w:r w:rsidRPr="009C5CBD">
        <w:rPr>
          <w:rFonts w:cs="Arial"/>
          <w:szCs w:val="18"/>
        </w:rPr>
        <w:t xml:space="preserve">). </w:t>
      </w:r>
    </w:p>
    <w:p w:rsidR="009C5CBD" w:rsidRPr="009C5CBD" w:rsidRDefault="009C5CBD" w:rsidP="00A176E3">
      <w:pPr>
        <w:jc w:val="both"/>
      </w:pPr>
      <w:bookmarkStart w:id="0" w:name="_GoBack"/>
      <w:bookmarkEnd w:id="0"/>
    </w:p>
    <w:sectPr w:rsidR="009C5CBD" w:rsidRPr="009C5CBD" w:rsidSect="00374920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75" w:rsidRDefault="00C46F75" w:rsidP="00E71A58">
      <w:r>
        <w:separator/>
      </w:r>
    </w:p>
  </w:endnote>
  <w:endnote w:type="continuationSeparator" w:id="0">
    <w:p w:rsidR="00C46F75" w:rsidRDefault="00C46F7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9C551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16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1A6C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541A6C" w:rsidRPr="005A21E0">
      <w:rPr>
        <w:rFonts w:ascii="Arial" w:hAnsi="Arial" w:cs="Arial"/>
        <w:sz w:val="16"/>
        <w:szCs w:val="16"/>
      </w:rPr>
      <w:fldChar w:fldCharType="separate"/>
    </w:r>
    <w:r w:rsidR="005210A8">
      <w:rPr>
        <w:rFonts w:ascii="Arial" w:hAnsi="Arial" w:cs="Arial"/>
        <w:noProof/>
        <w:sz w:val="16"/>
        <w:szCs w:val="16"/>
      </w:rPr>
      <w:t>2</w:t>
    </w:r>
    <w:r w:rsidR="00541A6C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</w:t>
    </w:r>
    <w:r w:rsidR="00972D16">
      <w:rPr>
        <w:rFonts w:ascii="Arial" w:hAnsi="Arial" w:cs="Arial"/>
        <w:sz w:val="16"/>
        <w:szCs w:val="16"/>
      </w:rPr>
      <w:t>4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9C551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7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C5518" w:rsidRDefault="007266B1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</w:t>
    </w:r>
    <w:r w:rsidR="009C5518">
      <w:tab/>
    </w:r>
    <w:r w:rsidR="009C5518">
      <w:tab/>
    </w:r>
    <w:r w:rsidR="00541A6C" w:rsidRPr="00B6608F">
      <w:rPr>
        <w:rFonts w:ascii="Arial" w:hAnsi="Arial" w:cs="Arial"/>
        <w:sz w:val="16"/>
        <w:szCs w:val="16"/>
      </w:rPr>
      <w:fldChar w:fldCharType="begin"/>
    </w:r>
    <w:r w:rsidR="009C5518" w:rsidRPr="00B6608F">
      <w:rPr>
        <w:rFonts w:ascii="Arial" w:hAnsi="Arial" w:cs="Arial"/>
        <w:sz w:val="16"/>
        <w:szCs w:val="16"/>
      </w:rPr>
      <w:instrText>PAGE   \* MERGEFORMAT</w:instrText>
    </w:r>
    <w:r w:rsidR="00541A6C" w:rsidRPr="00B6608F">
      <w:rPr>
        <w:rFonts w:ascii="Arial" w:hAnsi="Arial" w:cs="Arial"/>
        <w:sz w:val="16"/>
        <w:szCs w:val="16"/>
      </w:rPr>
      <w:fldChar w:fldCharType="separate"/>
    </w:r>
    <w:r w:rsidR="005210A8">
      <w:rPr>
        <w:rFonts w:ascii="Arial" w:hAnsi="Arial" w:cs="Arial"/>
        <w:noProof/>
        <w:sz w:val="16"/>
        <w:szCs w:val="16"/>
      </w:rPr>
      <w:t>3</w:t>
    </w:r>
    <w:r w:rsidR="00541A6C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75" w:rsidRDefault="00C46F75" w:rsidP="00E71A58">
      <w:r>
        <w:separator/>
      </w:r>
    </w:p>
  </w:footnote>
  <w:footnote w:type="continuationSeparator" w:id="0">
    <w:p w:rsidR="00C46F75" w:rsidRDefault="00C46F75" w:rsidP="00E71A58">
      <w:r>
        <w:continuationSeparator/>
      </w:r>
    </w:p>
  </w:footnote>
  <w:footnote w:id="1">
    <w:p w:rsidR="006D3963" w:rsidRPr="006D3963" w:rsidRDefault="006D3963">
      <w:pPr>
        <w:pStyle w:val="Textpoznpodarou"/>
        <w:rPr>
          <w:sz w:val="18"/>
          <w:szCs w:val="18"/>
        </w:rPr>
      </w:pPr>
      <w:r w:rsidRPr="006D3963">
        <w:rPr>
          <w:rStyle w:val="Znakapoznpodarou"/>
          <w:sz w:val="18"/>
          <w:szCs w:val="18"/>
        </w:rPr>
        <w:footnoteRef/>
      </w:r>
      <w:r w:rsidRPr="006D3963">
        <w:rPr>
          <w:sz w:val="18"/>
          <w:szCs w:val="18"/>
        </w:rPr>
        <w:t xml:space="preserve"> </w:t>
      </w:r>
      <w:r>
        <w:rPr>
          <w:sz w:val="18"/>
          <w:szCs w:val="18"/>
        </w:rPr>
        <w:t>Uvedené podíly GBARD na HDP</w:t>
      </w:r>
      <w:r w:rsidR="00B90CE8">
        <w:rPr>
          <w:sz w:val="18"/>
          <w:szCs w:val="18"/>
        </w:rPr>
        <w:t xml:space="preserve"> v jednotlivých zemích</w:t>
      </w:r>
      <w:r>
        <w:rPr>
          <w:sz w:val="18"/>
          <w:szCs w:val="18"/>
        </w:rPr>
        <w:t xml:space="preserve"> již zohled</w:t>
      </w:r>
      <w:r w:rsidR="00B90CE8">
        <w:rPr>
          <w:sz w:val="18"/>
          <w:szCs w:val="18"/>
        </w:rPr>
        <w:t>ňují přepočet HDP dle</w:t>
      </w:r>
      <w:r>
        <w:rPr>
          <w:sz w:val="18"/>
          <w:szCs w:val="18"/>
        </w:rPr>
        <w:t xml:space="preserve"> revize národních účtů </w:t>
      </w:r>
      <w:r w:rsidR="00B90CE8">
        <w:rPr>
          <w:sz w:val="18"/>
          <w:szCs w:val="18"/>
        </w:rPr>
        <w:t>v souladu s mezinárodním standardem</w:t>
      </w:r>
      <w:r>
        <w:rPr>
          <w:sz w:val="18"/>
          <w:szCs w:val="18"/>
        </w:rPr>
        <w:t xml:space="preserve"> ESA 2010.</w:t>
      </w:r>
      <w:r w:rsidR="00B90CE8">
        <w:rPr>
          <w:sz w:val="18"/>
          <w:szCs w:val="18"/>
        </w:rPr>
        <w:t xml:space="preserve"> Praktickým důsledkem navýšení HDP o některé položky je snížení podílu GBARD na HDP ve většině zemí.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Pr="00AD306C" w:rsidRDefault="009C551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PŘÍMÁ VEŘEJNÁ PODPORA VÝZKUMU A VÝVOJE V ČESKÉ REPUBLICE</w:t>
    </w:r>
    <w:r>
      <w:rPr>
        <w:rFonts w:ascii="Arial" w:hAnsi="Arial" w:cs="Arial"/>
        <w:sz w:val="16"/>
        <w:szCs w:val="16"/>
      </w:rPr>
      <w:t xml:space="preserve"> / </w:t>
    </w:r>
    <w:r w:rsidR="00201BD7">
      <w:rPr>
        <w:rFonts w:ascii="Arial" w:hAnsi="Arial" w:cs="Arial"/>
        <w:sz w:val="16"/>
        <w:szCs w:val="16"/>
      </w:rPr>
      <w:t>GBARD – MEZINÁRODNÍ SROVNÁNÍ</w:t>
    </w:r>
    <w:r w:rsidR="00201BD7" w:rsidDel="00201BD7">
      <w:rPr>
        <w:rFonts w:ascii="Arial" w:hAnsi="Arial" w:cs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9C551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PŘÍMÁ VEŘEJNÁ PODPORA VÝZKUMU A VÝVOJE V ČESKÉ REPUBLICE</w:t>
    </w:r>
    <w:r w:rsidR="003F4AB4">
      <w:rPr>
        <w:rFonts w:ascii="Arial" w:hAnsi="Arial" w:cs="Arial"/>
        <w:sz w:val="16"/>
        <w:szCs w:val="16"/>
      </w:rPr>
      <w:t>/ GBARD – MEZINÁRODNÍ SROVNÁNÍ</w:t>
    </w:r>
  </w:p>
  <w:p w:rsidR="009C5518" w:rsidRPr="00DC5B3B" w:rsidRDefault="009C5518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 Böhm">
    <w15:presenceInfo w15:providerId="Windows Live" w15:userId="33f0ba4ce07661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0A97"/>
    <w:rsid w:val="0000316C"/>
    <w:rsid w:val="00004431"/>
    <w:rsid w:val="0000517D"/>
    <w:rsid w:val="00006457"/>
    <w:rsid w:val="00006FA4"/>
    <w:rsid w:val="0000767A"/>
    <w:rsid w:val="000077E7"/>
    <w:rsid w:val="00007CF5"/>
    <w:rsid w:val="000100CF"/>
    <w:rsid w:val="00010702"/>
    <w:rsid w:val="00010728"/>
    <w:rsid w:val="00011090"/>
    <w:rsid w:val="000119C9"/>
    <w:rsid w:val="00011AD9"/>
    <w:rsid w:val="000133D7"/>
    <w:rsid w:val="00014FA5"/>
    <w:rsid w:val="000158B9"/>
    <w:rsid w:val="00016CCE"/>
    <w:rsid w:val="00020A5D"/>
    <w:rsid w:val="000262A4"/>
    <w:rsid w:val="00027052"/>
    <w:rsid w:val="000313F1"/>
    <w:rsid w:val="000318CE"/>
    <w:rsid w:val="00031D06"/>
    <w:rsid w:val="00033D24"/>
    <w:rsid w:val="0003523C"/>
    <w:rsid w:val="00035E0B"/>
    <w:rsid w:val="000368A7"/>
    <w:rsid w:val="00036CDB"/>
    <w:rsid w:val="000372D7"/>
    <w:rsid w:val="00037A9F"/>
    <w:rsid w:val="00040041"/>
    <w:rsid w:val="00041946"/>
    <w:rsid w:val="00043A7E"/>
    <w:rsid w:val="0004694F"/>
    <w:rsid w:val="000472C0"/>
    <w:rsid w:val="000472ED"/>
    <w:rsid w:val="00050F9D"/>
    <w:rsid w:val="00051C4D"/>
    <w:rsid w:val="00052FF1"/>
    <w:rsid w:val="0005456B"/>
    <w:rsid w:val="000556B7"/>
    <w:rsid w:val="0005739C"/>
    <w:rsid w:val="000576D7"/>
    <w:rsid w:val="00062EC5"/>
    <w:rsid w:val="00064171"/>
    <w:rsid w:val="00065675"/>
    <w:rsid w:val="00065E55"/>
    <w:rsid w:val="00065F83"/>
    <w:rsid w:val="00066B31"/>
    <w:rsid w:val="00066B5A"/>
    <w:rsid w:val="00067EB6"/>
    <w:rsid w:val="00072EB4"/>
    <w:rsid w:val="00073592"/>
    <w:rsid w:val="0007414B"/>
    <w:rsid w:val="000741A9"/>
    <w:rsid w:val="00080E37"/>
    <w:rsid w:val="000812FD"/>
    <w:rsid w:val="00081AAC"/>
    <w:rsid w:val="00081AB2"/>
    <w:rsid w:val="00082F96"/>
    <w:rsid w:val="000830C4"/>
    <w:rsid w:val="00085870"/>
    <w:rsid w:val="00085C2F"/>
    <w:rsid w:val="000867D1"/>
    <w:rsid w:val="00087634"/>
    <w:rsid w:val="00087A0A"/>
    <w:rsid w:val="00090449"/>
    <w:rsid w:val="00090E52"/>
    <w:rsid w:val="00091E44"/>
    <w:rsid w:val="00093C42"/>
    <w:rsid w:val="00093D46"/>
    <w:rsid w:val="00094263"/>
    <w:rsid w:val="00094AC2"/>
    <w:rsid w:val="0009534E"/>
    <w:rsid w:val="000A05A7"/>
    <w:rsid w:val="000A0CD3"/>
    <w:rsid w:val="000A1183"/>
    <w:rsid w:val="000A1EC6"/>
    <w:rsid w:val="000A2D07"/>
    <w:rsid w:val="000A403D"/>
    <w:rsid w:val="000A46E5"/>
    <w:rsid w:val="000A4977"/>
    <w:rsid w:val="000A5CF5"/>
    <w:rsid w:val="000A76ED"/>
    <w:rsid w:val="000A7E0B"/>
    <w:rsid w:val="000B05FC"/>
    <w:rsid w:val="000B0735"/>
    <w:rsid w:val="000B0777"/>
    <w:rsid w:val="000B3D2A"/>
    <w:rsid w:val="000B409F"/>
    <w:rsid w:val="000B46B1"/>
    <w:rsid w:val="000B67B8"/>
    <w:rsid w:val="000C06D6"/>
    <w:rsid w:val="000C0AF8"/>
    <w:rsid w:val="000C1883"/>
    <w:rsid w:val="000C1CE8"/>
    <w:rsid w:val="000C3408"/>
    <w:rsid w:val="000C3D1A"/>
    <w:rsid w:val="000C4625"/>
    <w:rsid w:val="000C4ABE"/>
    <w:rsid w:val="000C4C58"/>
    <w:rsid w:val="000C5C5D"/>
    <w:rsid w:val="000C5EE6"/>
    <w:rsid w:val="000C706C"/>
    <w:rsid w:val="000D009C"/>
    <w:rsid w:val="000D0EAF"/>
    <w:rsid w:val="000D2A47"/>
    <w:rsid w:val="000E0C52"/>
    <w:rsid w:val="000E2043"/>
    <w:rsid w:val="000E36B0"/>
    <w:rsid w:val="000E42CB"/>
    <w:rsid w:val="000E4300"/>
    <w:rsid w:val="000F0B7C"/>
    <w:rsid w:val="000F1F88"/>
    <w:rsid w:val="000F34FD"/>
    <w:rsid w:val="000F393A"/>
    <w:rsid w:val="000F41F1"/>
    <w:rsid w:val="000F525F"/>
    <w:rsid w:val="000F5C63"/>
    <w:rsid w:val="000F5D9B"/>
    <w:rsid w:val="000F6A39"/>
    <w:rsid w:val="00105AEC"/>
    <w:rsid w:val="00106DA0"/>
    <w:rsid w:val="001103C6"/>
    <w:rsid w:val="00110CA8"/>
    <w:rsid w:val="00111818"/>
    <w:rsid w:val="0011197B"/>
    <w:rsid w:val="00112972"/>
    <w:rsid w:val="00112DEE"/>
    <w:rsid w:val="00114D74"/>
    <w:rsid w:val="001153FB"/>
    <w:rsid w:val="00117EB4"/>
    <w:rsid w:val="00121CFA"/>
    <w:rsid w:val="00122D2E"/>
    <w:rsid w:val="00124784"/>
    <w:rsid w:val="00127CDF"/>
    <w:rsid w:val="00130C70"/>
    <w:rsid w:val="00135C14"/>
    <w:rsid w:val="0013656F"/>
    <w:rsid w:val="00136C92"/>
    <w:rsid w:val="00137995"/>
    <w:rsid w:val="00137A58"/>
    <w:rsid w:val="001405FA"/>
    <w:rsid w:val="0014079D"/>
    <w:rsid w:val="00140A1B"/>
    <w:rsid w:val="00140B28"/>
    <w:rsid w:val="001410BB"/>
    <w:rsid w:val="001425C3"/>
    <w:rsid w:val="00142861"/>
    <w:rsid w:val="00143453"/>
    <w:rsid w:val="00144E72"/>
    <w:rsid w:val="00145800"/>
    <w:rsid w:val="00146553"/>
    <w:rsid w:val="001475F6"/>
    <w:rsid w:val="001544C2"/>
    <w:rsid w:val="00154AC5"/>
    <w:rsid w:val="00155181"/>
    <w:rsid w:val="00156866"/>
    <w:rsid w:val="00156A62"/>
    <w:rsid w:val="00156C72"/>
    <w:rsid w:val="00156F9A"/>
    <w:rsid w:val="00157324"/>
    <w:rsid w:val="001604A9"/>
    <w:rsid w:val="001608FF"/>
    <w:rsid w:val="00160BB7"/>
    <w:rsid w:val="00162076"/>
    <w:rsid w:val="00163793"/>
    <w:rsid w:val="0016425E"/>
    <w:rsid w:val="00164613"/>
    <w:rsid w:val="0016610C"/>
    <w:rsid w:val="00166CFA"/>
    <w:rsid w:val="001673AF"/>
    <w:rsid w:val="00170BC0"/>
    <w:rsid w:val="001714F2"/>
    <w:rsid w:val="00171CD8"/>
    <w:rsid w:val="00172871"/>
    <w:rsid w:val="00172948"/>
    <w:rsid w:val="00175980"/>
    <w:rsid w:val="00175A98"/>
    <w:rsid w:val="00176B3E"/>
    <w:rsid w:val="001775E7"/>
    <w:rsid w:val="00177999"/>
    <w:rsid w:val="00180381"/>
    <w:rsid w:val="00181A8D"/>
    <w:rsid w:val="00181D98"/>
    <w:rsid w:val="00182307"/>
    <w:rsid w:val="001826FF"/>
    <w:rsid w:val="00182C43"/>
    <w:rsid w:val="0018408A"/>
    <w:rsid w:val="00185010"/>
    <w:rsid w:val="001876D6"/>
    <w:rsid w:val="0018773B"/>
    <w:rsid w:val="00190BF6"/>
    <w:rsid w:val="00191E4B"/>
    <w:rsid w:val="00191F3E"/>
    <w:rsid w:val="0019317E"/>
    <w:rsid w:val="0019470B"/>
    <w:rsid w:val="00195C8C"/>
    <w:rsid w:val="00195D5A"/>
    <w:rsid w:val="00195FB6"/>
    <w:rsid w:val="001960C2"/>
    <w:rsid w:val="00196897"/>
    <w:rsid w:val="001969C9"/>
    <w:rsid w:val="001972E3"/>
    <w:rsid w:val="001A364E"/>
    <w:rsid w:val="001A3B6E"/>
    <w:rsid w:val="001A4051"/>
    <w:rsid w:val="001A42D3"/>
    <w:rsid w:val="001A4F0B"/>
    <w:rsid w:val="001A51D6"/>
    <w:rsid w:val="001A552F"/>
    <w:rsid w:val="001A5BBB"/>
    <w:rsid w:val="001A5D92"/>
    <w:rsid w:val="001A6513"/>
    <w:rsid w:val="001B0260"/>
    <w:rsid w:val="001B0672"/>
    <w:rsid w:val="001B0CFD"/>
    <w:rsid w:val="001B26AC"/>
    <w:rsid w:val="001B2E25"/>
    <w:rsid w:val="001B3110"/>
    <w:rsid w:val="001B47DA"/>
    <w:rsid w:val="001B75ED"/>
    <w:rsid w:val="001B7941"/>
    <w:rsid w:val="001B7C2E"/>
    <w:rsid w:val="001C30F8"/>
    <w:rsid w:val="001C3BB4"/>
    <w:rsid w:val="001C4C36"/>
    <w:rsid w:val="001C51A8"/>
    <w:rsid w:val="001C628C"/>
    <w:rsid w:val="001C7670"/>
    <w:rsid w:val="001D03CD"/>
    <w:rsid w:val="001D264D"/>
    <w:rsid w:val="001D3DFA"/>
    <w:rsid w:val="001D406B"/>
    <w:rsid w:val="001D5183"/>
    <w:rsid w:val="001D622E"/>
    <w:rsid w:val="001D73FD"/>
    <w:rsid w:val="001D7670"/>
    <w:rsid w:val="001D7A62"/>
    <w:rsid w:val="001D7FBC"/>
    <w:rsid w:val="001E0904"/>
    <w:rsid w:val="001E0912"/>
    <w:rsid w:val="001E2E1C"/>
    <w:rsid w:val="001E42DA"/>
    <w:rsid w:val="001E5CBD"/>
    <w:rsid w:val="001E74D7"/>
    <w:rsid w:val="001F0082"/>
    <w:rsid w:val="001F199C"/>
    <w:rsid w:val="001F28A3"/>
    <w:rsid w:val="001F36C7"/>
    <w:rsid w:val="001F3E03"/>
    <w:rsid w:val="001F4597"/>
    <w:rsid w:val="001F46EA"/>
    <w:rsid w:val="001F4C47"/>
    <w:rsid w:val="001F50E8"/>
    <w:rsid w:val="001F52C4"/>
    <w:rsid w:val="001F60F4"/>
    <w:rsid w:val="001F647A"/>
    <w:rsid w:val="001F68A0"/>
    <w:rsid w:val="001F7541"/>
    <w:rsid w:val="00201371"/>
    <w:rsid w:val="00201A1B"/>
    <w:rsid w:val="00201BD7"/>
    <w:rsid w:val="0020344B"/>
    <w:rsid w:val="00203AC6"/>
    <w:rsid w:val="00203D12"/>
    <w:rsid w:val="0020498B"/>
    <w:rsid w:val="0020650B"/>
    <w:rsid w:val="00206C36"/>
    <w:rsid w:val="002073DB"/>
    <w:rsid w:val="00207A19"/>
    <w:rsid w:val="00211943"/>
    <w:rsid w:val="0021282D"/>
    <w:rsid w:val="00215943"/>
    <w:rsid w:val="00215E0F"/>
    <w:rsid w:val="00216EB6"/>
    <w:rsid w:val="002201D9"/>
    <w:rsid w:val="00220822"/>
    <w:rsid w:val="0022139E"/>
    <w:rsid w:val="002216A8"/>
    <w:rsid w:val="002216F1"/>
    <w:rsid w:val="00222322"/>
    <w:rsid w:val="0022439C"/>
    <w:rsid w:val="002248D4"/>
    <w:rsid w:val="002252E0"/>
    <w:rsid w:val="002255F6"/>
    <w:rsid w:val="00225C66"/>
    <w:rsid w:val="00225EE9"/>
    <w:rsid w:val="00230FA2"/>
    <w:rsid w:val="00234209"/>
    <w:rsid w:val="0023512E"/>
    <w:rsid w:val="00236333"/>
    <w:rsid w:val="00236443"/>
    <w:rsid w:val="00237219"/>
    <w:rsid w:val="0024129B"/>
    <w:rsid w:val="002436BA"/>
    <w:rsid w:val="0024379D"/>
    <w:rsid w:val="002439D6"/>
    <w:rsid w:val="002443A5"/>
    <w:rsid w:val="00244A15"/>
    <w:rsid w:val="00244F0F"/>
    <w:rsid w:val="002451FF"/>
    <w:rsid w:val="002478CD"/>
    <w:rsid w:val="0024799E"/>
    <w:rsid w:val="0025149F"/>
    <w:rsid w:val="002516CC"/>
    <w:rsid w:val="00254352"/>
    <w:rsid w:val="002543A4"/>
    <w:rsid w:val="00264463"/>
    <w:rsid w:val="00267C5E"/>
    <w:rsid w:val="002704E6"/>
    <w:rsid w:val="00270567"/>
    <w:rsid w:val="0027191E"/>
    <w:rsid w:val="00271B2A"/>
    <w:rsid w:val="00273BD1"/>
    <w:rsid w:val="00276B63"/>
    <w:rsid w:val="002771CE"/>
    <w:rsid w:val="00277478"/>
    <w:rsid w:val="002810FD"/>
    <w:rsid w:val="00281435"/>
    <w:rsid w:val="00283284"/>
    <w:rsid w:val="002835A8"/>
    <w:rsid w:val="002872C2"/>
    <w:rsid w:val="00290C0F"/>
    <w:rsid w:val="00290EFB"/>
    <w:rsid w:val="00292845"/>
    <w:rsid w:val="002932A3"/>
    <w:rsid w:val="00293677"/>
    <w:rsid w:val="00293CEF"/>
    <w:rsid w:val="00293F7A"/>
    <w:rsid w:val="00295694"/>
    <w:rsid w:val="0029633E"/>
    <w:rsid w:val="002976B9"/>
    <w:rsid w:val="00297FBA"/>
    <w:rsid w:val="002A0702"/>
    <w:rsid w:val="002A07F7"/>
    <w:rsid w:val="002A1933"/>
    <w:rsid w:val="002A20BA"/>
    <w:rsid w:val="002A21A2"/>
    <w:rsid w:val="002A2CF9"/>
    <w:rsid w:val="002A3AE1"/>
    <w:rsid w:val="002A4F13"/>
    <w:rsid w:val="002A67A5"/>
    <w:rsid w:val="002B1DF8"/>
    <w:rsid w:val="002B2848"/>
    <w:rsid w:val="002B3B30"/>
    <w:rsid w:val="002B439B"/>
    <w:rsid w:val="002B4B62"/>
    <w:rsid w:val="002B6CDB"/>
    <w:rsid w:val="002B782B"/>
    <w:rsid w:val="002C0D94"/>
    <w:rsid w:val="002C0DD9"/>
    <w:rsid w:val="002C0FFC"/>
    <w:rsid w:val="002C1CCB"/>
    <w:rsid w:val="002C2278"/>
    <w:rsid w:val="002C31C4"/>
    <w:rsid w:val="002C31D3"/>
    <w:rsid w:val="002C43BD"/>
    <w:rsid w:val="002C5239"/>
    <w:rsid w:val="002C63C8"/>
    <w:rsid w:val="002D0D0A"/>
    <w:rsid w:val="002D13DD"/>
    <w:rsid w:val="002D3010"/>
    <w:rsid w:val="002D3DF2"/>
    <w:rsid w:val="002D3EAF"/>
    <w:rsid w:val="002D3F0F"/>
    <w:rsid w:val="002D4104"/>
    <w:rsid w:val="002D47D8"/>
    <w:rsid w:val="002D487C"/>
    <w:rsid w:val="002D6AFD"/>
    <w:rsid w:val="002D7465"/>
    <w:rsid w:val="002D7515"/>
    <w:rsid w:val="002D7A34"/>
    <w:rsid w:val="002E0064"/>
    <w:rsid w:val="002E02A1"/>
    <w:rsid w:val="002E0AD7"/>
    <w:rsid w:val="002E0C7F"/>
    <w:rsid w:val="002E19C4"/>
    <w:rsid w:val="002E4155"/>
    <w:rsid w:val="002E53EB"/>
    <w:rsid w:val="002E7D89"/>
    <w:rsid w:val="002F1C06"/>
    <w:rsid w:val="002F23F1"/>
    <w:rsid w:val="002F2B9F"/>
    <w:rsid w:val="002F3032"/>
    <w:rsid w:val="002F313B"/>
    <w:rsid w:val="002F3249"/>
    <w:rsid w:val="002F455B"/>
    <w:rsid w:val="002F473A"/>
    <w:rsid w:val="002F4840"/>
    <w:rsid w:val="002F53A6"/>
    <w:rsid w:val="002F5C54"/>
    <w:rsid w:val="002F6A07"/>
    <w:rsid w:val="002F7080"/>
    <w:rsid w:val="002F7590"/>
    <w:rsid w:val="0030115C"/>
    <w:rsid w:val="00301A1D"/>
    <w:rsid w:val="00301C0F"/>
    <w:rsid w:val="00304147"/>
    <w:rsid w:val="00304771"/>
    <w:rsid w:val="00305F36"/>
    <w:rsid w:val="003061B7"/>
    <w:rsid w:val="00306C5B"/>
    <w:rsid w:val="00307719"/>
    <w:rsid w:val="00311453"/>
    <w:rsid w:val="00311A1F"/>
    <w:rsid w:val="00311D3E"/>
    <w:rsid w:val="00313553"/>
    <w:rsid w:val="00314145"/>
    <w:rsid w:val="00314AAB"/>
    <w:rsid w:val="003155FB"/>
    <w:rsid w:val="003156E7"/>
    <w:rsid w:val="003209D6"/>
    <w:rsid w:val="00320DA4"/>
    <w:rsid w:val="0032123E"/>
    <w:rsid w:val="0032168E"/>
    <w:rsid w:val="00321F4E"/>
    <w:rsid w:val="0032208D"/>
    <w:rsid w:val="003225B0"/>
    <w:rsid w:val="00322A85"/>
    <w:rsid w:val="00322B58"/>
    <w:rsid w:val="003257F5"/>
    <w:rsid w:val="0032669A"/>
    <w:rsid w:val="00327A2B"/>
    <w:rsid w:val="00327C7C"/>
    <w:rsid w:val="00331292"/>
    <w:rsid w:val="00331641"/>
    <w:rsid w:val="00332DE4"/>
    <w:rsid w:val="0033380D"/>
    <w:rsid w:val="003357F1"/>
    <w:rsid w:val="00336576"/>
    <w:rsid w:val="00341E45"/>
    <w:rsid w:val="003429AA"/>
    <w:rsid w:val="00342A7A"/>
    <w:rsid w:val="00347A9E"/>
    <w:rsid w:val="00350DF6"/>
    <w:rsid w:val="00354634"/>
    <w:rsid w:val="00354986"/>
    <w:rsid w:val="00354B78"/>
    <w:rsid w:val="003559DE"/>
    <w:rsid w:val="00356039"/>
    <w:rsid w:val="003562CA"/>
    <w:rsid w:val="00356A61"/>
    <w:rsid w:val="00356ABD"/>
    <w:rsid w:val="00357CC8"/>
    <w:rsid w:val="003603CE"/>
    <w:rsid w:val="00361F49"/>
    <w:rsid w:val="003657F3"/>
    <w:rsid w:val="003665AB"/>
    <w:rsid w:val="00370721"/>
    <w:rsid w:val="003715C8"/>
    <w:rsid w:val="00371906"/>
    <w:rsid w:val="00372ECF"/>
    <w:rsid w:val="003738F1"/>
    <w:rsid w:val="00374920"/>
    <w:rsid w:val="00377B43"/>
    <w:rsid w:val="00381287"/>
    <w:rsid w:val="00381B38"/>
    <w:rsid w:val="003822BA"/>
    <w:rsid w:val="00383531"/>
    <w:rsid w:val="00383C4C"/>
    <w:rsid w:val="003855FD"/>
    <w:rsid w:val="00385D98"/>
    <w:rsid w:val="003864AE"/>
    <w:rsid w:val="003869AD"/>
    <w:rsid w:val="00386CFD"/>
    <w:rsid w:val="003909D7"/>
    <w:rsid w:val="0039159A"/>
    <w:rsid w:val="00391639"/>
    <w:rsid w:val="00391B49"/>
    <w:rsid w:val="00391F64"/>
    <w:rsid w:val="0039328F"/>
    <w:rsid w:val="00394398"/>
    <w:rsid w:val="00394756"/>
    <w:rsid w:val="00395EBF"/>
    <w:rsid w:val="003972D0"/>
    <w:rsid w:val="003A071A"/>
    <w:rsid w:val="003A139A"/>
    <w:rsid w:val="003A2B4D"/>
    <w:rsid w:val="003A4766"/>
    <w:rsid w:val="003A478C"/>
    <w:rsid w:val="003A5525"/>
    <w:rsid w:val="003A6B38"/>
    <w:rsid w:val="003A7D04"/>
    <w:rsid w:val="003B07C1"/>
    <w:rsid w:val="003B07D7"/>
    <w:rsid w:val="003B2C29"/>
    <w:rsid w:val="003B3719"/>
    <w:rsid w:val="003B3854"/>
    <w:rsid w:val="003B5A32"/>
    <w:rsid w:val="003B75E7"/>
    <w:rsid w:val="003C1606"/>
    <w:rsid w:val="003C2B86"/>
    <w:rsid w:val="003C3177"/>
    <w:rsid w:val="003C4755"/>
    <w:rsid w:val="003C48BB"/>
    <w:rsid w:val="003C54D3"/>
    <w:rsid w:val="003C5BE5"/>
    <w:rsid w:val="003C5FB3"/>
    <w:rsid w:val="003C77D1"/>
    <w:rsid w:val="003D20B9"/>
    <w:rsid w:val="003D3D33"/>
    <w:rsid w:val="003D4D7C"/>
    <w:rsid w:val="003D5042"/>
    <w:rsid w:val="003D53AA"/>
    <w:rsid w:val="003E081A"/>
    <w:rsid w:val="003E22E9"/>
    <w:rsid w:val="003E2BEE"/>
    <w:rsid w:val="003E4697"/>
    <w:rsid w:val="003E6D10"/>
    <w:rsid w:val="003E7003"/>
    <w:rsid w:val="003E71A3"/>
    <w:rsid w:val="003E733C"/>
    <w:rsid w:val="003E796F"/>
    <w:rsid w:val="003E7A25"/>
    <w:rsid w:val="003F0699"/>
    <w:rsid w:val="003F1F84"/>
    <w:rsid w:val="003F313C"/>
    <w:rsid w:val="003F4AB4"/>
    <w:rsid w:val="003F52E9"/>
    <w:rsid w:val="003F62AA"/>
    <w:rsid w:val="00400636"/>
    <w:rsid w:val="00402062"/>
    <w:rsid w:val="004039E7"/>
    <w:rsid w:val="00403ED7"/>
    <w:rsid w:val="00405CD5"/>
    <w:rsid w:val="00405D48"/>
    <w:rsid w:val="00406C11"/>
    <w:rsid w:val="004073A2"/>
    <w:rsid w:val="00407605"/>
    <w:rsid w:val="00410D5F"/>
    <w:rsid w:val="00412F1A"/>
    <w:rsid w:val="0041398E"/>
    <w:rsid w:val="00414240"/>
    <w:rsid w:val="0041550A"/>
    <w:rsid w:val="004166B2"/>
    <w:rsid w:val="0041734A"/>
    <w:rsid w:val="00420985"/>
    <w:rsid w:val="00421359"/>
    <w:rsid w:val="00422315"/>
    <w:rsid w:val="004236B3"/>
    <w:rsid w:val="00423910"/>
    <w:rsid w:val="00424AB7"/>
    <w:rsid w:val="00426330"/>
    <w:rsid w:val="00426422"/>
    <w:rsid w:val="00427185"/>
    <w:rsid w:val="00427309"/>
    <w:rsid w:val="00427765"/>
    <w:rsid w:val="00430090"/>
    <w:rsid w:val="00430CE0"/>
    <w:rsid w:val="004313F0"/>
    <w:rsid w:val="0043194A"/>
    <w:rsid w:val="004322C6"/>
    <w:rsid w:val="0043232A"/>
    <w:rsid w:val="004341DF"/>
    <w:rsid w:val="00434E4A"/>
    <w:rsid w:val="00434EA2"/>
    <w:rsid w:val="00435439"/>
    <w:rsid w:val="00436048"/>
    <w:rsid w:val="004362C7"/>
    <w:rsid w:val="00440AB9"/>
    <w:rsid w:val="0044161B"/>
    <w:rsid w:val="004423DA"/>
    <w:rsid w:val="0044354E"/>
    <w:rsid w:val="00443FBC"/>
    <w:rsid w:val="00443FF7"/>
    <w:rsid w:val="00446906"/>
    <w:rsid w:val="00446C05"/>
    <w:rsid w:val="0044781D"/>
    <w:rsid w:val="004479AD"/>
    <w:rsid w:val="004531E8"/>
    <w:rsid w:val="00454B4B"/>
    <w:rsid w:val="00455781"/>
    <w:rsid w:val="004618CF"/>
    <w:rsid w:val="00463277"/>
    <w:rsid w:val="004644D9"/>
    <w:rsid w:val="00466611"/>
    <w:rsid w:val="004670EF"/>
    <w:rsid w:val="0047159E"/>
    <w:rsid w:val="00471D56"/>
    <w:rsid w:val="00472688"/>
    <w:rsid w:val="00473149"/>
    <w:rsid w:val="00473708"/>
    <w:rsid w:val="00475D13"/>
    <w:rsid w:val="00475FE9"/>
    <w:rsid w:val="00480A0A"/>
    <w:rsid w:val="0048139F"/>
    <w:rsid w:val="00481B3C"/>
    <w:rsid w:val="00482062"/>
    <w:rsid w:val="00483CCC"/>
    <w:rsid w:val="00484781"/>
    <w:rsid w:val="00485EF6"/>
    <w:rsid w:val="0048673C"/>
    <w:rsid w:val="00486EDF"/>
    <w:rsid w:val="0048734B"/>
    <w:rsid w:val="0049040D"/>
    <w:rsid w:val="0049134F"/>
    <w:rsid w:val="004918CF"/>
    <w:rsid w:val="00492782"/>
    <w:rsid w:val="00492D73"/>
    <w:rsid w:val="004932FD"/>
    <w:rsid w:val="00494BB0"/>
    <w:rsid w:val="00497328"/>
    <w:rsid w:val="004976DF"/>
    <w:rsid w:val="004A0961"/>
    <w:rsid w:val="004A0C12"/>
    <w:rsid w:val="004A2ED0"/>
    <w:rsid w:val="004A3B8F"/>
    <w:rsid w:val="004A4D9F"/>
    <w:rsid w:val="004A774A"/>
    <w:rsid w:val="004A77DF"/>
    <w:rsid w:val="004A7F6D"/>
    <w:rsid w:val="004B0CF8"/>
    <w:rsid w:val="004B0EFC"/>
    <w:rsid w:val="004B1EFD"/>
    <w:rsid w:val="004B38CF"/>
    <w:rsid w:val="004B55B7"/>
    <w:rsid w:val="004C1966"/>
    <w:rsid w:val="004C2E6C"/>
    <w:rsid w:val="004C3867"/>
    <w:rsid w:val="004C4121"/>
    <w:rsid w:val="004C43FF"/>
    <w:rsid w:val="004C4CD0"/>
    <w:rsid w:val="004C5960"/>
    <w:rsid w:val="004C6F38"/>
    <w:rsid w:val="004C70DC"/>
    <w:rsid w:val="004D0211"/>
    <w:rsid w:val="004D059E"/>
    <w:rsid w:val="004D3AA6"/>
    <w:rsid w:val="004D4ED3"/>
    <w:rsid w:val="004D6E66"/>
    <w:rsid w:val="004D70A1"/>
    <w:rsid w:val="004D7622"/>
    <w:rsid w:val="004E0DA0"/>
    <w:rsid w:val="004E3005"/>
    <w:rsid w:val="004E3936"/>
    <w:rsid w:val="004E3D6B"/>
    <w:rsid w:val="004E3E7B"/>
    <w:rsid w:val="004E44F4"/>
    <w:rsid w:val="004E46DF"/>
    <w:rsid w:val="004E4AF3"/>
    <w:rsid w:val="004E57C7"/>
    <w:rsid w:val="004E5C31"/>
    <w:rsid w:val="004E6919"/>
    <w:rsid w:val="004E6BC8"/>
    <w:rsid w:val="004E7551"/>
    <w:rsid w:val="004E789E"/>
    <w:rsid w:val="004E7A13"/>
    <w:rsid w:val="004E7D3D"/>
    <w:rsid w:val="004F06F5"/>
    <w:rsid w:val="004F0BD9"/>
    <w:rsid w:val="004F0F92"/>
    <w:rsid w:val="004F1915"/>
    <w:rsid w:val="004F25E7"/>
    <w:rsid w:val="004F33A0"/>
    <w:rsid w:val="004F411B"/>
    <w:rsid w:val="004F4FE7"/>
    <w:rsid w:val="004F5578"/>
    <w:rsid w:val="004F6BBE"/>
    <w:rsid w:val="00500B29"/>
    <w:rsid w:val="00500D87"/>
    <w:rsid w:val="0050264F"/>
    <w:rsid w:val="00502D0B"/>
    <w:rsid w:val="00502D0E"/>
    <w:rsid w:val="00503044"/>
    <w:rsid w:val="00503A24"/>
    <w:rsid w:val="00505692"/>
    <w:rsid w:val="005072D0"/>
    <w:rsid w:val="00507F95"/>
    <w:rsid w:val="005108C0"/>
    <w:rsid w:val="00510A30"/>
    <w:rsid w:val="00510CB2"/>
    <w:rsid w:val="005110A5"/>
    <w:rsid w:val="005116AE"/>
    <w:rsid w:val="0051183F"/>
    <w:rsid w:val="00511873"/>
    <w:rsid w:val="00512441"/>
    <w:rsid w:val="005130E9"/>
    <w:rsid w:val="00513433"/>
    <w:rsid w:val="00513B7E"/>
    <w:rsid w:val="00514924"/>
    <w:rsid w:val="00515B56"/>
    <w:rsid w:val="005161B9"/>
    <w:rsid w:val="00516807"/>
    <w:rsid w:val="00516A92"/>
    <w:rsid w:val="00516C32"/>
    <w:rsid w:val="00516CC3"/>
    <w:rsid w:val="005171EB"/>
    <w:rsid w:val="00517B67"/>
    <w:rsid w:val="005210A8"/>
    <w:rsid w:val="00524BA7"/>
    <w:rsid w:val="00525137"/>
    <w:rsid w:val="005251DD"/>
    <w:rsid w:val="00526629"/>
    <w:rsid w:val="00527020"/>
    <w:rsid w:val="0052748E"/>
    <w:rsid w:val="0052775C"/>
    <w:rsid w:val="00527BD3"/>
    <w:rsid w:val="00527E4A"/>
    <w:rsid w:val="00530BFD"/>
    <w:rsid w:val="0053208A"/>
    <w:rsid w:val="005323FC"/>
    <w:rsid w:val="0053254A"/>
    <w:rsid w:val="00533F4C"/>
    <w:rsid w:val="00535248"/>
    <w:rsid w:val="00535DB6"/>
    <w:rsid w:val="005361D3"/>
    <w:rsid w:val="005363FE"/>
    <w:rsid w:val="00536462"/>
    <w:rsid w:val="00537435"/>
    <w:rsid w:val="005419BA"/>
    <w:rsid w:val="00541A6C"/>
    <w:rsid w:val="005438A7"/>
    <w:rsid w:val="005438DE"/>
    <w:rsid w:val="0054507F"/>
    <w:rsid w:val="00545AFD"/>
    <w:rsid w:val="005460E9"/>
    <w:rsid w:val="005529F6"/>
    <w:rsid w:val="00552F1A"/>
    <w:rsid w:val="0055358A"/>
    <w:rsid w:val="0055454F"/>
    <w:rsid w:val="00560C17"/>
    <w:rsid w:val="00560FB2"/>
    <w:rsid w:val="005629BB"/>
    <w:rsid w:val="00562E49"/>
    <w:rsid w:val="00562F22"/>
    <w:rsid w:val="005636D4"/>
    <w:rsid w:val="00563888"/>
    <w:rsid w:val="00563D83"/>
    <w:rsid w:val="0056597A"/>
    <w:rsid w:val="00565A4E"/>
    <w:rsid w:val="005679C5"/>
    <w:rsid w:val="005701B1"/>
    <w:rsid w:val="005706B1"/>
    <w:rsid w:val="005709D3"/>
    <w:rsid w:val="00570CD6"/>
    <w:rsid w:val="00570DC1"/>
    <w:rsid w:val="0057105D"/>
    <w:rsid w:val="00571D93"/>
    <w:rsid w:val="005729F5"/>
    <w:rsid w:val="00573FFF"/>
    <w:rsid w:val="00574490"/>
    <w:rsid w:val="00574547"/>
    <w:rsid w:val="00574590"/>
    <w:rsid w:val="00574BF4"/>
    <w:rsid w:val="00575AFF"/>
    <w:rsid w:val="00576FE4"/>
    <w:rsid w:val="00577F03"/>
    <w:rsid w:val="00581B79"/>
    <w:rsid w:val="00583F8C"/>
    <w:rsid w:val="00583FFD"/>
    <w:rsid w:val="0058628D"/>
    <w:rsid w:val="0058644C"/>
    <w:rsid w:val="005866E9"/>
    <w:rsid w:val="005872D8"/>
    <w:rsid w:val="005874A9"/>
    <w:rsid w:val="00590645"/>
    <w:rsid w:val="00593152"/>
    <w:rsid w:val="00593415"/>
    <w:rsid w:val="00593616"/>
    <w:rsid w:val="005938F5"/>
    <w:rsid w:val="0059475B"/>
    <w:rsid w:val="0059538A"/>
    <w:rsid w:val="00595B7A"/>
    <w:rsid w:val="005962A0"/>
    <w:rsid w:val="005A0714"/>
    <w:rsid w:val="005A21E0"/>
    <w:rsid w:val="005A28B5"/>
    <w:rsid w:val="005A2ADA"/>
    <w:rsid w:val="005A35C9"/>
    <w:rsid w:val="005A3CEB"/>
    <w:rsid w:val="005A4539"/>
    <w:rsid w:val="005A5FA9"/>
    <w:rsid w:val="005A609D"/>
    <w:rsid w:val="005A7741"/>
    <w:rsid w:val="005A7D8C"/>
    <w:rsid w:val="005B259E"/>
    <w:rsid w:val="005B4204"/>
    <w:rsid w:val="005B4A27"/>
    <w:rsid w:val="005B52EE"/>
    <w:rsid w:val="005B5CDE"/>
    <w:rsid w:val="005B5E34"/>
    <w:rsid w:val="005B609E"/>
    <w:rsid w:val="005B6B27"/>
    <w:rsid w:val="005B7AFC"/>
    <w:rsid w:val="005C0BF9"/>
    <w:rsid w:val="005C11AC"/>
    <w:rsid w:val="005C2E31"/>
    <w:rsid w:val="005C665F"/>
    <w:rsid w:val="005C66E8"/>
    <w:rsid w:val="005C7143"/>
    <w:rsid w:val="005D353F"/>
    <w:rsid w:val="005D3651"/>
    <w:rsid w:val="005D37AA"/>
    <w:rsid w:val="005D3A8D"/>
    <w:rsid w:val="005D44A6"/>
    <w:rsid w:val="005D5733"/>
    <w:rsid w:val="005D5802"/>
    <w:rsid w:val="005D5C82"/>
    <w:rsid w:val="005D5E5F"/>
    <w:rsid w:val="005E2022"/>
    <w:rsid w:val="005E2DDB"/>
    <w:rsid w:val="005E33B5"/>
    <w:rsid w:val="005E3A2D"/>
    <w:rsid w:val="005E3FBD"/>
    <w:rsid w:val="005E505B"/>
    <w:rsid w:val="005E5795"/>
    <w:rsid w:val="005E5841"/>
    <w:rsid w:val="005E68B8"/>
    <w:rsid w:val="005E763D"/>
    <w:rsid w:val="005F0BD1"/>
    <w:rsid w:val="005F0E7E"/>
    <w:rsid w:val="005F2478"/>
    <w:rsid w:val="005F260F"/>
    <w:rsid w:val="005F3C22"/>
    <w:rsid w:val="005F5310"/>
    <w:rsid w:val="005F6461"/>
    <w:rsid w:val="005F6F84"/>
    <w:rsid w:val="00600B13"/>
    <w:rsid w:val="006010B5"/>
    <w:rsid w:val="00601C10"/>
    <w:rsid w:val="0060342E"/>
    <w:rsid w:val="00603BF6"/>
    <w:rsid w:val="00604307"/>
    <w:rsid w:val="00604311"/>
    <w:rsid w:val="00604542"/>
    <w:rsid w:val="0060487F"/>
    <w:rsid w:val="00605D3C"/>
    <w:rsid w:val="00607283"/>
    <w:rsid w:val="006078AD"/>
    <w:rsid w:val="00610EDF"/>
    <w:rsid w:val="006119BF"/>
    <w:rsid w:val="006137B9"/>
    <w:rsid w:val="00613EFD"/>
    <w:rsid w:val="00615C91"/>
    <w:rsid w:val="00616B56"/>
    <w:rsid w:val="006179E9"/>
    <w:rsid w:val="00620044"/>
    <w:rsid w:val="00620179"/>
    <w:rsid w:val="00623456"/>
    <w:rsid w:val="00624093"/>
    <w:rsid w:val="006257D8"/>
    <w:rsid w:val="0062654A"/>
    <w:rsid w:val="006269EA"/>
    <w:rsid w:val="00626F55"/>
    <w:rsid w:val="0063056C"/>
    <w:rsid w:val="0063382F"/>
    <w:rsid w:val="006343AA"/>
    <w:rsid w:val="00635C2B"/>
    <w:rsid w:val="0063630B"/>
    <w:rsid w:val="006400ED"/>
    <w:rsid w:val="006404A7"/>
    <w:rsid w:val="0064152C"/>
    <w:rsid w:val="00641532"/>
    <w:rsid w:val="00643C82"/>
    <w:rsid w:val="00644401"/>
    <w:rsid w:val="00644C9D"/>
    <w:rsid w:val="006451E4"/>
    <w:rsid w:val="006451F0"/>
    <w:rsid w:val="00645B93"/>
    <w:rsid w:val="00652AFC"/>
    <w:rsid w:val="006532F0"/>
    <w:rsid w:val="00655740"/>
    <w:rsid w:val="00656BF8"/>
    <w:rsid w:val="00657E87"/>
    <w:rsid w:val="00660575"/>
    <w:rsid w:val="00662212"/>
    <w:rsid w:val="00662635"/>
    <w:rsid w:val="00662A19"/>
    <w:rsid w:val="00663E02"/>
    <w:rsid w:val="006646F2"/>
    <w:rsid w:val="006652C4"/>
    <w:rsid w:val="006655D8"/>
    <w:rsid w:val="006664F5"/>
    <w:rsid w:val="006710C9"/>
    <w:rsid w:val="0067118A"/>
    <w:rsid w:val="00671F0C"/>
    <w:rsid w:val="00672297"/>
    <w:rsid w:val="00673310"/>
    <w:rsid w:val="00673CD6"/>
    <w:rsid w:val="00675E37"/>
    <w:rsid w:val="00681EC9"/>
    <w:rsid w:val="0068221E"/>
    <w:rsid w:val="0068260E"/>
    <w:rsid w:val="00682E35"/>
    <w:rsid w:val="00683E98"/>
    <w:rsid w:val="006841EA"/>
    <w:rsid w:val="006845D1"/>
    <w:rsid w:val="00687495"/>
    <w:rsid w:val="006902F9"/>
    <w:rsid w:val="00690FC3"/>
    <w:rsid w:val="00692262"/>
    <w:rsid w:val="00693C50"/>
    <w:rsid w:val="00693D68"/>
    <w:rsid w:val="006954F9"/>
    <w:rsid w:val="00695BEF"/>
    <w:rsid w:val="006977F6"/>
    <w:rsid w:val="00697A13"/>
    <w:rsid w:val="00697C74"/>
    <w:rsid w:val="006A109C"/>
    <w:rsid w:val="006A281E"/>
    <w:rsid w:val="006A2DAC"/>
    <w:rsid w:val="006A3AB0"/>
    <w:rsid w:val="006A41F7"/>
    <w:rsid w:val="006A4FCA"/>
    <w:rsid w:val="006A68FD"/>
    <w:rsid w:val="006B2637"/>
    <w:rsid w:val="006B44EB"/>
    <w:rsid w:val="006B6C1B"/>
    <w:rsid w:val="006B78D8"/>
    <w:rsid w:val="006B79DE"/>
    <w:rsid w:val="006C113F"/>
    <w:rsid w:val="006C2600"/>
    <w:rsid w:val="006C27E6"/>
    <w:rsid w:val="006C3601"/>
    <w:rsid w:val="006C3C9F"/>
    <w:rsid w:val="006C446E"/>
    <w:rsid w:val="006C4F1F"/>
    <w:rsid w:val="006C7525"/>
    <w:rsid w:val="006C7EA7"/>
    <w:rsid w:val="006D0D80"/>
    <w:rsid w:val="006D1CB5"/>
    <w:rsid w:val="006D24BB"/>
    <w:rsid w:val="006D2559"/>
    <w:rsid w:val="006D2BB0"/>
    <w:rsid w:val="006D2BDA"/>
    <w:rsid w:val="006D34C1"/>
    <w:rsid w:val="006D3963"/>
    <w:rsid w:val="006D41B2"/>
    <w:rsid w:val="006D4821"/>
    <w:rsid w:val="006D566D"/>
    <w:rsid w:val="006D61F6"/>
    <w:rsid w:val="006D7F8A"/>
    <w:rsid w:val="006E022D"/>
    <w:rsid w:val="006E0792"/>
    <w:rsid w:val="006E0C18"/>
    <w:rsid w:val="006E0C59"/>
    <w:rsid w:val="006E20A5"/>
    <w:rsid w:val="006E279A"/>
    <w:rsid w:val="006E30C5"/>
    <w:rsid w:val="006E313B"/>
    <w:rsid w:val="006E3865"/>
    <w:rsid w:val="006E4920"/>
    <w:rsid w:val="006E4DBB"/>
    <w:rsid w:val="006E5CD2"/>
    <w:rsid w:val="006E77B8"/>
    <w:rsid w:val="006E7C47"/>
    <w:rsid w:val="006F1594"/>
    <w:rsid w:val="006F1979"/>
    <w:rsid w:val="006F1D47"/>
    <w:rsid w:val="006F3933"/>
    <w:rsid w:val="006F44F9"/>
    <w:rsid w:val="006F51D5"/>
    <w:rsid w:val="006F5D28"/>
    <w:rsid w:val="006F5D5F"/>
    <w:rsid w:val="006F62F4"/>
    <w:rsid w:val="006F6A6F"/>
    <w:rsid w:val="006F6BF4"/>
    <w:rsid w:val="006F7318"/>
    <w:rsid w:val="006F7D6F"/>
    <w:rsid w:val="0070046A"/>
    <w:rsid w:val="007011A3"/>
    <w:rsid w:val="0070199D"/>
    <w:rsid w:val="00702312"/>
    <w:rsid w:val="00703A95"/>
    <w:rsid w:val="00704E80"/>
    <w:rsid w:val="007066ED"/>
    <w:rsid w:val="00707ACC"/>
    <w:rsid w:val="00710016"/>
    <w:rsid w:val="00710A84"/>
    <w:rsid w:val="00710C31"/>
    <w:rsid w:val="00711334"/>
    <w:rsid w:val="00711A84"/>
    <w:rsid w:val="00714941"/>
    <w:rsid w:val="00714A89"/>
    <w:rsid w:val="007158BD"/>
    <w:rsid w:val="00715C3C"/>
    <w:rsid w:val="007211F5"/>
    <w:rsid w:val="00721870"/>
    <w:rsid w:val="007266B1"/>
    <w:rsid w:val="00730645"/>
    <w:rsid w:val="00730AE2"/>
    <w:rsid w:val="00730AE8"/>
    <w:rsid w:val="00730E5F"/>
    <w:rsid w:val="00731782"/>
    <w:rsid w:val="007325E4"/>
    <w:rsid w:val="00732A80"/>
    <w:rsid w:val="00733287"/>
    <w:rsid w:val="00733953"/>
    <w:rsid w:val="007357DE"/>
    <w:rsid w:val="00737392"/>
    <w:rsid w:val="00737F64"/>
    <w:rsid w:val="00740247"/>
    <w:rsid w:val="00741493"/>
    <w:rsid w:val="0074449E"/>
    <w:rsid w:val="007504B3"/>
    <w:rsid w:val="0075203E"/>
    <w:rsid w:val="00752180"/>
    <w:rsid w:val="00753D5E"/>
    <w:rsid w:val="007546C7"/>
    <w:rsid w:val="0075538A"/>
    <w:rsid w:val="00755AFC"/>
    <w:rsid w:val="00755D3A"/>
    <w:rsid w:val="00757E60"/>
    <w:rsid w:val="00757F64"/>
    <w:rsid w:val="0076034C"/>
    <w:rsid w:val="007609C6"/>
    <w:rsid w:val="0076194D"/>
    <w:rsid w:val="00761B3D"/>
    <w:rsid w:val="00763242"/>
    <w:rsid w:val="00764739"/>
    <w:rsid w:val="00764CB6"/>
    <w:rsid w:val="0076676A"/>
    <w:rsid w:val="007701FB"/>
    <w:rsid w:val="00771C4D"/>
    <w:rsid w:val="00772FD6"/>
    <w:rsid w:val="00776527"/>
    <w:rsid w:val="00776925"/>
    <w:rsid w:val="00776E52"/>
    <w:rsid w:val="00777A7F"/>
    <w:rsid w:val="00782419"/>
    <w:rsid w:val="00782C2D"/>
    <w:rsid w:val="00784FF8"/>
    <w:rsid w:val="0078609D"/>
    <w:rsid w:val="007862F6"/>
    <w:rsid w:val="007866DC"/>
    <w:rsid w:val="007902DA"/>
    <w:rsid w:val="00790BA8"/>
    <w:rsid w:val="00792E1B"/>
    <w:rsid w:val="0079384B"/>
    <w:rsid w:val="00797B10"/>
    <w:rsid w:val="00797F5F"/>
    <w:rsid w:val="007A04CE"/>
    <w:rsid w:val="007A1D16"/>
    <w:rsid w:val="007A2F09"/>
    <w:rsid w:val="007A33E4"/>
    <w:rsid w:val="007A3CED"/>
    <w:rsid w:val="007A5211"/>
    <w:rsid w:val="007A5252"/>
    <w:rsid w:val="007A5794"/>
    <w:rsid w:val="007B05E9"/>
    <w:rsid w:val="007B06B2"/>
    <w:rsid w:val="007B06EC"/>
    <w:rsid w:val="007B077B"/>
    <w:rsid w:val="007B27B9"/>
    <w:rsid w:val="007B31E6"/>
    <w:rsid w:val="007B39E8"/>
    <w:rsid w:val="007C0837"/>
    <w:rsid w:val="007C1FCD"/>
    <w:rsid w:val="007C295A"/>
    <w:rsid w:val="007C2A31"/>
    <w:rsid w:val="007C3F6A"/>
    <w:rsid w:val="007C4C1A"/>
    <w:rsid w:val="007C626D"/>
    <w:rsid w:val="007C632B"/>
    <w:rsid w:val="007D0303"/>
    <w:rsid w:val="007D0714"/>
    <w:rsid w:val="007D0CCD"/>
    <w:rsid w:val="007D1FB5"/>
    <w:rsid w:val="007D2C7A"/>
    <w:rsid w:val="007D4055"/>
    <w:rsid w:val="007D51F1"/>
    <w:rsid w:val="007D5D17"/>
    <w:rsid w:val="007D66A3"/>
    <w:rsid w:val="007E2B9E"/>
    <w:rsid w:val="007E2CCC"/>
    <w:rsid w:val="007E3FA2"/>
    <w:rsid w:val="007E41A1"/>
    <w:rsid w:val="007E575C"/>
    <w:rsid w:val="007E7E61"/>
    <w:rsid w:val="007F0845"/>
    <w:rsid w:val="007F146E"/>
    <w:rsid w:val="007F1DB7"/>
    <w:rsid w:val="007F21F2"/>
    <w:rsid w:val="007F234B"/>
    <w:rsid w:val="007F2C20"/>
    <w:rsid w:val="007F3DCD"/>
    <w:rsid w:val="007F43BF"/>
    <w:rsid w:val="007F54C9"/>
    <w:rsid w:val="007F5A1B"/>
    <w:rsid w:val="007F6055"/>
    <w:rsid w:val="007F7649"/>
    <w:rsid w:val="007F7CD2"/>
    <w:rsid w:val="0080002C"/>
    <w:rsid w:val="00800AFD"/>
    <w:rsid w:val="0080103E"/>
    <w:rsid w:val="00801042"/>
    <w:rsid w:val="00801128"/>
    <w:rsid w:val="008046CE"/>
    <w:rsid w:val="0080498A"/>
    <w:rsid w:val="00804F81"/>
    <w:rsid w:val="0080500B"/>
    <w:rsid w:val="0080521C"/>
    <w:rsid w:val="00805E10"/>
    <w:rsid w:val="0080613B"/>
    <w:rsid w:val="00807C33"/>
    <w:rsid w:val="008101D1"/>
    <w:rsid w:val="00811FFE"/>
    <w:rsid w:val="0081287F"/>
    <w:rsid w:val="008132DA"/>
    <w:rsid w:val="008144AC"/>
    <w:rsid w:val="00817A19"/>
    <w:rsid w:val="00820B41"/>
    <w:rsid w:val="00821847"/>
    <w:rsid w:val="00821FF6"/>
    <w:rsid w:val="00822FAF"/>
    <w:rsid w:val="008239D7"/>
    <w:rsid w:val="00825F7B"/>
    <w:rsid w:val="00831054"/>
    <w:rsid w:val="0083143E"/>
    <w:rsid w:val="0083159F"/>
    <w:rsid w:val="008315BD"/>
    <w:rsid w:val="00832251"/>
    <w:rsid w:val="00832F47"/>
    <w:rsid w:val="0083479A"/>
    <w:rsid w:val="00834FAA"/>
    <w:rsid w:val="00836086"/>
    <w:rsid w:val="00840136"/>
    <w:rsid w:val="00840C7B"/>
    <w:rsid w:val="00840E30"/>
    <w:rsid w:val="00841063"/>
    <w:rsid w:val="00842E41"/>
    <w:rsid w:val="00844545"/>
    <w:rsid w:val="00844734"/>
    <w:rsid w:val="008458BA"/>
    <w:rsid w:val="00847509"/>
    <w:rsid w:val="00847B1D"/>
    <w:rsid w:val="00847E75"/>
    <w:rsid w:val="008503D2"/>
    <w:rsid w:val="0085164D"/>
    <w:rsid w:val="008530CD"/>
    <w:rsid w:val="0085659D"/>
    <w:rsid w:val="00856E6C"/>
    <w:rsid w:val="00857CF9"/>
    <w:rsid w:val="00861533"/>
    <w:rsid w:val="0086188F"/>
    <w:rsid w:val="008623C5"/>
    <w:rsid w:val="00862F08"/>
    <w:rsid w:val="00863620"/>
    <w:rsid w:val="00863D57"/>
    <w:rsid w:val="00866C5B"/>
    <w:rsid w:val="00867F87"/>
    <w:rsid w:val="008705D5"/>
    <w:rsid w:val="00870BD2"/>
    <w:rsid w:val="0087136A"/>
    <w:rsid w:val="00874347"/>
    <w:rsid w:val="00874492"/>
    <w:rsid w:val="0087478F"/>
    <w:rsid w:val="00875ACA"/>
    <w:rsid w:val="00875DD5"/>
    <w:rsid w:val="00876086"/>
    <w:rsid w:val="00876CA7"/>
    <w:rsid w:val="00876ED6"/>
    <w:rsid w:val="00877369"/>
    <w:rsid w:val="00877587"/>
    <w:rsid w:val="00877B42"/>
    <w:rsid w:val="00880A24"/>
    <w:rsid w:val="008819DC"/>
    <w:rsid w:val="00881B2C"/>
    <w:rsid w:val="008821EB"/>
    <w:rsid w:val="00882361"/>
    <w:rsid w:val="008829B8"/>
    <w:rsid w:val="00882CA7"/>
    <w:rsid w:val="00883EF6"/>
    <w:rsid w:val="00885F25"/>
    <w:rsid w:val="0088724D"/>
    <w:rsid w:val="0088749F"/>
    <w:rsid w:val="008877F9"/>
    <w:rsid w:val="00887973"/>
    <w:rsid w:val="00887BDA"/>
    <w:rsid w:val="00891172"/>
    <w:rsid w:val="0089338B"/>
    <w:rsid w:val="008937CB"/>
    <w:rsid w:val="00893EC7"/>
    <w:rsid w:val="008A1882"/>
    <w:rsid w:val="008A1F0F"/>
    <w:rsid w:val="008A23EC"/>
    <w:rsid w:val="008A2CD5"/>
    <w:rsid w:val="008A2E30"/>
    <w:rsid w:val="008A31DC"/>
    <w:rsid w:val="008A5856"/>
    <w:rsid w:val="008A5FFF"/>
    <w:rsid w:val="008A69D9"/>
    <w:rsid w:val="008A6C6F"/>
    <w:rsid w:val="008A7D69"/>
    <w:rsid w:val="008B272B"/>
    <w:rsid w:val="008B2742"/>
    <w:rsid w:val="008B2B07"/>
    <w:rsid w:val="008B4E2F"/>
    <w:rsid w:val="008B5E16"/>
    <w:rsid w:val="008B7A7D"/>
    <w:rsid w:val="008B7C02"/>
    <w:rsid w:val="008C0003"/>
    <w:rsid w:val="008C07F6"/>
    <w:rsid w:val="008C082F"/>
    <w:rsid w:val="008C0B92"/>
    <w:rsid w:val="008C0E88"/>
    <w:rsid w:val="008C1A57"/>
    <w:rsid w:val="008C2B90"/>
    <w:rsid w:val="008C3A0F"/>
    <w:rsid w:val="008C608F"/>
    <w:rsid w:val="008D0BD0"/>
    <w:rsid w:val="008D2A16"/>
    <w:rsid w:val="008D3CBD"/>
    <w:rsid w:val="008D6563"/>
    <w:rsid w:val="008D68F3"/>
    <w:rsid w:val="008E055A"/>
    <w:rsid w:val="008E183C"/>
    <w:rsid w:val="008E31FF"/>
    <w:rsid w:val="008E4065"/>
    <w:rsid w:val="008E5D69"/>
    <w:rsid w:val="008E6520"/>
    <w:rsid w:val="008F0178"/>
    <w:rsid w:val="008F0538"/>
    <w:rsid w:val="008F1814"/>
    <w:rsid w:val="008F196F"/>
    <w:rsid w:val="008F1F72"/>
    <w:rsid w:val="008F371B"/>
    <w:rsid w:val="008F5169"/>
    <w:rsid w:val="008F5329"/>
    <w:rsid w:val="009003A8"/>
    <w:rsid w:val="00901510"/>
    <w:rsid w:val="00902EFF"/>
    <w:rsid w:val="009037D1"/>
    <w:rsid w:val="009059F0"/>
    <w:rsid w:val="009064E1"/>
    <w:rsid w:val="00906960"/>
    <w:rsid w:val="00910405"/>
    <w:rsid w:val="00910A05"/>
    <w:rsid w:val="00912CAA"/>
    <w:rsid w:val="00914A9A"/>
    <w:rsid w:val="00915C41"/>
    <w:rsid w:val="00916458"/>
    <w:rsid w:val="00916650"/>
    <w:rsid w:val="00917541"/>
    <w:rsid w:val="00921108"/>
    <w:rsid w:val="0092187B"/>
    <w:rsid w:val="00921F14"/>
    <w:rsid w:val="00922BE8"/>
    <w:rsid w:val="009230B4"/>
    <w:rsid w:val="00924E49"/>
    <w:rsid w:val="009259D3"/>
    <w:rsid w:val="00925CA7"/>
    <w:rsid w:val="00927A01"/>
    <w:rsid w:val="00927C8B"/>
    <w:rsid w:val="009311FE"/>
    <w:rsid w:val="00932499"/>
    <w:rsid w:val="00933073"/>
    <w:rsid w:val="009338E5"/>
    <w:rsid w:val="0093390B"/>
    <w:rsid w:val="00933D08"/>
    <w:rsid w:val="00935B0F"/>
    <w:rsid w:val="00936C49"/>
    <w:rsid w:val="00941519"/>
    <w:rsid w:val="00941A36"/>
    <w:rsid w:val="00942A69"/>
    <w:rsid w:val="0094427A"/>
    <w:rsid w:val="0094535A"/>
    <w:rsid w:val="00946733"/>
    <w:rsid w:val="00947596"/>
    <w:rsid w:val="00950886"/>
    <w:rsid w:val="00952983"/>
    <w:rsid w:val="00952CB9"/>
    <w:rsid w:val="009558BD"/>
    <w:rsid w:val="00955B8B"/>
    <w:rsid w:val="00956737"/>
    <w:rsid w:val="009571CF"/>
    <w:rsid w:val="00960870"/>
    <w:rsid w:val="00960C15"/>
    <w:rsid w:val="00961E31"/>
    <w:rsid w:val="00962A7A"/>
    <w:rsid w:val="00962CF7"/>
    <w:rsid w:val="00963F00"/>
    <w:rsid w:val="00965629"/>
    <w:rsid w:val="0096694B"/>
    <w:rsid w:val="00970275"/>
    <w:rsid w:val="00970D6B"/>
    <w:rsid w:val="009711D5"/>
    <w:rsid w:val="0097142A"/>
    <w:rsid w:val="00971E56"/>
    <w:rsid w:val="00972D16"/>
    <w:rsid w:val="00974923"/>
    <w:rsid w:val="009757A9"/>
    <w:rsid w:val="00976B35"/>
    <w:rsid w:val="009777CB"/>
    <w:rsid w:val="00977E3B"/>
    <w:rsid w:val="009804D9"/>
    <w:rsid w:val="009804EE"/>
    <w:rsid w:val="0098213E"/>
    <w:rsid w:val="00984A3F"/>
    <w:rsid w:val="00984E99"/>
    <w:rsid w:val="00986188"/>
    <w:rsid w:val="00987E97"/>
    <w:rsid w:val="009932AF"/>
    <w:rsid w:val="009932EC"/>
    <w:rsid w:val="00994A4E"/>
    <w:rsid w:val="00995A29"/>
    <w:rsid w:val="00995C04"/>
    <w:rsid w:val="009A1C6B"/>
    <w:rsid w:val="009A30E6"/>
    <w:rsid w:val="009A3AED"/>
    <w:rsid w:val="009A5806"/>
    <w:rsid w:val="009A7070"/>
    <w:rsid w:val="009A7503"/>
    <w:rsid w:val="009B0673"/>
    <w:rsid w:val="009B1672"/>
    <w:rsid w:val="009B429E"/>
    <w:rsid w:val="009B6FD3"/>
    <w:rsid w:val="009B76CE"/>
    <w:rsid w:val="009B7811"/>
    <w:rsid w:val="009C084A"/>
    <w:rsid w:val="009C3246"/>
    <w:rsid w:val="009C3B7E"/>
    <w:rsid w:val="009C5416"/>
    <w:rsid w:val="009C5518"/>
    <w:rsid w:val="009C5CBD"/>
    <w:rsid w:val="009D2407"/>
    <w:rsid w:val="009D2BBA"/>
    <w:rsid w:val="009D2EFB"/>
    <w:rsid w:val="009D31C9"/>
    <w:rsid w:val="009D493D"/>
    <w:rsid w:val="009D4F2B"/>
    <w:rsid w:val="009D5058"/>
    <w:rsid w:val="009D549B"/>
    <w:rsid w:val="009D7A68"/>
    <w:rsid w:val="009E07D9"/>
    <w:rsid w:val="009E1A45"/>
    <w:rsid w:val="009E20CC"/>
    <w:rsid w:val="009E389F"/>
    <w:rsid w:val="009E3B01"/>
    <w:rsid w:val="009E5537"/>
    <w:rsid w:val="009E5D62"/>
    <w:rsid w:val="009E65B8"/>
    <w:rsid w:val="009E7CBA"/>
    <w:rsid w:val="009E7D09"/>
    <w:rsid w:val="009F2015"/>
    <w:rsid w:val="009F25B3"/>
    <w:rsid w:val="009F29BB"/>
    <w:rsid w:val="009F374A"/>
    <w:rsid w:val="009F4C2C"/>
    <w:rsid w:val="009F73C2"/>
    <w:rsid w:val="009F78A6"/>
    <w:rsid w:val="00A00D69"/>
    <w:rsid w:val="00A01184"/>
    <w:rsid w:val="00A031E5"/>
    <w:rsid w:val="00A033E7"/>
    <w:rsid w:val="00A04299"/>
    <w:rsid w:val="00A05934"/>
    <w:rsid w:val="00A05C52"/>
    <w:rsid w:val="00A05E18"/>
    <w:rsid w:val="00A0646D"/>
    <w:rsid w:val="00A06C1F"/>
    <w:rsid w:val="00A0746B"/>
    <w:rsid w:val="00A07932"/>
    <w:rsid w:val="00A10D66"/>
    <w:rsid w:val="00A11505"/>
    <w:rsid w:val="00A1203B"/>
    <w:rsid w:val="00A13FB1"/>
    <w:rsid w:val="00A1562B"/>
    <w:rsid w:val="00A16023"/>
    <w:rsid w:val="00A176E3"/>
    <w:rsid w:val="00A17ECA"/>
    <w:rsid w:val="00A21A2E"/>
    <w:rsid w:val="00A22DA0"/>
    <w:rsid w:val="00A235EF"/>
    <w:rsid w:val="00A23E43"/>
    <w:rsid w:val="00A25902"/>
    <w:rsid w:val="00A259C1"/>
    <w:rsid w:val="00A32F3F"/>
    <w:rsid w:val="00A33820"/>
    <w:rsid w:val="00A33BB6"/>
    <w:rsid w:val="00A3413D"/>
    <w:rsid w:val="00A346BD"/>
    <w:rsid w:val="00A4170C"/>
    <w:rsid w:val="00A41C6D"/>
    <w:rsid w:val="00A4328E"/>
    <w:rsid w:val="00A459EC"/>
    <w:rsid w:val="00A46DE0"/>
    <w:rsid w:val="00A5354B"/>
    <w:rsid w:val="00A53F26"/>
    <w:rsid w:val="00A542FC"/>
    <w:rsid w:val="00A56914"/>
    <w:rsid w:val="00A56D87"/>
    <w:rsid w:val="00A5724F"/>
    <w:rsid w:val="00A57A3A"/>
    <w:rsid w:val="00A605DD"/>
    <w:rsid w:val="00A616F2"/>
    <w:rsid w:val="00A62CE1"/>
    <w:rsid w:val="00A62D42"/>
    <w:rsid w:val="00A63804"/>
    <w:rsid w:val="00A63C51"/>
    <w:rsid w:val="00A6499A"/>
    <w:rsid w:val="00A650A8"/>
    <w:rsid w:val="00A65F61"/>
    <w:rsid w:val="00A67FDB"/>
    <w:rsid w:val="00A70410"/>
    <w:rsid w:val="00A70A04"/>
    <w:rsid w:val="00A70E08"/>
    <w:rsid w:val="00A72F8C"/>
    <w:rsid w:val="00A7383D"/>
    <w:rsid w:val="00A75964"/>
    <w:rsid w:val="00A75E40"/>
    <w:rsid w:val="00A76B96"/>
    <w:rsid w:val="00A76D62"/>
    <w:rsid w:val="00A77C4A"/>
    <w:rsid w:val="00A77CC5"/>
    <w:rsid w:val="00A808E6"/>
    <w:rsid w:val="00A81C4D"/>
    <w:rsid w:val="00A83B8B"/>
    <w:rsid w:val="00A85057"/>
    <w:rsid w:val="00A857C0"/>
    <w:rsid w:val="00A87389"/>
    <w:rsid w:val="00A87C69"/>
    <w:rsid w:val="00A92FE8"/>
    <w:rsid w:val="00A93911"/>
    <w:rsid w:val="00A9460A"/>
    <w:rsid w:val="00A94A15"/>
    <w:rsid w:val="00A94E20"/>
    <w:rsid w:val="00A95A16"/>
    <w:rsid w:val="00AA1B00"/>
    <w:rsid w:val="00AA294B"/>
    <w:rsid w:val="00AA2DF1"/>
    <w:rsid w:val="00AA421E"/>
    <w:rsid w:val="00AA4292"/>
    <w:rsid w:val="00AA4791"/>
    <w:rsid w:val="00AA559A"/>
    <w:rsid w:val="00AA672D"/>
    <w:rsid w:val="00AA6C83"/>
    <w:rsid w:val="00AA77CA"/>
    <w:rsid w:val="00AB10C4"/>
    <w:rsid w:val="00AB1E85"/>
    <w:rsid w:val="00AB25BC"/>
    <w:rsid w:val="00AB2AF1"/>
    <w:rsid w:val="00AB58C2"/>
    <w:rsid w:val="00AB67CD"/>
    <w:rsid w:val="00AB6DA6"/>
    <w:rsid w:val="00AB70B0"/>
    <w:rsid w:val="00AC126E"/>
    <w:rsid w:val="00AC1AEC"/>
    <w:rsid w:val="00AC2691"/>
    <w:rsid w:val="00AC2B58"/>
    <w:rsid w:val="00AC3332"/>
    <w:rsid w:val="00AC3597"/>
    <w:rsid w:val="00AC3697"/>
    <w:rsid w:val="00AC392B"/>
    <w:rsid w:val="00AC4260"/>
    <w:rsid w:val="00AC48C9"/>
    <w:rsid w:val="00AC57CA"/>
    <w:rsid w:val="00AC5832"/>
    <w:rsid w:val="00AC62CF"/>
    <w:rsid w:val="00AD0520"/>
    <w:rsid w:val="00AD056B"/>
    <w:rsid w:val="00AD233C"/>
    <w:rsid w:val="00AD306C"/>
    <w:rsid w:val="00AD3CE8"/>
    <w:rsid w:val="00AD50ED"/>
    <w:rsid w:val="00AD5637"/>
    <w:rsid w:val="00AE038C"/>
    <w:rsid w:val="00AE0ECC"/>
    <w:rsid w:val="00AE20C4"/>
    <w:rsid w:val="00AE302E"/>
    <w:rsid w:val="00AE3995"/>
    <w:rsid w:val="00AE3BAB"/>
    <w:rsid w:val="00AE501C"/>
    <w:rsid w:val="00AE5259"/>
    <w:rsid w:val="00AE7361"/>
    <w:rsid w:val="00AF3EF6"/>
    <w:rsid w:val="00AF543B"/>
    <w:rsid w:val="00AF6897"/>
    <w:rsid w:val="00AF6E7B"/>
    <w:rsid w:val="00AF6FDB"/>
    <w:rsid w:val="00AF71E4"/>
    <w:rsid w:val="00AF750B"/>
    <w:rsid w:val="00AF77F0"/>
    <w:rsid w:val="00B00C7B"/>
    <w:rsid w:val="00B00DEC"/>
    <w:rsid w:val="00B00E2A"/>
    <w:rsid w:val="00B021DC"/>
    <w:rsid w:val="00B031D4"/>
    <w:rsid w:val="00B03333"/>
    <w:rsid w:val="00B050E2"/>
    <w:rsid w:val="00B0569B"/>
    <w:rsid w:val="00B062B3"/>
    <w:rsid w:val="00B06698"/>
    <w:rsid w:val="00B06DA9"/>
    <w:rsid w:val="00B07DD5"/>
    <w:rsid w:val="00B11B89"/>
    <w:rsid w:val="00B13FFF"/>
    <w:rsid w:val="00B14834"/>
    <w:rsid w:val="00B15254"/>
    <w:rsid w:val="00B16BD5"/>
    <w:rsid w:val="00B178A2"/>
    <w:rsid w:val="00B17E71"/>
    <w:rsid w:val="00B17FDE"/>
    <w:rsid w:val="00B2077E"/>
    <w:rsid w:val="00B214B0"/>
    <w:rsid w:val="00B233C9"/>
    <w:rsid w:val="00B24A27"/>
    <w:rsid w:val="00B27E1F"/>
    <w:rsid w:val="00B30BF1"/>
    <w:rsid w:val="00B32114"/>
    <w:rsid w:val="00B325AF"/>
    <w:rsid w:val="00B32DDB"/>
    <w:rsid w:val="00B3335A"/>
    <w:rsid w:val="00B33686"/>
    <w:rsid w:val="00B33C76"/>
    <w:rsid w:val="00B360DE"/>
    <w:rsid w:val="00B40138"/>
    <w:rsid w:val="00B4079B"/>
    <w:rsid w:val="00B407D2"/>
    <w:rsid w:val="00B42399"/>
    <w:rsid w:val="00B42A43"/>
    <w:rsid w:val="00B4351A"/>
    <w:rsid w:val="00B45180"/>
    <w:rsid w:val="00B45197"/>
    <w:rsid w:val="00B456FE"/>
    <w:rsid w:val="00B45F1C"/>
    <w:rsid w:val="00B51E84"/>
    <w:rsid w:val="00B522F9"/>
    <w:rsid w:val="00B529B6"/>
    <w:rsid w:val="00B5555B"/>
    <w:rsid w:val="00B6551F"/>
    <w:rsid w:val="00B658C4"/>
    <w:rsid w:val="00B6608F"/>
    <w:rsid w:val="00B66298"/>
    <w:rsid w:val="00B664E4"/>
    <w:rsid w:val="00B66D41"/>
    <w:rsid w:val="00B66EF0"/>
    <w:rsid w:val="00B67CC5"/>
    <w:rsid w:val="00B718E1"/>
    <w:rsid w:val="00B72FED"/>
    <w:rsid w:val="00B765A7"/>
    <w:rsid w:val="00B7686B"/>
    <w:rsid w:val="00B76D1E"/>
    <w:rsid w:val="00B82A76"/>
    <w:rsid w:val="00B84588"/>
    <w:rsid w:val="00B849FD"/>
    <w:rsid w:val="00B858DD"/>
    <w:rsid w:val="00B86C5E"/>
    <w:rsid w:val="00B86FC5"/>
    <w:rsid w:val="00B90CE8"/>
    <w:rsid w:val="00B912EA"/>
    <w:rsid w:val="00B93D28"/>
    <w:rsid w:val="00B95940"/>
    <w:rsid w:val="00B967BC"/>
    <w:rsid w:val="00B96C64"/>
    <w:rsid w:val="00BA0022"/>
    <w:rsid w:val="00BA0F35"/>
    <w:rsid w:val="00BA1953"/>
    <w:rsid w:val="00BA2839"/>
    <w:rsid w:val="00BA2D52"/>
    <w:rsid w:val="00BA4E76"/>
    <w:rsid w:val="00BA5E51"/>
    <w:rsid w:val="00BA7D31"/>
    <w:rsid w:val="00BB1863"/>
    <w:rsid w:val="00BB26C2"/>
    <w:rsid w:val="00BB2BB3"/>
    <w:rsid w:val="00BB6799"/>
    <w:rsid w:val="00BB6921"/>
    <w:rsid w:val="00BB764B"/>
    <w:rsid w:val="00BB76FE"/>
    <w:rsid w:val="00BB7952"/>
    <w:rsid w:val="00BC3805"/>
    <w:rsid w:val="00BC39D0"/>
    <w:rsid w:val="00BC3E99"/>
    <w:rsid w:val="00BC46B1"/>
    <w:rsid w:val="00BC5110"/>
    <w:rsid w:val="00BC57A9"/>
    <w:rsid w:val="00BC6AC1"/>
    <w:rsid w:val="00BC6DAF"/>
    <w:rsid w:val="00BC79BD"/>
    <w:rsid w:val="00BC7B9A"/>
    <w:rsid w:val="00BD0E3B"/>
    <w:rsid w:val="00BD35AB"/>
    <w:rsid w:val="00BD366B"/>
    <w:rsid w:val="00BD3835"/>
    <w:rsid w:val="00BD43E0"/>
    <w:rsid w:val="00BD4C1C"/>
    <w:rsid w:val="00BD6537"/>
    <w:rsid w:val="00BD6CC1"/>
    <w:rsid w:val="00BD6D50"/>
    <w:rsid w:val="00BE0470"/>
    <w:rsid w:val="00BE0EF9"/>
    <w:rsid w:val="00BE1794"/>
    <w:rsid w:val="00BE1BBB"/>
    <w:rsid w:val="00BE1BFE"/>
    <w:rsid w:val="00BE33B7"/>
    <w:rsid w:val="00BE4FA5"/>
    <w:rsid w:val="00BE53CE"/>
    <w:rsid w:val="00BE607F"/>
    <w:rsid w:val="00BE63D0"/>
    <w:rsid w:val="00BE6F43"/>
    <w:rsid w:val="00BE76F6"/>
    <w:rsid w:val="00BF0713"/>
    <w:rsid w:val="00BF09A3"/>
    <w:rsid w:val="00BF13DF"/>
    <w:rsid w:val="00BF1812"/>
    <w:rsid w:val="00BF1815"/>
    <w:rsid w:val="00BF1FFC"/>
    <w:rsid w:val="00BF5E16"/>
    <w:rsid w:val="00BF6243"/>
    <w:rsid w:val="00BF6BE5"/>
    <w:rsid w:val="00BF6FC7"/>
    <w:rsid w:val="00C018F4"/>
    <w:rsid w:val="00C01BB8"/>
    <w:rsid w:val="00C04FD8"/>
    <w:rsid w:val="00C05523"/>
    <w:rsid w:val="00C058F6"/>
    <w:rsid w:val="00C05A64"/>
    <w:rsid w:val="00C05A6E"/>
    <w:rsid w:val="00C06CC8"/>
    <w:rsid w:val="00C1059A"/>
    <w:rsid w:val="00C10FB2"/>
    <w:rsid w:val="00C1208D"/>
    <w:rsid w:val="00C131F6"/>
    <w:rsid w:val="00C13EF3"/>
    <w:rsid w:val="00C140D5"/>
    <w:rsid w:val="00C14ECE"/>
    <w:rsid w:val="00C1712C"/>
    <w:rsid w:val="00C17654"/>
    <w:rsid w:val="00C21D10"/>
    <w:rsid w:val="00C21DE9"/>
    <w:rsid w:val="00C21F94"/>
    <w:rsid w:val="00C24DA9"/>
    <w:rsid w:val="00C26A32"/>
    <w:rsid w:val="00C31655"/>
    <w:rsid w:val="00C32F2D"/>
    <w:rsid w:val="00C3310B"/>
    <w:rsid w:val="00C3589C"/>
    <w:rsid w:val="00C3593B"/>
    <w:rsid w:val="00C370B8"/>
    <w:rsid w:val="00C41A67"/>
    <w:rsid w:val="00C42179"/>
    <w:rsid w:val="00C42F6C"/>
    <w:rsid w:val="00C4352B"/>
    <w:rsid w:val="00C43BDF"/>
    <w:rsid w:val="00C45446"/>
    <w:rsid w:val="00C46F75"/>
    <w:rsid w:val="00C470F8"/>
    <w:rsid w:val="00C471BD"/>
    <w:rsid w:val="00C5090D"/>
    <w:rsid w:val="00C50A5E"/>
    <w:rsid w:val="00C50FDC"/>
    <w:rsid w:val="00C512E7"/>
    <w:rsid w:val="00C52628"/>
    <w:rsid w:val="00C53308"/>
    <w:rsid w:val="00C53CF4"/>
    <w:rsid w:val="00C542DA"/>
    <w:rsid w:val="00C55C3C"/>
    <w:rsid w:val="00C56FAC"/>
    <w:rsid w:val="00C57270"/>
    <w:rsid w:val="00C6280F"/>
    <w:rsid w:val="00C64C19"/>
    <w:rsid w:val="00C6646D"/>
    <w:rsid w:val="00C67F19"/>
    <w:rsid w:val="00C67F66"/>
    <w:rsid w:val="00C719D9"/>
    <w:rsid w:val="00C723FE"/>
    <w:rsid w:val="00C735EE"/>
    <w:rsid w:val="00C73F4C"/>
    <w:rsid w:val="00C74158"/>
    <w:rsid w:val="00C742FF"/>
    <w:rsid w:val="00C74512"/>
    <w:rsid w:val="00C746C2"/>
    <w:rsid w:val="00C74B4D"/>
    <w:rsid w:val="00C75024"/>
    <w:rsid w:val="00C75E84"/>
    <w:rsid w:val="00C774BB"/>
    <w:rsid w:val="00C80ED6"/>
    <w:rsid w:val="00C81902"/>
    <w:rsid w:val="00C820B0"/>
    <w:rsid w:val="00C82CE9"/>
    <w:rsid w:val="00C84D63"/>
    <w:rsid w:val="00C866FE"/>
    <w:rsid w:val="00C86C49"/>
    <w:rsid w:val="00C87251"/>
    <w:rsid w:val="00C9027C"/>
    <w:rsid w:val="00C903FE"/>
    <w:rsid w:val="00C90CF4"/>
    <w:rsid w:val="00C92FA6"/>
    <w:rsid w:val="00C93389"/>
    <w:rsid w:val="00C933AC"/>
    <w:rsid w:val="00C93F57"/>
    <w:rsid w:val="00C94E77"/>
    <w:rsid w:val="00C9506B"/>
    <w:rsid w:val="00C958DA"/>
    <w:rsid w:val="00C95E3D"/>
    <w:rsid w:val="00C968A8"/>
    <w:rsid w:val="00C97150"/>
    <w:rsid w:val="00CA0C7F"/>
    <w:rsid w:val="00CA0F40"/>
    <w:rsid w:val="00CA27F3"/>
    <w:rsid w:val="00CA35BA"/>
    <w:rsid w:val="00CA441C"/>
    <w:rsid w:val="00CA4D03"/>
    <w:rsid w:val="00CA4D94"/>
    <w:rsid w:val="00CA59EE"/>
    <w:rsid w:val="00CA760D"/>
    <w:rsid w:val="00CA7A3A"/>
    <w:rsid w:val="00CA7A52"/>
    <w:rsid w:val="00CB00A8"/>
    <w:rsid w:val="00CB0BB6"/>
    <w:rsid w:val="00CB119D"/>
    <w:rsid w:val="00CB1250"/>
    <w:rsid w:val="00CB17B1"/>
    <w:rsid w:val="00CB23A0"/>
    <w:rsid w:val="00CB32EC"/>
    <w:rsid w:val="00CB36E1"/>
    <w:rsid w:val="00CB3964"/>
    <w:rsid w:val="00CB3EB5"/>
    <w:rsid w:val="00CB3F4C"/>
    <w:rsid w:val="00CB41CA"/>
    <w:rsid w:val="00CB558B"/>
    <w:rsid w:val="00CB62F8"/>
    <w:rsid w:val="00CB6838"/>
    <w:rsid w:val="00CB72EF"/>
    <w:rsid w:val="00CB7789"/>
    <w:rsid w:val="00CC0FC5"/>
    <w:rsid w:val="00CC113E"/>
    <w:rsid w:val="00CC1887"/>
    <w:rsid w:val="00CC53D5"/>
    <w:rsid w:val="00CC7383"/>
    <w:rsid w:val="00CD3B46"/>
    <w:rsid w:val="00CD5F03"/>
    <w:rsid w:val="00CE00F3"/>
    <w:rsid w:val="00CE08D6"/>
    <w:rsid w:val="00CE14CF"/>
    <w:rsid w:val="00CE2846"/>
    <w:rsid w:val="00CE4007"/>
    <w:rsid w:val="00CE56E4"/>
    <w:rsid w:val="00CE598F"/>
    <w:rsid w:val="00CE7EF8"/>
    <w:rsid w:val="00CF18E7"/>
    <w:rsid w:val="00CF224A"/>
    <w:rsid w:val="00CF2259"/>
    <w:rsid w:val="00CF2971"/>
    <w:rsid w:val="00CF2DA7"/>
    <w:rsid w:val="00CF390A"/>
    <w:rsid w:val="00CF462A"/>
    <w:rsid w:val="00CF47FD"/>
    <w:rsid w:val="00CF51EC"/>
    <w:rsid w:val="00CF5D65"/>
    <w:rsid w:val="00CF5EF2"/>
    <w:rsid w:val="00CF6243"/>
    <w:rsid w:val="00CF718B"/>
    <w:rsid w:val="00D00F19"/>
    <w:rsid w:val="00D02C4B"/>
    <w:rsid w:val="00D02E65"/>
    <w:rsid w:val="00D040DD"/>
    <w:rsid w:val="00D045D0"/>
    <w:rsid w:val="00D04839"/>
    <w:rsid w:val="00D06ABA"/>
    <w:rsid w:val="00D1146A"/>
    <w:rsid w:val="00D146E8"/>
    <w:rsid w:val="00D147B3"/>
    <w:rsid w:val="00D20B8E"/>
    <w:rsid w:val="00D234F5"/>
    <w:rsid w:val="00D267E2"/>
    <w:rsid w:val="00D269E0"/>
    <w:rsid w:val="00D26F9E"/>
    <w:rsid w:val="00D27D15"/>
    <w:rsid w:val="00D31B66"/>
    <w:rsid w:val="00D31E66"/>
    <w:rsid w:val="00D32157"/>
    <w:rsid w:val="00D32602"/>
    <w:rsid w:val="00D3282C"/>
    <w:rsid w:val="00D358C6"/>
    <w:rsid w:val="00D358E2"/>
    <w:rsid w:val="00D36AF6"/>
    <w:rsid w:val="00D41AF1"/>
    <w:rsid w:val="00D42693"/>
    <w:rsid w:val="00D45574"/>
    <w:rsid w:val="00D45F16"/>
    <w:rsid w:val="00D50475"/>
    <w:rsid w:val="00D51E6B"/>
    <w:rsid w:val="00D52355"/>
    <w:rsid w:val="00D56A23"/>
    <w:rsid w:val="00D56DE9"/>
    <w:rsid w:val="00D57021"/>
    <w:rsid w:val="00D6000F"/>
    <w:rsid w:val="00D6037C"/>
    <w:rsid w:val="00D60E57"/>
    <w:rsid w:val="00D613CB"/>
    <w:rsid w:val="00D63EF8"/>
    <w:rsid w:val="00D644E2"/>
    <w:rsid w:val="00D654DC"/>
    <w:rsid w:val="00D65603"/>
    <w:rsid w:val="00D66CCF"/>
    <w:rsid w:val="00D672A9"/>
    <w:rsid w:val="00D67910"/>
    <w:rsid w:val="00D67F43"/>
    <w:rsid w:val="00D7025D"/>
    <w:rsid w:val="00D7198E"/>
    <w:rsid w:val="00D72C5F"/>
    <w:rsid w:val="00D72E21"/>
    <w:rsid w:val="00D73DB5"/>
    <w:rsid w:val="00D7448A"/>
    <w:rsid w:val="00D74C64"/>
    <w:rsid w:val="00D74F7F"/>
    <w:rsid w:val="00D75128"/>
    <w:rsid w:val="00D7517A"/>
    <w:rsid w:val="00D76098"/>
    <w:rsid w:val="00D81FA6"/>
    <w:rsid w:val="00D83753"/>
    <w:rsid w:val="00D87A8C"/>
    <w:rsid w:val="00D90BEC"/>
    <w:rsid w:val="00D91C28"/>
    <w:rsid w:val="00D91C65"/>
    <w:rsid w:val="00D92675"/>
    <w:rsid w:val="00D9313A"/>
    <w:rsid w:val="00D9320F"/>
    <w:rsid w:val="00D94B8F"/>
    <w:rsid w:val="00D9797A"/>
    <w:rsid w:val="00DA343E"/>
    <w:rsid w:val="00DA3C1D"/>
    <w:rsid w:val="00DA4844"/>
    <w:rsid w:val="00DA6EF6"/>
    <w:rsid w:val="00DA7501"/>
    <w:rsid w:val="00DB121B"/>
    <w:rsid w:val="00DB192A"/>
    <w:rsid w:val="00DB3CE2"/>
    <w:rsid w:val="00DC02CB"/>
    <w:rsid w:val="00DC5B3B"/>
    <w:rsid w:val="00DC784D"/>
    <w:rsid w:val="00DD0290"/>
    <w:rsid w:val="00DD095F"/>
    <w:rsid w:val="00DD1820"/>
    <w:rsid w:val="00DD49EA"/>
    <w:rsid w:val="00DD6740"/>
    <w:rsid w:val="00DE0583"/>
    <w:rsid w:val="00DE0CF4"/>
    <w:rsid w:val="00DE25A4"/>
    <w:rsid w:val="00DE3B56"/>
    <w:rsid w:val="00DE5E80"/>
    <w:rsid w:val="00DE6696"/>
    <w:rsid w:val="00DF10E8"/>
    <w:rsid w:val="00DF1398"/>
    <w:rsid w:val="00DF213B"/>
    <w:rsid w:val="00DF29A0"/>
    <w:rsid w:val="00DF2F8C"/>
    <w:rsid w:val="00DF372F"/>
    <w:rsid w:val="00DF3F1A"/>
    <w:rsid w:val="00DF4CB8"/>
    <w:rsid w:val="00DF53E1"/>
    <w:rsid w:val="00DF6D95"/>
    <w:rsid w:val="00E006FC"/>
    <w:rsid w:val="00E01C0E"/>
    <w:rsid w:val="00E02E42"/>
    <w:rsid w:val="00E04694"/>
    <w:rsid w:val="00E04E69"/>
    <w:rsid w:val="00E05C11"/>
    <w:rsid w:val="00E06BAF"/>
    <w:rsid w:val="00E07C43"/>
    <w:rsid w:val="00E07E5C"/>
    <w:rsid w:val="00E07EEF"/>
    <w:rsid w:val="00E106F6"/>
    <w:rsid w:val="00E1187E"/>
    <w:rsid w:val="00E11A6B"/>
    <w:rsid w:val="00E12D30"/>
    <w:rsid w:val="00E1419F"/>
    <w:rsid w:val="00E14242"/>
    <w:rsid w:val="00E14EF5"/>
    <w:rsid w:val="00E158E3"/>
    <w:rsid w:val="00E15D60"/>
    <w:rsid w:val="00E161F0"/>
    <w:rsid w:val="00E177BB"/>
    <w:rsid w:val="00E2006C"/>
    <w:rsid w:val="00E21405"/>
    <w:rsid w:val="00E22100"/>
    <w:rsid w:val="00E23138"/>
    <w:rsid w:val="00E23F25"/>
    <w:rsid w:val="00E27CCB"/>
    <w:rsid w:val="00E30576"/>
    <w:rsid w:val="00E30C67"/>
    <w:rsid w:val="00E30F7E"/>
    <w:rsid w:val="00E319A7"/>
    <w:rsid w:val="00E3226E"/>
    <w:rsid w:val="00E32358"/>
    <w:rsid w:val="00E33EAE"/>
    <w:rsid w:val="00E340F9"/>
    <w:rsid w:val="00E356DC"/>
    <w:rsid w:val="00E36668"/>
    <w:rsid w:val="00E37E22"/>
    <w:rsid w:val="00E37E78"/>
    <w:rsid w:val="00E41ADA"/>
    <w:rsid w:val="00E4343A"/>
    <w:rsid w:val="00E448D6"/>
    <w:rsid w:val="00E448FE"/>
    <w:rsid w:val="00E452C6"/>
    <w:rsid w:val="00E4796A"/>
    <w:rsid w:val="00E47F4A"/>
    <w:rsid w:val="00E5027D"/>
    <w:rsid w:val="00E504C3"/>
    <w:rsid w:val="00E50CCB"/>
    <w:rsid w:val="00E51F58"/>
    <w:rsid w:val="00E55662"/>
    <w:rsid w:val="00E57599"/>
    <w:rsid w:val="00E605BF"/>
    <w:rsid w:val="00E6084F"/>
    <w:rsid w:val="00E6176C"/>
    <w:rsid w:val="00E6225C"/>
    <w:rsid w:val="00E645F1"/>
    <w:rsid w:val="00E666F7"/>
    <w:rsid w:val="00E670F2"/>
    <w:rsid w:val="00E67DC3"/>
    <w:rsid w:val="00E70D8E"/>
    <w:rsid w:val="00E70E16"/>
    <w:rsid w:val="00E71762"/>
    <w:rsid w:val="00E71A58"/>
    <w:rsid w:val="00E7371B"/>
    <w:rsid w:val="00E743CE"/>
    <w:rsid w:val="00E74F8C"/>
    <w:rsid w:val="00E7515E"/>
    <w:rsid w:val="00E774CD"/>
    <w:rsid w:val="00E8090A"/>
    <w:rsid w:val="00E81E1F"/>
    <w:rsid w:val="00E82D69"/>
    <w:rsid w:val="00E85053"/>
    <w:rsid w:val="00E86361"/>
    <w:rsid w:val="00E86604"/>
    <w:rsid w:val="00E868DA"/>
    <w:rsid w:val="00E90A26"/>
    <w:rsid w:val="00E91A44"/>
    <w:rsid w:val="00E92F4D"/>
    <w:rsid w:val="00E93909"/>
    <w:rsid w:val="00E9466F"/>
    <w:rsid w:val="00E94B96"/>
    <w:rsid w:val="00EA0C68"/>
    <w:rsid w:val="00EA59D1"/>
    <w:rsid w:val="00EA682A"/>
    <w:rsid w:val="00EA6B7C"/>
    <w:rsid w:val="00EA781F"/>
    <w:rsid w:val="00EB0339"/>
    <w:rsid w:val="00EB0F76"/>
    <w:rsid w:val="00EB5A3F"/>
    <w:rsid w:val="00EB61E0"/>
    <w:rsid w:val="00EB74A4"/>
    <w:rsid w:val="00EB7F5D"/>
    <w:rsid w:val="00EC3A88"/>
    <w:rsid w:val="00EC4790"/>
    <w:rsid w:val="00EC51F6"/>
    <w:rsid w:val="00EC6F5C"/>
    <w:rsid w:val="00ED0D88"/>
    <w:rsid w:val="00ED1A01"/>
    <w:rsid w:val="00ED2197"/>
    <w:rsid w:val="00ED47AF"/>
    <w:rsid w:val="00ED47CE"/>
    <w:rsid w:val="00ED48F5"/>
    <w:rsid w:val="00ED7B6C"/>
    <w:rsid w:val="00ED7D19"/>
    <w:rsid w:val="00EE01F9"/>
    <w:rsid w:val="00EE0758"/>
    <w:rsid w:val="00EE15DA"/>
    <w:rsid w:val="00EE18C8"/>
    <w:rsid w:val="00EE19D4"/>
    <w:rsid w:val="00EE3E78"/>
    <w:rsid w:val="00EE46B8"/>
    <w:rsid w:val="00EE52FC"/>
    <w:rsid w:val="00EE5A03"/>
    <w:rsid w:val="00EF1F5A"/>
    <w:rsid w:val="00EF242C"/>
    <w:rsid w:val="00EF472B"/>
    <w:rsid w:val="00EF66EC"/>
    <w:rsid w:val="00EF67EC"/>
    <w:rsid w:val="00F041E6"/>
    <w:rsid w:val="00F04227"/>
    <w:rsid w:val="00F0434B"/>
    <w:rsid w:val="00F04371"/>
    <w:rsid w:val="00F04811"/>
    <w:rsid w:val="00F0488C"/>
    <w:rsid w:val="00F04FA9"/>
    <w:rsid w:val="00F05A26"/>
    <w:rsid w:val="00F10454"/>
    <w:rsid w:val="00F10BC7"/>
    <w:rsid w:val="00F111AC"/>
    <w:rsid w:val="00F11CF4"/>
    <w:rsid w:val="00F1224F"/>
    <w:rsid w:val="00F12B9A"/>
    <w:rsid w:val="00F13E2C"/>
    <w:rsid w:val="00F14C04"/>
    <w:rsid w:val="00F15118"/>
    <w:rsid w:val="00F15BEF"/>
    <w:rsid w:val="00F20947"/>
    <w:rsid w:val="00F22E88"/>
    <w:rsid w:val="00F22E95"/>
    <w:rsid w:val="00F23B29"/>
    <w:rsid w:val="00F24FAA"/>
    <w:rsid w:val="00F26446"/>
    <w:rsid w:val="00F30D8A"/>
    <w:rsid w:val="00F30DDC"/>
    <w:rsid w:val="00F326AB"/>
    <w:rsid w:val="00F3364D"/>
    <w:rsid w:val="00F3436C"/>
    <w:rsid w:val="00F35998"/>
    <w:rsid w:val="00F36022"/>
    <w:rsid w:val="00F40065"/>
    <w:rsid w:val="00F408FA"/>
    <w:rsid w:val="00F40DE5"/>
    <w:rsid w:val="00F421F8"/>
    <w:rsid w:val="00F4270C"/>
    <w:rsid w:val="00F437B7"/>
    <w:rsid w:val="00F43EEB"/>
    <w:rsid w:val="00F46002"/>
    <w:rsid w:val="00F463E6"/>
    <w:rsid w:val="00F4728B"/>
    <w:rsid w:val="00F52700"/>
    <w:rsid w:val="00F52FA3"/>
    <w:rsid w:val="00F531AC"/>
    <w:rsid w:val="00F540E4"/>
    <w:rsid w:val="00F553C2"/>
    <w:rsid w:val="00F5744D"/>
    <w:rsid w:val="00F578EF"/>
    <w:rsid w:val="00F602B9"/>
    <w:rsid w:val="00F60D2B"/>
    <w:rsid w:val="00F624DF"/>
    <w:rsid w:val="00F62595"/>
    <w:rsid w:val="00F63783"/>
    <w:rsid w:val="00F638C8"/>
    <w:rsid w:val="00F63DDE"/>
    <w:rsid w:val="00F63FB7"/>
    <w:rsid w:val="00F647F4"/>
    <w:rsid w:val="00F6483C"/>
    <w:rsid w:val="00F64CCD"/>
    <w:rsid w:val="00F65CF4"/>
    <w:rsid w:val="00F6693A"/>
    <w:rsid w:val="00F709C7"/>
    <w:rsid w:val="00F71114"/>
    <w:rsid w:val="00F728A1"/>
    <w:rsid w:val="00F72D92"/>
    <w:rsid w:val="00F72EE1"/>
    <w:rsid w:val="00F73825"/>
    <w:rsid w:val="00F73A0C"/>
    <w:rsid w:val="00F772E1"/>
    <w:rsid w:val="00F77436"/>
    <w:rsid w:val="00F801C6"/>
    <w:rsid w:val="00F81435"/>
    <w:rsid w:val="00F81CB0"/>
    <w:rsid w:val="00F831FB"/>
    <w:rsid w:val="00F83C23"/>
    <w:rsid w:val="00F8791C"/>
    <w:rsid w:val="00F91B9A"/>
    <w:rsid w:val="00F922A4"/>
    <w:rsid w:val="00F924CB"/>
    <w:rsid w:val="00F94952"/>
    <w:rsid w:val="00F96B12"/>
    <w:rsid w:val="00FA2AFF"/>
    <w:rsid w:val="00FA409B"/>
    <w:rsid w:val="00FA4137"/>
    <w:rsid w:val="00FA457D"/>
    <w:rsid w:val="00FA46D4"/>
    <w:rsid w:val="00FA4C51"/>
    <w:rsid w:val="00FA4D1E"/>
    <w:rsid w:val="00FA6478"/>
    <w:rsid w:val="00FA7258"/>
    <w:rsid w:val="00FA7A2A"/>
    <w:rsid w:val="00FB0324"/>
    <w:rsid w:val="00FB1007"/>
    <w:rsid w:val="00FB1379"/>
    <w:rsid w:val="00FB259D"/>
    <w:rsid w:val="00FB3236"/>
    <w:rsid w:val="00FB45E6"/>
    <w:rsid w:val="00FB479D"/>
    <w:rsid w:val="00FB57C8"/>
    <w:rsid w:val="00FB5C16"/>
    <w:rsid w:val="00FB6EB9"/>
    <w:rsid w:val="00FC075C"/>
    <w:rsid w:val="00FC0E5F"/>
    <w:rsid w:val="00FC15DA"/>
    <w:rsid w:val="00FC3922"/>
    <w:rsid w:val="00FC47B4"/>
    <w:rsid w:val="00FC56DE"/>
    <w:rsid w:val="00FC58DB"/>
    <w:rsid w:val="00FD0F83"/>
    <w:rsid w:val="00FD141D"/>
    <w:rsid w:val="00FD2941"/>
    <w:rsid w:val="00FD3859"/>
    <w:rsid w:val="00FD4884"/>
    <w:rsid w:val="00FD72B0"/>
    <w:rsid w:val="00FD73C6"/>
    <w:rsid w:val="00FE026D"/>
    <w:rsid w:val="00FE06F5"/>
    <w:rsid w:val="00FE14FD"/>
    <w:rsid w:val="00FE2310"/>
    <w:rsid w:val="00FE2398"/>
    <w:rsid w:val="00FE2612"/>
    <w:rsid w:val="00FE2D71"/>
    <w:rsid w:val="00FE2F78"/>
    <w:rsid w:val="00FE47AD"/>
    <w:rsid w:val="00FE4B35"/>
    <w:rsid w:val="00FE6728"/>
    <w:rsid w:val="00FE7501"/>
    <w:rsid w:val="00FE7FDD"/>
    <w:rsid w:val="00FF074A"/>
    <w:rsid w:val="00FF2B86"/>
    <w:rsid w:val="00FF3BF1"/>
    <w:rsid w:val="00FF4878"/>
    <w:rsid w:val="00FF5580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2A67A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857CF9"/>
    <w:pPr>
      <w:spacing w:line="240" w:lineRule="auto"/>
      <w:jc w:val="both"/>
    </w:pPr>
    <w:rPr>
      <w:rFonts w:ascii="Garamond" w:hAnsi="Garamond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57CF9"/>
    <w:rPr>
      <w:rFonts w:ascii="Garamond" w:eastAsia="Times New Roman" w:hAnsi="Garamond"/>
      <w:sz w:val="24"/>
      <w:szCs w:val="24"/>
    </w:rPr>
  </w:style>
  <w:style w:type="paragraph" w:styleId="Titulek">
    <w:name w:val="caption"/>
    <w:basedOn w:val="Normln"/>
    <w:next w:val="Normln"/>
    <w:qFormat/>
    <w:rsid w:val="00857CF9"/>
    <w:pPr>
      <w:pBdr>
        <w:bottom w:val="single" w:sz="4" w:space="1" w:color="808080"/>
      </w:pBdr>
      <w:spacing w:line="240" w:lineRule="auto"/>
    </w:pPr>
    <w:rPr>
      <w:rFonts w:ascii="Calibri" w:hAnsi="Calibri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.europa.eu/eurostat/web/science-technology-innovatio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www.oecd.org/sti/rd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1_PRACE_CSU\__GBAORD%202014\___PUB%20GBARD%202014\01_TEXTY\ANA14\GBARD14_ANAL_PART2_v01_2015-11-0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1_PRACE_CSU\__GBAORD%202014\___PUB%20GBARD%202014\01_TEXTY\ANA14\GBARD14_ANAL_PART2_v01_2015-11-0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1_PRACE_CSU\__GBAORD%202014\___PUB%20GBARD%202014\01_TEXTY\ANA14\GBARD14_ANAL_PART2_v01_2015-11-0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2_IS%20VaV_GBAORD\06_V&#253;stupy%20z%20projektu\01_Publikace\GBAORD%202014\01_TEXTY\ANA14_2015-11-08\GBARD14_ANALYZA_2015-11-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'GRAF4-1'!$B$2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Pt>
            <c:idx val="9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10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11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</c:spPr>
          </c:dPt>
          <c:dPt>
            <c:idx val="15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17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</c:spPr>
          </c:dPt>
          <c:cat>
            <c:strRef>
              <c:f>'GRAF4-1'!$A$3:$A$38</c:f>
              <c:strCache>
                <c:ptCount val="36"/>
                <c:pt idx="0">
                  <c:v>Dánsko</c:v>
                </c:pt>
                <c:pt idx="1">
                  <c:v>Finsko</c:v>
                </c:pt>
                <c:pt idx="2">
                  <c:v>Portugalsko</c:v>
                </c:pt>
                <c:pt idx="3">
                  <c:v>Německo</c:v>
                </c:pt>
                <c:pt idx="4">
                  <c:v>Švédsko</c:v>
                </c:pt>
                <c:pt idx="5">
                  <c:v>Rakousko</c:v>
                </c:pt>
                <c:pt idx="6">
                  <c:v>Estonsko</c:v>
                </c:pt>
                <c:pt idx="7">
                  <c:v>Nizozemsko</c:v>
                </c:pt>
                <c:pt idx="8">
                  <c:v>Francie</c:v>
                </c:pt>
                <c:pt idx="9">
                  <c:v>EU28</c:v>
                </c:pt>
                <c:pt idx="10">
                  <c:v>Belgie</c:v>
                </c:pt>
                <c:pt idx="11">
                  <c:v>Česká republika</c:v>
                </c:pt>
                <c:pt idx="12">
                  <c:v>Lucembursko</c:v>
                </c:pt>
                <c:pt idx="13">
                  <c:v>Chorvatsko</c:v>
                </c:pt>
                <c:pt idx="14">
                  <c:v>Spojené království</c:v>
                </c:pt>
                <c:pt idx="15">
                  <c:v>Španělsko</c:v>
                </c:pt>
                <c:pt idx="16">
                  <c:v>Itálie</c:v>
                </c:pt>
                <c:pt idx="17">
                  <c:v>Slovinsko</c:v>
                </c:pt>
                <c:pt idx="18">
                  <c:v>Řecko</c:v>
                </c:pt>
                <c:pt idx="19">
                  <c:v>Maďarsko</c:v>
                </c:pt>
                <c:pt idx="20">
                  <c:v>Irsko</c:v>
                </c:pt>
                <c:pt idx="21">
                  <c:v>Slovensko</c:v>
                </c:pt>
                <c:pt idx="22">
                  <c:v>Kypr</c:v>
                </c:pt>
                <c:pt idx="23">
                  <c:v>Litva</c:v>
                </c:pt>
                <c:pt idx="24">
                  <c:v>Polsko</c:v>
                </c:pt>
                <c:pt idx="25">
                  <c:v>Bulharsko</c:v>
                </c:pt>
                <c:pt idx="26">
                  <c:v>Malta</c:v>
                </c:pt>
                <c:pt idx="27">
                  <c:v>Rumunsko</c:v>
                </c:pt>
                <c:pt idx="28">
                  <c:v>Lotyšsko</c:v>
                </c:pt>
                <c:pt idx="30">
                  <c:v>Jižní Korea (2011)</c:v>
                </c:pt>
                <c:pt idx="31">
                  <c:v>Island</c:v>
                </c:pt>
                <c:pt idx="32">
                  <c:v>Norsko</c:v>
                </c:pt>
                <c:pt idx="33">
                  <c:v>USA</c:v>
                </c:pt>
                <c:pt idx="34">
                  <c:v>Japonsko</c:v>
                </c:pt>
                <c:pt idx="35">
                  <c:v>Rusko</c:v>
                </c:pt>
              </c:strCache>
            </c:strRef>
          </c:cat>
          <c:val>
            <c:numRef>
              <c:f>'GRAF4-1'!$B$3:$B$38</c:f>
              <c:numCache>
                <c:formatCode>0.0%</c:formatCode>
                <c:ptCount val="36"/>
                <c:pt idx="0">
                  <c:v>1.0200000000000008E-2</c:v>
                </c:pt>
                <c:pt idx="1">
                  <c:v>9.5000000000000102E-3</c:v>
                </c:pt>
                <c:pt idx="2">
                  <c:v>9.400000000000009E-3</c:v>
                </c:pt>
                <c:pt idx="3">
                  <c:v>8.8000000000000092E-3</c:v>
                </c:pt>
                <c:pt idx="4">
                  <c:v>8.4000000000000099E-3</c:v>
                </c:pt>
                <c:pt idx="5">
                  <c:v>8.3000000000000122E-3</c:v>
                </c:pt>
                <c:pt idx="6">
                  <c:v>7.6000000000000061E-3</c:v>
                </c:pt>
                <c:pt idx="7">
                  <c:v>7.400000000000009E-3</c:v>
                </c:pt>
                <c:pt idx="8">
                  <c:v>6.9000000000000086E-3</c:v>
                </c:pt>
                <c:pt idx="9">
                  <c:v>6.7000000000000063E-3</c:v>
                </c:pt>
                <c:pt idx="10">
                  <c:v>6.5000000000000058E-3</c:v>
                </c:pt>
                <c:pt idx="11">
                  <c:v>6.4000000000000072E-3</c:v>
                </c:pt>
                <c:pt idx="12">
                  <c:v>6.3000000000000052E-3</c:v>
                </c:pt>
                <c:pt idx="13">
                  <c:v>6.2000000000000059E-3</c:v>
                </c:pt>
                <c:pt idx="14">
                  <c:v>5.6999999999999993E-3</c:v>
                </c:pt>
                <c:pt idx="15">
                  <c:v>5.1000000000000021E-3</c:v>
                </c:pt>
                <c:pt idx="16">
                  <c:v>5.0000000000000044E-3</c:v>
                </c:pt>
                <c:pt idx="17">
                  <c:v>4.9000000000000059E-3</c:v>
                </c:pt>
                <c:pt idx="18">
                  <c:v>4.6000000000000034E-3</c:v>
                </c:pt>
                <c:pt idx="19">
                  <c:v>4.4000000000000046E-3</c:v>
                </c:pt>
                <c:pt idx="20">
                  <c:v>3.9000000000000029E-3</c:v>
                </c:pt>
                <c:pt idx="21">
                  <c:v>3.9000000000000029E-3</c:v>
                </c:pt>
                <c:pt idx="22">
                  <c:v>3.5000000000000035E-3</c:v>
                </c:pt>
                <c:pt idx="23">
                  <c:v>3.5000000000000035E-3</c:v>
                </c:pt>
                <c:pt idx="24">
                  <c:v>3.0000000000000035E-3</c:v>
                </c:pt>
                <c:pt idx="25">
                  <c:v>2.5000000000000022E-3</c:v>
                </c:pt>
                <c:pt idx="26">
                  <c:v>2.4000000000000011E-3</c:v>
                </c:pt>
                <c:pt idx="27">
                  <c:v>2.1000000000000016E-3</c:v>
                </c:pt>
                <c:pt idx="28">
                  <c:v>1.6000000000000018E-3</c:v>
                </c:pt>
                <c:pt idx="30">
                  <c:v>9.8000000000000153E-3</c:v>
                </c:pt>
                <c:pt idx="31">
                  <c:v>9.7000000000000038E-3</c:v>
                </c:pt>
                <c:pt idx="32">
                  <c:v>8.6000000000000087E-3</c:v>
                </c:pt>
                <c:pt idx="33">
                  <c:v>7.8000000000000057E-3</c:v>
                </c:pt>
                <c:pt idx="34">
                  <c:v>7.5000000000000075E-3</c:v>
                </c:pt>
                <c:pt idx="35">
                  <c:v>5.1000000000000021E-3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46246272"/>
        <c:axId val="148844928"/>
      </c:barChart>
      <c:barChart>
        <c:barDir val="col"/>
        <c:grouping val="clustered"/>
        <c:varyColors val="0"/>
        <c:ser>
          <c:idx val="1"/>
          <c:order val="1"/>
          <c:tx>
            <c:strRef>
              <c:f>'GRAF4-1'!$C$2</c:f>
              <c:strCache>
                <c:ptCount val="1"/>
                <c:pt idx="0">
                  <c:v>2005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Pt>
            <c:idx val="11"/>
            <c:invertIfNegative val="0"/>
            <c:bubble3D val="0"/>
            <c:spPr>
              <a:solidFill>
                <a:schemeClr val="accent5"/>
              </a:solidFill>
            </c:spPr>
          </c:dPt>
          <c:cat>
            <c:strRef>
              <c:f>'GRAF4-1'!$A$3:$A$38</c:f>
              <c:strCache>
                <c:ptCount val="36"/>
                <c:pt idx="0">
                  <c:v>Dánsko</c:v>
                </c:pt>
                <c:pt idx="1">
                  <c:v>Finsko</c:v>
                </c:pt>
                <c:pt idx="2">
                  <c:v>Portugalsko</c:v>
                </c:pt>
                <c:pt idx="3">
                  <c:v>Německo</c:v>
                </c:pt>
                <c:pt idx="4">
                  <c:v>Švédsko</c:v>
                </c:pt>
                <c:pt idx="5">
                  <c:v>Rakousko</c:v>
                </c:pt>
                <c:pt idx="6">
                  <c:v>Estonsko</c:v>
                </c:pt>
                <c:pt idx="7">
                  <c:v>Nizozemsko</c:v>
                </c:pt>
                <c:pt idx="8">
                  <c:v>Francie</c:v>
                </c:pt>
                <c:pt idx="9">
                  <c:v>EU28</c:v>
                </c:pt>
                <c:pt idx="10">
                  <c:v>Belgie</c:v>
                </c:pt>
                <c:pt idx="11">
                  <c:v>Česká republika</c:v>
                </c:pt>
                <c:pt idx="12">
                  <c:v>Lucembursko</c:v>
                </c:pt>
                <c:pt idx="13">
                  <c:v>Chorvatsko</c:v>
                </c:pt>
                <c:pt idx="14">
                  <c:v>Spojené království</c:v>
                </c:pt>
                <c:pt idx="15">
                  <c:v>Španělsko</c:v>
                </c:pt>
                <c:pt idx="16">
                  <c:v>Itálie</c:v>
                </c:pt>
                <c:pt idx="17">
                  <c:v>Slovinsko</c:v>
                </c:pt>
                <c:pt idx="18">
                  <c:v>Řecko</c:v>
                </c:pt>
                <c:pt idx="19">
                  <c:v>Maďarsko</c:v>
                </c:pt>
                <c:pt idx="20">
                  <c:v>Irsko</c:v>
                </c:pt>
                <c:pt idx="21">
                  <c:v>Slovensko</c:v>
                </c:pt>
                <c:pt idx="22">
                  <c:v>Kypr</c:v>
                </c:pt>
                <c:pt idx="23">
                  <c:v>Litva</c:v>
                </c:pt>
                <c:pt idx="24">
                  <c:v>Polsko</c:v>
                </c:pt>
                <c:pt idx="25">
                  <c:v>Bulharsko</c:v>
                </c:pt>
                <c:pt idx="26">
                  <c:v>Malta</c:v>
                </c:pt>
                <c:pt idx="27">
                  <c:v>Rumunsko</c:v>
                </c:pt>
                <c:pt idx="28">
                  <c:v>Lotyšsko</c:v>
                </c:pt>
                <c:pt idx="30">
                  <c:v>Jižní Korea (2011)</c:v>
                </c:pt>
                <c:pt idx="31">
                  <c:v>Island</c:v>
                </c:pt>
                <c:pt idx="32">
                  <c:v>Norsko</c:v>
                </c:pt>
                <c:pt idx="33">
                  <c:v>USA</c:v>
                </c:pt>
                <c:pt idx="34">
                  <c:v>Japonsko</c:v>
                </c:pt>
                <c:pt idx="35">
                  <c:v>Rusko</c:v>
                </c:pt>
              </c:strCache>
            </c:strRef>
          </c:cat>
          <c:val>
            <c:numRef>
              <c:f>'GRAF4-1'!$C$3:$C$38</c:f>
              <c:numCache>
                <c:formatCode>0.0%</c:formatCode>
                <c:ptCount val="36"/>
                <c:pt idx="0">
                  <c:v>7.0000000000000062E-3</c:v>
                </c:pt>
                <c:pt idx="1">
                  <c:v>9.8000000000000153E-3</c:v>
                </c:pt>
                <c:pt idx="2">
                  <c:v>6.8000000000000057E-3</c:v>
                </c:pt>
                <c:pt idx="3">
                  <c:v>7.5000000000000075E-3</c:v>
                </c:pt>
                <c:pt idx="4">
                  <c:v>8.2000000000000007E-3</c:v>
                </c:pt>
                <c:pt idx="5">
                  <c:v>6.4000000000000072E-3</c:v>
                </c:pt>
                <c:pt idx="6">
                  <c:v>4.0000000000000044E-3</c:v>
                </c:pt>
                <c:pt idx="7">
                  <c:v>7.400000000000009E-3</c:v>
                </c:pt>
                <c:pt idx="8">
                  <c:v>9.400000000000009E-3</c:v>
                </c:pt>
                <c:pt idx="9">
                  <c:v>6.9000000000000086E-3</c:v>
                </c:pt>
                <c:pt idx="10">
                  <c:v>5.7000000000000063E-3</c:v>
                </c:pt>
                <c:pt idx="11">
                  <c:v>5.0000000000000044E-3</c:v>
                </c:pt>
                <c:pt idx="12">
                  <c:v>2.600000000000002E-3</c:v>
                </c:pt>
                <c:pt idx="13">
                  <c:v>0</c:v>
                </c:pt>
                <c:pt idx="14">
                  <c:v>6.5000000000000058E-3</c:v>
                </c:pt>
                <c:pt idx="15">
                  <c:v>5.3000000000000044E-3</c:v>
                </c:pt>
                <c:pt idx="16">
                  <c:v>6.4000000000000072E-3</c:v>
                </c:pt>
                <c:pt idx="17">
                  <c:v>5.7000000000000063E-3</c:v>
                </c:pt>
                <c:pt idx="18">
                  <c:v>3.2000000000000036E-3</c:v>
                </c:pt>
                <c:pt idx="19">
                  <c:v>4.1000000000000003E-3</c:v>
                </c:pt>
                <c:pt idx="20">
                  <c:v>4.3000000000000043E-3</c:v>
                </c:pt>
                <c:pt idx="21">
                  <c:v>2.7000000000000036E-3</c:v>
                </c:pt>
                <c:pt idx="22">
                  <c:v>2.9000000000000011E-3</c:v>
                </c:pt>
                <c:pt idx="23">
                  <c:v>3.5000000000000018E-3</c:v>
                </c:pt>
                <c:pt idx="24">
                  <c:v>2.9000000000000011E-3</c:v>
                </c:pt>
                <c:pt idx="25">
                  <c:v>2.9000000000000011E-3</c:v>
                </c:pt>
                <c:pt idx="26">
                  <c:v>1.8000000000000023E-3</c:v>
                </c:pt>
                <c:pt idx="27">
                  <c:v>2.2000000000000023E-3</c:v>
                </c:pt>
                <c:pt idx="28">
                  <c:v>1.9000000000000022E-3</c:v>
                </c:pt>
                <c:pt idx="30">
                  <c:v>7.3000000000000061E-3</c:v>
                </c:pt>
                <c:pt idx="31">
                  <c:v>8.5000000000000058E-3</c:v>
                </c:pt>
                <c:pt idx="32">
                  <c:v>7.0000000000000062E-3</c:v>
                </c:pt>
                <c:pt idx="33">
                  <c:v>1.0000000000000007E-2</c:v>
                </c:pt>
                <c:pt idx="34">
                  <c:v>7.1000000000000039E-3</c:v>
                </c:pt>
                <c:pt idx="35">
                  <c:v>3.6000000000000029E-3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9"/>
        <c:axId val="148848000"/>
        <c:axId val="148846464"/>
      </c:barChart>
      <c:catAx>
        <c:axId val="146246272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48844928"/>
        <c:crosses val="autoZero"/>
        <c:auto val="1"/>
        <c:lblAlgn val="ctr"/>
        <c:lblOffset val="100"/>
        <c:noMultiLvlLbl val="0"/>
      </c:catAx>
      <c:valAx>
        <c:axId val="148844928"/>
        <c:scaling>
          <c:orientation val="minMax"/>
          <c:max val="1.2000000000000009E-2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.0%" sourceLinked="0"/>
        <c:majorTickMark val="out"/>
        <c:minorTickMark val="none"/>
        <c:tickLblPos val="nextTo"/>
        <c:crossAx val="146246272"/>
        <c:crosses val="autoZero"/>
        <c:crossBetween val="between"/>
      </c:valAx>
      <c:valAx>
        <c:axId val="148846464"/>
        <c:scaling>
          <c:orientation val="minMax"/>
          <c:max val="1.4000000000000005E-2"/>
          <c:min val="0"/>
        </c:scaling>
        <c:delete val="0"/>
        <c:axPos val="r"/>
        <c:numFmt formatCode="0.0%" sourceLinked="1"/>
        <c:majorTickMark val="none"/>
        <c:minorTickMark val="none"/>
        <c:tickLblPos val="none"/>
        <c:spPr>
          <a:ln>
            <a:solidFill>
              <a:schemeClr val="accent3">
                <a:lumMod val="20000"/>
                <a:lumOff val="80000"/>
              </a:schemeClr>
            </a:solidFill>
          </a:ln>
        </c:spPr>
        <c:crossAx val="148848000"/>
        <c:crosses val="max"/>
        <c:crossBetween val="between"/>
      </c:valAx>
      <c:catAx>
        <c:axId val="1488480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48846464"/>
        <c:crosses val="autoZero"/>
        <c:auto val="1"/>
        <c:lblAlgn val="ctr"/>
        <c:lblOffset val="100"/>
        <c:noMultiLvlLbl val="0"/>
      </c:catAx>
      <c:spPr>
        <a:ln>
          <a:noFill/>
        </a:ln>
      </c:spPr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'GRAF4-2'!$B$2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Pt>
            <c:idx val="8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9"/>
            <c:invertIfNegative val="0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>
                <a:noFill/>
              </a:ln>
            </c:spPr>
          </c:dPt>
          <c:dPt>
            <c:idx val="11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17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</c:spPr>
          </c:dPt>
          <c:cat>
            <c:strRef>
              <c:f>'GRAF4-2'!$A$3:$A$37</c:f>
              <c:strCache>
                <c:ptCount val="35"/>
                <c:pt idx="0">
                  <c:v>Německo</c:v>
                </c:pt>
                <c:pt idx="1">
                  <c:v>Estonsko</c:v>
                </c:pt>
                <c:pt idx="2">
                  <c:v>Portugalsko</c:v>
                </c:pt>
                <c:pt idx="3">
                  <c:v>Dánsko</c:v>
                </c:pt>
                <c:pt idx="4">
                  <c:v>Finsko</c:v>
                </c:pt>
                <c:pt idx="5">
                  <c:v>Nizozemsko</c:v>
                </c:pt>
                <c:pt idx="6">
                  <c:v>Rakousko</c:v>
                </c:pt>
                <c:pt idx="7">
                  <c:v>Švédsko</c:v>
                </c:pt>
                <c:pt idx="8">
                  <c:v>Lucembursko</c:v>
                </c:pt>
                <c:pt idx="9">
                  <c:v>ČR</c:v>
                </c:pt>
                <c:pt idx="10">
                  <c:v>EU28 (2006)</c:v>
                </c:pt>
                <c:pt idx="11">
                  <c:v>Chorvatsko</c:v>
                </c:pt>
                <c:pt idx="12">
                  <c:v>Spojené království</c:v>
                </c:pt>
                <c:pt idx="13">
                  <c:v>Francie</c:v>
                </c:pt>
                <c:pt idx="14">
                  <c:v>Belgie</c:v>
                </c:pt>
                <c:pt idx="15">
                  <c:v>Španělsko</c:v>
                </c:pt>
                <c:pt idx="16">
                  <c:v>Irsko</c:v>
                </c:pt>
                <c:pt idx="17">
                  <c:v>Itálie</c:v>
                </c:pt>
                <c:pt idx="18">
                  <c:v>Litva</c:v>
                </c:pt>
                <c:pt idx="19">
                  <c:v>Slovinsko</c:v>
                </c:pt>
                <c:pt idx="20">
                  <c:v>Slovensko</c:v>
                </c:pt>
                <c:pt idx="21">
                  <c:v>Řecko (2006)</c:v>
                </c:pt>
                <c:pt idx="22">
                  <c:v>Maďarsko</c:v>
                </c:pt>
                <c:pt idx="23">
                  <c:v>Kypr</c:v>
                </c:pt>
                <c:pt idx="24">
                  <c:v>Polsko</c:v>
                </c:pt>
                <c:pt idx="25">
                  <c:v>Bulharsko</c:v>
                </c:pt>
                <c:pt idx="26">
                  <c:v>Rumunsko</c:v>
                </c:pt>
                <c:pt idx="27">
                  <c:v>Malta</c:v>
                </c:pt>
                <c:pt idx="28">
                  <c:v>Lotyšsko</c:v>
                </c:pt>
                <c:pt idx="30">
                  <c:v>Jižní Korea (2011)</c:v>
                </c:pt>
                <c:pt idx="31">
                  <c:v>Island</c:v>
                </c:pt>
                <c:pt idx="32">
                  <c:v>USA (2013)</c:v>
                </c:pt>
                <c:pt idx="33">
                  <c:v>Norsko</c:v>
                </c:pt>
                <c:pt idx="34">
                  <c:v>Japonsko (2012)</c:v>
                </c:pt>
              </c:strCache>
            </c:strRef>
          </c:cat>
          <c:val>
            <c:numRef>
              <c:f>'GRAF4-2'!$B$3:$B$37</c:f>
              <c:numCache>
                <c:formatCode>0.0%</c:formatCode>
                <c:ptCount val="35"/>
                <c:pt idx="0">
                  <c:v>2.0099999999999996E-2</c:v>
                </c:pt>
                <c:pt idx="1">
                  <c:v>1.9599999999999999E-2</c:v>
                </c:pt>
                <c:pt idx="2">
                  <c:v>1.9199999999999998E-2</c:v>
                </c:pt>
                <c:pt idx="3">
                  <c:v>1.8000000000000019E-2</c:v>
                </c:pt>
                <c:pt idx="4">
                  <c:v>1.6299999999999999E-2</c:v>
                </c:pt>
                <c:pt idx="5">
                  <c:v>1.6100000000000017E-2</c:v>
                </c:pt>
                <c:pt idx="6">
                  <c:v>1.5900000000000001E-2</c:v>
                </c:pt>
                <c:pt idx="7">
                  <c:v>1.5900000000000001E-2</c:v>
                </c:pt>
                <c:pt idx="8">
                  <c:v>1.5100000000000011E-2</c:v>
                </c:pt>
                <c:pt idx="9">
                  <c:v>1.4800000000000001E-2</c:v>
                </c:pt>
                <c:pt idx="10">
                  <c:v>1.3800000000000014E-2</c:v>
                </c:pt>
                <c:pt idx="11">
                  <c:v>1.3000000000000001E-2</c:v>
                </c:pt>
                <c:pt idx="12">
                  <c:v>1.2800000000000011E-2</c:v>
                </c:pt>
                <c:pt idx="13">
                  <c:v>1.2100000000000001E-2</c:v>
                </c:pt>
                <c:pt idx="14">
                  <c:v>1.2E-2</c:v>
                </c:pt>
                <c:pt idx="15">
                  <c:v>1.1599999999999996E-2</c:v>
                </c:pt>
                <c:pt idx="16">
                  <c:v>1.0000000000000005E-2</c:v>
                </c:pt>
                <c:pt idx="17">
                  <c:v>9.9000000000000112E-3</c:v>
                </c:pt>
                <c:pt idx="18">
                  <c:v>9.9000000000000112E-3</c:v>
                </c:pt>
                <c:pt idx="19">
                  <c:v>9.8000000000000153E-3</c:v>
                </c:pt>
                <c:pt idx="20">
                  <c:v>9.4000000000000108E-3</c:v>
                </c:pt>
                <c:pt idx="21">
                  <c:v>9.3000000000000149E-3</c:v>
                </c:pt>
                <c:pt idx="22">
                  <c:v>8.8000000000000092E-3</c:v>
                </c:pt>
                <c:pt idx="23">
                  <c:v>7.1000000000000004E-3</c:v>
                </c:pt>
                <c:pt idx="24">
                  <c:v>7.1000000000000004E-3</c:v>
                </c:pt>
                <c:pt idx="25">
                  <c:v>6.4000000000000046E-3</c:v>
                </c:pt>
                <c:pt idx="26">
                  <c:v>6.1000000000000004E-3</c:v>
                </c:pt>
                <c:pt idx="27">
                  <c:v>5.5000000000000014E-3</c:v>
                </c:pt>
                <c:pt idx="28">
                  <c:v>4.3000000000000043E-3</c:v>
                </c:pt>
                <c:pt idx="30">
                  <c:v>3.0300000000000001E-2</c:v>
                </c:pt>
                <c:pt idx="31">
                  <c:v>2.1400000000000002E-2</c:v>
                </c:pt>
                <c:pt idx="32">
                  <c:v>2.0400000000000001E-2</c:v>
                </c:pt>
                <c:pt idx="33">
                  <c:v>1.8700000000000019E-2</c:v>
                </c:pt>
                <c:pt idx="34">
                  <c:v>1.77E-2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48868096"/>
        <c:axId val="148873984"/>
      </c:barChart>
      <c:barChart>
        <c:barDir val="col"/>
        <c:grouping val="clustered"/>
        <c:varyColors val="0"/>
        <c:ser>
          <c:idx val="1"/>
          <c:order val="1"/>
          <c:tx>
            <c:strRef>
              <c:f>'GRAF4-2'!$C$2</c:f>
              <c:strCache>
                <c:ptCount val="1"/>
                <c:pt idx="0">
                  <c:v>2005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Pt>
            <c:idx val="9"/>
            <c:invertIfNegative val="0"/>
            <c:bubble3D val="0"/>
            <c:spPr>
              <a:solidFill>
                <a:schemeClr val="accent5"/>
              </a:solidFill>
            </c:spPr>
          </c:dPt>
          <c:cat>
            <c:strRef>
              <c:f>'GRAF4-2'!$A$3:$A$37</c:f>
              <c:strCache>
                <c:ptCount val="35"/>
                <c:pt idx="0">
                  <c:v>Německo</c:v>
                </c:pt>
                <c:pt idx="1">
                  <c:v>Estonsko</c:v>
                </c:pt>
                <c:pt idx="2">
                  <c:v>Portugalsko</c:v>
                </c:pt>
                <c:pt idx="3">
                  <c:v>Dánsko</c:v>
                </c:pt>
                <c:pt idx="4">
                  <c:v>Finsko</c:v>
                </c:pt>
                <c:pt idx="5">
                  <c:v>Nizozemsko</c:v>
                </c:pt>
                <c:pt idx="6">
                  <c:v>Rakousko</c:v>
                </c:pt>
                <c:pt idx="7">
                  <c:v>Švédsko</c:v>
                </c:pt>
                <c:pt idx="8">
                  <c:v>Lucembursko</c:v>
                </c:pt>
                <c:pt idx="9">
                  <c:v>ČR</c:v>
                </c:pt>
                <c:pt idx="10">
                  <c:v>EU28 (2006)</c:v>
                </c:pt>
                <c:pt idx="11">
                  <c:v>Chorvatsko</c:v>
                </c:pt>
                <c:pt idx="12">
                  <c:v>Spojené království</c:v>
                </c:pt>
                <c:pt idx="13">
                  <c:v>Francie</c:v>
                </c:pt>
                <c:pt idx="14">
                  <c:v>Belgie</c:v>
                </c:pt>
                <c:pt idx="15">
                  <c:v>Španělsko</c:v>
                </c:pt>
                <c:pt idx="16">
                  <c:v>Irsko</c:v>
                </c:pt>
                <c:pt idx="17">
                  <c:v>Itálie</c:v>
                </c:pt>
                <c:pt idx="18">
                  <c:v>Litva</c:v>
                </c:pt>
                <c:pt idx="19">
                  <c:v>Slovinsko</c:v>
                </c:pt>
                <c:pt idx="20">
                  <c:v>Slovensko</c:v>
                </c:pt>
                <c:pt idx="21">
                  <c:v>Řecko (2006)</c:v>
                </c:pt>
                <c:pt idx="22">
                  <c:v>Maďarsko</c:v>
                </c:pt>
                <c:pt idx="23">
                  <c:v>Kypr</c:v>
                </c:pt>
                <c:pt idx="24">
                  <c:v>Polsko</c:v>
                </c:pt>
                <c:pt idx="25">
                  <c:v>Bulharsko</c:v>
                </c:pt>
                <c:pt idx="26">
                  <c:v>Rumunsko</c:v>
                </c:pt>
                <c:pt idx="27">
                  <c:v>Malta</c:v>
                </c:pt>
                <c:pt idx="28">
                  <c:v>Lotyšsko</c:v>
                </c:pt>
                <c:pt idx="30">
                  <c:v>Jižní Korea (2011)</c:v>
                </c:pt>
                <c:pt idx="31">
                  <c:v>Island</c:v>
                </c:pt>
                <c:pt idx="32">
                  <c:v>USA (2013)</c:v>
                </c:pt>
                <c:pt idx="33">
                  <c:v>Norsko</c:v>
                </c:pt>
                <c:pt idx="34">
                  <c:v>Japonsko (2012)</c:v>
                </c:pt>
              </c:strCache>
            </c:strRef>
          </c:cat>
          <c:val>
            <c:numRef>
              <c:f>'GRAF4-2'!$C$3:$C$37</c:f>
              <c:numCache>
                <c:formatCode>0.0%</c:formatCode>
                <c:ptCount val="35"/>
                <c:pt idx="0">
                  <c:v>1.6299999999999999E-2</c:v>
                </c:pt>
                <c:pt idx="1">
                  <c:v>1.1800000000000014E-2</c:v>
                </c:pt>
                <c:pt idx="2">
                  <c:v>1.4600000000000005E-2</c:v>
                </c:pt>
                <c:pt idx="3">
                  <c:v>1.3600000000000013E-2</c:v>
                </c:pt>
                <c:pt idx="4">
                  <c:v>1.9900000000000025E-2</c:v>
                </c:pt>
                <c:pt idx="5">
                  <c:v>1.7600000000000001E-2</c:v>
                </c:pt>
                <c:pt idx="6">
                  <c:v>1.2600000000000005E-2</c:v>
                </c:pt>
                <c:pt idx="7">
                  <c:v>1.550000000000001E-2</c:v>
                </c:pt>
                <c:pt idx="8">
                  <c:v>6.1000000000000004E-3</c:v>
                </c:pt>
                <c:pt idx="9">
                  <c:v>1.2100000000000001E-2</c:v>
                </c:pt>
                <c:pt idx="10">
                  <c:v>1.4600000000000005E-2</c:v>
                </c:pt>
                <c:pt idx="11">
                  <c:v>0</c:v>
                </c:pt>
                <c:pt idx="12">
                  <c:v>1.5100000000000011E-2</c:v>
                </c:pt>
                <c:pt idx="13">
                  <c:v>1.7800000000000003E-2</c:v>
                </c:pt>
                <c:pt idx="14">
                  <c:v>1.1299999999999998E-2</c:v>
                </c:pt>
                <c:pt idx="15">
                  <c:v>1.3899999999999999E-2</c:v>
                </c:pt>
                <c:pt idx="16">
                  <c:v>1.2800000000000011E-2</c:v>
                </c:pt>
                <c:pt idx="17">
                  <c:v>1.3600000000000013E-2</c:v>
                </c:pt>
                <c:pt idx="18">
                  <c:v>1.0300000000000005E-2</c:v>
                </c:pt>
                <c:pt idx="19">
                  <c:v>1.2699999999999998E-2</c:v>
                </c:pt>
                <c:pt idx="20">
                  <c:v>7.0000000000000036E-3</c:v>
                </c:pt>
                <c:pt idx="21">
                  <c:v>7.0000000000000036E-3</c:v>
                </c:pt>
                <c:pt idx="22">
                  <c:v>8.2000000000000024E-3</c:v>
                </c:pt>
                <c:pt idx="23">
                  <c:v>7.4000000000000081E-3</c:v>
                </c:pt>
                <c:pt idx="24">
                  <c:v>6.6000000000000034E-3</c:v>
                </c:pt>
                <c:pt idx="25">
                  <c:v>7.8000000000000074E-3</c:v>
                </c:pt>
                <c:pt idx="26">
                  <c:v>6.5000000000000075E-3</c:v>
                </c:pt>
                <c:pt idx="27">
                  <c:v>4.1999999999999997E-3</c:v>
                </c:pt>
                <c:pt idx="28">
                  <c:v>5.4000000000000046E-3</c:v>
                </c:pt>
                <c:pt idx="30">
                  <c:v>2.9300000000000003E-2</c:v>
                </c:pt>
                <c:pt idx="31">
                  <c:v>2.0600000000000011E-2</c:v>
                </c:pt>
                <c:pt idx="32">
                  <c:v>2.7500000000000011E-2</c:v>
                </c:pt>
                <c:pt idx="33">
                  <c:v>1.6500000000000018E-2</c:v>
                </c:pt>
                <c:pt idx="34">
                  <c:v>1.9500000000000021E-2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9"/>
        <c:axId val="148881408"/>
        <c:axId val="148875520"/>
      </c:barChart>
      <c:catAx>
        <c:axId val="148868096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48873984"/>
        <c:crosses val="autoZero"/>
        <c:auto val="1"/>
        <c:lblAlgn val="ctr"/>
        <c:lblOffset val="100"/>
        <c:noMultiLvlLbl val="0"/>
      </c:catAx>
      <c:valAx>
        <c:axId val="148873984"/>
        <c:scaling>
          <c:orientation val="minMax"/>
          <c:max val="3.500000000000001E-2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.0%" sourceLinked="0"/>
        <c:majorTickMark val="out"/>
        <c:minorTickMark val="none"/>
        <c:tickLblPos val="nextTo"/>
        <c:crossAx val="148868096"/>
        <c:crosses val="autoZero"/>
        <c:crossBetween val="between"/>
      </c:valAx>
      <c:valAx>
        <c:axId val="148875520"/>
        <c:scaling>
          <c:orientation val="minMax"/>
          <c:max val="3.500000000000001E-2"/>
        </c:scaling>
        <c:delete val="0"/>
        <c:axPos val="r"/>
        <c:numFmt formatCode="0.0%" sourceLinked="1"/>
        <c:majorTickMark val="none"/>
        <c:minorTickMark val="none"/>
        <c:tickLblPos val="none"/>
        <c:spPr>
          <a:ln>
            <a:solidFill>
              <a:schemeClr val="accent3">
                <a:lumMod val="20000"/>
                <a:lumOff val="80000"/>
              </a:schemeClr>
            </a:solidFill>
          </a:ln>
        </c:spPr>
        <c:crossAx val="148881408"/>
        <c:crosses val="max"/>
        <c:crossBetween val="between"/>
      </c:valAx>
      <c:catAx>
        <c:axId val="1488814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48875520"/>
        <c:crosses val="autoZero"/>
        <c:auto val="1"/>
        <c:lblAlgn val="ctr"/>
        <c:lblOffset val="100"/>
        <c:noMultiLvlLbl val="0"/>
      </c:catAx>
      <c:spPr>
        <a:ln>
          <a:noFill/>
        </a:ln>
      </c:spPr>
    </c:plotArea>
    <c:legend>
      <c:legendPos val="t"/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949436227013694E-2"/>
          <c:y val="5.43209876543213E-2"/>
          <c:w val="0.94250235075755517"/>
          <c:h val="0.631183046563625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'GRAF4-3'!$B$4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dPt>
            <c:idx val="8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</c:spPr>
          </c:dPt>
          <c:dPt>
            <c:idx val="9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</c:spPr>
          </c:dPt>
          <c:dPt>
            <c:idx val="11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</c:spPr>
          </c:dPt>
          <c:dPt>
            <c:idx val="12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</c:spPr>
          </c:dPt>
          <c:dPt>
            <c:idx val="13"/>
            <c:invertIfNegative val="0"/>
            <c:bubble3D val="0"/>
            <c:spPr>
              <a:solidFill>
                <a:schemeClr val="accent5">
                  <a:lumMod val="50000"/>
                </a:schemeClr>
              </a:solidFill>
            </c:spPr>
          </c:dPt>
          <c:dPt>
            <c:idx val="17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</c:spPr>
          </c:dPt>
          <c:dLbls>
            <c:dLbl>
              <c:idx val="26"/>
              <c:numFmt formatCode="0.00%" sourceLinked="0"/>
              <c:spPr/>
              <c:txPr>
                <a:bodyPr rot="-5400000" vert="horz"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7"/>
              <c:numFmt formatCode="0.00%" sourceLinked="0"/>
              <c:spPr/>
              <c:txPr>
                <a:bodyPr rot="-5400000" vert="horz"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'GRAF4-3'!$A$5:$A$32</c:f>
              <c:strCache>
                <c:ptCount val="28"/>
                <c:pt idx="0">
                  <c:v>Německo</c:v>
                </c:pt>
                <c:pt idx="1">
                  <c:v>Francie</c:v>
                </c:pt>
                <c:pt idx="2">
                  <c:v>Spojené království</c:v>
                </c:pt>
                <c:pt idx="3">
                  <c:v>Itálie</c:v>
                </c:pt>
                <c:pt idx="4">
                  <c:v>Španělsko</c:v>
                </c:pt>
                <c:pt idx="5">
                  <c:v>Nizozemsko</c:v>
                </c:pt>
                <c:pt idx="6">
                  <c:v>Švédsko</c:v>
                </c:pt>
                <c:pt idx="7">
                  <c:v>Rakousko</c:v>
                </c:pt>
                <c:pt idx="8">
                  <c:v>Dánsko</c:v>
                </c:pt>
                <c:pt idx="9">
                  <c:v>Belgie</c:v>
                </c:pt>
                <c:pt idx="10">
                  <c:v>Finsko</c:v>
                </c:pt>
                <c:pt idx="11">
                  <c:v>Portugalsko</c:v>
                </c:pt>
                <c:pt idx="12">
                  <c:v>Polsko</c:v>
                </c:pt>
                <c:pt idx="13">
                  <c:v>ČR</c:v>
                </c:pt>
                <c:pt idx="14">
                  <c:v>Řecko</c:v>
                </c:pt>
                <c:pt idx="15">
                  <c:v>Irsko</c:v>
                </c:pt>
                <c:pt idx="16">
                  <c:v>Maďarsko</c:v>
                </c:pt>
                <c:pt idx="17">
                  <c:v>Rumunsko</c:v>
                </c:pt>
                <c:pt idx="18">
                  <c:v>Lucembursko</c:v>
                </c:pt>
                <c:pt idx="19">
                  <c:v>Slovensko</c:v>
                </c:pt>
                <c:pt idx="20">
                  <c:v>Chorvatsko</c:v>
                </c:pt>
                <c:pt idx="21">
                  <c:v>Slovinsko</c:v>
                </c:pt>
                <c:pt idx="22">
                  <c:v>Estonsko</c:v>
                </c:pt>
                <c:pt idx="23">
                  <c:v>Litva</c:v>
                </c:pt>
                <c:pt idx="24">
                  <c:v>Bulharsko</c:v>
                </c:pt>
                <c:pt idx="25">
                  <c:v>Kypr</c:v>
                </c:pt>
                <c:pt idx="26">
                  <c:v>Lotyšsko</c:v>
                </c:pt>
                <c:pt idx="27">
                  <c:v>Malta</c:v>
                </c:pt>
              </c:strCache>
            </c:strRef>
          </c:cat>
          <c:val>
            <c:numRef>
              <c:f>'GRAF4-3'!$B$5:$B$32</c:f>
              <c:numCache>
                <c:formatCode>0.0%</c:formatCode>
                <c:ptCount val="28"/>
                <c:pt idx="0">
                  <c:v>0.27693403762404206</c:v>
                </c:pt>
                <c:pt idx="1">
                  <c:v>0.15963051938611936</c:v>
                </c:pt>
                <c:pt idx="2">
                  <c:v>0.13576997579774971</c:v>
                </c:pt>
                <c:pt idx="3">
                  <c:v>8.7744939856333443E-2</c:v>
                </c:pt>
                <c:pt idx="4">
                  <c:v>5.7745180623829107E-2</c:v>
                </c:pt>
                <c:pt idx="5">
                  <c:v>5.3049298787560539E-2</c:v>
                </c:pt>
                <c:pt idx="6">
                  <c:v>3.8919155391934204E-2</c:v>
                </c:pt>
                <c:pt idx="7">
                  <c:v>2.9477094473879719E-2</c:v>
                </c:pt>
                <c:pt idx="8">
                  <c:v>2.8412385058432438E-2</c:v>
                </c:pt>
                <c:pt idx="9">
                  <c:v>2.8228701543050332E-2</c:v>
                </c:pt>
                <c:pt idx="10">
                  <c:v>2.1066886556873474E-2</c:v>
                </c:pt>
                <c:pt idx="11">
                  <c:v>1.7516562460663195E-2</c:v>
                </c:pt>
                <c:pt idx="12">
                  <c:v>1.3287651067464523E-2</c:v>
                </c:pt>
                <c:pt idx="13">
                  <c:v>1.0674047186874196E-2</c:v>
                </c:pt>
                <c:pt idx="14">
                  <c:v>8.867246027592179E-3</c:v>
                </c:pt>
                <c:pt idx="15">
                  <c:v>7.7961269181884485E-3</c:v>
                </c:pt>
                <c:pt idx="16">
                  <c:v>4.9081665910699814E-3</c:v>
                </c:pt>
                <c:pt idx="17">
                  <c:v>3.4447742115282002E-3</c:v>
                </c:pt>
                <c:pt idx="18">
                  <c:v>3.3646368781795697E-3</c:v>
                </c:pt>
                <c:pt idx="19">
                  <c:v>3.1852408555616434E-3</c:v>
                </c:pt>
                <c:pt idx="20">
                  <c:v>2.8949517411987515E-3</c:v>
                </c:pt>
                <c:pt idx="21">
                  <c:v>1.9680992224933524E-3</c:v>
                </c:pt>
                <c:pt idx="22">
                  <c:v>1.5943440429624011E-3</c:v>
                </c:pt>
                <c:pt idx="23">
                  <c:v>1.3571853665717473E-3</c:v>
                </c:pt>
                <c:pt idx="24">
                  <c:v>1.1378661073104498E-3</c:v>
                </c:pt>
                <c:pt idx="25">
                  <c:v>6.6144809852658384E-4</c:v>
                </c:pt>
                <c:pt idx="26">
                  <c:v>4.115131246024576E-4</c:v>
                </c:pt>
                <c:pt idx="27">
                  <c:v>2.0578888008588344E-4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61963392"/>
        <c:axId val="161969280"/>
      </c:barChart>
      <c:catAx>
        <c:axId val="161963392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61969280"/>
        <c:crosses val="autoZero"/>
        <c:auto val="1"/>
        <c:lblAlgn val="ctr"/>
        <c:lblOffset val="100"/>
        <c:noMultiLvlLbl val="0"/>
      </c:catAx>
      <c:valAx>
        <c:axId val="161969280"/>
        <c:scaling>
          <c:orientation val="minMax"/>
          <c:max val="0.35000000000000031"/>
        </c:scaling>
        <c:delete val="1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%" sourceLinked="0"/>
        <c:majorTickMark val="out"/>
        <c:minorTickMark val="none"/>
        <c:tickLblPos val="none"/>
        <c:crossAx val="16196339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4373218954248367"/>
          <c:y val="4.9628185684713291E-2"/>
          <c:w val="0.45664444444444446"/>
          <c:h val="0.84724718024434842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'GRAF4-4'!$M$28</c:f>
              <c:strCache>
                <c:ptCount val="1"/>
                <c:pt idx="0">
                  <c:v>EU-28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cat>
            <c:strRef>
              <c:f>'GRAF4-4'!$L$29:$L$36</c:f>
              <c:strCache>
                <c:ptCount val="8"/>
                <c:pt idx="0">
                  <c:v>Obrana</c:v>
                </c:pt>
                <c:pt idx="1">
                  <c:v>Doprava, telekomunikace a ostatní infrastruktura</c:v>
                </c:pt>
                <c:pt idx="2">
                  <c:v>Zemědělství</c:v>
                </c:pt>
                <c:pt idx="3">
                  <c:v>Energie</c:v>
                </c:pt>
                <c:pt idx="4">
                  <c:v>Zdraví</c:v>
                </c:pt>
                <c:pt idx="5">
                  <c:v>Průmyslová výroba a technologie</c:v>
                </c:pt>
                <c:pt idx="6">
                  <c:v>Všeobecný rozvoj znalostí - všeobecné univerzitní fondy</c:v>
                </c:pt>
                <c:pt idx="7">
                  <c:v>Všeobecný rozvoj znalostí - ostatní zdroje</c:v>
                </c:pt>
              </c:strCache>
            </c:strRef>
          </c:cat>
          <c:val>
            <c:numRef>
              <c:f>'GRAF4-4'!$M$29:$M$36</c:f>
              <c:numCache>
                <c:formatCode>0.0%</c:formatCode>
                <c:ptCount val="8"/>
                <c:pt idx="0">
                  <c:v>4.5835179793387158E-2</c:v>
                </c:pt>
                <c:pt idx="1">
                  <c:v>2.9631668215097957E-2</c:v>
                </c:pt>
                <c:pt idx="2">
                  <c:v>3.3429388696745867E-2</c:v>
                </c:pt>
                <c:pt idx="3">
                  <c:v>4.245986288130281E-2</c:v>
                </c:pt>
                <c:pt idx="4">
                  <c:v>9.1483540745757611E-2</c:v>
                </c:pt>
                <c:pt idx="5">
                  <c:v>9.145149119503429E-2</c:v>
                </c:pt>
                <c:pt idx="6">
                  <c:v>0.34419371872244531</c:v>
                </c:pt>
                <c:pt idx="7">
                  <c:v>0.17234657787680457</c:v>
                </c:pt>
              </c:numCache>
            </c:numRef>
          </c:val>
        </c:ser>
        <c:ser>
          <c:idx val="0"/>
          <c:order val="1"/>
          <c:tx>
            <c:strRef>
              <c:f>'GRAF4-4'!$N$28</c:f>
              <c:strCache>
                <c:ptCount val="1"/>
                <c:pt idx="0">
                  <c:v>ČR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strRef>
              <c:f>'GRAF4-4'!$L$29:$L$36</c:f>
              <c:strCache>
                <c:ptCount val="8"/>
                <c:pt idx="0">
                  <c:v>Obrana</c:v>
                </c:pt>
                <c:pt idx="1">
                  <c:v>Doprava, telekomunikace a ostatní infrastruktura</c:v>
                </c:pt>
                <c:pt idx="2">
                  <c:v>Zemědělství</c:v>
                </c:pt>
                <c:pt idx="3">
                  <c:v>Energie</c:v>
                </c:pt>
                <c:pt idx="4">
                  <c:v>Zdraví</c:v>
                </c:pt>
                <c:pt idx="5">
                  <c:v>Průmyslová výroba a technologie</c:v>
                </c:pt>
                <c:pt idx="6">
                  <c:v>Všeobecný rozvoj znalostí - všeobecné univerzitní fondy</c:v>
                </c:pt>
                <c:pt idx="7">
                  <c:v>Všeobecný rozvoj znalostí - ostatní zdroje</c:v>
                </c:pt>
              </c:strCache>
            </c:strRef>
          </c:cat>
          <c:val>
            <c:numRef>
              <c:f>'GRAF4-4'!$N$29:$N$36</c:f>
              <c:numCache>
                <c:formatCode>0.0%</c:formatCode>
                <c:ptCount val="8"/>
                <c:pt idx="0">
                  <c:v>1.413363259668776E-2</c:v>
                </c:pt>
                <c:pt idx="1">
                  <c:v>4.0681061731417674E-2</c:v>
                </c:pt>
                <c:pt idx="2">
                  <c:v>4.105880197634109E-2</c:v>
                </c:pt>
                <c:pt idx="3">
                  <c:v>4.4860376082471773E-2</c:v>
                </c:pt>
                <c:pt idx="4">
                  <c:v>6.3558734153466981E-2</c:v>
                </c:pt>
                <c:pt idx="5">
                  <c:v>0.12875576329415003</c:v>
                </c:pt>
                <c:pt idx="6">
                  <c:v>0.22993539402202437</c:v>
                </c:pt>
                <c:pt idx="7">
                  <c:v>0.31930282343197952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137216"/>
        <c:axId val="162138752"/>
      </c:barChart>
      <c:catAx>
        <c:axId val="16213721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majorTickMark val="out"/>
        <c:minorTickMark val="none"/>
        <c:tickLblPos val="nextTo"/>
        <c:crossAx val="162138752"/>
        <c:crosses val="autoZero"/>
        <c:auto val="1"/>
        <c:lblAlgn val="ctr"/>
        <c:lblOffset val="100"/>
        <c:noMultiLvlLbl val="0"/>
      </c:catAx>
      <c:valAx>
        <c:axId val="162138752"/>
        <c:scaling>
          <c:orientation val="minMax"/>
          <c:min val="0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%" sourceLinked="0"/>
        <c:majorTickMark val="out"/>
        <c:minorTickMark val="none"/>
        <c:tickLblPos val="nextTo"/>
        <c:crossAx val="162137216"/>
        <c:crosses val="autoZero"/>
        <c:crossBetween val="between"/>
        <c:majorUnit val="0.05"/>
      </c:valAx>
      <c:spPr>
        <a:ln>
          <a:solidFill>
            <a:schemeClr val="bg1">
              <a:lumMod val="85000"/>
            </a:schemeClr>
          </a:solidFill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3AE3E-2E43-4BDA-889A-95EDFB71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</Template>
  <TotalTime>10</TotalTime>
  <Pages>3</Pages>
  <Words>641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10</cp:revision>
  <cp:lastPrinted>2015-11-04T14:17:00Z</cp:lastPrinted>
  <dcterms:created xsi:type="dcterms:W3CDTF">2015-11-18T08:54:00Z</dcterms:created>
  <dcterms:modified xsi:type="dcterms:W3CDTF">2015-11-19T11:06:00Z</dcterms:modified>
</cp:coreProperties>
</file>