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EB" w:rsidRPr="00EE79EB" w:rsidRDefault="00EE79EB" w:rsidP="00EE79EB">
      <w:pPr>
        <w:pStyle w:val="Nzev"/>
        <w:spacing w:before="120" w:line="218" w:lineRule="auto"/>
        <w:rPr>
          <w:caps/>
        </w:rPr>
      </w:pPr>
      <w:r w:rsidRPr="00EE79EB">
        <w:rPr>
          <w:caps/>
        </w:rPr>
        <w:t>Meziroční inflace v lednu výrazně klesla</w:t>
      </w:r>
    </w:p>
    <w:p w:rsidR="00EE79EB" w:rsidRPr="00EE79EB" w:rsidRDefault="00EE79EB" w:rsidP="00EE79EB">
      <w:pPr>
        <w:pStyle w:val="Podtitulek"/>
        <w:spacing w:before="120" w:line="218" w:lineRule="auto"/>
        <w:jc w:val="center"/>
        <w:rPr>
          <w:sz w:val="24"/>
          <w:szCs w:val="24"/>
        </w:rPr>
      </w:pPr>
      <w:r w:rsidRPr="00EE79EB">
        <w:rPr>
          <w:sz w:val="24"/>
          <w:szCs w:val="24"/>
        </w:rPr>
        <w:t>Indexy spotřebitelských cen – leden 2014</w:t>
      </w:r>
    </w:p>
    <w:p w:rsidR="00EE79EB" w:rsidRPr="00560E9F" w:rsidRDefault="00EE79EB" w:rsidP="00EE79EB">
      <w:pPr>
        <w:pStyle w:val="Perex"/>
        <w:spacing w:before="120" w:line="218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lednu 2014 </w:t>
      </w:r>
      <w:r w:rsidRPr="00560E9F">
        <w:t xml:space="preserve">proti </w:t>
      </w:r>
      <w:r>
        <w:t>prosinci 2013 pouze o 0,1</w:t>
      </w:r>
      <w:r w:rsidRPr="00560E9F">
        <w:t> %</w:t>
      </w:r>
      <w:r>
        <w:t xml:space="preserve">, což je nejnižší meziměsíční přírůstek cen v lednu </w:t>
      </w:r>
      <w:r w:rsidRPr="00D44F8D">
        <w:t>od roku 1993. Tento vývoj ovlivnilo zvýšení cen zejména v oddíle potraviny a nealkoholické nápoje a v oddíle alkoholické nápoje a tabák, které bylo kompenzováno poklesem cen především v oddílech bydlení a zdraví</w:t>
      </w:r>
      <w:r>
        <w:t xml:space="preserve">. </w:t>
      </w:r>
      <w:r w:rsidRPr="00560E9F">
        <w:t xml:space="preserve">Meziroční růst spotřebitelských cen </w:t>
      </w:r>
      <w:r>
        <w:t>zpomalil</w:t>
      </w:r>
      <w:r w:rsidRPr="00560E9F">
        <w:t xml:space="preserve"> </w:t>
      </w:r>
      <w:r>
        <w:t>v lednu na </w:t>
      </w:r>
      <w:proofErr w:type="gramStart"/>
      <w:r>
        <w:t>0,2 % (z 1,4</w:t>
      </w:r>
      <w:proofErr w:type="gramEnd"/>
      <w:r>
        <w:t xml:space="preserve"> % </w:t>
      </w:r>
      <w:r w:rsidRPr="00560E9F">
        <w:t>v</w:t>
      </w:r>
      <w:r>
        <w:t> prosinci). Jedná se o nejnižší meziroční růst cen od října 2009.</w:t>
      </w:r>
    </w:p>
    <w:p w:rsidR="00EE79EB" w:rsidRDefault="00EE79EB" w:rsidP="00EE79EB">
      <w:pPr>
        <w:spacing w:before="120" w:line="218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potraviny a nealkoholické nápoje ovlivnilo především zvýšení cen ovoce o 7,3 % a zeleniny o 4,0 %. Ceny trvanlivého pečiva vzrostly o 5,3 %, pšeničné mouky o 4,4 %, uzenářského zboží o </w:t>
      </w:r>
      <w:r w:rsidRPr="00AE1854">
        <w:rPr>
          <w:rFonts w:cs="Arial"/>
          <w:szCs w:val="20"/>
        </w:rPr>
        <w:t>1,0</w:t>
      </w:r>
      <w:r>
        <w:rPr>
          <w:rFonts w:cs="Arial"/>
          <w:szCs w:val="20"/>
        </w:rPr>
        <w:t xml:space="preserve"> %, cukru o 2,3 %, čokolády a čokoládových výrobků o 4,6 %. Pokračoval růst cen sýrů o 1,3 %, jogurtů o 5,3 %, ostatních mléčných výrobků o 1,5 %. V oddíle alkoholické nápoje a tabák se zvýšily ceny lihovin o 5,4 % a piva o 2,5 %. </w:t>
      </w:r>
      <w:r>
        <w:t>V oddíle doprava vzrostly ceny pohonných hmot o 0,4 %. V oddíle rekreace a kultura byly vyšší zejména ceny dovolených s komplexními službami o 4,3 %. Zvýšení cen v oddíle ostatní zboží a služby ovlivnily vyšší ceny za osobní péči o 1,4 %.</w:t>
      </w:r>
    </w:p>
    <w:p w:rsidR="00EE79EB" w:rsidRDefault="00EE79EB" w:rsidP="00EE79EB">
      <w:pPr>
        <w:spacing w:before="120" w:line="218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lednu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vlivem poklesu cen elektřiny o 9,9 %. Snížení cen v oddíle zdraví bylo způsobeno zrušením regulačního poplatku za pobyt v nemocničních zařízeních. V oddíle odívání a obuv se snížily ceny oděvů o 2,7 % a obuvi o 6,2 %.</w:t>
      </w:r>
    </w:p>
    <w:p w:rsidR="00EE79EB" w:rsidRDefault="00EE79EB" w:rsidP="00EE79EB">
      <w:pPr>
        <w:pStyle w:val="Zkladntextodsazen2"/>
        <w:spacing w:before="120" w:after="0" w:line="218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</w:t>
      </w:r>
      <w:r>
        <w:t xml:space="preserve">0,1 %, zatímco </w:t>
      </w:r>
      <w:r>
        <w:rPr>
          <w:rFonts w:cs="Arial"/>
          <w:szCs w:val="20"/>
        </w:rPr>
        <w:t>ceny služeb vzrostly o 0,3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lednu o 0,2 %, což je o 1,2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méně než v prosinci 2013.</w:t>
      </w:r>
      <w:r w:rsidRPr="003C23D3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Zpomalení cenového růstu nastalo v různé míře ve většině oddílů spotřebního koše, v oddílech bydlení a zdraví došlo dokonce k poklesu cen. V bydlení byly ceny elektřiny meziročně nižší o 10,5 % (v prosinci růst o 2,7 %) a u zemního plynu se prohloubil pokles cen na 9,1 % (ze 7,0 % v prosinci). </w:t>
      </w:r>
      <w:r w:rsidRPr="00AE1854">
        <w:rPr>
          <w:rFonts w:cs="Arial"/>
          <w:i w:val="0"/>
          <w:sz w:val="20"/>
          <w:szCs w:val="20"/>
        </w:rPr>
        <w:t>V oddíle zdraví klesly ceny v lednu o 3,8 % (v prosinci růst o 0,4 %) vlivem zrušení regulačního poplatku za pobyt v nemocnici. Ke</w:t>
      </w:r>
      <w:r>
        <w:rPr>
          <w:rFonts w:cs="Arial"/>
          <w:i w:val="0"/>
          <w:sz w:val="20"/>
          <w:szCs w:val="20"/>
        </w:rPr>
        <w:t xml:space="preserve"> zpomalení meziročního cenového růstu došlo i 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otraviny a nealkoholické nápoje v důsledku nižšího meziměsíčního růstu cen v lednu 2014 než v lednu 2013. Meziroční růst cen zpomalil zejména u mléka na 10,9 % (ze 17,1 % v prosinci), másla na 12,5 % (ze 14,9 % v prosinci), jedlých olejů na 2,0 %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3,6 % v prosinci). Ceny zeleniny vzrostly o 17,6 % (</w:t>
      </w:r>
      <w:r w:rsidRPr="00D44F8D">
        <w:rPr>
          <w:rFonts w:cs="Arial"/>
          <w:i w:val="0"/>
          <w:sz w:val="20"/>
          <w:szCs w:val="20"/>
        </w:rPr>
        <w:t>o</w:t>
      </w:r>
      <w:r>
        <w:rPr>
          <w:rFonts w:cs="Arial"/>
          <w:i w:val="0"/>
          <w:sz w:val="20"/>
          <w:szCs w:val="20"/>
        </w:rPr>
        <w:t> 22,4 </w:t>
      </w:r>
      <w:r w:rsidRPr="00BC1677">
        <w:rPr>
          <w:rFonts w:cs="Arial"/>
          <w:i w:val="0"/>
          <w:sz w:val="20"/>
          <w:szCs w:val="20"/>
        </w:rPr>
        <w:t>%</w:t>
      </w:r>
      <w:r w:rsidRPr="00BC1677">
        <w:rPr>
          <w:rFonts w:cs="Arial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prosinci), z toho ceny brambor o 43,1 % (v prosinci o 67,9 %). U pekárenských výrobků a obilovin přešly ceny z růstu o 0,9 % v prosinci v pokles o 0,3 % v lednu. 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2,5 %.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působily poprvé </w:t>
      </w:r>
      <w:r w:rsidRPr="00D44F8D">
        <w:rPr>
          <w:rFonts w:cs="Arial"/>
          <w:i w:val="0"/>
          <w:sz w:val="20"/>
          <w:szCs w:val="20"/>
        </w:rPr>
        <w:t>od vzniku samostatné ČR</w:t>
      </w:r>
      <w:r w:rsidRPr="00A41358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ceny bydlení.</w:t>
      </w:r>
      <w:r w:rsidRPr="009A5A4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Pokračoval pokles cen </w:t>
      </w:r>
      <w:r w:rsidRPr="006572AC">
        <w:rPr>
          <w:rFonts w:cs="Arial"/>
          <w:i w:val="0"/>
          <w:sz w:val="20"/>
          <w:szCs w:val="20"/>
        </w:rPr>
        <w:t>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>, kde ceny telefonických a telefaxových služeb byly nižší o 10,1 % a ceny mobilních telefonů o 15,2 %. V</w:t>
      </w:r>
      <w:r w:rsidRPr="00384DFB">
        <w:rPr>
          <w:rFonts w:cs="Arial"/>
          <w:i w:val="0"/>
          <w:sz w:val="20"/>
          <w:szCs w:val="20"/>
        </w:rPr>
        <w:t xml:space="preserve"> oddíle bytové vybavení a zařízení domácnosti </w:t>
      </w:r>
      <w:r w:rsidRPr="00AE1854">
        <w:rPr>
          <w:rFonts w:cs="Arial"/>
          <w:i w:val="0"/>
          <w:sz w:val="20"/>
          <w:szCs w:val="20"/>
        </w:rPr>
        <w:t>ovlivnilo cenový pokles snížení cen zejména přístrojů a spotřebičů pro domácnost o 3,8 %.</w:t>
      </w:r>
    </w:p>
    <w:p w:rsidR="00EE79EB" w:rsidRDefault="00EE79EB" w:rsidP="00EE79EB">
      <w:pPr>
        <w:pStyle w:val="Zkladntext"/>
        <w:spacing w:before="120" w:line="218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0,4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ceny služeb klesly o 0,1 %.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</w:t>
      </w:r>
      <w:r>
        <w:rPr>
          <w:rFonts w:cs="Arial"/>
          <w:i w:val="0"/>
          <w:sz w:val="20"/>
          <w:szCs w:val="20"/>
        </w:rPr>
        <w:t>ného nájemného byl meziročně 100</w:t>
      </w:r>
      <w:r w:rsidRPr="00560E9F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EE79EB" w:rsidRDefault="00EE79EB" w:rsidP="00EE79EB">
      <w:pPr>
        <w:pStyle w:val="Zkladntext"/>
        <w:spacing w:before="120" w:line="218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</w:t>
      </w:r>
      <w:r>
        <w:rPr>
          <w:rFonts w:cs="Arial"/>
          <w:bCs/>
          <w:i w:val="0"/>
          <w:sz w:val="20"/>
          <w:szCs w:val="20"/>
        </w:rPr>
        <w:t> lednu 1</w:t>
      </w:r>
      <w:r w:rsidRPr="00560E9F">
        <w:rPr>
          <w:rFonts w:cs="Arial"/>
          <w:bCs/>
          <w:i w:val="0"/>
          <w:sz w:val="20"/>
          <w:szCs w:val="20"/>
        </w:rPr>
        <w:t>,</w:t>
      </w:r>
      <w:r>
        <w:rPr>
          <w:rFonts w:cs="Arial"/>
          <w:bCs/>
          <w:i w:val="0"/>
          <w:sz w:val="20"/>
          <w:szCs w:val="20"/>
        </w:rPr>
        <w:t>3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EE79EB" w:rsidRDefault="00EE79EB" w:rsidP="00EE79EB">
      <w:pPr>
        <w:pStyle w:val="Zkladntextodsazen3"/>
        <w:spacing w:before="120" w:after="0" w:line="218" w:lineRule="auto"/>
        <w:ind w:left="0"/>
        <w:rPr>
          <w:rFonts w:cs="Arial"/>
          <w:sz w:val="20"/>
          <w:szCs w:val="20"/>
        </w:rPr>
      </w:pPr>
      <w:r w:rsidRPr="0035160B">
        <w:rPr>
          <w:rFonts w:cs="Arial"/>
          <w:sz w:val="20"/>
          <w:szCs w:val="20"/>
        </w:rPr>
        <w:t xml:space="preserve">Meziroční přírůstek průměrného </w:t>
      </w:r>
      <w:r w:rsidRPr="0035160B">
        <w:rPr>
          <w:rFonts w:cs="Arial"/>
          <w:b/>
          <w:bCs/>
          <w:sz w:val="20"/>
          <w:szCs w:val="20"/>
        </w:rPr>
        <w:t>harmonizovaného indexu spotřebitelských cen</w:t>
      </w:r>
      <w:r w:rsidRPr="0035160B">
        <w:rPr>
          <w:rFonts w:cs="Arial"/>
          <w:sz w:val="20"/>
          <w:szCs w:val="20"/>
        </w:rPr>
        <w:t xml:space="preserve"> (HICP)</w:t>
      </w:r>
      <w:r w:rsidRPr="0035160B">
        <w:rPr>
          <w:rStyle w:val="Znakapoznpodarou"/>
          <w:rFonts w:cs="Arial"/>
          <w:sz w:val="20"/>
          <w:szCs w:val="20"/>
        </w:rPr>
        <w:footnoteReference w:id="1"/>
      </w:r>
      <w:r w:rsidRPr="0035160B">
        <w:rPr>
          <w:rFonts w:cs="Arial"/>
          <w:sz w:val="20"/>
          <w:szCs w:val="20"/>
          <w:vertAlign w:val="superscript"/>
        </w:rPr>
        <w:t>)</w:t>
      </w:r>
      <w:r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bCs/>
          <w:sz w:val="20"/>
          <w:szCs w:val="20"/>
        </w:rPr>
        <w:t>28 členských zemí EU</w:t>
      </w:r>
      <w:r w:rsidRPr="0035160B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5160B">
        <w:rPr>
          <w:rFonts w:cs="Arial"/>
          <w:sz w:val="20"/>
          <w:szCs w:val="20"/>
        </w:rPr>
        <w:t>Eurostatu</w:t>
      </w:r>
      <w:proofErr w:type="spellEnd"/>
      <w:r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</w:t>
      </w:r>
      <w:r w:rsidRPr="0035160B">
        <w:rPr>
          <w:rFonts w:cs="Arial"/>
          <w:b/>
          <w:sz w:val="20"/>
          <w:szCs w:val="20"/>
        </w:rPr>
        <w:t>prosinci</w:t>
      </w:r>
      <w:r>
        <w:rPr>
          <w:rFonts w:cs="Arial"/>
          <w:b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</w:t>
      </w:r>
      <w:r w:rsidRPr="0035160B">
        <w:rPr>
          <w:rFonts w:cs="Arial"/>
          <w:sz w:val="20"/>
          <w:szCs w:val="20"/>
        </w:rPr>
        <w:t xml:space="preserve">listopadu </w:t>
      </w:r>
      <w:r>
        <w:rPr>
          <w:rFonts w:cs="Arial"/>
          <w:sz w:val="20"/>
          <w:szCs w:val="20"/>
        </w:rPr>
        <w:t xml:space="preserve">1,0 %. </w:t>
      </w:r>
      <w:r w:rsidRPr="0035160B">
        <w:rPr>
          <w:rFonts w:cs="Arial"/>
          <w:sz w:val="20"/>
          <w:szCs w:val="20"/>
        </w:rPr>
        <w:t xml:space="preserve">Nejvíce vzrostly ceny ve </w:t>
      </w:r>
      <w:r>
        <w:rPr>
          <w:rFonts w:cs="Arial"/>
          <w:sz w:val="20"/>
          <w:szCs w:val="20"/>
        </w:rPr>
        <w:t xml:space="preserve">Spojeném království, Rakousku a </w:t>
      </w:r>
      <w:r w:rsidRPr="0035160B">
        <w:rPr>
          <w:rFonts w:cs="Arial"/>
          <w:sz w:val="20"/>
          <w:szCs w:val="20"/>
        </w:rPr>
        <w:t>Estonsku (shodně o 2,</w:t>
      </w:r>
      <w:r>
        <w:rPr>
          <w:rFonts w:cs="Arial"/>
          <w:sz w:val="20"/>
          <w:szCs w:val="20"/>
        </w:rPr>
        <w:t>0</w:t>
      </w:r>
      <w:r w:rsidRPr="0035160B">
        <w:rPr>
          <w:rFonts w:cs="Arial"/>
          <w:sz w:val="20"/>
          <w:szCs w:val="20"/>
        </w:rPr>
        <w:t> %). Naopak v Řecku klesly ceny v </w:t>
      </w:r>
      <w:r w:rsidRPr="009C0AE9">
        <w:rPr>
          <w:rFonts w:cs="Arial"/>
          <w:b/>
          <w:sz w:val="20"/>
          <w:szCs w:val="20"/>
        </w:rPr>
        <w:t>prosinci</w:t>
      </w:r>
      <w:r w:rsidRPr="0035160B">
        <w:rPr>
          <w:rFonts w:cs="Arial"/>
          <w:sz w:val="20"/>
          <w:szCs w:val="20"/>
        </w:rPr>
        <w:t xml:space="preserve"> meziročně</w:t>
      </w:r>
      <w:r>
        <w:rPr>
          <w:rFonts w:cs="Arial"/>
          <w:sz w:val="20"/>
          <w:szCs w:val="20"/>
        </w:rPr>
        <w:t xml:space="preserve"> o 1,8</w:t>
      </w:r>
      <w:r w:rsidRPr="0035160B">
        <w:rPr>
          <w:rFonts w:cs="Arial"/>
          <w:sz w:val="20"/>
          <w:szCs w:val="20"/>
        </w:rPr>
        <w:t xml:space="preserve"> %, </w:t>
      </w:r>
      <w:r>
        <w:rPr>
          <w:rFonts w:cs="Arial"/>
          <w:sz w:val="20"/>
          <w:szCs w:val="20"/>
        </w:rPr>
        <w:t>na Kypru o 1,3</w:t>
      </w:r>
      <w:r w:rsidRPr="0035160B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, </w:t>
      </w:r>
      <w:r w:rsidRPr="0035160B">
        <w:rPr>
          <w:rFonts w:cs="Arial"/>
          <w:sz w:val="20"/>
          <w:szCs w:val="20"/>
        </w:rPr>
        <w:t>v Bulharsku o </w:t>
      </w:r>
      <w:r>
        <w:rPr>
          <w:rFonts w:cs="Arial"/>
          <w:sz w:val="20"/>
          <w:szCs w:val="20"/>
        </w:rPr>
        <w:t xml:space="preserve">0,9 % </w:t>
      </w:r>
      <w:r w:rsidRPr="0035160B">
        <w:rPr>
          <w:rFonts w:cs="Arial"/>
          <w:sz w:val="20"/>
          <w:szCs w:val="20"/>
        </w:rPr>
        <w:t xml:space="preserve">a v Lotyšsku </w:t>
      </w:r>
      <w:r>
        <w:rPr>
          <w:rFonts w:cs="Arial"/>
          <w:sz w:val="20"/>
          <w:szCs w:val="20"/>
        </w:rPr>
        <w:t>o 0,4</w:t>
      </w:r>
      <w:r w:rsidRPr="0035160B">
        <w:rPr>
          <w:rFonts w:cs="Arial"/>
          <w:sz w:val="20"/>
          <w:szCs w:val="20"/>
        </w:rPr>
        <w:t xml:space="preserve"> %. V Německu </w:t>
      </w:r>
      <w:r>
        <w:rPr>
          <w:rFonts w:cs="Arial"/>
          <w:sz w:val="20"/>
          <w:szCs w:val="20"/>
        </w:rPr>
        <w:t xml:space="preserve">zpomalil </w:t>
      </w:r>
      <w:r w:rsidRPr="0035160B">
        <w:rPr>
          <w:rFonts w:cs="Arial"/>
          <w:sz w:val="20"/>
          <w:szCs w:val="20"/>
        </w:rPr>
        <w:t xml:space="preserve">růst cen </w:t>
      </w:r>
      <w:r>
        <w:rPr>
          <w:rFonts w:cs="Arial"/>
          <w:sz w:val="20"/>
          <w:szCs w:val="20"/>
        </w:rPr>
        <w:t xml:space="preserve">na </w:t>
      </w:r>
      <w:proofErr w:type="gramStart"/>
      <w:r>
        <w:rPr>
          <w:rFonts w:cs="Arial"/>
          <w:sz w:val="20"/>
          <w:szCs w:val="20"/>
        </w:rPr>
        <w:t>1,2</w:t>
      </w:r>
      <w:r w:rsidRPr="0035160B">
        <w:rPr>
          <w:rFonts w:cs="Arial"/>
          <w:sz w:val="20"/>
          <w:szCs w:val="20"/>
        </w:rPr>
        <w:t> % z </w:t>
      </w:r>
      <w:r>
        <w:rPr>
          <w:rFonts w:cs="Arial"/>
          <w:sz w:val="20"/>
          <w:szCs w:val="20"/>
        </w:rPr>
        <w:t>1,6</w:t>
      </w:r>
      <w:proofErr w:type="gramEnd"/>
      <w:r w:rsidRPr="0035160B">
        <w:rPr>
          <w:rFonts w:cs="Arial"/>
          <w:sz w:val="20"/>
          <w:szCs w:val="20"/>
        </w:rPr>
        <w:t> % v</w:t>
      </w:r>
      <w:r>
        <w:rPr>
          <w:rFonts w:cs="Arial"/>
          <w:sz w:val="20"/>
          <w:szCs w:val="20"/>
        </w:rPr>
        <w:t> listopadu.</w:t>
      </w:r>
      <w:r w:rsidRPr="0035160B">
        <w:rPr>
          <w:rFonts w:cs="Arial"/>
          <w:sz w:val="20"/>
          <w:szCs w:val="20"/>
        </w:rPr>
        <w:t xml:space="preserve"> Na Slovensku došlo k dalšímu zmírnění cenového růst</w:t>
      </w:r>
      <w:r>
        <w:rPr>
          <w:rFonts w:cs="Arial"/>
          <w:sz w:val="20"/>
          <w:szCs w:val="20"/>
        </w:rPr>
        <w:t>u na 0,4</w:t>
      </w:r>
      <w:r w:rsidRPr="0035160B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z 0,5</w:t>
      </w:r>
      <w:r w:rsidRPr="0035160B">
        <w:rPr>
          <w:rFonts w:cs="Arial"/>
          <w:sz w:val="20"/>
          <w:szCs w:val="20"/>
        </w:rPr>
        <w:t xml:space="preserve"> % </w:t>
      </w:r>
      <w:r w:rsidRPr="00AE1854">
        <w:rPr>
          <w:rFonts w:cs="Arial"/>
          <w:sz w:val="20"/>
          <w:szCs w:val="20"/>
        </w:rPr>
        <w:t>v listopadu</w:t>
      </w:r>
      <w:r w:rsidRPr="0035160B">
        <w:rPr>
          <w:rFonts w:cs="Arial"/>
          <w:sz w:val="20"/>
          <w:szCs w:val="20"/>
        </w:rPr>
        <w:t xml:space="preserve">. Podle předběžných výpočtů vzrostl </w:t>
      </w:r>
      <w:r w:rsidRPr="0035160B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160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2014</w:t>
      </w:r>
      <w:r w:rsidRPr="0035160B">
        <w:rPr>
          <w:rFonts w:cs="Arial"/>
          <w:b/>
          <w:bCs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 xml:space="preserve">HICP v ČR </w:t>
      </w:r>
      <w:r w:rsidRPr="0035160B">
        <w:rPr>
          <w:rFonts w:cs="Arial"/>
          <w:b/>
          <w:bCs/>
          <w:sz w:val="20"/>
          <w:szCs w:val="20"/>
        </w:rPr>
        <w:t>meziměsíčně</w:t>
      </w:r>
      <w:r w:rsidRPr="0035160B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1</w:t>
      </w:r>
      <w:r w:rsidRPr="0035160B">
        <w:rPr>
          <w:rFonts w:cs="Arial"/>
          <w:sz w:val="20"/>
          <w:szCs w:val="20"/>
        </w:rPr>
        <w:t> % a </w:t>
      </w:r>
      <w:r w:rsidRPr="0035160B">
        <w:rPr>
          <w:rFonts w:cs="Arial"/>
          <w:b/>
          <w:bCs/>
          <w:sz w:val="20"/>
          <w:szCs w:val="20"/>
        </w:rPr>
        <w:t xml:space="preserve">meziročně </w:t>
      </w:r>
      <w:r>
        <w:rPr>
          <w:rFonts w:cs="Arial"/>
          <w:bCs/>
          <w:sz w:val="20"/>
          <w:szCs w:val="20"/>
        </w:rPr>
        <w:t>o 0</w:t>
      </w:r>
      <w:r w:rsidRPr="0035160B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>3</w:t>
      </w:r>
      <w:r w:rsidRPr="0035160B">
        <w:rPr>
          <w:rFonts w:cs="Arial"/>
          <w:bCs/>
          <w:sz w:val="20"/>
          <w:szCs w:val="20"/>
        </w:rPr>
        <w:t> % (v </w:t>
      </w:r>
      <w:r>
        <w:rPr>
          <w:rFonts w:cs="Arial"/>
          <w:bCs/>
          <w:sz w:val="20"/>
          <w:szCs w:val="20"/>
        </w:rPr>
        <w:t xml:space="preserve">prosinci </w:t>
      </w:r>
      <w:r w:rsidRPr="0035160B">
        <w:rPr>
          <w:rFonts w:cs="Arial"/>
          <w:bCs/>
          <w:sz w:val="20"/>
          <w:szCs w:val="20"/>
        </w:rPr>
        <w:t>o </w:t>
      </w:r>
      <w:r>
        <w:rPr>
          <w:rFonts w:cs="Arial"/>
          <w:sz w:val="20"/>
          <w:szCs w:val="20"/>
        </w:rPr>
        <w:t>1,5</w:t>
      </w:r>
      <w:r w:rsidRPr="0035160B">
        <w:rPr>
          <w:rFonts w:cs="Arial"/>
          <w:sz w:val="20"/>
          <w:szCs w:val="20"/>
        </w:rPr>
        <w:t xml:space="preserve"> %</w:t>
      </w:r>
      <w:r w:rsidRPr="0035160B">
        <w:rPr>
          <w:rFonts w:cs="Arial"/>
          <w:bCs/>
          <w:sz w:val="20"/>
          <w:szCs w:val="20"/>
        </w:rPr>
        <w:t xml:space="preserve">). </w:t>
      </w:r>
      <w:r w:rsidRPr="0035160B">
        <w:rPr>
          <w:rFonts w:cs="Arial"/>
          <w:sz w:val="20"/>
          <w:szCs w:val="20"/>
        </w:rPr>
        <w:t>Bleskový odhad meziroční změny HICP pro</w:t>
      </w:r>
      <w:r w:rsidRPr="0035160B">
        <w:rPr>
          <w:rFonts w:cs="Arial"/>
          <w:b/>
          <w:bCs/>
          <w:sz w:val="20"/>
          <w:szCs w:val="20"/>
        </w:rPr>
        <w:t> </w:t>
      </w:r>
      <w:proofErr w:type="spellStart"/>
      <w:r w:rsidRPr="0035160B">
        <w:rPr>
          <w:rFonts w:cs="Arial"/>
          <w:b/>
          <w:bCs/>
          <w:sz w:val="20"/>
          <w:szCs w:val="20"/>
        </w:rPr>
        <w:t>eurozónu</w:t>
      </w:r>
      <w:proofErr w:type="spellEnd"/>
      <w:r w:rsidRPr="0035160B">
        <w:rPr>
          <w:rFonts w:cs="Arial"/>
          <w:b/>
          <w:bCs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>za</w:t>
      </w:r>
      <w:r w:rsidRPr="0035160B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35160B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4</w:t>
      </w:r>
      <w:r w:rsidRPr="0035160B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0,7</w:t>
      </w:r>
      <w:r w:rsidRPr="0035160B">
        <w:rPr>
          <w:rFonts w:cs="Arial"/>
          <w:sz w:val="20"/>
          <w:szCs w:val="20"/>
        </w:rPr>
        <w:t xml:space="preserve"> %, jak uvedl </w:t>
      </w:r>
      <w:proofErr w:type="spellStart"/>
      <w:r w:rsidRPr="0035160B">
        <w:rPr>
          <w:rFonts w:cs="Arial"/>
          <w:sz w:val="20"/>
          <w:szCs w:val="20"/>
        </w:rPr>
        <w:t>Eurostat</w:t>
      </w:r>
      <w:proofErr w:type="spellEnd"/>
      <w:r w:rsidRPr="0035160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5160B">
        <w:rPr>
          <w:rFonts w:cs="Arial"/>
          <w:sz w:val="20"/>
          <w:szCs w:val="20"/>
        </w:rPr>
        <w:t>Eurostatu</w:t>
      </w:r>
      <w:proofErr w:type="spellEnd"/>
      <w:r w:rsidRPr="0035160B">
        <w:rPr>
          <w:rFonts w:cs="Arial"/>
          <w:sz w:val="20"/>
          <w:szCs w:val="20"/>
        </w:rPr>
        <w:t xml:space="preserve">: </w:t>
      </w:r>
      <w:hyperlink r:id="rId6" w:history="1">
        <w:r w:rsidRPr="0035160B">
          <w:rPr>
            <w:rStyle w:val="Hypertextovodkaz"/>
            <w:sz w:val="20"/>
            <w:szCs w:val="20"/>
          </w:rPr>
          <w:t>HICP</w:t>
        </w:r>
      </w:hyperlink>
      <w:r w:rsidRPr="0035160B">
        <w:rPr>
          <w:rFonts w:cs="Arial"/>
          <w:sz w:val="20"/>
          <w:szCs w:val="20"/>
        </w:rPr>
        <w:t>).</w:t>
      </w:r>
    </w:p>
    <w:p w:rsidR="00EE79EB" w:rsidRDefault="00EE79EB" w:rsidP="00EE79EB">
      <w:pPr>
        <w:pStyle w:val="Zkladntextodsazen3"/>
        <w:spacing w:before="120" w:after="0" w:line="21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EE79EB" w:rsidRDefault="00EE79EB" w:rsidP="00EE79EB">
      <w:pPr>
        <w:pStyle w:val="Zkladntextodsazen3"/>
        <w:spacing w:before="120" w:line="218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297D47" w:rsidRDefault="00EE79EB" w:rsidP="00EE79EB">
      <w:pPr>
        <w:spacing w:before="120" w:line="218" w:lineRule="auto"/>
      </w:pPr>
      <w:r>
        <w:rPr>
          <w:rFonts w:cs="Arial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Cs w:val="20"/>
          </w:rPr>
          <w:t>spotřební koš</w:t>
        </w:r>
      </w:hyperlink>
    </w:p>
    <w:p w:rsidR="0090611F" w:rsidRPr="0090611F" w:rsidRDefault="0090611F" w:rsidP="0090611F">
      <w:pPr>
        <w:pStyle w:val="Zkladntext"/>
        <w:spacing w:line="218" w:lineRule="auto"/>
        <w:rPr>
          <w:rFonts w:cs="Arial"/>
          <w:i w:val="0"/>
          <w:sz w:val="20"/>
        </w:rPr>
      </w:pPr>
      <w:r w:rsidRPr="0090611F">
        <w:rPr>
          <w:rFonts w:cs="Arial"/>
          <w:i w:val="0"/>
          <w:sz w:val="20"/>
        </w:rPr>
        <w:lastRenderedPageBreak/>
        <w:t xml:space="preserve">Spotřebitelské ceny v lednu 2014 u </w:t>
      </w:r>
      <w:r w:rsidRPr="0090611F">
        <w:rPr>
          <w:rFonts w:cs="Arial"/>
          <w:b/>
          <w:bCs/>
          <w:i w:val="0"/>
          <w:sz w:val="20"/>
        </w:rPr>
        <w:t>domácností důchodců</w:t>
      </w:r>
      <w:r w:rsidRPr="0090611F">
        <w:rPr>
          <w:rFonts w:cs="Arial"/>
          <w:i w:val="0"/>
          <w:sz w:val="20"/>
        </w:rPr>
        <w:t xml:space="preserve"> klesly ve srov</w:t>
      </w:r>
      <w:r>
        <w:rPr>
          <w:rFonts w:cs="Arial"/>
          <w:i w:val="0"/>
          <w:sz w:val="20"/>
        </w:rPr>
        <w:t>nání s předcházejícím měsícem o </w:t>
      </w:r>
      <w:r w:rsidRPr="0090611F">
        <w:rPr>
          <w:rFonts w:cs="Arial"/>
          <w:i w:val="0"/>
          <w:sz w:val="20"/>
        </w:rPr>
        <w:t xml:space="preserve">0,1 %. Byl zaznamenán pokles indexu spotřebitelských cen v oddíle zdraví o 5,3 % v důsledku zrušení regulačního poplatku za pobyt v nemocnici. V oddíle odívání a obuv došlo k poklesu cen o 3,2 %. Pokles byl způsoben cenami obuvi a oděvů. Na snížení celkového indexu spotřebitelských cen působil pokles cen v oddíle bydlení o 2,4 % vlivem poklesu zejména cen elektřiny. Na druhé straně se projevilo zvýšení cen v oddíle alkoholické nápoje a tabák o 2,1 %. Růst byl způsoben zejména cenami lihovin a piva. Zvýšil se cenový index v oddíle potraviny a nealkoholické nápoje o 1,6 %, přičemž vzrostly zejména ceny ovoce. </w:t>
      </w:r>
    </w:p>
    <w:p w:rsidR="0090611F" w:rsidRPr="0090611F" w:rsidRDefault="0090611F" w:rsidP="0090611F">
      <w:pPr>
        <w:pStyle w:val="Zkladntext"/>
        <w:spacing w:line="218" w:lineRule="auto"/>
        <w:rPr>
          <w:rFonts w:cs="Arial"/>
          <w:i w:val="0"/>
          <w:sz w:val="20"/>
        </w:rPr>
      </w:pPr>
    </w:p>
    <w:p w:rsidR="0090611F" w:rsidRPr="0090611F" w:rsidRDefault="0090611F" w:rsidP="0090611F">
      <w:pPr>
        <w:pStyle w:val="Zkladntext"/>
        <w:spacing w:line="218" w:lineRule="auto"/>
        <w:rPr>
          <w:rFonts w:cs="Arial"/>
          <w:b/>
          <w:bCs/>
          <w:i w:val="0"/>
          <w:sz w:val="20"/>
        </w:rPr>
      </w:pPr>
      <w:r w:rsidRPr="0090611F">
        <w:rPr>
          <w:rFonts w:cs="Arial"/>
          <w:b/>
          <w:bCs/>
          <w:i w:val="0"/>
          <w:sz w:val="20"/>
        </w:rPr>
        <w:t>V hlavním městě Praze</w:t>
      </w:r>
      <w:r w:rsidRPr="0090611F">
        <w:rPr>
          <w:rFonts w:cs="Arial"/>
          <w:i w:val="0"/>
          <w:sz w:val="20"/>
        </w:rPr>
        <w:t xml:space="preserve"> vzrostl úhrnný index spotřebitelských cen (životních nákladů) ve srovnání s minulým měsícem o 0,2 % (0,1 % v celé ČR). Na tento vývoj působil růst indexu spotřebitelských cen v oddíle potraviny a nealkoholické nápoje o 1,5 % (1,8 % v ČR). Jednalo se zejména o důsledek zvýšení cen ovoce. Dále byl v Praze zaznamenán růst cenové hladiny v oddíle rekreace a kultura o 1,3 % (0,8 % v ČR), a to zejména zvýšením cen rekreace tuzemské. Na druhé straně bylo zjištěno snížení indexu spotřebitelských cen v oddíle odívání a obuv o 4,3 % (-3,4 % v ČR), přičemž klesly ceny obuvi a oděvů. V oddíle zdraví došlo ke snížení cen o 3,2 % (-3,5 % v ČR). Bylo to způsobeno zrušením regulačního poplatku za pobyt v nemocnici.</w:t>
      </w:r>
    </w:p>
    <w:p w:rsidR="0090611F" w:rsidRPr="00EE79EB" w:rsidRDefault="0090611F" w:rsidP="0090611F">
      <w:pPr>
        <w:spacing w:before="120" w:line="218" w:lineRule="auto"/>
        <w:rPr>
          <w:szCs w:val="20"/>
        </w:rPr>
      </w:pPr>
    </w:p>
    <w:sectPr w:rsidR="0090611F" w:rsidRPr="00EE79EB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F5" w:rsidRDefault="00787CF5" w:rsidP="008C3834">
      <w:pPr>
        <w:spacing w:line="240" w:lineRule="auto"/>
      </w:pPr>
      <w:r>
        <w:separator/>
      </w:r>
    </w:p>
  </w:endnote>
  <w:endnote w:type="continuationSeparator" w:id="0">
    <w:p w:rsidR="00787CF5" w:rsidRDefault="00787CF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F5" w:rsidRDefault="00787CF5" w:rsidP="008C3834">
      <w:pPr>
        <w:spacing w:line="240" w:lineRule="auto"/>
      </w:pPr>
      <w:r>
        <w:separator/>
      </w:r>
    </w:p>
  </w:footnote>
  <w:footnote w:type="continuationSeparator" w:id="0">
    <w:p w:rsidR="00787CF5" w:rsidRDefault="00787CF5" w:rsidP="008C3834">
      <w:pPr>
        <w:spacing w:line="240" w:lineRule="auto"/>
      </w:pPr>
      <w:r>
        <w:continuationSeparator/>
      </w:r>
    </w:p>
  </w:footnote>
  <w:footnote w:id="1">
    <w:p w:rsidR="00EE79EB" w:rsidRDefault="00EE79EB" w:rsidP="00EE79E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F96"/>
    <w:rsid w:val="003E0C74"/>
    <w:rsid w:val="004102C7"/>
    <w:rsid w:val="004127A6"/>
    <w:rsid w:val="004516B1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70777D"/>
    <w:rsid w:val="0073782D"/>
    <w:rsid w:val="00787CF5"/>
    <w:rsid w:val="007E69C2"/>
    <w:rsid w:val="008C3834"/>
    <w:rsid w:val="008E23B3"/>
    <w:rsid w:val="0090611F"/>
    <w:rsid w:val="00910650"/>
    <w:rsid w:val="00954772"/>
    <w:rsid w:val="00986BAE"/>
    <w:rsid w:val="009E320A"/>
    <w:rsid w:val="00AE5A76"/>
    <w:rsid w:val="00B67728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6699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3</cp:revision>
  <dcterms:created xsi:type="dcterms:W3CDTF">2014-02-17T11:58:00Z</dcterms:created>
  <dcterms:modified xsi:type="dcterms:W3CDTF">2014-02-17T12:00:00Z</dcterms:modified>
</cp:coreProperties>
</file>