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27" w:rsidRDefault="005C6C27" w:rsidP="005C6C27">
      <w:pPr>
        <w:pStyle w:val="Nadpis1"/>
      </w:pPr>
      <w:bookmarkStart w:id="0" w:name="_Toc435002874"/>
      <w:bookmarkStart w:id="1" w:name="_Toc435003630"/>
      <w:bookmarkStart w:id="2" w:name="_Toc435002875"/>
      <w:bookmarkStart w:id="3" w:name="_Toc435003631"/>
      <w:bookmarkStart w:id="4" w:name="_Toc436052687"/>
      <w:r>
        <w:t>3. Potraty podle věku a analytické indikátory</w:t>
      </w:r>
      <w:bookmarkEnd w:id="4"/>
    </w:p>
    <w:p w:rsidR="005C6C27" w:rsidRDefault="005C6C27" w:rsidP="005C6C27">
      <w:pPr>
        <w:jc w:val="both"/>
      </w:pPr>
      <w:r>
        <w:t>Rozložení potratů podle věku je výrazně ovlivněno věkovou strukturou žen a počty těhotenství podle věku. V roce 2003 se nejvíce potratů odehrávalo ve věkové skupině 25–29 let (12 293, 29,1 % ze všech potratů), avšak od roku 2006  bývá nejvíce potratů ve věkové kategorii 30–34 let – v roce 2014 šlo o 9 258 potratů (25,1 % z celku). V</w:t>
      </w:r>
      <w:r w:rsidRPr="002503C2">
        <w:t>e sle</w:t>
      </w:r>
      <w:r>
        <w:t xml:space="preserve">dovaném období let 2003 až 2014 se větší část potratů přesouvala do starších věkových kategorií. Potraty žen ve věku 35 let a více tvořily v roce 2003 ještě 21,8 % z celkového počtu potratů, o jedenáct let později to bylo již 33,3 %. </w:t>
      </w:r>
    </w:p>
    <w:p w:rsidR="005C6C27" w:rsidRDefault="005C6C27" w:rsidP="005C6C27">
      <w:pPr>
        <w:jc w:val="both"/>
      </w:pPr>
    </w:p>
    <w:p w:rsidR="005C6C27" w:rsidRDefault="005C6C27" w:rsidP="005C6C27">
      <w:pPr>
        <w:jc w:val="both"/>
      </w:pPr>
      <w:r>
        <w:t xml:space="preserve">V případě indukovaných potratů se věková kategorie 30–34 let stala nejčastější z pohledu realizace UPT už v roce 2005, avšak od roku 2013 se ještě více indukovaných potratů uskutečnilo ve věkové skupině 35–39 let. I u tohoto druhu potratu došlo k posunu jeho provedení do pozdějšího věku, byť méně výrazně než v případě všech potratů. Zatímco v roce 2003 tvořily indukované potraty žen ve věku 35 let a více 23,5 % všech UPT, v roce 2014 šlo o 33,3 %. U indukovaných potratů byly častěji než u celkového </w:t>
      </w:r>
      <w:proofErr w:type="gramStart"/>
      <w:r>
        <w:t>počtu  zastoupeny</w:t>
      </w:r>
      <w:proofErr w:type="gramEnd"/>
      <w:r>
        <w:t xml:space="preserve"> ženy v mladším věku do 24 let – v roce 2014 se jednalo o 24,5 % u UPT, oproti tomu o 20,0 % v úhrnu potratů.  </w:t>
      </w:r>
    </w:p>
    <w:p w:rsidR="005C6C27" w:rsidRPr="00CF062E" w:rsidRDefault="005C6C27" w:rsidP="005C6C27"/>
    <w:p w:rsidR="005C6C27" w:rsidRDefault="005C6C27" w:rsidP="005C6C27">
      <w:pPr>
        <w:tabs>
          <w:tab w:val="left" w:pos="990"/>
        </w:tabs>
        <w:spacing w:after="60"/>
        <w:rPr>
          <w:rStyle w:val="Siln"/>
        </w:rPr>
      </w:pPr>
      <w:r>
        <w:rPr>
          <w:rStyle w:val="Siln"/>
        </w:rPr>
        <w:t xml:space="preserve">Tab. 3 </w:t>
      </w:r>
      <w:r w:rsidRPr="002A783F">
        <w:rPr>
          <w:rStyle w:val="Siln"/>
        </w:rPr>
        <w:t>Potraty podle druhu potratu a věkové skupiny ženy v letech 2003, 2009 a 2014</w:t>
      </w:r>
    </w:p>
    <w:tbl>
      <w:tblPr>
        <w:tblW w:w="9639" w:type="dxa"/>
        <w:tblCellMar>
          <w:left w:w="70" w:type="dxa"/>
          <w:right w:w="70" w:type="dxa"/>
        </w:tblCellMar>
        <w:tblLook w:val="04A0"/>
      </w:tblPr>
      <w:tblGrid>
        <w:gridCol w:w="875"/>
        <w:gridCol w:w="884"/>
        <w:gridCol w:w="884"/>
        <w:gridCol w:w="885"/>
        <w:gridCol w:w="884"/>
        <w:gridCol w:w="885"/>
        <w:gridCol w:w="884"/>
        <w:gridCol w:w="884"/>
        <w:gridCol w:w="885"/>
        <w:gridCol w:w="884"/>
        <w:gridCol w:w="885"/>
      </w:tblGrid>
      <w:tr w:rsidR="005C6C27" w:rsidRPr="002A783F" w:rsidTr="00E73EF4">
        <w:trPr>
          <w:trHeight w:val="240"/>
        </w:trPr>
        <w:tc>
          <w:tcPr>
            <w:tcW w:w="875" w:type="dxa"/>
            <w:vMerge w:val="restart"/>
            <w:tcBorders>
              <w:top w:val="single" w:sz="4" w:space="0" w:color="auto"/>
              <w:left w:val="nil"/>
              <w:bottom w:val="single" w:sz="4" w:space="0" w:color="000000"/>
              <w:right w:val="single" w:sz="4" w:space="0" w:color="auto"/>
            </w:tcBorders>
            <w:shd w:val="clear" w:color="FFFFFF" w:fill="F5DADD"/>
            <w:vAlign w:val="center"/>
            <w:hideMark/>
          </w:tcPr>
          <w:p w:rsidR="005C6C27" w:rsidRPr="002A783F" w:rsidRDefault="005C6C27" w:rsidP="00E73EF4">
            <w:pPr>
              <w:spacing w:line="240" w:lineRule="auto"/>
              <w:jc w:val="center"/>
              <w:rPr>
                <w:rFonts w:cs="Arial"/>
                <w:b/>
                <w:bCs/>
                <w:sz w:val="16"/>
                <w:szCs w:val="16"/>
              </w:rPr>
            </w:pPr>
            <w:r w:rsidRPr="002A783F">
              <w:rPr>
                <w:rFonts w:cs="Arial"/>
                <w:b/>
                <w:bCs/>
                <w:sz w:val="16"/>
                <w:szCs w:val="16"/>
              </w:rPr>
              <w:t>Rok</w:t>
            </w:r>
          </w:p>
        </w:tc>
        <w:tc>
          <w:tcPr>
            <w:tcW w:w="8764" w:type="dxa"/>
            <w:gridSpan w:val="10"/>
            <w:tcBorders>
              <w:top w:val="single" w:sz="4" w:space="0" w:color="auto"/>
              <w:left w:val="nil"/>
              <w:bottom w:val="single" w:sz="4" w:space="0" w:color="auto"/>
              <w:right w:val="nil"/>
            </w:tcBorders>
            <w:shd w:val="clear" w:color="FFFFFF" w:fill="F5DADD"/>
            <w:noWrap/>
            <w:vAlign w:val="bottom"/>
            <w:hideMark/>
          </w:tcPr>
          <w:p w:rsidR="005C6C27" w:rsidRPr="002A783F" w:rsidRDefault="005C6C27" w:rsidP="00E73EF4">
            <w:pPr>
              <w:spacing w:line="240" w:lineRule="auto"/>
              <w:jc w:val="center"/>
              <w:rPr>
                <w:rFonts w:cs="Arial"/>
                <w:b/>
                <w:bCs/>
                <w:sz w:val="16"/>
                <w:szCs w:val="16"/>
              </w:rPr>
            </w:pPr>
            <w:r w:rsidRPr="002A783F">
              <w:rPr>
                <w:rFonts w:cs="Arial"/>
                <w:b/>
                <w:bCs/>
                <w:sz w:val="16"/>
                <w:szCs w:val="16"/>
              </w:rPr>
              <w:t>Počet potratů žen ve věku</w:t>
            </w:r>
          </w:p>
        </w:tc>
      </w:tr>
      <w:tr w:rsidR="005C6C27" w:rsidRPr="002A783F" w:rsidTr="00E73EF4">
        <w:trPr>
          <w:trHeight w:val="240"/>
        </w:trPr>
        <w:tc>
          <w:tcPr>
            <w:tcW w:w="875" w:type="dxa"/>
            <w:vMerge/>
            <w:tcBorders>
              <w:top w:val="single" w:sz="4" w:space="0" w:color="auto"/>
              <w:left w:val="nil"/>
              <w:bottom w:val="single" w:sz="4" w:space="0" w:color="000000"/>
              <w:right w:val="single" w:sz="4" w:space="0" w:color="auto"/>
            </w:tcBorders>
            <w:vAlign w:val="center"/>
            <w:hideMark/>
          </w:tcPr>
          <w:p w:rsidR="005C6C27" w:rsidRPr="002A783F" w:rsidRDefault="005C6C27" w:rsidP="00E73EF4">
            <w:pPr>
              <w:spacing w:line="240" w:lineRule="auto"/>
              <w:rPr>
                <w:rFonts w:cs="Arial"/>
                <w:b/>
                <w:bCs/>
                <w:sz w:val="16"/>
                <w:szCs w:val="16"/>
              </w:rPr>
            </w:pPr>
          </w:p>
        </w:tc>
        <w:tc>
          <w:tcPr>
            <w:tcW w:w="876" w:type="dxa"/>
            <w:tcBorders>
              <w:top w:val="nil"/>
              <w:left w:val="nil"/>
              <w:bottom w:val="single" w:sz="4" w:space="0" w:color="auto"/>
              <w:right w:val="single" w:sz="4" w:space="0" w:color="auto"/>
            </w:tcBorders>
            <w:shd w:val="clear" w:color="FFFFFF" w:fill="F5DADD"/>
            <w:noWrap/>
            <w:tcMar>
              <w:left w:w="0" w:type="dxa"/>
              <w:right w:w="0" w:type="dxa"/>
            </w:tcMar>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celkem</w:t>
            </w:r>
          </w:p>
        </w:tc>
        <w:tc>
          <w:tcPr>
            <w:tcW w:w="876" w:type="dxa"/>
            <w:tcBorders>
              <w:top w:val="nil"/>
              <w:left w:val="nil"/>
              <w:bottom w:val="single" w:sz="4" w:space="0" w:color="auto"/>
              <w:right w:val="single" w:sz="4" w:space="0" w:color="auto"/>
            </w:tcBorders>
            <w:shd w:val="clear" w:color="FFFFFF" w:fill="F5DADD"/>
            <w:noWrap/>
            <w:tcMar>
              <w:left w:w="0" w:type="dxa"/>
              <w:right w:w="0" w:type="dxa"/>
            </w:tcMar>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-14</w:t>
            </w:r>
          </w:p>
        </w:tc>
        <w:tc>
          <w:tcPr>
            <w:tcW w:w="877" w:type="dxa"/>
            <w:tcBorders>
              <w:top w:val="nil"/>
              <w:left w:val="nil"/>
              <w:bottom w:val="single" w:sz="4" w:space="0" w:color="auto"/>
              <w:right w:val="single" w:sz="4" w:space="0" w:color="auto"/>
            </w:tcBorders>
            <w:shd w:val="clear" w:color="FFFFFF" w:fill="F5DADD"/>
            <w:noWrap/>
            <w:tcMar>
              <w:left w:w="0" w:type="dxa"/>
              <w:right w:w="0" w:type="dxa"/>
            </w:tcMar>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 xml:space="preserve">  15-19</w:t>
            </w:r>
          </w:p>
        </w:tc>
        <w:tc>
          <w:tcPr>
            <w:tcW w:w="876" w:type="dxa"/>
            <w:tcBorders>
              <w:top w:val="nil"/>
              <w:left w:val="nil"/>
              <w:bottom w:val="single" w:sz="4" w:space="0" w:color="auto"/>
              <w:right w:val="single" w:sz="4" w:space="0" w:color="auto"/>
            </w:tcBorders>
            <w:shd w:val="clear" w:color="FFFFFF" w:fill="F5DADD"/>
            <w:noWrap/>
            <w:tcMar>
              <w:left w:w="0" w:type="dxa"/>
              <w:right w:w="0" w:type="dxa"/>
            </w:tcMar>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 xml:space="preserve">  20-24</w:t>
            </w:r>
          </w:p>
        </w:tc>
        <w:tc>
          <w:tcPr>
            <w:tcW w:w="877" w:type="dxa"/>
            <w:tcBorders>
              <w:top w:val="nil"/>
              <w:left w:val="nil"/>
              <w:bottom w:val="single" w:sz="4" w:space="0" w:color="auto"/>
              <w:right w:val="single" w:sz="4" w:space="0" w:color="auto"/>
            </w:tcBorders>
            <w:shd w:val="clear" w:color="FFFFFF" w:fill="F5DADD"/>
            <w:noWrap/>
            <w:tcMar>
              <w:left w:w="0" w:type="dxa"/>
              <w:right w:w="0" w:type="dxa"/>
            </w:tcMar>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 xml:space="preserve">  25-29</w:t>
            </w:r>
          </w:p>
        </w:tc>
        <w:tc>
          <w:tcPr>
            <w:tcW w:w="876" w:type="dxa"/>
            <w:tcBorders>
              <w:top w:val="nil"/>
              <w:left w:val="nil"/>
              <w:bottom w:val="single" w:sz="4" w:space="0" w:color="auto"/>
              <w:right w:val="single" w:sz="4" w:space="0" w:color="auto"/>
            </w:tcBorders>
            <w:shd w:val="clear" w:color="FFFFFF" w:fill="F5DADD"/>
            <w:noWrap/>
            <w:tcMar>
              <w:left w:w="0" w:type="dxa"/>
              <w:right w:w="0" w:type="dxa"/>
            </w:tcMar>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 xml:space="preserve">  30-34</w:t>
            </w:r>
          </w:p>
        </w:tc>
        <w:tc>
          <w:tcPr>
            <w:tcW w:w="876" w:type="dxa"/>
            <w:tcBorders>
              <w:top w:val="nil"/>
              <w:left w:val="nil"/>
              <w:bottom w:val="single" w:sz="4" w:space="0" w:color="auto"/>
              <w:right w:val="single" w:sz="4" w:space="0" w:color="auto"/>
            </w:tcBorders>
            <w:shd w:val="clear" w:color="FFFFFF" w:fill="F5DADD"/>
            <w:noWrap/>
            <w:tcMar>
              <w:left w:w="0" w:type="dxa"/>
              <w:right w:w="0" w:type="dxa"/>
            </w:tcMar>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 xml:space="preserve">  35-39</w:t>
            </w:r>
          </w:p>
        </w:tc>
        <w:tc>
          <w:tcPr>
            <w:tcW w:w="877" w:type="dxa"/>
            <w:tcBorders>
              <w:top w:val="nil"/>
              <w:left w:val="nil"/>
              <w:bottom w:val="single" w:sz="4" w:space="0" w:color="auto"/>
              <w:right w:val="single" w:sz="4" w:space="0" w:color="auto"/>
            </w:tcBorders>
            <w:shd w:val="clear" w:color="FFFFFF" w:fill="F5DADD"/>
            <w:noWrap/>
            <w:tcMar>
              <w:left w:w="0" w:type="dxa"/>
              <w:right w:w="0" w:type="dxa"/>
            </w:tcMar>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 xml:space="preserve">  40-44</w:t>
            </w:r>
          </w:p>
        </w:tc>
        <w:tc>
          <w:tcPr>
            <w:tcW w:w="876" w:type="dxa"/>
            <w:tcBorders>
              <w:top w:val="nil"/>
              <w:left w:val="nil"/>
              <w:bottom w:val="single" w:sz="4" w:space="0" w:color="auto"/>
              <w:right w:val="single" w:sz="4" w:space="0" w:color="auto"/>
            </w:tcBorders>
            <w:shd w:val="clear" w:color="FFFFFF" w:fill="F5DADD"/>
            <w:noWrap/>
            <w:tcMar>
              <w:left w:w="0" w:type="dxa"/>
              <w:right w:w="0" w:type="dxa"/>
            </w:tcMar>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 xml:space="preserve">  45-49</w:t>
            </w:r>
          </w:p>
        </w:tc>
        <w:tc>
          <w:tcPr>
            <w:tcW w:w="877" w:type="dxa"/>
            <w:tcBorders>
              <w:top w:val="nil"/>
              <w:left w:val="nil"/>
              <w:bottom w:val="single" w:sz="4" w:space="0" w:color="auto"/>
              <w:right w:val="nil"/>
            </w:tcBorders>
            <w:shd w:val="clear" w:color="FFFFFF" w:fill="F5DADD"/>
            <w:noWrap/>
            <w:tcMar>
              <w:left w:w="0" w:type="dxa"/>
              <w:right w:w="0" w:type="dxa"/>
            </w:tcMar>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 xml:space="preserve"> 50+</w:t>
            </w:r>
          </w:p>
        </w:tc>
      </w:tr>
      <w:tr w:rsidR="005C6C27" w:rsidRPr="002A783F" w:rsidTr="00E73EF4">
        <w:trPr>
          <w:trHeight w:val="240"/>
        </w:trPr>
        <w:tc>
          <w:tcPr>
            <w:tcW w:w="875" w:type="dxa"/>
            <w:tcBorders>
              <w:top w:val="nil"/>
              <w:left w:val="nil"/>
              <w:bottom w:val="nil"/>
              <w:right w:val="single" w:sz="4" w:space="0" w:color="auto"/>
            </w:tcBorders>
            <w:shd w:val="clear" w:color="FFFFFF" w:fill="FFFFFF"/>
            <w:noWrap/>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2003</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42 304</w:t>
            </w:r>
          </w:p>
        </w:tc>
        <w:tc>
          <w:tcPr>
            <w:tcW w:w="876" w:type="dxa"/>
            <w:tcBorders>
              <w:top w:val="nil"/>
              <w:left w:val="nil"/>
              <w:bottom w:val="nil"/>
              <w:right w:val="single" w:sz="4" w:space="0" w:color="auto"/>
            </w:tcBorders>
            <w:shd w:val="clear" w:color="FFFFFF" w:fill="FFFFFF"/>
            <w:noWrap/>
            <w:tcMar>
              <w:left w:w="0" w:type="dxa"/>
              <w:right w:w="312"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46</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3 141</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8 011</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12 293</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9 598</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6 292</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2 617</w:t>
            </w:r>
          </w:p>
        </w:tc>
        <w:tc>
          <w:tcPr>
            <w:tcW w:w="876" w:type="dxa"/>
            <w:tcBorders>
              <w:top w:val="nil"/>
              <w:left w:val="nil"/>
              <w:bottom w:val="nil"/>
              <w:right w:val="single" w:sz="4" w:space="0" w:color="auto"/>
            </w:tcBorders>
            <w:shd w:val="clear" w:color="FFFFFF" w:fill="FFFFFF"/>
            <w:noWrap/>
            <w:tcMar>
              <w:left w:w="0" w:type="dxa"/>
              <w:right w:w="198"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299</w:t>
            </w:r>
          </w:p>
        </w:tc>
        <w:tc>
          <w:tcPr>
            <w:tcW w:w="877" w:type="dxa"/>
            <w:tcBorders>
              <w:top w:val="nil"/>
              <w:left w:val="nil"/>
              <w:bottom w:val="nil"/>
              <w:right w:val="nil"/>
            </w:tcBorders>
            <w:shd w:val="clear" w:color="FFFFFF" w:fill="FFFFFF"/>
            <w:noWrap/>
            <w:tcMar>
              <w:left w:w="0" w:type="dxa"/>
              <w:right w:w="312"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7</w:t>
            </w:r>
          </w:p>
        </w:tc>
      </w:tr>
      <w:tr w:rsidR="005C6C27" w:rsidRPr="002A783F" w:rsidTr="00E73EF4">
        <w:trPr>
          <w:trHeight w:val="240"/>
        </w:trPr>
        <w:tc>
          <w:tcPr>
            <w:tcW w:w="875" w:type="dxa"/>
            <w:tcBorders>
              <w:top w:val="nil"/>
              <w:left w:val="nil"/>
              <w:bottom w:val="nil"/>
              <w:right w:val="single" w:sz="4" w:space="0" w:color="auto"/>
            </w:tcBorders>
            <w:shd w:val="clear" w:color="FFFFFF" w:fill="FFFFFF"/>
            <w:noWrap/>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2009</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40 528</w:t>
            </w:r>
          </w:p>
        </w:tc>
        <w:tc>
          <w:tcPr>
            <w:tcW w:w="876" w:type="dxa"/>
            <w:tcBorders>
              <w:top w:val="nil"/>
              <w:left w:val="nil"/>
              <w:bottom w:val="nil"/>
              <w:right w:val="single" w:sz="4" w:space="0" w:color="auto"/>
            </w:tcBorders>
            <w:shd w:val="clear" w:color="FFFFFF" w:fill="FFFFFF"/>
            <w:noWrap/>
            <w:tcMar>
              <w:left w:w="0" w:type="dxa"/>
              <w:right w:w="312"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51</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2 756</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6 317</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9 276</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11 459</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7 560</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2 820</w:t>
            </w:r>
          </w:p>
        </w:tc>
        <w:tc>
          <w:tcPr>
            <w:tcW w:w="876" w:type="dxa"/>
            <w:tcBorders>
              <w:top w:val="nil"/>
              <w:left w:val="nil"/>
              <w:bottom w:val="nil"/>
              <w:right w:val="single" w:sz="4" w:space="0" w:color="auto"/>
            </w:tcBorders>
            <w:shd w:val="clear" w:color="FFFFFF" w:fill="FFFFFF"/>
            <w:noWrap/>
            <w:tcMar>
              <w:left w:w="0" w:type="dxa"/>
              <w:right w:w="198"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275</w:t>
            </w:r>
          </w:p>
        </w:tc>
        <w:tc>
          <w:tcPr>
            <w:tcW w:w="877" w:type="dxa"/>
            <w:tcBorders>
              <w:top w:val="nil"/>
              <w:left w:val="nil"/>
              <w:bottom w:val="nil"/>
              <w:right w:val="nil"/>
            </w:tcBorders>
            <w:shd w:val="clear" w:color="FFFFFF" w:fill="FFFFFF"/>
            <w:noWrap/>
            <w:tcMar>
              <w:left w:w="0" w:type="dxa"/>
              <w:right w:w="312"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14</w:t>
            </w:r>
          </w:p>
        </w:tc>
      </w:tr>
      <w:tr w:rsidR="005C6C27" w:rsidRPr="002A783F" w:rsidTr="00E73EF4">
        <w:trPr>
          <w:trHeight w:val="240"/>
        </w:trPr>
        <w:tc>
          <w:tcPr>
            <w:tcW w:w="875" w:type="dxa"/>
            <w:tcBorders>
              <w:top w:val="nil"/>
              <w:left w:val="nil"/>
              <w:bottom w:val="nil"/>
              <w:right w:val="single" w:sz="4" w:space="0" w:color="auto"/>
            </w:tcBorders>
            <w:shd w:val="clear" w:color="FFFFFF" w:fill="FFFFFF"/>
            <w:noWrap/>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2014</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36 956</w:t>
            </w:r>
          </w:p>
        </w:tc>
        <w:tc>
          <w:tcPr>
            <w:tcW w:w="876" w:type="dxa"/>
            <w:tcBorders>
              <w:top w:val="nil"/>
              <w:left w:val="nil"/>
              <w:bottom w:val="nil"/>
              <w:right w:val="single" w:sz="4" w:space="0" w:color="auto"/>
            </w:tcBorders>
            <w:shd w:val="clear" w:color="FFFFFF" w:fill="FFFFFF"/>
            <w:noWrap/>
            <w:tcMar>
              <w:left w:w="0" w:type="dxa"/>
              <w:right w:w="312"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37</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1 900</w:t>
            </w:r>
          </w:p>
        </w:tc>
        <w:tc>
          <w:tcPr>
            <w:tcW w:w="876" w:type="dxa"/>
            <w:tcBorders>
              <w:top w:val="nil"/>
              <w:left w:val="nil"/>
              <w:bottom w:val="single" w:sz="4" w:space="0" w:color="auto"/>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5 470</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7 997</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9 258</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8 497</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3 512</w:t>
            </w:r>
          </w:p>
        </w:tc>
        <w:tc>
          <w:tcPr>
            <w:tcW w:w="876" w:type="dxa"/>
            <w:tcBorders>
              <w:top w:val="nil"/>
              <w:left w:val="nil"/>
              <w:bottom w:val="nil"/>
              <w:right w:val="single" w:sz="4" w:space="0" w:color="auto"/>
            </w:tcBorders>
            <w:shd w:val="clear" w:color="FFFFFF" w:fill="FFFFFF"/>
            <w:noWrap/>
            <w:tcMar>
              <w:left w:w="0" w:type="dxa"/>
              <w:right w:w="198"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276</w:t>
            </w:r>
          </w:p>
        </w:tc>
        <w:tc>
          <w:tcPr>
            <w:tcW w:w="877" w:type="dxa"/>
            <w:tcBorders>
              <w:top w:val="nil"/>
              <w:left w:val="nil"/>
              <w:bottom w:val="nil"/>
              <w:right w:val="nil"/>
            </w:tcBorders>
            <w:shd w:val="clear" w:color="FFFFFF" w:fill="FFFFFF"/>
            <w:noWrap/>
            <w:tcMar>
              <w:left w:w="0" w:type="dxa"/>
              <w:right w:w="312"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9</w:t>
            </w:r>
          </w:p>
        </w:tc>
      </w:tr>
      <w:tr w:rsidR="005C6C27" w:rsidRPr="002A783F" w:rsidTr="00E73EF4">
        <w:trPr>
          <w:trHeight w:val="240"/>
        </w:trPr>
        <w:tc>
          <w:tcPr>
            <w:tcW w:w="875" w:type="dxa"/>
            <w:tcBorders>
              <w:top w:val="single" w:sz="4" w:space="0" w:color="auto"/>
              <w:left w:val="nil"/>
              <w:bottom w:val="single" w:sz="4" w:space="0" w:color="auto"/>
              <w:right w:val="single" w:sz="4" w:space="0" w:color="auto"/>
            </w:tcBorders>
            <w:shd w:val="clear" w:color="FFFFFF" w:fill="FFFFFF"/>
            <w:noWrap/>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 </w:t>
            </w:r>
          </w:p>
        </w:tc>
        <w:tc>
          <w:tcPr>
            <w:tcW w:w="8764" w:type="dxa"/>
            <w:gridSpan w:val="10"/>
            <w:tcBorders>
              <w:top w:val="single" w:sz="4" w:space="0" w:color="auto"/>
              <w:left w:val="nil"/>
              <w:bottom w:val="single" w:sz="4" w:space="0" w:color="auto"/>
              <w:right w:val="nil"/>
            </w:tcBorders>
            <w:shd w:val="clear" w:color="FFFFFF" w:fill="FFFFFF"/>
            <w:noWrap/>
            <w:tcMar>
              <w:left w:w="0" w:type="dxa"/>
              <w:right w:w="0" w:type="dxa"/>
            </w:tcMar>
            <w:vAlign w:val="bottom"/>
            <w:hideMark/>
          </w:tcPr>
          <w:p w:rsidR="005C6C27" w:rsidRPr="002A783F" w:rsidRDefault="005C6C27" w:rsidP="00E73EF4">
            <w:pPr>
              <w:spacing w:line="240" w:lineRule="auto"/>
              <w:jc w:val="center"/>
              <w:rPr>
                <w:rFonts w:cs="Arial"/>
                <w:sz w:val="16"/>
                <w:szCs w:val="16"/>
              </w:rPr>
            </w:pPr>
            <w:r w:rsidRPr="008655FD">
              <w:rPr>
                <w:rFonts w:cs="Arial"/>
                <w:sz w:val="16"/>
                <w:szCs w:val="16"/>
              </w:rPr>
              <w:t>indukované potraty</w:t>
            </w:r>
          </w:p>
        </w:tc>
      </w:tr>
      <w:tr w:rsidR="005C6C27" w:rsidRPr="002A783F" w:rsidTr="00E73EF4">
        <w:trPr>
          <w:trHeight w:val="240"/>
        </w:trPr>
        <w:tc>
          <w:tcPr>
            <w:tcW w:w="875" w:type="dxa"/>
            <w:tcBorders>
              <w:top w:val="nil"/>
              <w:left w:val="nil"/>
              <w:bottom w:val="nil"/>
              <w:right w:val="single" w:sz="4" w:space="0" w:color="auto"/>
            </w:tcBorders>
            <w:shd w:val="clear" w:color="FFFFFF" w:fill="FFFFFF"/>
            <w:noWrap/>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2003</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29 298</w:t>
            </w:r>
          </w:p>
        </w:tc>
        <w:tc>
          <w:tcPr>
            <w:tcW w:w="876" w:type="dxa"/>
            <w:tcBorders>
              <w:top w:val="nil"/>
              <w:left w:val="nil"/>
              <w:bottom w:val="nil"/>
              <w:right w:val="single" w:sz="4" w:space="0" w:color="auto"/>
            </w:tcBorders>
            <w:shd w:val="clear" w:color="FFFFFF" w:fill="FFFFFF"/>
            <w:noWrap/>
            <w:tcMar>
              <w:left w:w="0" w:type="dxa"/>
              <w:right w:w="312"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43</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2 640</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5 712</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7 498</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6 509</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4 675</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1 993</w:t>
            </w:r>
          </w:p>
        </w:tc>
        <w:tc>
          <w:tcPr>
            <w:tcW w:w="876" w:type="dxa"/>
            <w:tcBorders>
              <w:top w:val="nil"/>
              <w:left w:val="nil"/>
              <w:bottom w:val="nil"/>
              <w:right w:val="single" w:sz="4" w:space="0" w:color="auto"/>
            </w:tcBorders>
            <w:shd w:val="clear" w:color="FFFFFF" w:fill="FFFFFF"/>
            <w:noWrap/>
            <w:tcMar>
              <w:left w:w="0" w:type="dxa"/>
              <w:right w:w="198"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223</w:t>
            </w:r>
          </w:p>
        </w:tc>
        <w:tc>
          <w:tcPr>
            <w:tcW w:w="877" w:type="dxa"/>
            <w:tcBorders>
              <w:top w:val="nil"/>
              <w:left w:val="nil"/>
              <w:bottom w:val="nil"/>
              <w:right w:val="nil"/>
            </w:tcBorders>
            <w:shd w:val="clear" w:color="FFFFFF" w:fill="FFFFFF"/>
            <w:noWrap/>
            <w:tcMar>
              <w:left w:w="0" w:type="dxa"/>
              <w:right w:w="36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5</w:t>
            </w:r>
          </w:p>
        </w:tc>
      </w:tr>
      <w:tr w:rsidR="005C6C27" w:rsidRPr="002A783F" w:rsidTr="00E73EF4">
        <w:trPr>
          <w:trHeight w:val="240"/>
        </w:trPr>
        <w:tc>
          <w:tcPr>
            <w:tcW w:w="875" w:type="dxa"/>
            <w:tcBorders>
              <w:top w:val="nil"/>
              <w:left w:val="nil"/>
              <w:bottom w:val="nil"/>
              <w:right w:val="single" w:sz="4" w:space="0" w:color="auto"/>
            </w:tcBorders>
            <w:shd w:val="clear" w:color="FFFFFF" w:fill="FFFFFF"/>
            <w:noWrap/>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2009</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24 636</w:t>
            </w:r>
          </w:p>
        </w:tc>
        <w:tc>
          <w:tcPr>
            <w:tcW w:w="876" w:type="dxa"/>
            <w:tcBorders>
              <w:top w:val="nil"/>
              <w:left w:val="nil"/>
              <w:bottom w:val="nil"/>
              <w:right w:val="single" w:sz="4" w:space="0" w:color="auto"/>
            </w:tcBorders>
            <w:shd w:val="clear" w:color="FFFFFF" w:fill="FFFFFF"/>
            <w:noWrap/>
            <w:tcMar>
              <w:left w:w="0" w:type="dxa"/>
              <w:right w:w="312"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45</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2 237</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4 413</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4 937</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6 198</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4 770</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1 837</w:t>
            </w:r>
          </w:p>
        </w:tc>
        <w:tc>
          <w:tcPr>
            <w:tcW w:w="876" w:type="dxa"/>
            <w:tcBorders>
              <w:top w:val="nil"/>
              <w:left w:val="nil"/>
              <w:bottom w:val="nil"/>
              <w:right w:val="single" w:sz="4" w:space="0" w:color="auto"/>
            </w:tcBorders>
            <w:shd w:val="clear" w:color="FFFFFF" w:fill="FFFFFF"/>
            <w:noWrap/>
            <w:tcMar>
              <w:left w:w="0" w:type="dxa"/>
              <w:right w:w="198"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192</w:t>
            </w:r>
          </w:p>
        </w:tc>
        <w:tc>
          <w:tcPr>
            <w:tcW w:w="877" w:type="dxa"/>
            <w:tcBorders>
              <w:top w:val="nil"/>
              <w:left w:val="nil"/>
              <w:bottom w:val="nil"/>
              <w:right w:val="nil"/>
            </w:tcBorders>
            <w:shd w:val="clear" w:color="FFFFFF" w:fill="FFFFFF"/>
            <w:noWrap/>
            <w:tcMar>
              <w:left w:w="0" w:type="dxa"/>
              <w:right w:w="36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7</w:t>
            </w:r>
          </w:p>
        </w:tc>
      </w:tr>
      <w:tr w:rsidR="005C6C27" w:rsidRPr="002A783F" w:rsidTr="00E73EF4">
        <w:trPr>
          <w:trHeight w:val="240"/>
        </w:trPr>
        <w:tc>
          <w:tcPr>
            <w:tcW w:w="875" w:type="dxa"/>
            <w:tcBorders>
              <w:top w:val="nil"/>
              <w:left w:val="nil"/>
              <w:bottom w:val="nil"/>
              <w:right w:val="single" w:sz="4" w:space="0" w:color="auto"/>
            </w:tcBorders>
            <w:shd w:val="clear" w:color="FFFFFF" w:fill="FFFFFF"/>
            <w:noWrap/>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2014</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21 893</w:t>
            </w:r>
          </w:p>
        </w:tc>
        <w:tc>
          <w:tcPr>
            <w:tcW w:w="876" w:type="dxa"/>
            <w:tcBorders>
              <w:top w:val="nil"/>
              <w:left w:val="nil"/>
              <w:bottom w:val="nil"/>
              <w:right w:val="single" w:sz="4" w:space="0" w:color="auto"/>
            </w:tcBorders>
            <w:shd w:val="clear" w:color="FFFFFF" w:fill="FFFFFF"/>
            <w:noWrap/>
            <w:tcMar>
              <w:left w:w="0" w:type="dxa"/>
              <w:right w:w="312"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34</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1 472</w:t>
            </w:r>
          </w:p>
        </w:tc>
        <w:tc>
          <w:tcPr>
            <w:tcW w:w="876" w:type="dxa"/>
            <w:tcBorders>
              <w:top w:val="nil"/>
              <w:left w:val="nil"/>
              <w:bottom w:val="single" w:sz="4" w:space="0" w:color="auto"/>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3 852</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4 424</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4 825</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4 937</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2 184</w:t>
            </w:r>
          </w:p>
        </w:tc>
        <w:tc>
          <w:tcPr>
            <w:tcW w:w="876" w:type="dxa"/>
            <w:tcBorders>
              <w:top w:val="nil"/>
              <w:left w:val="nil"/>
              <w:bottom w:val="nil"/>
              <w:right w:val="single" w:sz="4" w:space="0" w:color="auto"/>
            </w:tcBorders>
            <w:shd w:val="clear" w:color="FFFFFF" w:fill="FFFFFF"/>
            <w:noWrap/>
            <w:tcMar>
              <w:left w:w="0" w:type="dxa"/>
              <w:right w:w="198"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162</w:t>
            </w:r>
          </w:p>
        </w:tc>
        <w:tc>
          <w:tcPr>
            <w:tcW w:w="877" w:type="dxa"/>
            <w:tcBorders>
              <w:top w:val="nil"/>
              <w:left w:val="nil"/>
              <w:bottom w:val="nil"/>
              <w:right w:val="nil"/>
            </w:tcBorders>
            <w:shd w:val="clear" w:color="FFFFFF" w:fill="FFFFFF"/>
            <w:noWrap/>
            <w:tcMar>
              <w:left w:w="0" w:type="dxa"/>
              <w:right w:w="36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3</w:t>
            </w:r>
          </w:p>
        </w:tc>
      </w:tr>
      <w:tr w:rsidR="005C6C27" w:rsidRPr="002A783F" w:rsidTr="00E73EF4">
        <w:trPr>
          <w:trHeight w:val="240"/>
        </w:trPr>
        <w:tc>
          <w:tcPr>
            <w:tcW w:w="875" w:type="dxa"/>
            <w:tcBorders>
              <w:top w:val="single" w:sz="4" w:space="0" w:color="auto"/>
              <w:left w:val="nil"/>
              <w:bottom w:val="single" w:sz="4" w:space="0" w:color="auto"/>
              <w:right w:val="single" w:sz="4" w:space="0" w:color="auto"/>
            </w:tcBorders>
            <w:shd w:val="clear" w:color="FFFFFF" w:fill="FFFFFF"/>
            <w:noWrap/>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 </w:t>
            </w:r>
          </w:p>
        </w:tc>
        <w:tc>
          <w:tcPr>
            <w:tcW w:w="8764" w:type="dxa"/>
            <w:gridSpan w:val="10"/>
            <w:tcBorders>
              <w:top w:val="single" w:sz="4" w:space="0" w:color="auto"/>
              <w:left w:val="nil"/>
              <w:bottom w:val="single" w:sz="4" w:space="0" w:color="auto"/>
              <w:right w:val="nil"/>
            </w:tcBorders>
            <w:shd w:val="clear" w:color="FFFFFF" w:fill="FFFFFF"/>
            <w:noWrap/>
            <w:tcMar>
              <w:left w:w="0" w:type="dxa"/>
              <w:right w:w="0" w:type="dxa"/>
            </w:tcMar>
            <w:vAlign w:val="bottom"/>
            <w:hideMark/>
          </w:tcPr>
          <w:p w:rsidR="005C6C27" w:rsidRPr="002A783F" w:rsidRDefault="005C6C27" w:rsidP="00E73EF4">
            <w:pPr>
              <w:spacing w:line="240" w:lineRule="auto"/>
              <w:jc w:val="center"/>
              <w:rPr>
                <w:rFonts w:cs="Arial"/>
                <w:sz w:val="16"/>
                <w:szCs w:val="16"/>
              </w:rPr>
            </w:pPr>
            <w:r>
              <w:rPr>
                <w:rFonts w:cs="Arial"/>
                <w:sz w:val="16"/>
                <w:szCs w:val="16"/>
              </w:rPr>
              <w:t>samovolné</w:t>
            </w:r>
            <w:r w:rsidRPr="002A783F">
              <w:rPr>
                <w:rFonts w:cs="Arial"/>
                <w:sz w:val="16"/>
                <w:szCs w:val="16"/>
              </w:rPr>
              <w:t xml:space="preserve"> potraty</w:t>
            </w:r>
          </w:p>
        </w:tc>
      </w:tr>
      <w:tr w:rsidR="005C6C27" w:rsidRPr="002A783F" w:rsidTr="00E73EF4">
        <w:trPr>
          <w:trHeight w:val="240"/>
        </w:trPr>
        <w:tc>
          <w:tcPr>
            <w:tcW w:w="875" w:type="dxa"/>
            <w:tcBorders>
              <w:top w:val="nil"/>
              <w:left w:val="nil"/>
              <w:bottom w:val="nil"/>
              <w:right w:val="single" w:sz="4" w:space="0" w:color="auto"/>
            </w:tcBorders>
            <w:shd w:val="clear" w:color="FFFFFF" w:fill="FFFFFF"/>
            <w:noWrap/>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2003</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11 660</w:t>
            </w:r>
          </w:p>
        </w:tc>
        <w:tc>
          <w:tcPr>
            <w:tcW w:w="876" w:type="dxa"/>
            <w:tcBorders>
              <w:top w:val="nil"/>
              <w:left w:val="nil"/>
              <w:bottom w:val="nil"/>
              <w:right w:val="single" w:sz="4" w:space="0" w:color="auto"/>
            </w:tcBorders>
            <w:shd w:val="clear" w:color="FFFFFF" w:fill="FFFFFF"/>
            <w:noWrap/>
            <w:tcMar>
              <w:left w:w="0" w:type="dxa"/>
              <w:right w:w="36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3</w:t>
            </w:r>
          </w:p>
        </w:tc>
        <w:tc>
          <w:tcPr>
            <w:tcW w:w="877" w:type="dxa"/>
            <w:tcBorders>
              <w:top w:val="nil"/>
              <w:left w:val="nil"/>
              <w:bottom w:val="nil"/>
              <w:right w:val="single" w:sz="4" w:space="0" w:color="auto"/>
            </w:tcBorders>
            <w:shd w:val="clear" w:color="FFFFFF" w:fill="FFFFFF"/>
            <w:noWrap/>
            <w:tcMar>
              <w:left w:w="0" w:type="dxa"/>
              <w:right w:w="198"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481</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2 103</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4 306</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2 695</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1 427</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572</w:t>
            </w:r>
          </w:p>
        </w:tc>
        <w:tc>
          <w:tcPr>
            <w:tcW w:w="876" w:type="dxa"/>
            <w:tcBorders>
              <w:top w:val="nil"/>
              <w:left w:val="nil"/>
              <w:bottom w:val="nil"/>
              <w:right w:val="single" w:sz="4" w:space="0" w:color="auto"/>
            </w:tcBorders>
            <w:shd w:val="clear" w:color="FFFFFF" w:fill="FFFFFF"/>
            <w:noWrap/>
            <w:tcMar>
              <w:left w:w="0" w:type="dxa"/>
              <w:right w:w="198"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72</w:t>
            </w:r>
          </w:p>
        </w:tc>
        <w:tc>
          <w:tcPr>
            <w:tcW w:w="877" w:type="dxa"/>
            <w:tcBorders>
              <w:top w:val="nil"/>
              <w:left w:val="nil"/>
              <w:bottom w:val="nil"/>
              <w:right w:val="nil"/>
            </w:tcBorders>
            <w:shd w:val="clear" w:color="FFFFFF" w:fill="FFFFFF"/>
            <w:noWrap/>
            <w:tcMar>
              <w:left w:w="0" w:type="dxa"/>
              <w:right w:w="36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w:t>
            </w:r>
          </w:p>
        </w:tc>
      </w:tr>
      <w:tr w:rsidR="005C6C27" w:rsidRPr="002A783F" w:rsidTr="00E73EF4">
        <w:trPr>
          <w:trHeight w:val="240"/>
        </w:trPr>
        <w:tc>
          <w:tcPr>
            <w:tcW w:w="875" w:type="dxa"/>
            <w:tcBorders>
              <w:top w:val="nil"/>
              <w:left w:val="nil"/>
              <w:bottom w:val="nil"/>
              <w:right w:val="single" w:sz="4" w:space="0" w:color="auto"/>
            </w:tcBorders>
            <w:shd w:val="clear" w:color="FFFFFF" w:fill="FFFFFF"/>
            <w:noWrap/>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2009</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14 629</w:t>
            </w:r>
          </w:p>
        </w:tc>
        <w:tc>
          <w:tcPr>
            <w:tcW w:w="876" w:type="dxa"/>
            <w:tcBorders>
              <w:top w:val="nil"/>
              <w:left w:val="nil"/>
              <w:bottom w:val="nil"/>
              <w:right w:val="single" w:sz="4" w:space="0" w:color="auto"/>
            </w:tcBorders>
            <w:shd w:val="clear" w:color="FFFFFF" w:fill="FFFFFF"/>
            <w:noWrap/>
            <w:tcMar>
              <w:left w:w="0" w:type="dxa"/>
              <w:right w:w="36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5</w:t>
            </w:r>
          </w:p>
        </w:tc>
        <w:tc>
          <w:tcPr>
            <w:tcW w:w="877" w:type="dxa"/>
            <w:tcBorders>
              <w:top w:val="nil"/>
              <w:left w:val="nil"/>
              <w:bottom w:val="nil"/>
              <w:right w:val="single" w:sz="4" w:space="0" w:color="auto"/>
            </w:tcBorders>
            <w:shd w:val="clear" w:color="FFFFFF" w:fill="FFFFFF"/>
            <w:noWrap/>
            <w:tcMar>
              <w:left w:w="0" w:type="dxa"/>
              <w:right w:w="198"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507</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1 759</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3 996</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4 785</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2 555</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936</w:t>
            </w:r>
          </w:p>
        </w:tc>
        <w:tc>
          <w:tcPr>
            <w:tcW w:w="876" w:type="dxa"/>
            <w:tcBorders>
              <w:top w:val="nil"/>
              <w:left w:val="nil"/>
              <w:bottom w:val="nil"/>
              <w:right w:val="single" w:sz="4" w:space="0" w:color="auto"/>
            </w:tcBorders>
            <w:shd w:val="clear" w:color="FFFFFF" w:fill="FFFFFF"/>
            <w:noWrap/>
            <w:tcMar>
              <w:left w:w="0" w:type="dxa"/>
              <w:right w:w="198"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79</w:t>
            </w:r>
          </w:p>
        </w:tc>
        <w:tc>
          <w:tcPr>
            <w:tcW w:w="877" w:type="dxa"/>
            <w:tcBorders>
              <w:top w:val="nil"/>
              <w:left w:val="nil"/>
              <w:bottom w:val="nil"/>
              <w:right w:val="nil"/>
            </w:tcBorders>
            <w:shd w:val="clear" w:color="FFFFFF" w:fill="FFFFFF"/>
            <w:noWrap/>
            <w:tcMar>
              <w:left w:w="0" w:type="dxa"/>
              <w:right w:w="36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7</w:t>
            </w:r>
          </w:p>
        </w:tc>
      </w:tr>
      <w:tr w:rsidR="005C6C27" w:rsidRPr="002A783F" w:rsidTr="00E73EF4">
        <w:trPr>
          <w:trHeight w:val="240"/>
        </w:trPr>
        <w:tc>
          <w:tcPr>
            <w:tcW w:w="875" w:type="dxa"/>
            <w:tcBorders>
              <w:top w:val="nil"/>
              <w:left w:val="nil"/>
              <w:bottom w:val="nil"/>
              <w:right w:val="single" w:sz="4" w:space="0" w:color="auto"/>
            </w:tcBorders>
            <w:shd w:val="clear" w:color="FFFFFF" w:fill="FFFFFF"/>
            <w:noWrap/>
            <w:vAlign w:val="bottom"/>
            <w:hideMark/>
          </w:tcPr>
          <w:p w:rsidR="005C6C27" w:rsidRPr="002A783F" w:rsidRDefault="005C6C27" w:rsidP="00E73EF4">
            <w:pPr>
              <w:spacing w:line="240" w:lineRule="auto"/>
              <w:jc w:val="center"/>
              <w:rPr>
                <w:rFonts w:cs="Arial"/>
                <w:sz w:val="16"/>
                <w:szCs w:val="16"/>
              </w:rPr>
            </w:pPr>
            <w:r w:rsidRPr="002A783F">
              <w:rPr>
                <w:rFonts w:cs="Arial"/>
                <w:sz w:val="16"/>
                <w:szCs w:val="16"/>
              </w:rPr>
              <w:t>2014</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13 857</w:t>
            </w:r>
          </w:p>
        </w:tc>
        <w:tc>
          <w:tcPr>
            <w:tcW w:w="876" w:type="dxa"/>
            <w:tcBorders>
              <w:top w:val="nil"/>
              <w:left w:val="nil"/>
              <w:bottom w:val="nil"/>
              <w:right w:val="single" w:sz="4" w:space="0" w:color="auto"/>
            </w:tcBorders>
            <w:shd w:val="clear" w:color="FFFFFF" w:fill="FFFFFF"/>
            <w:noWrap/>
            <w:tcMar>
              <w:left w:w="0" w:type="dxa"/>
              <w:right w:w="36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3</w:t>
            </w:r>
          </w:p>
        </w:tc>
        <w:tc>
          <w:tcPr>
            <w:tcW w:w="877" w:type="dxa"/>
            <w:tcBorders>
              <w:top w:val="nil"/>
              <w:left w:val="nil"/>
              <w:bottom w:val="nil"/>
              <w:right w:val="single" w:sz="4" w:space="0" w:color="auto"/>
            </w:tcBorders>
            <w:shd w:val="clear" w:color="FFFFFF" w:fill="FFFFFF"/>
            <w:noWrap/>
            <w:tcMar>
              <w:left w:w="0" w:type="dxa"/>
              <w:right w:w="198"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401</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1 493</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3 251</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4 042</w:t>
            </w:r>
          </w:p>
        </w:tc>
        <w:tc>
          <w:tcPr>
            <w:tcW w:w="876"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3 297</w:t>
            </w:r>
          </w:p>
        </w:tc>
        <w:tc>
          <w:tcPr>
            <w:tcW w:w="877" w:type="dxa"/>
            <w:tcBorders>
              <w:top w:val="nil"/>
              <w:left w:val="nil"/>
              <w:bottom w:val="nil"/>
              <w:right w:val="single" w:sz="4" w:space="0" w:color="auto"/>
            </w:tcBorders>
            <w:shd w:val="clear" w:color="FFFFFF" w:fill="FFFFFF"/>
            <w:noWrap/>
            <w:tcMar>
              <w:left w:w="0" w:type="dxa"/>
              <w:right w:w="15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1 255</w:t>
            </w:r>
          </w:p>
        </w:tc>
        <w:tc>
          <w:tcPr>
            <w:tcW w:w="876" w:type="dxa"/>
            <w:tcBorders>
              <w:top w:val="nil"/>
              <w:left w:val="nil"/>
              <w:bottom w:val="nil"/>
              <w:right w:val="single" w:sz="4" w:space="0" w:color="auto"/>
            </w:tcBorders>
            <w:shd w:val="clear" w:color="FFFFFF" w:fill="FFFFFF"/>
            <w:noWrap/>
            <w:tcMar>
              <w:left w:w="0" w:type="dxa"/>
              <w:right w:w="198"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109</w:t>
            </w:r>
          </w:p>
        </w:tc>
        <w:tc>
          <w:tcPr>
            <w:tcW w:w="877" w:type="dxa"/>
            <w:tcBorders>
              <w:top w:val="nil"/>
              <w:left w:val="nil"/>
              <w:bottom w:val="nil"/>
              <w:right w:val="nil"/>
            </w:tcBorders>
            <w:shd w:val="clear" w:color="FFFFFF" w:fill="FFFFFF"/>
            <w:noWrap/>
            <w:tcMar>
              <w:left w:w="0" w:type="dxa"/>
              <w:right w:w="369" w:type="dxa"/>
            </w:tcMar>
            <w:vAlign w:val="bottom"/>
            <w:hideMark/>
          </w:tcPr>
          <w:p w:rsidR="005C6C27" w:rsidRPr="002A783F" w:rsidRDefault="005C6C27" w:rsidP="00E73EF4">
            <w:pPr>
              <w:spacing w:line="240" w:lineRule="auto"/>
              <w:jc w:val="right"/>
              <w:rPr>
                <w:rFonts w:cs="Arial"/>
                <w:sz w:val="16"/>
                <w:szCs w:val="16"/>
              </w:rPr>
            </w:pPr>
            <w:r w:rsidRPr="002A783F">
              <w:rPr>
                <w:rFonts w:cs="Arial"/>
                <w:sz w:val="16"/>
                <w:szCs w:val="16"/>
              </w:rPr>
              <w:t>6</w:t>
            </w:r>
          </w:p>
        </w:tc>
      </w:tr>
    </w:tbl>
    <w:p w:rsidR="005C6C27" w:rsidRDefault="005C6C27" w:rsidP="005C6C27">
      <w:pPr>
        <w:tabs>
          <w:tab w:val="left" w:pos="990"/>
        </w:tabs>
        <w:spacing w:after="60"/>
        <w:rPr>
          <w:rStyle w:val="Siln"/>
        </w:rPr>
      </w:pPr>
    </w:p>
    <w:p w:rsidR="005C6C27" w:rsidRDefault="005C6C27" w:rsidP="005C6C27">
      <w:pPr>
        <w:jc w:val="both"/>
        <w:rPr>
          <w:rStyle w:val="Siln"/>
          <w:b w:val="0"/>
        </w:rPr>
      </w:pPr>
      <w:r w:rsidRPr="00436FFB">
        <w:rPr>
          <w:rStyle w:val="Siln"/>
          <w:b w:val="0"/>
        </w:rPr>
        <w:t>Samovolné</w:t>
      </w:r>
      <w:r>
        <w:rPr>
          <w:rStyle w:val="Siln"/>
          <w:b w:val="0"/>
        </w:rPr>
        <w:t xml:space="preserve"> potraty byly naopak v mladších věkových skupinách žen zastoupeny méně často. Například v roce 2014 se ve věku do 25 let uskutečnilo 13,7 % samovolných potratů, přičemž ještě v roce 2003 se jednalo o 22,2 %. Důvod spočívá zejména v odkládání těhotenství do pozdějšího věku, takže výchozí počet těhotenství, které může být ukončeno samovolným potratem, je nižší. Nejčastější věkovou skupinou, kde docházelo k samovolnému potratu, byla do roku 2006 kategorie žen ve věku 25–29 let, od roku 2007 do konce sledovaného období šlo o ženy v rozmezí 30–34 let. U samovolných potratů došlo také k nejdynamičtějšímu posunu zastoupení potratů u žen ve věku 35 let a více. V roce 2003 reprezentovaly 17,8 % případů, v posledním sledovaném roce již 33,7 %. </w:t>
      </w:r>
    </w:p>
    <w:p w:rsidR="005C6C27" w:rsidRDefault="005C6C27" w:rsidP="005C6C27">
      <w:pPr>
        <w:jc w:val="both"/>
        <w:rPr>
          <w:rStyle w:val="Siln"/>
          <w:b w:val="0"/>
        </w:rPr>
      </w:pPr>
    </w:p>
    <w:p w:rsidR="005C6C27" w:rsidRDefault="005C6C27" w:rsidP="005C6C27">
      <w:pPr>
        <w:spacing w:after="60"/>
        <w:jc w:val="both"/>
      </w:pPr>
      <w:r>
        <w:t>R</w:t>
      </w:r>
      <w:r w:rsidRPr="007C6C64">
        <w:t>ozpoznání posunu intenzity potratovosti lze sledovat z křivek měr potratovosti podle věku</w:t>
      </w:r>
      <w:r w:rsidRPr="007C6C64">
        <w:rPr>
          <w:bCs/>
        </w:rPr>
        <w:t>.</w:t>
      </w:r>
      <w:r>
        <w:t xml:space="preserve"> Zatímco v případě indukované potratovosti není patrný posun rozložení měr potratovosti za roky 2003, 2009 a 2014 do vyššího/nižšího věku, ale pouze pokles intenzity mezi rokem 2003 na jedné straně a roky 2009 a 2014 na straně druhé, tak v případě samovolné potratovosti je patrný nárůst měr potratovosti zhruba od věku 30 let. V letech 2003 a 2009 byla nejvyšší intenzita samovolné potratovosti zaznamenána ve věku 29 let, v posledním sledovaném roce to bylo již 32 let. Celkové míry potratovosti jsou váženým průměrem dílčích měr potratovosti podle druhu potratu, takže se v nich více odráží vývoj měr indukované potratovosti. Nejvýznamnější pokles měr potratovosti mezi roky 2003 a 2014 bylo možné pozorovat u žen ve věku 16 až 29 let (v každém věku o více než 10 %), menší potom v případě žen mezi 30 až 35 roky (méně než 10 %) a v případě starších žen lze sledovat spíš nárůst měr celkové potratovosti díky vyšším mírám samovolné potratovosti. </w:t>
      </w:r>
    </w:p>
    <w:p w:rsidR="005C6C27" w:rsidRDefault="005C6C27" w:rsidP="005C6C27">
      <w:pPr>
        <w:spacing w:after="60"/>
        <w:rPr>
          <w:b/>
        </w:rPr>
      </w:pPr>
      <w:r>
        <w:rPr>
          <w:b/>
        </w:rPr>
        <w:lastRenderedPageBreak/>
        <w:t>Graf 3</w:t>
      </w:r>
      <w:r w:rsidRPr="000A3F77">
        <w:rPr>
          <w:b/>
        </w:rPr>
        <w:t xml:space="preserve"> </w:t>
      </w:r>
      <w:r w:rsidRPr="00694DAC">
        <w:rPr>
          <w:b/>
        </w:rPr>
        <w:t>Míry potratovosti na podle věku ženy a druhu potratu v letech 2003, 2009 a 2014</w:t>
      </w:r>
    </w:p>
    <w:p w:rsidR="005C6C27" w:rsidRDefault="00D341ED" w:rsidP="005C6C27">
      <w:pPr>
        <w:tabs>
          <w:tab w:val="left" w:pos="990"/>
        </w:tabs>
        <w:spacing w:after="60"/>
        <w:rPr>
          <w:rStyle w:val="Siln"/>
        </w:rPr>
      </w:pPr>
      <w:r w:rsidRPr="005A7E8A">
        <w:rPr>
          <w:rStyle w:val="Siln"/>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55pt">
            <v:imagedata r:id="rId8" o:title=""/>
          </v:shape>
        </w:pict>
      </w:r>
    </w:p>
    <w:p w:rsidR="005C6C27" w:rsidRDefault="005C6C27" w:rsidP="005C6C27">
      <w:pPr>
        <w:jc w:val="both"/>
        <w:rPr>
          <w:rStyle w:val="Siln"/>
          <w:b w:val="0"/>
        </w:rPr>
      </w:pPr>
    </w:p>
    <w:p w:rsidR="005C6C27" w:rsidRDefault="005C6C27" w:rsidP="005C6C27">
      <w:pPr>
        <w:jc w:val="both"/>
        <w:rPr>
          <w:rStyle w:val="Siln"/>
          <w:b w:val="0"/>
        </w:rPr>
      </w:pPr>
      <w:r>
        <w:rPr>
          <w:rStyle w:val="Siln"/>
          <w:b w:val="0"/>
        </w:rPr>
        <w:t>Ukazatel úhrnné potratovosti udává, jaký průměrný počet potratů by jedna žena během svého reprodukčního období absolvovala, pokud by byla zachována intenzita potratovosti daného roku. Obdobně je možné tento ukazatel vypočítat pouze za indukované nebo samovolné potraty. Mezi roky 2003 a 2014 se celková úhrnná potratovost snížila z 0,56 na 0,51 potratu, přičemž ale nedocházelo k poklesu každoročně. Opět zde měl vliv vyšší počet těhotenství (a jejich posun do staršího věku), zejména okolo roku 2008, a to obzvláště pro samovolnou potratovost. Úhrnná indukovaná potratovost poklesla ve stejném období z 0,39 na 0,31 indukovaného potratu na jednu ženu a výrazně tak ovlivnila pokles celkové úhrnné potratovosti. Naopak u samovolné potratovosti lze sledovat nárůst z 0,15 na 0,19 samovolného potratu mezi roky 2003 a 2014, přičemž nárůst intenzity byl zaznamenán v období 2003 až 2009, poté následovala stagnace. Hodnoty úhrnné samovolné potratovosti jsou tedy téměř totožné v letech 2009 a 2014, ačkoliv došlo k poklesu absolutního počtu samovolných potratů z 14 629 na 13 857. Tento pokles se ovšem v hodnotách intenzitního ukazatele neprojevil, protože se snížil počet žen v reprodukčním věku.</w:t>
      </w:r>
    </w:p>
    <w:p w:rsidR="005C6C27" w:rsidRDefault="005C6C27" w:rsidP="005C6C27">
      <w:pPr>
        <w:tabs>
          <w:tab w:val="left" w:pos="990"/>
        </w:tabs>
        <w:spacing w:after="60"/>
        <w:rPr>
          <w:rStyle w:val="Siln"/>
        </w:rPr>
      </w:pPr>
    </w:p>
    <w:p w:rsidR="005C6C27" w:rsidRDefault="005C6C27" w:rsidP="005C6C27">
      <w:pPr>
        <w:tabs>
          <w:tab w:val="left" w:pos="990"/>
        </w:tabs>
        <w:spacing w:after="60"/>
        <w:rPr>
          <w:rStyle w:val="Siln"/>
        </w:rPr>
      </w:pPr>
      <w:r>
        <w:rPr>
          <w:rStyle w:val="Siln"/>
        </w:rPr>
        <w:t>Tab. 4 Analytické</w:t>
      </w:r>
      <w:r w:rsidRPr="00467479">
        <w:rPr>
          <w:rStyle w:val="Siln"/>
        </w:rPr>
        <w:t xml:space="preserve"> indikátory potratovosti v letech 2003–2014</w:t>
      </w:r>
    </w:p>
    <w:tbl>
      <w:tblPr>
        <w:tblW w:w="9639" w:type="dxa"/>
        <w:tblLayout w:type="fixed"/>
        <w:tblCellMar>
          <w:left w:w="70" w:type="dxa"/>
          <w:right w:w="70" w:type="dxa"/>
        </w:tblCellMar>
        <w:tblLook w:val="04A0"/>
      </w:tblPr>
      <w:tblGrid>
        <w:gridCol w:w="1376"/>
        <w:gridCol w:w="1377"/>
        <w:gridCol w:w="1377"/>
        <w:gridCol w:w="1378"/>
        <w:gridCol w:w="1377"/>
        <w:gridCol w:w="1377"/>
        <w:gridCol w:w="1377"/>
      </w:tblGrid>
      <w:tr w:rsidR="005C6C27" w:rsidRPr="003D7A50" w:rsidTr="00E73EF4">
        <w:trPr>
          <w:trHeight w:val="240"/>
        </w:trPr>
        <w:tc>
          <w:tcPr>
            <w:tcW w:w="1376" w:type="dxa"/>
            <w:vMerge w:val="restart"/>
            <w:tcBorders>
              <w:top w:val="single" w:sz="4" w:space="0" w:color="auto"/>
              <w:left w:val="nil"/>
              <w:bottom w:val="single" w:sz="4" w:space="0" w:color="000000"/>
              <w:right w:val="single" w:sz="4" w:space="0" w:color="auto"/>
            </w:tcBorders>
            <w:shd w:val="clear" w:color="FFFFFF" w:fill="F5DADD"/>
            <w:vAlign w:val="center"/>
            <w:hideMark/>
          </w:tcPr>
          <w:p w:rsidR="005C6C27" w:rsidRPr="003D7A50" w:rsidRDefault="005C6C27" w:rsidP="00E73EF4">
            <w:pPr>
              <w:spacing w:line="240" w:lineRule="auto"/>
              <w:jc w:val="center"/>
              <w:rPr>
                <w:rFonts w:cs="Arial"/>
                <w:b/>
                <w:bCs/>
                <w:sz w:val="16"/>
                <w:szCs w:val="16"/>
              </w:rPr>
            </w:pPr>
            <w:r w:rsidRPr="003D7A50">
              <w:rPr>
                <w:rFonts w:cs="Arial"/>
                <w:b/>
                <w:bCs/>
                <w:sz w:val="16"/>
                <w:szCs w:val="16"/>
              </w:rPr>
              <w:t>Rok</w:t>
            </w:r>
          </w:p>
        </w:tc>
        <w:tc>
          <w:tcPr>
            <w:tcW w:w="4132" w:type="dxa"/>
            <w:gridSpan w:val="3"/>
            <w:tcBorders>
              <w:top w:val="single" w:sz="4" w:space="0" w:color="auto"/>
              <w:left w:val="nil"/>
              <w:bottom w:val="single" w:sz="4" w:space="0" w:color="auto"/>
              <w:right w:val="nil"/>
            </w:tcBorders>
            <w:shd w:val="clear" w:color="FFFFFF" w:fill="F5DADD"/>
            <w:noWrap/>
            <w:vAlign w:val="bottom"/>
            <w:hideMark/>
          </w:tcPr>
          <w:p w:rsidR="005C6C27" w:rsidRPr="003D7A50" w:rsidRDefault="005C6C27" w:rsidP="00E73EF4">
            <w:pPr>
              <w:spacing w:line="240" w:lineRule="auto"/>
              <w:jc w:val="center"/>
              <w:rPr>
                <w:rFonts w:cs="Arial"/>
                <w:b/>
                <w:bCs/>
                <w:sz w:val="16"/>
                <w:szCs w:val="16"/>
              </w:rPr>
            </w:pPr>
            <w:r w:rsidRPr="003D7A50">
              <w:rPr>
                <w:rFonts w:cs="Arial"/>
                <w:b/>
                <w:bCs/>
                <w:sz w:val="16"/>
                <w:szCs w:val="16"/>
              </w:rPr>
              <w:t>Úhrnná potratovost</w:t>
            </w:r>
          </w:p>
        </w:tc>
        <w:tc>
          <w:tcPr>
            <w:tcW w:w="4131" w:type="dxa"/>
            <w:gridSpan w:val="3"/>
            <w:tcBorders>
              <w:top w:val="single" w:sz="4" w:space="0" w:color="auto"/>
              <w:left w:val="single" w:sz="4" w:space="0" w:color="auto"/>
              <w:bottom w:val="single" w:sz="4" w:space="0" w:color="auto"/>
              <w:right w:val="nil"/>
            </w:tcBorders>
            <w:shd w:val="clear" w:color="FFFFFF" w:fill="F5DADD"/>
            <w:noWrap/>
            <w:vAlign w:val="bottom"/>
            <w:hideMark/>
          </w:tcPr>
          <w:p w:rsidR="005C6C27" w:rsidRPr="003D7A50" w:rsidRDefault="005C6C27" w:rsidP="00E73EF4">
            <w:pPr>
              <w:spacing w:line="240" w:lineRule="auto"/>
              <w:jc w:val="center"/>
              <w:rPr>
                <w:rFonts w:cs="Arial"/>
                <w:b/>
                <w:bCs/>
                <w:sz w:val="16"/>
                <w:szCs w:val="16"/>
              </w:rPr>
            </w:pPr>
            <w:r w:rsidRPr="003D7A50">
              <w:rPr>
                <w:rFonts w:cs="Arial"/>
                <w:b/>
                <w:bCs/>
                <w:sz w:val="16"/>
                <w:szCs w:val="16"/>
              </w:rPr>
              <w:t>Průměrný věk ženy při potratu</w:t>
            </w:r>
          </w:p>
        </w:tc>
      </w:tr>
      <w:tr w:rsidR="005C6C27" w:rsidRPr="003D7A50" w:rsidTr="00E73EF4">
        <w:trPr>
          <w:trHeight w:val="240"/>
        </w:trPr>
        <w:tc>
          <w:tcPr>
            <w:tcW w:w="1376" w:type="dxa"/>
            <w:vMerge/>
            <w:tcBorders>
              <w:top w:val="single" w:sz="4" w:space="0" w:color="auto"/>
              <w:left w:val="nil"/>
              <w:bottom w:val="single" w:sz="4" w:space="0" w:color="000000"/>
              <w:right w:val="single" w:sz="4" w:space="0" w:color="auto"/>
            </w:tcBorders>
            <w:vAlign w:val="center"/>
            <w:hideMark/>
          </w:tcPr>
          <w:p w:rsidR="005C6C27" w:rsidRPr="003D7A50" w:rsidRDefault="005C6C27" w:rsidP="00E73EF4">
            <w:pPr>
              <w:spacing w:line="240" w:lineRule="auto"/>
              <w:rPr>
                <w:rFonts w:cs="Arial"/>
                <w:b/>
                <w:bCs/>
                <w:sz w:val="16"/>
                <w:szCs w:val="16"/>
              </w:rPr>
            </w:pPr>
          </w:p>
        </w:tc>
        <w:tc>
          <w:tcPr>
            <w:tcW w:w="1377" w:type="dxa"/>
            <w:tcBorders>
              <w:top w:val="nil"/>
              <w:left w:val="nil"/>
              <w:bottom w:val="single" w:sz="4" w:space="0" w:color="auto"/>
              <w:right w:val="single" w:sz="4" w:space="0" w:color="auto"/>
            </w:tcBorders>
            <w:shd w:val="clear" w:color="FFFFFF" w:fill="F5DADD"/>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celkem</w:t>
            </w:r>
          </w:p>
        </w:tc>
        <w:tc>
          <w:tcPr>
            <w:tcW w:w="1377" w:type="dxa"/>
            <w:tcBorders>
              <w:top w:val="nil"/>
              <w:left w:val="nil"/>
              <w:bottom w:val="single" w:sz="4" w:space="0" w:color="auto"/>
              <w:right w:val="single" w:sz="4" w:space="0" w:color="auto"/>
            </w:tcBorders>
            <w:shd w:val="clear" w:color="FFFFFF" w:fill="F5DADD"/>
            <w:noWrap/>
            <w:vAlign w:val="bottom"/>
            <w:hideMark/>
          </w:tcPr>
          <w:p w:rsidR="005C6C27" w:rsidRPr="003D7A50" w:rsidRDefault="005C6C27" w:rsidP="00E73EF4">
            <w:pPr>
              <w:spacing w:line="240" w:lineRule="auto"/>
              <w:jc w:val="center"/>
              <w:rPr>
                <w:rFonts w:cs="Arial"/>
                <w:sz w:val="16"/>
                <w:szCs w:val="16"/>
              </w:rPr>
            </w:pPr>
            <w:r w:rsidRPr="00616584">
              <w:rPr>
                <w:rFonts w:cs="Arial"/>
                <w:sz w:val="16"/>
                <w:szCs w:val="16"/>
              </w:rPr>
              <w:t>indukovaná</w:t>
            </w:r>
          </w:p>
        </w:tc>
        <w:tc>
          <w:tcPr>
            <w:tcW w:w="1378" w:type="dxa"/>
            <w:tcBorders>
              <w:top w:val="nil"/>
              <w:left w:val="nil"/>
              <w:bottom w:val="single" w:sz="4" w:space="0" w:color="auto"/>
              <w:right w:val="single" w:sz="4" w:space="0" w:color="auto"/>
            </w:tcBorders>
            <w:shd w:val="clear" w:color="FFFFFF" w:fill="F5DADD"/>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samovolná</w:t>
            </w:r>
          </w:p>
        </w:tc>
        <w:tc>
          <w:tcPr>
            <w:tcW w:w="1377" w:type="dxa"/>
            <w:tcBorders>
              <w:top w:val="nil"/>
              <w:left w:val="nil"/>
              <w:bottom w:val="single" w:sz="4" w:space="0" w:color="auto"/>
              <w:right w:val="single" w:sz="4" w:space="0" w:color="auto"/>
            </w:tcBorders>
            <w:shd w:val="clear" w:color="FFFFFF" w:fill="F5DADD"/>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celkem</w:t>
            </w:r>
          </w:p>
        </w:tc>
        <w:tc>
          <w:tcPr>
            <w:tcW w:w="1377" w:type="dxa"/>
            <w:tcBorders>
              <w:top w:val="nil"/>
              <w:left w:val="nil"/>
              <w:bottom w:val="single" w:sz="4" w:space="0" w:color="auto"/>
              <w:right w:val="single" w:sz="4" w:space="0" w:color="auto"/>
            </w:tcBorders>
            <w:shd w:val="clear" w:color="FFFFFF" w:fill="F5DADD"/>
            <w:noWrap/>
            <w:vAlign w:val="bottom"/>
            <w:hideMark/>
          </w:tcPr>
          <w:p w:rsidR="005C6C27" w:rsidRPr="003D7A50" w:rsidRDefault="005C6C27" w:rsidP="00E73EF4">
            <w:pPr>
              <w:spacing w:line="240" w:lineRule="auto"/>
              <w:jc w:val="center"/>
              <w:rPr>
                <w:rFonts w:cs="Arial"/>
                <w:sz w:val="16"/>
                <w:szCs w:val="16"/>
              </w:rPr>
            </w:pPr>
            <w:proofErr w:type="gramStart"/>
            <w:r w:rsidRPr="00616584">
              <w:rPr>
                <w:rFonts w:cs="Arial"/>
                <w:sz w:val="16"/>
                <w:szCs w:val="16"/>
              </w:rPr>
              <w:t>indukovaném</w:t>
            </w:r>
            <w:proofErr w:type="gramEnd"/>
          </w:p>
        </w:tc>
        <w:tc>
          <w:tcPr>
            <w:tcW w:w="1377" w:type="dxa"/>
            <w:tcBorders>
              <w:top w:val="nil"/>
              <w:left w:val="nil"/>
              <w:bottom w:val="single" w:sz="4" w:space="0" w:color="auto"/>
              <w:right w:val="nil"/>
            </w:tcBorders>
            <w:shd w:val="clear" w:color="FFFFFF" w:fill="F5DADD"/>
            <w:noWrap/>
            <w:vAlign w:val="bottom"/>
            <w:hideMark/>
          </w:tcPr>
          <w:p w:rsidR="005C6C27" w:rsidRPr="003D7A50" w:rsidRDefault="005C6C27" w:rsidP="00E73EF4">
            <w:pPr>
              <w:spacing w:line="240" w:lineRule="auto"/>
              <w:jc w:val="center"/>
              <w:rPr>
                <w:rFonts w:cs="Arial"/>
                <w:sz w:val="16"/>
                <w:szCs w:val="16"/>
              </w:rPr>
            </w:pPr>
            <w:proofErr w:type="gramStart"/>
            <w:r w:rsidRPr="003D7A50">
              <w:rPr>
                <w:rFonts w:cs="Arial"/>
                <w:sz w:val="16"/>
                <w:szCs w:val="16"/>
              </w:rPr>
              <w:t>samovolném</w:t>
            </w:r>
            <w:proofErr w:type="gramEnd"/>
          </w:p>
        </w:tc>
      </w:tr>
      <w:tr w:rsidR="005C6C27" w:rsidRPr="003D7A50" w:rsidTr="00E73EF4">
        <w:trPr>
          <w:trHeight w:val="240"/>
        </w:trPr>
        <w:tc>
          <w:tcPr>
            <w:tcW w:w="1376"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2003</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0,56</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0,39</w:t>
            </w:r>
          </w:p>
        </w:tc>
        <w:tc>
          <w:tcPr>
            <w:tcW w:w="1378"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0,15</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29,7</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29,7</w:t>
            </w:r>
          </w:p>
        </w:tc>
        <w:tc>
          <w:tcPr>
            <w:tcW w:w="1377" w:type="dxa"/>
            <w:tcBorders>
              <w:top w:val="nil"/>
              <w:left w:val="nil"/>
              <w:bottom w:val="nil"/>
              <w:right w:val="nil"/>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29,7</w:t>
            </w:r>
          </w:p>
        </w:tc>
      </w:tr>
      <w:tr w:rsidR="005C6C27" w:rsidRPr="003D7A50" w:rsidTr="00E73EF4">
        <w:trPr>
          <w:trHeight w:val="240"/>
        </w:trPr>
        <w:tc>
          <w:tcPr>
            <w:tcW w:w="1376"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2004</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0,55</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0,37</w:t>
            </w:r>
          </w:p>
        </w:tc>
        <w:tc>
          <w:tcPr>
            <w:tcW w:w="1378"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0,16</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29,8</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29,8</w:t>
            </w:r>
          </w:p>
        </w:tc>
        <w:tc>
          <w:tcPr>
            <w:tcW w:w="1377" w:type="dxa"/>
            <w:tcBorders>
              <w:top w:val="nil"/>
              <w:left w:val="nil"/>
              <w:bottom w:val="nil"/>
              <w:right w:val="nil"/>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29,9</w:t>
            </w:r>
          </w:p>
        </w:tc>
      </w:tr>
      <w:tr w:rsidR="005C6C27" w:rsidRPr="003D7A50" w:rsidTr="00E73EF4">
        <w:trPr>
          <w:trHeight w:val="240"/>
        </w:trPr>
        <w:tc>
          <w:tcPr>
            <w:tcW w:w="1376"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2005</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0,53</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0,35</w:t>
            </w:r>
          </w:p>
        </w:tc>
        <w:tc>
          <w:tcPr>
            <w:tcW w:w="1378"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0,16</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29,8</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29,6</w:t>
            </w:r>
          </w:p>
        </w:tc>
        <w:tc>
          <w:tcPr>
            <w:tcW w:w="1377" w:type="dxa"/>
            <w:tcBorders>
              <w:top w:val="nil"/>
              <w:left w:val="nil"/>
              <w:bottom w:val="nil"/>
              <w:right w:val="nil"/>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30,0</w:t>
            </w:r>
          </w:p>
        </w:tc>
      </w:tr>
      <w:tr w:rsidR="005C6C27" w:rsidRPr="003D7A50" w:rsidTr="00E73EF4">
        <w:trPr>
          <w:trHeight w:val="240"/>
        </w:trPr>
        <w:tc>
          <w:tcPr>
            <w:tcW w:w="1376"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2006</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0,53</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0,34</w:t>
            </w:r>
          </w:p>
        </w:tc>
        <w:tc>
          <w:tcPr>
            <w:tcW w:w="1378"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0,17</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30,0</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29,7</w:t>
            </w:r>
          </w:p>
        </w:tc>
        <w:tc>
          <w:tcPr>
            <w:tcW w:w="1377" w:type="dxa"/>
            <w:tcBorders>
              <w:top w:val="nil"/>
              <w:left w:val="nil"/>
              <w:bottom w:val="nil"/>
              <w:right w:val="nil"/>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30,4</w:t>
            </w:r>
          </w:p>
        </w:tc>
      </w:tr>
      <w:tr w:rsidR="005C6C27" w:rsidRPr="003D7A50" w:rsidTr="00E73EF4">
        <w:trPr>
          <w:trHeight w:val="240"/>
        </w:trPr>
        <w:tc>
          <w:tcPr>
            <w:tcW w:w="1376"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2007</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0,54</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0,34</w:t>
            </w:r>
          </w:p>
        </w:tc>
        <w:tc>
          <w:tcPr>
            <w:tcW w:w="1378"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0,18</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29,9</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29,6</w:t>
            </w:r>
          </w:p>
        </w:tc>
        <w:tc>
          <w:tcPr>
            <w:tcW w:w="1377" w:type="dxa"/>
            <w:tcBorders>
              <w:top w:val="nil"/>
              <w:left w:val="nil"/>
              <w:bottom w:val="nil"/>
              <w:right w:val="nil"/>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30,4</w:t>
            </w:r>
          </w:p>
        </w:tc>
      </w:tr>
      <w:tr w:rsidR="005C6C27" w:rsidRPr="003D7A50" w:rsidTr="00E73EF4">
        <w:trPr>
          <w:trHeight w:val="240"/>
        </w:trPr>
        <w:tc>
          <w:tcPr>
            <w:tcW w:w="1376"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2008</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0,54</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0,34</w:t>
            </w:r>
          </w:p>
        </w:tc>
        <w:tc>
          <w:tcPr>
            <w:tcW w:w="1378"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0,18</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29,9</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29,5</w:t>
            </w:r>
          </w:p>
        </w:tc>
        <w:tc>
          <w:tcPr>
            <w:tcW w:w="1377" w:type="dxa"/>
            <w:tcBorders>
              <w:top w:val="nil"/>
              <w:left w:val="nil"/>
              <w:bottom w:val="nil"/>
              <w:right w:val="nil"/>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30,6</w:t>
            </w:r>
          </w:p>
        </w:tc>
      </w:tr>
      <w:tr w:rsidR="005C6C27" w:rsidRPr="003D7A50" w:rsidTr="00E73EF4">
        <w:trPr>
          <w:trHeight w:val="240"/>
        </w:trPr>
        <w:tc>
          <w:tcPr>
            <w:tcW w:w="1376"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2009</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0,53</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0,33</w:t>
            </w:r>
          </w:p>
        </w:tc>
        <w:tc>
          <w:tcPr>
            <w:tcW w:w="1378"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0,19</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30,1</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29,7</w:t>
            </w:r>
          </w:p>
        </w:tc>
        <w:tc>
          <w:tcPr>
            <w:tcW w:w="1377" w:type="dxa"/>
            <w:tcBorders>
              <w:top w:val="nil"/>
              <w:left w:val="nil"/>
              <w:bottom w:val="nil"/>
              <w:right w:val="nil"/>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30,7</w:t>
            </w:r>
          </w:p>
        </w:tc>
      </w:tr>
      <w:tr w:rsidR="005C6C27" w:rsidRPr="003D7A50" w:rsidTr="00E73EF4">
        <w:trPr>
          <w:trHeight w:val="240"/>
        </w:trPr>
        <w:tc>
          <w:tcPr>
            <w:tcW w:w="1376"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2010</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0,51</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0,32</w:t>
            </w:r>
          </w:p>
        </w:tc>
        <w:tc>
          <w:tcPr>
            <w:tcW w:w="1378"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0,18</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30,2</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29,7</w:t>
            </w:r>
          </w:p>
        </w:tc>
        <w:tc>
          <w:tcPr>
            <w:tcW w:w="1377" w:type="dxa"/>
            <w:tcBorders>
              <w:top w:val="nil"/>
              <w:left w:val="nil"/>
              <w:bottom w:val="nil"/>
              <w:right w:val="nil"/>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31,0</w:t>
            </w:r>
          </w:p>
        </w:tc>
      </w:tr>
      <w:tr w:rsidR="005C6C27" w:rsidRPr="003D7A50" w:rsidTr="00E73EF4">
        <w:trPr>
          <w:trHeight w:val="240"/>
        </w:trPr>
        <w:tc>
          <w:tcPr>
            <w:tcW w:w="1376"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2011</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0,52</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0,32</w:t>
            </w:r>
          </w:p>
        </w:tc>
        <w:tc>
          <w:tcPr>
            <w:tcW w:w="1378"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0,18</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30,1</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29,7</w:t>
            </w:r>
          </w:p>
        </w:tc>
        <w:tc>
          <w:tcPr>
            <w:tcW w:w="1377" w:type="dxa"/>
            <w:tcBorders>
              <w:top w:val="nil"/>
              <w:left w:val="nil"/>
              <w:bottom w:val="nil"/>
              <w:right w:val="nil"/>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30,9</w:t>
            </w:r>
          </w:p>
        </w:tc>
      </w:tr>
      <w:tr w:rsidR="005C6C27" w:rsidRPr="003D7A50" w:rsidTr="00E73EF4">
        <w:trPr>
          <w:trHeight w:val="240"/>
        </w:trPr>
        <w:tc>
          <w:tcPr>
            <w:tcW w:w="1376"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2012</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0,51</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0,31</w:t>
            </w:r>
          </w:p>
        </w:tc>
        <w:tc>
          <w:tcPr>
            <w:tcW w:w="1378"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0,18</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30,2</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29,7</w:t>
            </w:r>
          </w:p>
        </w:tc>
        <w:tc>
          <w:tcPr>
            <w:tcW w:w="1377" w:type="dxa"/>
            <w:tcBorders>
              <w:top w:val="nil"/>
              <w:left w:val="nil"/>
              <w:bottom w:val="nil"/>
              <w:right w:val="nil"/>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31,0</w:t>
            </w:r>
          </w:p>
        </w:tc>
      </w:tr>
      <w:tr w:rsidR="005C6C27" w:rsidRPr="003D7A50" w:rsidTr="00E73EF4">
        <w:trPr>
          <w:trHeight w:val="240"/>
        </w:trPr>
        <w:tc>
          <w:tcPr>
            <w:tcW w:w="1376"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2013</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0,52</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0,32</w:t>
            </w:r>
          </w:p>
        </w:tc>
        <w:tc>
          <w:tcPr>
            <w:tcW w:w="1378"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0,18</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30,1</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29,5</w:t>
            </w:r>
          </w:p>
        </w:tc>
        <w:tc>
          <w:tcPr>
            <w:tcW w:w="1377" w:type="dxa"/>
            <w:tcBorders>
              <w:top w:val="nil"/>
              <w:left w:val="nil"/>
              <w:bottom w:val="nil"/>
              <w:right w:val="nil"/>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31,1</w:t>
            </w:r>
          </w:p>
        </w:tc>
      </w:tr>
      <w:tr w:rsidR="005C6C27" w:rsidRPr="003D7A50" w:rsidTr="00E73EF4">
        <w:trPr>
          <w:trHeight w:val="240"/>
        </w:trPr>
        <w:tc>
          <w:tcPr>
            <w:tcW w:w="1376"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2014</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0,51</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0,31</w:t>
            </w:r>
          </w:p>
        </w:tc>
        <w:tc>
          <w:tcPr>
            <w:tcW w:w="1378"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0,19</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30,3</w:t>
            </w:r>
          </w:p>
        </w:tc>
        <w:tc>
          <w:tcPr>
            <w:tcW w:w="1377" w:type="dxa"/>
            <w:tcBorders>
              <w:top w:val="nil"/>
              <w:left w:val="nil"/>
              <w:bottom w:val="nil"/>
              <w:right w:val="single" w:sz="4" w:space="0" w:color="auto"/>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29,7</w:t>
            </w:r>
          </w:p>
        </w:tc>
        <w:tc>
          <w:tcPr>
            <w:tcW w:w="1377" w:type="dxa"/>
            <w:tcBorders>
              <w:top w:val="nil"/>
              <w:left w:val="nil"/>
              <w:bottom w:val="nil"/>
              <w:right w:val="nil"/>
            </w:tcBorders>
            <w:shd w:val="clear" w:color="FFFFFF" w:fill="FFFFFF"/>
            <w:noWrap/>
            <w:vAlign w:val="bottom"/>
            <w:hideMark/>
          </w:tcPr>
          <w:p w:rsidR="005C6C27" w:rsidRPr="003D7A50" w:rsidRDefault="005C6C27" w:rsidP="00E73EF4">
            <w:pPr>
              <w:spacing w:line="240" w:lineRule="auto"/>
              <w:jc w:val="center"/>
              <w:rPr>
                <w:rFonts w:cs="Arial"/>
                <w:sz w:val="16"/>
                <w:szCs w:val="16"/>
              </w:rPr>
            </w:pPr>
            <w:r w:rsidRPr="003D7A50">
              <w:rPr>
                <w:rFonts w:cs="Arial"/>
                <w:sz w:val="16"/>
                <w:szCs w:val="16"/>
              </w:rPr>
              <w:t>31,2</w:t>
            </w:r>
          </w:p>
        </w:tc>
      </w:tr>
    </w:tbl>
    <w:p w:rsidR="005C6C27" w:rsidRDefault="005C6C27" w:rsidP="005C6C27">
      <w:pPr>
        <w:jc w:val="both"/>
        <w:rPr>
          <w:rStyle w:val="Siln"/>
          <w:b w:val="0"/>
        </w:rPr>
      </w:pPr>
    </w:p>
    <w:p w:rsidR="005C6C27" w:rsidRPr="00436FFB" w:rsidRDefault="005C6C27" w:rsidP="005C6C27">
      <w:pPr>
        <w:jc w:val="both"/>
        <w:rPr>
          <w:rStyle w:val="Siln"/>
          <w:b w:val="0"/>
        </w:rPr>
      </w:pPr>
      <w:r>
        <w:rPr>
          <w:rStyle w:val="Siln"/>
          <w:b w:val="0"/>
        </w:rPr>
        <w:t xml:space="preserve">Hodnoty průměrného věku ženy při indukovaném potratu se ve sledovaném období příliš neproměnily, když se pohybovaly v rozmezí 29,5–29,8 let a zároveň byly na začátku a na konci období totožné (29,7 let). Celkový průměrný věk při potratu rostl s výjimkou roku 2011 každoročně a z hodnoty 29,7 let v roce 2003 </w:t>
      </w:r>
      <w:r>
        <w:rPr>
          <w:rStyle w:val="Siln"/>
          <w:b w:val="0"/>
        </w:rPr>
        <w:lastRenderedPageBreak/>
        <w:t xml:space="preserve">vzrostl na 32,1 v roce 2014. Nárůst celkového průměrného věku při potratu tak byl odrazem posunu průměrného věku ženy při samovolném potratu. Za tímto vývojem </w:t>
      </w:r>
      <w:r w:rsidRPr="00616584">
        <w:rPr>
          <w:rStyle w:val="Siln"/>
          <w:b w:val="0"/>
        </w:rPr>
        <w:t xml:space="preserve">lze dohledat </w:t>
      </w:r>
      <w:r>
        <w:rPr>
          <w:rStyle w:val="Siln"/>
          <w:b w:val="0"/>
        </w:rPr>
        <w:t xml:space="preserve">vliv nárůstu průměrného věku matky, respektive ženy při těhotenství.        </w:t>
      </w:r>
    </w:p>
    <w:p w:rsidR="005C6C27" w:rsidRPr="00064A6E" w:rsidRDefault="005C6C27" w:rsidP="005C6C27">
      <w:pPr>
        <w:jc w:val="both"/>
        <w:rPr>
          <w:rStyle w:val="Siln"/>
          <w:b w:val="0"/>
        </w:rPr>
      </w:pPr>
    </w:p>
    <w:p w:rsidR="005C6C27" w:rsidRDefault="005C6C27" w:rsidP="005C6C27">
      <w:pPr>
        <w:spacing w:after="60"/>
        <w:jc w:val="both"/>
      </w:pPr>
      <w:r>
        <w:t xml:space="preserve">Index indukované potratovosti vztahuje počty umělých přerušení těhotenství k počtu narozených dětí. Udává, kolik UPT připadá na 100 narozených dětí. Hodnoty potratovosti tak nejsou ovlivněny rozdílným počtem těhotenství v jednotlivých letech. Index indukované potratovosti klesl z 31,2 v roce 2003 na 19,9 v roce 2014, klesající trend byl přerušen pouze v letech 2011 a 2013. V téměř všech pětiletých věkových skupinách došlo mezi roky 2003 a 2014 k výraznému poklesu indexu indukované potratovosti. Jedinou výjimkou byla skupina žen ve věku 20–24 let, kde hodnota ukazatele kolísala v rozmezí 27,7–31,3. </w:t>
      </w:r>
      <w:r w:rsidRPr="00200781">
        <w:t>Výraznější p</w:t>
      </w:r>
      <w:r>
        <w:t xml:space="preserve">oklesy </w:t>
      </w:r>
      <w:r w:rsidRPr="00200781">
        <w:t>(</w:t>
      </w:r>
      <w:r>
        <w:t>60 % a </w:t>
      </w:r>
      <w:r w:rsidRPr="00200781">
        <w:t>více)</w:t>
      </w:r>
      <w:r>
        <w:t xml:space="preserve"> byly zaznamenány u žen ve všech pětiletých</w:t>
      </w:r>
      <w:r w:rsidRPr="00200781">
        <w:t xml:space="preserve"> věkových kategoriích </w:t>
      </w:r>
      <w:r>
        <w:t>nad 30 </w:t>
      </w:r>
      <w:r w:rsidRPr="00200781">
        <w:t>let, zatímco ženy mladší 20 let a ve skupině 25 až 29letých měly hodnoty indexu v roce 2014 o </w:t>
      </w:r>
      <w:r>
        <w:t>zhruba 24 </w:t>
      </w:r>
      <w:r w:rsidRPr="00200781">
        <w:t>% nižší než na začátku sledovaného období.</w:t>
      </w:r>
      <w:r>
        <w:t xml:space="preserve"> Česká republika se tak více blíží situaci běžné v západní a severní Evropě, kde jsou indukované potraty častější v mladší populaci žen bez dětí než u alespoň jednou vdaných žen s již naplněnými reprodukčními ambicemi. </w:t>
      </w:r>
    </w:p>
    <w:p w:rsidR="005C6C27" w:rsidRPr="00C96072" w:rsidRDefault="005C6C27" w:rsidP="005C6C27">
      <w:pPr>
        <w:rPr>
          <w:rStyle w:val="Siln"/>
          <w:b w:val="0"/>
        </w:rPr>
      </w:pPr>
    </w:p>
    <w:p w:rsidR="005C6C27" w:rsidRPr="00034244" w:rsidRDefault="005C6C27" w:rsidP="005C6C27">
      <w:pPr>
        <w:spacing w:after="60"/>
        <w:jc w:val="both"/>
      </w:pPr>
      <w:r>
        <w:t xml:space="preserve">Nejnižší úroveň indexu indukované potratovosti (okolo 13 indukovaných potratů na 100 narozených) vykazovaly ženy ve věkových skupinách nejčastější reprodukce (25–29 a 30–34 let). Naopak u nejmladších a nejstarších kategorií byly hodnoty nejvyšší, konkrétně 55 u dívek mladších 20 let a 117 u žen ve věku 45 let a více v roce 2014. Umělé přerušení těhotenství má u těchto skupin obyvatelstva de facto roli „ex-post </w:t>
      </w:r>
      <w:r w:rsidRPr="002029A2">
        <w:t>ochran</w:t>
      </w:r>
      <w:r>
        <w:t>y“</w:t>
      </w:r>
      <w:r w:rsidRPr="002029A2">
        <w:t xml:space="preserve"> vůči nechtěnému </w:t>
      </w:r>
      <w:r>
        <w:t xml:space="preserve">narození dítěte z pohledu ženy v nevhodném věku, ať již nízkém či naopak vysokém věku, které představuje zdravotní rizika, nebo při již naplněných představách týkajících se počtu dětí.          </w:t>
      </w:r>
    </w:p>
    <w:p w:rsidR="005C6C27" w:rsidRPr="00C96072" w:rsidRDefault="005C6C27" w:rsidP="005C6C27">
      <w:pPr>
        <w:jc w:val="both"/>
        <w:rPr>
          <w:rStyle w:val="Siln"/>
          <w:b w:val="0"/>
        </w:rPr>
      </w:pPr>
    </w:p>
    <w:p w:rsidR="005C6C27" w:rsidRDefault="005C6C27" w:rsidP="005C6C27">
      <w:pPr>
        <w:tabs>
          <w:tab w:val="left" w:pos="990"/>
        </w:tabs>
        <w:spacing w:after="60"/>
        <w:rPr>
          <w:rStyle w:val="Siln"/>
        </w:rPr>
      </w:pPr>
      <w:r>
        <w:rPr>
          <w:rStyle w:val="Siln"/>
        </w:rPr>
        <w:t xml:space="preserve">Tab. 5 </w:t>
      </w:r>
      <w:r w:rsidRPr="00E60723">
        <w:rPr>
          <w:rStyle w:val="Siln"/>
        </w:rPr>
        <w:t>Index indukované potratovosti</w:t>
      </w:r>
      <w:r>
        <w:rPr>
          <w:rStyle w:val="Siln"/>
        </w:rPr>
        <w:t xml:space="preserve"> </w:t>
      </w:r>
      <w:r w:rsidRPr="00E60723">
        <w:rPr>
          <w:rStyle w:val="Siln"/>
        </w:rPr>
        <w:t>podle věkové skupiny ženy v letech 2003–2014</w:t>
      </w:r>
    </w:p>
    <w:tbl>
      <w:tblPr>
        <w:tblW w:w="9639" w:type="dxa"/>
        <w:tblCellMar>
          <w:left w:w="70" w:type="dxa"/>
          <w:right w:w="70" w:type="dxa"/>
        </w:tblCellMar>
        <w:tblLook w:val="04A0"/>
      </w:tblPr>
      <w:tblGrid>
        <w:gridCol w:w="1072"/>
        <w:gridCol w:w="1070"/>
        <w:gridCol w:w="1071"/>
        <w:gridCol w:w="1071"/>
        <w:gridCol w:w="1071"/>
        <w:gridCol w:w="1071"/>
        <w:gridCol w:w="1071"/>
        <w:gridCol w:w="1071"/>
        <w:gridCol w:w="1071"/>
      </w:tblGrid>
      <w:tr w:rsidR="005C6C27" w:rsidRPr="001D40B8" w:rsidTr="00E73EF4">
        <w:trPr>
          <w:trHeight w:val="240"/>
        </w:trPr>
        <w:tc>
          <w:tcPr>
            <w:tcW w:w="1072" w:type="dxa"/>
            <w:vMerge w:val="restart"/>
            <w:tcBorders>
              <w:top w:val="single" w:sz="4" w:space="0" w:color="auto"/>
              <w:left w:val="nil"/>
              <w:bottom w:val="single" w:sz="4" w:space="0" w:color="000000"/>
              <w:right w:val="single" w:sz="4" w:space="0" w:color="auto"/>
            </w:tcBorders>
            <w:shd w:val="clear" w:color="FFFFFF" w:fill="F5DADD"/>
            <w:vAlign w:val="center"/>
            <w:hideMark/>
          </w:tcPr>
          <w:p w:rsidR="005C6C27" w:rsidRPr="001D40B8" w:rsidRDefault="005C6C27" w:rsidP="00E73EF4">
            <w:pPr>
              <w:spacing w:line="240" w:lineRule="auto"/>
              <w:jc w:val="center"/>
              <w:rPr>
                <w:rFonts w:cs="Arial"/>
                <w:b/>
                <w:bCs/>
                <w:sz w:val="16"/>
                <w:szCs w:val="16"/>
              </w:rPr>
            </w:pPr>
            <w:r w:rsidRPr="001D40B8">
              <w:rPr>
                <w:rFonts w:cs="Arial"/>
                <w:b/>
                <w:bCs/>
                <w:sz w:val="16"/>
                <w:szCs w:val="16"/>
              </w:rPr>
              <w:t>Rok</w:t>
            </w:r>
          </w:p>
        </w:tc>
        <w:tc>
          <w:tcPr>
            <w:tcW w:w="8567" w:type="dxa"/>
            <w:gridSpan w:val="8"/>
            <w:tcBorders>
              <w:top w:val="single" w:sz="4" w:space="0" w:color="auto"/>
              <w:left w:val="nil"/>
              <w:bottom w:val="single" w:sz="4" w:space="0" w:color="auto"/>
              <w:right w:val="nil"/>
            </w:tcBorders>
            <w:shd w:val="clear" w:color="FFFFFF" w:fill="F5DADD"/>
            <w:noWrap/>
            <w:vAlign w:val="bottom"/>
            <w:hideMark/>
          </w:tcPr>
          <w:p w:rsidR="005C6C27" w:rsidRPr="001D40B8" w:rsidRDefault="005C6C27" w:rsidP="00E73EF4">
            <w:pPr>
              <w:spacing w:line="240" w:lineRule="auto"/>
              <w:jc w:val="center"/>
              <w:rPr>
                <w:rFonts w:cs="Arial"/>
                <w:b/>
                <w:bCs/>
                <w:sz w:val="16"/>
                <w:szCs w:val="16"/>
              </w:rPr>
            </w:pPr>
            <w:r w:rsidRPr="001D40B8">
              <w:rPr>
                <w:rFonts w:cs="Arial"/>
                <w:b/>
                <w:bCs/>
                <w:sz w:val="16"/>
                <w:szCs w:val="16"/>
              </w:rPr>
              <w:t>Počet umělých přerušení těhotenství na 100 narozených dětí u žen ve věku</w:t>
            </w:r>
          </w:p>
        </w:tc>
      </w:tr>
      <w:tr w:rsidR="005C6C27" w:rsidRPr="001D40B8" w:rsidTr="00E73EF4">
        <w:trPr>
          <w:trHeight w:val="240"/>
        </w:trPr>
        <w:tc>
          <w:tcPr>
            <w:tcW w:w="1072" w:type="dxa"/>
            <w:vMerge/>
            <w:tcBorders>
              <w:top w:val="single" w:sz="4" w:space="0" w:color="auto"/>
              <w:left w:val="nil"/>
              <w:bottom w:val="single" w:sz="4" w:space="0" w:color="000000"/>
              <w:right w:val="single" w:sz="4" w:space="0" w:color="auto"/>
            </w:tcBorders>
            <w:vAlign w:val="center"/>
            <w:hideMark/>
          </w:tcPr>
          <w:p w:rsidR="005C6C27" w:rsidRPr="001D40B8" w:rsidRDefault="005C6C27" w:rsidP="00E73EF4">
            <w:pPr>
              <w:spacing w:line="240" w:lineRule="auto"/>
              <w:rPr>
                <w:rFonts w:cs="Arial"/>
                <w:b/>
                <w:bCs/>
                <w:sz w:val="16"/>
                <w:szCs w:val="16"/>
              </w:rPr>
            </w:pPr>
          </w:p>
        </w:tc>
        <w:tc>
          <w:tcPr>
            <w:tcW w:w="1070" w:type="dxa"/>
            <w:tcBorders>
              <w:top w:val="nil"/>
              <w:left w:val="nil"/>
              <w:bottom w:val="single" w:sz="4" w:space="0" w:color="auto"/>
              <w:right w:val="single" w:sz="4" w:space="0" w:color="auto"/>
            </w:tcBorders>
            <w:shd w:val="clear" w:color="FFFFFF" w:fill="F5DADD"/>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celkem</w:t>
            </w:r>
          </w:p>
        </w:tc>
        <w:tc>
          <w:tcPr>
            <w:tcW w:w="1071" w:type="dxa"/>
            <w:tcBorders>
              <w:top w:val="nil"/>
              <w:left w:val="nil"/>
              <w:bottom w:val="single" w:sz="4" w:space="0" w:color="auto"/>
              <w:right w:val="single" w:sz="4" w:space="0" w:color="auto"/>
            </w:tcBorders>
            <w:shd w:val="clear" w:color="FFFFFF" w:fill="F5DADD"/>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-19</w:t>
            </w:r>
          </w:p>
        </w:tc>
        <w:tc>
          <w:tcPr>
            <w:tcW w:w="1071" w:type="dxa"/>
            <w:tcBorders>
              <w:top w:val="nil"/>
              <w:left w:val="nil"/>
              <w:bottom w:val="single" w:sz="4" w:space="0" w:color="auto"/>
              <w:right w:val="single" w:sz="4" w:space="0" w:color="auto"/>
            </w:tcBorders>
            <w:shd w:val="clear" w:color="FFFFFF" w:fill="F5DADD"/>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20-24</w:t>
            </w:r>
          </w:p>
        </w:tc>
        <w:tc>
          <w:tcPr>
            <w:tcW w:w="1071" w:type="dxa"/>
            <w:tcBorders>
              <w:top w:val="nil"/>
              <w:left w:val="nil"/>
              <w:bottom w:val="single" w:sz="4" w:space="0" w:color="auto"/>
              <w:right w:val="single" w:sz="4" w:space="0" w:color="auto"/>
            </w:tcBorders>
            <w:shd w:val="clear" w:color="FFFFFF" w:fill="F5DADD"/>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25-29</w:t>
            </w:r>
          </w:p>
        </w:tc>
        <w:tc>
          <w:tcPr>
            <w:tcW w:w="1071" w:type="dxa"/>
            <w:tcBorders>
              <w:top w:val="nil"/>
              <w:left w:val="nil"/>
              <w:bottom w:val="single" w:sz="4" w:space="0" w:color="auto"/>
              <w:right w:val="single" w:sz="4" w:space="0" w:color="auto"/>
            </w:tcBorders>
            <w:shd w:val="clear" w:color="FFFFFF" w:fill="F5DADD"/>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30-34</w:t>
            </w:r>
          </w:p>
        </w:tc>
        <w:tc>
          <w:tcPr>
            <w:tcW w:w="1071" w:type="dxa"/>
            <w:tcBorders>
              <w:top w:val="nil"/>
              <w:left w:val="nil"/>
              <w:bottom w:val="single" w:sz="4" w:space="0" w:color="auto"/>
              <w:right w:val="single" w:sz="4" w:space="0" w:color="auto"/>
            </w:tcBorders>
            <w:shd w:val="clear" w:color="FFFFFF" w:fill="F5DADD"/>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35-39</w:t>
            </w:r>
          </w:p>
        </w:tc>
        <w:tc>
          <w:tcPr>
            <w:tcW w:w="1071" w:type="dxa"/>
            <w:tcBorders>
              <w:top w:val="nil"/>
              <w:left w:val="nil"/>
              <w:bottom w:val="single" w:sz="4" w:space="0" w:color="auto"/>
              <w:right w:val="single" w:sz="4" w:space="0" w:color="auto"/>
            </w:tcBorders>
            <w:shd w:val="clear" w:color="FFFFFF" w:fill="F5DADD"/>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40-44</w:t>
            </w:r>
          </w:p>
        </w:tc>
        <w:tc>
          <w:tcPr>
            <w:tcW w:w="1071" w:type="dxa"/>
            <w:tcBorders>
              <w:top w:val="nil"/>
              <w:left w:val="nil"/>
              <w:bottom w:val="single" w:sz="4" w:space="0" w:color="auto"/>
              <w:right w:val="nil"/>
            </w:tcBorders>
            <w:shd w:val="clear" w:color="FFFFFF" w:fill="F5DADD"/>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45+</w:t>
            </w:r>
          </w:p>
        </w:tc>
      </w:tr>
      <w:tr w:rsidR="005C6C27" w:rsidRPr="001D40B8" w:rsidTr="00E73EF4">
        <w:trPr>
          <w:trHeight w:val="240"/>
        </w:trPr>
        <w:tc>
          <w:tcPr>
            <w:tcW w:w="1072"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2003</w:t>
            </w:r>
          </w:p>
        </w:tc>
        <w:tc>
          <w:tcPr>
            <w:tcW w:w="1070"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31,2</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72,1</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28,6</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17,8</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31,0</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77,4</w:t>
            </w:r>
          </w:p>
        </w:tc>
        <w:tc>
          <w:tcPr>
            <w:tcW w:w="1071" w:type="dxa"/>
            <w:tcBorders>
              <w:top w:val="nil"/>
              <w:left w:val="nil"/>
              <w:bottom w:val="nil"/>
              <w:right w:val="single" w:sz="4" w:space="0" w:color="auto"/>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200,1</w:t>
            </w:r>
          </w:p>
        </w:tc>
        <w:tc>
          <w:tcPr>
            <w:tcW w:w="1071" w:type="dxa"/>
            <w:tcBorders>
              <w:top w:val="nil"/>
              <w:left w:val="nil"/>
              <w:bottom w:val="nil"/>
              <w:right w:val="nil"/>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530,2</w:t>
            </w:r>
          </w:p>
        </w:tc>
      </w:tr>
      <w:tr w:rsidR="005C6C27" w:rsidRPr="001D40B8" w:rsidTr="00E73EF4">
        <w:trPr>
          <w:trHeight w:val="240"/>
        </w:trPr>
        <w:tc>
          <w:tcPr>
            <w:tcW w:w="1072"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2004</w:t>
            </w:r>
          </w:p>
        </w:tc>
        <w:tc>
          <w:tcPr>
            <w:tcW w:w="1070"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28,2</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66,5</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29,1</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15,7</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25,7</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65,3</w:t>
            </w:r>
          </w:p>
        </w:tc>
        <w:tc>
          <w:tcPr>
            <w:tcW w:w="1071" w:type="dxa"/>
            <w:tcBorders>
              <w:top w:val="nil"/>
              <w:left w:val="nil"/>
              <w:bottom w:val="nil"/>
              <w:right w:val="single" w:sz="4" w:space="0" w:color="auto"/>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176,2</w:t>
            </w:r>
          </w:p>
        </w:tc>
        <w:tc>
          <w:tcPr>
            <w:tcW w:w="1071" w:type="dxa"/>
            <w:tcBorders>
              <w:top w:val="nil"/>
              <w:left w:val="nil"/>
              <w:bottom w:val="nil"/>
              <w:right w:val="nil"/>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530,0</w:t>
            </w:r>
          </w:p>
        </w:tc>
      </w:tr>
      <w:tr w:rsidR="005C6C27" w:rsidRPr="001D40B8" w:rsidTr="00E73EF4">
        <w:trPr>
          <w:trHeight w:val="240"/>
        </w:trPr>
        <w:tc>
          <w:tcPr>
            <w:tcW w:w="1072"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2005</w:t>
            </w:r>
          </w:p>
        </w:tc>
        <w:tc>
          <w:tcPr>
            <w:tcW w:w="1070"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25,8</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69,7</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29,2</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14,3</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21,8</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55,8</w:t>
            </w:r>
          </w:p>
        </w:tc>
        <w:tc>
          <w:tcPr>
            <w:tcW w:w="1071" w:type="dxa"/>
            <w:tcBorders>
              <w:top w:val="nil"/>
              <w:left w:val="nil"/>
              <w:bottom w:val="nil"/>
              <w:right w:val="single" w:sz="4" w:space="0" w:color="auto"/>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155,1</w:t>
            </w:r>
          </w:p>
        </w:tc>
        <w:tc>
          <w:tcPr>
            <w:tcW w:w="1071" w:type="dxa"/>
            <w:tcBorders>
              <w:top w:val="nil"/>
              <w:left w:val="nil"/>
              <w:bottom w:val="nil"/>
              <w:right w:val="nil"/>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385,4</w:t>
            </w:r>
          </w:p>
        </w:tc>
      </w:tr>
      <w:tr w:rsidR="005C6C27" w:rsidRPr="001D40B8" w:rsidTr="00E73EF4">
        <w:trPr>
          <w:trHeight w:val="240"/>
        </w:trPr>
        <w:tc>
          <w:tcPr>
            <w:tcW w:w="1072"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2006</w:t>
            </w:r>
          </w:p>
        </w:tc>
        <w:tc>
          <w:tcPr>
            <w:tcW w:w="1070"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23,9</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66,1</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29,1</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13,5</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18,4</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48,4</w:t>
            </w:r>
          </w:p>
        </w:tc>
        <w:tc>
          <w:tcPr>
            <w:tcW w:w="1071" w:type="dxa"/>
            <w:tcBorders>
              <w:top w:val="nil"/>
              <w:left w:val="nil"/>
              <w:bottom w:val="nil"/>
              <w:right w:val="single" w:sz="4" w:space="0" w:color="auto"/>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137,5</w:t>
            </w:r>
          </w:p>
        </w:tc>
        <w:tc>
          <w:tcPr>
            <w:tcW w:w="1071" w:type="dxa"/>
            <w:tcBorders>
              <w:top w:val="nil"/>
              <w:left w:val="nil"/>
              <w:bottom w:val="nil"/>
              <w:right w:val="nil"/>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315,8</w:t>
            </w:r>
          </w:p>
        </w:tc>
      </w:tr>
      <w:tr w:rsidR="005C6C27" w:rsidRPr="001D40B8" w:rsidTr="00E73EF4">
        <w:trPr>
          <w:trHeight w:val="240"/>
        </w:trPr>
        <w:tc>
          <w:tcPr>
            <w:tcW w:w="1072"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2007</w:t>
            </w:r>
          </w:p>
        </w:tc>
        <w:tc>
          <w:tcPr>
            <w:tcW w:w="1070"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22,1</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67,3</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28,8</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12,9</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16,1</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39,9</w:t>
            </w:r>
          </w:p>
        </w:tc>
        <w:tc>
          <w:tcPr>
            <w:tcW w:w="1071" w:type="dxa"/>
            <w:tcBorders>
              <w:top w:val="nil"/>
              <w:left w:val="nil"/>
              <w:bottom w:val="nil"/>
              <w:right w:val="single" w:sz="4" w:space="0" w:color="auto"/>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115,1</w:t>
            </w:r>
          </w:p>
        </w:tc>
        <w:tc>
          <w:tcPr>
            <w:tcW w:w="1071" w:type="dxa"/>
            <w:tcBorders>
              <w:top w:val="nil"/>
              <w:left w:val="nil"/>
              <w:bottom w:val="nil"/>
              <w:right w:val="nil"/>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272,3</w:t>
            </w:r>
          </w:p>
        </w:tc>
      </w:tr>
      <w:tr w:rsidR="005C6C27" w:rsidRPr="001D40B8" w:rsidTr="00E73EF4">
        <w:trPr>
          <w:trHeight w:val="240"/>
        </w:trPr>
        <w:tc>
          <w:tcPr>
            <w:tcW w:w="1072"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2008</w:t>
            </w:r>
          </w:p>
        </w:tc>
        <w:tc>
          <w:tcPr>
            <w:tcW w:w="1070"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21,5</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68,1</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29,3</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12,9</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14,8</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36,0</w:t>
            </w:r>
          </w:p>
        </w:tc>
        <w:tc>
          <w:tcPr>
            <w:tcW w:w="1071" w:type="dxa"/>
            <w:tcBorders>
              <w:top w:val="nil"/>
              <w:left w:val="nil"/>
              <w:bottom w:val="nil"/>
              <w:right w:val="single" w:sz="4" w:space="0" w:color="auto"/>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99,9</w:t>
            </w:r>
          </w:p>
        </w:tc>
        <w:tc>
          <w:tcPr>
            <w:tcW w:w="1071" w:type="dxa"/>
            <w:tcBorders>
              <w:top w:val="nil"/>
              <w:left w:val="nil"/>
              <w:bottom w:val="nil"/>
              <w:right w:val="nil"/>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288,5</w:t>
            </w:r>
          </w:p>
        </w:tc>
      </w:tr>
      <w:tr w:rsidR="005C6C27" w:rsidRPr="001D40B8" w:rsidTr="00E73EF4">
        <w:trPr>
          <w:trHeight w:val="240"/>
        </w:trPr>
        <w:tc>
          <w:tcPr>
            <w:tcW w:w="1072"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2009</w:t>
            </w:r>
          </w:p>
        </w:tc>
        <w:tc>
          <w:tcPr>
            <w:tcW w:w="1070"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20,8</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63,0</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27,6</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12,9</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14,0</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33,0</w:t>
            </w:r>
          </w:p>
        </w:tc>
        <w:tc>
          <w:tcPr>
            <w:tcW w:w="1071" w:type="dxa"/>
            <w:tcBorders>
              <w:top w:val="nil"/>
              <w:left w:val="nil"/>
              <w:bottom w:val="nil"/>
              <w:right w:val="single" w:sz="4" w:space="0" w:color="auto"/>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95,8</w:t>
            </w:r>
          </w:p>
        </w:tc>
        <w:tc>
          <w:tcPr>
            <w:tcW w:w="1071" w:type="dxa"/>
            <w:tcBorders>
              <w:top w:val="nil"/>
              <w:left w:val="nil"/>
              <w:bottom w:val="nil"/>
              <w:right w:val="nil"/>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255,1</w:t>
            </w:r>
          </w:p>
        </w:tc>
      </w:tr>
      <w:tr w:rsidR="005C6C27" w:rsidRPr="001D40B8" w:rsidTr="00E73EF4">
        <w:trPr>
          <w:trHeight w:val="240"/>
        </w:trPr>
        <w:tc>
          <w:tcPr>
            <w:tcW w:w="1072"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2010</w:t>
            </w:r>
          </w:p>
        </w:tc>
        <w:tc>
          <w:tcPr>
            <w:tcW w:w="1070"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20,4</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60,6</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27,7</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13,1</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13,3</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31,2</w:t>
            </w:r>
          </w:p>
        </w:tc>
        <w:tc>
          <w:tcPr>
            <w:tcW w:w="1071" w:type="dxa"/>
            <w:tcBorders>
              <w:top w:val="nil"/>
              <w:left w:val="nil"/>
              <w:bottom w:val="nil"/>
              <w:right w:val="single" w:sz="4" w:space="0" w:color="auto"/>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89,8</w:t>
            </w:r>
          </w:p>
        </w:tc>
        <w:tc>
          <w:tcPr>
            <w:tcW w:w="1071" w:type="dxa"/>
            <w:tcBorders>
              <w:top w:val="nil"/>
              <w:left w:val="nil"/>
              <w:bottom w:val="nil"/>
              <w:right w:val="nil"/>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219,3</w:t>
            </w:r>
          </w:p>
        </w:tc>
      </w:tr>
      <w:tr w:rsidR="005C6C27" w:rsidRPr="001D40B8" w:rsidTr="00E73EF4">
        <w:trPr>
          <w:trHeight w:val="240"/>
        </w:trPr>
        <w:tc>
          <w:tcPr>
            <w:tcW w:w="1072"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2011</w:t>
            </w:r>
          </w:p>
        </w:tc>
        <w:tc>
          <w:tcPr>
            <w:tcW w:w="1070"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22,1</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63,0</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31,3</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14,4</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14,2</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31,5</w:t>
            </w:r>
          </w:p>
        </w:tc>
        <w:tc>
          <w:tcPr>
            <w:tcW w:w="1071" w:type="dxa"/>
            <w:tcBorders>
              <w:top w:val="nil"/>
              <w:left w:val="nil"/>
              <w:bottom w:val="nil"/>
              <w:right w:val="single" w:sz="4" w:space="0" w:color="auto"/>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89,6</w:t>
            </w:r>
          </w:p>
        </w:tc>
        <w:tc>
          <w:tcPr>
            <w:tcW w:w="1071" w:type="dxa"/>
            <w:tcBorders>
              <w:top w:val="nil"/>
              <w:left w:val="nil"/>
              <w:bottom w:val="nil"/>
              <w:right w:val="nil"/>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179,2</w:t>
            </w:r>
          </w:p>
        </w:tc>
      </w:tr>
      <w:tr w:rsidR="005C6C27" w:rsidRPr="001D40B8" w:rsidTr="00E73EF4">
        <w:trPr>
          <w:trHeight w:val="240"/>
        </w:trPr>
        <w:tc>
          <w:tcPr>
            <w:tcW w:w="1072"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2012</w:t>
            </w:r>
          </w:p>
        </w:tc>
        <w:tc>
          <w:tcPr>
            <w:tcW w:w="1070"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21,1</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56,3</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30,4</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14,2</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13,5</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29,2</w:t>
            </w:r>
          </w:p>
        </w:tc>
        <w:tc>
          <w:tcPr>
            <w:tcW w:w="1071" w:type="dxa"/>
            <w:tcBorders>
              <w:top w:val="nil"/>
              <w:left w:val="nil"/>
              <w:bottom w:val="nil"/>
              <w:right w:val="single" w:sz="4" w:space="0" w:color="auto"/>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79,4</w:t>
            </w:r>
          </w:p>
        </w:tc>
        <w:tc>
          <w:tcPr>
            <w:tcW w:w="1071" w:type="dxa"/>
            <w:tcBorders>
              <w:top w:val="nil"/>
              <w:left w:val="nil"/>
              <w:bottom w:val="nil"/>
              <w:right w:val="nil"/>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172,7</w:t>
            </w:r>
          </w:p>
        </w:tc>
      </w:tr>
      <w:tr w:rsidR="005C6C27" w:rsidRPr="001D40B8" w:rsidTr="00E73EF4">
        <w:trPr>
          <w:trHeight w:val="240"/>
        </w:trPr>
        <w:tc>
          <w:tcPr>
            <w:tcW w:w="1072"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2013</w:t>
            </w:r>
          </w:p>
        </w:tc>
        <w:tc>
          <w:tcPr>
            <w:tcW w:w="1070"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21,2</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61,1</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30,6</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14,6</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13,2</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28,0</w:t>
            </w:r>
          </w:p>
        </w:tc>
        <w:tc>
          <w:tcPr>
            <w:tcW w:w="1071" w:type="dxa"/>
            <w:tcBorders>
              <w:top w:val="nil"/>
              <w:left w:val="nil"/>
              <w:bottom w:val="nil"/>
              <w:right w:val="single" w:sz="4" w:space="0" w:color="auto"/>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71,8</w:t>
            </w:r>
          </w:p>
        </w:tc>
        <w:tc>
          <w:tcPr>
            <w:tcW w:w="1071" w:type="dxa"/>
            <w:tcBorders>
              <w:top w:val="nil"/>
              <w:left w:val="nil"/>
              <w:bottom w:val="nil"/>
              <w:right w:val="nil"/>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146,0</w:t>
            </w:r>
          </w:p>
        </w:tc>
      </w:tr>
      <w:tr w:rsidR="005C6C27" w:rsidRPr="001D40B8" w:rsidTr="00E73EF4">
        <w:trPr>
          <w:trHeight w:val="240"/>
        </w:trPr>
        <w:tc>
          <w:tcPr>
            <w:tcW w:w="1072"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2014</w:t>
            </w:r>
          </w:p>
        </w:tc>
        <w:tc>
          <w:tcPr>
            <w:tcW w:w="1070"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19,9</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54,7</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28,7</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13,5</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12,5</w:t>
            </w:r>
          </w:p>
        </w:tc>
        <w:tc>
          <w:tcPr>
            <w:tcW w:w="1071" w:type="dxa"/>
            <w:tcBorders>
              <w:top w:val="nil"/>
              <w:left w:val="nil"/>
              <w:bottom w:val="nil"/>
              <w:right w:val="single" w:sz="4" w:space="0" w:color="auto"/>
            </w:tcBorders>
            <w:shd w:val="clear" w:color="FFFFFF" w:fill="FFFFFF"/>
            <w:noWrap/>
            <w:vAlign w:val="bottom"/>
            <w:hideMark/>
          </w:tcPr>
          <w:p w:rsidR="005C6C27" w:rsidRPr="001D40B8" w:rsidRDefault="005C6C27" w:rsidP="00E73EF4">
            <w:pPr>
              <w:spacing w:line="240" w:lineRule="auto"/>
              <w:jc w:val="center"/>
              <w:rPr>
                <w:rFonts w:cs="Arial"/>
                <w:sz w:val="16"/>
                <w:szCs w:val="16"/>
              </w:rPr>
            </w:pPr>
            <w:r w:rsidRPr="001D40B8">
              <w:rPr>
                <w:rFonts w:cs="Arial"/>
                <w:sz w:val="16"/>
                <w:szCs w:val="16"/>
              </w:rPr>
              <w:t>25,3</w:t>
            </w:r>
          </w:p>
        </w:tc>
        <w:tc>
          <w:tcPr>
            <w:tcW w:w="1071" w:type="dxa"/>
            <w:tcBorders>
              <w:top w:val="nil"/>
              <w:left w:val="nil"/>
              <w:bottom w:val="nil"/>
              <w:right w:val="single" w:sz="4" w:space="0" w:color="auto"/>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74,0</w:t>
            </w:r>
          </w:p>
        </w:tc>
        <w:tc>
          <w:tcPr>
            <w:tcW w:w="1071" w:type="dxa"/>
            <w:tcBorders>
              <w:top w:val="nil"/>
              <w:left w:val="nil"/>
              <w:bottom w:val="nil"/>
              <w:right w:val="nil"/>
            </w:tcBorders>
            <w:shd w:val="clear" w:color="FFFFFF" w:fill="FFFFFF"/>
            <w:noWrap/>
            <w:tcMar>
              <w:right w:w="340" w:type="dxa"/>
            </w:tcMar>
            <w:vAlign w:val="bottom"/>
            <w:hideMark/>
          </w:tcPr>
          <w:p w:rsidR="005C6C27" w:rsidRPr="001D40B8" w:rsidRDefault="005C6C27" w:rsidP="00E73EF4">
            <w:pPr>
              <w:spacing w:line="240" w:lineRule="auto"/>
              <w:jc w:val="right"/>
              <w:rPr>
                <w:rFonts w:cs="Arial"/>
                <w:sz w:val="16"/>
                <w:szCs w:val="16"/>
              </w:rPr>
            </w:pPr>
            <w:r w:rsidRPr="001D40B8">
              <w:rPr>
                <w:rFonts w:cs="Arial"/>
                <w:sz w:val="16"/>
                <w:szCs w:val="16"/>
              </w:rPr>
              <w:t>117,0</w:t>
            </w:r>
          </w:p>
        </w:tc>
      </w:tr>
    </w:tbl>
    <w:p w:rsidR="005C6C27" w:rsidRDefault="005C6C27" w:rsidP="005C6C27">
      <w:pPr>
        <w:rPr>
          <w:rStyle w:val="Siln"/>
          <w:b w:val="0"/>
          <w:i/>
          <w:sz w:val="16"/>
          <w:szCs w:val="16"/>
        </w:rPr>
      </w:pPr>
    </w:p>
    <w:p w:rsidR="005C6C27" w:rsidRPr="00C96072" w:rsidRDefault="005C6C27" w:rsidP="005C6C27">
      <w:pPr>
        <w:jc w:val="both"/>
        <w:rPr>
          <w:rStyle w:val="Siln"/>
          <w:b w:val="0"/>
        </w:rPr>
      </w:pPr>
    </w:p>
    <w:p w:rsidR="005C6C27" w:rsidRDefault="005C6C27" w:rsidP="005C6C27">
      <w:pPr>
        <w:tabs>
          <w:tab w:val="left" w:pos="990"/>
        </w:tabs>
        <w:spacing w:after="60"/>
        <w:jc w:val="both"/>
        <w:rPr>
          <w:rStyle w:val="Siln"/>
          <w:b w:val="0"/>
        </w:rPr>
      </w:pPr>
      <w:r w:rsidRPr="001F1896">
        <w:rPr>
          <w:rStyle w:val="Siln"/>
          <w:b w:val="0"/>
        </w:rPr>
        <w:t>Podíl těhotenství</w:t>
      </w:r>
      <w:r>
        <w:rPr>
          <w:rStyle w:val="Siln"/>
          <w:b w:val="0"/>
        </w:rPr>
        <w:t xml:space="preserve"> končících potratem byl také nejvyšší v nejmladších a nejstarších věkových kategoriích. V roce 2004 více než v polovině případů skončilo těhotenství potratem u žen v nejmladších věkových kategoriích a u žen starších 40 let. Výrazně se ve sledovaném období snížil podíl těhotenství končících potratem u žen ve věku 27 let a více, u žen ve věku okolo 35 let dokonce téměř o polovinu. Za tímto vývojem stojí zejména pokles zastoupení těhotenství končících UPT v těchto věkových skupinách. Nejnižší hodnoty tohoto ukazatele v roce 2014 byly zaznamenány ve věku okolo 30 let, a to jak v případě všech potratů (zhruba 17 %), tak i pouze u indukovaných potratů (okolo 9 %). </w:t>
      </w:r>
    </w:p>
    <w:p w:rsidR="005C6C27" w:rsidRDefault="005C6C27" w:rsidP="005C6C27">
      <w:pPr>
        <w:tabs>
          <w:tab w:val="left" w:pos="990"/>
        </w:tabs>
        <w:spacing w:after="60"/>
        <w:jc w:val="both"/>
        <w:rPr>
          <w:rStyle w:val="Siln"/>
          <w:b w:val="0"/>
        </w:rPr>
      </w:pPr>
    </w:p>
    <w:p w:rsidR="005C6C27" w:rsidRPr="001F1896" w:rsidRDefault="005C6C27" w:rsidP="005C6C27">
      <w:pPr>
        <w:tabs>
          <w:tab w:val="left" w:pos="990"/>
        </w:tabs>
        <w:spacing w:after="60"/>
        <w:jc w:val="both"/>
        <w:rPr>
          <w:rStyle w:val="Siln"/>
          <w:b w:val="0"/>
        </w:rPr>
      </w:pPr>
      <w:r>
        <w:rPr>
          <w:rStyle w:val="Siln"/>
          <w:b w:val="0"/>
        </w:rPr>
        <w:t xml:space="preserve">V případě samovolných potratů se podíl takto ukončených těhotenství pohyboval v roce 2014 mezi 7,3–9,3 % až do věku 34 let. Následně s věkem výrazně rostl až k hodnotám okolo 30 % a více ke konci reprodukčního období. </w:t>
      </w:r>
    </w:p>
    <w:p w:rsidR="005C6C27" w:rsidRPr="005D2852" w:rsidRDefault="005C6C27" w:rsidP="005C6C27">
      <w:pPr>
        <w:jc w:val="both"/>
        <w:rPr>
          <w:rStyle w:val="Siln"/>
          <w:b w:val="0"/>
        </w:rPr>
      </w:pPr>
    </w:p>
    <w:p w:rsidR="005C6C27" w:rsidRDefault="005C6C27" w:rsidP="005C6C27">
      <w:pPr>
        <w:spacing w:after="60"/>
        <w:rPr>
          <w:b/>
        </w:rPr>
      </w:pPr>
      <w:r>
        <w:rPr>
          <w:b/>
        </w:rPr>
        <w:t>Graf 4</w:t>
      </w:r>
      <w:r w:rsidRPr="000A3F77">
        <w:rPr>
          <w:b/>
        </w:rPr>
        <w:t xml:space="preserve"> </w:t>
      </w:r>
      <w:r w:rsidRPr="00A258A7">
        <w:rPr>
          <w:b/>
        </w:rPr>
        <w:t>Podíl těhotenství končíc</w:t>
      </w:r>
      <w:r>
        <w:rPr>
          <w:b/>
        </w:rPr>
        <w:t>ích potratem podle věku ženy (v </w:t>
      </w:r>
      <w:r w:rsidRPr="00A258A7">
        <w:rPr>
          <w:b/>
        </w:rPr>
        <w:t>%), 2003 a 2014</w:t>
      </w:r>
    </w:p>
    <w:p w:rsidR="005C6C27" w:rsidRDefault="005A7E8A" w:rsidP="005C6C27">
      <w:pPr>
        <w:tabs>
          <w:tab w:val="left" w:pos="990"/>
        </w:tabs>
        <w:spacing w:after="60"/>
        <w:rPr>
          <w:rStyle w:val="Siln"/>
        </w:rPr>
      </w:pPr>
      <w:r w:rsidRPr="005A7E8A">
        <w:rPr>
          <w:noProof/>
        </w:rPr>
        <w:pict>
          <v:shape id="_x0000_s1128" type="#_x0000_t75" style="position:absolute;margin-left:0;margin-top:-.55pt;width:483.45pt;height:256.3pt;z-index:1">
            <v:imagedata r:id="rId9" o:title=""/>
          </v:shape>
        </w:pict>
      </w:r>
    </w:p>
    <w:p w:rsidR="005C6C27" w:rsidRPr="00A22E33" w:rsidRDefault="005C6C27" w:rsidP="005C6C27"/>
    <w:p w:rsidR="005C6C27" w:rsidRPr="00A22E33" w:rsidRDefault="005C6C27" w:rsidP="005C6C27"/>
    <w:p w:rsidR="005C6C27" w:rsidRPr="00A22E33" w:rsidRDefault="005C6C27" w:rsidP="005C6C27"/>
    <w:p w:rsidR="005C6C27" w:rsidRPr="00A22E33" w:rsidRDefault="005C6C27" w:rsidP="005C6C27"/>
    <w:p w:rsidR="005C6C27" w:rsidRDefault="005C6C27" w:rsidP="005C6C27"/>
    <w:p w:rsidR="005C6C27" w:rsidRDefault="005C6C27" w:rsidP="005C6C27"/>
    <w:p w:rsidR="005C6C27" w:rsidRDefault="005C6C27" w:rsidP="005C6C27"/>
    <w:p w:rsidR="005C6C27" w:rsidRDefault="005C6C27" w:rsidP="005C6C27"/>
    <w:p w:rsidR="005C6C27" w:rsidRDefault="005C6C27" w:rsidP="005C6C27"/>
    <w:p w:rsidR="005C6C27" w:rsidRPr="00A22E33" w:rsidRDefault="005C6C27" w:rsidP="005C6C27"/>
    <w:p w:rsidR="005C6C27" w:rsidRPr="00A22E33" w:rsidRDefault="005C6C27" w:rsidP="005C6C27"/>
    <w:p w:rsidR="005C6C27" w:rsidRPr="00A22E33" w:rsidRDefault="005C6C27" w:rsidP="005C6C27"/>
    <w:p w:rsidR="005C6C27" w:rsidRPr="00A22E33" w:rsidRDefault="005C6C27" w:rsidP="005C6C27"/>
    <w:p w:rsidR="005C6C27" w:rsidRPr="00A22E33" w:rsidRDefault="005C6C27" w:rsidP="005C6C27"/>
    <w:p w:rsidR="005C6C27" w:rsidRPr="00A22E33" w:rsidRDefault="005C6C27" w:rsidP="005C6C27"/>
    <w:p w:rsidR="005C6C27" w:rsidRPr="00A22E33" w:rsidRDefault="005C6C27" w:rsidP="005C6C27"/>
    <w:p w:rsidR="005C6C27" w:rsidRPr="00A22E33" w:rsidRDefault="005C6C27" w:rsidP="005C6C27"/>
    <w:p w:rsidR="005C6C27" w:rsidRPr="00A22E33" w:rsidRDefault="005C6C27" w:rsidP="005C6C27"/>
    <w:p w:rsidR="005C6C27" w:rsidRDefault="005C6C27" w:rsidP="005C6C27">
      <w:pPr>
        <w:pStyle w:val="Nadpis1"/>
      </w:pPr>
      <w:bookmarkStart w:id="5" w:name="_Toc435002876"/>
      <w:bookmarkStart w:id="6" w:name="_Toc435003632"/>
    </w:p>
    <w:p w:rsidR="005C6C27" w:rsidRDefault="005C6C27" w:rsidP="005C6C27">
      <w:pPr>
        <w:pStyle w:val="Nadpis1"/>
      </w:pPr>
    </w:p>
    <w:p w:rsidR="005C6C27" w:rsidRDefault="005C6C27" w:rsidP="005C6C27">
      <w:pPr>
        <w:pStyle w:val="Nadpis1"/>
      </w:pPr>
    </w:p>
    <w:p w:rsidR="005C6C27" w:rsidRDefault="005C6C27" w:rsidP="005C6C27">
      <w:pPr>
        <w:pStyle w:val="Nadpis1"/>
      </w:pPr>
    </w:p>
    <w:p w:rsidR="005C6C27" w:rsidRDefault="005C6C27" w:rsidP="005C6C27">
      <w:pPr>
        <w:pStyle w:val="Nadpis1"/>
      </w:pPr>
    </w:p>
    <w:p w:rsidR="005C6C27" w:rsidRDefault="005C6C27" w:rsidP="005C6C27">
      <w:pPr>
        <w:pStyle w:val="Nadpis1"/>
      </w:pPr>
    </w:p>
    <w:p w:rsidR="005C6C27" w:rsidRDefault="005C6C27" w:rsidP="005C6C27">
      <w:pPr>
        <w:pStyle w:val="Nadpis1"/>
      </w:pPr>
    </w:p>
    <w:p w:rsidR="005C6C27" w:rsidRDefault="005C6C27" w:rsidP="005C6C27">
      <w:pPr>
        <w:pStyle w:val="Nadpis1"/>
      </w:pPr>
    </w:p>
    <w:p w:rsidR="005C6C27" w:rsidRDefault="005C6C27" w:rsidP="005C6C27">
      <w:pPr>
        <w:pStyle w:val="Nadpis1"/>
      </w:pPr>
    </w:p>
    <w:p w:rsidR="005C6C27" w:rsidRDefault="005C6C27" w:rsidP="005C6C27"/>
    <w:bookmarkEnd w:id="0"/>
    <w:bookmarkEnd w:id="1"/>
    <w:bookmarkEnd w:id="2"/>
    <w:bookmarkEnd w:id="3"/>
    <w:bookmarkEnd w:id="5"/>
    <w:bookmarkEnd w:id="6"/>
    <w:p w:rsidR="005C6C27" w:rsidRDefault="005C6C27" w:rsidP="005C6C27"/>
    <w:sectPr w:rsidR="005C6C27" w:rsidSect="00064696">
      <w:headerReference w:type="even" r:id="rId10"/>
      <w:headerReference w:type="default" r:id="rId11"/>
      <w:footerReference w:type="even" r:id="rId12"/>
      <w:footerReference w:type="default" r:id="rId13"/>
      <w:pgSz w:w="11906" w:h="16838" w:code="9"/>
      <w:pgMar w:top="1134" w:right="1134" w:bottom="1418" w:left="1134" w:header="680" w:footer="680"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33D" w:rsidRDefault="00AE433D" w:rsidP="00E71A58">
      <w:r>
        <w:separator/>
      </w:r>
    </w:p>
  </w:endnote>
  <w:endnote w:type="continuationSeparator" w:id="0">
    <w:p w:rsidR="00AE433D" w:rsidRDefault="00AE433D" w:rsidP="00E71A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AC" w:rsidRDefault="005A7E8A" w:rsidP="003A6B38">
    <w:pPr>
      <w:pStyle w:val="Zpat"/>
      <w:tabs>
        <w:tab w:val="clear" w:pos="4536"/>
        <w:tab w:val="clear" w:pos="9072"/>
        <w:tab w:val="center" w:pos="4820"/>
        <w:tab w:val="right" w:pos="9639"/>
      </w:tabs>
    </w:pPr>
    <w:r w:rsidRPr="005A7E8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visibility:visible">
          <v:imagedata r:id="rId1" o:title="3"/>
        </v:shape>
      </w:pict>
    </w:r>
    <w:r w:rsidRPr="005A21E0">
      <w:rPr>
        <w:rFonts w:ascii="Arial" w:hAnsi="Arial" w:cs="Arial"/>
        <w:sz w:val="16"/>
        <w:szCs w:val="16"/>
      </w:rPr>
      <w:fldChar w:fldCharType="begin"/>
    </w:r>
    <w:r w:rsidR="008338AC" w:rsidRPr="005A21E0">
      <w:rPr>
        <w:rFonts w:ascii="Arial" w:hAnsi="Arial" w:cs="Arial"/>
        <w:sz w:val="16"/>
        <w:szCs w:val="16"/>
      </w:rPr>
      <w:instrText>PAGE   \* MERGEFORMAT</w:instrText>
    </w:r>
    <w:r w:rsidRPr="005A21E0">
      <w:rPr>
        <w:rFonts w:ascii="Arial" w:hAnsi="Arial" w:cs="Arial"/>
        <w:sz w:val="16"/>
        <w:szCs w:val="16"/>
      </w:rPr>
      <w:fldChar w:fldCharType="separate"/>
    </w:r>
    <w:r w:rsidR="00064696">
      <w:rPr>
        <w:rFonts w:ascii="Arial" w:hAnsi="Arial" w:cs="Arial"/>
        <w:noProof/>
        <w:sz w:val="16"/>
        <w:szCs w:val="16"/>
      </w:rPr>
      <w:t>10</w:t>
    </w:r>
    <w:r w:rsidRPr="005A21E0">
      <w:rPr>
        <w:rFonts w:ascii="Arial" w:hAnsi="Arial" w:cs="Arial"/>
        <w:sz w:val="16"/>
        <w:szCs w:val="16"/>
      </w:rPr>
      <w:fldChar w:fldCharType="end"/>
    </w:r>
    <w:r w:rsidR="008338AC">
      <w:rPr>
        <w:rFonts w:ascii="Arial" w:hAnsi="Arial" w:cs="Arial"/>
        <w:sz w:val="16"/>
        <w:szCs w:val="16"/>
      </w:rPr>
      <w:tab/>
      <w:t>2003 - 2014</w:t>
    </w:r>
    <w:r w:rsidR="008338AC">
      <w:tab/>
    </w:r>
    <w:r w:rsidR="008338AC">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AC" w:rsidRDefault="005A7E8A" w:rsidP="003A6B38">
    <w:pPr>
      <w:pStyle w:val="Zpat"/>
      <w:tabs>
        <w:tab w:val="clear" w:pos="4536"/>
        <w:tab w:val="clear" w:pos="9072"/>
        <w:tab w:val="left" w:pos="1134"/>
        <w:tab w:val="left" w:pos="1920"/>
        <w:tab w:val="center" w:pos="4820"/>
        <w:tab w:val="right" w:pos="9639"/>
      </w:tabs>
    </w:pPr>
    <w:r w:rsidRPr="005A7E8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Description: 3" style="position:absolute;margin-left:.3pt;margin-top:7.1pt;width:39pt;height:21pt;z-index:1;visibility:visible">
          <v:imagedata r:id="rId1" o:title="3"/>
        </v:shape>
      </w:pict>
    </w:r>
    <w:r w:rsidR="008338AC">
      <w:tab/>
    </w:r>
    <w:r w:rsidR="008338AC">
      <w:tab/>
    </w:r>
    <w:r w:rsidR="008338AC" w:rsidRPr="00DC5B3B">
      <w:t xml:space="preserve">                              </w:t>
    </w:r>
  </w:p>
  <w:p w:rsidR="008338AC" w:rsidRDefault="008338AC"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2003 - 2014</w:t>
    </w:r>
    <w:r>
      <w:tab/>
    </w:r>
    <w:r>
      <w:tab/>
    </w:r>
    <w:r w:rsidR="005A7E8A" w:rsidRPr="00B6608F">
      <w:rPr>
        <w:rFonts w:ascii="Arial" w:hAnsi="Arial" w:cs="Arial"/>
        <w:sz w:val="16"/>
        <w:szCs w:val="16"/>
      </w:rPr>
      <w:fldChar w:fldCharType="begin"/>
    </w:r>
    <w:r w:rsidRPr="00B6608F">
      <w:rPr>
        <w:rFonts w:ascii="Arial" w:hAnsi="Arial" w:cs="Arial"/>
        <w:sz w:val="16"/>
        <w:szCs w:val="16"/>
      </w:rPr>
      <w:instrText>PAGE   \* MERGEFORMAT</w:instrText>
    </w:r>
    <w:r w:rsidR="005A7E8A" w:rsidRPr="00B6608F">
      <w:rPr>
        <w:rFonts w:ascii="Arial" w:hAnsi="Arial" w:cs="Arial"/>
        <w:sz w:val="16"/>
        <w:szCs w:val="16"/>
      </w:rPr>
      <w:fldChar w:fldCharType="separate"/>
    </w:r>
    <w:r w:rsidR="00064696">
      <w:rPr>
        <w:rFonts w:ascii="Arial" w:hAnsi="Arial" w:cs="Arial"/>
        <w:noProof/>
        <w:sz w:val="16"/>
        <w:szCs w:val="16"/>
      </w:rPr>
      <w:t>11</w:t>
    </w:r>
    <w:r w:rsidR="005A7E8A"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33D" w:rsidRDefault="00AE433D" w:rsidP="00E71A58">
      <w:r>
        <w:separator/>
      </w:r>
    </w:p>
  </w:footnote>
  <w:footnote w:type="continuationSeparator" w:id="0">
    <w:p w:rsidR="00AE433D" w:rsidRDefault="00AE433D"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AC" w:rsidRPr="00274C52" w:rsidRDefault="008338AC" w:rsidP="00274C5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potratovosti v České republice 2003 - 2014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AC" w:rsidRPr="00DC5B3B" w:rsidRDefault="008338AC"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potratovosti v České republice 2003 - 2014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evenAndOddHeaders/>
  <w:drawingGridHorizontalSpacing w:val="110"/>
  <w:displayHorizontalDrawingGridEvery w:val="2"/>
  <w:characterSpacingControl w:val="doNotCompress"/>
  <w:hdrShapeDefaults>
    <o:shapedefaults v:ext="edit" spidmax="8194">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3560"/>
    <w:rsid w:val="0000767A"/>
    <w:rsid w:val="00010702"/>
    <w:rsid w:val="00012FC8"/>
    <w:rsid w:val="00017772"/>
    <w:rsid w:val="000201C7"/>
    <w:rsid w:val="00034244"/>
    <w:rsid w:val="00036285"/>
    <w:rsid w:val="0004352A"/>
    <w:rsid w:val="0004411B"/>
    <w:rsid w:val="0004694F"/>
    <w:rsid w:val="0005216C"/>
    <w:rsid w:val="000521A2"/>
    <w:rsid w:val="00054EE5"/>
    <w:rsid w:val="00062EC5"/>
    <w:rsid w:val="00064696"/>
    <w:rsid w:val="00064A6E"/>
    <w:rsid w:val="00065E26"/>
    <w:rsid w:val="0007196B"/>
    <w:rsid w:val="0007321F"/>
    <w:rsid w:val="00076502"/>
    <w:rsid w:val="00077995"/>
    <w:rsid w:val="000806A9"/>
    <w:rsid w:val="00087634"/>
    <w:rsid w:val="00087715"/>
    <w:rsid w:val="0009023E"/>
    <w:rsid w:val="000A1183"/>
    <w:rsid w:val="000A2408"/>
    <w:rsid w:val="000A3F77"/>
    <w:rsid w:val="000A7662"/>
    <w:rsid w:val="000B053B"/>
    <w:rsid w:val="000C2C9A"/>
    <w:rsid w:val="000C310C"/>
    <w:rsid w:val="000C3408"/>
    <w:rsid w:val="000C43DD"/>
    <w:rsid w:val="000C5D85"/>
    <w:rsid w:val="000D21E1"/>
    <w:rsid w:val="000D68B0"/>
    <w:rsid w:val="000F7F9F"/>
    <w:rsid w:val="001019DD"/>
    <w:rsid w:val="00103C72"/>
    <w:rsid w:val="00104C56"/>
    <w:rsid w:val="00105A44"/>
    <w:rsid w:val="0010609D"/>
    <w:rsid w:val="001134D8"/>
    <w:rsid w:val="001142C0"/>
    <w:rsid w:val="00122EB1"/>
    <w:rsid w:val="00123F17"/>
    <w:rsid w:val="001405FA"/>
    <w:rsid w:val="00140CDB"/>
    <w:rsid w:val="001425C3"/>
    <w:rsid w:val="0014699C"/>
    <w:rsid w:val="00147AF4"/>
    <w:rsid w:val="00154804"/>
    <w:rsid w:val="00157A9A"/>
    <w:rsid w:val="00163793"/>
    <w:rsid w:val="00164656"/>
    <w:rsid w:val="00170A75"/>
    <w:rsid w:val="001714F2"/>
    <w:rsid w:val="00172C9E"/>
    <w:rsid w:val="001806E5"/>
    <w:rsid w:val="00184F85"/>
    <w:rsid w:val="00185010"/>
    <w:rsid w:val="00192398"/>
    <w:rsid w:val="0019266C"/>
    <w:rsid w:val="00193560"/>
    <w:rsid w:val="00194A4D"/>
    <w:rsid w:val="001A1EEC"/>
    <w:rsid w:val="001A552F"/>
    <w:rsid w:val="001A6F8E"/>
    <w:rsid w:val="001B18F3"/>
    <w:rsid w:val="001B3110"/>
    <w:rsid w:val="001B44D9"/>
    <w:rsid w:val="001C2FEE"/>
    <w:rsid w:val="001C3F3F"/>
    <w:rsid w:val="001C4C5E"/>
    <w:rsid w:val="001D2B72"/>
    <w:rsid w:val="001D40B8"/>
    <w:rsid w:val="001D434C"/>
    <w:rsid w:val="001F01BA"/>
    <w:rsid w:val="001F1896"/>
    <w:rsid w:val="001F2FE0"/>
    <w:rsid w:val="001F375B"/>
    <w:rsid w:val="001F4597"/>
    <w:rsid w:val="001F511B"/>
    <w:rsid w:val="00200781"/>
    <w:rsid w:val="002029A2"/>
    <w:rsid w:val="00204CF0"/>
    <w:rsid w:val="00206968"/>
    <w:rsid w:val="00210AA5"/>
    <w:rsid w:val="00212167"/>
    <w:rsid w:val="00212BF7"/>
    <w:rsid w:val="00215DF1"/>
    <w:rsid w:val="00217A09"/>
    <w:rsid w:val="0022082C"/>
    <w:rsid w:val="0022139E"/>
    <w:rsid w:val="002252E0"/>
    <w:rsid w:val="002255F6"/>
    <w:rsid w:val="00236443"/>
    <w:rsid w:val="002436BA"/>
    <w:rsid w:val="00244A15"/>
    <w:rsid w:val="0024799E"/>
    <w:rsid w:val="002503C2"/>
    <w:rsid w:val="00252CA7"/>
    <w:rsid w:val="00260890"/>
    <w:rsid w:val="00264437"/>
    <w:rsid w:val="00264C1E"/>
    <w:rsid w:val="00274C52"/>
    <w:rsid w:val="00296D2C"/>
    <w:rsid w:val="00297DC1"/>
    <w:rsid w:val="002A185B"/>
    <w:rsid w:val="002A783F"/>
    <w:rsid w:val="002A7DC7"/>
    <w:rsid w:val="002B0FEE"/>
    <w:rsid w:val="002B31EC"/>
    <w:rsid w:val="002B4710"/>
    <w:rsid w:val="002B506E"/>
    <w:rsid w:val="002C43BD"/>
    <w:rsid w:val="002C7008"/>
    <w:rsid w:val="002D3CD5"/>
    <w:rsid w:val="002E02A1"/>
    <w:rsid w:val="002E114F"/>
    <w:rsid w:val="002E1B28"/>
    <w:rsid w:val="002E2E25"/>
    <w:rsid w:val="002E5906"/>
    <w:rsid w:val="002F2EF8"/>
    <w:rsid w:val="002F3A5D"/>
    <w:rsid w:val="0030026E"/>
    <w:rsid w:val="00304771"/>
    <w:rsid w:val="00306C5B"/>
    <w:rsid w:val="00311FE4"/>
    <w:rsid w:val="003209D6"/>
    <w:rsid w:val="003218AA"/>
    <w:rsid w:val="003240B7"/>
    <w:rsid w:val="00326E0A"/>
    <w:rsid w:val="00332124"/>
    <w:rsid w:val="003379B0"/>
    <w:rsid w:val="00361D8F"/>
    <w:rsid w:val="003657F3"/>
    <w:rsid w:val="00371ACE"/>
    <w:rsid w:val="0037516B"/>
    <w:rsid w:val="003755D9"/>
    <w:rsid w:val="00375620"/>
    <w:rsid w:val="00375CAA"/>
    <w:rsid w:val="00376E97"/>
    <w:rsid w:val="00381095"/>
    <w:rsid w:val="00385358"/>
    <w:rsid w:val="00385D98"/>
    <w:rsid w:val="003A2B4D"/>
    <w:rsid w:val="003A478C"/>
    <w:rsid w:val="003A5525"/>
    <w:rsid w:val="003A6B38"/>
    <w:rsid w:val="003B52BF"/>
    <w:rsid w:val="003B572A"/>
    <w:rsid w:val="003B5A32"/>
    <w:rsid w:val="003B6464"/>
    <w:rsid w:val="003C18AA"/>
    <w:rsid w:val="003C3D67"/>
    <w:rsid w:val="003C6CC2"/>
    <w:rsid w:val="003D7A50"/>
    <w:rsid w:val="003E0A11"/>
    <w:rsid w:val="003E197C"/>
    <w:rsid w:val="003E5477"/>
    <w:rsid w:val="003E5CB3"/>
    <w:rsid w:val="003F313C"/>
    <w:rsid w:val="003F34E0"/>
    <w:rsid w:val="003F69F1"/>
    <w:rsid w:val="004004F4"/>
    <w:rsid w:val="0040649E"/>
    <w:rsid w:val="0040650A"/>
    <w:rsid w:val="00411D86"/>
    <w:rsid w:val="00415DA1"/>
    <w:rsid w:val="004170E6"/>
    <w:rsid w:val="004355AF"/>
    <w:rsid w:val="0043661A"/>
    <w:rsid w:val="00436FFB"/>
    <w:rsid w:val="00445A62"/>
    <w:rsid w:val="0044703E"/>
    <w:rsid w:val="00460DDC"/>
    <w:rsid w:val="004667A9"/>
    <w:rsid w:val="00467479"/>
    <w:rsid w:val="00476265"/>
    <w:rsid w:val="0048086F"/>
    <w:rsid w:val="0048139F"/>
    <w:rsid w:val="0048153A"/>
    <w:rsid w:val="0048205E"/>
    <w:rsid w:val="00483998"/>
    <w:rsid w:val="004860D8"/>
    <w:rsid w:val="004913E7"/>
    <w:rsid w:val="0049170D"/>
    <w:rsid w:val="00495423"/>
    <w:rsid w:val="004A1370"/>
    <w:rsid w:val="004A77DF"/>
    <w:rsid w:val="004B520D"/>
    <w:rsid w:val="004B55B7"/>
    <w:rsid w:val="004B5666"/>
    <w:rsid w:val="004B6341"/>
    <w:rsid w:val="004B636E"/>
    <w:rsid w:val="004B6F16"/>
    <w:rsid w:val="004C108A"/>
    <w:rsid w:val="004C1616"/>
    <w:rsid w:val="004C3867"/>
    <w:rsid w:val="004C4CD0"/>
    <w:rsid w:val="004C70DC"/>
    <w:rsid w:val="004D0211"/>
    <w:rsid w:val="004D1956"/>
    <w:rsid w:val="004F06F5"/>
    <w:rsid w:val="004F31C9"/>
    <w:rsid w:val="00502AE2"/>
    <w:rsid w:val="00506651"/>
    <w:rsid w:val="005108C0"/>
    <w:rsid w:val="00511873"/>
    <w:rsid w:val="00513B7E"/>
    <w:rsid w:val="005241A9"/>
    <w:rsid w:val="00525137"/>
    <w:rsid w:val="005251DD"/>
    <w:rsid w:val="005327C8"/>
    <w:rsid w:val="0054005D"/>
    <w:rsid w:val="00542888"/>
    <w:rsid w:val="0054533E"/>
    <w:rsid w:val="00573280"/>
    <w:rsid w:val="00576AA9"/>
    <w:rsid w:val="00580978"/>
    <w:rsid w:val="00583FFD"/>
    <w:rsid w:val="00590BA0"/>
    <w:rsid w:val="00593152"/>
    <w:rsid w:val="005A21E0"/>
    <w:rsid w:val="005A3E79"/>
    <w:rsid w:val="005A7E8A"/>
    <w:rsid w:val="005B2806"/>
    <w:rsid w:val="005B4B1A"/>
    <w:rsid w:val="005C666D"/>
    <w:rsid w:val="005C6C27"/>
    <w:rsid w:val="005D03FE"/>
    <w:rsid w:val="005D2852"/>
    <w:rsid w:val="005D5802"/>
    <w:rsid w:val="005E0178"/>
    <w:rsid w:val="005E06FB"/>
    <w:rsid w:val="005F4D2C"/>
    <w:rsid w:val="005F5483"/>
    <w:rsid w:val="00604307"/>
    <w:rsid w:val="0060487F"/>
    <w:rsid w:val="00613571"/>
    <w:rsid w:val="006137B9"/>
    <w:rsid w:val="00616584"/>
    <w:rsid w:val="00616B1B"/>
    <w:rsid w:val="00624093"/>
    <w:rsid w:val="00632F05"/>
    <w:rsid w:val="006404A7"/>
    <w:rsid w:val="00642BDB"/>
    <w:rsid w:val="006451E4"/>
    <w:rsid w:val="00657681"/>
    <w:rsid w:val="00657E87"/>
    <w:rsid w:val="00660EB1"/>
    <w:rsid w:val="00662D0E"/>
    <w:rsid w:val="006674CA"/>
    <w:rsid w:val="006707D9"/>
    <w:rsid w:val="006710C9"/>
    <w:rsid w:val="00674B68"/>
    <w:rsid w:val="00675E37"/>
    <w:rsid w:val="0068212B"/>
    <w:rsid w:val="0068260E"/>
    <w:rsid w:val="006828BF"/>
    <w:rsid w:val="00690F98"/>
    <w:rsid w:val="00691D13"/>
    <w:rsid w:val="00694DAC"/>
    <w:rsid w:val="006959CA"/>
    <w:rsid w:val="00695BEF"/>
    <w:rsid w:val="00696759"/>
    <w:rsid w:val="006977F6"/>
    <w:rsid w:val="00697A13"/>
    <w:rsid w:val="00697E9B"/>
    <w:rsid w:val="006A109C"/>
    <w:rsid w:val="006A5260"/>
    <w:rsid w:val="006B215A"/>
    <w:rsid w:val="006B4091"/>
    <w:rsid w:val="006B78D8"/>
    <w:rsid w:val="006C113F"/>
    <w:rsid w:val="006C33F3"/>
    <w:rsid w:val="006D244B"/>
    <w:rsid w:val="006D61F6"/>
    <w:rsid w:val="006D69AB"/>
    <w:rsid w:val="006E0B4C"/>
    <w:rsid w:val="006E279A"/>
    <w:rsid w:val="006E313B"/>
    <w:rsid w:val="006F0045"/>
    <w:rsid w:val="006F0845"/>
    <w:rsid w:val="006F24D2"/>
    <w:rsid w:val="006F2803"/>
    <w:rsid w:val="006F54F6"/>
    <w:rsid w:val="0070505F"/>
    <w:rsid w:val="00711088"/>
    <w:rsid w:val="007211F5"/>
    <w:rsid w:val="007228C4"/>
    <w:rsid w:val="007263C9"/>
    <w:rsid w:val="007264FE"/>
    <w:rsid w:val="00730AE8"/>
    <w:rsid w:val="00733C7C"/>
    <w:rsid w:val="00734238"/>
    <w:rsid w:val="00736A5D"/>
    <w:rsid w:val="00741493"/>
    <w:rsid w:val="007428C2"/>
    <w:rsid w:val="00752180"/>
    <w:rsid w:val="00755D3A"/>
    <w:rsid w:val="007578A3"/>
    <w:rsid w:val="007601F9"/>
    <w:rsid w:val="007609C6"/>
    <w:rsid w:val="0076792E"/>
    <w:rsid w:val="0077204F"/>
    <w:rsid w:val="00774AA2"/>
    <w:rsid w:val="00776527"/>
    <w:rsid w:val="00780786"/>
    <w:rsid w:val="007828F6"/>
    <w:rsid w:val="00790F30"/>
    <w:rsid w:val="007954FC"/>
    <w:rsid w:val="007A3527"/>
    <w:rsid w:val="007A6D51"/>
    <w:rsid w:val="007B1632"/>
    <w:rsid w:val="007B47EE"/>
    <w:rsid w:val="007B5593"/>
    <w:rsid w:val="007B60D9"/>
    <w:rsid w:val="007B6F89"/>
    <w:rsid w:val="007C02DC"/>
    <w:rsid w:val="007C6571"/>
    <w:rsid w:val="007C6C64"/>
    <w:rsid w:val="007D1AFF"/>
    <w:rsid w:val="007D2A36"/>
    <w:rsid w:val="007E12CE"/>
    <w:rsid w:val="007E61C9"/>
    <w:rsid w:val="007E7E61"/>
    <w:rsid w:val="007F1A9D"/>
    <w:rsid w:val="007F4DDE"/>
    <w:rsid w:val="007F4FF7"/>
    <w:rsid w:val="0080476F"/>
    <w:rsid w:val="00807690"/>
    <w:rsid w:val="008116AA"/>
    <w:rsid w:val="008157E9"/>
    <w:rsid w:val="00815B66"/>
    <w:rsid w:val="00817388"/>
    <w:rsid w:val="0082021A"/>
    <w:rsid w:val="0082089F"/>
    <w:rsid w:val="00821FF6"/>
    <w:rsid w:val="0082216C"/>
    <w:rsid w:val="0083143E"/>
    <w:rsid w:val="00832CAF"/>
    <w:rsid w:val="008338AC"/>
    <w:rsid w:val="00833B1C"/>
    <w:rsid w:val="0083424D"/>
    <w:rsid w:val="00834F39"/>
    <w:rsid w:val="00834FAA"/>
    <w:rsid w:val="00836086"/>
    <w:rsid w:val="00837203"/>
    <w:rsid w:val="00841677"/>
    <w:rsid w:val="008437F4"/>
    <w:rsid w:val="0085297F"/>
    <w:rsid w:val="00857096"/>
    <w:rsid w:val="008615A0"/>
    <w:rsid w:val="008655FD"/>
    <w:rsid w:val="00875C6F"/>
    <w:rsid w:val="00876086"/>
    <w:rsid w:val="008B2188"/>
    <w:rsid w:val="008B23DE"/>
    <w:rsid w:val="008B35C0"/>
    <w:rsid w:val="008B6F71"/>
    <w:rsid w:val="008B7C02"/>
    <w:rsid w:val="008C0E88"/>
    <w:rsid w:val="008D2A16"/>
    <w:rsid w:val="008D6FF1"/>
    <w:rsid w:val="008D7970"/>
    <w:rsid w:val="008E31FF"/>
    <w:rsid w:val="008F688E"/>
    <w:rsid w:val="009003A8"/>
    <w:rsid w:val="00902220"/>
    <w:rsid w:val="00902EFF"/>
    <w:rsid w:val="0090382A"/>
    <w:rsid w:val="00904570"/>
    <w:rsid w:val="0090722D"/>
    <w:rsid w:val="009136AA"/>
    <w:rsid w:val="00921F02"/>
    <w:rsid w:val="00921F14"/>
    <w:rsid w:val="009258A1"/>
    <w:rsid w:val="0093402A"/>
    <w:rsid w:val="00937669"/>
    <w:rsid w:val="009416E5"/>
    <w:rsid w:val="00941875"/>
    <w:rsid w:val="0094427A"/>
    <w:rsid w:val="009451B5"/>
    <w:rsid w:val="00955BD7"/>
    <w:rsid w:val="00960E53"/>
    <w:rsid w:val="00963E92"/>
    <w:rsid w:val="00973454"/>
    <w:rsid w:val="00973C48"/>
    <w:rsid w:val="00974923"/>
    <w:rsid w:val="0097703E"/>
    <w:rsid w:val="0098477B"/>
    <w:rsid w:val="009851B0"/>
    <w:rsid w:val="00990854"/>
    <w:rsid w:val="00992537"/>
    <w:rsid w:val="00997CE4"/>
    <w:rsid w:val="009B1284"/>
    <w:rsid w:val="009B1A67"/>
    <w:rsid w:val="009B6FD3"/>
    <w:rsid w:val="009B7FBC"/>
    <w:rsid w:val="009C14AE"/>
    <w:rsid w:val="009C4A06"/>
    <w:rsid w:val="009C4EE0"/>
    <w:rsid w:val="009C6708"/>
    <w:rsid w:val="009E4971"/>
    <w:rsid w:val="009E563A"/>
    <w:rsid w:val="009E6A52"/>
    <w:rsid w:val="009F2CF7"/>
    <w:rsid w:val="00A02998"/>
    <w:rsid w:val="00A05B33"/>
    <w:rsid w:val="00A10903"/>
    <w:rsid w:val="00A10D66"/>
    <w:rsid w:val="00A21518"/>
    <w:rsid w:val="00A22E33"/>
    <w:rsid w:val="00A23E43"/>
    <w:rsid w:val="00A258A7"/>
    <w:rsid w:val="00A31AFC"/>
    <w:rsid w:val="00A33EFD"/>
    <w:rsid w:val="00A35033"/>
    <w:rsid w:val="00A37E7C"/>
    <w:rsid w:val="00A40EA0"/>
    <w:rsid w:val="00A429B8"/>
    <w:rsid w:val="00A46DE0"/>
    <w:rsid w:val="00A51A01"/>
    <w:rsid w:val="00A52F3B"/>
    <w:rsid w:val="00A53F2C"/>
    <w:rsid w:val="00A56ABF"/>
    <w:rsid w:val="00A62522"/>
    <w:rsid w:val="00A62CE1"/>
    <w:rsid w:val="00A63587"/>
    <w:rsid w:val="00A6412E"/>
    <w:rsid w:val="00A75426"/>
    <w:rsid w:val="00A75E40"/>
    <w:rsid w:val="00A77E52"/>
    <w:rsid w:val="00A81345"/>
    <w:rsid w:val="00A8357E"/>
    <w:rsid w:val="00A857C0"/>
    <w:rsid w:val="00AA4771"/>
    <w:rsid w:val="00AA559A"/>
    <w:rsid w:val="00AB0140"/>
    <w:rsid w:val="00AB11D5"/>
    <w:rsid w:val="00AB238A"/>
    <w:rsid w:val="00AB2AF1"/>
    <w:rsid w:val="00AB5B80"/>
    <w:rsid w:val="00AD2536"/>
    <w:rsid w:val="00AD306C"/>
    <w:rsid w:val="00AD427F"/>
    <w:rsid w:val="00AD6E5C"/>
    <w:rsid w:val="00AD7ADA"/>
    <w:rsid w:val="00AE11E5"/>
    <w:rsid w:val="00AE42E0"/>
    <w:rsid w:val="00AE433D"/>
    <w:rsid w:val="00AE5985"/>
    <w:rsid w:val="00AE7D31"/>
    <w:rsid w:val="00AF0804"/>
    <w:rsid w:val="00AF0A3D"/>
    <w:rsid w:val="00AF263F"/>
    <w:rsid w:val="00AF5EEF"/>
    <w:rsid w:val="00B01CAD"/>
    <w:rsid w:val="00B05D4A"/>
    <w:rsid w:val="00B107C4"/>
    <w:rsid w:val="00B1157F"/>
    <w:rsid w:val="00B15B8E"/>
    <w:rsid w:val="00B17E71"/>
    <w:rsid w:val="00B17FDE"/>
    <w:rsid w:val="00B32DDB"/>
    <w:rsid w:val="00B3421C"/>
    <w:rsid w:val="00B34658"/>
    <w:rsid w:val="00B403C2"/>
    <w:rsid w:val="00B52068"/>
    <w:rsid w:val="00B54014"/>
    <w:rsid w:val="00B540AE"/>
    <w:rsid w:val="00B643B5"/>
    <w:rsid w:val="00B6608F"/>
    <w:rsid w:val="00B7412F"/>
    <w:rsid w:val="00B7422B"/>
    <w:rsid w:val="00B76D1E"/>
    <w:rsid w:val="00B87356"/>
    <w:rsid w:val="00B8761E"/>
    <w:rsid w:val="00B92363"/>
    <w:rsid w:val="00B95940"/>
    <w:rsid w:val="00B95E7B"/>
    <w:rsid w:val="00B9631C"/>
    <w:rsid w:val="00B968A3"/>
    <w:rsid w:val="00B97BEC"/>
    <w:rsid w:val="00BA493B"/>
    <w:rsid w:val="00BA53B4"/>
    <w:rsid w:val="00BB295B"/>
    <w:rsid w:val="00BC3543"/>
    <w:rsid w:val="00BD0FD6"/>
    <w:rsid w:val="00BD366B"/>
    <w:rsid w:val="00BD5F17"/>
    <w:rsid w:val="00BD6D50"/>
    <w:rsid w:val="00BF18B9"/>
    <w:rsid w:val="00BF6753"/>
    <w:rsid w:val="00BF684B"/>
    <w:rsid w:val="00C055E5"/>
    <w:rsid w:val="00C076AD"/>
    <w:rsid w:val="00C07CB0"/>
    <w:rsid w:val="00C13B41"/>
    <w:rsid w:val="00C21F94"/>
    <w:rsid w:val="00C22152"/>
    <w:rsid w:val="00C24662"/>
    <w:rsid w:val="00C32659"/>
    <w:rsid w:val="00C35311"/>
    <w:rsid w:val="00C429E2"/>
    <w:rsid w:val="00C44F48"/>
    <w:rsid w:val="00C70D55"/>
    <w:rsid w:val="00C71A82"/>
    <w:rsid w:val="00C80F44"/>
    <w:rsid w:val="00C83086"/>
    <w:rsid w:val="00C845F2"/>
    <w:rsid w:val="00C90CF4"/>
    <w:rsid w:val="00C93389"/>
    <w:rsid w:val="00C94820"/>
    <w:rsid w:val="00C9579E"/>
    <w:rsid w:val="00C96072"/>
    <w:rsid w:val="00CA40DC"/>
    <w:rsid w:val="00CA4DFD"/>
    <w:rsid w:val="00CB1A21"/>
    <w:rsid w:val="00CB1F20"/>
    <w:rsid w:val="00CC21CF"/>
    <w:rsid w:val="00CC2959"/>
    <w:rsid w:val="00CC55BF"/>
    <w:rsid w:val="00CD36EF"/>
    <w:rsid w:val="00CE28C3"/>
    <w:rsid w:val="00CE4593"/>
    <w:rsid w:val="00CF062E"/>
    <w:rsid w:val="00CF0AB9"/>
    <w:rsid w:val="00CF3D97"/>
    <w:rsid w:val="00CF51EC"/>
    <w:rsid w:val="00CF62E2"/>
    <w:rsid w:val="00D01F7E"/>
    <w:rsid w:val="00D02E35"/>
    <w:rsid w:val="00D040DD"/>
    <w:rsid w:val="00D068A7"/>
    <w:rsid w:val="00D10D82"/>
    <w:rsid w:val="00D122EA"/>
    <w:rsid w:val="00D23F39"/>
    <w:rsid w:val="00D263B1"/>
    <w:rsid w:val="00D32AAF"/>
    <w:rsid w:val="00D341ED"/>
    <w:rsid w:val="00D43D06"/>
    <w:rsid w:val="00D43D2E"/>
    <w:rsid w:val="00D460EA"/>
    <w:rsid w:val="00D534D1"/>
    <w:rsid w:val="00D572FB"/>
    <w:rsid w:val="00D575D2"/>
    <w:rsid w:val="00D625B4"/>
    <w:rsid w:val="00D62AC6"/>
    <w:rsid w:val="00D72B1F"/>
    <w:rsid w:val="00D743DE"/>
    <w:rsid w:val="00D754E2"/>
    <w:rsid w:val="00D762A9"/>
    <w:rsid w:val="00D7711E"/>
    <w:rsid w:val="00D83D01"/>
    <w:rsid w:val="00D842C8"/>
    <w:rsid w:val="00D93EF6"/>
    <w:rsid w:val="00DB4F12"/>
    <w:rsid w:val="00DB5E26"/>
    <w:rsid w:val="00DB68CB"/>
    <w:rsid w:val="00DC069D"/>
    <w:rsid w:val="00DC5B3B"/>
    <w:rsid w:val="00DC5DA5"/>
    <w:rsid w:val="00DD0975"/>
    <w:rsid w:val="00DD3A4D"/>
    <w:rsid w:val="00DE5DFF"/>
    <w:rsid w:val="00DE7B58"/>
    <w:rsid w:val="00DF55A4"/>
    <w:rsid w:val="00DF5D00"/>
    <w:rsid w:val="00E0185B"/>
    <w:rsid w:val="00E01C0E"/>
    <w:rsid w:val="00E04694"/>
    <w:rsid w:val="00E069D1"/>
    <w:rsid w:val="00E12FE5"/>
    <w:rsid w:val="00E130B7"/>
    <w:rsid w:val="00E35452"/>
    <w:rsid w:val="00E50A6A"/>
    <w:rsid w:val="00E5164D"/>
    <w:rsid w:val="00E54A3E"/>
    <w:rsid w:val="00E60723"/>
    <w:rsid w:val="00E66030"/>
    <w:rsid w:val="00E71A58"/>
    <w:rsid w:val="00E7533F"/>
    <w:rsid w:val="00E80415"/>
    <w:rsid w:val="00E84273"/>
    <w:rsid w:val="00E84B1E"/>
    <w:rsid w:val="00E86FC5"/>
    <w:rsid w:val="00E9330A"/>
    <w:rsid w:val="00E940A5"/>
    <w:rsid w:val="00EA0C68"/>
    <w:rsid w:val="00EA0EAA"/>
    <w:rsid w:val="00EA1E3B"/>
    <w:rsid w:val="00EA67F4"/>
    <w:rsid w:val="00EA6A1C"/>
    <w:rsid w:val="00EB0D24"/>
    <w:rsid w:val="00EB4350"/>
    <w:rsid w:val="00EC1924"/>
    <w:rsid w:val="00EC3698"/>
    <w:rsid w:val="00ED0F86"/>
    <w:rsid w:val="00ED286F"/>
    <w:rsid w:val="00ED324D"/>
    <w:rsid w:val="00EE0963"/>
    <w:rsid w:val="00EE36C2"/>
    <w:rsid w:val="00EE375F"/>
    <w:rsid w:val="00EE3E78"/>
    <w:rsid w:val="00EE67CC"/>
    <w:rsid w:val="00EE6F61"/>
    <w:rsid w:val="00EF1F5A"/>
    <w:rsid w:val="00EF4271"/>
    <w:rsid w:val="00EF4D97"/>
    <w:rsid w:val="00EF5EBF"/>
    <w:rsid w:val="00EF639D"/>
    <w:rsid w:val="00F029A3"/>
    <w:rsid w:val="00F04811"/>
    <w:rsid w:val="00F0488C"/>
    <w:rsid w:val="00F04B8A"/>
    <w:rsid w:val="00F06149"/>
    <w:rsid w:val="00F0701F"/>
    <w:rsid w:val="00F10F37"/>
    <w:rsid w:val="00F15BEF"/>
    <w:rsid w:val="00F21C5E"/>
    <w:rsid w:val="00F220F4"/>
    <w:rsid w:val="00F24FAA"/>
    <w:rsid w:val="00F30472"/>
    <w:rsid w:val="00F3364D"/>
    <w:rsid w:val="00F41787"/>
    <w:rsid w:val="00F55DA6"/>
    <w:rsid w:val="00F61146"/>
    <w:rsid w:val="00F617C2"/>
    <w:rsid w:val="00F61FFA"/>
    <w:rsid w:val="00F63DDE"/>
    <w:rsid w:val="00F63FB7"/>
    <w:rsid w:val="00F73A0C"/>
    <w:rsid w:val="00F764B8"/>
    <w:rsid w:val="00F8104D"/>
    <w:rsid w:val="00F825D6"/>
    <w:rsid w:val="00F84358"/>
    <w:rsid w:val="00F961E0"/>
    <w:rsid w:val="00F9790A"/>
    <w:rsid w:val="00FA283D"/>
    <w:rsid w:val="00FA2EF2"/>
    <w:rsid w:val="00FB34B2"/>
    <w:rsid w:val="00FB7DCB"/>
    <w:rsid w:val="00FC0E5F"/>
    <w:rsid w:val="00FC1018"/>
    <w:rsid w:val="00FC36CA"/>
    <w:rsid w:val="00FC435B"/>
    <w:rsid w:val="00FC56DE"/>
    <w:rsid w:val="00FC6923"/>
    <w:rsid w:val="00FE1C84"/>
    <w:rsid w:val="00FE2F78"/>
    <w:rsid w:val="00FE657A"/>
    <w:rsid w:val="00FF1979"/>
    <w:rsid w:val="00FF597E"/>
    <w:rsid w:val="00FF603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BC3543"/>
    <w:rPr>
      <w:rFonts w:ascii="Arial" w:eastAsia="MS Gothic" w:hAnsi="Arial"/>
      <w:b/>
      <w:bCs/>
      <w:color w:val="BC091B"/>
      <w:sz w:val="28"/>
      <w:szCs w:val="26"/>
      <w:lang w:bidi="ar-SA"/>
    </w:rPr>
  </w:style>
  <w:style w:type="character" w:customStyle="1" w:styleId="Nadpis3Char">
    <w:name w:val="Nadpis 3 Char"/>
    <w:link w:val="Nadpis3"/>
    <w:uiPriority w:val="9"/>
    <w:rsid w:val="00BC3543"/>
    <w:rPr>
      <w:rFonts w:ascii="Arial" w:eastAsia="MS Gothic" w:hAnsi="Arial"/>
      <w:b/>
      <w:bCs/>
      <w:color w:val="BC091B"/>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character" w:styleId="Siln">
    <w:name w:val="Strong"/>
    <w:uiPriority w:val="22"/>
    <w:qFormat/>
    <w:rsid w:val="00A258A7"/>
    <w:rPr>
      <w:b/>
      <w:bCs/>
    </w:rPr>
  </w:style>
  <w:style w:type="paragraph" w:styleId="Nadpisobsahu">
    <w:name w:val="TOC Heading"/>
    <w:basedOn w:val="Nadpis1"/>
    <w:next w:val="Normln"/>
    <w:uiPriority w:val="39"/>
    <w:unhideWhenUsed/>
    <w:qFormat/>
    <w:rsid w:val="00274C52"/>
    <w:pPr>
      <w:spacing w:before="480" w:after="0" w:line="276" w:lineRule="auto"/>
      <w:outlineLvl w:val="9"/>
    </w:pPr>
    <w:rPr>
      <w:rFonts w:ascii="Cambria" w:eastAsia="Times New Roman" w:hAnsi="Cambria"/>
      <w:color w:val="365F91"/>
      <w:sz w:val="28"/>
      <w:lang w:eastAsia="en-US"/>
    </w:rPr>
  </w:style>
  <w:style w:type="paragraph" w:styleId="Obsah1">
    <w:name w:val="toc 1"/>
    <w:basedOn w:val="Normln"/>
    <w:next w:val="Normln"/>
    <w:autoRedefine/>
    <w:uiPriority w:val="39"/>
    <w:unhideWhenUsed/>
    <w:rsid w:val="001C2FEE"/>
    <w:pPr>
      <w:tabs>
        <w:tab w:val="right" w:leader="dot" w:pos="9628"/>
      </w:tabs>
      <w:spacing w:afterLines="60"/>
    </w:pPr>
    <w:rPr>
      <w:sz w:val="24"/>
    </w:rPr>
  </w:style>
  <w:style w:type="paragraph" w:styleId="Obsah2">
    <w:name w:val="toc 2"/>
    <w:basedOn w:val="Normln"/>
    <w:next w:val="Normln"/>
    <w:autoRedefine/>
    <w:uiPriority w:val="39"/>
    <w:unhideWhenUsed/>
    <w:rsid w:val="00274C52"/>
    <w:pPr>
      <w:ind w:left="200"/>
    </w:pPr>
  </w:style>
  <w:style w:type="paragraph" w:styleId="Obsah3">
    <w:name w:val="toc 3"/>
    <w:basedOn w:val="Normln"/>
    <w:next w:val="Normln"/>
    <w:autoRedefine/>
    <w:uiPriority w:val="39"/>
    <w:unhideWhenUsed/>
    <w:rsid w:val="00274C52"/>
    <w:pPr>
      <w:ind w:left="400"/>
    </w:pPr>
  </w:style>
  <w:style w:type="paragraph" w:styleId="Normlnweb">
    <w:name w:val="Normal (Web)"/>
    <w:basedOn w:val="Normln"/>
    <w:uiPriority w:val="99"/>
    <w:semiHidden/>
    <w:unhideWhenUsed/>
    <w:rsid w:val="007F1A9D"/>
    <w:rPr>
      <w:rFonts w:ascii="Times New Roman" w:hAnsi="Times New Roman"/>
      <w:sz w:val="24"/>
    </w:rPr>
  </w:style>
  <w:style w:type="character" w:styleId="Zvraznn">
    <w:name w:val="Emphasis"/>
    <w:uiPriority w:val="20"/>
    <w:qFormat/>
    <w:rsid w:val="00204CF0"/>
    <w:rPr>
      <w:i/>
      <w:iCs/>
    </w:rPr>
  </w:style>
  <w:style w:type="character" w:styleId="Odkaznakoment">
    <w:name w:val="annotation reference"/>
    <w:uiPriority w:val="99"/>
    <w:semiHidden/>
    <w:unhideWhenUsed/>
    <w:rsid w:val="004B636E"/>
    <w:rPr>
      <w:sz w:val="16"/>
      <w:szCs w:val="16"/>
    </w:rPr>
  </w:style>
  <w:style w:type="paragraph" w:styleId="Textkomente">
    <w:name w:val="annotation text"/>
    <w:basedOn w:val="Normln"/>
    <w:link w:val="TextkomenteChar"/>
    <w:uiPriority w:val="99"/>
    <w:semiHidden/>
    <w:unhideWhenUsed/>
    <w:rsid w:val="004B636E"/>
    <w:rPr>
      <w:szCs w:val="20"/>
      <w:lang/>
    </w:rPr>
  </w:style>
  <w:style w:type="character" w:customStyle="1" w:styleId="TextkomenteChar">
    <w:name w:val="Text komentáře Char"/>
    <w:link w:val="Textkomente"/>
    <w:uiPriority w:val="99"/>
    <w:semiHidden/>
    <w:rsid w:val="004B636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4B636E"/>
    <w:rPr>
      <w:b/>
      <w:bCs/>
    </w:rPr>
  </w:style>
  <w:style w:type="character" w:customStyle="1" w:styleId="PedmtkomenteChar">
    <w:name w:val="Předmět komentáře Char"/>
    <w:link w:val="Pedmtkomente"/>
    <w:uiPriority w:val="99"/>
    <w:semiHidden/>
    <w:rsid w:val="004B636E"/>
    <w:rPr>
      <w:rFonts w:ascii="Arial" w:eastAsia="Times New Roman" w:hAnsi="Arial"/>
      <w:b/>
      <w:bCs/>
    </w:rPr>
  </w:style>
  <w:style w:type="paragraph" w:customStyle="1" w:styleId="paragraftext">
    <w:name w:val="paragraftext"/>
    <w:basedOn w:val="Normln"/>
    <w:rsid w:val="0054533E"/>
    <w:pPr>
      <w:spacing w:before="100" w:beforeAutospacing="1" w:after="100" w:afterAutospacing="1" w:line="240" w:lineRule="auto"/>
    </w:pPr>
    <w:rPr>
      <w:rFonts w:ascii="Times New Roman" w:hAnsi="Times New Roman"/>
      <w:sz w:val="24"/>
    </w:rPr>
  </w:style>
  <w:style w:type="paragraph" w:customStyle="1" w:styleId="pismeno">
    <w:name w:val="pismeno"/>
    <w:basedOn w:val="Normln"/>
    <w:rsid w:val="0054533E"/>
    <w:pPr>
      <w:spacing w:before="100" w:beforeAutospacing="1" w:after="100" w:afterAutospacing="1" w:line="240" w:lineRule="auto"/>
    </w:pPr>
    <w:rPr>
      <w:rFonts w:ascii="Times New Roman" w:hAnsi="Times New Roman"/>
      <w:sz w:val="24"/>
    </w:rPr>
  </w:style>
  <w:style w:type="paragraph" w:customStyle="1" w:styleId="bod">
    <w:name w:val="bod"/>
    <w:basedOn w:val="Normln"/>
    <w:rsid w:val="0054533E"/>
    <w:pPr>
      <w:spacing w:before="100" w:beforeAutospacing="1" w:after="100" w:afterAutospacing="1" w:line="240" w:lineRule="auto"/>
    </w:pPr>
    <w:rPr>
      <w:rFonts w:ascii="Times New Roman" w:hAnsi="Times New Roman"/>
      <w:sz w:val="24"/>
    </w:rPr>
  </w:style>
  <w:style w:type="paragraph" w:styleId="Textpoznpodarou">
    <w:name w:val="footnote text"/>
    <w:basedOn w:val="Normln"/>
    <w:link w:val="TextpoznpodarouChar"/>
    <w:uiPriority w:val="99"/>
    <w:semiHidden/>
    <w:unhideWhenUsed/>
    <w:rsid w:val="00F04B8A"/>
    <w:rPr>
      <w:szCs w:val="20"/>
    </w:rPr>
  </w:style>
  <w:style w:type="character" w:customStyle="1" w:styleId="TextpoznpodarouChar">
    <w:name w:val="Text pozn. pod čarou Char"/>
    <w:basedOn w:val="Standardnpsmoodstavce"/>
    <w:link w:val="Textpoznpodarou"/>
    <w:uiPriority w:val="99"/>
    <w:semiHidden/>
    <w:rsid w:val="00F04B8A"/>
    <w:rPr>
      <w:rFonts w:ascii="Arial" w:eastAsia="Times New Roman" w:hAnsi="Arial"/>
    </w:rPr>
  </w:style>
  <w:style w:type="character" w:styleId="Znakapoznpodarou">
    <w:name w:val="footnote reference"/>
    <w:basedOn w:val="Standardnpsmoodstavce"/>
    <w:uiPriority w:val="99"/>
    <w:semiHidden/>
    <w:unhideWhenUsed/>
    <w:rsid w:val="00F04B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61093922">
      <w:bodyDiv w:val="1"/>
      <w:marLeft w:val="0"/>
      <w:marRight w:val="0"/>
      <w:marTop w:val="0"/>
      <w:marBottom w:val="0"/>
      <w:divBdr>
        <w:top w:val="none" w:sz="0" w:space="0" w:color="auto"/>
        <w:left w:val="none" w:sz="0" w:space="0" w:color="auto"/>
        <w:bottom w:val="none" w:sz="0" w:space="0" w:color="auto"/>
        <w:right w:val="none" w:sz="0" w:space="0" w:color="auto"/>
      </w:divBdr>
    </w:div>
    <w:div w:id="205722363">
      <w:bodyDiv w:val="1"/>
      <w:marLeft w:val="0"/>
      <w:marRight w:val="0"/>
      <w:marTop w:val="0"/>
      <w:marBottom w:val="0"/>
      <w:divBdr>
        <w:top w:val="none" w:sz="0" w:space="0" w:color="auto"/>
        <w:left w:val="none" w:sz="0" w:space="0" w:color="auto"/>
        <w:bottom w:val="none" w:sz="0" w:space="0" w:color="auto"/>
        <w:right w:val="none" w:sz="0" w:space="0" w:color="auto"/>
      </w:divBdr>
    </w:div>
    <w:div w:id="363094778">
      <w:bodyDiv w:val="1"/>
      <w:marLeft w:val="0"/>
      <w:marRight w:val="0"/>
      <w:marTop w:val="0"/>
      <w:marBottom w:val="0"/>
      <w:divBdr>
        <w:top w:val="none" w:sz="0" w:space="0" w:color="auto"/>
        <w:left w:val="none" w:sz="0" w:space="0" w:color="auto"/>
        <w:bottom w:val="none" w:sz="0" w:space="0" w:color="auto"/>
        <w:right w:val="none" w:sz="0" w:space="0" w:color="auto"/>
      </w:divBdr>
    </w:div>
    <w:div w:id="43864890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25563031">
      <w:bodyDiv w:val="1"/>
      <w:marLeft w:val="0"/>
      <w:marRight w:val="0"/>
      <w:marTop w:val="0"/>
      <w:marBottom w:val="0"/>
      <w:divBdr>
        <w:top w:val="none" w:sz="0" w:space="0" w:color="auto"/>
        <w:left w:val="none" w:sz="0" w:space="0" w:color="auto"/>
        <w:bottom w:val="none" w:sz="0" w:space="0" w:color="auto"/>
        <w:right w:val="none" w:sz="0" w:space="0" w:color="auto"/>
      </w:divBdr>
    </w:div>
    <w:div w:id="560484718">
      <w:bodyDiv w:val="1"/>
      <w:marLeft w:val="0"/>
      <w:marRight w:val="0"/>
      <w:marTop w:val="0"/>
      <w:marBottom w:val="0"/>
      <w:divBdr>
        <w:top w:val="none" w:sz="0" w:space="0" w:color="auto"/>
        <w:left w:val="none" w:sz="0" w:space="0" w:color="auto"/>
        <w:bottom w:val="none" w:sz="0" w:space="0" w:color="auto"/>
        <w:right w:val="none" w:sz="0" w:space="0" w:color="auto"/>
      </w:divBdr>
    </w:div>
    <w:div w:id="562253313">
      <w:bodyDiv w:val="1"/>
      <w:marLeft w:val="0"/>
      <w:marRight w:val="0"/>
      <w:marTop w:val="0"/>
      <w:marBottom w:val="0"/>
      <w:divBdr>
        <w:top w:val="none" w:sz="0" w:space="0" w:color="auto"/>
        <w:left w:val="none" w:sz="0" w:space="0" w:color="auto"/>
        <w:bottom w:val="none" w:sz="0" w:space="0" w:color="auto"/>
        <w:right w:val="none" w:sz="0" w:space="0" w:color="auto"/>
      </w:divBdr>
    </w:div>
    <w:div w:id="566037291">
      <w:bodyDiv w:val="1"/>
      <w:marLeft w:val="0"/>
      <w:marRight w:val="0"/>
      <w:marTop w:val="0"/>
      <w:marBottom w:val="0"/>
      <w:divBdr>
        <w:top w:val="none" w:sz="0" w:space="0" w:color="auto"/>
        <w:left w:val="none" w:sz="0" w:space="0" w:color="auto"/>
        <w:bottom w:val="none" w:sz="0" w:space="0" w:color="auto"/>
        <w:right w:val="none" w:sz="0" w:space="0" w:color="auto"/>
      </w:divBdr>
    </w:div>
    <w:div w:id="587154209">
      <w:bodyDiv w:val="1"/>
      <w:marLeft w:val="0"/>
      <w:marRight w:val="0"/>
      <w:marTop w:val="0"/>
      <w:marBottom w:val="0"/>
      <w:divBdr>
        <w:top w:val="none" w:sz="0" w:space="0" w:color="auto"/>
        <w:left w:val="none" w:sz="0" w:space="0" w:color="auto"/>
        <w:bottom w:val="none" w:sz="0" w:space="0" w:color="auto"/>
        <w:right w:val="none" w:sz="0" w:space="0" w:color="auto"/>
      </w:divBdr>
    </w:div>
    <w:div w:id="595864822">
      <w:bodyDiv w:val="1"/>
      <w:marLeft w:val="0"/>
      <w:marRight w:val="0"/>
      <w:marTop w:val="0"/>
      <w:marBottom w:val="0"/>
      <w:divBdr>
        <w:top w:val="none" w:sz="0" w:space="0" w:color="auto"/>
        <w:left w:val="none" w:sz="0" w:space="0" w:color="auto"/>
        <w:bottom w:val="none" w:sz="0" w:space="0" w:color="auto"/>
        <w:right w:val="none" w:sz="0" w:space="0" w:color="auto"/>
      </w:divBdr>
    </w:div>
    <w:div w:id="597979224">
      <w:bodyDiv w:val="1"/>
      <w:marLeft w:val="0"/>
      <w:marRight w:val="0"/>
      <w:marTop w:val="0"/>
      <w:marBottom w:val="0"/>
      <w:divBdr>
        <w:top w:val="none" w:sz="0" w:space="0" w:color="auto"/>
        <w:left w:val="none" w:sz="0" w:space="0" w:color="auto"/>
        <w:bottom w:val="none" w:sz="0" w:space="0" w:color="auto"/>
        <w:right w:val="none" w:sz="0" w:space="0" w:color="auto"/>
      </w:divBdr>
    </w:div>
    <w:div w:id="66756266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86651378">
      <w:bodyDiv w:val="1"/>
      <w:marLeft w:val="0"/>
      <w:marRight w:val="0"/>
      <w:marTop w:val="0"/>
      <w:marBottom w:val="0"/>
      <w:divBdr>
        <w:top w:val="none" w:sz="0" w:space="0" w:color="auto"/>
        <w:left w:val="none" w:sz="0" w:space="0" w:color="auto"/>
        <w:bottom w:val="none" w:sz="0" w:space="0" w:color="auto"/>
        <w:right w:val="none" w:sz="0" w:space="0" w:color="auto"/>
      </w:divBdr>
    </w:div>
    <w:div w:id="1039864398">
      <w:bodyDiv w:val="1"/>
      <w:marLeft w:val="0"/>
      <w:marRight w:val="0"/>
      <w:marTop w:val="0"/>
      <w:marBottom w:val="0"/>
      <w:divBdr>
        <w:top w:val="none" w:sz="0" w:space="0" w:color="auto"/>
        <w:left w:val="none" w:sz="0" w:space="0" w:color="auto"/>
        <w:bottom w:val="none" w:sz="0" w:space="0" w:color="auto"/>
        <w:right w:val="none" w:sz="0" w:space="0" w:color="auto"/>
      </w:divBdr>
    </w:div>
    <w:div w:id="1077286100">
      <w:bodyDiv w:val="1"/>
      <w:marLeft w:val="0"/>
      <w:marRight w:val="0"/>
      <w:marTop w:val="0"/>
      <w:marBottom w:val="0"/>
      <w:divBdr>
        <w:top w:val="none" w:sz="0" w:space="0" w:color="auto"/>
        <w:left w:val="none" w:sz="0" w:space="0" w:color="auto"/>
        <w:bottom w:val="none" w:sz="0" w:space="0" w:color="auto"/>
        <w:right w:val="none" w:sz="0" w:space="0" w:color="auto"/>
      </w:divBdr>
    </w:div>
    <w:div w:id="1088573819">
      <w:bodyDiv w:val="1"/>
      <w:marLeft w:val="0"/>
      <w:marRight w:val="0"/>
      <w:marTop w:val="0"/>
      <w:marBottom w:val="0"/>
      <w:divBdr>
        <w:top w:val="none" w:sz="0" w:space="0" w:color="auto"/>
        <w:left w:val="none" w:sz="0" w:space="0" w:color="auto"/>
        <w:bottom w:val="none" w:sz="0" w:space="0" w:color="auto"/>
        <w:right w:val="none" w:sz="0" w:space="0" w:color="auto"/>
      </w:divBdr>
    </w:div>
    <w:div w:id="1123620103">
      <w:bodyDiv w:val="1"/>
      <w:marLeft w:val="0"/>
      <w:marRight w:val="0"/>
      <w:marTop w:val="0"/>
      <w:marBottom w:val="0"/>
      <w:divBdr>
        <w:top w:val="none" w:sz="0" w:space="0" w:color="auto"/>
        <w:left w:val="none" w:sz="0" w:space="0" w:color="auto"/>
        <w:bottom w:val="none" w:sz="0" w:space="0" w:color="auto"/>
        <w:right w:val="none" w:sz="0" w:space="0" w:color="auto"/>
      </w:divBdr>
    </w:div>
    <w:div w:id="1126125525">
      <w:bodyDiv w:val="1"/>
      <w:marLeft w:val="0"/>
      <w:marRight w:val="0"/>
      <w:marTop w:val="0"/>
      <w:marBottom w:val="0"/>
      <w:divBdr>
        <w:top w:val="none" w:sz="0" w:space="0" w:color="auto"/>
        <w:left w:val="none" w:sz="0" w:space="0" w:color="auto"/>
        <w:bottom w:val="none" w:sz="0" w:space="0" w:color="auto"/>
        <w:right w:val="none" w:sz="0" w:space="0" w:color="auto"/>
      </w:divBdr>
    </w:div>
    <w:div w:id="1139570761">
      <w:bodyDiv w:val="1"/>
      <w:marLeft w:val="0"/>
      <w:marRight w:val="0"/>
      <w:marTop w:val="0"/>
      <w:marBottom w:val="0"/>
      <w:divBdr>
        <w:top w:val="none" w:sz="0" w:space="0" w:color="auto"/>
        <w:left w:val="none" w:sz="0" w:space="0" w:color="auto"/>
        <w:bottom w:val="none" w:sz="0" w:space="0" w:color="auto"/>
        <w:right w:val="none" w:sz="0" w:space="0" w:color="auto"/>
      </w:divBdr>
    </w:div>
    <w:div w:id="1144617483">
      <w:bodyDiv w:val="1"/>
      <w:marLeft w:val="0"/>
      <w:marRight w:val="0"/>
      <w:marTop w:val="0"/>
      <w:marBottom w:val="0"/>
      <w:divBdr>
        <w:top w:val="none" w:sz="0" w:space="0" w:color="auto"/>
        <w:left w:val="none" w:sz="0" w:space="0" w:color="auto"/>
        <w:bottom w:val="none" w:sz="0" w:space="0" w:color="auto"/>
        <w:right w:val="none" w:sz="0" w:space="0" w:color="auto"/>
      </w:divBdr>
    </w:div>
    <w:div w:id="1199853475">
      <w:bodyDiv w:val="1"/>
      <w:marLeft w:val="0"/>
      <w:marRight w:val="0"/>
      <w:marTop w:val="0"/>
      <w:marBottom w:val="0"/>
      <w:divBdr>
        <w:top w:val="none" w:sz="0" w:space="0" w:color="auto"/>
        <w:left w:val="none" w:sz="0" w:space="0" w:color="auto"/>
        <w:bottom w:val="none" w:sz="0" w:space="0" w:color="auto"/>
        <w:right w:val="none" w:sz="0" w:space="0" w:color="auto"/>
      </w:divBdr>
    </w:div>
    <w:div w:id="1301182944">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06294702">
      <w:bodyDiv w:val="1"/>
      <w:marLeft w:val="0"/>
      <w:marRight w:val="0"/>
      <w:marTop w:val="0"/>
      <w:marBottom w:val="0"/>
      <w:divBdr>
        <w:top w:val="none" w:sz="0" w:space="0" w:color="auto"/>
        <w:left w:val="none" w:sz="0" w:space="0" w:color="auto"/>
        <w:bottom w:val="none" w:sz="0" w:space="0" w:color="auto"/>
        <w:right w:val="none" w:sz="0" w:space="0" w:color="auto"/>
      </w:divBdr>
    </w:div>
    <w:div w:id="1432240560">
      <w:bodyDiv w:val="1"/>
      <w:marLeft w:val="0"/>
      <w:marRight w:val="0"/>
      <w:marTop w:val="0"/>
      <w:marBottom w:val="0"/>
      <w:divBdr>
        <w:top w:val="none" w:sz="0" w:space="0" w:color="auto"/>
        <w:left w:val="none" w:sz="0" w:space="0" w:color="auto"/>
        <w:bottom w:val="none" w:sz="0" w:space="0" w:color="auto"/>
        <w:right w:val="none" w:sz="0" w:space="0" w:color="auto"/>
      </w:divBdr>
    </w:div>
    <w:div w:id="1467893054">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668751459">
      <w:bodyDiv w:val="1"/>
      <w:marLeft w:val="0"/>
      <w:marRight w:val="0"/>
      <w:marTop w:val="0"/>
      <w:marBottom w:val="0"/>
      <w:divBdr>
        <w:top w:val="none" w:sz="0" w:space="0" w:color="auto"/>
        <w:left w:val="none" w:sz="0" w:space="0" w:color="auto"/>
        <w:bottom w:val="none" w:sz="0" w:space="0" w:color="auto"/>
        <w:right w:val="none" w:sz="0" w:space="0" w:color="auto"/>
      </w:divBdr>
    </w:div>
    <w:div w:id="1735159849">
      <w:bodyDiv w:val="1"/>
      <w:marLeft w:val="0"/>
      <w:marRight w:val="0"/>
      <w:marTop w:val="0"/>
      <w:marBottom w:val="0"/>
      <w:divBdr>
        <w:top w:val="none" w:sz="0" w:space="0" w:color="auto"/>
        <w:left w:val="none" w:sz="0" w:space="0" w:color="auto"/>
        <w:bottom w:val="none" w:sz="0" w:space="0" w:color="auto"/>
        <w:right w:val="none" w:sz="0" w:space="0" w:color="auto"/>
      </w:divBdr>
    </w:div>
    <w:div w:id="1766614248">
      <w:bodyDiv w:val="1"/>
      <w:marLeft w:val="0"/>
      <w:marRight w:val="0"/>
      <w:marTop w:val="0"/>
      <w:marBottom w:val="0"/>
      <w:divBdr>
        <w:top w:val="none" w:sz="0" w:space="0" w:color="auto"/>
        <w:left w:val="none" w:sz="0" w:space="0" w:color="auto"/>
        <w:bottom w:val="none" w:sz="0" w:space="0" w:color="auto"/>
        <w:right w:val="none" w:sz="0" w:space="0" w:color="auto"/>
      </w:divBdr>
    </w:div>
    <w:div w:id="1788505490">
      <w:bodyDiv w:val="1"/>
      <w:marLeft w:val="0"/>
      <w:marRight w:val="0"/>
      <w:marTop w:val="0"/>
      <w:marBottom w:val="0"/>
      <w:divBdr>
        <w:top w:val="none" w:sz="0" w:space="0" w:color="auto"/>
        <w:left w:val="none" w:sz="0" w:space="0" w:color="auto"/>
        <w:bottom w:val="none" w:sz="0" w:space="0" w:color="auto"/>
        <w:right w:val="none" w:sz="0" w:space="0" w:color="auto"/>
      </w:divBdr>
    </w:div>
    <w:div w:id="1792822710">
      <w:bodyDiv w:val="1"/>
      <w:marLeft w:val="0"/>
      <w:marRight w:val="0"/>
      <w:marTop w:val="0"/>
      <w:marBottom w:val="0"/>
      <w:divBdr>
        <w:top w:val="none" w:sz="0" w:space="0" w:color="auto"/>
        <w:left w:val="none" w:sz="0" w:space="0" w:color="auto"/>
        <w:bottom w:val="none" w:sz="0" w:space="0" w:color="auto"/>
        <w:right w:val="none" w:sz="0" w:space="0" w:color="auto"/>
      </w:divBdr>
    </w:div>
    <w:div w:id="1866673003">
      <w:bodyDiv w:val="1"/>
      <w:marLeft w:val="0"/>
      <w:marRight w:val="0"/>
      <w:marTop w:val="0"/>
      <w:marBottom w:val="0"/>
      <w:divBdr>
        <w:top w:val="none" w:sz="0" w:space="0" w:color="auto"/>
        <w:left w:val="none" w:sz="0" w:space="0" w:color="auto"/>
        <w:bottom w:val="none" w:sz="0" w:space="0" w:color="auto"/>
        <w:right w:val="none" w:sz="0" w:space="0" w:color="auto"/>
      </w:divBdr>
    </w:div>
    <w:div w:id="1871603743">
      <w:bodyDiv w:val="1"/>
      <w:marLeft w:val="0"/>
      <w:marRight w:val="0"/>
      <w:marTop w:val="0"/>
      <w:marBottom w:val="0"/>
      <w:divBdr>
        <w:top w:val="none" w:sz="0" w:space="0" w:color="auto"/>
        <w:left w:val="none" w:sz="0" w:space="0" w:color="auto"/>
        <w:bottom w:val="none" w:sz="0" w:space="0" w:color="auto"/>
        <w:right w:val="none" w:sz="0" w:space="0" w:color="auto"/>
      </w:divBdr>
    </w:div>
    <w:div w:id="1884515840">
      <w:bodyDiv w:val="1"/>
      <w:marLeft w:val="0"/>
      <w:marRight w:val="0"/>
      <w:marTop w:val="0"/>
      <w:marBottom w:val="0"/>
      <w:divBdr>
        <w:top w:val="none" w:sz="0" w:space="0" w:color="auto"/>
        <w:left w:val="none" w:sz="0" w:space="0" w:color="auto"/>
        <w:bottom w:val="none" w:sz="0" w:space="0" w:color="auto"/>
        <w:right w:val="none" w:sz="0" w:space="0" w:color="auto"/>
      </w:divBdr>
    </w:div>
    <w:div w:id="1892225927">
      <w:bodyDiv w:val="1"/>
      <w:marLeft w:val="0"/>
      <w:marRight w:val="0"/>
      <w:marTop w:val="0"/>
      <w:marBottom w:val="0"/>
      <w:divBdr>
        <w:top w:val="none" w:sz="0" w:space="0" w:color="auto"/>
        <w:left w:val="none" w:sz="0" w:space="0" w:color="auto"/>
        <w:bottom w:val="none" w:sz="0" w:space="0" w:color="auto"/>
        <w:right w:val="none" w:sz="0" w:space="0" w:color="auto"/>
      </w:divBdr>
    </w:div>
    <w:div w:id="1915699447">
      <w:bodyDiv w:val="1"/>
      <w:marLeft w:val="0"/>
      <w:marRight w:val="0"/>
      <w:marTop w:val="0"/>
      <w:marBottom w:val="0"/>
      <w:divBdr>
        <w:top w:val="none" w:sz="0" w:space="0" w:color="auto"/>
        <w:left w:val="none" w:sz="0" w:space="0" w:color="auto"/>
        <w:bottom w:val="none" w:sz="0" w:space="0" w:color="auto"/>
        <w:right w:val="none" w:sz="0" w:space="0" w:color="auto"/>
      </w:divBdr>
    </w:div>
    <w:div w:id="1934627784">
      <w:bodyDiv w:val="1"/>
      <w:marLeft w:val="0"/>
      <w:marRight w:val="0"/>
      <w:marTop w:val="0"/>
      <w:marBottom w:val="0"/>
      <w:divBdr>
        <w:top w:val="none" w:sz="0" w:space="0" w:color="auto"/>
        <w:left w:val="none" w:sz="0" w:space="0" w:color="auto"/>
        <w:bottom w:val="none" w:sz="0" w:space="0" w:color="auto"/>
        <w:right w:val="none" w:sz="0" w:space="0" w:color="auto"/>
      </w:divBdr>
    </w:div>
    <w:div w:id="1936549854">
      <w:bodyDiv w:val="1"/>
      <w:marLeft w:val="0"/>
      <w:marRight w:val="0"/>
      <w:marTop w:val="0"/>
      <w:marBottom w:val="0"/>
      <w:divBdr>
        <w:top w:val="none" w:sz="0" w:space="0" w:color="auto"/>
        <w:left w:val="none" w:sz="0" w:space="0" w:color="auto"/>
        <w:bottom w:val="none" w:sz="0" w:space="0" w:color="auto"/>
        <w:right w:val="none" w:sz="0" w:space="0" w:color="auto"/>
      </w:divBdr>
    </w:div>
    <w:div w:id="197062658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F6D59-6F24-4B4C-98E3-5838CD35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1413</Words>
  <Characters>8339</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Chocholoušová</dc:creator>
  <cp:lastModifiedBy>kurkin4488</cp:lastModifiedBy>
  <cp:revision>3</cp:revision>
  <cp:lastPrinted>2015-11-23T12:28:00Z</cp:lastPrinted>
  <dcterms:created xsi:type="dcterms:W3CDTF">2015-11-27T13:41:00Z</dcterms:created>
  <dcterms:modified xsi:type="dcterms:W3CDTF">2015-11-27T13:42:00Z</dcterms:modified>
</cp:coreProperties>
</file>