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417198" w:rsidRDefault="00E861F0" w:rsidP="00417198">
      <w:pPr>
        <w:pStyle w:val="Datum0"/>
      </w:pPr>
      <w:r>
        <w:t>5</w:t>
      </w:r>
      <w:r w:rsidR="00552C2F">
        <w:t>. 5</w:t>
      </w:r>
      <w:r w:rsidR="0039500D">
        <w:t>. 2014</w:t>
      </w:r>
    </w:p>
    <w:p w:rsidR="001B4EF5" w:rsidRDefault="00660F25" w:rsidP="00417198">
      <w:pPr>
        <w:pStyle w:val="Nzev"/>
      </w:pPr>
      <w:r>
        <w:t xml:space="preserve">Více než polovina </w:t>
      </w:r>
      <w:r w:rsidR="00F14ADC">
        <w:t>pracujících</w:t>
      </w:r>
      <w:r>
        <w:t xml:space="preserve"> je vystavena ve svém zaměstnání vlivům rizikovým pro jejich fyzické</w:t>
      </w:r>
      <w:r w:rsidR="008B0346">
        <w:t xml:space="preserve"> </w:t>
      </w:r>
      <w:r w:rsidR="00D65F3F" w:rsidRPr="008B0346">
        <w:t>nebo</w:t>
      </w:r>
      <w:r w:rsidR="00FC7C00" w:rsidRPr="008B0346">
        <w:t> </w:t>
      </w:r>
      <w:r w:rsidRPr="008B0346">
        <w:t>duševní zdraví</w:t>
      </w:r>
    </w:p>
    <w:p w:rsidR="00276CDB" w:rsidRDefault="0065251F" w:rsidP="00276CDB">
      <w:pPr>
        <w:pStyle w:val="Perex"/>
      </w:pPr>
      <w:r>
        <w:t xml:space="preserve">V roce 2013 utrpěl pracovní úraz každý </w:t>
      </w:r>
      <w:r w:rsidR="00105F00">
        <w:t>padesá</w:t>
      </w:r>
      <w:r w:rsidR="00A70DE7">
        <w:t>tý</w:t>
      </w:r>
      <w:r w:rsidR="00276CDB">
        <w:t xml:space="preserve"> </w:t>
      </w:r>
      <w:r w:rsidR="00105F00">
        <w:t>pracující,</w:t>
      </w:r>
      <w:r w:rsidR="00276CDB">
        <w:t xml:space="preserve"> </w:t>
      </w:r>
      <w:r>
        <w:t>zdravotní problémy související s výkonem zaměstnání</w:t>
      </w:r>
      <w:r w:rsidR="00276CDB">
        <w:t xml:space="preserve"> m</w:t>
      </w:r>
      <w:r w:rsidR="00BC6ABD">
        <w:t>ěl</w:t>
      </w:r>
      <w:r w:rsidR="00105F00">
        <w:t>o téměř pět procent zaměstnaných.</w:t>
      </w:r>
      <w:r w:rsidR="00BC6ABD">
        <w:t xml:space="preserve"> Pětina pracujících je při výkonu</w:t>
      </w:r>
      <w:r w:rsidR="00105F00">
        <w:t xml:space="preserve"> svého</w:t>
      </w:r>
      <w:r w:rsidR="00BC6ABD">
        <w:t xml:space="preserve"> zaměstnání vystavena rizikům</w:t>
      </w:r>
      <w:r w:rsidR="00A70DE7">
        <w:t>, která negativně ovlivňují</w:t>
      </w:r>
      <w:r w:rsidR="00BC6ABD">
        <w:t xml:space="preserve"> </w:t>
      </w:r>
      <w:r w:rsidR="00A70DE7">
        <w:t xml:space="preserve">jejich </w:t>
      </w:r>
      <w:r w:rsidR="00BC6ABD">
        <w:t xml:space="preserve">duševní zdraví a </w:t>
      </w:r>
      <w:r w:rsidR="00C36F6C">
        <w:t xml:space="preserve">čtyři z deseti respondentů </w:t>
      </w:r>
      <w:r w:rsidR="00A70DE7">
        <w:t>uvádějí</w:t>
      </w:r>
      <w:r w:rsidR="00C36F6C">
        <w:t xml:space="preserve"> </w:t>
      </w:r>
      <w:r w:rsidR="00366223">
        <w:t>faktory nepříznivě působící</w:t>
      </w:r>
      <w:r w:rsidR="00C36F6C">
        <w:t xml:space="preserve"> na jejich fyzický stav.</w:t>
      </w:r>
    </w:p>
    <w:p w:rsidR="00F9687A" w:rsidRDefault="00F9687A" w:rsidP="00F9687A">
      <w:r>
        <w:t>V průběhu roku 2013 se jako součást výběrového šetření pracovních sil v domácn</w:t>
      </w:r>
      <w:r w:rsidR="004A2EB6">
        <w:t>ostech (VŠPS) uskutečnilo ad hoc</w:t>
      </w:r>
      <w:r>
        <w:t xml:space="preserve"> zjišťování na téma „Pracovní úrazy a další pracovní problémy související s výkonem povolání</w:t>
      </w:r>
      <w:r w:rsidR="00E237B5">
        <w:t>“</w:t>
      </w:r>
      <w:r>
        <w:t xml:space="preserve">. Předmětem šetření byly </w:t>
      </w:r>
      <w:r w:rsidR="004A2EB6">
        <w:t>pracovní úrazy</w:t>
      </w:r>
      <w:r>
        <w:t xml:space="preserve"> a </w:t>
      </w:r>
      <w:r w:rsidR="004A2EB6">
        <w:t>další zdravotní problémy</w:t>
      </w:r>
      <w:r>
        <w:t xml:space="preserve">, </w:t>
      </w:r>
      <w:r w:rsidR="00FA61DC">
        <w:t>které se v průběhu dvanácti měsíců před datem šetření vyskytly v souvislosti s výkonem zaměstnání respondentů.</w:t>
      </w:r>
      <w:r w:rsidR="004F1594">
        <w:t xml:space="preserve"> Pozornost byla zaměřena i na faktory, které mohou mít nepříznivý vliv na duševní či fyzický stav respondentů.</w:t>
      </w:r>
    </w:p>
    <w:p w:rsidR="00882A3F" w:rsidRDefault="00882A3F" w:rsidP="00F9687A"/>
    <w:p w:rsidR="0039500D" w:rsidRDefault="008E334F" w:rsidP="00317374">
      <w:pPr>
        <w:jc w:val="left"/>
        <w:rPr>
          <w:b/>
        </w:rPr>
      </w:pPr>
      <w:r>
        <w:rPr>
          <w:b/>
        </w:rPr>
        <w:t>A. Četnost pracovních úrazů ovlivňuje především druh vykonávané profese</w:t>
      </w:r>
    </w:p>
    <w:p w:rsidR="00467A24" w:rsidRDefault="008E334F" w:rsidP="008E334F">
      <w:r>
        <w:t>Ze všech osob, které byly v minulém roce v zaměstnání nebo již sv</w:t>
      </w:r>
      <w:r w:rsidR="00BE66DE">
        <w:t>é zaměstnání ukončily před méně</w:t>
      </w:r>
      <w:r>
        <w:t xml:space="preserve"> než rokem </w:t>
      </w:r>
      <w:r w:rsidRPr="008B5B39">
        <w:t>od referenčního týdne</w:t>
      </w:r>
      <w:r w:rsidR="00BE66DE" w:rsidRPr="008B5B39">
        <w:t>,</w:t>
      </w:r>
      <w:r w:rsidRPr="008B5B39">
        <w:t xml:space="preserve"> utrpělo v průběhu dvanácti měsíců pracovní úraz celkem 95 tis. osob.</w:t>
      </w:r>
      <w:r w:rsidR="00BF387E" w:rsidRPr="008B5B39">
        <w:t xml:space="preserve"> Z necelých 5 tis. osob, které již nepracovaly, jich 1,5 tis. uvedlo, že pracovní úraz byl příčinou ukončení zaměstnání.</w:t>
      </w:r>
    </w:p>
    <w:p w:rsidR="00467A24" w:rsidRDefault="00467A24" w:rsidP="008E334F"/>
    <w:p w:rsidR="00AF4307" w:rsidRDefault="008E334F" w:rsidP="00203483">
      <w:r w:rsidRPr="00467A24">
        <w:rPr>
          <w:b/>
        </w:rPr>
        <w:t>Převážná většina úrazů (90 tis.) se týkala oso</w:t>
      </w:r>
      <w:r w:rsidR="00066D02" w:rsidRPr="00467A24">
        <w:rPr>
          <w:b/>
        </w:rPr>
        <w:t>b, které jsou zaměstnané</w:t>
      </w:r>
      <w:r w:rsidR="00066D02">
        <w:t>.</w:t>
      </w:r>
      <w:r w:rsidR="00467A24">
        <w:t xml:space="preserve"> </w:t>
      </w:r>
      <w:r>
        <w:t>Četnost úrazů vykazuje rozdíly jak podle pohlaví, tak zejména podle hlavních tříd klasifikace zaměstnání CZ</w:t>
      </w:r>
      <w:r w:rsidR="003121CD">
        <w:noBreakHyphen/>
      </w:r>
      <w:r>
        <w:t>ISCO.</w:t>
      </w:r>
      <w:r w:rsidR="00066D02">
        <w:t xml:space="preserve"> </w:t>
      </w:r>
      <w:r w:rsidR="008B0E0F">
        <w:t xml:space="preserve">Faktor pohlaví a konkrétní činnosti, kterou pracovník vykonává, se vzájemně ovlivňují. </w:t>
      </w:r>
      <w:r>
        <w:t xml:space="preserve">Pracovními úrazy jsou ohroženi </w:t>
      </w:r>
      <w:r w:rsidR="00BE66DE">
        <w:t>více</w:t>
      </w:r>
      <w:r w:rsidR="00F25D86">
        <w:t xml:space="preserve"> muži (2,5</w:t>
      </w:r>
      <w:r>
        <w:t> %), tento úraz utrpělo přibližně jedno procento všech pracujících žen.</w:t>
      </w:r>
      <w:r w:rsidR="00667293">
        <w:t xml:space="preserve"> Mezi rizikové hlavní třídy CZ-ISCO patří především kvalifikovaní dělníci v</w:t>
      </w:r>
      <w:r w:rsidR="00F25D86">
        <w:t> zemědělství a lesnictví (4,3 %</w:t>
      </w:r>
      <w:r w:rsidR="00667293">
        <w:t xml:space="preserve"> všech pracujících v těchto profesích</w:t>
      </w:r>
      <w:r w:rsidR="00F25D86">
        <w:t>)</w:t>
      </w:r>
      <w:r w:rsidR="00667293">
        <w:t xml:space="preserve"> a</w:t>
      </w:r>
      <w:r w:rsidR="003121CD">
        <w:t> </w:t>
      </w:r>
      <w:r w:rsidR="00667293">
        <w:t>velká skupina řemeslníků a opravářů (3,4 %). Nadprůměrná úrazovost byla i ve skupině pracovníků obsluhy strojů a zařízení</w:t>
      </w:r>
      <w:r w:rsidR="00F8386D">
        <w:t xml:space="preserve"> (2,6 %)</w:t>
      </w:r>
      <w:r w:rsidR="00667293">
        <w:t xml:space="preserve"> a mezi pomocnými a nekvalifikovanými pracovníky</w:t>
      </w:r>
      <w:r w:rsidR="00F8386D">
        <w:t xml:space="preserve"> (2,3 %).</w:t>
      </w:r>
      <w:r w:rsidR="00667293">
        <w:t xml:space="preserve"> </w:t>
      </w:r>
      <w:r w:rsidR="00F8386D">
        <w:t>Ú</w:t>
      </w:r>
      <w:r w:rsidR="00667293">
        <w:t xml:space="preserve">daje o zaměstnancích v ozbrojených silách nejsou vzhledem k velikosti výběrového souboru </w:t>
      </w:r>
      <w:r w:rsidR="00F8386D">
        <w:t>uváděny</w:t>
      </w:r>
      <w:r w:rsidR="00667293">
        <w:t>.</w:t>
      </w:r>
      <w:r w:rsidR="00016834">
        <w:t xml:space="preserve"> Naopak nízká míra úrazovosti byla zaznamenána u profesí, které zpravidla nejsou spojené s fyzicky náročnou činností a s rizikovým pracovním prostředím.</w:t>
      </w:r>
      <w:r w:rsidR="004D1DFF">
        <w:t xml:space="preserve"> Pracovní úrazy se prakticky nevyskytly v hlavní třídě zákonodárci a řídící pracovníci, mezi specialisty a mezi úředníky.</w:t>
      </w:r>
      <w:r w:rsidR="0043457D">
        <w:t xml:space="preserve"> </w:t>
      </w:r>
    </w:p>
    <w:p w:rsidR="00AF4307" w:rsidRDefault="00AF4307" w:rsidP="00203483"/>
    <w:p w:rsidR="008E334F" w:rsidRPr="008A4BCF" w:rsidRDefault="0043457D" w:rsidP="00203483">
      <w:pPr>
        <w:rPr>
          <w:vertAlign w:val="superscript"/>
        </w:rPr>
      </w:pPr>
      <w:r>
        <w:t>Relativně vysoká úrazovost v určitých profesích se bezprostředně promítá v úrovni úrazovosti v jednotlivých odvětvových sekcích.</w:t>
      </w:r>
      <w:r w:rsidR="00203483">
        <w:t xml:space="preserve"> Pracovní úrazy se </w:t>
      </w:r>
      <w:r w:rsidR="008A4BCF">
        <w:t>nevyskytují nebo se</w:t>
      </w:r>
      <w:r w:rsidR="00203483">
        <w:t xml:space="preserve"> vyskytují pouze v minimálním rozsahu např. v peněžnictví a pojišťovnictví, činnostech v oblasti nemovitostí, v informačních a komunikačních činnostech nebo </w:t>
      </w:r>
      <w:r w:rsidR="00AF4307">
        <w:t>profesních činnostech</w:t>
      </w:r>
      <w:r w:rsidR="00203483">
        <w:t>.</w:t>
      </w:r>
      <w:r w:rsidR="008A4BCF">
        <w:t xml:space="preserve"> Naopak úrazovost je </w:t>
      </w:r>
      <w:r w:rsidR="008A4BCF">
        <w:lastRenderedPageBreak/>
        <w:t>relativně vysoká</w:t>
      </w:r>
      <w:r w:rsidR="00743F06">
        <w:t xml:space="preserve"> v primárním sektoru a sekundárních odvětvích těžba a dobývání, zpracovatelský průmysl a stavebnictví.</w:t>
      </w:r>
      <w:r w:rsidR="00EE5190">
        <w:t xml:space="preserve"> V sektoru služeb byla úrazovost vyšší v odvětví ubytování, stravování a pohostinství a navíc</w:t>
      </w:r>
      <w:r w:rsidR="001E0A68">
        <w:t xml:space="preserve"> i</w:t>
      </w:r>
      <w:r w:rsidR="00EE5190">
        <w:t xml:space="preserve"> v sekci kulturní, zábavní a rekreační činnosti.</w:t>
      </w:r>
    </w:p>
    <w:p w:rsidR="008E334F" w:rsidRDefault="008E334F" w:rsidP="00185A9E">
      <w:pPr>
        <w:jc w:val="left"/>
      </w:pPr>
    </w:p>
    <w:tbl>
      <w:tblPr>
        <w:tblW w:w="8352" w:type="dxa"/>
        <w:tblInd w:w="56" w:type="dxa"/>
        <w:tblLayout w:type="fixed"/>
        <w:tblCellMar>
          <w:left w:w="70" w:type="dxa"/>
          <w:right w:w="70" w:type="dxa"/>
        </w:tblCellMar>
        <w:tblLook w:val="04A0"/>
      </w:tblPr>
      <w:tblGrid>
        <w:gridCol w:w="4676"/>
        <w:gridCol w:w="647"/>
        <w:gridCol w:w="209"/>
        <w:gridCol w:w="680"/>
        <w:gridCol w:w="176"/>
        <w:gridCol w:w="856"/>
        <w:gridCol w:w="1108"/>
      </w:tblGrid>
      <w:tr w:rsidR="00E84198" w:rsidRPr="00E84198" w:rsidTr="009715F0">
        <w:trPr>
          <w:trHeight w:val="600"/>
        </w:trPr>
        <w:tc>
          <w:tcPr>
            <w:tcW w:w="8352" w:type="dxa"/>
            <w:gridSpan w:val="7"/>
            <w:tcBorders>
              <w:top w:val="nil"/>
              <w:left w:val="nil"/>
              <w:bottom w:val="nil"/>
              <w:right w:val="nil"/>
            </w:tcBorders>
            <w:shd w:val="clear" w:color="auto" w:fill="auto"/>
            <w:vAlign w:val="center"/>
            <w:hideMark/>
          </w:tcPr>
          <w:p w:rsidR="00E84198" w:rsidRPr="00E84198" w:rsidRDefault="00E84198" w:rsidP="00E84198">
            <w:pPr>
              <w:spacing w:line="240" w:lineRule="auto"/>
              <w:jc w:val="left"/>
              <w:rPr>
                <w:rFonts w:eastAsia="Times New Roman" w:cs="Arial"/>
                <w:b/>
                <w:bCs/>
                <w:szCs w:val="20"/>
                <w:lang w:eastAsia="cs-CZ"/>
              </w:rPr>
            </w:pPr>
            <w:r w:rsidRPr="00E84198">
              <w:rPr>
                <w:rFonts w:eastAsia="Times New Roman" w:cs="Arial"/>
                <w:b/>
                <w:bCs/>
                <w:szCs w:val="20"/>
                <w:lang w:eastAsia="cs-CZ"/>
              </w:rPr>
              <w:t>Počet a podíl pracovních úrazů ve vybraných odvětvových sekcích CZ-NACE a podle postavení v zaměstnání v roce 2013</w:t>
            </w:r>
          </w:p>
        </w:tc>
      </w:tr>
      <w:tr w:rsidR="00E84198" w:rsidRPr="00E84198" w:rsidTr="009715F0">
        <w:trPr>
          <w:trHeight w:val="225"/>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color w:val="FF0000"/>
                <w:sz w:val="16"/>
                <w:szCs w:val="16"/>
                <w:lang w:eastAsia="cs-CZ"/>
              </w:rPr>
            </w:pPr>
          </w:p>
        </w:tc>
        <w:tc>
          <w:tcPr>
            <w:tcW w:w="647"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889" w:type="dxa"/>
            <w:gridSpan w:val="2"/>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1032" w:type="dxa"/>
            <w:gridSpan w:val="2"/>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r>
      <w:tr w:rsidR="00E84198" w:rsidRPr="00E84198" w:rsidTr="009715F0">
        <w:trPr>
          <w:trHeight w:val="675"/>
        </w:trPr>
        <w:tc>
          <w:tcPr>
            <w:tcW w:w="4676" w:type="dxa"/>
            <w:vMerge w:val="restart"/>
            <w:tcBorders>
              <w:top w:val="single" w:sz="8" w:space="0" w:color="auto"/>
              <w:left w:val="nil"/>
              <w:bottom w:val="single" w:sz="8" w:space="0" w:color="000000"/>
              <w:right w:val="nil"/>
            </w:tcBorders>
            <w:shd w:val="clear" w:color="auto" w:fill="auto"/>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Pracovní úraz v posledních 12 měsících</w:t>
            </w:r>
          </w:p>
        </w:tc>
        <w:tc>
          <w:tcPr>
            <w:tcW w:w="2568" w:type="dxa"/>
            <w:gridSpan w:val="5"/>
            <w:tcBorders>
              <w:top w:val="single" w:sz="8" w:space="0" w:color="auto"/>
              <w:left w:val="single" w:sz="4" w:space="0" w:color="auto"/>
              <w:bottom w:val="single" w:sz="4" w:space="0" w:color="auto"/>
              <w:right w:val="nil"/>
            </w:tcBorders>
            <w:shd w:val="clear" w:color="auto" w:fill="auto"/>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Pracující s úrazem (v tis.)</w:t>
            </w:r>
          </w:p>
        </w:tc>
        <w:tc>
          <w:tcPr>
            <w:tcW w:w="1108" w:type="dxa"/>
            <w:tcBorders>
              <w:top w:val="single" w:sz="8" w:space="0" w:color="auto"/>
              <w:left w:val="single" w:sz="4" w:space="0" w:color="auto"/>
              <w:bottom w:val="single" w:sz="4" w:space="0" w:color="auto"/>
              <w:right w:val="nil"/>
            </w:tcBorders>
            <w:shd w:val="clear" w:color="auto" w:fill="auto"/>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Podíl v % na počtu pracujících</w:t>
            </w:r>
          </w:p>
        </w:tc>
      </w:tr>
      <w:tr w:rsidR="00E84198" w:rsidRPr="00E84198" w:rsidTr="009715F0">
        <w:trPr>
          <w:trHeight w:val="315"/>
        </w:trPr>
        <w:tc>
          <w:tcPr>
            <w:tcW w:w="4676" w:type="dxa"/>
            <w:vMerge/>
            <w:tcBorders>
              <w:top w:val="single" w:sz="8" w:space="0" w:color="auto"/>
              <w:left w:val="nil"/>
              <w:bottom w:val="single" w:sz="8" w:space="0" w:color="000000"/>
              <w:right w:val="nil"/>
            </w:tcBorders>
            <w:vAlign w:val="center"/>
            <w:hideMark/>
          </w:tcPr>
          <w:p w:rsidR="00E84198" w:rsidRPr="00E84198" w:rsidRDefault="00E84198" w:rsidP="00E84198">
            <w:pPr>
              <w:spacing w:line="240" w:lineRule="auto"/>
              <w:jc w:val="left"/>
              <w:rPr>
                <w:rFonts w:eastAsia="Times New Roman" w:cs="Arial"/>
                <w:sz w:val="16"/>
                <w:szCs w:val="16"/>
                <w:lang w:eastAsia="cs-CZ"/>
              </w:rPr>
            </w:pPr>
          </w:p>
        </w:tc>
        <w:tc>
          <w:tcPr>
            <w:tcW w:w="856" w:type="dxa"/>
            <w:gridSpan w:val="2"/>
            <w:tcBorders>
              <w:top w:val="nil"/>
              <w:left w:val="single" w:sz="4" w:space="0" w:color="auto"/>
              <w:bottom w:val="single" w:sz="8" w:space="0" w:color="auto"/>
              <w:right w:val="single" w:sz="4" w:space="0" w:color="auto"/>
            </w:tcBorders>
            <w:shd w:val="clear" w:color="auto" w:fill="auto"/>
            <w:noWrap/>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celkem</w:t>
            </w:r>
          </w:p>
        </w:tc>
        <w:tc>
          <w:tcPr>
            <w:tcW w:w="856" w:type="dxa"/>
            <w:gridSpan w:val="2"/>
            <w:tcBorders>
              <w:top w:val="nil"/>
              <w:left w:val="nil"/>
              <w:bottom w:val="single" w:sz="8" w:space="0" w:color="auto"/>
              <w:right w:val="single" w:sz="4" w:space="0" w:color="auto"/>
            </w:tcBorders>
            <w:shd w:val="clear" w:color="auto" w:fill="auto"/>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muži</w:t>
            </w:r>
          </w:p>
        </w:tc>
        <w:tc>
          <w:tcPr>
            <w:tcW w:w="856" w:type="dxa"/>
            <w:tcBorders>
              <w:top w:val="nil"/>
              <w:left w:val="nil"/>
              <w:bottom w:val="single" w:sz="8" w:space="0" w:color="auto"/>
              <w:right w:val="nil"/>
            </w:tcBorders>
            <w:shd w:val="clear" w:color="auto" w:fill="auto"/>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ženy</w:t>
            </w:r>
          </w:p>
        </w:tc>
        <w:tc>
          <w:tcPr>
            <w:tcW w:w="1108" w:type="dxa"/>
            <w:tcBorders>
              <w:top w:val="nil"/>
              <w:left w:val="single" w:sz="4" w:space="0" w:color="auto"/>
              <w:bottom w:val="single" w:sz="8" w:space="0" w:color="auto"/>
              <w:right w:val="nil"/>
            </w:tcBorders>
            <w:shd w:val="clear" w:color="auto" w:fill="auto"/>
            <w:noWrap/>
            <w:vAlign w:val="center"/>
            <w:hideMark/>
          </w:tcPr>
          <w:p w:rsidR="00E84198" w:rsidRPr="00E84198" w:rsidRDefault="00E84198" w:rsidP="00E84198">
            <w:pPr>
              <w:spacing w:line="240" w:lineRule="auto"/>
              <w:jc w:val="center"/>
              <w:rPr>
                <w:rFonts w:eastAsia="Times New Roman" w:cs="Arial"/>
                <w:sz w:val="16"/>
                <w:szCs w:val="16"/>
                <w:lang w:eastAsia="cs-CZ"/>
              </w:rPr>
            </w:pPr>
            <w:r w:rsidRPr="00E84198">
              <w:rPr>
                <w:rFonts w:eastAsia="Times New Roman" w:cs="Arial"/>
                <w:sz w:val="16"/>
                <w:szCs w:val="16"/>
                <w:lang w:eastAsia="cs-CZ"/>
              </w:rPr>
              <w:t>celkem</w:t>
            </w:r>
          </w:p>
        </w:tc>
      </w:tr>
      <w:tr w:rsidR="00E84198" w:rsidRPr="00E84198" w:rsidTr="009715F0">
        <w:trPr>
          <w:trHeight w:val="300"/>
        </w:trPr>
        <w:tc>
          <w:tcPr>
            <w:tcW w:w="4676" w:type="dxa"/>
            <w:tcBorders>
              <w:top w:val="nil"/>
              <w:left w:val="nil"/>
              <w:bottom w:val="nil"/>
              <w:right w:val="nil"/>
            </w:tcBorders>
            <w:shd w:val="clear" w:color="auto" w:fill="auto"/>
            <w:vAlign w:val="bottom"/>
            <w:hideMark/>
          </w:tcPr>
          <w:p w:rsidR="00E84198" w:rsidRPr="00E84198" w:rsidRDefault="00E84198" w:rsidP="00E84198">
            <w:pPr>
              <w:spacing w:line="240" w:lineRule="auto"/>
              <w:jc w:val="left"/>
              <w:rPr>
                <w:rFonts w:eastAsia="Times New Roman" w:cs="Arial"/>
                <w:b/>
                <w:bCs/>
                <w:sz w:val="16"/>
                <w:szCs w:val="16"/>
                <w:lang w:eastAsia="cs-CZ"/>
              </w:rPr>
            </w:pPr>
            <w:bookmarkStart w:id="0" w:name="RANGE!A5"/>
            <w:r w:rsidRPr="00E84198">
              <w:rPr>
                <w:rFonts w:eastAsia="Times New Roman" w:cs="Arial"/>
                <w:b/>
                <w:bCs/>
                <w:sz w:val="16"/>
                <w:szCs w:val="16"/>
                <w:lang w:eastAsia="cs-CZ"/>
              </w:rPr>
              <w:t>Celkem</w:t>
            </w:r>
            <w:bookmarkEnd w:id="0"/>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b/>
                <w:bCs/>
                <w:sz w:val="16"/>
                <w:szCs w:val="16"/>
                <w:lang w:eastAsia="cs-CZ"/>
              </w:rPr>
            </w:pPr>
            <w:r w:rsidRPr="00E84198">
              <w:rPr>
                <w:rFonts w:eastAsia="Times New Roman" w:cs="Arial"/>
                <w:b/>
                <w:bCs/>
                <w:sz w:val="16"/>
                <w:szCs w:val="16"/>
                <w:lang w:eastAsia="cs-CZ"/>
              </w:rPr>
              <w:t xml:space="preserve">89,9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b/>
                <w:bCs/>
                <w:sz w:val="16"/>
                <w:szCs w:val="16"/>
                <w:lang w:eastAsia="cs-CZ"/>
              </w:rPr>
            </w:pPr>
            <w:r w:rsidRPr="00E84198">
              <w:rPr>
                <w:rFonts w:eastAsia="Times New Roman" w:cs="Arial"/>
                <w:b/>
                <w:bCs/>
                <w:sz w:val="16"/>
                <w:szCs w:val="16"/>
                <w:lang w:eastAsia="cs-CZ"/>
              </w:rPr>
              <w:t xml:space="preserve">70,3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b/>
                <w:bCs/>
                <w:sz w:val="16"/>
                <w:szCs w:val="16"/>
                <w:lang w:eastAsia="cs-CZ"/>
              </w:rPr>
            </w:pPr>
            <w:r w:rsidRPr="00E84198">
              <w:rPr>
                <w:rFonts w:eastAsia="Times New Roman" w:cs="Arial"/>
                <w:b/>
                <w:bCs/>
                <w:sz w:val="16"/>
                <w:szCs w:val="16"/>
                <w:lang w:eastAsia="cs-CZ"/>
              </w:rPr>
              <w:t xml:space="preserve">19,6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b/>
                <w:bCs/>
                <w:sz w:val="16"/>
                <w:szCs w:val="16"/>
                <w:lang w:eastAsia="cs-CZ"/>
              </w:rPr>
            </w:pPr>
            <w:r w:rsidRPr="00E84198">
              <w:rPr>
                <w:rFonts w:eastAsia="Times New Roman" w:cs="Arial"/>
                <w:b/>
                <w:bCs/>
                <w:sz w:val="16"/>
                <w:szCs w:val="16"/>
                <w:lang w:eastAsia="cs-CZ"/>
              </w:rPr>
              <w:t xml:space="preserve">1,8 </w:t>
            </w:r>
          </w:p>
        </w:tc>
      </w:tr>
      <w:tr w:rsidR="00E84198" w:rsidRPr="00E84198" w:rsidTr="009715F0">
        <w:trPr>
          <w:trHeight w:val="285"/>
        </w:trPr>
        <w:tc>
          <w:tcPr>
            <w:tcW w:w="4676" w:type="dxa"/>
            <w:tcBorders>
              <w:top w:val="nil"/>
              <w:left w:val="nil"/>
              <w:bottom w:val="nil"/>
              <w:right w:val="nil"/>
            </w:tcBorders>
            <w:shd w:val="clear" w:color="auto" w:fill="auto"/>
            <w:vAlign w:val="bottom"/>
            <w:hideMark/>
          </w:tcPr>
          <w:p w:rsidR="00E84198" w:rsidRPr="00E84198" w:rsidRDefault="00E84198" w:rsidP="00E84198">
            <w:pPr>
              <w:spacing w:line="240" w:lineRule="auto"/>
              <w:jc w:val="left"/>
              <w:rPr>
                <w:rFonts w:eastAsia="Times New Roman" w:cs="Arial"/>
                <w:b/>
                <w:bCs/>
                <w:sz w:val="16"/>
                <w:szCs w:val="16"/>
                <w:lang w:eastAsia="cs-CZ"/>
              </w:rPr>
            </w:pPr>
            <w:r w:rsidRPr="00E84198">
              <w:rPr>
                <w:rFonts w:eastAsia="Times New Roman" w:cs="Arial"/>
                <w:b/>
                <w:bCs/>
                <w:sz w:val="16"/>
                <w:szCs w:val="16"/>
                <w:lang w:eastAsia="cs-CZ"/>
              </w:rPr>
              <w:t xml:space="preserve">  Postavení v zaměstnání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w:t>
            </w:r>
          </w:p>
        </w:tc>
      </w:tr>
      <w:tr w:rsidR="00E84198" w:rsidRPr="00E84198" w:rsidTr="009715F0">
        <w:trPr>
          <w:trHeight w:val="227"/>
        </w:trPr>
        <w:tc>
          <w:tcPr>
            <w:tcW w:w="4676" w:type="dxa"/>
            <w:tcBorders>
              <w:top w:val="nil"/>
              <w:left w:val="nil"/>
              <w:bottom w:val="nil"/>
              <w:right w:val="nil"/>
            </w:tcBorders>
            <w:shd w:val="clear" w:color="auto" w:fill="auto"/>
            <w:vAlign w:val="center"/>
            <w:hideMark/>
          </w:tcPr>
          <w:p w:rsidR="00E84198" w:rsidRPr="00E84198" w:rsidRDefault="00E84198" w:rsidP="00E84198">
            <w:pPr>
              <w:spacing w:line="240" w:lineRule="auto"/>
              <w:ind w:firstLineChars="100" w:firstLine="160"/>
              <w:jc w:val="left"/>
              <w:rPr>
                <w:rFonts w:eastAsia="Times New Roman" w:cs="Arial"/>
                <w:sz w:val="16"/>
                <w:szCs w:val="16"/>
                <w:lang w:eastAsia="cs-CZ"/>
              </w:rPr>
            </w:pPr>
            <w:r w:rsidRPr="00E84198">
              <w:rPr>
                <w:rFonts w:eastAsia="Times New Roman" w:cs="Arial"/>
                <w:sz w:val="16"/>
                <w:szCs w:val="16"/>
                <w:lang w:eastAsia="cs-CZ"/>
              </w:rPr>
              <w:t>zaměstnanec nebo člen produkčního družstva</w:t>
            </w:r>
          </w:p>
        </w:tc>
        <w:tc>
          <w:tcPr>
            <w:tcW w:w="856" w:type="dxa"/>
            <w:gridSpan w:val="2"/>
            <w:tcBorders>
              <w:top w:val="nil"/>
              <w:left w:val="single" w:sz="4" w:space="0" w:color="auto"/>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70,5 </w:t>
            </w:r>
          </w:p>
        </w:tc>
        <w:tc>
          <w:tcPr>
            <w:tcW w:w="856" w:type="dxa"/>
            <w:gridSpan w:val="2"/>
            <w:tcBorders>
              <w:top w:val="nil"/>
              <w:left w:val="nil"/>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52,9 </w:t>
            </w:r>
          </w:p>
        </w:tc>
        <w:tc>
          <w:tcPr>
            <w:tcW w:w="856" w:type="dxa"/>
            <w:tcBorders>
              <w:top w:val="nil"/>
              <w:left w:val="nil"/>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17,6 </w:t>
            </w:r>
          </w:p>
        </w:tc>
        <w:tc>
          <w:tcPr>
            <w:tcW w:w="1108" w:type="dxa"/>
            <w:tcBorders>
              <w:top w:val="nil"/>
              <w:left w:val="nil"/>
              <w:bottom w:val="nil"/>
              <w:right w:val="nil"/>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1,7 </w:t>
            </w:r>
          </w:p>
        </w:tc>
      </w:tr>
      <w:tr w:rsidR="00E84198" w:rsidRPr="00E84198" w:rsidTr="009715F0">
        <w:trPr>
          <w:trHeight w:val="227"/>
        </w:trPr>
        <w:tc>
          <w:tcPr>
            <w:tcW w:w="4676" w:type="dxa"/>
            <w:tcBorders>
              <w:top w:val="nil"/>
              <w:left w:val="nil"/>
              <w:bottom w:val="nil"/>
              <w:right w:val="nil"/>
            </w:tcBorders>
            <w:shd w:val="clear" w:color="auto" w:fill="auto"/>
            <w:vAlign w:val="center"/>
            <w:hideMark/>
          </w:tcPr>
          <w:p w:rsidR="00E84198" w:rsidRPr="00E84198" w:rsidRDefault="00E84198" w:rsidP="00E84198">
            <w:pPr>
              <w:spacing w:line="240" w:lineRule="auto"/>
              <w:ind w:firstLineChars="100" w:firstLine="160"/>
              <w:jc w:val="left"/>
              <w:rPr>
                <w:rFonts w:eastAsia="Times New Roman" w:cs="Arial"/>
                <w:sz w:val="16"/>
                <w:szCs w:val="16"/>
                <w:lang w:eastAsia="cs-CZ"/>
              </w:rPr>
            </w:pPr>
            <w:r w:rsidRPr="00E84198">
              <w:rPr>
                <w:rFonts w:eastAsia="Times New Roman" w:cs="Arial"/>
                <w:sz w:val="16"/>
                <w:szCs w:val="16"/>
                <w:lang w:eastAsia="cs-CZ"/>
              </w:rPr>
              <w:t>podnikatel nebo pomáhající rodinný příslušník</w:t>
            </w:r>
          </w:p>
        </w:tc>
        <w:tc>
          <w:tcPr>
            <w:tcW w:w="856" w:type="dxa"/>
            <w:gridSpan w:val="2"/>
            <w:tcBorders>
              <w:top w:val="nil"/>
              <w:left w:val="single" w:sz="4" w:space="0" w:color="auto"/>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19,4 </w:t>
            </w:r>
          </w:p>
        </w:tc>
        <w:tc>
          <w:tcPr>
            <w:tcW w:w="856" w:type="dxa"/>
            <w:gridSpan w:val="2"/>
            <w:tcBorders>
              <w:top w:val="nil"/>
              <w:left w:val="nil"/>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17,5 </w:t>
            </w:r>
          </w:p>
        </w:tc>
        <w:tc>
          <w:tcPr>
            <w:tcW w:w="856" w:type="dxa"/>
            <w:tcBorders>
              <w:top w:val="nil"/>
              <w:left w:val="nil"/>
              <w:bottom w:val="nil"/>
              <w:right w:val="single" w:sz="4" w:space="0" w:color="auto"/>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2,0 </w:t>
            </w:r>
          </w:p>
        </w:tc>
        <w:tc>
          <w:tcPr>
            <w:tcW w:w="1108" w:type="dxa"/>
            <w:tcBorders>
              <w:top w:val="nil"/>
              <w:left w:val="nil"/>
              <w:bottom w:val="nil"/>
              <w:right w:val="nil"/>
            </w:tcBorders>
            <w:shd w:val="clear" w:color="auto" w:fill="auto"/>
            <w:noWrap/>
            <w:vAlign w:val="center"/>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2,2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b/>
                <w:bCs/>
                <w:sz w:val="16"/>
                <w:szCs w:val="16"/>
                <w:lang w:eastAsia="cs-CZ"/>
              </w:rPr>
            </w:pPr>
            <w:r w:rsidRPr="00E84198">
              <w:rPr>
                <w:rFonts w:eastAsia="Times New Roman" w:cs="Arial"/>
                <w:b/>
                <w:bCs/>
                <w:sz w:val="16"/>
                <w:szCs w:val="16"/>
                <w:lang w:eastAsia="cs-CZ"/>
              </w:rPr>
              <w:t xml:space="preserve">  Sekce CZ-NACE</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b/>
                <w:bCs/>
                <w:sz w:val="16"/>
                <w:szCs w:val="16"/>
                <w:lang w:eastAsia="cs-CZ"/>
              </w:rPr>
            </w:pPr>
            <w:r w:rsidRPr="00E84198">
              <w:rPr>
                <w:rFonts w:eastAsia="Times New Roman" w:cs="Arial"/>
                <w:b/>
                <w:bCs/>
                <w:sz w:val="16"/>
                <w:szCs w:val="16"/>
                <w:lang w:eastAsia="cs-CZ"/>
              </w:rPr>
              <w:t xml:space="preserve">  z toho:</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r w:rsidRPr="00E84198">
              <w:rPr>
                <w:rFonts w:eastAsia="Times New Roman" w:cs="Arial"/>
                <w:sz w:val="16"/>
                <w:szCs w:val="16"/>
                <w:lang w:eastAsia="cs-CZ"/>
              </w:rPr>
              <w:t>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A  zemědělství</w:t>
            </w:r>
            <w:proofErr w:type="gramEnd"/>
            <w:r w:rsidRPr="00E84198">
              <w:rPr>
                <w:rFonts w:eastAsia="Times New Roman" w:cs="Arial"/>
                <w:sz w:val="16"/>
                <w:szCs w:val="16"/>
                <w:lang w:eastAsia="cs-CZ"/>
              </w:rPr>
              <w:t>, lesnictví a rybářství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5,6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4,6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1,1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3,9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B  těžba</w:t>
            </w:r>
            <w:proofErr w:type="gramEnd"/>
            <w:r w:rsidRPr="00E84198">
              <w:rPr>
                <w:rFonts w:eastAsia="Times New Roman" w:cs="Arial"/>
                <w:sz w:val="16"/>
                <w:szCs w:val="16"/>
                <w:lang w:eastAsia="cs-CZ"/>
              </w:rPr>
              <w:t xml:space="preserve"> a dobývání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1,1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1,1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2,8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C  zpracovatelský</w:t>
            </w:r>
            <w:proofErr w:type="gramEnd"/>
            <w:r w:rsidRPr="00E84198">
              <w:rPr>
                <w:rFonts w:eastAsia="Times New Roman" w:cs="Arial"/>
                <w:sz w:val="16"/>
                <w:szCs w:val="16"/>
                <w:lang w:eastAsia="cs-CZ"/>
              </w:rPr>
              <w:t xml:space="preserve"> průmysl</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31,7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26,7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5,0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2,4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F  stavebnictví</w:t>
            </w:r>
            <w:proofErr w:type="gramEnd"/>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13,9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13,9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3,3 </w:t>
            </w:r>
          </w:p>
        </w:tc>
      </w:tr>
      <w:tr w:rsidR="00E84198" w:rsidRPr="00E84198" w:rsidTr="009715F0">
        <w:trPr>
          <w:trHeight w:val="227"/>
        </w:trPr>
        <w:tc>
          <w:tcPr>
            <w:tcW w:w="4676" w:type="dxa"/>
            <w:tcBorders>
              <w:top w:val="nil"/>
              <w:left w:val="nil"/>
              <w:bottom w:val="nil"/>
              <w:right w:val="nil"/>
            </w:tcBorders>
            <w:shd w:val="clear" w:color="auto" w:fill="auto"/>
            <w:vAlign w:val="bottom"/>
            <w:hideMark/>
          </w:tcPr>
          <w:p w:rsidR="00E84198" w:rsidRPr="00E84198" w:rsidRDefault="00E84198" w:rsidP="002C6C7D">
            <w:pPr>
              <w:spacing w:line="240" w:lineRule="auto"/>
              <w:ind w:left="378" w:hanging="224"/>
              <w:jc w:val="left"/>
              <w:rPr>
                <w:rFonts w:eastAsia="Times New Roman" w:cs="Arial"/>
                <w:sz w:val="16"/>
                <w:szCs w:val="16"/>
                <w:lang w:eastAsia="cs-CZ"/>
              </w:rPr>
            </w:pPr>
            <w:proofErr w:type="gramStart"/>
            <w:r w:rsidRPr="00E84198">
              <w:rPr>
                <w:rFonts w:eastAsia="Times New Roman" w:cs="Arial"/>
                <w:sz w:val="16"/>
                <w:szCs w:val="16"/>
                <w:lang w:eastAsia="cs-CZ"/>
              </w:rPr>
              <w:t>G  velkoobchod</w:t>
            </w:r>
            <w:proofErr w:type="gramEnd"/>
            <w:r w:rsidRPr="00E84198">
              <w:rPr>
                <w:rFonts w:eastAsia="Times New Roman" w:cs="Arial"/>
                <w:sz w:val="16"/>
                <w:szCs w:val="16"/>
                <w:lang w:eastAsia="cs-CZ"/>
              </w:rPr>
              <w:t xml:space="preserve"> a m</w:t>
            </w:r>
            <w:r w:rsidR="009715F0">
              <w:rPr>
                <w:rFonts w:eastAsia="Times New Roman" w:cs="Arial"/>
                <w:sz w:val="16"/>
                <w:szCs w:val="16"/>
                <w:lang w:eastAsia="cs-CZ"/>
              </w:rPr>
              <w:t xml:space="preserve">aloobchod; opravy a údržba </w:t>
            </w:r>
            <w:r w:rsidRPr="00E84198">
              <w:rPr>
                <w:rFonts w:eastAsia="Times New Roman" w:cs="Arial"/>
                <w:sz w:val="16"/>
                <w:szCs w:val="16"/>
                <w:lang w:eastAsia="cs-CZ"/>
              </w:rPr>
              <w:t>motorových vozidel</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8,8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6,6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2,3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1,5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H  doprava</w:t>
            </w:r>
            <w:proofErr w:type="gramEnd"/>
            <w:r w:rsidRPr="00E84198">
              <w:rPr>
                <w:rFonts w:eastAsia="Times New Roman" w:cs="Arial"/>
                <w:sz w:val="16"/>
                <w:szCs w:val="16"/>
                <w:lang w:eastAsia="cs-CZ"/>
              </w:rPr>
              <w:t xml:space="preserve"> a skladování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5,3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4,4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0,9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1,8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I   ubytování</w:t>
            </w:r>
            <w:proofErr w:type="gramEnd"/>
            <w:r w:rsidRPr="00E84198">
              <w:rPr>
                <w:rFonts w:eastAsia="Times New Roman" w:cs="Arial"/>
                <w:sz w:val="16"/>
                <w:szCs w:val="16"/>
                <w:lang w:eastAsia="cs-CZ"/>
              </w:rPr>
              <w:t>, stravování a pohostinství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6,6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3,5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3,1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3,7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J  informační</w:t>
            </w:r>
            <w:proofErr w:type="gramEnd"/>
            <w:r w:rsidRPr="00E84198">
              <w:rPr>
                <w:rFonts w:eastAsia="Times New Roman" w:cs="Arial"/>
                <w:sz w:val="16"/>
                <w:szCs w:val="16"/>
                <w:lang w:eastAsia="cs-CZ"/>
              </w:rPr>
              <w:t xml:space="preserve"> a komunikační činnosti</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1,1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1,1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0,7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N  administrativní</w:t>
            </w:r>
            <w:proofErr w:type="gramEnd"/>
            <w:r w:rsidRPr="00E84198">
              <w:rPr>
                <w:rFonts w:eastAsia="Times New Roman" w:cs="Arial"/>
                <w:sz w:val="16"/>
                <w:szCs w:val="16"/>
                <w:lang w:eastAsia="cs-CZ"/>
              </w:rPr>
              <w:t xml:space="preserve"> a podpůrné činnosti</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2,0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1,8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1,6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O  veřejná</w:t>
            </w:r>
            <w:proofErr w:type="gramEnd"/>
            <w:r w:rsidRPr="00E84198">
              <w:rPr>
                <w:rFonts w:eastAsia="Times New Roman" w:cs="Arial"/>
                <w:sz w:val="16"/>
                <w:szCs w:val="16"/>
                <w:lang w:eastAsia="cs-CZ"/>
              </w:rPr>
              <w:t xml:space="preserve"> správa a obrana; povinné sociální zabezpečení</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3,1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3,1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1,0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P  vzdělávání</w:t>
            </w:r>
            <w:proofErr w:type="gramEnd"/>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2,4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2,2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0,7 </w:t>
            </w:r>
          </w:p>
        </w:tc>
      </w:tr>
      <w:tr w:rsidR="00E84198" w:rsidRPr="00E84198" w:rsidTr="009715F0">
        <w:trPr>
          <w:trHeight w:val="227"/>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Q  zdravotní</w:t>
            </w:r>
            <w:proofErr w:type="gramEnd"/>
            <w:r w:rsidRPr="00E84198">
              <w:rPr>
                <w:rFonts w:eastAsia="Times New Roman" w:cs="Arial"/>
                <w:sz w:val="16"/>
                <w:szCs w:val="16"/>
                <w:lang w:eastAsia="cs-CZ"/>
              </w:rPr>
              <w:t xml:space="preserve"> a sociální péče</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3,3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3,1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0,9 </w:t>
            </w:r>
          </w:p>
        </w:tc>
      </w:tr>
      <w:tr w:rsidR="00E84198" w:rsidRPr="00E84198" w:rsidTr="009715F0">
        <w:trPr>
          <w:trHeight w:val="227"/>
        </w:trPr>
        <w:tc>
          <w:tcPr>
            <w:tcW w:w="4676" w:type="dxa"/>
            <w:tcBorders>
              <w:top w:val="nil"/>
              <w:left w:val="nil"/>
              <w:bottom w:val="nil"/>
              <w:right w:val="nil"/>
            </w:tcBorders>
            <w:shd w:val="clear" w:color="auto" w:fill="auto"/>
            <w:vAlign w:val="bottom"/>
            <w:hideMark/>
          </w:tcPr>
          <w:p w:rsidR="00E84198" w:rsidRPr="00E84198" w:rsidRDefault="00E84198" w:rsidP="009715F0">
            <w:pPr>
              <w:spacing w:line="240" w:lineRule="auto"/>
              <w:ind w:firstLineChars="100" w:firstLine="160"/>
              <w:jc w:val="left"/>
              <w:rPr>
                <w:rFonts w:eastAsia="Times New Roman" w:cs="Arial"/>
                <w:sz w:val="16"/>
                <w:szCs w:val="16"/>
                <w:lang w:eastAsia="cs-CZ"/>
              </w:rPr>
            </w:pPr>
            <w:proofErr w:type="gramStart"/>
            <w:r w:rsidRPr="00E84198">
              <w:rPr>
                <w:rFonts w:eastAsia="Times New Roman" w:cs="Arial"/>
                <w:sz w:val="16"/>
                <w:szCs w:val="16"/>
                <w:lang w:eastAsia="cs-CZ"/>
              </w:rPr>
              <w:t xml:space="preserve">R </w:t>
            </w:r>
            <w:r w:rsidR="009715F0">
              <w:rPr>
                <w:rFonts w:eastAsia="Times New Roman" w:cs="Arial"/>
                <w:sz w:val="16"/>
                <w:szCs w:val="16"/>
                <w:lang w:eastAsia="cs-CZ"/>
              </w:rPr>
              <w:t xml:space="preserve"> kulturní</w:t>
            </w:r>
            <w:proofErr w:type="gramEnd"/>
            <w:r w:rsidR="009715F0">
              <w:rPr>
                <w:rFonts w:eastAsia="Times New Roman" w:cs="Arial"/>
                <w:sz w:val="16"/>
                <w:szCs w:val="16"/>
                <w:lang w:eastAsia="cs-CZ"/>
              </w:rPr>
              <w:t xml:space="preserve">, zábavní a rekreační </w:t>
            </w:r>
            <w:r w:rsidRPr="00E84198">
              <w:rPr>
                <w:rFonts w:eastAsia="Times New Roman" w:cs="Arial"/>
                <w:sz w:val="16"/>
                <w:szCs w:val="16"/>
                <w:lang w:eastAsia="cs-CZ"/>
              </w:rPr>
              <w:t>činnosti</w:t>
            </w:r>
          </w:p>
        </w:tc>
        <w:tc>
          <w:tcPr>
            <w:tcW w:w="856" w:type="dxa"/>
            <w:gridSpan w:val="2"/>
            <w:tcBorders>
              <w:top w:val="nil"/>
              <w:left w:val="single" w:sz="4" w:space="0" w:color="auto"/>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2,4 </w:t>
            </w:r>
          </w:p>
        </w:tc>
        <w:tc>
          <w:tcPr>
            <w:tcW w:w="856" w:type="dxa"/>
            <w:gridSpan w:val="2"/>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1,8 </w:t>
            </w:r>
          </w:p>
        </w:tc>
        <w:tc>
          <w:tcPr>
            <w:tcW w:w="856" w:type="dxa"/>
            <w:tcBorders>
              <w:top w:val="nil"/>
              <w:left w:val="nil"/>
              <w:bottom w:val="nil"/>
              <w:right w:val="single" w:sz="4" w:space="0" w:color="auto"/>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0,6 </w:t>
            </w: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right"/>
              <w:rPr>
                <w:rFonts w:eastAsia="Times New Roman" w:cs="Arial"/>
                <w:sz w:val="16"/>
                <w:szCs w:val="16"/>
                <w:lang w:eastAsia="cs-CZ"/>
              </w:rPr>
            </w:pPr>
            <w:r w:rsidRPr="00E84198">
              <w:rPr>
                <w:rFonts w:eastAsia="Times New Roman" w:cs="Arial"/>
                <w:sz w:val="16"/>
                <w:szCs w:val="16"/>
                <w:lang w:eastAsia="cs-CZ"/>
              </w:rPr>
              <w:t xml:space="preserve">2,8 </w:t>
            </w:r>
          </w:p>
        </w:tc>
      </w:tr>
      <w:tr w:rsidR="00E84198" w:rsidRPr="00E84198" w:rsidTr="009715F0">
        <w:trPr>
          <w:trHeight w:val="120"/>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16"/>
                <w:szCs w:val="16"/>
                <w:lang w:eastAsia="cs-CZ"/>
              </w:rPr>
            </w:pPr>
          </w:p>
        </w:tc>
        <w:tc>
          <w:tcPr>
            <w:tcW w:w="647" w:type="dxa"/>
            <w:tcBorders>
              <w:top w:val="nil"/>
              <w:left w:val="nil"/>
              <w:bottom w:val="nil"/>
              <w:right w:val="nil"/>
            </w:tcBorders>
            <w:shd w:val="clear" w:color="auto" w:fill="auto"/>
            <w:noWrap/>
            <w:vAlign w:val="center"/>
            <w:hideMark/>
          </w:tcPr>
          <w:p w:rsidR="00E84198" w:rsidRPr="00E84198" w:rsidRDefault="00E84198" w:rsidP="00E84198">
            <w:pPr>
              <w:spacing w:line="240" w:lineRule="auto"/>
              <w:jc w:val="left"/>
              <w:rPr>
                <w:rFonts w:eastAsia="Times New Roman" w:cs="Arial"/>
                <w:sz w:val="22"/>
                <w:lang w:eastAsia="cs-CZ"/>
              </w:rPr>
            </w:pPr>
          </w:p>
        </w:tc>
        <w:tc>
          <w:tcPr>
            <w:tcW w:w="889" w:type="dxa"/>
            <w:gridSpan w:val="2"/>
            <w:tcBorders>
              <w:top w:val="nil"/>
              <w:left w:val="nil"/>
              <w:bottom w:val="nil"/>
              <w:right w:val="nil"/>
            </w:tcBorders>
            <w:shd w:val="clear" w:color="auto" w:fill="auto"/>
            <w:noWrap/>
            <w:vAlign w:val="center"/>
            <w:hideMark/>
          </w:tcPr>
          <w:p w:rsidR="00E84198" w:rsidRPr="00E84198" w:rsidRDefault="00E84198" w:rsidP="00E84198">
            <w:pPr>
              <w:spacing w:line="240" w:lineRule="auto"/>
              <w:jc w:val="left"/>
              <w:rPr>
                <w:rFonts w:eastAsia="Times New Roman" w:cs="Arial"/>
                <w:sz w:val="22"/>
                <w:lang w:eastAsia="cs-CZ"/>
              </w:rPr>
            </w:pPr>
          </w:p>
        </w:tc>
        <w:tc>
          <w:tcPr>
            <w:tcW w:w="1032" w:type="dxa"/>
            <w:gridSpan w:val="2"/>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1108" w:type="dxa"/>
            <w:tcBorders>
              <w:top w:val="nil"/>
              <w:left w:val="nil"/>
              <w:bottom w:val="nil"/>
              <w:right w:val="nil"/>
            </w:tcBorders>
            <w:shd w:val="clear" w:color="auto" w:fill="auto"/>
            <w:noWrap/>
            <w:vAlign w:val="center"/>
            <w:hideMark/>
          </w:tcPr>
          <w:p w:rsidR="00E84198" w:rsidRPr="00E84198" w:rsidRDefault="00E84198" w:rsidP="00E84198">
            <w:pPr>
              <w:spacing w:line="240" w:lineRule="auto"/>
              <w:jc w:val="left"/>
              <w:rPr>
                <w:rFonts w:eastAsia="Times New Roman" w:cs="Arial"/>
                <w:sz w:val="22"/>
                <w:lang w:eastAsia="cs-CZ"/>
              </w:rPr>
            </w:pPr>
          </w:p>
        </w:tc>
      </w:tr>
      <w:tr w:rsidR="00E84198" w:rsidRPr="00E84198" w:rsidTr="009715F0">
        <w:trPr>
          <w:trHeight w:val="285"/>
        </w:trPr>
        <w:tc>
          <w:tcPr>
            <w:tcW w:w="4676"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i/>
                <w:iCs/>
                <w:sz w:val="18"/>
                <w:szCs w:val="18"/>
                <w:lang w:eastAsia="cs-CZ"/>
              </w:rPr>
            </w:pPr>
            <w:r w:rsidRPr="00E84198">
              <w:rPr>
                <w:rFonts w:eastAsia="Times New Roman" w:cs="Arial"/>
                <w:i/>
                <w:iCs/>
                <w:sz w:val="18"/>
                <w:szCs w:val="18"/>
                <w:lang w:eastAsia="cs-CZ"/>
              </w:rPr>
              <w:t>Zdroj: ČSÚ, Výběrové šetření pracovních sil</w:t>
            </w:r>
          </w:p>
        </w:tc>
        <w:tc>
          <w:tcPr>
            <w:tcW w:w="647"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889" w:type="dxa"/>
            <w:gridSpan w:val="2"/>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1032" w:type="dxa"/>
            <w:gridSpan w:val="2"/>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c>
          <w:tcPr>
            <w:tcW w:w="1108" w:type="dxa"/>
            <w:tcBorders>
              <w:top w:val="nil"/>
              <w:left w:val="nil"/>
              <w:bottom w:val="nil"/>
              <w:right w:val="nil"/>
            </w:tcBorders>
            <w:shd w:val="clear" w:color="auto" w:fill="auto"/>
            <w:noWrap/>
            <w:vAlign w:val="bottom"/>
            <w:hideMark/>
          </w:tcPr>
          <w:p w:rsidR="00E84198" w:rsidRPr="00E84198" w:rsidRDefault="00E84198" w:rsidP="00E84198">
            <w:pPr>
              <w:spacing w:line="240" w:lineRule="auto"/>
              <w:jc w:val="left"/>
              <w:rPr>
                <w:rFonts w:eastAsia="Times New Roman" w:cs="Arial"/>
                <w:sz w:val="22"/>
                <w:lang w:eastAsia="cs-CZ"/>
              </w:rPr>
            </w:pPr>
          </w:p>
        </w:tc>
      </w:tr>
    </w:tbl>
    <w:p w:rsidR="0067116D" w:rsidRDefault="0067116D" w:rsidP="00185A9E">
      <w:pPr>
        <w:jc w:val="left"/>
      </w:pPr>
    </w:p>
    <w:p w:rsidR="003722A7" w:rsidRDefault="003722A7" w:rsidP="00A54B46">
      <w:pPr>
        <w:rPr>
          <w:i/>
          <w:sz w:val="18"/>
        </w:rPr>
      </w:pPr>
      <w:r>
        <w:rPr>
          <w:i/>
          <w:sz w:val="18"/>
        </w:rPr>
        <w:t>Metodická poznámka:</w:t>
      </w:r>
    </w:p>
    <w:p w:rsidR="003722A7" w:rsidRPr="003722A7" w:rsidRDefault="00BE25D9" w:rsidP="00A54B46">
      <w:pPr>
        <w:rPr>
          <w:i/>
          <w:sz w:val="18"/>
        </w:rPr>
      </w:pPr>
      <w:r>
        <w:rPr>
          <w:i/>
          <w:sz w:val="18"/>
        </w:rPr>
        <w:t>V rámci</w:t>
      </w:r>
      <w:r w:rsidR="004E78EF">
        <w:rPr>
          <w:i/>
          <w:sz w:val="18"/>
        </w:rPr>
        <w:t xml:space="preserve"> šetřen</w:t>
      </w:r>
      <w:r w:rsidR="00FF5F11">
        <w:rPr>
          <w:i/>
          <w:sz w:val="18"/>
        </w:rPr>
        <w:t>í byli osloveni respondenti v 18</w:t>
      </w:r>
      <w:r w:rsidR="004E78EF">
        <w:rPr>
          <w:i/>
          <w:sz w:val="18"/>
        </w:rPr>
        <w:t xml:space="preserve"> tisících bytových domácnostech. </w:t>
      </w:r>
      <w:r w:rsidR="003722A7">
        <w:rPr>
          <w:i/>
          <w:sz w:val="18"/>
        </w:rPr>
        <w:t xml:space="preserve">Vzhledem k velikosti výběrového souboru ad hoc modulu nejsou publikovány absolutní hodnoty nižší než 1 tis. Hodnoty </w:t>
      </w:r>
      <w:r w:rsidR="00CA1C1C">
        <w:rPr>
          <w:i/>
          <w:sz w:val="18"/>
        </w:rPr>
        <w:t>menší</w:t>
      </w:r>
      <w:r w:rsidR="003722A7">
        <w:rPr>
          <w:i/>
          <w:sz w:val="18"/>
        </w:rPr>
        <w:t xml:space="preserve"> než 6 tis. mají nižší spolehlivost. To se vztahuje i na absolutní hodnoty čitatele a jmenovatele, ze kterých jsou vypočteny relativní údaje. </w:t>
      </w:r>
    </w:p>
    <w:p w:rsidR="003722A7" w:rsidRDefault="003722A7" w:rsidP="00A54B46"/>
    <w:p w:rsidR="00A25E4C" w:rsidRDefault="00E50E47" w:rsidP="00A54B46">
      <w:r>
        <w:t>Na první pohled je překvapující</w:t>
      </w:r>
      <w:r w:rsidR="0067116D">
        <w:t>, že relativně častěji utrpěli pracovní úraz podnikatelé</w:t>
      </w:r>
      <w:r w:rsidR="008B5B39">
        <w:t xml:space="preserve"> (2,2 %)</w:t>
      </w:r>
      <w:r w:rsidR="0067116D">
        <w:t>, především pracující na vlastní účet</w:t>
      </w:r>
      <w:r w:rsidR="004D2FAC">
        <w:t>,</w:t>
      </w:r>
      <w:r w:rsidR="0067116D">
        <w:t xml:space="preserve"> než zaměstnanci (1,7 %). Naši podnikatelé však v porovnání s ostatními členskými zeměmi EU vykazují u</w:t>
      </w:r>
      <w:r>
        <w:t>rč</w:t>
      </w:r>
      <w:r w:rsidR="0067116D">
        <w:t>itá specifika. V </w:t>
      </w:r>
      <w:r>
        <w:t>první</w:t>
      </w:r>
      <w:r w:rsidR="0067116D">
        <w:t xml:space="preserve"> řadě je podíl podnikatelů na celkové zaměstnanosti jeden z nejvyšších v celé osmadvacítce (pátý nejvyšší po Řecku, Itálii</w:t>
      </w:r>
      <w:r w:rsidR="007621FD">
        <w:t>, Polsku</w:t>
      </w:r>
      <w:r w:rsidR="0067116D">
        <w:t xml:space="preserve"> a Rumunsku)</w:t>
      </w:r>
      <w:r>
        <w:t>.</w:t>
      </w:r>
      <w:r w:rsidR="00795AEF">
        <w:t xml:space="preserve"> V porovnání s našimi sousedy Německem a Rakouskem</w:t>
      </w:r>
      <w:r w:rsidR="009651D3">
        <w:t xml:space="preserve"> je podstatně vyšší (přibližně o 7 procentních bodů)</w:t>
      </w:r>
      <w:r w:rsidR="00A54B46">
        <w:t>.</w:t>
      </w:r>
      <w:r w:rsidR="00B13EF3">
        <w:t xml:space="preserve"> Významným rysem je atypická profesní a</w:t>
      </w:r>
      <w:r w:rsidR="003121CD">
        <w:t> </w:t>
      </w:r>
      <w:r w:rsidR="00B13EF3">
        <w:t xml:space="preserve">odvětvová skladba našich podnikatelů. </w:t>
      </w:r>
      <w:r w:rsidR="0039597A">
        <w:t>V</w:t>
      </w:r>
      <w:r w:rsidR="00B13EF3">
        <w:t>ysoký je jejich podíl ve stavebnictví (přes 40 %</w:t>
      </w:r>
      <w:r w:rsidR="00F177F6">
        <w:t xml:space="preserve"> všech pracujících v odvětví</w:t>
      </w:r>
      <w:r w:rsidR="00B13EF3">
        <w:t xml:space="preserve">), ale i v zemědělství, v obchodu a v sekci ubytování, stravování </w:t>
      </w:r>
      <w:r w:rsidR="00B13EF3">
        <w:lastRenderedPageBreak/>
        <w:t>a</w:t>
      </w:r>
      <w:r w:rsidR="003121CD">
        <w:t> </w:t>
      </w:r>
      <w:r w:rsidR="00B13EF3">
        <w:t xml:space="preserve">pohostinství, ve kterých je zastoupení podnikatelů vždy vyšší než podíl </w:t>
      </w:r>
      <w:r w:rsidR="007B7738">
        <w:t>podnikatelů</w:t>
      </w:r>
      <w:r w:rsidR="00B13EF3">
        <w:t xml:space="preserve"> na celkové zaměstnanosti v národním hospodářství. Právě </w:t>
      </w:r>
      <w:r w:rsidR="00A67192">
        <w:t>většina těchto</w:t>
      </w:r>
      <w:r w:rsidR="00B13EF3">
        <w:t xml:space="preserve"> odvětví se vyznačuj</w:t>
      </w:r>
      <w:r w:rsidR="00A67192">
        <w:t>e</w:t>
      </w:r>
      <w:r w:rsidR="00B13EF3">
        <w:t xml:space="preserve"> vyšší úrovní úrazovosti.</w:t>
      </w:r>
    </w:p>
    <w:p w:rsidR="00332B62" w:rsidRDefault="00332B62" w:rsidP="00A54B46"/>
    <w:p w:rsidR="0067116D" w:rsidRDefault="00A10806" w:rsidP="00A54B46">
      <w:r>
        <w:t xml:space="preserve">Následkem pracovního úrazu je ve většině případů pracovní neschopnost respondenta. </w:t>
      </w:r>
      <w:r w:rsidR="00017FB6">
        <w:t>Délka pracovní neschopnosti se vyznačuje velkou variabilitou a je závislá</w:t>
      </w:r>
      <w:r w:rsidR="003C7921">
        <w:t xml:space="preserve"> zejména na druhu a závažnosti úrazu</w:t>
      </w:r>
      <w:r w:rsidR="00A25E4C">
        <w:t>.</w:t>
      </w:r>
      <w:r w:rsidR="00D51283">
        <w:t xml:space="preserve"> Více než polovina pracujících postižených pracovním úrazem se vracela do zaměstnání po dvou týdnech až třech měsících.</w:t>
      </w:r>
    </w:p>
    <w:p w:rsidR="00835855" w:rsidRDefault="00835855" w:rsidP="00A54B46"/>
    <w:tbl>
      <w:tblPr>
        <w:tblW w:w="8140" w:type="dxa"/>
        <w:tblInd w:w="56" w:type="dxa"/>
        <w:tblCellMar>
          <w:left w:w="70" w:type="dxa"/>
          <w:right w:w="70" w:type="dxa"/>
        </w:tblCellMar>
        <w:tblLook w:val="04A0"/>
      </w:tblPr>
      <w:tblGrid>
        <w:gridCol w:w="3984"/>
        <w:gridCol w:w="647"/>
        <w:gridCol w:w="771"/>
        <w:gridCol w:w="771"/>
        <w:gridCol w:w="647"/>
        <w:gridCol w:w="772"/>
        <w:gridCol w:w="772"/>
      </w:tblGrid>
      <w:tr w:rsidR="00226469" w:rsidRPr="00226469" w:rsidTr="00226469">
        <w:trPr>
          <w:trHeight w:val="600"/>
        </w:trPr>
        <w:tc>
          <w:tcPr>
            <w:tcW w:w="8140" w:type="dxa"/>
            <w:gridSpan w:val="7"/>
            <w:tcBorders>
              <w:top w:val="nil"/>
              <w:left w:val="nil"/>
              <w:bottom w:val="nil"/>
              <w:right w:val="nil"/>
            </w:tcBorders>
            <w:shd w:val="clear" w:color="auto" w:fill="auto"/>
            <w:vAlign w:val="center"/>
            <w:hideMark/>
          </w:tcPr>
          <w:p w:rsidR="00226469" w:rsidRPr="00226469" w:rsidRDefault="00226469" w:rsidP="00226469">
            <w:pPr>
              <w:spacing w:line="240" w:lineRule="auto"/>
              <w:jc w:val="left"/>
              <w:rPr>
                <w:rFonts w:eastAsia="Times New Roman" w:cs="Arial"/>
                <w:b/>
                <w:bCs/>
                <w:szCs w:val="20"/>
                <w:lang w:eastAsia="cs-CZ"/>
              </w:rPr>
            </w:pPr>
            <w:r w:rsidRPr="00226469">
              <w:rPr>
                <w:rFonts w:eastAsia="Times New Roman" w:cs="Arial"/>
                <w:b/>
                <w:bCs/>
                <w:szCs w:val="20"/>
                <w:lang w:eastAsia="cs-CZ"/>
              </w:rPr>
              <w:t xml:space="preserve">Délka absence z důvodu pracovního úrazu a zdravotního problému souvisejícího </w:t>
            </w:r>
            <w:r w:rsidRPr="00226469">
              <w:rPr>
                <w:rFonts w:eastAsia="Times New Roman" w:cs="Arial"/>
                <w:b/>
                <w:bCs/>
                <w:szCs w:val="20"/>
                <w:lang w:eastAsia="cs-CZ"/>
              </w:rPr>
              <w:br/>
              <w:t>s výkonem povolání v roce 2013</w:t>
            </w:r>
          </w:p>
        </w:tc>
      </w:tr>
      <w:tr w:rsidR="00226469" w:rsidRPr="00226469" w:rsidTr="00226469">
        <w:trPr>
          <w:trHeight w:val="225"/>
        </w:trPr>
        <w:tc>
          <w:tcPr>
            <w:tcW w:w="3984"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color w:val="FF0000"/>
                <w:sz w:val="16"/>
                <w:szCs w:val="16"/>
                <w:lang w:eastAsia="cs-CZ"/>
              </w:rPr>
            </w:pPr>
          </w:p>
        </w:tc>
        <w:tc>
          <w:tcPr>
            <w:tcW w:w="535"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p>
        </w:tc>
        <w:tc>
          <w:tcPr>
            <w:tcW w:w="535"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p>
        </w:tc>
      </w:tr>
      <w:tr w:rsidR="00226469" w:rsidRPr="00226469" w:rsidTr="00226469">
        <w:trPr>
          <w:trHeight w:val="300"/>
        </w:trPr>
        <w:tc>
          <w:tcPr>
            <w:tcW w:w="3984" w:type="dxa"/>
            <w:vMerge w:val="restart"/>
            <w:tcBorders>
              <w:top w:val="single" w:sz="8" w:space="0" w:color="auto"/>
              <w:left w:val="nil"/>
              <w:bottom w:val="single" w:sz="8" w:space="0" w:color="000000"/>
              <w:right w:val="nil"/>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Pracující</w:t>
            </w:r>
          </w:p>
        </w:tc>
        <w:tc>
          <w:tcPr>
            <w:tcW w:w="2077" w:type="dxa"/>
            <w:gridSpan w:val="3"/>
            <w:tcBorders>
              <w:top w:val="single" w:sz="8" w:space="0" w:color="auto"/>
              <w:left w:val="single" w:sz="4" w:space="0" w:color="auto"/>
              <w:bottom w:val="single" w:sz="4" w:space="0" w:color="auto"/>
              <w:right w:val="nil"/>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Pracovní úrazy (v %)</w:t>
            </w:r>
          </w:p>
        </w:tc>
        <w:tc>
          <w:tcPr>
            <w:tcW w:w="2079" w:type="dxa"/>
            <w:gridSpan w:val="3"/>
            <w:tcBorders>
              <w:top w:val="single" w:sz="8" w:space="0" w:color="auto"/>
              <w:left w:val="single" w:sz="4" w:space="0" w:color="auto"/>
              <w:bottom w:val="single" w:sz="4" w:space="0" w:color="auto"/>
              <w:right w:val="nil"/>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Zdravotní problémy (v %)</w:t>
            </w:r>
          </w:p>
        </w:tc>
      </w:tr>
      <w:tr w:rsidR="00226469" w:rsidRPr="00226469" w:rsidTr="00226469">
        <w:trPr>
          <w:trHeight w:val="315"/>
        </w:trPr>
        <w:tc>
          <w:tcPr>
            <w:tcW w:w="3984" w:type="dxa"/>
            <w:vMerge/>
            <w:tcBorders>
              <w:top w:val="single" w:sz="8" w:space="0" w:color="auto"/>
              <w:left w:val="nil"/>
              <w:bottom w:val="single" w:sz="8" w:space="0" w:color="000000"/>
              <w:right w:val="nil"/>
            </w:tcBorders>
            <w:vAlign w:val="center"/>
            <w:hideMark/>
          </w:tcPr>
          <w:p w:rsidR="00226469" w:rsidRPr="00226469" w:rsidRDefault="00226469" w:rsidP="00226469">
            <w:pPr>
              <w:spacing w:line="240" w:lineRule="auto"/>
              <w:jc w:val="left"/>
              <w:rPr>
                <w:rFonts w:eastAsia="Times New Roman" w:cs="Arial"/>
                <w:sz w:val="16"/>
                <w:szCs w:val="16"/>
                <w:lang w:eastAsia="cs-CZ"/>
              </w:rPr>
            </w:pPr>
          </w:p>
        </w:tc>
        <w:tc>
          <w:tcPr>
            <w:tcW w:w="535" w:type="dxa"/>
            <w:tcBorders>
              <w:top w:val="nil"/>
              <w:left w:val="single" w:sz="4" w:space="0" w:color="auto"/>
              <w:bottom w:val="single" w:sz="8" w:space="0" w:color="auto"/>
              <w:right w:val="single" w:sz="4" w:space="0" w:color="auto"/>
            </w:tcBorders>
            <w:shd w:val="clear" w:color="auto" w:fill="auto"/>
            <w:noWrap/>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celkem</w:t>
            </w:r>
          </w:p>
        </w:tc>
        <w:tc>
          <w:tcPr>
            <w:tcW w:w="771" w:type="dxa"/>
            <w:tcBorders>
              <w:top w:val="nil"/>
              <w:left w:val="nil"/>
              <w:bottom w:val="single" w:sz="8" w:space="0" w:color="auto"/>
              <w:right w:val="single" w:sz="4" w:space="0" w:color="auto"/>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muži</w:t>
            </w:r>
          </w:p>
        </w:tc>
        <w:tc>
          <w:tcPr>
            <w:tcW w:w="771" w:type="dxa"/>
            <w:tcBorders>
              <w:top w:val="nil"/>
              <w:left w:val="nil"/>
              <w:bottom w:val="single" w:sz="8" w:space="0" w:color="auto"/>
              <w:right w:val="nil"/>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ženy</w:t>
            </w:r>
          </w:p>
        </w:tc>
        <w:tc>
          <w:tcPr>
            <w:tcW w:w="535" w:type="dxa"/>
            <w:tcBorders>
              <w:top w:val="nil"/>
              <w:left w:val="single" w:sz="4" w:space="0" w:color="auto"/>
              <w:bottom w:val="single" w:sz="8" w:space="0" w:color="auto"/>
              <w:right w:val="single" w:sz="4" w:space="0" w:color="auto"/>
            </w:tcBorders>
            <w:shd w:val="clear" w:color="auto" w:fill="auto"/>
            <w:noWrap/>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celkem</w:t>
            </w:r>
          </w:p>
        </w:tc>
        <w:tc>
          <w:tcPr>
            <w:tcW w:w="772" w:type="dxa"/>
            <w:tcBorders>
              <w:top w:val="nil"/>
              <w:left w:val="nil"/>
              <w:bottom w:val="single" w:sz="8" w:space="0" w:color="auto"/>
              <w:right w:val="single" w:sz="4" w:space="0" w:color="auto"/>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muži</w:t>
            </w:r>
          </w:p>
        </w:tc>
        <w:tc>
          <w:tcPr>
            <w:tcW w:w="772" w:type="dxa"/>
            <w:tcBorders>
              <w:top w:val="nil"/>
              <w:left w:val="nil"/>
              <w:bottom w:val="single" w:sz="8" w:space="0" w:color="auto"/>
              <w:right w:val="nil"/>
            </w:tcBorders>
            <w:shd w:val="clear" w:color="auto" w:fill="auto"/>
            <w:vAlign w:val="center"/>
            <w:hideMark/>
          </w:tcPr>
          <w:p w:rsidR="00226469" w:rsidRPr="00226469" w:rsidRDefault="00226469" w:rsidP="00226469">
            <w:pPr>
              <w:spacing w:line="240" w:lineRule="auto"/>
              <w:jc w:val="center"/>
              <w:rPr>
                <w:rFonts w:eastAsia="Times New Roman" w:cs="Arial"/>
                <w:sz w:val="16"/>
                <w:szCs w:val="16"/>
                <w:lang w:eastAsia="cs-CZ"/>
              </w:rPr>
            </w:pPr>
            <w:r w:rsidRPr="00226469">
              <w:rPr>
                <w:rFonts w:eastAsia="Times New Roman" w:cs="Arial"/>
                <w:sz w:val="16"/>
                <w:szCs w:val="16"/>
                <w:lang w:eastAsia="cs-CZ"/>
              </w:rPr>
              <w:t>ženy</w:t>
            </w:r>
          </w:p>
        </w:tc>
      </w:tr>
      <w:tr w:rsidR="00226469" w:rsidRPr="00226469" w:rsidTr="00226469">
        <w:trPr>
          <w:trHeight w:val="285"/>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jc w:val="left"/>
              <w:rPr>
                <w:rFonts w:eastAsia="Times New Roman" w:cs="Arial"/>
                <w:b/>
                <w:bCs/>
                <w:sz w:val="16"/>
                <w:szCs w:val="16"/>
                <w:lang w:eastAsia="cs-CZ"/>
              </w:rPr>
            </w:pPr>
            <w:r w:rsidRPr="00226469">
              <w:rPr>
                <w:rFonts w:eastAsia="Times New Roman" w:cs="Arial"/>
                <w:b/>
                <w:bCs/>
                <w:sz w:val="16"/>
                <w:szCs w:val="16"/>
                <w:lang w:eastAsia="cs-CZ"/>
              </w:rPr>
              <w:t xml:space="preserve">  Délka absence:</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r w:rsidRPr="00226469">
              <w:rPr>
                <w:rFonts w:eastAsia="Times New Roman" w:cs="Arial"/>
                <w:sz w:val="16"/>
                <w:szCs w:val="16"/>
                <w:lang w:eastAsia="cs-CZ"/>
              </w:rPr>
              <w:t> </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méně než jeden den, nebo bez absence v práci</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14,7</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13,4</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19,1</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47,8</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46,8</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49,0</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jeden den, méně než čtyři dny</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11,9</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11,9</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11,6</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7,7</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8,7</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6,6</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čtyři dny, méně než dva týdny</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12,2</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13,1</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8,9</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12,3</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12,0</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12,6</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dva týdny, méně než jeden měsíc</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24,1</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24,7</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22,1</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19,3</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19,6</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19,0</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jeden měsíc, méně než tři měsíce</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28,4</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28,2</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29,0</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8,7</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9,4</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7,8</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tři měsíce, méně než šest měsíců</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7,6</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7,2</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9,3</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2,8</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2,1</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3,6</w:t>
            </w:r>
          </w:p>
        </w:tc>
      </w:tr>
      <w:tr w:rsidR="00226469" w:rsidRPr="00226469" w:rsidTr="00226469">
        <w:trPr>
          <w:trHeight w:val="227"/>
        </w:trPr>
        <w:tc>
          <w:tcPr>
            <w:tcW w:w="3984" w:type="dxa"/>
            <w:tcBorders>
              <w:top w:val="nil"/>
              <w:left w:val="nil"/>
              <w:bottom w:val="nil"/>
              <w:right w:val="nil"/>
            </w:tcBorders>
            <w:shd w:val="clear" w:color="auto" w:fill="auto"/>
            <w:vAlign w:val="bottom"/>
            <w:hideMark/>
          </w:tcPr>
          <w:p w:rsidR="00226469" w:rsidRPr="00226469" w:rsidRDefault="00226469" w:rsidP="00226469">
            <w:pPr>
              <w:spacing w:line="240" w:lineRule="auto"/>
              <w:ind w:firstLineChars="100" w:firstLine="160"/>
              <w:jc w:val="left"/>
              <w:rPr>
                <w:rFonts w:eastAsia="Times New Roman" w:cs="Arial"/>
                <w:sz w:val="16"/>
                <w:szCs w:val="16"/>
                <w:lang w:eastAsia="cs-CZ"/>
              </w:rPr>
            </w:pPr>
            <w:r w:rsidRPr="00226469">
              <w:rPr>
                <w:rFonts w:eastAsia="Times New Roman" w:cs="Arial"/>
                <w:sz w:val="16"/>
                <w:szCs w:val="16"/>
                <w:lang w:eastAsia="cs-CZ"/>
              </w:rPr>
              <w:t>alespoň šest měsíců a více</w:t>
            </w:r>
          </w:p>
        </w:tc>
        <w:tc>
          <w:tcPr>
            <w:tcW w:w="535" w:type="dxa"/>
            <w:tcBorders>
              <w:top w:val="nil"/>
              <w:left w:val="single" w:sz="4" w:space="0" w:color="auto"/>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w:t>
            </w:r>
          </w:p>
        </w:tc>
        <w:tc>
          <w:tcPr>
            <w:tcW w:w="771"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w:t>
            </w:r>
          </w:p>
        </w:tc>
        <w:tc>
          <w:tcPr>
            <w:tcW w:w="535"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1,4</w:t>
            </w:r>
          </w:p>
        </w:tc>
        <w:tc>
          <w:tcPr>
            <w:tcW w:w="772" w:type="dxa"/>
            <w:tcBorders>
              <w:top w:val="nil"/>
              <w:left w:val="nil"/>
              <w:bottom w:val="nil"/>
              <w:right w:val="single" w:sz="4" w:space="0" w:color="auto"/>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1,4</w:t>
            </w: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right"/>
              <w:rPr>
                <w:rFonts w:eastAsia="Times New Roman" w:cs="Arial"/>
                <w:sz w:val="16"/>
                <w:szCs w:val="16"/>
                <w:lang w:eastAsia="cs-CZ"/>
              </w:rPr>
            </w:pPr>
            <w:r w:rsidRPr="00226469">
              <w:rPr>
                <w:rFonts w:eastAsia="Times New Roman" w:cs="Arial"/>
                <w:sz w:val="16"/>
                <w:szCs w:val="16"/>
                <w:lang w:eastAsia="cs-CZ"/>
              </w:rPr>
              <w:t>1,3</w:t>
            </w:r>
          </w:p>
        </w:tc>
      </w:tr>
      <w:tr w:rsidR="00226469" w:rsidRPr="00226469" w:rsidTr="00226469">
        <w:trPr>
          <w:trHeight w:val="120"/>
        </w:trPr>
        <w:tc>
          <w:tcPr>
            <w:tcW w:w="3984"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16"/>
                <w:szCs w:val="16"/>
                <w:lang w:eastAsia="cs-CZ"/>
              </w:rPr>
            </w:pPr>
          </w:p>
        </w:tc>
        <w:tc>
          <w:tcPr>
            <w:tcW w:w="535" w:type="dxa"/>
            <w:tcBorders>
              <w:top w:val="nil"/>
              <w:left w:val="nil"/>
              <w:bottom w:val="nil"/>
              <w:right w:val="nil"/>
            </w:tcBorders>
            <w:shd w:val="clear" w:color="auto" w:fill="auto"/>
            <w:noWrap/>
            <w:vAlign w:val="center"/>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center"/>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center"/>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center"/>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r>
      <w:tr w:rsidR="00226469" w:rsidRPr="00226469" w:rsidTr="00226469">
        <w:trPr>
          <w:trHeight w:val="285"/>
        </w:trPr>
        <w:tc>
          <w:tcPr>
            <w:tcW w:w="3984"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i/>
                <w:iCs/>
                <w:sz w:val="18"/>
                <w:szCs w:val="18"/>
                <w:lang w:eastAsia="cs-CZ"/>
              </w:rPr>
            </w:pPr>
            <w:r w:rsidRPr="00226469">
              <w:rPr>
                <w:rFonts w:eastAsia="Times New Roman" w:cs="Arial"/>
                <w:i/>
                <w:iCs/>
                <w:sz w:val="18"/>
                <w:szCs w:val="18"/>
                <w:lang w:eastAsia="cs-CZ"/>
              </w:rPr>
              <w:t>Zdroj: ČSÚ, Výběrové šetření pracovních sil</w:t>
            </w:r>
          </w:p>
        </w:tc>
        <w:tc>
          <w:tcPr>
            <w:tcW w:w="535"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226469" w:rsidRPr="00226469" w:rsidRDefault="00226469" w:rsidP="00226469">
            <w:pPr>
              <w:spacing w:line="240" w:lineRule="auto"/>
              <w:jc w:val="left"/>
              <w:rPr>
                <w:rFonts w:eastAsia="Times New Roman" w:cs="Arial"/>
                <w:sz w:val="22"/>
                <w:lang w:eastAsia="cs-CZ"/>
              </w:rPr>
            </w:pPr>
          </w:p>
        </w:tc>
      </w:tr>
    </w:tbl>
    <w:p w:rsidR="0052210F" w:rsidRDefault="0052210F" w:rsidP="00185A9E">
      <w:pPr>
        <w:jc w:val="left"/>
      </w:pPr>
    </w:p>
    <w:p w:rsidR="0052210F" w:rsidRDefault="0052210F" w:rsidP="00364588">
      <w:r w:rsidRPr="003B6567">
        <w:t>Dopravní nehody</w:t>
      </w:r>
      <w:r w:rsidR="003B6567">
        <w:t xml:space="preserve"> (v přepočtu 4,4</w:t>
      </w:r>
      <w:r w:rsidR="008D3AE7" w:rsidRPr="003B6567">
        <w:t> tis.</w:t>
      </w:r>
      <w:r w:rsidR="008D3AE7">
        <w:t xml:space="preserve"> osob)</w:t>
      </w:r>
      <w:r>
        <w:t xml:space="preserve"> nepředstavují významný podíl na c</w:t>
      </w:r>
      <w:r w:rsidR="00364588">
        <w:t>elkovém počtu úrazů pracujících. Jde o dopravní nehody, které jsou výhradně spo</w:t>
      </w:r>
      <w:r w:rsidR="00B5550C">
        <w:t>jeny s výkonem vlastní profese (</w:t>
      </w:r>
      <w:r w:rsidR="00364588">
        <w:t>řidiči</w:t>
      </w:r>
      <w:r w:rsidR="00B5550C">
        <w:t>),</w:t>
      </w:r>
      <w:r w:rsidR="00364588">
        <w:t xml:space="preserve"> nebo respondent utrpěl úraz během nehody v pracovní době (např. na pracovní cestě).</w:t>
      </w:r>
      <w:r w:rsidR="008D3AE7">
        <w:t xml:space="preserve"> </w:t>
      </w:r>
      <w:r w:rsidR="00E134A9">
        <w:t>Dopravní nehody</w:t>
      </w:r>
      <w:r w:rsidR="006D2BB1" w:rsidRPr="006D2BB1">
        <w:t xml:space="preserve"> </w:t>
      </w:r>
      <w:r w:rsidR="006D2BB1">
        <w:t>však</w:t>
      </w:r>
      <w:r w:rsidR="00E134A9">
        <w:t xml:space="preserve"> mají většinou závažnější následky s delší dobou rekonvalescence</w:t>
      </w:r>
      <w:r w:rsidR="00C66432">
        <w:t>.</w:t>
      </w:r>
      <w:r w:rsidR="00D63BB7">
        <w:t xml:space="preserve"> U pracovních úrazů obecně je podíl pracovní nepřítomnosti delší než jeden měsíc 37 %, u úrazů v důsledku dopravní nehody je však dvakrát vyšší (přes 74 %).</w:t>
      </w:r>
    </w:p>
    <w:p w:rsidR="0052210F" w:rsidRDefault="0052210F" w:rsidP="00185A9E">
      <w:pPr>
        <w:jc w:val="left"/>
      </w:pPr>
    </w:p>
    <w:p w:rsidR="00CF05AE" w:rsidRDefault="00CF05AE" w:rsidP="00FE2D9E">
      <w:pPr>
        <w:jc w:val="left"/>
        <w:rPr>
          <w:b/>
        </w:rPr>
      </w:pPr>
      <w:r w:rsidRPr="00CF05AE">
        <w:rPr>
          <w:b/>
        </w:rPr>
        <w:t xml:space="preserve">B. </w:t>
      </w:r>
      <w:r>
        <w:rPr>
          <w:b/>
        </w:rPr>
        <w:t>Zdravotní problémy související se zaměstnáním rostou s věkem respondenta</w:t>
      </w:r>
    </w:p>
    <w:p w:rsidR="006F7DE9" w:rsidRDefault="00FE2D9E" w:rsidP="00FE2D9E">
      <w:r>
        <w:t>Výsledky</w:t>
      </w:r>
      <w:r w:rsidR="00F8153C">
        <w:t xml:space="preserve"> šetření</w:t>
      </w:r>
      <w:r>
        <w:t xml:space="preserve"> ukazují závislost výskytu zdravotních obtíží souvisejících s vykonávaným zaměstnáním zejména na věku respondentů</w:t>
      </w:r>
      <w:r w:rsidR="00F8153C">
        <w:t>. D</w:t>
      </w:r>
      <w:r w:rsidR="00486C7B">
        <w:t xml:space="preserve">iference mezi muži a ženami jsou </w:t>
      </w:r>
      <w:r w:rsidR="00F85CB5">
        <w:t>menší, než</w:t>
      </w:r>
      <w:r w:rsidR="00486C7B">
        <w:t xml:space="preserve"> tomu bylo u frekvence pracovních úrazů. Zdravotní </w:t>
      </w:r>
      <w:r w:rsidR="00C8010A">
        <w:t>problémy</w:t>
      </w:r>
      <w:r w:rsidR="00486C7B">
        <w:t xml:space="preserve"> spojené s</w:t>
      </w:r>
      <w:r w:rsidR="005B65B5">
        <w:t>e svým</w:t>
      </w:r>
      <w:r w:rsidR="00486C7B">
        <w:t xml:space="preserve"> povoláním</w:t>
      </w:r>
      <w:r w:rsidR="00637034">
        <w:t xml:space="preserve"> mělo 229</w:t>
      </w:r>
      <w:r w:rsidR="005B65B5">
        <w:t> tis. všech pracujících respondentů (4,6 %). Těmito problémy trpělo téměř 121 tis. mužů (4,3 %</w:t>
      </w:r>
      <w:r w:rsidR="00731943">
        <w:t xml:space="preserve"> </w:t>
      </w:r>
      <w:r w:rsidR="006F6E8F">
        <w:t>všech pracujících mužů</w:t>
      </w:r>
      <w:r w:rsidR="005B65B5">
        <w:t>), žen bylo sice absolutně méně (108 tis.), ale v relativním vyjádření byl jejich podíl na celko</w:t>
      </w:r>
      <w:r w:rsidR="00731943">
        <w:t>vém počtu pracujících žen vyšší (5,0 %).</w:t>
      </w:r>
    </w:p>
    <w:p w:rsidR="006F7DE9" w:rsidRDefault="006F7DE9" w:rsidP="00FE2D9E"/>
    <w:p w:rsidR="00CF05AE" w:rsidRDefault="00E06825" w:rsidP="00FE2D9E">
      <w:r>
        <w:t xml:space="preserve">Výskyt zdravotních problémů roste téměř lineárně s věkem respondenta. Určitou výjimkou je nejmladší skupina pracujících do dvaceti let. Absolutní počet pracujících chlapců a dívek v tomto věku je však velmi nízký, protože podstatná část mladých se ještě připravuje na své povolání. </w:t>
      </w:r>
      <w:r w:rsidR="007432A6">
        <w:t>P</w:t>
      </w:r>
      <w:r w:rsidR="00C07C74">
        <w:t xml:space="preserve">odíl pracujících se zdravotními problémy soustavně roste až do věku odchodu do důchodu. U žen kulminuje ve věku 55-59 let, kdy zdravotními problémy souvisejícími se </w:t>
      </w:r>
      <w:r w:rsidR="00C07C74">
        <w:lastRenderedPageBreak/>
        <w:t xml:space="preserve">zaměstnáním trpí každá desátá </w:t>
      </w:r>
      <w:proofErr w:type="spellStart"/>
      <w:r w:rsidR="00C07C74">
        <w:t>respondentka</w:t>
      </w:r>
      <w:proofErr w:type="spellEnd"/>
      <w:r w:rsidR="00C07C74">
        <w:t>. Tomu odpovídá i frekvence zdravotních problémů ve skupině</w:t>
      </w:r>
      <w:r w:rsidR="00F4529A">
        <w:t xml:space="preserve"> o pět let starších</w:t>
      </w:r>
      <w:r w:rsidR="00C07C74">
        <w:t xml:space="preserve"> mužů.</w:t>
      </w:r>
      <w:r w:rsidR="00F4529A">
        <w:t xml:space="preserve"> </w:t>
      </w:r>
      <w:r w:rsidR="009E6479">
        <w:t>U starších osob dochází k poklesu nemocnosti, protože pracovní aktivita s věkem výrazně klesá.</w:t>
      </w:r>
      <w:r w:rsidR="007432A6">
        <w:t xml:space="preserve"> V důchodovém věku</w:t>
      </w:r>
      <w:r w:rsidR="009E6479">
        <w:t xml:space="preserve"> </w:t>
      </w:r>
      <w:r w:rsidR="007432A6">
        <w:t>p</w:t>
      </w:r>
      <w:r w:rsidR="009E6479">
        <w:t>racují převážně lidé, kteří nejsou významněji zatíženi zdravotními problémy ovlivň</w:t>
      </w:r>
      <w:r w:rsidR="0002236F">
        <w:t>ujícími jejich fyzickou kondici</w:t>
      </w:r>
      <w:r w:rsidR="00B15AE8">
        <w:t xml:space="preserve"> potřebnou pro výkon zaměstnání.</w:t>
      </w:r>
    </w:p>
    <w:p w:rsidR="00DA787A" w:rsidRPr="00CF05AE" w:rsidRDefault="00DA787A" w:rsidP="00FE2D9E"/>
    <w:tbl>
      <w:tblPr>
        <w:tblW w:w="8320" w:type="dxa"/>
        <w:tblInd w:w="56" w:type="dxa"/>
        <w:tblCellMar>
          <w:left w:w="70" w:type="dxa"/>
          <w:right w:w="70" w:type="dxa"/>
        </w:tblCellMar>
        <w:tblLook w:val="04A0"/>
      </w:tblPr>
      <w:tblGrid>
        <w:gridCol w:w="4453"/>
        <w:gridCol w:w="647"/>
        <w:gridCol w:w="1666"/>
        <w:gridCol w:w="1666"/>
      </w:tblGrid>
      <w:tr w:rsidR="00081554" w:rsidRPr="00081554" w:rsidTr="00081554">
        <w:trPr>
          <w:trHeight w:val="600"/>
        </w:trPr>
        <w:tc>
          <w:tcPr>
            <w:tcW w:w="8320" w:type="dxa"/>
            <w:gridSpan w:val="4"/>
            <w:tcBorders>
              <w:top w:val="nil"/>
              <w:left w:val="nil"/>
              <w:bottom w:val="nil"/>
              <w:right w:val="nil"/>
            </w:tcBorders>
            <w:shd w:val="clear" w:color="auto" w:fill="auto"/>
            <w:vAlign w:val="center"/>
            <w:hideMark/>
          </w:tcPr>
          <w:p w:rsidR="00081554" w:rsidRPr="00081554" w:rsidRDefault="00081554" w:rsidP="00081554">
            <w:pPr>
              <w:spacing w:line="240" w:lineRule="auto"/>
              <w:jc w:val="left"/>
              <w:rPr>
                <w:rFonts w:eastAsia="Times New Roman" w:cs="Arial"/>
                <w:b/>
                <w:bCs/>
                <w:szCs w:val="20"/>
                <w:lang w:eastAsia="cs-CZ"/>
              </w:rPr>
            </w:pPr>
            <w:r w:rsidRPr="00081554">
              <w:rPr>
                <w:rFonts w:eastAsia="Times New Roman" w:cs="Arial"/>
                <w:b/>
                <w:bCs/>
                <w:szCs w:val="20"/>
                <w:lang w:eastAsia="cs-CZ"/>
              </w:rPr>
              <w:t>Podíl pracujících se zdravotními problémy souvisejícími se zaměstnáním z celkového počtu pracujících podle věkových skupin v roce 2013</w:t>
            </w:r>
          </w:p>
        </w:tc>
      </w:tr>
      <w:tr w:rsidR="00081554" w:rsidRPr="00081554" w:rsidTr="00081554">
        <w:trPr>
          <w:trHeight w:val="225"/>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color w:val="FF0000"/>
                <w:sz w:val="16"/>
                <w:szCs w:val="16"/>
                <w:lang w:eastAsia="cs-CZ"/>
              </w:rPr>
            </w:pPr>
          </w:p>
        </w:tc>
        <w:tc>
          <w:tcPr>
            <w:tcW w:w="535"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v %</w:t>
            </w:r>
          </w:p>
        </w:tc>
      </w:tr>
      <w:tr w:rsidR="00081554" w:rsidRPr="00081554" w:rsidTr="00081554">
        <w:trPr>
          <w:trHeight w:val="300"/>
        </w:trPr>
        <w:tc>
          <w:tcPr>
            <w:tcW w:w="4453" w:type="dxa"/>
            <w:vMerge w:val="restart"/>
            <w:tcBorders>
              <w:top w:val="single" w:sz="8" w:space="0" w:color="auto"/>
              <w:left w:val="nil"/>
              <w:bottom w:val="single" w:sz="8" w:space="0" w:color="000000"/>
              <w:right w:val="nil"/>
            </w:tcBorders>
            <w:shd w:val="clear" w:color="auto" w:fill="auto"/>
            <w:vAlign w:val="center"/>
            <w:hideMark/>
          </w:tcPr>
          <w:p w:rsidR="00081554" w:rsidRPr="00081554" w:rsidRDefault="00081554" w:rsidP="00081554">
            <w:pPr>
              <w:spacing w:line="240" w:lineRule="auto"/>
              <w:jc w:val="center"/>
              <w:rPr>
                <w:rFonts w:eastAsia="Times New Roman" w:cs="Arial"/>
                <w:sz w:val="16"/>
                <w:szCs w:val="16"/>
                <w:lang w:eastAsia="cs-CZ"/>
              </w:rPr>
            </w:pPr>
            <w:r w:rsidRPr="00081554">
              <w:rPr>
                <w:rFonts w:eastAsia="Times New Roman" w:cs="Arial"/>
                <w:sz w:val="16"/>
                <w:szCs w:val="16"/>
                <w:lang w:eastAsia="cs-CZ"/>
              </w:rPr>
              <w:t>Zdravotní problémy v posledních 12 měsících související s výkonem povolání</w:t>
            </w:r>
          </w:p>
        </w:tc>
        <w:tc>
          <w:tcPr>
            <w:tcW w:w="3867" w:type="dxa"/>
            <w:gridSpan w:val="3"/>
            <w:tcBorders>
              <w:top w:val="single" w:sz="8" w:space="0" w:color="auto"/>
              <w:left w:val="single" w:sz="4" w:space="0" w:color="auto"/>
              <w:bottom w:val="single" w:sz="4" w:space="0" w:color="auto"/>
              <w:right w:val="nil"/>
            </w:tcBorders>
            <w:shd w:val="clear" w:color="auto" w:fill="auto"/>
            <w:vAlign w:val="center"/>
            <w:hideMark/>
          </w:tcPr>
          <w:p w:rsidR="00081554" w:rsidRPr="00081554" w:rsidRDefault="00081554" w:rsidP="00081554">
            <w:pPr>
              <w:spacing w:line="240" w:lineRule="auto"/>
              <w:jc w:val="center"/>
              <w:rPr>
                <w:rFonts w:eastAsia="Times New Roman" w:cs="Arial"/>
                <w:sz w:val="16"/>
                <w:szCs w:val="16"/>
                <w:lang w:eastAsia="cs-CZ"/>
              </w:rPr>
            </w:pPr>
            <w:r w:rsidRPr="00081554">
              <w:rPr>
                <w:rFonts w:eastAsia="Times New Roman" w:cs="Arial"/>
                <w:sz w:val="16"/>
                <w:szCs w:val="16"/>
                <w:lang w:eastAsia="cs-CZ"/>
              </w:rPr>
              <w:t>Pracující</w:t>
            </w:r>
          </w:p>
        </w:tc>
      </w:tr>
      <w:tr w:rsidR="00081554" w:rsidRPr="00081554" w:rsidTr="00081554">
        <w:trPr>
          <w:trHeight w:val="315"/>
        </w:trPr>
        <w:tc>
          <w:tcPr>
            <w:tcW w:w="4453" w:type="dxa"/>
            <w:vMerge/>
            <w:tcBorders>
              <w:top w:val="single" w:sz="8" w:space="0" w:color="auto"/>
              <w:left w:val="nil"/>
              <w:bottom w:val="single" w:sz="8" w:space="0" w:color="000000"/>
              <w:right w:val="nil"/>
            </w:tcBorders>
            <w:vAlign w:val="center"/>
            <w:hideMark/>
          </w:tcPr>
          <w:p w:rsidR="00081554" w:rsidRPr="00081554" w:rsidRDefault="00081554" w:rsidP="00081554">
            <w:pPr>
              <w:spacing w:line="240" w:lineRule="auto"/>
              <w:jc w:val="left"/>
              <w:rPr>
                <w:rFonts w:eastAsia="Times New Roman" w:cs="Arial"/>
                <w:sz w:val="16"/>
                <w:szCs w:val="16"/>
                <w:lang w:eastAsia="cs-CZ"/>
              </w:rPr>
            </w:pPr>
          </w:p>
        </w:tc>
        <w:tc>
          <w:tcPr>
            <w:tcW w:w="535" w:type="dxa"/>
            <w:tcBorders>
              <w:top w:val="nil"/>
              <w:left w:val="single" w:sz="4" w:space="0" w:color="auto"/>
              <w:bottom w:val="single" w:sz="8" w:space="0" w:color="auto"/>
              <w:right w:val="single" w:sz="4" w:space="0" w:color="auto"/>
            </w:tcBorders>
            <w:shd w:val="clear" w:color="auto" w:fill="auto"/>
            <w:noWrap/>
            <w:vAlign w:val="center"/>
            <w:hideMark/>
          </w:tcPr>
          <w:p w:rsidR="00081554" w:rsidRPr="00081554" w:rsidRDefault="00081554" w:rsidP="00081554">
            <w:pPr>
              <w:spacing w:line="240" w:lineRule="auto"/>
              <w:jc w:val="center"/>
              <w:rPr>
                <w:rFonts w:eastAsia="Times New Roman" w:cs="Arial"/>
                <w:sz w:val="16"/>
                <w:szCs w:val="16"/>
                <w:lang w:eastAsia="cs-CZ"/>
              </w:rPr>
            </w:pPr>
            <w:r w:rsidRPr="00081554">
              <w:rPr>
                <w:rFonts w:eastAsia="Times New Roman" w:cs="Arial"/>
                <w:sz w:val="16"/>
                <w:szCs w:val="16"/>
                <w:lang w:eastAsia="cs-CZ"/>
              </w:rPr>
              <w:t>celkem</w:t>
            </w:r>
          </w:p>
        </w:tc>
        <w:tc>
          <w:tcPr>
            <w:tcW w:w="1666" w:type="dxa"/>
            <w:tcBorders>
              <w:top w:val="nil"/>
              <w:left w:val="nil"/>
              <w:bottom w:val="single" w:sz="8" w:space="0" w:color="auto"/>
              <w:right w:val="single" w:sz="4" w:space="0" w:color="auto"/>
            </w:tcBorders>
            <w:shd w:val="clear" w:color="auto" w:fill="auto"/>
            <w:vAlign w:val="center"/>
            <w:hideMark/>
          </w:tcPr>
          <w:p w:rsidR="00081554" w:rsidRPr="00081554" w:rsidRDefault="00081554" w:rsidP="00081554">
            <w:pPr>
              <w:spacing w:line="240" w:lineRule="auto"/>
              <w:jc w:val="center"/>
              <w:rPr>
                <w:rFonts w:eastAsia="Times New Roman" w:cs="Arial"/>
                <w:sz w:val="16"/>
                <w:szCs w:val="16"/>
                <w:lang w:eastAsia="cs-CZ"/>
              </w:rPr>
            </w:pPr>
            <w:r w:rsidRPr="00081554">
              <w:rPr>
                <w:rFonts w:eastAsia="Times New Roman" w:cs="Arial"/>
                <w:sz w:val="16"/>
                <w:szCs w:val="16"/>
                <w:lang w:eastAsia="cs-CZ"/>
              </w:rPr>
              <w:t>muži</w:t>
            </w:r>
          </w:p>
        </w:tc>
        <w:tc>
          <w:tcPr>
            <w:tcW w:w="1666" w:type="dxa"/>
            <w:tcBorders>
              <w:top w:val="nil"/>
              <w:left w:val="nil"/>
              <w:bottom w:val="single" w:sz="8" w:space="0" w:color="auto"/>
              <w:right w:val="nil"/>
            </w:tcBorders>
            <w:shd w:val="clear" w:color="auto" w:fill="auto"/>
            <w:vAlign w:val="center"/>
            <w:hideMark/>
          </w:tcPr>
          <w:p w:rsidR="00081554" w:rsidRPr="00081554" w:rsidRDefault="00081554" w:rsidP="00081554">
            <w:pPr>
              <w:spacing w:line="240" w:lineRule="auto"/>
              <w:jc w:val="center"/>
              <w:rPr>
                <w:rFonts w:eastAsia="Times New Roman" w:cs="Arial"/>
                <w:sz w:val="16"/>
                <w:szCs w:val="16"/>
                <w:lang w:eastAsia="cs-CZ"/>
              </w:rPr>
            </w:pPr>
            <w:r w:rsidRPr="00081554">
              <w:rPr>
                <w:rFonts w:eastAsia="Times New Roman" w:cs="Arial"/>
                <w:sz w:val="16"/>
                <w:szCs w:val="16"/>
                <w:lang w:eastAsia="cs-CZ"/>
              </w:rPr>
              <w:t>ženy</w:t>
            </w:r>
          </w:p>
        </w:tc>
      </w:tr>
      <w:tr w:rsidR="00081554" w:rsidRPr="00081554" w:rsidTr="00081554">
        <w:trPr>
          <w:trHeight w:val="330"/>
        </w:trPr>
        <w:tc>
          <w:tcPr>
            <w:tcW w:w="4453" w:type="dxa"/>
            <w:tcBorders>
              <w:top w:val="nil"/>
              <w:left w:val="nil"/>
              <w:bottom w:val="nil"/>
              <w:right w:val="nil"/>
            </w:tcBorders>
            <w:shd w:val="clear" w:color="auto" w:fill="auto"/>
            <w:vAlign w:val="bottom"/>
            <w:hideMark/>
          </w:tcPr>
          <w:p w:rsidR="00081554" w:rsidRPr="00081554" w:rsidRDefault="00081554" w:rsidP="00081554">
            <w:pPr>
              <w:spacing w:line="240" w:lineRule="auto"/>
              <w:jc w:val="left"/>
              <w:rPr>
                <w:rFonts w:eastAsia="Times New Roman" w:cs="Arial"/>
                <w:b/>
                <w:bCs/>
                <w:sz w:val="16"/>
                <w:szCs w:val="16"/>
                <w:lang w:eastAsia="cs-CZ"/>
              </w:rPr>
            </w:pPr>
            <w:r w:rsidRPr="00081554">
              <w:rPr>
                <w:rFonts w:eastAsia="Times New Roman" w:cs="Arial"/>
                <w:b/>
                <w:bCs/>
                <w:sz w:val="16"/>
                <w:szCs w:val="16"/>
                <w:lang w:eastAsia="cs-CZ"/>
              </w:rPr>
              <w:t>Celkem</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b/>
                <w:bCs/>
                <w:sz w:val="16"/>
                <w:szCs w:val="16"/>
                <w:lang w:eastAsia="cs-CZ"/>
              </w:rPr>
            </w:pPr>
            <w:r w:rsidRPr="00081554">
              <w:rPr>
                <w:rFonts w:eastAsia="Times New Roman" w:cs="Arial"/>
                <w:b/>
                <w:bCs/>
                <w:sz w:val="16"/>
                <w:szCs w:val="16"/>
                <w:lang w:eastAsia="cs-CZ"/>
              </w:rPr>
              <w:t xml:space="preserve">4,6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b/>
                <w:bCs/>
                <w:sz w:val="16"/>
                <w:szCs w:val="16"/>
                <w:lang w:eastAsia="cs-CZ"/>
              </w:rPr>
            </w:pPr>
            <w:r w:rsidRPr="00081554">
              <w:rPr>
                <w:rFonts w:eastAsia="Times New Roman" w:cs="Arial"/>
                <w:b/>
                <w:bCs/>
                <w:sz w:val="16"/>
                <w:szCs w:val="16"/>
                <w:lang w:eastAsia="cs-CZ"/>
              </w:rPr>
              <w:t xml:space="preserve">4,3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b/>
                <w:bCs/>
                <w:sz w:val="16"/>
                <w:szCs w:val="16"/>
                <w:lang w:eastAsia="cs-CZ"/>
              </w:rPr>
            </w:pPr>
            <w:r w:rsidRPr="00081554">
              <w:rPr>
                <w:rFonts w:eastAsia="Times New Roman" w:cs="Arial"/>
                <w:b/>
                <w:bCs/>
                <w:sz w:val="16"/>
                <w:szCs w:val="16"/>
                <w:lang w:eastAsia="cs-CZ"/>
              </w:rPr>
              <w:t xml:space="preserve">5,0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b/>
                <w:bCs/>
                <w:sz w:val="16"/>
                <w:szCs w:val="16"/>
                <w:lang w:eastAsia="cs-CZ"/>
              </w:rPr>
            </w:pPr>
            <w:r w:rsidRPr="00081554">
              <w:rPr>
                <w:rFonts w:eastAsia="Times New Roman" w:cs="Arial"/>
                <w:b/>
                <w:bCs/>
                <w:sz w:val="16"/>
                <w:szCs w:val="16"/>
                <w:lang w:eastAsia="cs-CZ"/>
              </w:rPr>
              <w:t xml:space="preserve">  z toho věkové skupiny:</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left"/>
              <w:rPr>
                <w:rFonts w:eastAsia="Times New Roman" w:cs="Arial"/>
                <w:sz w:val="16"/>
                <w:szCs w:val="16"/>
                <w:lang w:eastAsia="cs-CZ"/>
              </w:rPr>
            </w:pPr>
            <w:r w:rsidRPr="00081554">
              <w:rPr>
                <w:rFonts w:eastAsia="Times New Roman" w:cs="Arial"/>
                <w:sz w:val="16"/>
                <w:szCs w:val="16"/>
                <w:lang w:eastAsia="cs-CZ"/>
              </w:rPr>
              <w:t>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left"/>
              <w:rPr>
                <w:rFonts w:eastAsia="Times New Roman" w:cs="Arial"/>
                <w:sz w:val="16"/>
                <w:szCs w:val="16"/>
                <w:lang w:eastAsia="cs-CZ"/>
              </w:rPr>
            </w:pPr>
            <w:r w:rsidRPr="00081554">
              <w:rPr>
                <w:rFonts w:eastAsia="Times New Roman" w:cs="Arial"/>
                <w:sz w:val="16"/>
                <w:szCs w:val="16"/>
                <w:lang w:eastAsia="cs-CZ"/>
              </w:rPr>
              <w:t>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16"/>
                <w:szCs w:val="16"/>
                <w:lang w:eastAsia="cs-CZ"/>
              </w:rPr>
            </w:pPr>
            <w:r w:rsidRPr="00081554">
              <w:rPr>
                <w:rFonts w:eastAsia="Times New Roman" w:cs="Arial"/>
                <w:sz w:val="16"/>
                <w:szCs w:val="16"/>
                <w:lang w:eastAsia="cs-CZ"/>
              </w:rPr>
              <w:t>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20 až 24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1,4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0,8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2,1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25 až 29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1,5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1,4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1,6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30 až 34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2,2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2,0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2,6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35 až 39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3,8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3,2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4,6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40 až 44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4,7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4,6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4,9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45 až 49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6,2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5,9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6,4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50 až 54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7,0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7,1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6,8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55 až 59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8,0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6,8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9,4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60 až 64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8,0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9,2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5,6 </w:t>
            </w:r>
          </w:p>
        </w:tc>
      </w:tr>
      <w:tr w:rsidR="00081554" w:rsidRPr="00081554" w:rsidTr="006E68C0">
        <w:trPr>
          <w:trHeight w:val="227"/>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ind w:firstLineChars="100" w:firstLine="160"/>
              <w:jc w:val="left"/>
              <w:rPr>
                <w:rFonts w:eastAsia="Times New Roman" w:cs="Arial"/>
                <w:sz w:val="16"/>
                <w:szCs w:val="16"/>
                <w:lang w:eastAsia="cs-CZ"/>
              </w:rPr>
            </w:pPr>
            <w:r w:rsidRPr="00081554">
              <w:rPr>
                <w:rFonts w:eastAsia="Times New Roman" w:cs="Arial"/>
                <w:sz w:val="16"/>
                <w:szCs w:val="16"/>
                <w:lang w:eastAsia="cs-CZ"/>
              </w:rPr>
              <w:t>65 a více let</w:t>
            </w:r>
          </w:p>
        </w:tc>
        <w:tc>
          <w:tcPr>
            <w:tcW w:w="535" w:type="dxa"/>
            <w:tcBorders>
              <w:top w:val="nil"/>
              <w:left w:val="single" w:sz="4" w:space="0" w:color="auto"/>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3,6 </w:t>
            </w:r>
          </w:p>
        </w:tc>
        <w:tc>
          <w:tcPr>
            <w:tcW w:w="1666" w:type="dxa"/>
            <w:tcBorders>
              <w:top w:val="nil"/>
              <w:left w:val="nil"/>
              <w:bottom w:val="nil"/>
              <w:right w:val="single" w:sz="4" w:space="0" w:color="auto"/>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 xml:space="preserve">5,1 </w:t>
            </w: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right"/>
              <w:rPr>
                <w:rFonts w:eastAsia="Times New Roman" w:cs="Arial"/>
                <w:sz w:val="16"/>
                <w:szCs w:val="16"/>
                <w:lang w:eastAsia="cs-CZ"/>
              </w:rPr>
            </w:pPr>
            <w:r w:rsidRPr="00081554">
              <w:rPr>
                <w:rFonts w:eastAsia="Times New Roman" w:cs="Arial"/>
                <w:sz w:val="16"/>
                <w:szCs w:val="16"/>
                <w:lang w:eastAsia="cs-CZ"/>
              </w:rPr>
              <w:t>.</w:t>
            </w:r>
          </w:p>
        </w:tc>
      </w:tr>
      <w:tr w:rsidR="00081554" w:rsidRPr="00081554" w:rsidTr="00081554">
        <w:trPr>
          <w:trHeight w:val="120"/>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16"/>
                <w:szCs w:val="16"/>
                <w:lang w:eastAsia="cs-CZ"/>
              </w:rPr>
            </w:pPr>
          </w:p>
        </w:tc>
        <w:tc>
          <w:tcPr>
            <w:tcW w:w="535" w:type="dxa"/>
            <w:tcBorders>
              <w:top w:val="nil"/>
              <w:left w:val="nil"/>
              <w:bottom w:val="nil"/>
              <w:right w:val="nil"/>
            </w:tcBorders>
            <w:shd w:val="clear" w:color="auto" w:fill="auto"/>
            <w:noWrap/>
            <w:vAlign w:val="center"/>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center"/>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r>
      <w:tr w:rsidR="00081554" w:rsidRPr="00081554" w:rsidTr="00081554">
        <w:trPr>
          <w:trHeight w:val="285"/>
        </w:trPr>
        <w:tc>
          <w:tcPr>
            <w:tcW w:w="4453"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i/>
                <w:iCs/>
                <w:sz w:val="18"/>
                <w:szCs w:val="18"/>
                <w:lang w:eastAsia="cs-CZ"/>
              </w:rPr>
            </w:pPr>
            <w:r w:rsidRPr="00081554">
              <w:rPr>
                <w:rFonts w:eastAsia="Times New Roman" w:cs="Arial"/>
                <w:i/>
                <w:iCs/>
                <w:sz w:val="18"/>
                <w:szCs w:val="18"/>
                <w:lang w:eastAsia="cs-CZ"/>
              </w:rPr>
              <w:t>Zdroj: ČSÚ, Výběrové šetření pracovních sil</w:t>
            </w:r>
          </w:p>
        </w:tc>
        <w:tc>
          <w:tcPr>
            <w:tcW w:w="535"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c>
          <w:tcPr>
            <w:tcW w:w="1666" w:type="dxa"/>
            <w:tcBorders>
              <w:top w:val="nil"/>
              <w:left w:val="nil"/>
              <w:bottom w:val="nil"/>
              <w:right w:val="nil"/>
            </w:tcBorders>
            <w:shd w:val="clear" w:color="auto" w:fill="auto"/>
            <w:noWrap/>
            <w:vAlign w:val="bottom"/>
            <w:hideMark/>
          </w:tcPr>
          <w:p w:rsidR="00081554" w:rsidRPr="00081554" w:rsidRDefault="00081554" w:rsidP="00081554">
            <w:pPr>
              <w:spacing w:line="240" w:lineRule="auto"/>
              <w:jc w:val="left"/>
              <w:rPr>
                <w:rFonts w:eastAsia="Times New Roman" w:cs="Arial"/>
                <w:sz w:val="22"/>
                <w:lang w:eastAsia="cs-CZ"/>
              </w:rPr>
            </w:pPr>
          </w:p>
        </w:tc>
      </w:tr>
    </w:tbl>
    <w:p w:rsidR="00A75140" w:rsidRDefault="00A75140" w:rsidP="00C01E82"/>
    <w:p w:rsidR="00A469E4" w:rsidRDefault="00C935C2" w:rsidP="00C01E82">
      <w:r>
        <w:t>Úzký v</w:t>
      </w:r>
      <w:r w:rsidR="00A469E4">
        <w:t>ztah věku respondenta a výskytu zd</w:t>
      </w:r>
      <w:r>
        <w:t>ravotního problému souvisejícího</w:t>
      </w:r>
      <w:r w:rsidR="00A469E4">
        <w:t xml:space="preserve"> se zaměstnáním potvrzuje i porovnání výsledků výběrového šetření s obdobným šetřením z roku 2007. Tehdy uváděli nejčastěji zdravotní problémy muži i ženy ve věku odpovídajícímu tehdy stanoveným hranicím pro vznik nároku na starobní důchod.</w:t>
      </w:r>
    </w:p>
    <w:p w:rsidR="00C01E82" w:rsidRDefault="00C01E82" w:rsidP="00C01E82"/>
    <w:p w:rsidR="00C01E82" w:rsidRDefault="00C01E82" w:rsidP="00C01E82">
      <w:r>
        <w:t>Jestliže</w:t>
      </w:r>
      <w:r w:rsidR="007A3958">
        <w:t xml:space="preserve"> vykonávané profese méně ovlivňují </w:t>
      </w:r>
      <w:r w:rsidR="00FD7976">
        <w:t>celkovou četnost zdravotních problémů souvisejících se zaměstnáním</w:t>
      </w:r>
      <w:r w:rsidR="00597E5F">
        <w:t>, tak podstatně ovlivňují druh zdravotního problému.</w:t>
      </w:r>
      <w:r w:rsidR="005336EE">
        <w:t xml:space="preserve"> </w:t>
      </w:r>
      <w:r w:rsidR="008C36A4">
        <w:t>Téměř dvě třetiny všech mužů, kteří trpí problémy souvisejícími s jejich zaměstnáním</w:t>
      </w:r>
      <w:r w:rsidR="00DC0C5A">
        <w:t>,</w:t>
      </w:r>
      <w:r w:rsidR="008C36A4">
        <w:t xml:space="preserve"> jsou řemeslníci a</w:t>
      </w:r>
      <w:r w:rsidR="003121CD">
        <w:t> </w:t>
      </w:r>
      <w:r w:rsidR="008C36A4">
        <w:t>opraváři nebo praco</w:t>
      </w:r>
      <w:r w:rsidR="002E4BFF">
        <w:t xml:space="preserve">vníci obsluhy strojů a zařízení (přes 75 tis. </w:t>
      </w:r>
      <w:r w:rsidR="00DA787A">
        <w:t>mužů</w:t>
      </w:r>
      <w:r w:rsidR="002E4BFF">
        <w:t>).</w:t>
      </w:r>
      <w:r w:rsidR="005336EE">
        <w:t xml:space="preserve"> To jsou téměř dvě třetiny všech mužů s těmito problémy.</w:t>
      </w:r>
      <w:r w:rsidR="00DC0C5A">
        <w:t xml:space="preserve"> </w:t>
      </w:r>
      <w:r w:rsidR="00E91C20">
        <w:t>Naopak ve skupině zaměstnaných</w:t>
      </w:r>
      <w:r w:rsidR="00DC0C5A">
        <w:t xml:space="preserve"> žen</w:t>
      </w:r>
      <w:r w:rsidR="00DE73A5">
        <w:t xml:space="preserve"> 30 %</w:t>
      </w:r>
      <w:r w:rsidR="00DC0C5A">
        <w:t xml:space="preserve"> všech žen se zdravotními problémy souvisejícím</w:t>
      </w:r>
      <w:r w:rsidR="00E91C20">
        <w:t>i</w:t>
      </w:r>
      <w:r w:rsidR="00DC0C5A">
        <w:t xml:space="preserve"> s profesí </w:t>
      </w:r>
      <w:r w:rsidR="00E91C20">
        <w:t>je</w:t>
      </w:r>
      <w:r w:rsidR="00DC0C5A">
        <w:t xml:space="preserve"> v postavení pracovníka ve službách a</w:t>
      </w:r>
      <w:r w:rsidR="003121CD">
        <w:t> </w:t>
      </w:r>
      <w:r w:rsidR="00DC0C5A">
        <w:t xml:space="preserve">prodeji. Podíl této hlavní třídy CZ-ISCO na celkové ženské zaměstnanosti přitom </w:t>
      </w:r>
      <w:r w:rsidR="00DE73A5">
        <w:t>činí</w:t>
      </w:r>
      <w:r w:rsidR="00DC0C5A">
        <w:t xml:space="preserve"> necelých</w:t>
      </w:r>
      <w:r w:rsidR="003121CD">
        <w:t> </w:t>
      </w:r>
      <w:r w:rsidR="00DC0C5A">
        <w:t>23 %.</w:t>
      </w:r>
    </w:p>
    <w:p w:rsidR="001668E0" w:rsidRDefault="001668E0" w:rsidP="00C01E82"/>
    <w:tbl>
      <w:tblPr>
        <w:tblW w:w="8080" w:type="dxa"/>
        <w:tblInd w:w="56" w:type="dxa"/>
        <w:tblCellMar>
          <w:left w:w="70" w:type="dxa"/>
          <w:right w:w="70" w:type="dxa"/>
        </w:tblCellMar>
        <w:tblLook w:val="04A0"/>
      </w:tblPr>
      <w:tblGrid>
        <w:gridCol w:w="3431"/>
        <w:gridCol w:w="647"/>
        <w:gridCol w:w="848"/>
        <w:gridCol w:w="848"/>
        <w:gridCol w:w="647"/>
        <w:gridCol w:w="925"/>
        <w:gridCol w:w="925"/>
      </w:tblGrid>
      <w:tr w:rsidR="00634F04" w:rsidRPr="00634F04" w:rsidTr="00634F04">
        <w:trPr>
          <w:trHeight w:val="900"/>
        </w:trPr>
        <w:tc>
          <w:tcPr>
            <w:tcW w:w="8080" w:type="dxa"/>
            <w:gridSpan w:val="7"/>
            <w:tcBorders>
              <w:top w:val="nil"/>
              <w:left w:val="nil"/>
              <w:bottom w:val="nil"/>
              <w:right w:val="nil"/>
            </w:tcBorders>
            <w:shd w:val="clear" w:color="auto" w:fill="auto"/>
            <w:vAlign w:val="center"/>
            <w:hideMark/>
          </w:tcPr>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34F04" w:rsidRDefault="00634F04" w:rsidP="00634F04">
            <w:pPr>
              <w:spacing w:line="240" w:lineRule="auto"/>
              <w:jc w:val="left"/>
              <w:rPr>
                <w:rFonts w:eastAsia="Times New Roman" w:cs="Arial"/>
                <w:b/>
                <w:bCs/>
                <w:szCs w:val="20"/>
                <w:lang w:eastAsia="cs-CZ"/>
              </w:rPr>
            </w:pPr>
          </w:p>
          <w:p w:rsidR="006A0896" w:rsidRDefault="006A0896" w:rsidP="00634F04">
            <w:pPr>
              <w:spacing w:line="240" w:lineRule="auto"/>
              <w:jc w:val="left"/>
              <w:rPr>
                <w:rFonts w:eastAsia="Times New Roman" w:cs="Arial"/>
                <w:b/>
                <w:bCs/>
                <w:szCs w:val="20"/>
                <w:lang w:eastAsia="cs-CZ"/>
              </w:rPr>
            </w:pPr>
          </w:p>
          <w:p w:rsidR="00634F04" w:rsidRPr="00634F04" w:rsidRDefault="00634F04" w:rsidP="00634F04">
            <w:pPr>
              <w:spacing w:line="240" w:lineRule="auto"/>
              <w:jc w:val="left"/>
              <w:rPr>
                <w:rFonts w:eastAsia="Times New Roman" w:cs="Arial"/>
                <w:b/>
                <w:bCs/>
                <w:szCs w:val="20"/>
                <w:lang w:eastAsia="cs-CZ"/>
              </w:rPr>
            </w:pPr>
            <w:r w:rsidRPr="00634F04">
              <w:rPr>
                <w:rFonts w:eastAsia="Times New Roman" w:cs="Arial"/>
                <w:b/>
                <w:bCs/>
                <w:szCs w:val="20"/>
                <w:lang w:eastAsia="cs-CZ"/>
              </w:rPr>
              <w:t xml:space="preserve">Počet a podíl pracujících mužů a žen se zdravotními problémy souvisejícími </w:t>
            </w:r>
            <w:r w:rsidRPr="00634F04">
              <w:rPr>
                <w:rFonts w:eastAsia="Times New Roman" w:cs="Arial"/>
                <w:b/>
                <w:bCs/>
                <w:szCs w:val="20"/>
                <w:lang w:eastAsia="cs-CZ"/>
              </w:rPr>
              <w:br/>
              <w:t xml:space="preserve">s výkonem zaměstnání podle postavení v zaměstnání a hlavních tříd CZ-ISCO </w:t>
            </w:r>
            <w:r w:rsidRPr="00634F04">
              <w:rPr>
                <w:rFonts w:eastAsia="Times New Roman" w:cs="Arial"/>
                <w:b/>
                <w:bCs/>
                <w:szCs w:val="20"/>
                <w:lang w:eastAsia="cs-CZ"/>
              </w:rPr>
              <w:br/>
              <w:t>v roce 2013</w:t>
            </w:r>
          </w:p>
        </w:tc>
      </w:tr>
      <w:tr w:rsidR="00634F04" w:rsidRPr="00634F04" w:rsidTr="00634F04">
        <w:trPr>
          <w:trHeight w:val="225"/>
        </w:trPr>
        <w:tc>
          <w:tcPr>
            <w:tcW w:w="3431"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color w:val="FF0000"/>
                <w:sz w:val="16"/>
                <w:szCs w:val="16"/>
                <w:lang w:eastAsia="cs-CZ"/>
              </w:rPr>
            </w:pPr>
          </w:p>
        </w:tc>
        <w:tc>
          <w:tcPr>
            <w:tcW w:w="56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84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84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p>
        </w:tc>
        <w:tc>
          <w:tcPr>
            <w:tcW w:w="53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p>
        </w:tc>
      </w:tr>
      <w:tr w:rsidR="00634F04" w:rsidRPr="00634F04" w:rsidTr="00634F04">
        <w:trPr>
          <w:trHeight w:val="690"/>
        </w:trPr>
        <w:tc>
          <w:tcPr>
            <w:tcW w:w="3431" w:type="dxa"/>
            <w:vMerge w:val="restart"/>
            <w:tcBorders>
              <w:top w:val="single" w:sz="8" w:space="0" w:color="auto"/>
              <w:left w:val="nil"/>
              <w:bottom w:val="single" w:sz="8" w:space="0" w:color="000000"/>
              <w:right w:val="nil"/>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 xml:space="preserve">Zdravotní problémy v posledních </w:t>
            </w:r>
            <w:r w:rsidRPr="00634F04">
              <w:rPr>
                <w:rFonts w:eastAsia="Times New Roman" w:cs="Arial"/>
                <w:sz w:val="16"/>
                <w:szCs w:val="16"/>
                <w:lang w:eastAsia="cs-CZ"/>
              </w:rPr>
              <w:br/>
              <w:t>12 měsících související s výkonem povolání</w:t>
            </w:r>
          </w:p>
        </w:tc>
        <w:tc>
          <w:tcPr>
            <w:tcW w:w="2264" w:type="dxa"/>
            <w:gridSpan w:val="3"/>
            <w:tcBorders>
              <w:top w:val="single" w:sz="8" w:space="0" w:color="auto"/>
              <w:left w:val="single" w:sz="4" w:space="0" w:color="auto"/>
              <w:bottom w:val="single" w:sz="4" w:space="0" w:color="auto"/>
              <w:right w:val="nil"/>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Pracující (v tis.)</w:t>
            </w:r>
          </w:p>
        </w:tc>
        <w:tc>
          <w:tcPr>
            <w:tcW w:w="2385" w:type="dxa"/>
            <w:gridSpan w:val="3"/>
            <w:tcBorders>
              <w:top w:val="single" w:sz="8" w:space="0" w:color="auto"/>
              <w:left w:val="single" w:sz="4" w:space="0" w:color="auto"/>
              <w:bottom w:val="single" w:sz="4" w:space="0" w:color="auto"/>
              <w:right w:val="nil"/>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 xml:space="preserve">Podíl na počtu pracujících </w:t>
            </w:r>
            <w:r w:rsidRPr="00634F04">
              <w:rPr>
                <w:rFonts w:eastAsia="Times New Roman" w:cs="Arial"/>
                <w:sz w:val="16"/>
                <w:szCs w:val="16"/>
                <w:lang w:eastAsia="cs-CZ"/>
              </w:rPr>
              <w:br/>
              <w:t>v kategoriích postavení a v hl. tř. CZ-ISCO (v %)</w:t>
            </w:r>
          </w:p>
        </w:tc>
      </w:tr>
      <w:tr w:rsidR="00634F04" w:rsidRPr="00634F04" w:rsidTr="00634F04">
        <w:trPr>
          <w:trHeight w:val="315"/>
        </w:trPr>
        <w:tc>
          <w:tcPr>
            <w:tcW w:w="3431" w:type="dxa"/>
            <w:vMerge/>
            <w:tcBorders>
              <w:top w:val="single" w:sz="8" w:space="0" w:color="auto"/>
              <w:left w:val="nil"/>
              <w:bottom w:val="single" w:sz="8" w:space="0" w:color="000000"/>
              <w:right w:val="nil"/>
            </w:tcBorders>
            <w:vAlign w:val="center"/>
            <w:hideMark/>
          </w:tcPr>
          <w:p w:rsidR="00634F04" w:rsidRPr="00634F04" w:rsidRDefault="00634F04" w:rsidP="00634F04">
            <w:pPr>
              <w:spacing w:line="240" w:lineRule="auto"/>
              <w:jc w:val="left"/>
              <w:rPr>
                <w:rFonts w:eastAsia="Times New Roman" w:cs="Arial"/>
                <w:sz w:val="16"/>
                <w:szCs w:val="16"/>
                <w:lang w:eastAsia="cs-CZ"/>
              </w:rPr>
            </w:pPr>
          </w:p>
        </w:tc>
        <w:tc>
          <w:tcPr>
            <w:tcW w:w="568" w:type="dxa"/>
            <w:tcBorders>
              <w:top w:val="nil"/>
              <w:left w:val="single" w:sz="4" w:space="0" w:color="auto"/>
              <w:bottom w:val="single" w:sz="8" w:space="0" w:color="auto"/>
              <w:right w:val="single" w:sz="4" w:space="0" w:color="auto"/>
            </w:tcBorders>
            <w:shd w:val="clear" w:color="auto" w:fill="auto"/>
            <w:noWrap/>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celkem</w:t>
            </w:r>
          </w:p>
        </w:tc>
        <w:tc>
          <w:tcPr>
            <w:tcW w:w="848" w:type="dxa"/>
            <w:tcBorders>
              <w:top w:val="nil"/>
              <w:left w:val="nil"/>
              <w:bottom w:val="single" w:sz="8" w:space="0" w:color="auto"/>
              <w:right w:val="single" w:sz="4" w:space="0" w:color="auto"/>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muži</w:t>
            </w:r>
          </w:p>
        </w:tc>
        <w:tc>
          <w:tcPr>
            <w:tcW w:w="848" w:type="dxa"/>
            <w:tcBorders>
              <w:top w:val="nil"/>
              <w:left w:val="nil"/>
              <w:bottom w:val="single" w:sz="8" w:space="0" w:color="auto"/>
              <w:right w:val="nil"/>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ženy</w:t>
            </w:r>
          </w:p>
        </w:tc>
        <w:tc>
          <w:tcPr>
            <w:tcW w:w="535" w:type="dxa"/>
            <w:tcBorders>
              <w:top w:val="nil"/>
              <w:left w:val="single" w:sz="4" w:space="0" w:color="auto"/>
              <w:bottom w:val="single" w:sz="8" w:space="0" w:color="auto"/>
              <w:right w:val="single" w:sz="4" w:space="0" w:color="auto"/>
            </w:tcBorders>
            <w:shd w:val="clear" w:color="auto" w:fill="auto"/>
            <w:noWrap/>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celkem</w:t>
            </w:r>
          </w:p>
        </w:tc>
        <w:tc>
          <w:tcPr>
            <w:tcW w:w="925" w:type="dxa"/>
            <w:tcBorders>
              <w:top w:val="nil"/>
              <w:left w:val="nil"/>
              <w:bottom w:val="single" w:sz="8" w:space="0" w:color="auto"/>
              <w:right w:val="single" w:sz="4" w:space="0" w:color="auto"/>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muži</w:t>
            </w:r>
          </w:p>
        </w:tc>
        <w:tc>
          <w:tcPr>
            <w:tcW w:w="925" w:type="dxa"/>
            <w:tcBorders>
              <w:top w:val="nil"/>
              <w:left w:val="nil"/>
              <w:bottom w:val="single" w:sz="8" w:space="0" w:color="auto"/>
              <w:right w:val="nil"/>
            </w:tcBorders>
            <w:shd w:val="clear" w:color="auto" w:fill="auto"/>
            <w:vAlign w:val="center"/>
            <w:hideMark/>
          </w:tcPr>
          <w:p w:rsidR="00634F04" w:rsidRPr="00634F04" w:rsidRDefault="00634F04" w:rsidP="00634F04">
            <w:pPr>
              <w:spacing w:line="240" w:lineRule="auto"/>
              <w:jc w:val="center"/>
              <w:rPr>
                <w:rFonts w:eastAsia="Times New Roman" w:cs="Arial"/>
                <w:sz w:val="16"/>
                <w:szCs w:val="16"/>
                <w:lang w:eastAsia="cs-CZ"/>
              </w:rPr>
            </w:pPr>
            <w:r w:rsidRPr="00634F04">
              <w:rPr>
                <w:rFonts w:eastAsia="Times New Roman" w:cs="Arial"/>
                <w:sz w:val="16"/>
                <w:szCs w:val="16"/>
                <w:lang w:eastAsia="cs-CZ"/>
              </w:rPr>
              <w:t>ženy</w:t>
            </w:r>
          </w:p>
        </w:tc>
      </w:tr>
      <w:tr w:rsidR="00634F04" w:rsidRPr="00634F04" w:rsidTr="00634F04">
        <w:trPr>
          <w:trHeight w:val="330"/>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jc w:val="left"/>
              <w:rPr>
                <w:rFonts w:eastAsia="Times New Roman" w:cs="Arial"/>
                <w:b/>
                <w:bCs/>
                <w:sz w:val="16"/>
                <w:szCs w:val="16"/>
                <w:lang w:eastAsia="cs-CZ"/>
              </w:rPr>
            </w:pPr>
            <w:r w:rsidRPr="00634F04">
              <w:rPr>
                <w:rFonts w:eastAsia="Times New Roman" w:cs="Arial"/>
                <w:b/>
                <w:bCs/>
                <w:sz w:val="16"/>
                <w:szCs w:val="16"/>
                <w:lang w:eastAsia="cs-CZ"/>
              </w:rPr>
              <w:t>Celkem</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228,7</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120,7</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108,0</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4,6</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4,3</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b/>
                <w:bCs/>
                <w:sz w:val="16"/>
                <w:szCs w:val="16"/>
                <w:lang w:eastAsia="cs-CZ"/>
              </w:rPr>
            </w:pPr>
            <w:r w:rsidRPr="00634F04">
              <w:rPr>
                <w:rFonts w:eastAsia="Times New Roman" w:cs="Arial"/>
                <w:b/>
                <w:bCs/>
                <w:sz w:val="16"/>
                <w:szCs w:val="16"/>
                <w:lang w:eastAsia="cs-CZ"/>
              </w:rPr>
              <w:t>5,0</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jc w:val="left"/>
              <w:rPr>
                <w:rFonts w:eastAsia="Times New Roman" w:cs="Arial"/>
                <w:b/>
                <w:bCs/>
                <w:sz w:val="16"/>
                <w:szCs w:val="16"/>
                <w:lang w:eastAsia="cs-CZ"/>
              </w:rPr>
            </w:pPr>
            <w:r w:rsidRPr="00634F04">
              <w:rPr>
                <w:rFonts w:eastAsia="Times New Roman" w:cs="Arial"/>
                <w:b/>
                <w:bCs/>
                <w:sz w:val="16"/>
                <w:szCs w:val="16"/>
                <w:lang w:eastAsia="cs-CZ"/>
              </w:rPr>
              <w:t xml:space="preserve">  Postavení v zaměstnání</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r w:rsidRPr="00634F04">
              <w:rPr>
                <w:rFonts w:eastAsia="Times New Roman" w:cs="Arial"/>
                <w:sz w:val="22"/>
                <w:lang w:eastAsia="cs-CZ"/>
              </w:rPr>
              <w:t> </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r w:rsidRPr="00634F04">
              <w:rPr>
                <w:rFonts w:eastAsia="Times New Roman" w:cs="Arial"/>
                <w:sz w:val="22"/>
                <w:lang w:eastAsia="cs-CZ"/>
              </w:rPr>
              <w:t> </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r w:rsidRPr="00634F04">
              <w:rPr>
                <w:rFonts w:eastAsia="Times New Roman" w:cs="Arial"/>
                <w:sz w:val="22"/>
                <w:lang w:eastAsia="cs-CZ"/>
              </w:rPr>
              <w:t> </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r w:rsidRPr="00634F04">
              <w:rPr>
                <w:rFonts w:eastAsia="Times New Roman" w:cs="Arial"/>
                <w:sz w:val="22"/>
                <w:lang w:eastAsia="cs-CZ"/>
              </w:rPr>
              <w:t> </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r w:rsidRPr="00634F04">
              <w:rPr>
                <w:rFonts w:eastAsia="Times New Roman" w:cs="Arial"/>
                <w:sz w:val="22"/>
                <w:lang w:eastAsia="cs-CZ"/>
              </w:rPr>
              <w:t> </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r>
      <w:tr w:rsidR="00634F04" w:rsidRPr="00634F04" w:rsidTr="006E68C0">
        <w:trPr>
          <w:trHeight w:val="227"/>
        </w:trPr>
        <w:tc>
          <w:tcPr>
            <w:tcW w:w="3431" w:type="dxa"/>
            <w:tcBorders>
              <w:top w:val="nil"/>
              <w:left w:val="nil"/>
              <w:bottom w:val="nil"/>
              <w:right w:val="nil"/>
            </w:tcBorders>
            <w:shd w:val="clear" w:color="auto" w:fill="auto"/>
            <w:vAlign w:val="center"/>
            <w:hideMark/>
          </w:tcPr>
          <w:p w:rsidR="00634F04" w:rsidRPr="00634F04" w:rsidRDefault="00634F04" w:rsidP="006D0C6A">
            <w:pPr>
              <w:spacing w:line="240" w:lineRule="auto"/>
              <w:ind w:left="182"/>
              <w:jc w:val="left"/>
              <w:rPr>
                <w:rFonts w:eastAsia="Times New Roman" w:cs="Arial"/>
                <w:sz w:val="16"/>
                <w:szCs w:val="16"/>
                <w:lang w:eastAsia="cs-CZ"/>
              </w:rPr>
            </w:pPr>
            <w:r w:rsidRPr="00634F04">
              <w:rPr>
                <w:rFonts w:eastAsia="Times New Roman" w:cs="Arial"/>
                <w:sz w:val="16"/>
                <w:szCs w:val="16"/>
                <w:lang w:eastAsia="cs-CZ"/>
              </w:rPr>
              <w:t xml:space="preserve">zaměstnanec nebo člen </w:t>
            </w:r>
            <w:proofErr w:type="gramStart"/>
            <w:r w:rsidRPr="00634F04">
              <w:rPr>
                <w:rFonts w:eastAsia="Times New Roman" w:cs="Arial"/>
                <w:sz w:val="16"/>
                <w:szCs w:val="16"/>
                <w:lang w:eastAsia="cs-CZ"/>
              </w:rPr>
              <w:t xml:space="preserve">produkčního </w:t>
            </w:r>
            <w:r w:rsidR="006D0C6A">
              <w:rPr>
                <w:rFonts w:eastAsia="Times New Roman" w:cs="Arial"/>
                <w:sz w:val="16"/>
                <w:szCs w:val="16"/>
                <w:lang w:eastAsia="cs-CZ"/>
              </w:rPr>
              <w:t xml:space="preserve"> </w:t>
            </w:r>
            <w:r w:rsidRPr="00634F04">
              <w:rPr>
                <w:rFonts w:eastAsia="Times New Roman" w:cs="Arial"/>
                <w:sz w:val="16"/>
                <w:szCs w:val="16"/>
                <w:lang w:eastAsia="cs-CZ"/>
              </w:rPr>
              <w:t>družstva</w:t>
            </w:r>
            <w:proofErr w:type="gramEnd"/>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173,9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83,5</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90,4</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4,3</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3,8</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4,8</w:t>
            </w:r>
          </w:p>
        </w:tc>
      </w:tr>
      <w:tr w:rsidR="00634F04" w:rsidRPr="00634F04" w:rsidTr="006E68C0">
        <w:trPr>
          <w:trHeight w:val="227"/>
        </w:trPr>
        <w:tc>
          <w:tcPr>
            <w:tcW w:w="3431" w:type="dxa"/>
            <w:tcBorders>
              <w:top w:val="nil"/>
              <w:left w:val="nil"/>
              <w:bottom w:val="nil"/>
              <w:right w:val="nil"/>
            </w:tcBorders>
            <w:shd w:val="clear" w:color="auto" w:fill="auto"/>
            <w:vAlign w:val="center"/>
            <w:hideMark/>
          </w:tcPr>
          <w:p w:rsidR="00634F04" w:rsidRPr="00634F04" w:rsidRDefault="00634F04" w:rsidP="006D0C6A">
            <w:pPr>
              <w:spacing w:line="240" w:lineRule="auto"/>
              <w:ind w:left="182"/>
              <w:jc w:val="left"/>
              <w:rPr>
                <w:rFonts w:eastAsia="Times New Roman" w:cs="Arial"/>
                <w:sz w:val="16"/>
                <w:szCs w:val="16"/>
                <w:lang w:eastAsia="cs-CZ"/>
              </w:rPr>
            </w:pPr>
            <w:r w:rsidRPr="00634F04">
              <w:rPr>
                <w:rFonts w:eastAsia="Times New Roman" w:cs="Arial"/>
                <w:sz w:val="16"/>
                <w:szCs w:val="16"/>
                <w:lang w:eastAsia="cs-CZ"/>
              </w:rPr>
              <w:t>podnikatel nebo pomáhající rodinný příslušník</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54,9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37,2</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17,6</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6,2</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6,1</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6,3</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jc w:val="left"/>
              <w:rPr>
                <w:rFonts w:eastAsia="Times New Roman" w:cs="Arial"/>
                <w:b/>
                <w:bCs/>
                <w:sz w:val="16"/>
                <w:szCs w:val="16"/>
                <w:lang w:eastAsia="cs-CZ"/>
              </w:rPr>
            </w:pPr>
            <w:r w:rsidRPr="00634F04">
              <w:rPr>
                <w:rFonts w:eastAsia="Times New Roman" w:cs="Arial"/>
                <w:b/>
                <w:bCs/>
                <w:sz w:val="16"/>
                <w:szCs w:val="16"/>
                <w:lang w:eastAsia="cs-CZ"/>
              </w:rPr>
              <w:t xml:space="preserve">  Pracovní zařazení podle </w:t>
            </w:r>
            <w:r w:rsidRPr="00634F04">
              <w:rPr>
                <w:rFonts w:eastAsia="Times New Roman" w:cs="Arial"/>
                <w:b/>
                <w:bCs/>
                <w:sz w:val="16"/>
                <w:szCs w:val="16"/>
                <w:lang w:eastAsia="cs-CZ"/>
              </w:rPr>
              <w:br/>
              <w:t xml:space="preserve">  hlavních tříd CZ-ISCO:</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r w:rsidRPr="00634F04">
              <w:rPr>
                <w:rFonts w:eastAsia="Times New Roman" w:cs="Arial"/>
                <w:sz w:val="16"/>
                <w:szCs w:val="16"/>
                <w:lang w:eastAsia="cs-CZ"/>
              </w:rPr>
              <w:t> </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1 zákonodárci a řídící pracovníci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9,8</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2,8</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3,6</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3,5</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3,8</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2 specialisté</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20,6</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8,3</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12,3</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2,8</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2,5</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3,1</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 xml:space="preserve">3 techničtí a odborní pracovníci  </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24,2</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13,9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10,4</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2,8</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2,8</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2,9</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4 úředníci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17,2</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1,5</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15,7</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3,7</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1,5</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4,3</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5 pracovníci ve službách a prodeji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40,9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8,8</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32,1</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5,5</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3,4</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6,6</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2859C5">
            <w:pPr>
              <w:spacing w:line="240" w:lineRule="auto"/>
              <w:ind w:left="154" w:firstLineChars="3" w:firstLine="5"/>
              <w:jc w:val="left"/>
              <w:rPr>
                <w:rFonts w:eastAsia="Times New Roman" w:cs="Arial"/>
                <w:sz w:val="16"/>
                <w:szCs w:val="16"/>
                <w:lang w:eastAsia="cs-CZ"/>
              </w:rPr>
            </w:pPr>
            <w:r w:rsidRPr="00634F04">
              <w:rPr>
                <w:rFonts w:eastAsia="Times New Roman" w:cs="Arial"/>
                <w:sz w:val="16"/>
                <w:szCs w:val="16"/>
                <w:lang w:eastAsia="cs-CZ"/>
              </w:rPr>
              <w:t>6 kvalifikovaní pracovníci v zemědělství,</w:t>
            </w:r>
            <w:r w:rsidRPr="00634F04">
              <w:rPr>
                <w:rFonts w:eastAsia="Times New Roman" w:cs="Arial"/>
                <w:sz w:val="16"/>
                <w:szCs w:val="16"/>
                <w:lang w:eastAsia="cs-CZ"/>
              </w:rPr>
              <w:br/>
              <w:t xml:space="preserve">   lesnictví a rybářství</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5,4</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3,6</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1,8</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8,8</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8,9</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8,6</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7 řemeslníci a opraváři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50,2</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43,7</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6,5</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5,8</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5,7</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6,9</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8 obsluha strojů a zařízení, montéři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44,9</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31,5</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13,3</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7,0</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6,5</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8,2</w:t>
            </w:r>
          </w:p>
        </w:tc>
      </w:tr>
      <w:tr w:rsidR="00634F04" w:rsidRPr="00634F04" w:rsidTr="006E68C0">
        <w:trPr>
          <w:trHeight w:val="227"/>
        </w:trPr>
        <w:tc>
          <w:tcPr>
            <w:tcW w:w="3431" w:type="dxa"/>
            <w:tcBorders>
              <w:top w:val="nil"/>
              <w:left w:val="nil"/>
              <w:bottom w:val="nil"/>
              <w:right w:val="nil"/>
            </w:tcBorders>
            <w:shd w:val="clear" w:color="auto" w:fill="auto"/>
            <w:vAlign w:val="bottom"/>
            <w:hideMark/>
          </w:tcPr>
          <w:p w:rsidR="00634F04" w:rsidRPr="00634F04" w:rsidRDefault="00634F04" w:rsidP="00634F04">
            <w:pPr>
              <w:spacing w:line="240" w:lineRule="auto"/>
              <w:ind w:firstLineChars="100" w:firstLine="160"/>
              <w:jc w:val="left"/>
              <w:rPr>
                <w:rFonts w:eastAsia="Times New Roman" w:cs="Arial"/>
                <w:sz w:val="16"/>
                <w:szCs w:val="16"/>
                <w:lang w:eastAsia="cs-CZ"/>
              </w:rPr>
            </w:pPr>
            <w:r w:rsidRPr="00634F04">
              <w:rPr>
                <w:rFonts w:eastAsia="Times New Roman" w:cs="Arial"/>
                <w:sz w:val="16"/>
                <w:szCs w:val="16"/>
                <w:lang w:eastAsia="cs-CZ"/>
              </w:rPr>
              <w:t>9 pomocní a nekvalifikovaní pracovníci</w:t>
            </w:r>
          </w:p>
        </w:tc>
        <w:tc>
          <w:tcPr>
            <w:tcW w:w="568" w:type="dxa"/>
            <w:tcBorders>
              <w:top w:val="nil"/>
              <w:left w:val="single" w:sz="4" w:space="0" w:color="auto"/>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15,6</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2,5</w:t>
            </w:r>
          </w:p>
        </w:tc>
        <w:tc>
          <w:tcPr>
            <w:tcW w:w="848"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13,1</w:t>
            </w:r>
          </w:p>
        </w:tc>
        <w:tc>
          <w:tcPr>
            <w:tcW w:w="53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5,8</w:t>
            </w:r>
          </w:p>
        </w:tc>
        <w:tc>
          <w:tcPr>
            <w:tcW w:w="925" w:type="dxa"/>
            <w:tcBorders>
              <w:top w:val="nil"/>
              <w:left w:val="nil"/>
              <w:bottom w:val="nil"/>
              <w:right w:val="single" w:sz="4" w:space="0" w:color="auto"/>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2,6</w:t>
            </w: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right"/>
              <w:rPr>
                <w:rFonts w:eastAsia="Times New Roman" w:cs="Arial"/>
                <w:sz w:val="16"/>
                <w:szCs w:val="16"/>
                <w:lang w:eastAsia="cs-CZ"/>
              </w:rPr>
            </w:pPr>
            <w:r w:rsidRPr="00634F04">
              <w:rPr>
                <w:rFonts w:eastAsia="Times New Roman" w:cs="Arial"/>
                <w:sz w:val="16"/>
                <w:szCs w:val="16"/>
                <w:lang w:eastAsia="cs-CZ"/>
              </w:rPr>
              <w:t>7,6</w:t>
            </w:r>
          </w:p>
        </w:tc>
      </w:tr>
      <w:tr w:rsidR="00634F04" w:rsidRPr="00634F04" w:rsidTr="00634F04">
        <w:trPr>
          <w:trHeight w:val="120"/>
        </w:trPr>
        <w:tc>
          <w:tcPr>
            <w:tcW w:w="3431"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16"/>
                <w:szCs w:val="16"/>
                <w:lang w:eastAsia="cs-CZ"/>
              </w:rPr>
            </w:pPr>
          </w:p>
        </w:tc>
        <w:tc>
          <w:tcPr>
            <w:tcW w:w="568" w:type="dxa"/>
            <w:tcBorders>
              <w:top w:val="nil"/>
              <w:left w:val="nil"/>
              <w:bottom w:val="nil"/>
              <w:right w:val="nil"/>
            </w:tcBorders>
            <w:shd w:val="clear" w:color="auto" w:fill="auto"/>
            <w:noWrap/>
            <w:vAlign w:val="center"/>
            <w:hideMark/>
          </w:tcPr>
          <w:p w:rsidR="00634F04" w:rsidRPr="00634F04" w:rsidRDefault="00634F04" w:rsidP="00634F04">
            <w:pPr>
              <w:spacing w:line="240" w:lineRule="auto"/>
              <w:jc w:val="left"/>
              <w:rPr>
                <w:rFonts w:eastAsia="Times New Roman" w:cs="Arial"/>
                <w:sz w:val="22"/>
                <w:lang w:eastAsia="cs-CZ"/>
              </w:rPr>
            </w:pPr>
          </w:p>
        </w:tc>
        <w:tc>
          <w:tcPr>
            <w:tcW w:w="848" w:type="dxa"/>
            <w:tcBorders>
              <w:top w:val="nil"/>
              <w:left w:val="nil"/>
              <w:bottom w:val="nil"/>
              <w:right w:val="nil"/>
            </w:tcBorders>
            <w:shd w:val="clear" w:color="auto" w:fill="auto"/>
            <w:noWrap/>
            <w:vAlign w:val="center"/>
            <w:hideMark/>
          </w:tcPr>
          <w:p w:rsidR="00634F04" w:rsidRPr="00634F04" w:rsidRDefault="00634F04" w:rsidP="00634F04">
            <w:pPr>
              <w:spacing w:line="240" w:lineRule="auto"/>
              <w:jc w:val="left"/>
              <w:rPr>
                <w:rFonts w:eastAsia="Times New Roman" w:cs="Arial"/>
                <w:sz w:val="22"/>
                <w:lang w:eastAsia="cs-CZ"/>
              </w:rPr>
            </w:pPr>
          </w:p>
        </w:tc>
        <w:tc>
          <w:tcPr>
            <w:tcW w:w="84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center"/>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center"/>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r>
      <w:tr w:rsidR="00634F04" w:rsidRPr="00634F04" w:rsidTr="00634F04">
        <w:trPr>
          <w:trHeight w:val="285"/>
        </w:trPr>
        <w:tc>
          <w:tcPr>
            <w:tcW w:w="3999" w:type="dxa"/>
            <w:gridSpan w:val="2"/>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i/>
                <w:iCs/>
                <w:sz w:val="18"/>
                <w:szCs w:val="18"/>
                <w:lang w:eastAsia="cs-CZ"/>
              </w:rPr>
            </w:pPr>
            <w:r w:rsidRPr="00634F04">
              <w:rPr>
                <w:rFonts w:eastAsia="Times New Roman" w:cs="Arial"/>
                <w:i/>
                <w:iCs/>
                <w:sz w:val="18"/>
                <w:szCs w:val="18"/>
                <w:lang w:eastAsia="cs-CZ"/>
              </w:rPr>
              <w:t>Zdroj: ČSÚ, Výběrové šetření pracovních sil</w:t>
            </w:r>
          </w:p>
        </w:tc>
        <w:tc>
          <w:tcPr>
            <w:tcW w:w="84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848"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c>
          <w:tcPr>
            <w:tcW w:w="925" w:type="dxa"/>
            <w:tcBorders>
              <w:top w:val="nil"/>
              <w:left w:val="nil"/>
              <w:bottom w:val="nil"/>
              <w:right w:val="nil"/>
            </w:tcBorders>
            <w:shd w:val="clear" w:color="auto" w:fill="auto"/>
            <w:noWrap/>
            <w:vAlign w:val="bottom"/>
            <w:hideMark/>
          </w:tcPr>
          <w:p w:rsidR="00634F04" w:rsidRPr="00634F04" w:rsidRDefault="00634F04" w:rsidP="00634F04">
            <w:pPr>
              <w:spacing w:line="240" w:lineRule="auto"/>
              <w:jc w:val="left"/>
              <w:rPr>
                <w:rFonts w:eastAsia="Times New Roman" w:cs="Arial"/>
                <w:sz w:val="22"/>
                <w:lang w:eastAsia="cs-CZ"/>
              </w:rPr>
            </w:pPr>
          </w:p>
        </w:tc>
      </w:tr>
    </w:tbl>
    <w:p w:rsidR="00567296" w:rsidRDefault="00567296" w:rsidP="00C01E82">
      <w:pPr>
        <w:rPr>
          <w:b/>
        </w:rPr>
      </w:pPr>
    </w:p>
    <w:p w:rsidR="009253C0" w:rsidRDefault="00DB13C6" w:rsidP="00C01E82">
      <w:r>
        <w:t>Profesní skladba podstatně ovlivňuje i výskyt zdravotních problémů v jednotlivých odvětvových sekcích. Nejvíc jich bylo ve zpracovatelském průmyslu, dále ve stavebnictví, v obchodu a</w:t>
      </w:r>
      <w:r w:rsidR="003121CD">
        <w:t> </w:t>
      </w:r>
      <w:r>
        <w:t>dopravě.</w:t>
      </w:r>
    </w:p>
    <w:p w:rsidR="009253C0" w:rsidRDefault="009253C0" w:rsidP="00C01E82"/>
    <w:p w:rsidR="001852B3" w:rsidRDefault="00117496" w:rsidP="00C01E82">
      <w:r>
        <w:t xml:space="preserve">Z hlediska podílu osob se zdravotními problémy na celkovém počtu pracujících vykazuje zpracovatelský průmysl </w:t>
      </w:r>
      <w:r w:rsidR="009253C0">
        <w:t>jen mírně nad</w:t>
      </w:r>
      <w:r>
        <w:t>průměrnou hodnotu, podstatně vyšší je však v jiných odvětvích jako např. těžba a dobývání (7,8 %), doprava a skladování (6,9 %) a ve stavebnictví (7,0 %). Nadprůměrná byla i v zemědělství (6,3 %), ve zdravotnictví a sociální péči (5,6 %). Vůbec nejvyšší byla v odvětví činnosti domácností</w:t>
      </w:r>
      <w:r w:rsidR="000047E8">
        <w:t xml:space="preserve"> (8,8 %)</w:t>
      </w:r>
      <w:r>
        <w:t xml:space="preserve">, kde však může být výsledek </w:t>
      </w:r>
      <w:r w:rsidR="000047E8">
        <w:t>v určité míře</w:t>
      </w:r>
      <w:r>
        <w:t xml:space="preserve"> ovlivněn velikostí výběrového souboru.</w:t>
      </w:r>
    </w:p>
    <w:p w:rsidR="001852B3" w:rsidRDefault="001852B3" w:rsidP="00C01E82"/>
    <w:p w:rsidR="0054409D" w:rsidRDefault="005E551C" w:rsidP="00C01E82">
      <w:r>
        <w:t>Podíl podnikatelů se zdravotními problémy spojenými se zaměstnáním je vyšší než v kategorii zaměstnanců.</w:t>
      </w:r>
      <w:r w:rsidR="009B698E">
        <w:t xml:space="preserve"> </w:t>
      </w:r>
      <w:r w:rsidR="00F129B3">
        <w:t>To je způsobeno především tím</w:t>
      </w:r>
      <w:r w:rsidR="009B698E">
        <w:t>,</w:t>
      </w:r>
      <w:r w:rsidR="00F129B3">
        <w:t xml:space="preserve"> že s věkem roste i podíl </w:t>
      </w:r>
      <w:r w:rsidR="009B698E">
        <w:t xml:space="preserve">podnikatelů na </w:t>
      </w:r>
      <w:r w:rsidR="00F129B3">
        <w:t xml:space="preserve">celkové </w:t>
      </w:r>
      <w:r w:rsidR="009B698E">
        <w:t>zaměstnanosti. Jednou z příčin může být i skutečnost, že velký počet podnikatelů pracuje ve velkých odvětvích stavebnictví a zemědělství, ve kterých jsou zdravotní problémy častější.</w:t>
      </w:r>
    </w:p>
    <w:p w:rsidR="00EB0F27" w:rsidRDefault="00EB0F27" w:rsidP="00C01E82"/>
    <w:p w:rsidR="00323238" w:rsidRDefault="00FB3F44" w:rsidP="00323238">
      <w:r>
        <w:t>Pokud jde o druh zdravotních komplikací, tak více než polovina postižených uvedla (52,5 %), že má problémy se zády či krkem. Spolu s problémy s horními a dolními končetinami se potíže s podpůrným aparátem projevují u 71 % všech postižených pracujících respondentů.</w:t>
      </w:r>
      <w:r w:rsidR="00432F40" w:rsidRPr="00432F40">
        <w:t xml:space="preserve"> </w:t>
      </w:r>
      <w:r w:rsidR="00432F40">
        <w:t xml:space="preserve">Rozdíly </w:t>
      </w:r>
      <w:r w:rsidR="00432F40">
        <w:lastRenderedPageBreak/>
        <w:t>v četnosti výskytu těc</w:t>
      </w:r>
      <w:r w:rsidR="00323238">
        <w:t>hto problémů mezi muži a ženami</w:t>
      </w:r>
      <w:r w:rsidR="00432F40">
        <w:t xml:space="preserve"> jsou malé.</w:t>
      </w:r>
      <w:r>
        <w:t xml:space="preserve"> </w:t>
      </w:r>
      <w:r w:rsidR="00323238">
        <w:t>Z dalších zdravotních komplikací respondenti často uváděli, že trpí pocity úzkosti, deprese nebo stresu (každý jedenáctý respondent se zdravotními potížemi). Tento důvod uvádějí častěji ženy, naopak muži častěji trpí nemocemi srdce, poruchami krevního tlaku a nemocemi oběhové soustavy.</w:t>
      </w:r>
    </w:p>
    <w:p w:rsidR="00323238" w:rsidRDefault="00323238" w:rsidP="00323238"/>
    <w:p w:rsidR="00567296" w:rsidRDefault="00FB3F44" w:rsidP="00C01E82">
      <w:r>
        <w:t>Je třeba si uvědomit, že v šetření mohli respondenti uvést jen jeden druh problému, který považují za nejzávažnější. Nesledoval</w:t>
      </w:r>
      <w:r w:rsidR="00432F40">
        <w:t>o</w:t>
      </w:r>
      <w:r>
        <w:t xml:space="preserve"> se tedy více druhů zdravotních potíží.</w:t>
      </w:r>
    </w:p>
    <w:p w:rsidR="00432F40" w:rsidRDefault="00432F40" w:rsidP="00C01E82"/>
    <w:tbl>
      <w:tblPr>
        <w:tblW w:w="8140" w:type="dxa"/>
        <w:tblInd w:w="56" w:type="dxa"/>
        <w:tblCellMar>
          <w:left w:w="70" w:type="dxa"/>
          <w:right w:w="70" w:type="dxa"/>
        </w:tblCellMar>
        <w:tblLook w:val="04A0"/>
      </w:tblPr>
      <w:tblGrid>
        <w:gridCol w:w="3983"/>
        <w:gridCol w:w="647"/>
        <w:gridCol w:w="771"/>
        <w:gridCol w:w="771"/>
        <w:gridCol w:w="647"/>
        <w:gridCol w:w="772"/>
        <w:gridCol w:w="772"/>
      </w:tblGrid>
      <w:tr w:rsidR="00B3538D" w:rsidRPr="00B3538D" w:rsidTr="00B3538D">
        <w:trPr>
          <w:trHeight w:val="300"/>
        </w:trPr>
        <w:tc>
          <w:tcPr>
            <w:tcW w:w="8140" w:type="dxa"/>
            <w:gridSpan w:val="7"/>
            <w:tcBorders>
              <w:top w:val="nil"/>
              <w:left w:val="nil"/>
              <w:bottom w:val="nil"/>
              <w:right w:val="nil"/>
            </w:tcBorders>
            <w:shd w:val="clear" w:color="auto" w:fill="auto"/>
            <w:vAlign w:val="center"/>
            <w:hideMark/>
          </w:tcPr>
          <w:p w:rsidR="00B3538D" w:rsidRPr="00B3538D" w:rsidRDefault="00B3538D" w:rsidP="00B3538D">
            <w:pPr>
              <w:spacing w:line="240" w:lineRule="auto"/>
              <w:jc w:val="left"/>
              <w:rPr>
                <w:rFonts w:eastAsia="Times New Roman" w:cs="Arial"/>
                <w:b/>
                <w:bCs/>
                <w:szCs w:val="20"/>
                <w:lang w:eastAsia="cs-CZ"/>
              </w:rPr>
            </w:pPr>
            <w:r w:rsidRPr="00B3538D">
              <w:rPr>
                <w:rFonts w:eastAsia="Times New Roman" w:cs="Arial"/>
                <w:b/>
                <w:bCs/>
                <w:szCs w:val="20"/>
                <w:lang w:eastAsia="cs-CZ"/>
              </w:rPr>
              <w:t>Počet pracujících podle druhu zdravotního problému v roce 2013</w:t>
            </w:r>
          </w:p>
        </w:tc>
      </w:tr>
      <w:tr w:rsidR="00B3538D" w:rsidRPr="00B3538D" w:rsidTr="00B3538D">
        <w:trPr>
          <w:trHeight w:val="225"/>
        </w:trPr>
        <w:tc>
          <w:tcPr>
            <w:tcW w:w="3983"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color w:val="FF0000"/>
                <w:sz w:val="16"/>
                <w:szCs w:val="16"/>
                <w:lang w:eastAsia="cs-CZ"/>
              </w:rPr>
            </w:pPr>
          </w:p>
        </w:tc>
        <w:tc>
          <w:tcPr>
            <w:tcW w:w="536"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p>
        </w:tc>
        <w:tc>
          <w:tcPr>
            <w:tcW w:w="535"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p>
        </w:tc>
      </w:tr>
      <w:tr w:rsidR="00B3538D" w:rsidRPr="00B3538D" w:rsidTr="00B3538D">
        <w:trPr>
          <w:trHeight w:val="300"/>
        </w:trPr>
        <w:tc>
          <w:tcPr>
            <w:tcW w:w="3983" w:type="dxa"/>
            <w:vMerge w:val="restart"/>
            <w:tcBorders>
              <w:top w:val="single" w:sz="8" w:space="0" w:color="auto"/>
              <w:left w:val="nil"/>
              <w:bottom w:val="single" w:sz="8" w:space="0" w:color="000000"/>
              <w:right w:val="nil"/>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 xml:space="preserve">Druh zdravotního problému </w:t>
            </w:r>
            <w:r w:rsidRPr="00B3538D">
              <w:rPr>
                <w:rFonts w:eastAsia="Times New Roman" w:cs="Arial"/>
                <w:sz w:val="16"/>
                <w:szCs w:val="16"/>
                <w:lang w:eastAsia="cs-CZ"/>
              </w:rPr>
              <w:br/>
              <w:t>v posledních 12 měsících</w:t>
            </w:r>
          </w:p>
        </w:tc>
        <w:tc>
          <w:tcPr>
            <w:tcW w:w="2078" w:type="dxa"/>
            <w:gridSpan w:val="3"/>
            <w:tcBorders>
              <w:top w:val="single" w:sz="8" w:space="0" w:color="auto"/>
              <w:left w:val="single" w:sz="4" w:space="0" w:color="auto"/>
              <w:bottom w:val="single" w:sz="4" w:space="0" w:color="auto"/>
              <w:right w:val="nil"/>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Pracující (v tis.)</w:t>
            </w:r>
          </w:p>
        </w:tc>
        <w:tc>
          <w:tcPr>
            <w:tcW w:w="2079" w:type="dxa"/>
            <w:gridSpan w:val="3"/>
            <w:tcBorders>
              <w:top w:val="single" w:sz="8" w:space="0" w:color="auto"/>
              <w:left w:val="single" w:sz="4" w:space="0" w:color="auto"/>
              <w:bottom w:val="single" w:sz="4" w:space="0" w:color="auto"/>
              <w:right w:val="nil"/>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Pracující (v %)</w:t>
            </w:r>
          </w:p>
        </w:tc>
      </w:tr>
      <w:tr w:rsidR="00B3538D" w:rsidRPr="00B3538D" w:rsidTr="00B3538D">
        <w:trPr>
          <w:trHeight w:val="315"/>
        </w:trPr>
        <w:tc>
          <w:tcPr>
            <w:tcW w:w="3983" w:type="dxa"/>
            <w:vMerge/>
            <w:tcBorders>
              <w:top w:val="single" w:sz="8" w:space="0" w:color="auto"/>
              <w:left w:val="nil"/>
              <w:bottom w:val="single" w:sz="8" w:space="0" w:color="000000"/>
              <w:right w:val="nil"/>
            </w:tcBorders>
            <w:vAlign w:val="center"/>
            <w:hideMark/>
          </w:tcPr>
          <w:p w:rsidR="00B3538D" w:rsidRPr="00B3538D" w:rsidRDefault="00B3538D" w:rsidP="00B3538D">
            <w:pPr>
              <w:spacing w:line="240" w:lineRule="auto"/>
              <w:jc w:val="left"/>
              <w:rPr>
                <w:rFonts w:eastAsia="Times New Roman" w:cs="Arial"/>
                <w:sz w:val="16"/>
                <w:szCs w:val="16"/>
                <w:lang w:eastAsia="cs-CZ"/>
              </w:rPr>
            </w:pPr>
          </w:p>
        </w:tc>
        <w:tc>
          <w:tcPr>
            <w:tcW w:w="536" w:type="dxa"/>
            <w:tcBorders>
              <w:top w:val="nil"/>
              <w:left w:val="single" w:sz="4" w:space="0" w:color="auto"/>
              <w:bottom w:val="single" w:sz="8" w:space="0" w:color="auto"/>
              <w:right w:val="single" w:sz="4" w:space="0" w:color="auto"/>
            </w:tcBorders>
            <w:shd w:val="clear" w:color="auto" w:fill="auto"/>
            <w:noWrap/>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celkem</w:t>
            </w:r>
          </w:p>
        </w:tc>
        <w:tc>
          <w:tcPr>
            <w:tcW w:w="771" w:type="dxa"/>
            <w:tcBorders>
              <w:top w:val="nil"/>
              <w:left w:val="nil"/>
              <w:bottom w:val="single" w:sz="8" w:space="0" w:color="auto"/>
              <w:right w:val="single" w:sz="4" w:space="0" w:color="auto"/>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muži</w:t>
            </w:r>
          </w:p>
        </w:tc>
        <w:tc>
          <w:tcPr>
            <w:tcW w:w="771" w:type="dxa"/>
            <w:tcBorders>
              <w:top w:val="nil"/>
              <w:left w:val="nil"/>
              <w:bottom w:val="single" w:sz="8" w:space="0" w:color="auto"/>
              <w:right w:val="nil"/>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ženy</w:t>
            </w:r>
          </w:p>
        </w:tc>
        <w:tc>
          <w:tcPr>
            <w:tcW w:w="535" w:type="dxa"/>
            <w:tcBorders>
              <w:top w:val="nil"/>
              <w:left w:val="single" w:sz="4" w:space="0" w:color="auto"/>
              <w:bottom w:val="single" w:sz="8" w:space="0" w:color="auto"/>
              <w:right w:val="single" w:sz="4" w:space="0" w:color="auto"/>
            </w:tcBorders>
            <w:shd w:val="clear" w:color="auto" w:fill="auto"/>
            <w:noWrap/>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celkem</w:t>
            </w:r>
          </w:p>
        </w:tc>
        <w:tc>
          <w:tcPr>
            <w:tcW w:w="772" w:type="dxa"/>
            <w:tcBorders>
              <w:top w:val="nil"/>
              <w:left w:val="nil"/>
              <w:bottom w:val="single" w:sz="8" w:space="0" w:color="auto"/>
              <w:right w:val="single" w:sz="4" w:space="0" w:color="auto"/>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muži</w:t>
            </w:r>
          </w:p>
        </w:tc>
        <w:tc>
          <w:tcPr>
            <w:tcW w:w="772" w:type="dxa"/>
            <w:tcBorders>
              <w:top w:val="nil"/>
              <w:left w:val="nil"/>
              <w:bottom w:val="single" w:sz="8" w:space="0" w:color="auto"/>
              <w:right w:val="nil"/>
            </w:tcBorders>
            <w:shd w:val="clear" w:color="auto" w:fill="auto"/>
            <w:vAlign w:val="center"/>
            <w:hideMark/>
          </w:tcPr>
          <w:p w:rsidR="00B3538D" w:rsidRPr="00B3538D" w:rsidRDefault="00B3538D" w:rsidP="00B3538D">
            <w:pPr>
              <w:spacing w:line="240" w:lineRule="auto"/>
              <w:jc w:val="center"/>
              <w:rPr>
                <w:rFonts w:eastAsia="Times New Roman" w:cs="Arial"/>
                <w:sz w:val="16"/>
                <w:szCs w:val="16"/>
                <w:lang w:eastAsia="cs-CZ"/>
              </w:rPr>
            </w:pPr>
            <w:r w:rsidRPr="00B3538D">
              <w:rPr>
                <w:rFonts w:eastAsia="Times New Roman" w:cs="Arial"/>
                <w:sz w:val="16"/>
                <w:szCs w:val="16"/>
                <w:lang w:eastAsia="cs-CZ"/>
              </w:rPr>
              <w:t>ženy</w:t>
            </w:r>
          </w:p>
        </w:tc>
      </w:tr>
      <w:tr w:rsidR="00B3538D" w:rsidRPr="00B3538D" w:rsidTr="00B3538D">
        <w:trPr>
          <w:trHeight w:val="330"/>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jc w:val="left"/>
              <w:rPr>
                <w:rFonts w:eastAsia="Times New Roman" w:cs="Arial"/>
                <w:b/>
                <w:bCs/>
                <w:sz w:val="16"/>
                <w:szCs w:val="16"/>
                <w:lang w:eastAsia="cs-CZ"/>
              </w:rPr>
            </w:pPr>
            <w:r w:rsidRPr="00B3538D">
              <w:rPr>
                <w:rFonts w:eastAsia="Times New Roman" w:cs="Arial"/>
                <w:b/>
                <w:bCs/>
                <w:sz w:val="16"/>
                <w:szCs w:val="16"/>
                <w:lang w:eastAsia="cs-CZ"/>
              </w:rPr>
              <w:t>Zdravotní problémy celkem</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228,7</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120,7</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108,0</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100,0</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100,0</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b/>
                <w:bCs/>
                <w:sz w:val="16"/>
                <w:szCs w:val="16"/>
                <w:lang w:eastAsia="cs-CZ"/>
              </w:rPr>
            </w:pPr>
            <w:r w:rsidRPr="00B3538D">
              <w:rPr>
                <w:rFonts w:eastAsia="Times New Roman" w:cs="Arial"/>
                <w:b/>
                <w:bCs/>
                <w:sz w:val="16"/>
                <w:szCs w:val="16"/>
                <w:lang w:eastAsia="cs-CZ"/>
              </w:rPr>
              <w:t>100,0</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problémy s horními končetinami</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22,7</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12,0</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10,6</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9,9</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10,0</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9,8</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problémy s dolními končetinami</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20,3</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11,8</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8,5</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8,9</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9,7</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7,9</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problémy se zády či krkem</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120,1</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63,5</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56,6</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52,5</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52,6</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52,4</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plicní nebo dýchací problémy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7,2</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3,4</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3,8</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3,1</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2,9</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3,5</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kožní problémy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4,8</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2,8</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2,0</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2,1</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2,4</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1,8</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pocity úzkosti, deprese, stres</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19,6</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7,7</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11,9</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8,6</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6,4</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11,0</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bolesti hlavy a oční poruchy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11,3</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5,2</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6,1</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4,9</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4,3</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5,6</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01773E">
            <w:pPr>
              <w:spacing w:line="240" w:lineRule="auto"/>
              <w:ind w:leftChars="87" w:left="182" w:hangingChars="5" w:hanging="8"/>
              <w:jc w:val="left"/>
              <w:rPr>
                <w:rFonts w:eastAsia="Times New Roman" w:cs="Arial"/>
                <w:sz w:val="16"/>
                <w:szCs w:val="16"/>
                <w:lang w:eastAsia="cs-CZ"/>
              </w:rPr>
            </w:pPr>
            <w:r w:rsidRPr="00B3538D">
              <w:rPr>
                <w:rFonts w:eastAsia="Times New Roman" w:cs="Arial"/>
                <w:sz w:val="16"/>
                <w:szCs w:val="16"/>
                <w:lang w:eastAsia="cs-CZ"/>
              </w:rPr>
              <w:t>nemoci srdce, poruchy krevního tlaku a nemoci oběhové soustavy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8,7</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6,9</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1,8</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3,8</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5,8</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1,7</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infekční nemoci (virové, bakteriální a jiné infekce)</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2,6</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2,3</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1,1</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2,1</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01773E">
            <w:pPr>
              <w:spacing w:line="240" w:lineRule="auto"/>
              <w:ind w:left="168" w:firstLineChars="8" w:firstLine="13"/>
              <w:jc w:val="left"/>
              <w:rPr>
                <w:rFonts w:eastAsia="Times New Roman" w:cs="Arial"/>
                <w:sz w:val="16"/>
                <w:szCs w:val="16"/>
                <w:lang w:eastAsia="cs-CZ"/>
              </w:rPr>
            </w:pPr>
            <w:r w:rsidRPr="00B3538D">
              <w:rPr>
                <w:rFonts w:eastAsia="Times New Roman" w:cs="Arial"/>
                <w:sz w:val="16"/>
                <w:szCs w:val="16"/>
                <w:lang w:eastAsia="cs-CZ"/>
              </w:rPr>
              <w:t>nemoci žaludku, jater, ledvin nebo jiné nemoci trávící soustavy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5,1</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2,8</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2,3</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2,2</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2,3</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2,2</w:t>
            </w:r>
          </w:p>
        </w:tc>
      </w:tr>
      <w:tr w:rsidR="00B3538D" w:rsidRPr="00B3538D" w:rsidTr="00E726A2">
        <w:trPr>
          <w:trHeight w:val="227"/>
        </w:trPr>
        <w:tc>
          <w:tcPr>
            <w:tcW w:w="3983" w:type="dxa"/>
            <w:tcBorders>
              <w:top w:val="nil"/>
              <w:left w:val="nil"/>
              <w:bottom w:val="nil"/>
              <w:right w:val="single" w:sz="4" w:space="0" w:color="auto"/>
            </w:tcBorders>
            <w:shd w:val="clear" w:color="auto" w:fill="auto"/>
            <w:vAlign w:val="bottom"/>
            <w:hideMark/>
          </w:tcPr>
          <w:p w:rsidR="00B3538D" w:rsidRPr="00B3538D" w:rsidRDefault="00B3538D" w:rsidP="00B3538D">
            <w:pPr>
              <w:spacing w:line="240" w:lineRule="auto"/>
              <w:ind w:firstLineChars="100" w:firstLine="160"/>
              <w:jc w:val="left"/>
              <w:rPr>
                <w:rFonts w:eastAsia="Times New Roman" w:cs="Arial"/>
                <w:sz w:val="16"/>
                <w:szCs w:val="16"/>
                <w:lang w:eastAsia="cs-CZ"/>
              </w:rPr>
            </w:pPr>
            <w:r w:rsidRPr="00B3538D">
              <w:rPr>
                <w:rFonts w:eastAsia="Times New Roman" w:cs="Arial"/>
                <w:sz w:val="16"/>
                <w:szCs w:val="16"/>
                <w:lang w:eastAsia="cs-CZ"/>
              </w:rPr>
              <w:t>poruchy sluchu a ostatní problémy</w:t>
            </w:r>
          </w:p>
        </w:tc>
        <w:tc>
          <w:tcPr>
            <w:tcW w:w="536"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6,5</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4,3</w:t>
            </w:r>
          </w:p>
        </w:tc>
        <w:tc>
          <w:tcPr>
            <w:tcW w:w="771"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2,2</w:t>
            </w:r>
          </w:p>
        </w:tc>
        <w:tc>
          <w:tcPr>
            <w:tcW w:w="535"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2,8</w:t>
            </w:r>
          </w:p>
        </w:tc>
        <w:tc>
          <w:tcPr>
            <w:tcW w:w="772" w:type="dxa"/>
            <w:tcBorders>
              <w:top w:val="nil"/>
              <w:left w:val="nil"/>
              <w:bottom w:val="nil"/>
              <w:right w:val="single" w:sz="4" w:space="0" w:color="auto"/>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3,5</w:t>
            </w: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right"/>
              <w:rPr>
                <w:rFonts w:eastAsia="Times New Roman" w:cs="Arial"/>
                <w:sz w:val="16"/>
                <w:szCs w:val="16"/>
                <w:lang w:eastAsia="cs-CZ"/>
              </w:rPr>
            </w:pPr>
            <w:r w:rsidRPr="00B3538D">
              <w:rPr>
                <w:rFonts w:eastAsia="Times New Roman" w:cs="Arial"/>
                <w:sz w:val="16"/>
                <w:szCs w:val="16"/>
                <w:lang w:eastAsia="cs-CZ"/>
              </w:rPr>
              <w:t>2,0</w:t>
            </w:r>
          </w:p>
        </w:tc>
      </w:tr>
      <w:tr w:rsidR="00B3538D" w:rsidRPr="00B3538D" w:rsidTr="00B3538D">
        <w:trPr>
          <w:trHeight w:val="120"/>
        </w:trPr>
        <w:tc>
          <w:tcPr>
            <w:tcW w:w="3983"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16"/>
                <w:szCs w:val="16"/>
                <w:lang w:eastAsia="cs-CZ"/>
              </w:rPr>
            </w:pPr>
          </w:p>
        </w:tc>
        <w:tc>
          <w:tcPr>
            <w:tcW w:w="536" w:type="dxa"/>
            <w:tcBorders>
              <w:top w:val="nil"/>
              <w:left w:val="nil"/>
              <w:bottom w:val="nil"/>
              <w:right w:val="nil"/>
            </w:tcBorders>
            <w:shd w:val="clear" w:color="auto" w:fill="auto"/>
            <w:noWrap/>
            <w:vAlign w:val="center"/>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center"/>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center"/>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center"/>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r>
      <w:tr w:rsidR="00B3538D" w:rsidRPr="00B3538D" w:rsidTr="00B3538D">
        <w:trPr>
          <w:trHeight w:val="285"/>
        </w:trPr>
        <w:tc>
          <w:tcPr>
            <w:tcW w:w="3983"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i/>
                <w:iCs/>
                <w:sz w:val="18"/>
                <w:szCs w:val="18"/>
                <w:lang w:eastAsia="cs-CZ"/>
              </w:rPr>
            </w:pPr>
            <w:r w:rsidRPr="00B3538D">
              <w:rPr>
                <w:rFonts w:eastAsia="Times New Roman" w:cs="Arial"/>
                <w:i/>
                <w:iCs/>
                <w:sz w:val="18"/>
                <w:szCs w:val="18"/>
                <w:lang w:eastAsia="cs-CZ"/>
              </w:rPr>
              <w:t>Zdroj: ČSÚ, Výběrové šetření pracovních sil</w:t>
            </w:r>
          </w:p>
        </w:tc>
        <w:tc>
          <w:tcPr>
            <w:tcW w:w="536"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1"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535"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c>
          <w:tcPr>
            <w:tcW w:w="772" w:type="dxa"/>
            <w:tcBorders>
              <w:top w:val="nil"/>
              <w:left w:val="nil"/>
              <w:bottom w:val="nil"/>
              <w:right w:val="nil"/>
            </w:tcBorders>
            <w:shd w:val="clear" w:color="auto" w:fill="auto"/>
            <w:noWrap/>
            <w:vAlign w:val="bottom"/>
            <w:hideMark/>
          </w:tcPr>
          <w:p w:rsidR="00B3538D" w:rsidRPr="00B3538D" w:rsidRDefault="00B3538D" w:rsidP="00B3538D">
            <w:pPr>
              <w:spacing w:line="240" w:lineRule="auto"/>
              <w:jc w:val="left"/>
              <w:rPr>
                <w:rFonts w:eastAsia="Times New Roman" w:cs="Arial"/>
                <w:sz w:val="22"/>
                <w:lang w:eastAsia="cs-CZ"/>
              </w:rPr>
            </w:pPr>
          </w:p>
        </w:tc>
      </w:tr>
    </w:tbl>
    <w:p w:rsidR="0014311E" w:rsidRDefault="0014311E" w:rsidP="00C01E82"/>
    <w:p w:rsidR="0014311E" w:rsidRDefault="0014311E" w:rsidP="00C01E82">
      <w:r>
        <w:t xml:space="preserve">Přestože zdravotní problémy spojené s výkonem zaměstnání </w:t>
      </w:r>
      <w:r w:rsidR="006F0CD8">
        <w:t>se vyskytují častěji</w:t>
      </w:r>
      <w:r>
        <w:t xml:space="preserve"> než pracovní úrazy, je jejich dopad na objem pracovní nepřítomnosti z hlediska jednotlivých respondentů nižší.</w:t>
      </w:r>
      <w:r w:rsidR="005155AF">
        <w:t xml:space="preserve"> Téměř polovina všech postižených uvedla, že ze zdravotních důvodů vůbec v práci neabsentovala nebo nebyla v práci jen část jednoho dne.</w:t>
      </w:r>
      <w:r w:rsidR="003A4F25">
        <w:t xml:space="preserve"> Pokud již respondenti uváděli, že tyto problémy si vyžádaly nepřítomnost v práci, nejčastěji se vraceli do zaměstnání do jednoho měsíce.</w:t>
      </w:r>
      <w:r w:rsidR="00844F8E">
        <w:t xml:space="preserve"> Rozdíly v délce </w:t>
      </w:r>
      <w:r w:rsidR="00D9759F">
        <w:t>nepřítomnosti v práci</w:t>
      </w:r>
      <w:r w:rsidR="00844F8E">
        <w:t xml:space="preserve"> mezi postiženými pracovním úrazem a osobami se zdravotním problémem </w:t>
      </w:r>
      <w:r w:rsidR="008E322C">
        <w:t>vyplývají z tabulky</w:t>
      </w:r>
      <w:r w:rsidR="00844F8E">
        <w:t xml:space="preserve"> na třetí straně.</w:t>
      </w:r>
    </w:p>
    <w:p w:rsidR="00E96ABD" w:rsidRDefault="00E96ABD" w:rsidP="00C01E82"/>
    <w:p w:rsidR="00E76E25" w:rsidRDefault="00B312B6" w:rsidP="00942340">
      <w:r>
        <w:t>Proti roku 2007, kdy bylo provedeno metodicky srovnatelné zjišťování, se struktura délky absence podstatně změnila.</w:t>
      </w:r>
      <w:r w:rsidR="007C65FB">
        <w:t xml:space="preserve"> V roce 2007 uvedla pouze malá část respondentů, že vůbec neabsentovala nebo nebyla v práci maximálně do 3 dnů (necelých 7 % pracujících se zdravotními problémy).</w:t>
      </w:r>
      <w:r w:rsidR="004A7254">
        <w:t xml:space="preserve"> </w:t>
      </w:r>
      <w:r w:rsidR="00AA46FA">
        <w:t>V roce 2013</w:t>
      </w:r>
      <w:r w:rsidR="00997F33">
        <w:t xml:space="preserve"> však takto odpovědělo</w:t>
      </w:r>
      <w:r w:rsidR="00AA46FA">
        <w:t xml:space="preserve"> </w:t>
      </w:r>
      <w:r w:rsidR="00997F33">
        <w:t>téměř</w:t>
      </w:r>
      <w:r w:rsidR="00AA46FA">
        <w:t xml:space="preserve"> 56 % respo</w:t>
      </w:r>
      <w:r w:rsidR="00E76E25">
        <w:t xml:space="preserve">ndentů </w:t>
      </w:r>
      <w:r w:rsidR="00403E1B">
        <w:t>se zdravotními problémy</w:t>
      </w:r>
      <w:r w:rsidR="00E76E25">
        <w:t>.</w:t>
      </w:r>
    </w:p>
    <w:p w:rsidR="00E76E25" w:rsidRDefault="00E76E25" w:rsidP="00942340"/>
    <w:p w:rsidR="00942340" w:rsidRDefault="00AA46FA" w:rsidP="00942340">
      <w:r>
        <w:t xml:space="preserve">Tato diskrepance </w:t>
      </w:r>
      <w:r w:rsidR="008951DF">
        <w:t>vyplývá</w:t>
      </w:r>
      <w:r w:rsidR="00D418CD">
        <w:t xml:space="preserve"> především</w:t>
      </w:r>
      <w:r w:rsidR="008951DF">
        <w:t xml:space="preserve"> z vývoje legislativy spojené s výplatou dávek nemocenského pojištění.</w:t>
      </w:r>
      <w:r w:rsidR="001A40D2">
        <w:t xml:space="preserve"> Právě v období mezi výběrovými šetřeními došlo k podstatným právním úpravám. Měnila se sazba pro výpočet nemocenského, byly provedeny úpravy v ka</w:t>
      </w:r>
      <w:r w:rsidR="002A20FF">
        <w:t>renční době a v náhradách mzdy</w:t>
      </w:r>
      <w:r w:rsidR="001A40D2">
        <w:t xml:space="preserve">. Tyto změny zásadním způsobem ovlivnily celkový počet </w:t>
      </w:r>
      <w:r w:rsidR="001A40D2">
        <w:lastRenderedPageBreak/>
        <w:t>osob na nemocenské</w:t>
      </w:r>
      <w:r w:rsidR="002A20FF">
        <w:t>.</w:t>
      </w:r>
      <w:r w:rsidR="00942340">
        <w:t xml:space="preserve"> Celá problematika je detailně popsána v </w:t>
      </w:r>
      <w:hyperlink r:id="rId8" w:history="1">
        <w:r w:rsidR="00942340" w:rsidRPr="002D4F1A">
          <w:rPr>
            <w:rStyle w:val="Hypertextovodkaz"/>
          </w:rPr>
          <w:t>Analýze vývoje nemocenského pojištění 2013</w:t>
        </w:r>
      </w:hyperlink>
      <w:r w:rsidR="00942340" w:rsidRPr="002D4F1A">
        <w:t>, kterou zpracoval odbor sociálního pojištění MPSV.</w:t>
      </w:r>
    </w:p>
    <w:p w:rsidR="002D4F1A" w:rsidRPr="00D330BC" w:rsidRDefault="002D4F1A" w:rsidP="00942340">
      <w:pPr>
        <w:rPr>
          <w:i/>
        </w:rPr>
      </w:pPr>
    </w:p>
    <w:p w:rsidR="002A20FF" w:rsidRPr="002D4F1A" w:rsidRDefault="00E76E25" w:rsidP="002A20FF">
      <w:pPr>
        <w:rPr>
          <w:b/>
          <w:sz w:val="18"/>
        </w:rPr>
      </w:pPr>
      <w:r w:rsidRPr="002D4F1A">
        <w:rPr>
          <w:i/>
          <w:sz w:val="18"/>
        </w:rPr>
        <w:t>Je třeba si uvědomit, že nemocenské a zdravotní pojištění jsou dvě rozdílné kategorie upravené odlišnými legislativními předpisy. Zdravotní pojištění slouží k úhradě nákladů na zdravotní péči. Nemocenské pojištění je součástí sociálního pojištění, které zakládá při splnění zákonem stanovených podmínek nárok na dávky nemocenského pojištění, např. nemocenské, peněžitou pomoc v mateřství nebo ošetřovné.</w:t>
      </w:r>
    </w:p>
    <w:p w:rsidR="00567296" w:rsidRDefault="00551504" w:rsidP="00C01E82">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376.3pt">
            <v:imagedata r:id="rId9" o:title=""/>
          </v:shape>
        </w:pict>
      </w:r>
    </w:p>
    <w:p w:rsidR="00D330BC" w:rsidRDefault="00C74B6A" w:rsidP="00BF296A">
      <w:pPr>
        <w:rPr>
          <w:rFonts w:cs="Arial"/>
          <w:szCs w:val="20"/>
        </w:rPr>
      </w:pPr>
      <w:r>
        <w:t>Velký</w:t>
      </w:r>
      <w:r w:rsidR="003E216A">
        <w:t xml:space="preserve"> nárůst počtu pracujících, kteří přes své zdravotní problémy nebyli vůbec na </w:t>
      </w:r>
      <w:r>
        <w:t>nemocenské, potvrzuje</w:t>
      </w:r>
      <w:r w:rsidR="003E216A">
        <w:t xml:space="preserve"> </w:t>
      </w:r>
      <w:r>
        <w:t>vývoj celkového</w:t>
      </w:r>
      <w:r w:rsidR="003E216A">
        <w:t xml:space="preserve"> počtu</w:t>
      </w:r>
      <w:r>
        <w:t xml:space="preserve"> nově</w:t>
      </w:r>
      <w:r w:rsidR="003E216A">
        <w:t xml:space="preserve"> hlášených případů pracovní neschopnosti pro nemoc (bez ohledu na to, zda se jedná o zdravotní problémy způsobené vykonávaným</w:t>
      </w:r>
      <w:r>
        <w:t xml:space="preserve"> zaměstnáním nebo ne</w:t>
      </w:r>
      <w:r w:rsidR="003E216A">
        <w:t>) a pracovní</w:t>
      </w:r>
      <w:r>
        <w:t>ch</w:t>
      </w:r>
      <w:r w:rsidR="003E216A">
        <w:t xml:space="preserve"> úraz</w:t>
      </w:r>
      <w:r>
        <w:t>ů</w:t>
      </w:r>
      <w:r w:rsidR="003E216A">
        <w:t xml:space="preserve"> z evidence zdravotnické statistiky.</w:t>
      </w:r>
      <w:r w:rsidR="00396A43">
        <w:rPr>
          <w:color w:val="FF0000"/>
        </w:rPr>
        <w:t xml:space="preserve"> </w:t>
      </w:r>
      <w:r w:rsidR="00396A43">
        <w:t>Počet hlášených případů pracovní neschopnosti se snížil z 2,7 miliónů v roce 2007 na necelých 1,3 miliónů v roce 2013, tj. více než o polovinu. Výrazně poklesl celkový počet kalendářních dnů pracovní neschopnosti</w:t>
      </w:r>
      <w:r>
        <w:t xml:space="preserve"> (o 38 %)</w:t>
      </w:r>
      <w:r w:rsidR="00396A43">
        <w:t>. Počet nově hlášených případů pracovní neschopnosti na 100 pojištěnců se snížil</w:t>
      </w:r>
      <w:r>
        <w:t xml:space="preserve"> z 59 případů</w:t>
      </w:r>
      <w:r w:rsidR="00396A43">
        <w:t xml:space="preserve"> na necelých 30 v minulém ro</w:t>
      </w:r>
      <w:r w:rsidR="00D330BC">
        <w:t>ce. Podrobné údaje za rok 2013 jsou</w:t>
      </w:r>
      <w:r w:rsidR="00396A43">
        <w:t xml:space="preserve"> uvedeny</w:t>
      </w:r>
      <w:r w:rsidR="00D330BC">
        <w:t xml:space="preserve"> v</w:t>
      </w:r>
      <w:r w:rsidR="004C22C9">
        <w:t> </w:t>
      </w:r>
      <w:r w:rsidR="00D330BC">
        <w:t>e</w:t>
      </w:r>
      <w:r w:rsidR="004C22C9">
        <w:noBreakHyphen/>
      </w:r>
      <w:r w:rsidR="00D330BC">
        <w:t xml:space="preserve">publikaci ČSÚ </w:t>
      </w:r>
      <w:hyperlink r:id="rId10" w:history="1">
        <w:r w:rsidR="00D330BC" w:rsidRPr="00BF296A">
          <w:rPr>
            <w:rStyle w:val="Hypertextovodkaz"/>
          </w:rPr>
          <w:t>Pracovní neschopnost pro nemoc a úraz v České republice</w:t>
        </w:r>
        <w:r w:rsidR="00DC2E78" w:rsidRPr="00BF296A">
          <w:rPr>
            <w:rStyle w:val="Hypertextovodkaz"/>
          </w:rPr>
          <w:t xml:space="preserve"> za rok 2013</w:t>
        </w:r>
      </w:hyperlink>
      <w:r w:rsidR="00BF296A">
        <w:t>.</w:t>
      </w:r>
    </w:p>
    <w:p w:rsidR="00A469E4" w:rsidRDefault="00D330BC" w:rsidP="003E216A">
      <w:pPr>
        <w:rPr>
          <w:i/>
        </w:rPr>
      </w:pPr>
      <w:r w:rsidRPr="00BF296A">
        <w:rPr>
          <w:i/>
          <w:sz w:val="18"/>
        </w:rPr>
        <w:lastRenderedPageBreak/>
        <w:t>Cel</w:t>
      </w:r>
      <w:r w:rsidR="008C62CE" w:rsidRPr="00BF296A">
        <w:rPr>
          <w:i/>
          <w:sz w:val="18"/>
        </w:rPr>
        <w:t>ý systém nemocenského pojištění je velmi citlivý na legislativní změny. To je možné dokumentovat</w:t>
      </w:r>
      <w:r w:rsidR="00BB7C45" w:rsidRPr="00BF296A">
        <w:rPr>
          <w:i/>
          <w:sz w:val="18"/>
        </w:rPr>
        <w:t xml:space="preserve"> i</w:t>
      </w:r>
      <w:r w:rsidR="008C62CE" w:rsidRPr="00BF296A">
        <w:rPr>
          <w:i/>
          <w:sz w:val="18"/>
        </w:rPr>
        <w:t xml:space="preserve"> na tom, že v letech 2009 a 2010 si</w:t>
      </w:r>
      <w:r w:rsidR="00E76E25" w:rsidRPr="00BF296A">
        <w:rPr>
          <w:i/>
          <w:sz w:val="18"/>
        </w:rPr>
        <w:t xml:space="preserve"> např.</w:t>
      </w:r>
      <w:r w:rsidR="008C62CE" w:rsidRPr="00BF296A">
        <w:rPr>
          <w:i/>
          <w:sz w:val="18"/>
        </w:rPr>
        <w:t xml:space="preserve"> mohly osoby samostatně výdělečně činné (OSVČ) stanovit vyměřovací základ pro nemocenské pojištění nezávisle na vyměřovacím základu, z kterého odváděly pojistné na důchodové pojištění. V důsledku tohoto opatření byly v roce 2010 vyplacené </w:t>
      </w:r>
      <w:r w:rsidR="00E76E25" w:rsidRPr="00BF296A">
        <w:rPr>
          <w:i/>
          <w:sz w:val="18"/>
        </w:rPr>
        <w:t>výdaje</w:t>
      </w:r>
      <w:r w:rsidR="008C62CE" w:rsidRPr="00BF296A">
        <w:rPr>
          <w:i/>
          <w:sz w:val="18"/>
        </w:rPr>
        <w:t xml:space="preserve"> nemocenského třikrát vyšší než příjmy z nemocenského pojištění těchto pracovníků, v roce 2011 dokonce sedmkrát v</w:t>
      </w:r>
      <w:r w:rsidR="00112CE4" w:rsidRPr="00BF296A">
        <w:rPr>
          <w:i/>
          <w:sz w:val="18"/>
        </w:rPr>
        <w:t>yšší. Změna právní úpravy od</w:t>
      </w:r>
      <w:r w:rsidR="0018647F">
        <w:rPr>
          <w:i/>
          <w:sz w:val="18"/>
        </w:rPr>
        <w:t xml:space="preserve"> 1. </w:t>
      </w:r>
      <w:r w:rsidR="00112CE4" w:rsidRPr="00BF296A">
        <w:rPr>
          <w:i/>
          <w:sz w:val="18"/>
        </w:rPr>
        <w:t>1. </w:t>
      </w:r>
      <w:r w:rsidR="008C62CE" w:rsidRPr="00BF296A">
        <w:rPr>
          <w:i/>
          <w:sz w:val="18"/>
        </w:rPr>
        <w:t>201</w:t>
      </w:r>
      <w:r w:rsidR="0018647F">
        <w:rPr>
          <w:i/>
          <w:sz w:val="18"/>
        </w:rPr>
        <w:t xml:space="preserve">1 zrušila toto </w:t>
      </w:r>
      <w:r w:rsidR="008C62CE" w:rsidRPr="00BF296A">
        <w:rPr>
          <w:i/>
          <w:sz w:val="18"/>
        </w:rPr>
        <w:t>opatření pro nemocenské pojištění OSVČ</w:t>
      </w:r>
      <w:r w:rsidR="0018647F">
        <w:rPr>
          <w:i/>
          <w:sz w:val="18"/>
        </w:rPr>
        <w:t>.</w:t>
      </w:r>
    </w:p>
    <w:p w:rsidR="008C62CE" w:rsidRDefault="008C62CE" w:rsidP="003E216A">
      <w:pPr>
        <w:rPr>
          <w:i/>
        </w:rPr>
      </w:pPr>
    </w:p>
    <w:p w:rsidR="00112CE4" w:rsidRPr="00694FC2" w:rsidRDefault="00112CE4" w:rsidP="003E216A">
      <w:pPr>
        <w:rPr>
          <w:i/>
          <w:sz w:val="18"/>
        </w:rPr>
      </w:pPr>
      <w:r w:rsidRPr="00694FC2">
        <w:rPr>
          <w:i/>
          <w:sz w:val="18"/>
        </w:rPr>
        <w:t>Na rozdíl od zaměstnanců je</w:t>
      </w:r>
      <w:r w:rsidR="00E76E25" w:rsidRPr="00694FC2">
        <w:rPr>
          <w:i/>
          <w:sz w:val="18"/>
        </w:rPr>
        <w:t xml:space="preserve"> nemocenské</w:t>
      </w:r>
      <w:r w:rsidRPr="00694FC2">
        <w:rPr>
          <w:i/>
          <w:sz w:val="18"/>
        </w:rPr>
        <w:t xml:space="preserve"> pojištění OSVČ dobrovolné. Počet</w:t>
      </w:r>
      <w:r w:rsidR="004316C1" w:rsidRPr="00694FC2">
        <w:rPr>
          <w:i/>
          <w:sz w:val="18"/>
        </w:rPr>
        <w:t xml:space="preserve"> </w:t>
      </w:r>
      <w:proofErr w:type="spellStart"/>
      <w:r w:rsidR="004316C1" w:rsidRPr="00694FC2">
        <w:rPr>
          <w:i/>
          <w:sz w:val="18"/>
        </w:rPr>
        <w:t>nemocensky</w:t>
      </w:r>
      <w:proofErr w:type="spellEnd"/>
      <w:r w:rsidR="004316C1" w:rsidRPr="00694FC2">
        <w:rPr>
          <w:i/>
          <w:sz w:val="18"/>
        </w:rPr>
        <w:t xml:space="preserve"> pojištěných</w:t>
      </w:r>
      <w:r w:rsidRPr="00694FC2">
        <w:rPr>
          <w:i/>
          <w:sz w:val="18"/>
        </w:rPr>
        <w:t xml:space="preserve"> osob samostatně výdělečně činných přitom neustále klesá</w:t>
      </w:r>
      <w:r w:rsidR="00E76E25" w:rsidRPr="00694FC2">
        <w:rPr>
          <w:i/>
          <w:sz w:val="18"/>
        </w:rPr>
        <w:t xml:space="preserve">. Jestliže v roce 1994 bylo dobrovolně </w:t>
      </w:r>
      <w:proofErr w:type="spellStart"/>
      <w:r w:rsidR="00E76E25" w:rsidRPr="00694FC2">
        <w:rPr>
          <w:i/>
          <w:sz w:val="18"/>
        </w:rPr>
        <w:t>nemocensky</w:t>
      </w:r>
      <w:proofErr w:type="spellEnd"/>
      <w:r w:rsidR="00E76E25" w:rsidRPr="00694FC2">
        <w:rPr>
          <w:i/>
          <w:sz w:val="18"/>
        </w:rPr>
        <w:t xml:space="preserve"> pojištěných</w:t>
      </w:r>
      <w:r w:rsidR="004A3C7A" w:rsidRPr="00694FC2">
        <w:rPr>
          <w:i/>
          <w:sz w:val="18"/>
        </w:rPr>
        <w:t xml:space="preserve"> 437 tis., v</w:t>
      </w:r>
      <w:r w:rsidRPr="00694FC2">
        <w:rPr>
          <w:i/>
          <w:sz w:val="18"/>
        </w:rPr>
        <w:t> roce 2012 bylo takto pojištěno sto tisíc osob, tj. pouhých 2,2 % všech pojištěnců.</w:t>
      </w:r>
      <w:r w:rsidR="006A5825" w:rsidRPr="00694FC2">
        <w:rPr>
          <w:i/>
          <w:sz w:val="18"/>
        </w:rPr>
        <w:t xml:space="preserve"> Uvedené výhody tedy využila jen malá č</w:t>
      </w:r>
      <w:r w:rsidR="004A3C7A" w:rsidRPr="00694FC2">
        <w:rPr>
          <w:i/>
          <w:sz w:val="18"/>
        </w:rPr>
        <w:t>ást této kategorie pracujících.</w:t>
      </w:r>
    </w:p>
    <w:p w:rsidR="00A469E4" w:rsidRDefault="00A469E4" w:rsidP="00185A9E">
      <w:pPr>
        <w:jc w:val="left"/>
      </w:pPr>
    </w:p>
    <w:p w:rsidR="00DC4F0F" w:rsidRDefault="006A5825" w:rsidP="00DC4F0F">
      <w:pPr>
        <w:jc w:val="left"/>
        <w:rPr>
          <w:b/>
        </w:rPr>
      </w:pPr>
      <w:r>
        <w:rPr>
          <w:b/>
        </w:rPr>
        <w:t>C</w:t>
      </w:r>
      <w:r w:rsidR="00DC4F0F" w:rsidRPr="00CF05AE">
        <w:rPr>
          <w:b/>
        </w:rPr>
        <w:t xml:space="preserve">. </w:t>
      </w:r>
      <w:r w:rsidR="00DC4F0F">
        <w:rPr>
          <w:b/>
        </w:rPr>
        <w:t>Většina pracujících uvádí, že je vystavena na svém pracovišti faktorům, které mohou negativně působit na jejich fyzický nebo duševní stav</w:t>
      </w:r>
    </w:p>
    <w:p w:rsidR="00D07EF1" w:rsidRDefault="00DC4F0F" w:rsidP="00DC4F0F">
      <w:r>
        <w:t>Čtyři z deseti respondentů</w:t>
      </w:r>
      <w:r w:rsidR="00B5045B">
        <w:t xml:space="preserve"> (v přepočtu přes 2 milióny osob)</w:t>
      </w:r>
      <w:r w:rsidR="00195F94">
        <w:t xml:space="preserve"> uvedli</w:t>
      </w:r>
      <w:r>
        <w:t xml:space="preserve">, že jsou podle svého názoru na pracovišti vystaveni riziku, které nepříznivě ovlivňuje jejich </w:t>
      </w:r>
      <w:r w:rsidRPr="00D07EF1">
        <w:rPr>
          <w:b/>
        </w:rPr>
        <w:t>fyzický zdravotní stav</w:t>
      </w:r>
      <w:r>
        <w:t>. Jedná se o takové vlivy jako nesprávné držení těla nebo jednorázové pohybové aktivity, nošení těžkých předmětů, hluk nebo silné vibrace, prašné pracoviště, výpary, kouř nebo plyn, možnost pracovního úrazu a v neposlední řadě značné zrakové vypětí</w:t>
      </w:r>
      <w:r w:rsidR="00AA72F3">
        <w:t>.</w:t>
      </w:r>
      <w:r w:rsidR="0083285B" w:rsidRPr="0083285B">
        <w:t xml:space="preserve"> </w:t>
      </w:r>
      <w:r w:rsidR="0083285B">
        <w:t xml:space="preserve">Respondent měl možnost uvést pouze jeden faktor, který považuje za </w:t>
      </w:r>
      <w:r w:rsidR="00075CEC">
        <w:t>nejdůležitější</w:t>
      </w:r>
      <w:r w:rsidR="0083285B">
        <w:t>, v šetření nebyla uvažována kombinace rizik.</w:t>
      </w:r>
    </w:p>
    <w:p w:rsidR="00D07EF1" w:rsidRDefault="00D07EF1" w:rsidP="00DC4F0F"/>
    <w:p w:rsidR="00393B78" w:rsidRDefault="00AA72F3" w:rsidP="00DC4F0F">
      <w:r>
        <w:t>V porovnání s výsledky za rok 2007</w:t>
      </w:r>
      <w:r w:rsidR="00551504">
        <w:t xml:space="preserve"> </w:t>
      </w:r>
      <w:r w:rsidR="000D720A">
        <w:t>rapidně klesl počet osob na nemocenské,</w:t>
      </w:r>
      <w:r>
        <w:t xml:space="preserve"> </w:t>
      </w:r>
      <w:r w:rsidR="00393B78">
        <w:t>na druhé straně však významně vzrostl počet osob, které se domnívají, že j</w:t>
      </w:r>
      <w:r w:rsidR="00D07EF1">
        <w:t>sou na svém pracovišti vystaveny</w:t>
      </w:r>
      <w:r w:rsidR="00393B78">
        <w:t xml:space="preserve"> </w:t>
      </w:r>
      <w:r w:rsidR="00183940">
        <w:t>rizikovým faktorům</w:t>
      </w:r>
      <w:r w:rsidR="00393B78">
        <w:t>. Proti roku 2007 se zvýšil podíl těchto pracujících o deset procentních bodů.</w:t>
      </w:r>
      <w:r w:rsidR="00D07EF1">
        <w:t xml:space="preserve"> To je </w:t>
      </w:r>
      <w:r w:rsidR="002831A0">
        <w:t>především</w:t>
      </w:r>
      <w:r w:rsidR="00D07EF1">
        <w:t xml:space="preserve"> důsledkem toho, že velký počet respondentů uváděl jako hlavní riziko zrakové vypětí, které nebylo v roce 2007 ještě sledováno.</w:t>
      </w:r>
    </w:p>
    <w:p w:rsidR="00393B78" w:rsidRDefault="00393B78" w:rsidP="00DC4F0F"/>
    <w:p w:rsidR="0083285B" w:rsidRDefault="008C1EAA" w:rsidP="00DC4F0F">
      <w:r w:rsidRPr="00972F15">
        <w:rPr>
          <w:b/>
        </w:rPr>
        <w:t>F</w:t>
      </w:r>
      <w:r w:rsidR="008123A1" w:rsidRPr="00972F15">
        <w:rPr>
          <w:b/>
        </w:rPr>
        <w:t>aktorům</w:t>
      </w:r>
      <w:r w:rsidR="00DA0299" w:rsidRPr="00972F15">
        <w:rPr>
          <w:b/>
        </w:rPr>
        <w:t xml:space="preserve"> rizikovým pro fyzický stav</w:t>
      </w:r>
      <w:r w:rsidR="008123A1" w:rsidRPr="00972F15">
        <w:rPr>
          <w:b/>
        </w:rPr>
        <w:t xml:space="preserve"> jsou mnohem častěji vystaveni muži</w:t>
      </w:r>
      <w:r w:rsidR="008123A1">
        <w:t xml:space="preserve">, uváděla je téměř polovina </w:t>
      </w:r>
      <w:r w:rsidR="00792593">
        <w:t>ze všech pracujících</w:t>
      </w:r>
      <w:r w:rsidR="008123A1">
        <w:t>.</w:t>
      </w:r>
      <w:r w:rsidR="0095088B">
        <w:t xml:space="preserve"> Tyto faktory</w:t>
      </w:r>
      <w:r w:rsidR="00792593">
        <w:t xml:space="preserve"> také</w:t>
      </w:r>
      <w:r w:rsidR="0095088B">
        <w:t xml:space="preserve"> uvádí třetina všech pracujících žen.</w:t>
      </w:r>
      <w:r w:rsidR="008123A1">
        <w:t xml:space="preserve"> </w:t>
      </w:r>
      <w:r w:rsidR="00393B78">
        <w:t>Nejčastěji</w:t>
      </w:r>
      <w:r w:rsidR="006C4ADE">
        <w:t xml:space="preserve"> si</w:t>
      </w:r>
      <w:r w:rsidR="00393B78">
        <w:t xml:space="preserve"> </w:t>
      </w:r>
      <w:r w:rsidR="00A41C02">
        <w:t>respondenti</w:t>
      </w:r>
      <w:r w:rsidR="006C4ADE">
        <w:t xml:space="preserve"> stěžují na </w:t>
      </w:r>
      <w:r w:rsidR="00A41C02">
        <w:t>nesprávné držení těla</w:t>
      </w:r>
      <w:r w:rsidR="008123A1">
        <w:t>. Poté následuje riziko vyplývající z nošení těžkých předmětů a hned po něm riziko pracovního úrazu.</w:t>
      </w:r>
      <w:r w:rsidR="0083285B">
        <w:t xml:space="preserve"> Těmto negativním vlivům jsou vystaveni především řemeslníci a</w:t>
      </w:r>
      <w:r w:rsidR="003121CD">
        <w:t> </w:t>
      </w:r>
      <w:r w:rsidR="0083285B">
        <w:t>opraváři, pracovníci obsluhy strojů a zařízení, kvalifikovaní pracovníci v zemědělství a</w:t>
      </w:r>
      <w:r w:rsidR="003121CD">
        <w:t> </w:t>
      </w:r>
      <w:r w:rsidR="0083285B">
        <w:t>pomocní a nekvalifikovaní pracovníci.</w:t>
      </w:r>
    </w:p>
    <w:p w:rsidR="0083285B" w:rsidRDefault="0083285B" w:rsidP="00DC4F0F"/>
    <w:p w:rsidR="00DC4F0F" w:rsidRDefault="00D14ED9" w:rsidP="00DC4F0F">
      <w:r>
        <w:t xml:space="preserve">Změny v profesní struktuře pracujících se promítají do </w:t>
      </w:r>
      <w:r w:rsidR="00FF37E1">
        <w:t>skutečnosti</w:t>
      </w:r>
      <w:r>
        <w:t xml:space="preserve">, že </w:t>
      </w:r>
      <w:r w:rsidR="00FF37E1">
        <w:t>počet respondentů, kteří jsou na svém pracovišti vystaveni riziku zrakového vypětí</w:t>
      </w:r>
      <w:r w:rsidR="0083285B">
        <w:t>,</w:t>
      </w:r>
      <w:r w:rsidR="00FF37E1">
        <w:t xml:space="preserve"> je </w:t>
      </w:r>
      <w:r w:rsidR="00DA0299">
        <w:t>prakticky shodný</w:t>
      </w:r>
      <w:r w:rsidR="00FF37E1">
        <w:t xml:space="preserve"> s počtem osob domnívajících se, že jim hrozí nebezpečí pracovního úrazu.</w:t>
      </w:r>
      <w:r w:rsidR="0083285B">
        <w:t xml:space="preserve"> Nadměrné zatížení zraku považují za rizikový faktor především techničtí a odborní pracovníci, úředníci a specialisté.</w:t>
      </w:r>
    </w:p>
    <w:p w:rsidR="00A66B0E" w:rsidRDefault="00A66B0E" w:rsidP="00DC4F0F"/>
    <w:p w:rsidR="000746A7" w:rsidRPr="00DC4F0F" w:rsidRDefault="00551504" w:rsidP="00DC4F0F">
      <w:r>
        <w:lastRenderedPageBreak/>
        <w:pict>
          <v:shape id="_x0000_i1026" type="#_x0000_t75" style="width:425.2pt;height:264.25pt">
            <v:imagedata r:id="rId11" o:title=""/>
          </v:shape>
        </w:pict>
      </w:r>
    </w:p>
    <w:p w:rsidR="0068233A" w:rsidRDefault="0068233A" w:rsidP="00167AC2"/>
    <w:p w:rsidR="00A469E4" w:rsidRDefault="000746A7" w:rsidP="00167AC2">
      <w:r w:rsidRPr="008D31CA">
        <w:rPr>
          <w:b/>
        </w:rPr>
        <w:t>Nemalým problémem je skutečnost, že řada pracujíc</w:t>
      </w:r>
      <w:r w:rsidR="00167AC2" w:rsidRPr="008D31CA">
        <w:rPr>
          <w:b/>
        </w:rPr>
        <w:t>í</w:t>
      </w:r>
      <w:r w:rsidRPr="008D31CA">
        <w:rPr>
          <w:b/>
        </w:rPr>
        <w:t>ch se domnívá, že jsou na svém pracovišti vystaveni negativním vlivům působíc</w:t>
      </w:r>
      <w:r w:rsidR="00DF0F04" w:rsidRPr="008D31CA">
        <w:rPr>
          <w:b/>
        </w:rPr>
        <w:t>ích na</w:t>
      </w:r>
      <w:r w:rsidR="00EB4BBF" w:rsidRPr="008D31CA">
        <w:rPr>
          <w:b/>
        </w:rPr>
        <w:t xml:space="preserve"> jejich du</w:t>
      </w:r>
      <w:r w:rsidRPr="008D31CA">
        <w:rPr>
          <w:b/>
        </w:rPr>
        <w:t>ševní stav</w:t>
      </w:r>
      <w:r>
        <w:t>. Jejich počet byl sice nižší n</w:t>
      </w:r>
      <w:r w:rsidR="00DF0F04">
        <w:t>ež počet osob ohrožených riziky</w:t>
      </w:r>
      <w:r>
        <w:t xml:space="preserve"> působícím</w:t>
      </w:r>
      <w:r w:rsidR="00DF0F04">
        <w:t>i</w:t>
      </w:r>
      <w:r>
        <w:t xml:space="preserve"> na jejich fyzický stav, přesto se tak vyjádřil každý pátý </w:t>
      </w:r>
      <w:r w:rsidR="00664C6C">
        <w:t>pracující respondent (956</w:t>
      </w:r>
      <w:r>
        <w:t> tis.</w:t>
      </w:r>
      <w:r w:rsidR="00664C6C">
        <w:t>).</w:t>
      </w:r>
    </w:p>
    <w:p w:rsidR="000746A7" w:rsidRDefault="000746A7" w:rsidP="00167AC2"/>
    <w:p w:rsidR="000746A7" w:rsidRDefault="000746A7" w:rsidP="00167AC2">
      <w:r>
        <w:t xml:space="preserve">V přepočtu na celkový počet pracujících se necelých deset tisíc osob setkalo na svém pracovišti se sexuálním obtěžováním či šikanou. Jedná se o faktor, který častěji uvádějí ženy (7,4 tis.). Mnohem častěji respondenti uváděli jako další faktor násilí nebo hrozbu násilí. Tomuto riziku bylo vystaveno více než 73 tis. osob, většinou mužů (45 tis.). </w:t>
      </w:r>
      <w:r w:rsidR="00167AC2">
        <w:t>Tyto faktory mají intimní charakter a podle našeho názoru tuto možnost rizika někteří respondenti nepřiznali. Svou roli může hrát i</w:t>
      </w:r>
      <w:r w:rsidR="00945BFA">
        <w:t> </w:t>
      </w:r>
      <w:r w:rsidR="00167AC2">
        <w:t>skutečnost, že člen domácnosti odpovídající za šetřenou osobu (</w:t>
      </w:r>
      <w:proofErr w:type="spellStart"/>
      <w:r w:rsidR="00167AC2">
        <w:t>proxy</w:t>
      </w:r>
      <w:proofErr w:type="spellEnd"/>
      <w:r w:rsidR="00167AC2">
        <w:t xml:space="preserve"> šetření) ani neměl </w:t>
      </w:r>
      <w:r w:rsidR="006F5281">
        <w:t>potřebné</w:t>
      </w:r>
      <w:r w:rsidR="00C93204">
        <w:t xml:space="preserve"> </w:t>
      </w:r>
      <w:r w:rsidR="00167AC2">
        <w:t>informace.</w:t>
      </w:r>
    </w:p>
    <w:p w:rsidR="00C3068F" w:rsidRDefault="00C3068F" w:rsidP="00167AC2"/>
    <w:p w:rsidR="00E27849" w:rsidRDefault="00C3068F" w:rsidP="005A46B4">
      <w:r w:rsidRPr="00622DA5">
        <w:rPr>
          <w:b/>
        </w:rPr>
        <w:t>Zdaleka nejvýznamnějším faktorem, který negativně respondenti pociťují, je časový stres nebo přepracovanost</w:t>
      </w:r>
      <w:r>
        <w:t>. Toto riziko uvádí téměř pětina všech pracujících (17,7 %). Poněkud častěji je uvádějí muži (18,5 %), podíl žen je o necelé dva procentní body nižší (16,7 %).</w:t>
      </w:r>
      <w:r w:rsidR="00AB6D08">
        <w:t xml:space="preserve"> V porovnání s rokem 2007 je zřetelný nárůst </w:t>
      </w:r>
      <w:r w:rsidR="00D81BDD">
        <w:t>podílu pracujících pociťujících tento vliv</w:t>
      </w:r>
      <w:r w:rsidR="00AB6D08">
        <w:t xml:space="preserve"> o přibližně pět procentních bodů. Výskyt rizikových faktorů je úzce spojen s vykonávanou profesí respondentů. Zatímco u rizik působících negativně na fyzický stav je nejvyšší v zaměstnáních s vysokým podílem fyzické práce</w:t>
      </w:r>
      <w:r w:rsidR="0021586B">
        <w:t>,</w:t>
      </w:r>
      <w:r w:rsidR="00AB6D08">
        <w:t xml:space="preserve"> je podíl osob vystavených faktorům negativně ovlivňující</w:t>
      </w:r>
      <w:r w:rsidR="0021586B">
        <w:t>m</w:t>
      </w:r>
      <w:r w:rsidR="00AB6D08">
        <w:t xml:space="preserve"> duševní stav </w:t>
      </w:r>
      <w:r w:rsidR="00B960EA">
        <w:t>vysoký zejména v profesích s vysokým podílem organizační</w:t>
      </w:r>
      <w:r w:rsidR="0021586B">
        <w:t>, tvůrčí</w:t>
      </w:r>
      <w:r w:rsidR="00B960EA">
        <w:t xml:space="preserve"> a řídící práce.</w:t>
      </w:r>
      <w:r w:rsidR="00C165DB">
        <w:t xml:space="preserve"> </w:t>
      </w:r>
      <w:r w:rsidR="00E27849">
        <w:t>Pokud jde</w:t>
      </w:r>
      <w:r w:rsidR="00C165DB">
        <w:t xml:space="preserve"> o hlavní třídy CZ</w:t>
      </w:r>
      <w:r w:rsidR="0021586B">
        <w:noBreakHyphen/>
      </w:r>
      <w:r w:rsidR="00C165DB">
        <w:t>ISCO</w:t>
      </w:r>
      <w:r w:rsidR="0021586B">
        <w:t>,</w:t>
      </w:r>
      <w:r w:rsidR="00C165DB">
        <w:t xml:space="preserve"> uvádí faktor</w:t>
      </w:r>
      <w:r w:rsidR="008141CA">
        <w:t xml:space="preserve"> časového stresu nebo přepracovanosti</w:t>
      </w:r>
      <w:r w:rsidR="00C165DB">
        <w:t xml:space="preserve"> více než třetina řídících pracovníků</w:t>
      </w:r>
      <w:r w:rsidR="0021586B">
        <w:t>, pětina specialistů a technických</w:t>
      </w:r>
      <w:r w:rsidR="008141CA">
        <w:t xml:space="preserve"> a</w:t>
      </w:r>
      <w:r w:rsidR="0021586B">
        <w:t xml:space="preserve"> odborných pracovníků</w:t>
      </w:r>
      <w:r w:rsidR="00C165DB">
        <w:t>.</w:t>
      </w:r>
      <w:r w:rsidR="0021586B">
        <w:t xml:space="preserve"> Toto riziko </w:t>
      </w:r>
      <w:r w:rsidR="0021586B">
        <w:lastRenderedPageBreak/>
        <w:t xml:space="preserve">uvádí i pětina pracovníků obsluhy strojů a zařízení. </w:t>
      </w:r>
      <w:r w:rsidR="00E27849">
        <w:t xml:space="preserve">Časové vypětí a přepracovanost kulminuje </w:t>
      </w:r>
      <w:r w:rsidR="008141CA">
        <w:t>ve skupině</w:t>
      </w:r>
      <w:r w:rsidR="00E27849">
        <w:t xml:space="preserve"> osob ve věku 35-50</w:t>
      </w:r>
      <w:r w:rsidR="005A46B4">
        <w:t xml:space="preserve"> let.</w:t>
      </w:r>
    </w:p>
    <w:p w:rsidR="009629E6" w:rsidRDefault="009629E6" w:rsidP="005A46B4"/>
    <w:p w:rsidR="009629E6" w:rsidRDefault="009629E6" w:rsidP="009629E6">
      <w:r>
        <w:t>Pocit přepracování a časového stresu uvádí častěji podnikatelé (19,1 %) než zaměstnanci (17,4 %). Není bez zajímavosti, že podnikatelé častěji než zaměstnanci uvádějí například i</w:t>
      </w:r>
      <w:r w:rsidR="003121CD">
        <w:t> </w:t>
      </w:r>
      <w:r>
        <w:t>riziko vyplývající z nošení těžkých břemen. To jen potvrzuje profesní různorodost především pracujících na vlastní účet.</w:t>
      </w:r>
    </w:p>
    <w:p w:rsidR="00A12EE6" w:rsidRDefault="00A12EE6" w:rsidP="009629E6"/>
    <w:p w:rsidR="000746A7" w:rsidRDefault="00551504" w:rsidP="00185A9E">
      <w:pPr>
        <w:jc w:val="left"/>
      </w:pPr>
      <w:r>
        <w:pict>
          <v:shape id="_x0000_i1027" type="#_x0000_t75" style="width:425.2pt;height:276.45pt">
            <v:imagedata r:id="rId12" o:title=""/>
          </v:shape>
        </w:pict>
      </w:r>
    </w:p>
    <w:p w:rsidR="00DE2EA3" w:rsidRDefault="00DE2EA3" w:rsidP="0013431C"/>
    <w:p w:rsidR="0005765B" w:rsidRDefault="0005765B" w:rsidP="0013431C">
      <w:r>
        <w:t xml:space="preserve">Při </w:t>
      </w:r>
      <w:r w:rsidR="00DE2EA3">
        <w:t>celkovém</w:t>
      </w:r>
      <w:r>
        <w:t xml:space="preserve"> pohledu na rizikové faktory více než polovina pracujících respondentů (52 %) uvedla, že jsou vystaveni negativním vlivům působícím na jejich fyzický nebo duševní stav. V přepočtu na demografické údaje to je více než 2,5 miliónu osob. Přes 11 % všech respondentů</w:t>
      </w:r>
      <w:r w:rsidR="00F06E5B">
        <w:t xml:space="preserve"> (přes 550 tis.)</w:t>
      </w:r>
      <w:r>
        <w:t xml:space="preserve"> </w:t>
      </w:r>
      <w:r w:rsidR="002C5393">
        <w:t>přitom</w:t>
      </w:r>
      <w:r>
        <w:t xml:space="preserve"> bylo vystaveno v</w:t>
      </w:r>
      <w:r w:rsidR="002C5393">
        <w:t> </w:t>
      </w:r>
      <w:r>
        <w:t>zaměstnání</w:t>
      </w:r>
      <w:r w:rsidR="002C5393">
        <w:t xml:space="preserve"> souběžně jak</w:t>
      </w:r>
      <w:r>
        <w:t xml:space="preserve"> fyzickým</w:t>
      </w:r>
      <w:r w:rsidR="002C5393">
        <w:t>, tak</w:t>
      </w:r>
      <w:r>
        <w:t xml:space="preserve"> i duševním rizikovým faktorům.</w:t>
      </w:r>
    </w:p>
    <w:p w:rsidR="00984C63" w:rsidRDefault="00F82CC1" w:rsidP="00A12EE6">
      <w:pPr>
        <w:spacing w:before="1200"/>
        <w:rPr>
          <w:b/>
        </w:rPr>
      </w:pPr>
      <w:r>
        <w:rPr>
          <w:b/>
        </w:rPr>
        <w:t>Autor</w:t>
      </w:r>
    </w:p>
    <w:p w:rsidR="00984C63" w:rsidRDefault="00984C63" w:rsidP="00984C63">
      <w:r>
        <w:t>Marta Petráňová</w:t>
      </w:r>
      <w:r w:rsidR="00F82CC1">
        <w:t>, Bohuslav Mejstřík</w:t>
      </w:r>
    </w:p>
    <w:p w:rsidR="00F82CC1" w:rsidRPr="002C5393" w:rsidRDefault="00984C63" w:rsidP="00917E1A">
      <w:pPr>
        <w:rPr>
          <w:rFonts w:cs="Arial"/>
          <w:i/>
        </w:rPr>
      </w:pPr>
      <w:r w:rsidRPr="002C5393">
        <w:rPr>
          <w:rFonts w:cs="Arial"/>
          <w:i/>
        </w:rPr>
        <w:t>Oddělení pracovních sil, migrace a rovných příležitostí</w:t>
      </w:r>
      <w:r w:rsidR="00F82CC1" w:rsidRPr="002C5393">
        <w:rPr>
          <w:rFonts w:cs="Arial"/>
          <w:i/>
        </w:rPr>
        <w:t>, ČSÚ</w:t>
      </w:r>
    </w:p>
    <w:p w:rsidR="00984C63" w:rsidRPr="002C5393" w:rsidRDefault="00984C63" w:rsidP="00917E1A">
      <w:pPr>
        <w:rPr>
          <w:i/>
        </w:rPr>
      </w:pPr>
      <w:r w:rsidRPr="002C5393">
        <w:rPr>
          <w:i/>
        </w:rPr>
        <w:t>Tel.: +420 274 054</w:t>
      </w:r>
      <w:r w:rsidR="00F82CC1" w:rsidRPr="002C5393">
        <w:rPr>
          <w:i/>
        </w:rPr>
        <w:t> </w:t>
      </w:r>
      <w:r w:rsidRPr="002C5393">
        <w:rPr>
          <w:i/>
        </w:rPr>
        <w:t>357</w:t>
      </w:r>
      <w:r w:rsidR="00F82CC1" w:rsidRPr="002C5393">
        <w:rPr>
          <w:i/>
        </w:rPr>
        <w:t>; +420 274 052 203</w:t>
      </w:r>
    </w:p>
    <w:p w:rsidR="00984C63" w:rsidRPr="00917E1A" w:rsidRDefault="00984C63" w:rsidP="00917E1A">
      <w:r>
        <w:t xml:space="preserve">E-mail: </w:t>
      </w:r>
      <w:hyperlink r:id="rId13" w:history="1">
        <w:r w:rsidR="00F82CC1" w:rsidRPr="00720694">
          <w:rPr>
            <w:rStyle w:val="Hypertextovodkaz"/>
          </w:rPr>
          <w:t>marta.petranova@czso.cz</w:t>
        </w:r>
      </w:hyperlink>
      <w:r w:rsidR="00F82CC1">
        <w:t xml:space="preserve">; </w:t>
      </w:r>
      <w:hyperlink r:id="rId14" w:history="1">
        <w:r w:rsidR="00F82CC1" w:rsidRPr="00720694">
          <w:rPr>
            <w:rStyle w:val="Hypertextovodkaz"/>
          </w:rPr>
          <w:t>bohuslav.mejstrik@czso.cz</w:t>
        </w:r>
      </w:hyperlink>
      <w:r w:rsidR="00F82CC1">
        <w:t xml:space="preserve"> </w:t>
      </w:r>
    </w:p>
    <w:sectPr w:rsidR="00984C63" w:rsidRPr="00917E1A"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3B" w:rsidRDefault="00855D3B" w:rsidP="00BA6370">
      <w:r>
        <w:separator/>
      </w:r>
    </w:p>
  </w:endnote>
  <w:endnote w:type="continuationSeparator" w:id="0">
    <w:p w:rsidR="00855D3B" w:rsidRDefault="00855D3B"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EF" w:rsidRDefault="00FF7CE1">
    <w:pPr>
      <w:pStyle w:val="Zpat"/>
    </w:pPr>
    <w:r>
      <w:rPr>
        <w:noProof/>
        <w:lang w:eastAsia="cs-CZ"/>
      </w:rPr>
      <w:pict>
        <v:line id="_x0000_s2053" style="position:absolute;left:0;text-align:left;flip:y;z-index:4;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inset="0,0,0,0">
            <w:txbxContent>
              <w:p w:rsidR="00A84FEF" w:rsidRPr="001404AB" w:rsidRDefault="00A84FEF" w:rsidP="00417198">
                <w:pPr>
                  <w:spacing w:line="220" w:lineRule="atLeast"/>
                  <w:jc w:val="left"/>
                  <w:rPr>
                    <w:rFonts w:cs="Arial"/>
                    <w:b/>
                    <w:bCs/>
                    <w:sz w:val="15"/>
                    <w:szCs w:val="15"/>
                  </w:rPr>
                </w:pPr>
                <w:r w:rsidRPr="001404AB">
                  <w:rPr>
                    <w:rFonts w:cs="Arial"/>
                    <w:b/>
                    <w:bCs/>
                    <w:sz w:val="15"/>
                    <w:szCs w:val="15"/>
                  </w:rPr>
                  <w:t>Oddělení informačních služeb – ústředí</w:t>
                </w:r>
              </w:p>
              <w:p w:rsidR="00A84FEF" w:rsidRPr="00A81EB3" w:rsidRDefault="00A84FEF" w:rsidP="00417198">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Pr="001404AB">
                  <w:rPr>
                    <w:rFonts w:cs="Arial"/>
                    <w:b/>
                    <w:bCs/>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FF7CE1" w:rsidRPr="004E479E">
                  <w:rPr>
                    <w:rFonts w:cs="Arial"/>
                    <w:szCs w:val="15"/>
                  </w:rPr>
                  <w:fldChar w:fldCharType="begin"/>
                </w:r>
                <w:r w:rsidRPr="004E479E">
                  <w:rPr>
                    <w:rFonts w:cs="Arial"/>
                    <w:szCs w:val="15"/>
                  </w:rPr>
                  <w:instrText xml:space="preserve"> PAGE   \* MERGEFORMAT </w:instrText>
                </w:r>
                <w:r w:rsidR="00FF7CE1" w:rsidRPr="004E479E">
                  <w:rPr>
                    <w:rFonts w:cs="Arial"/>
                    <w:szCs w:val="15"/>
                  </w:rPr>
                  <w:fldChar w:fldCharType="separate"/>
                </w:r>
                <w:r w:rsidR="006D0C6A">
                  <w:rPr>
                    <w:rFonts w:cs="Arial"/>
                    <w:noProof/>
                    <w:szCs w:val="15"/>
                  </w:rPr>
                  <w:t>5</w:t>
                </w:r>
                <w:r w:rsidR="00FF7CE1"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3B" w:rsidRDefault="00855D3B" w:rsidP="00BA6370">
      <w:r>
        <w:separator/>
      </w:r>
    </w:p>
  </w:footnote>
  <w:footnote w:type="continuationSeparator" w:id="0">
    <w:p w:rsidR="00855D3B" w:rsidRDefault="00855D3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EF" w:rsidRDefault="00FF7CE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2" type="#_x0000_t75" style="position:absolute;left:0;text-align:left;margin-left:28.55pt;margin-top:42.3pt;width:498.35pt;height:82.35pt;z-index:3;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706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1319"/>
    <w:rsid w:val="000047E8"/>
    <w:rsid w:val="00007009"/>
    <w:rsid w:val="000071D4"/>
    <w:rsid w:val="00007A51"/>
    <w:rsid w:val="000137F8"/>
    <w:rsid w:val="0001558F"/>
    <w:rsid w:val="000159EB"/>
    <w:rsid w:val="00015EB8"/>
    <w:rsid w:val="000164B0"/>
    <w:rsid w:val="000167FD"/>
    <w:rsid w:val="00016834"/>
    <w:rsid w:val="0001740D"/>
    <w:rsid w:val="0001773E"/>
    <w:rsid w:val="00017FB6"/>
    <w:rsid w:val="0002001B"/>
    <w:rsid w:val="000210F6"/>
    <w:rsid w:val="0002236F"/>
    <w:rsid w:val="0002478A"/>
    <w:rsid w:val="000247DB"/>
    <w:rsid w:val="00024C4D"/>
    <w:rsid w:val="000251F3"/>
    <w:rsid w:val="00025336"/>
    <w:rsid w:val="000268EE"/>
    <w:rsid w:val="00027BDC"/>
    <w:rsid w:val="00036556"/>
    <w:rsid w:val="00040EBD"/>
    <w:rsid w:val="00040FB8"/>
    <w:rsid w:val="00042669"/>
    <w:rsid w:val="00042D5E"/>
    <w:rsid w:val="0004330D"/>
    <w:rsid w:val="0004512E"/>
    <w:rsid w:val="00045CCD"/>
    <w:rsid w:val="00047185"/>
    <w:rsid w:val="00052EBE"/>
    <w:rsid w:val="0005377B"/>
    <w:rsid w:val="00053EE4"/>
    <w:rsid w:val="000541DA"/>
    <w:rsid w:val="0005765B"/>
    <w:rsid w:val="00062B6A"/>
    <w:rsid w:val="0006351B"/>
    <w:rsid w:val="00063671"/>
    <w:rsid w:val="00063C3A"/>
    <w:rsid w:val="00063DF8"/>
    <w:rsid w:val="00064B73"/>
    <w:rsid w:val="00066D02"/>
    <w:rsid w:val="00067324"/>
    <w:rsid w:val="000700FD"/>
    <w:rsid w:val="00070BC1"/>
    <w:rsid w:val="00072BF9"/>
    <w:rsid w:val="00074186"/>
    <w:rsid w:val="000746A7"/>
    <w:rsid w:val="00075057"/>
    <w:rsid w:val="00075CEC"/>
    <w:rsid w:val="00076182"/>
    <w:rsid w:val="000773CB"/>
    <w:rsid w:val="00077719"/>
    <w:rsid w:val="00077C10"/>
    <w:rsid w:val="00077C4E"/>
    <w:rsid w:val="00080826"/>
    <w:rsid w:val="00081554"/>
    <w:rsid w:val="00083356"/>
    <w:rsid w:val="00084E62"/>
    <w:rsid w:val="00091226"/>
    <w:rsid w:val="000925B8"/>
    <w:rsid w:val="00093B31"/>
    <w:rsid w:val="0009650B"/>
    <w:rsid w:val="0009733F"/>
    <w:rsid w:val="000979AC"/>
    <w:rsid w:val="000A1A5E"/>
    <w:rsid w:val="000A25C0"/>
    <w:rsid w:val="000A5367"/>
    <w:rsid w:val="000A6C02"/>
    <w:rsid w:val="000B046E"/>
    <w:rsid w:val="000B375F"/>
    <w:rsid w:val="000B43C9"/>
    <w:rsid w:val="000B6621"/>
    <w:rsid w:val="000C1623"/>
    <w:rsid w:val="000C228F"/>
    <w:rsid w:val="000C2BCE"/>
    <w:rsid w:val="000C36B3"/>
    <w:rsid w:val="000C36F7"/>
    <w:rsid w:val="000C5228"/>
    <w:rsid w:val="000D073B"/>
    <w:rsid w:val="000D129C"/>
    <w:rsid w:val="000D3D55"/>
    <w:rsid w:val="000D3E9F"/>
    <w:rsid w:val="000D452C"/>
    <w:rsid w:val="000D720A"/>
    <w:rsid w:val="000D7920"/>
    <w:rsid w:val="000E078D"/>
    <w:rsid w:val="000E2582"/>
    <w:rsid w:val="000E282B"/>
    <w:rsid w:val="000E2AFD"/>
    <w:rsid w:val="000E36EB"/>
    <w:rsid w:val="000F08F8"/>
    <w:rsid w:val="000F0C82"/>
    <w:rsid w:val="000F2D0B"/>
    <w:rsid w:val="000F2FBA"/>
    <w:rsid w:val="000F30F2"/>
    <w:rsid w:val="000F53EE"/>
    <w:rsid w:val="000F549B"/>
    <w:rsid w:val="000F6959"/>
    <w:rsid w:val="000F7DD1"/>
    <w:rsid w:val="000F7FDA"/>
    <w:rsid w:val="001012EB"/>
    <w:rsid w:val="00101608"/>
    <w:rsid w:val="00101DAD"/>
    <w:rsid w:val="001029BA"/>
    <w:rsid w:val="001035D6"/>
    <w:rsid w:val="00105E4A"/>
    <w:rsid w:val="00105F00"/>
    <w:rsid w:val="00106A95"/>
    <w:rsid w:val="0010728A"/>
    <w:rsid w:val="001079FF"/>
    <w:rsid w:val="001124CF"/>
    <w:rsid w:val="00112A47"/>
    <w:rsid w:val="00112C5A"/>
    <w:rsid w:val="00112CE4"/>
    <w:rsid w:val="001134AA"/>
    <w:rsid w:val="001140C1"/>
    <w:rsid w:val="001162F9"/>
    <w:rsid w:val="0011719C"/>
    <w:rsid w:val="00117496"/>
    <w:rsid w:val="001211A5"/>
    <w:rsid w:val="001247C1"/>
    <w:rsid w:val="0012616B"/>
    <w:rsid w:val="00127B24"/>
    <w:rsid w:val="00127DF6"/>
    <w:rsid w:val="00132F1F"/>
    <w:rsid w:val="0013431C"/>
    <w:rsid w:val="001355A8"/>
    <w:rsid w:val="00136138"/>
    <w:rsid w:val="00136DBB"/>
    <w:rsid w:val="001375F0"/>
    <w:rsid w:val="0014044A"/>
    <w:rsid w:val="001408FD"/>
    <w:rsid w:val="001420F5"/>
    <w:rsid w:val="0014311E"/>
    <w:rsid w:val="00143F1C"/>
    <w:rsid w:val="001469C1"/>
    <w:rsid w:val="0015059D"/>
    <w:rsid w:val="00152847"/>
    <w:rsid w:val="0015580B"/>
    <w:rsid w:val="0015655A"/>
    <w:rsid w:val="001575D0"/>
    <w:rsid w:val="0016078B"/>
    <w:rsid w:val="0016171B"/>
    <w:rsid w:val="00162242"/>
    <w:rsid w:val="0016266F"/>
    <w:rsid w:val="00163BC2"/>
    <w:rsid w:val="00165954"/>
    <w:rsid w:val="001659A1"/>
    <w:rsid w:val="001668E0"/>
    <w:rsid w:val="00166C9E"/>
    <w:rsid w:val="001676F6"/>
    <w:rsid w:val="00167AC2"/>
    <w:rsid w:val="00170A3B"/>
    <w:rsid w:val="00170A5A"/>
    <w:rsid w:val="0017231D"/>
    <w:rsid w:val="00172671"/>
    <w:rsid w:val="00173D71"/>
    <w:rsid w:val="001752D5"/>
    <w:rsid w:val="00180ADC"/>
    <w:rsid w:val="001810DC"/>
    <w:rsid w:val="00183940"/>
    <w:rsid w:val="00184594"/>
    <w:rsid w:val="001852B3"/>
    <w:rsid w:val="00185A9E"/>
    <w:rsid w:val="0018642F"/>
    <w:rsid w:val="0018647F"/>
    <w:rsid w:val="0018688E"/>
    <w:rsid w:val="00186FFD"/>
    <w:rsid w:val="00187212"/>
    <w:rsid w:val="001872FB"/>
    <w:rsid w:val="00187591"/>
    <w:rsid w:val="001879C3"/>
    <w:rsid w:val="0019065E"/>
    <w:rsid w:val="00190AA3"/>
    <w:rsid w:val="001913DD"/>
    <w:rsid w:val="00191F07"/>
    <w:rsid w:val="00192FEA"/>
    <w:rsid w:val="00193372"/>
    <w:rsid w:val="00193D8F"/>
    <w:rsid w:val="00195470"/>
    <w:rsid w:val="00195F94"/>
    <w:rsid w:val="001A0381"/>
    <w:rsid w:val="001A21E7"/>
    <w:rsid w:val="001A2AC6"/>
    <w:rsid w:val="001A2FF3"/>
    <w:rsid w:val="001A40D2"/>
    <w:rsid w:val="001A7984"/>
    <w:rsid w:val="001B06BE"/>
    <w:rsid w:val="001B3832"/>
    <w:rsid w:val="001B4D8A"/>
    <w:rsid w:val="001B4EF5"/>
    <w:rsid w:val="001B580C"/>
    <w:rsid w:val="001B607F"/>
    <w:rsid w:val="001B7409"/>
    <w:rsid w:val="001C1055"/>
    <w:rsid w:val="001C1142"/>
    <w:rsid w:val="001C29A5"/>
    <w:rsid w:val="001C2EE6"/>
    <w:rsid w:val="001C3786"/>
    <w:rsid w:val="001C4514"/>
    <w:rsid w:val="001C455E"/>
    <w:rsid w:val="001C61C6"/>
    <w:rsid w:val="001C7BC9"/>
    <w:rsid w:val="001D0068"/>
    <w:rsid w:val="001D0EDD"/>
    <w:rsid w:val="001D31F9"/>
    <w:rsid w:val="001D3E63"/>
    <w:rsid w:val="001D498A"/>
    <w:rsid w:val="001D6114"/>
    <w:rsid w:val="001E0A68"/>
    <w:rsid w:val="001E1CA1"/>
    <w:rsid w:val="001E2372"/>
    <w:rsid w:val="001E44F8"/>
    <w:rsid w:val="001E4EB9"/>
    <w:rsid w:val="001E4F67"/>
    <w:rsid w:val="001E506B"/>
    <w:rsid w:val="001E5F15"/>
    <w:rsid w:val="001E6A96"/>
    <w:rsid w:val="001E725F"/>
    <w:rsid w:val="001E7B78"/>
    <w:rsid w:val="001F17C1"/>
    <w:rsid w:val="001F2B9C"/>
    <w:rsid w:val="001F5420"/>
    <w:rsid w:val="002006CB"/>
    <w:rsid w:val="00200EA5"/>
    <w:rsid w:val="00201664"/>
    <w:rsid w:val="00203483"/>
    <w:rsid w:val="00203F3B"/>
    <w:rsid w:val="00205FD6"/>
    <w:rsid w:val="002070FB"/>
    <w:rsid w:val="00207521"/>
    <w:rsid w:val="002107CE"/>
    <w:rsid w:val="00211247"/>
    <w:rsid w:val="0021258C"/>
    <w:rsid w:val="0021267F"/>
    <w:rsid w:val="00212CF4"/>
    <w:rsid w:val="0021586B"/>
    <w:rsid w:val="0021626C"/>
    <w:rsid w:val="002163FB"/>
    <w:rsid w:val="00217D74"/>
    <w:rsid w:val="002204F9"/>
    <w:rsid w:val="00220CD1"/>
    <w:rsid w:val="00220D96"/>
    <w:rsid w:val="00223616"/>
    <w:rsid w:val="00223AB6"/>
    <w:rsid w:val="00225FAD"/>
    <w:rsid w:val="00226469"/>
    <w:rsid w:val="00227FAB"/>
    <w:rsid w:val="00230184"/>
    <w:rsid w:val="00232F71"/>
    <w:rsid w:val="00235340"/>
    <w:rsid w:val="00235F0C"/>
    <w:rsid w:val="00236437"/>
    <w:rsid w:val="002406FA"/>
    <w:rsid w:val="00240B11"/>
    <w:rsid w:val="002425C9"/>
    <w:rsid w:val="00243898"/>
    <w:rsid w:val="002438A7"/>
    <w:rsid w:val="00243A53"/>
    <w:rsid w:val="00243FF1"/>
    <w:rsid w:val="00244A22"/>
    <w:rsid w:val="00245A74"/>
    <w:rsid w:val="00251D46"/>
    <w:rsid w:val="002566A5"/>
    <w:rsid w:val="00257922"/>
    <w:rsid w:val="0026025A"/>
    <w:rsid w:val="0026047C"/>
    <w:rsid w:val="0026239B"/>
    <w:rsid w:val="002629EF"/>
    <w:rsid w:val="0026377A"/>
    <w:rsid w:val="002705C6"/>
    <w:rsid w:val="002718EF"/>
    <w:rsid w:val="002730FB"/>
    <w:rsid w:val="002731FF"/>
    <w:rsid w:val="002735AD"/>
    <w:rsid w:val="00274203"/>
    <w:rsid w:val="00274B0B"/>
    <w:rsid w:val="00276CDB"/>
    <w:rsid w:val="00280C7F"/>
    <w:rsid w:val="00281BBB"/>
    <w:rsid w:val="00282AAB"/>
    <w:rsid w:val="00282FEC"/>
    <w:rsid w:val="002831A0"/>
    <w:rsid w:val="00285212"/>
    <w:rsid w:val="002859C5"/>
    <w:rsid w:val="002860D7"/>
    <w:rsid w:val="00290444"/>
    <w:rsid w:val="0029071C"/>
    <w:rsid w:val="00290921"/>
    <w:rsid w:val="002914A4"/>
    <w:rsid w:val="002914BB"/>
    <w:rsid w:val="002943FC"/>
    <w:rsid w:val="00294D78"/>
    <w:rsid w:val="002956DD"/>
    <w:rsid w:val="0029581C"/>
    <w:rsid w:val="00295A65"/>
    <w:rsid w:val="002A16BF"/>
    <w:rsid w:val="002A17C3"/>
    <w:rsid w:val="002A1E3B"/>
    <w:rsid w:val="002A20FF"/>
    <w:rsid w:val="002A6485"/>
    <w:rsid w:val="002A68A0"/>
    <w:rsid w:val="002A730E"/>
    <w:rsid w:val="002B06E5"/>
    <w:rsid w:val="002B1FC0"/>
    <w:rsid w:val="002B2B7E"/>
    <w:rsid w:val="002B2E47"/>
    <w:rsid w:val="002B7794"/>
    <w:rsid w:val="002C00A3"/>
    <w:rsid w:val="002C037E"/>
    <w:rsid w:val="002C0515"/>
    <w:rsid w:val="002C0CB9"/>
    <w:rsid w:val="002C3230"/>
    <w:rsid w:val="002C3F26"/>
    <w:rsid w:val="002C5393"/>
    <w:rsid w:val="002C6C7D"/>
    <w:rsid w:val="002D08D4"/>
    <w:rsid w:val="002D187B"/>
    <w:rsid w:val="002D3EF0"/>
    <w:rsid w:val="002D4899"/>
    <w:rsid w:val="002D4F1A"/>
    <w:rsid w:val="002D5C37"/>
    <w:rsid w:val="002D74AB"/>
    <w:rsid w:val="002E0D8F"/>
    <w:rsid w:val="002E0E02"/>
    <w:rsid w:val="002E0EE2"/>
    <w:rsid w:val="002E11BB"/>
    <w:rsid w:val="002E354F"/>
    <w:rsid w:val="002E4BFF"/>
    <w:rsid w:val="002E5F0A"/>
    <w:rsid w:val="002E649A"/>
    <w:rsid w:val="002E6D21"/>
    <w:rsid w:val="002F1E62"/>
    <w:rsid w:val="002F2B08"/>
    <w:rsid w:val="002F3DA4"/>
    <w:rsid w:val="002F64AB"/>
    <w:rsid w:val="002F6DC0"/>
    <w:rsid w:val="002F7519"/>
    <w:rsid w:val="0030168F"/>
    <w:rsid w:val="0030249D"/>
    <w:rsid w:val="003037DB"/>
    <w:rsid w:val="0030457C"/>
    <w:rsid w:val="00305955"/>
    <w:rsid w:val="003100F8"/>
    <w:rsid w:val="0031049E"/>
    <w:rsid w:val="00310574"/>
    <w:rsid w:val="003121CD"/>
    <w:rsid w:val="003123D5"/>
    <w:rsid w:val="0031524E"/>
    <w:rsid w:val="0031714E"/>
    <w:rsid w:val="00317374"/>
    <w:rsid w:val="0032097D"/>
    <w:rsid w:val="00320AC3"/>
    <w:rsid w:val="00323238"/>
    <w:rsid w:val="0032362F"/>
    <w:rsid w:val="00323873"/>
    <w:rsid w:val="00323902"/>
    <w:rsid w:val="003250DE"/>
    <w:rsid w:val="003262BE"/>
    <w:rsid w:val="003273AE"/>
    <w:rsid w:val="0033049A"/>
    <w:rsid w:val="0033078C"/>
    <w:rsid w:val="00331F20"/>
    <w:rsid w:val="00332B62"/>
    <w:rsid w:val="0033431F"/>
    <w:rsid w:val="00340258"/>
    <w:rsid w:val="003406D9"/>
    <w:rsid w:val="0034109D"/>
    <w:rsid w:val="00343643"/>
    <w:rsid w:val="00343984"/>
    <w:rsid w:val="003460B0"/>
    <w:rsid w:val="00347D69"/>
    <w:rsid w:val="0035009B"/>
    <w:rsid w:val="00350897"/>
    <w:rsid w:val="003531D4"/>
    <w:rsid w:val="00356CE5"/>
    <w:rsid w:val="00357635"/>
    <w:rsid w:val="003618C2"/>
    <w:rsid w:val="003642ED"/>
    <w:rsid w:val="00364588"/>
    <w:rsid w:val="00364A1A"/>
    <w:rsid w:val="003658A0"/>
    <w:rsid w:val="00366223"/>
    <w:rsid w:val="0036655D"/>
    <w:rsid w:val="00367A8C"/>
    <w:rsid w:val="00367C5F"/>
    <w:rsid w:val="003722A7"/>
    <w:rsid w:val="00373B50"/>
    <w:rsid w:val="003750C2"/>
    <w:rsid w:val="003752AE"/>
    <w:rsid w:val="00376002"/>
    <w:rsid w:val="003815D2"/>
    <w:rsid w:val="00381A67"/>
    <w:rsid w:val="003820A5"/>
    <w:rsid w:val="003825CE"/>
    <w:rsid w:val="0038282A"/>
    <w:rsid w:val="00383D8D"/>
    <w:rsid w:val="0038402E"/>
    <w:rsid w:val="00387993"/>
    <w:rsid w:val="00387B3F"/>
    <w:rsid w:val="003911E1"/>
    <w:rsid w:val="003920BC"/>
    <w:rsid w:val="003927CA"/>
    <w:rsid w:val="00393651"/>
    <w:rsid w:val="00393B78"/>
    <w:rsid w:val="00393CD0"/>
    <w:rsid w:val="0039478D"/>
    <w:rsid w:val="0039500D"/>
    <w:rsid w:val="0039518F"/>
    <w:rsid w:val="0039597A"/>
    <w:rsid w:val="00396177"/>
    <w:rsid w:val="00396A43"/>
    <w:rsid w:val="00397580"/>
    <w:rsid w:val="00397DC3"/>
    <w:rsid w:val="003A4F25"/>
    <w:rsid w:val="003A531C"/>
    <w:rsid w:val="003B044F"/>
    <w:rsid w:val="003B1B01"/>
    <w:rsid w:val="003B1BE4"/>
    <w:rsid w:val="003B2E40"/>
    <w:rsid w:val="003B3967"/>
    <w:rsid w:val="003B6567"/>
    <w:rsid w:val="003B7004"/>
    <w:rsid w:val="003B7B23"/>
    <w:rsid w:val="003C0A49"/>
    <w:rsid w:val="003C1823"/>
    <w:rsid w:val="003C196B"/>
    <w:rsid w:val="003C25F6"/>
    <w:rsid w:val="003C2CD5"/>
    <w:rsid w:val="003C344E"/>
    <w:rsid w:val="003C3492"/>
    <w:rsid w:val="003C5320"/>
    <w:rsid w:val="003C69B2"/>
    <w:rsid w:val="003C732F"/>
    <w:rsid w:val="003C7921"/>
    <w:rsid w:val="003D0499"/>
    <w:rsid w:val="003D0BA5"/>
    <w:rsid w:val="003D151A"/>
    <w:rsid w:val="003D2F7E"/>
    <w:rsid w:val="003D458B"/>
    <w:rsid w:val="003E17EE"/>
    <w:rsid w:val="003E216A"/>
    <w:rsid w:val="003E405E"/>
    <w:rsid w:val="003E4488"/>
    <w:rsid w:val="003E6271"/>
    <w:rsid w:val="003E6597"/>
    <w:rsid w:val="003E7151"/>
    <w:rsid w:val="003F0886"/>
    <w:rsid w:val="003F25F7"/>
    <w:rsid w:val="003F3D3A"/>
    <w:rsid w:val="003F4639"/>
    <w:rsid w:val="003F526A"/>
    <w:rsid w:val="0040113D"/>
    <w:rsid w:val="00401F62"/>
    <w:rsid w:val="00401F67"/>
    <w:rsid w:val="004038BD"/>
    <w:rsid w:val="00403E1B"/>
    <w:rsid w:val="0040425E"/>
    <w:rsid w:val="00404D02"/>
    <w:rsid w:val="00405244"/>
    <w:rsid w:val="00405871"/>
    <w:rsid w:val="0040634C"/>
    <w:rsid w:val="004104AB"/>
    <w:rsid w:val="004116C8"/>
    <w:rsid w:val="004159D9"/>
    <w:rsid w:val="00417198"/>
    <w:rsid w:val="00417804"/>
    <w:rsid w:val="00422171"/>
    <w:rsid w:val="004221EB"/>
    <w:rsid w:val="00422ADA"/>
    <w:rsid w:val="004244C2"/>
    <w:rsid w:val="0042692B"/>
    <w:rsid w:val="0043002D"/>
    <w:rsid w:val="00430477"/>
    <w:rsid w:val="004316C1"/>
    <w:rsid w:val="00431DE2"/>
    <w:rsid w:val="0043249A"/>
    <w:rsid w:val="00432F40"/>
    <w:rsid w:val="00433309"/>
    <w:rsid w:val="004335E1"/>
    <w:rsid w:val="00433ACF"/>
    <w:rsid w:val="0043457D"/>
    <w:rsid w:val="00434702"/>
    <w:rsid w:val="0043582A"/>
    <w:rsid w:val="00435BD3"/>
    <w:rsid w:val="00436883"/>
    <w:rsid w:val="00436CE0"/>
    <w:rsid w:val="00440F30"/>
    <w:rsid w:val="0044309B"/>
    <w:rsid w:val="00443857"/>
    <w:rsid w:val="00444BE4"/>
    <w:rsid w:val="00445845"/>
    <w:rsid w:val="00446DE3"/>
    <w:rsid w:val="00450138"/>
    <w:rsid w:val="0045210B"/>
    <w:rsid w:val="00452DD5"/>
    <w:rsid w:val="00454CBC"/>
    <w:rsid w:val="0045547F"/>
    <w:rsid w:val="00456A39"/>
    <w:rsid w:val="004578A2"/>
    <w:rsid w:val="00464BED"/>
    <w:rsid w:val="0046700D"/>
    <w:rsid w:val="004676D6"/>
    <w:rsid w:val="00467A24"/>
    <w:rsid w:val="00472972"/>
    <w:rsid w:val="00473F1C"/>
    <w:rsid w:val="004749DA"/>
    <w:rsid w:val="00474AC2"/>
    <w:rsid w:val="00475D77"/>
    <w:rsid w:val="00477F84"/>
    <w:rsid w:val="00480E60"/>
    <w:rsid w:val="00482FC6"/>
    <w:rsid w:val="00483528"/>
    <w:rsid w:val="00486AD1"/>
    <w:rsid w:val="00486C7B"/>
    <w:rsid w:val="00487A9A"/>
    <w:rsid w:val="004939D5"/>
    <w:rsid w:val="00495875"/>
    <w:rsid w:val="00495C46"/>
    <w:rsid w:val="00495CD8"/>
    <w:rsid w:val="004965CB"/>
    <w:rsid w:val="00496DC4"/>
    <w:rsid w:val="00496EF6"/>
    <w:rsid w:val="004A06D8"/>
    <w:rsid w:val="004A0EA8"/>
    <w:rsid w:val="004A1A00"/>
    <w:rsid w:val="004A26A6"/>
    <w:rsid w:val="004A2EB6"/>
    <w:rsid w:val="004A3104"/>
    <w:rsid w:val="004A3C7A"/>
    <w:rsid w:val="004A4EFE"/>
    <w:rsid w:val="004A6E58"/>
    <w:rsid w:val="004A7254"/>
    <w:rsid w:val="004A7840"/>
    <w:rsid w:val="004A78F2"/>
    <w:rsid w:val="004B02E3"/>
    <w:rsid w:val="004B2201"/>
    <w:rsid w:val="004B2C09"/>
    <w:rsid w:val="004C1158"/>
    <w:rsid w:val="004C1FBB"/>
    <w:rsid w:val="004C22C9"/>
    <w:rsid w:val="004C26C9"/>
    <w:rsid w:val="004C2C9D"/>
    <w:rsid w:val="004C3951"/>
    <w:rsid w:val="004C492C"/>
    <w:rsid w:val="004C5259"/>
    <w:rsid w:val="004C5D40"/>
    <w:rsid w:val="004C65E9"/>
    <w:rsid w:val="004D1D9D"/>
    <w:rsid w:val="004D1DFF"/>
    <w:rsid w:val="004D2FAC"/>
    <w:rsid w:val="004D5D91"/>
    <w:rsid w:val="004D7F82"/>
    <w:rsid w:val="004E23CB"/>
    <w:rsid w:val="004E244B"/>
    <w:rsid w:val="004E3BDB"/>
    <w:rsid w:val="004E479E"/>
    <w:rsid w:val="004E7423"/>
    <w:rsid w:val="004E78EF"/>
    <w:rsid w:val="004F02CB"/>
    <w:rsid w:val="004F10F1"/>
    <w:rsid w:val="004F128E"/>
    <w:rsid w:val="004F1594"/>
    <w:rsid w:val="004F3209"/>
    <w:rsid w:val="004F34D8"/>
    <w:rsid w:val="004F3791"/>
    <w:rsid w:val="004F399E"/>
    <w:rsid w:val="004F3BF5"/>
    <w:rsid w:val="004F48C3"/>
    <w:rsid w:val="004F5769"/>
    <w:rsid w:val="004F78E6"/>
    <w:rsid w:val="00500E6D"/>
    <w:rsid w:val="00502E10"/>
    <w:rsid w:val="00503B5D"/>
    <w:rsid w:val="00504A34"/>
    <w:rsid w:val="00512D99"/>
    <w:rsid w:val="00513215"/>
    <w:rsid w:val="00514206"/>
    <w:rsid w:val="005155AF"/>
    <w:rsid w:val="00517E99"/>
    <w:rsid w:val="00521D61"/>
    <w:rsid w:val="0052210F"/>
    <w:rsid w:val="00522EB8"/>
    <w:rsid w:val="00523DB2"/>
    <w:rsid w:val="005246FA"/>
    <w:rsid w:val="00524B63"/>
    <w:rsid w:val="00525CBD"/>
    <w:rsid w:val="00530212"/>
    <w:rsid w:val="00530F10"/>
    <w:rsid w:val="005332C7"/>
    <w:rsid w:val="005336EE"/>
    <w:rsid w:val="0053410E"/>
    <w:rsid w:val="00534811"/>
    <w:rsid w:val="005357BE"/>
    <w:rsid w:val="005376E8"/>
    <w:rsid w:val="00537A80"/>
    <w:rsid w:val="00540CFD"/>
    <w:rsid w:val="0054409D"/>
    <w:rsid w:val="00545627"/>
    <w:rsid w:val="00547AAE"/>
    <w:rsid w:val="00547FA5"/>
    <w:rsid w:val="0055102F"/>
    <w:rsid w:val="00551504"/>
    <w:rsid w:val="00551D9F"/>
    <w:rsid w:val="00552C2F"/>
    <w:rsid w:val="00553ADE"/>
    <w:rsid w:val="00554498"/>
    <w:rsid w:val="005544DC"/>
    <w:rsid w:val="00554D71"/>
    <w:rsid w:val="00554DD3"/>
    <w:rsid w:val="0055549F"/>
    <w:rsid w:val="00557B9F"/>
    <w:rsid w:val="0056062B"/>
    <w:rsid w:val="00560BCA"/>
    <w:rsid w:val="00561F70"/>
    <w:rsid w:val="00565C9A"/>
    <w:rsid w:val="00567061"/>
    <w:rsid w:val="00567296"/>
    <w:rsid w:val="00567D4D"/>
    <w:rsid w:val="00570ED1"/>
    <w:rsid w:val="00572F80"/>
    <w:rsid w:val="00573493"/>
    <w:rsid w:val="00573B62"/>
    <w:rsid w:val="00574C70"/>
    <w:rsid w:val="00576645"/>
    <w:rsid w:val="0057711E"/>
    <w:rsid w:val="00577354"/>
    <w:rsid w:val="0057765B"/>
    <w:rsid w:val="00577C97"/>
    <w:rsid w:val="005818A6"/>
    <w:rsid w:val="0058239E"/>
    <w:rsid w:val="005853A8"/>
    <w:rsid w:val="00591263"/>
    <w:rsid w:val="005935F3"/>
    <w:rsid w:val="00594899"/>
    <w:rsid w:val="00597759"/>
    <w:rsid w:val="00597E5F"/>
    <w:rsid w:val="005A46B4"/>
    <w:rsid w:val="005A4798"/>
    <w:rsid w:val="005A4BD2"/>
    <w:rsid w:val="005A7726"/>
    <w:rsid w:val="005B3E45"/>
    <w:rsid w:val="005B41A0"/>
    <w:rsid w:val="005B65B5"/>
    <w:rsid w:val="005B79A0"/>
    <w:rsid w:val="005B7E7A"/>
    <w:rsid w:val="005C0595"/>
    <w:rsid w:val="005C188E"/>
    <w:rsid w:val="005C24B7"/>
    <w:rsid w:val="005C2C6E"/>
    <w:rsid w:val="005C3CBD"/>
    <w:rsid w:val="005C52D0"/>
    <w:rsid w:val="005C64B1"/>
    <w:rsid w:val="005D1345"/>
    <w:rsid w:val="005D21A1"/>
    <w:rsid w:val="005D3127"/>
    <w:rsid w:val="005D3BCD"/>
    <w:rsid w:val="005D3F2B"/>
    <w:rsid w:val="005D4CD7"/>
    <w:rsid w:val="005D4E6F"/>
    <w:rsid w:val="005D5CD3"/>
    <w:rsid w:val="005D6672"/>
    <w:rsid w:val="005D7DD1"/>
    <w:rsid w:val="005E1642"/>
    <w:rsid w:val="005E2ABA"/>
    <w:rsid w:val="005E2EA8"/>
    <w:rsid w:val="005E319F"/>
    <w:rsid w:val="005E3449"/>
    <w:rsid w:val="005E3BCE"/>
    <w:rsid w:val="005E4B6F"/>
    <w:rsid w:val="005E551C"/>
    <w:rsid w:val="005E6039"/>
    <w:rsid w:val="005F2753"/>
    <w:rsid w:val="005F4F90"/>
    <w:rsid w:val="005F5D08"/>
    <w:rsid w:val="005F613D"/>
    <w:rsid w:val="005F6823"/>
    <w:rsid w:val="005F6A03"/>
    <w:rsid w:val="005F79FB"/>
    <w:rsid w:val="00600404"/>
    <w:rsid w:val="00601289"/>
    <w:rsid w:val="006019C0"/>
    <w:rsid w:val="006020B8"/>
    <w:rsid w:val="00603C28"/>
    <w:rsid w:val="0060420D"/>
    <w:rsid w:val="00605C19"/>
    <w:rsid w:val="00606CEF"/>
    <w:rsid w:val="0060765A"/>
    <w:rsid w:val="006111FF"/>
    <w:rsid w:val="00612568"/>
    <w:rsid w:val="00612DFB"/>
    <w:rsid w:val="00613862"/>
    <w:rsid w:val="00613C93"/>
    <w:rsid w:val="00613F77"/>
    <w:rsid w:val="00616BC8"/>
    <w:rsid w:val="0061762E"/>
    <w:rsid w:val="00622C65"/>
    <w:rsid w:val="00622DA5"/>
    <w:rsid w:val="00623201"/>
    <w:rsid w:val="00626140"/>
    <w:rsid w:val="00627788"/>
    <w:rsid w:val="0063087F"/>
    <w:rsid w:val="0063295F"/>
    <w:rsid w:val="00632BFD"/>
    <w:rsid w:val="00634A38"/>
    <w:rsid w:val="00634F04"/>
    <w:rsid w:val="00635158"/>
    <w:rsid w:val="00635BE4"/>
    <w:rsid w:val="00635EE0"/>
    <w:rsid w:val="00636054"/>
    <w:rsid w:val="00637034"/>
    <w:rsid w:val="00637ADD"/>
    <w:rsid w:val="00637C34"/>
    <w:rsid w:val="0064237E"/>
    <w:rsid w:val="00644D54"/>
    <w:rsid w:val="0065251F"/>
    <w:rsid w:val="00652FA2"/>
    <w:rsid w:val="00657234"/>
    <w:rsid w:val="00660727"/>
    <w:rsid w:val="00660F25"/>
    <w:rsid w:val="00662B1E"/>
    <w:rsid w:val="00664C6C"/>
    <w:rsid w:val="00665072"/>
    <w:rsid w:val="006651E9"/>
    <w:rsid w:val="00667293"/>
    <w:rsid w:val="0067116D"/>
    <w:rsid w:val="0067426A"/>
    <w:rsid w:val="006771BD"/>
    <w:rsid w:val="0068096C"/>
    <w:rsid w:val="006817DE"/>
    <w:rsid w:val="00681811"/>
    <w:rsid w:val="0068233A"/>
    <w:rsid w:val="00682873"/>
    <w:rsid w:val="006836B9"/>
    <w:rsid w:val="00684E61"/>
    <w:rsid w:val="00685112"/>
    <w:rsid w:val="006855C7"/>
    <w:rsid w:val="006856BD"/>
    <w:rsid w:val="00685EA4"/>
    <w:rsid w:val="00687B0B"/>
    <w:rsid w:val="006929ED"/>
    <w:rsid w:val="00693CFF"/>
    <w:rsid w:val="0069436B"/>
    <w:rsid w:val="00694AE4"/>
    <w:rsid w:val="00694FC2"/>
    <w:rsid w:val="00695DB4"/>
    <w:rsid w:val="00695FC9"/>
    <w:rsid w:val="006971D0"/>
    <w:rsid w:val="00697686"/>
    <w:rsid w:val="0069776B"/>
    <w:rsid w:val="00697FC3"/>
    <w:rsid w:val="006A0896"/>
    <w:rsid w:val="006A24C8"/>
    <w:rsid w:val="006A38A0"/>
    <w:rsid w:val="006A5825"/>
    <w:rsid w:val="006B1924"/>
    <w:rsid w:val="006B1FBC"/>
    <w:rsid w:val="006B408C"/>
    <w:rsid w:val="006B5CD5"/>
    <w:rsid w:val="006B6033"/>
    <w:rsid w:val="006B65B9"/>
    <w:rsid w:val="006B699D"/>
    <w:rsid w:val="006B792F"/>
    <w:rsid w:val="006C2D34"/>
    <w:rsid w:val="006C31B5"/>
    <w:rsid w:val="006C4221"/>
    <w:rsid w:val="006C4ADE"/>
    <w:rsid w:val="006C735F"/>
    <w:rsid w:val="006D0C6A"/>
    <w:rsid w:val="006D2BB1"/>
    <w:rsid w:val="006D7E16"/>
    <w:rsid w:val="006D7E3D"/>
    <w:rsid w:val="006E024F"/>
    <w:rsid w:val="006E0C61"/>
    <w:rsid w:val="006E34EE"/>
    <w:rsid w:val="006E39EF"/>
    <w:rsid w:val="006E4C5D"/>
    <w:rsid w:val="006E4E81"/>
    <w:rsid w:val="006E4F42"/>
    <w:rsid w:val="006E4F81"/>
    <w:rsid w:val="006E5370"/>
    <w:rsid w:val="006E5B25"/>
    <w:rsid w:val="006E68C0"/>
    <w:rsid w:val="006F0CD8"/>
    <w:rsid w:val="006F19E5"/>
    <w:rsid w:val="006F1B42"/>
    <w:rsid w:val="006F3EFB"/>
    <w:rsid w:val="006F5281"/>
    <w:rsid w:val="006F6103"/>
    <w:rsid w:val="006F6E8F"/>
    <w:rsid w:val="006F73A1"/>
    <w:rsid w:val="006F74DB"/>
    <w:rsid w:val="006F7DE9"/>
    <w:rsid w:val="00700CA3"/>
    <w:rsid w:val="00700F08"/>
    <w:rsid w:val="00701271"/>
    <w:rsid w:val="00703ED0"/>
    <w:rsid w:val="0070563E"/>
    <w:rsid w:val="00705DD6"/>
    <w:rsid w:val="00707F7D"/>
    <w:rsid w:val="00710C12"/>
    <w:rsid w:val="007141B3"/>
    <w:rsid w:val="00717EC5"/>
    <w:rsid w:val="0072054C"/>
    <w:rsid w:val="007210DC"/>
    <w:rsid w:val="007211E1"/>
    <w:rsid w:val="0072160D"/>
    <w:rsid w:val="007222CD"/>
    <w:rsid w:val="00727EA5"/>
    <w:rsid w:val="007315E7"/>
    <w:rsid w:val="00731943"/>
    <w:rsid w:val="00732721"/>
    <w:rsid w:val="00732EC3"/>
    <w:rsid w:val="00733EEF"/>
    <w:rsid w:val="00734409"/>
    <w:rsid w:val="00735EF3"/>
    <w:rsid w:val="00736C3E"/>
    <w:rsid w:val="00737BD1"/>
    <w:rsid w:val="00737C31"/>
    <w:rsid w:val="00737E08"/>
    <w:rsid w:val="00740227"/>
    <w:rsid w:val="007432A6"/>
    <w:rsid w:val="00743329"/>
    <w:rsid w:val="007438F9"/>
    <w:rsid w:val="00743F06"/>
    <w:rsid w:val="00744B9A"/>
    <w:rsid w:val="007459C4"/>
    <w:rsid w:val="00751C7A"/>
    <w:rsid w:val="00751DB0"/>
    <w:rsid w:val="00753714"/>
    <w:rsid w:val="00754050"/>
    <w:rsid w:val="007552C3"/>
    <w:rsid w:val="00755517"/>
    <w:rsid w:val="007568F4"/>
    <w:rsid w:val="0076033D"/>
    <w:rsid w:val="00760CEC"/>
    <w:rsid w:val="0076100E"/>
    <w:rsid w:val="007610E8"/>
    <w:rsid w:val="00761B29"/>
    <w:rsid w:val="007620EB"/>
    <w:rsid w:val="007621FD"/>
    <w:rsid w:val="00764407"/>
    <w:rsid w:val="00764626"/>
    <w:rsid w:val="007701ED"/>
    <w:rsid w:val="00771E5A"/>
    <w:rsid w:val="00772246"/>
    <w:rsid w:val="0077224C"/>
    <w:rsid w:val="00772EFA"/>
    <w:rsid w:val="007745B4"/>
    <w:rsid w:val="00774BF4"/>
    <w:rsid w:val="0077577D"/>
    <w:rsid w:val="00792593"/>
    <w:rsid w:val="00793407"/>
    <w:rsid w:val="00793C81"/>
    <w:rsid w:val="00793D83"/>
    <w:rsid w:val="00795AEF"/>
    <w:rsid w:val="007967D2"/>
    <w:rsid w:val="00797576"/>
    <w:rsid w:val="00797DAE"/>
    <w:rsid w:val="007A0DBF"/>
    <w:rsid w:val="007A20A2"/>
    <w:rsid w:val="007A3958"/>
    <w:rsid w:val="007A3EEB"/>
    <w:rsid w:val="007A487F"/>
    <w:rsid w:val="007A494B"/>
    <w:rsid w:val="007A5979"/>
    <w:rsid w:val="007A5C0F"/>
    <w:rsid w:val="007B1BB2"/>
    <w:rsid w:val="007B253A"/>
    <w:rsid w:val="007B3D4F"/>
    <w:rsid w:val="007B6A23"/>
    <w:rsid w:val="007B7738"/>
    <w:rsid w:val="007C2022"/>
    <w:rsid w:val="007C2579"/>
    <w:rsid w:val="007C3874"/>
    <w:rsid w:val="007C65FB"/>
    <w:rsid w:val="007D19CB"/>
    <w:rsid w:val="007D4EDE"/>
    <w:rsid w:val="007D6B51"/>
    <w:rsid w:val="007D6BB8"/>
    <w:rsid w:val="007E056C"/>
    <w:rsid w:val="007E1011"/>
    <w:rsid w:val="007E131B"/>
    <w:rsid w:val="007E38FC"/>
    <w:rsid w:val="007E43CB"/>
    <w:rsid w:val="007E5384"/>
    <w:rsid w:val="007E5B5A"/>
    <w:rsid w:val="007E61D4"/>
    <w:rsid w:val="007E7C01"/>
    <w:rsid w:val="007F00ED"/>
    <w:rsid w:val="007F047A"/>
    <w:rsid w:val="007F1809"/>
    <w:rsid w:val="007F2648"/>
    <w:rsid w:val="007F32FA"/>
    <w:rsid w:val="007F4425"/>
    <w:rsid w:val="007F449C"/>
    <w:rsid w:val="007F5D96"/>
    <w:rsid w:val="007F7877"/>
    <w:rsid w:val="007F7A9D"/>
    <w:rsid w:val="0080292B"/>
    <w:rsid w:val="008059B2"/>
    <w:rsid w:val="008104F3"/>
    <w:rsid w:val="008123A1"/>
    <w:rsid w:val="00812503"/>
    <w:rsid w:val="00813325"/>
    <w:rsid w:val="008137C3"/>
    <w:rsid w:val="008141CA"/>
    <w:rsid w:val="0081538E"/>
    <w:rsid w:val="0081593D"/>
    <w:rsid w:val="00816ECC"/>
    <w:rsid w:val="008176FE"/>
    <w:rsid w:val="00817E62"/>
    <w:rsid w:val="008219E0"/>
    <w:rsid w:val="008232F5"/>
    <w:rsid w:val="008238AA"/>
    <w:rsid w:val="0082395E"/>
    <w:rsid w:val="00825619"/>
    <w:rsid w:val="008275F3"/>
    <w:rsid w:val="00827D0C"/>
    <w:rsid w:val="008302EB"/>
    <w:rsid w:val="008316C3"/>
    <w:rsid w:val="0083285B"/>
    <w:rsid w:val="00834F09"/>
    <w:rsid w:val="00835855"/>
    <w:rsid w:val="00836BCB"/>
    <w:rsid w:val="00837A6D"/>
    <w:rsid w:val="008400A9"/>
    <w:rsid w:val="0084164E"/>
    <w:rsid w:val="00841E67"/>
    <w:rsid w:val="008422EA"/>
    <w:rsid w:val="0084236C"/>
    <w:rsid w:val="00843089"/>
    <w:rsid w:val="00843D7B"/>
    <w:rsid w:val="00844F8E"/>
    <w:rsid w:val="00850A8E"/>
    <w:rsid w:val="0085146D"/>
    <w:rsid w:val="008553E5"/>
    <w:rsid w:val="00855D3B"/>
    <w:rsid w:val="008561A9"/>
    <w:rsid w:val="00860325"/>
    <w:rsid w:val="00860369"/>
    <w:rsid w:val="008611E3"/>
    <w:rsid w:val="00861D0E"/>
    <w:rsid w:val="00862970"/>
    <w:rsid w:val="00864B09"/>
    <w:rsid w:val="00871463"/>
    <w:rsid w:val="00872406"/>
    <w:rsid w:val="00872977"/>
    <w:rsid w:val="00873F6B"/>
    <w:rsid w:val="00874399"/>
    <w:rsid w:val="00875396"/>
    <w:rsid w:val="0087573E"/>
    <w:rsid w:val="008765D9"/>
    <w:rsid w:val="00880BE3"/>
    <w:rsid w:val="00882A3F"/>
    <w:rsid w:val="0088522C"/>
    <w:rsid w:val="0088715D"/>
    <w:rsid w:val="00887C43"/>
    <w:rsid w:val="008924A0"/>
    <w:rsid w:val="00892BD1"/>
    <w:rsid w:val="00893A4A"/>
    <w:rsid w:val="008951DF"/>
    <w:rsid w:val="0089588B"/>
    <w:rsid w:val="008A0438"/>
    <w:rsid w:val="008A0693"/>
    <w:rsid w:val="008A0B0B"/>
    <w:rsid w:val="008A4BCF"/>
    <w:rsid w:val="008A64C4"/>
    <w:rsid w:val="008B0346"/>
    <w:rsid w:val="008B0D4D"/>
    <w:rsid w:val="008B0E0F"/>
    <w:rsid w:val="008B3177"/>
    <w:rsid w:val="008B41B2"/>
    <w:rsid w:val="008B4232"/>
    <w:rsid w:val="008B4BF3"/>
    <w:rsid w:val="008B5A47"/>
    <w:rsid w:val="008B5B39"/>
    <w:rsid w:val="008C020A"/>
    <w:rsid w:val="008C1EAA"/>
    <w:rsid w:val="008C2353"/>
    <w:rsid w:val="008C36A4"/>
    <w:rsid w:val="008C384C"/>
    <w:rsid w:val="008C3CC3"/>
    <w:rsid w:val="008C4097"/>
    <w:rsid w:val="008C62CE"/>
    <w:rsid w:val="008C6AA0"/>
    <w:rsid w:val="008C7315"/>
    <w:rsid w:val="008D2614"/>
    <w:rsid w:val="008D2F63"/>
    <w:rsid w:val="008D31CA"/>
    <w:rsid w:val="008D3AE7"/>
    <w:rsid w:val="008D7E45"/>
    <w:rsid w:val="008E322C"/>
    <w:rsid w:val="008E334F"/>
    <w:rsid w:val="008E42D7"/>
    <w:rsid w:val="008F0330"/>
    <w:rsid w:val="008F29A4"/>
    <w:rsid w:val="008F4BD8"/>
    <w:rsid w:val="008F73B4"/>
    <w:rsid w:val="009000D7"/>
    <w:rsid w:val="00900398"/>
    <w:rsid w:val="00900534"/>
    <w:rsid w:val="00900B77"/>
    <w:rsid w:val="00903003"/>
    <w:rsid w:val="0090507E"/>
    <w:rsid w:val="009054A9"/>
    <w:rsid w:val="0090626D"/>
    <w:rsid w:val="0090631B"/>
    <w:rsid w:val="00910439"/>
    <w:rsid w:val="009120B8"/>
    <w:rsid w:val="009132B6"/>
    <w:rsid w:val="00913FA9"/>
    <w:rsid w:val="0091443D"/>
    <w:rsid w:val="00914FDE"/>
    <w:rsid w:val="009152C0"/>
    <w:rsid w:val="009157FD"/>
    <w:rsid w:val="00916BEE"/>
    <w:rsid w:val="00917A42"/>
    <w:rsid w:val="00917E1A"/>
    <w:rsid w:val="00920124"/>
    <w:rsid w:val="00922961"/>
    <w:rsid w:val="00922DF6"/>
    <w:rsid w:val="009253C0"/>
    <w:rsid w:val="00925729"/>
    <w:rsid w:val="00930587"/>
    <w:rsid w:val="0093193A"/>
    <w:rsid w:val="009337A0"/>
    <w:rsid w:val="00933A66"/>
    <w:rsid w:val="00934767"/>
    <w:rsid w:val="00934DB2"/>
    <w:rsid w:val="00935CC0"/>
    <w:rsid w:val="009369D9"/>
    <w:rsid w:val="00941BE9"/>
    <w:rsid w:val="00942340"/>
    <w:rsid w:val="00942CD6"/>
    <w:rsid w:val="00943F9A"/>
    <w:rsid w:val="00945A8F"/>
    <w:rsid w:val="00945BFA"/>
    <w:rsid w:val="009462F6"/>
    <w:rsid w:val="00947336"/>
    <w:rsid w:val="00947584"/>
    <w:rsid w:val="00950790"/>
    <w:rsid w:val="0095088B"/>
    <w:rsid w:val="0095098A"/>
    <w:rsid w:val="0095180A"/>
    <w:rsid w:val="00952494"/>
    <w:rsid w:val="009553C5"/>
    <w:rsid w:val="00960185"/>
    <w:rsid w:val="00960C7C"/>
    <w:rsid w:val="0096256F"/>
    <w:rsid w:val="009629E6"/>
    <w:rsid w:val="009635C5"/>
    <w:rsid w:val="00963C93"/>
    <w:rsid w:val="009651D3"/>
    <w:rsid w:val="00965881"/>
    <w:rsid w:val="0097124D"/>
    <w:rsid w:val="009715F0"/>
    <w:rsid w:val="00971997"/>
    <w:rsid w:val="00972F15"/>
    <w:rsid w:val="009743F5"/>
    <w:rsid w:val="00976F08"/>
    <w:rsid w:val="009774DF"/>
    <w:rsid w:val="0098064F"/>
    <w:rsid w:val="00983375"/>
    <w:rsid w:val="009843E9"/>
    <w:rsid w:val="00984C63"/>
    <w:rsid w:val="0098793A"/>
    <w:rsid w:val="00991419"/>
    <w:rsid w:val="00991CD1"/>
    <w:rsid w:val="00992AB3"/>
    <w:rsid w:val="00992D74"/>
    <w:rsid w:val="00995124"/>
    <w:rsid w:val="00997914"/>
    <w:rsid w:val="00997F33"/>
    <w:rsid w:val="009A280A"/>
    <w:rsid w:val="009A372B"/>
    <w:rsid w:val="009A5F93"/>
    <w:rsid w:val="009A7476"/>
    <w:rsid w:val="009A79DC"/>
    <w:rsid w:val="009B097A"/>
    <w:rsid w:val="009B3B6E"/>
    <w:rsid w:val="009B4536"/>
    <w:rsid w:val="009B55B1"/>
    <w:rsid w:val="009B5DE2"/>
    <w:rsid w:val="009B698E"/>
    <w:rsid w:val="009B6E02"/>
    <w:rsid w:val="009B6E58"/>
    <w:rsid w:val="009C01E0"/>
    <w:rsid w:val="009C1AEA"/>
    <w:rsid w:val="009C1E31"/>
    <w:rsid w:val="009C3183"/>
    <w:rsid w:val="009C358D"/>
    <w:rsid w:val="009C400F"/>
    <w:rsid w:val="009C739D"/>
    <w:rsid w:val="009C7874"/>
    <w:rsid w:val="009D0E61"/>
    <w:rsid w:val="009D44C5"/>
    <w:rsid w:val="009D4AA0"/>
    <w:rsid w:val="009E0BC5"/>
    <w:rsid w:val="009E2186"/>
    <w:rsid w:val="009E2AE2"/>
    <w:rsid w:val="009E2B01"/>
    <w:rsid w:val="009E423B"/>
    <w:rsid w:val="009E5946"/>
    <w:rsid w:val="009E6479"/>
    <w:rsid w:val="009E785D"/>
    <w:rsid w:val="009F13AF"/>
    <w:rsid w:val="009F1C14"/>
    <w:rsid w:val="009F250C"/>
    <w:rsid w:val="009F2C60"/>
    <w:rsid w:val="009F318E"/>
    <w:rsid w:val="009F3B83"/>
    <w:rsid w:val="009F4E20"/>
    <w:rsid w:val="009F6D50"/>
    <w:rsid w:val="00A00204"/>
    <w:rsid w:val="00A014FF"/>
    <w:rsid w:val="00A01636"/>
    <w:rsid w:val="00A03190"/>
    <w:rsid w:val="00A0343A"/>
    <w:rsid w:val="00A067A4"/>
    <w:rsid w:val="00A06C59"/>
    <w:rsid w:val="00A10806"/>
    <w:rsid w:val="00A12936"/>
    <w:rsid w:val="00A12EE6"/>
    <w:rsid w:val="00A15F79"/>
    <w:rsid w:val="00A1643D"/>
    <w:rsid w:val="00A17914"/>
    <w:rsid w:val="00A17C51"/>
    <w:rsid w:val="00A2098F"/>
    <w:rsid w:val="00A20BCD"/>
    <w:rsid w:val="00A22987"/>
    <w:rsid w:val="00A22BD4"/>
    <w:rsid w:val="00A22DA7"/>
    <w:rsid w:val="00A23561"/>
    <w:rsid w:val="00A24207"/>
    <w:rsid w:val="00A25E4C"/>
    <w:rsid w:val="00A3200E"/>
    <w:rsid w:val="00A32029"/>
    <w:rsid w:val="00A3379D"/>
    <w:rsid w:val="00A33E33"/>
    <w:rsid w:val="00A360A0"/>
    <w:rsid w:val="00A37239"/>
    <w:rsid w:val="00A37521"/>
    <w:rsid w:val="00A377B5"/>
    <w:rsid w:val="00A40101"/>
    <w:rsid w:val="00A40D1D"/>
    <w:rsid w:val="00A41A5E"/>
    <w:rsid w:val="00A41C02"/>
    <w:rsid w:val="00A4343D"/>
    <w:rsid w:val="00A43C2D"/>
    <w:rsid w:val="00A44ED5"/>
    <w:rsid w:val="00A469E4"/>
    <w:rsid w:val="00A46BDD"/>
    <w:rsid w:val="00A46D6A"/>
    <w:rsid w:val="00A46DA6"/>
    <w:rsid w:val="00A510AD"/>
    <w:rsid w:val="00A529C0"/>
    <w:rsid w:val="00A53375"/>
    <w:rsid w:val="00A54052"/>
    <w:rsid w:val="00A54B46"/>
    <w:rsid w:val="00A5574A"/>
    <w:rsid w:val="00A558C5"/>
    <w:rsid w:val="00A60620"/>
    <w:rsid w:val="00A61135"/>
    <w:rsid w:val="00A61E50"/>
    <w:rsid w:val="00A625E1"/>
    <w:rsid w:val="00A64806"/>
    <w:rsid w:val="00A64B08"/>
    <w:rsid w:val="00A65953"/>
    <w:rsid w:val="00A65A7D"/>
    <w:rsid w:val="00A662ED"/>
    <w:rsid w:val="00A66B0E"/>
    <w:rsid w:val="00A67130"/>
    <w:rsid w:val="00A67192"/>
    <w:rsid w:val="00A679D3"/>
    <w:rsid w:val="00A701BA"/>
    <w:rsid w:val="00A70DE7"/>
    <w:rsid w:val="00A73195"/>
    <w:rsid w:val="00A747DD"/>
    <w:rsid w:val="00A75140"/>
    <w:rsid w:val="00A75A14"/>
    <w:rsid w:val="00A75C16"/>
    <w:rsid w:val="00A7660D"/>
    <w:rsid w:val="00A8019A"/>
    <w:rsid w:val="00A80AB9"/>
    <w:rsid w:val="00A80DE6"/>
    <w:rsid w:val="00A81EB3"/>
    <w:rsid w:val="00A84FEF"/>
    <w:rsid w:val="00A85FE3"/>
    <w:rsid w:val="00A90185"/>
    <w:rsid w:val="00A90AD2"/>
    <w:rsid w:val="00A920D8"/>
    <w:rsid w:val="00A95024"/>
    <w:rsid w:val="00A95402"/>
    <w:rsid w:val="00A960A4"/>
    <w:rsid w:val="00A9750B"/>
    <w:rsid w:val="00AA29F8"/>
    <w:rsid w:val="00AA46FA"/>
    <w:rsid w:val="00AA6282"/>
    <w:rsid w:val="00AA72F3"/>
    <w:rsid w:val="00AB2327"/>
    <w:rsid w:val="00AB24DA"/>
    <w:rsid w:val="00AB3C7B"/>
    <w:rsid w:val="00AB499A"/>
    <w:rsid w:val="00AB618C"/>
    <w:rsid w:val="00AB62DA"/>
    <w:rsid w:val="00AB6552"/>
    <w:rsid w:val="00AB6A3F"/>
    <w:rsid w:val="00AB6D08"/>
    <w:rsid w:val="00AC0165"/>
    <w:rsid w:val="00AC02D1"/>
    <w:rsid w:val="00AC129A"/>
    <w:rsid w:val="00AC134D"/>
    <w:rsid w:val="00AC1BEF"/>
    <w:rsid w:val="00AC2E05"/>
    <w:rsid w:val="00AC6292"/>
    <w:rsid w:val="00AC649C"/>
    <w:rsid w:val="00AD27DE"/>
    <w:rsid w:val="00AD32BD"/>
    <w:rsid w:val="00AD4013"/>
    <w:rsid w:val="00AD540B"/>
    <w:rsid w:val="00AE037F"/>
    <w:rsid w:val="00AE0614"/>
    <w:rsid w:val="00AE0701"/>
    <w:rsid w:val="00AE2091"/>
    <w:rsid w:val="00AE20D3"/>
    <w:rsid w:val="00AE2D8F"/>
    <w:rsid w:val="00AE2E03"/>
    <w:rsid w:val="00AE307A"/>
    <w:rsid w:val="00AE343B"/>
    <w:rsid w:val="00AE3902"/>
    <w:rsid w:val="00AE59B9"/>
    <w:rsid w:val="00AE5DEE"/>
    <w:rsid w:val="00AE5F5B"/>
    <w:rsid w:val="00AF1E80"/>
    <w:rsid w:val="00AF4307"/>
    <w:rsid w:val="00AF69A9"/>
    <w:rsid w:val="00B00C1D"/>
    <w:rsid w:val="00B010C3"/>
    <w:rsid w:val="00B054F5"/>
    <w:rsid w:val="00B06C5D"/>
    <w:rsid w:val="00B06D50"/>
    <w:rsid w:val="00B078FA"/>
    <w:rsid w:val="00B107F8"/>
    <w:rsid w:val="00B11404"/>
    <w:rsid w:val="00B11F6D"/>
    <w:rsid w:val="00B13EF3"/>
    <w:rsid w:val="00B15AE8"/>
    <w:rsid w:val="00B164B4"/>
    <w:rsid w:val="00B16D5E"/>
    <w:rsid w:val="00B178C8"/>
    <w:rsid w:val="00B17CD4"/>
    <w:rsid w:val="00B20133"/>
    <w:rsid w:val="00B20917"/>
    <w:rsid w:val="00B21174"/>
    <w:rsid w:val="00B2798C"/>
    <w:rsid w:val="00B307A7"/>
    <w:rsid w:val="00B30B30"/>
    <w:rsid w:val="00B312B6"/>
    <w:rsid w:val="00B33F9B"/>
    <w:rsid w:val="00B352FB"/>
    <w:rsid w:val="00B3538D"/>
    <w:rsid w:val="00B35AE9"/>
    <w:rsid w:val="00B35DEC"/>
    <w:rsid w:val="00B36DFD"/>
    <w:rsid w:val="00B37B69"/>
    <w:rsid w:val="00B444A1"/>
    <w:rsid w:val="00B45940"/>
    <w:rsid w:val="00B46E39"/>
    <w:rsid w:val="00B47071"/>
    <w:rsid w:val="00B5045B"/>
    <w:rsid w:val="00B50FBC"/>
    <w:rsid w:val="00B528CB"/>
    <w:rsid w:val="00B5550C"/>
    <w:rsid w:val="00B56CE4"/>
    <w:rsid w:val="00B57B72"/>
    <w:rsid w:val="00B60B14"/>
    <w:rsid w:val="00B61432"/>
    <w:rsid w:val="00B6246E"/>
    <w:rsid w:val="00B62472"/>
    <w:rsid w:val="00B6287F"/>
    <w:rsid w:val="00B62975"/>
    <w:rsid w:val="00B6382A"/>
    <w:rsid w:val="00B63E1B"/>
    <w:rsid w:val="00B647CC"/>
    <w:rsid w:val="00B6536D"/>
    <w:rsid w:val="00B65E86"/>
    <w:rsid w:val="00B67A49"/>
    <w:rsid w:val="00B70723"/>
    <w:rsid w:val="00B75386"/>
    <w:rsid w:val="00B75BE3"/>
    <w:rsid w:val="00B76A11"/>
    <w:rsid w:val="00B773F1"/>
    <w:rsid w:val="00B77439"/>
    <w:rsid w:val="00B8121F"/>
    <w:rsid w:val="00B837E7"/>
    <w:rsid w:val="00B874AE"/>
    <w:rsid w:val="00B93089"/>
    <w:rsid w:val="00B94322"/>
    <w:rsid w:val="00B960EA"/>
    <w:rsid w:val="00B9669A"/>
    <w:rsid w:val="00B96D11"/>
    <w:rsid w:val="00BA0956"/>
    <w:rsid w:val="00BA136C"/>
    <w:rsid w:val="00BA1F97"/>
    <w:rsid w:val="00BA277D"/>
    <w:rsid w:val="00BA3DC5"/>
    <w:rsid w:val="00BA4482"/>
    <w:rsid w:val="00BA521F"/>
    <w:rsid w:val="00BA6370"/>
    <w:rsid w:val="00BA6DAF"/>
    <w:rsid w:val="00BB0008"/>
    <w:rsid w:val="00BB32E3"/>
    <w:rsid w:val="00BB3B89"/>
    <w:rsid w:val="00BB5532"/>
    <w:rsid w:val="00BB7C45"/>
    <w:rsid w:val="00BC20F2"/>
    <w:rsid w:val="00BC2980"/>
    <w:rsid w:val="00BC3873"/>
    <w:rsid w:val="00BC4C7A"/>
    <w:rsid w:val="00BC5024"/>
    <w:rsid w:val="00BC6ABD"/>
    <w:rsid w:val="00BC7C9C"/>
    <w:rsid w:val="00BD0A77"/>
    <w:rsid w:val="00BD0DEE"/>
    <w:rsid w:val="00BD140B"/>
    <w:rsid w:val="00BD21DB"/>
    <w:rsid w:val="00BD3F17"/>
    <w:rsid w:val="00BD44C3"/>
    <w:rsid w:val="00BD568A"/>
    <w:rsid w:val="00BD58C5"/>
    <w:rsid w:val="00BE0244"/>
    <w:rsid w:val="00BE07C6"/>
    <w:rsid w:val="00BE0ED1"/>
    <w:rsid w:val="00BE25D9"/>
    <w:rsid w:val="00BE4AF2"/>
    <w:rsid w:val="00BE4E6C"/>
    <w:rsid w:val="00BE5569"/>
    <w:rsid w:val="00BE5C44"/>
    <w:rsid w:val="00BE66DE"/>
    <w:rsid w:val="00BE6757"/>
    <w:rsid w:val="00BE759F"/>
    <w:rsid w:val="00BE7DD8"/>
    <w:rsid w:val="00BF296A"/>
    <w:rsid w:val="00BF387E"/>
    <w:rsid w:val="00BF4BF1"/>
    <w:rsid w:val="00BF55BD"/>
    <w:rsid w:val="00BF5D1B"/>
    <w:rsid w:val="00BF5FAD"/>
    <w:rsid w:val="00BF609F"/>
    <w:rsid w:val="00BF7148"/>
    <w:rsid w:val="00BF7312"/>
    <w:rsid w:val="00C00824"/>
    <w:rsid w:val="00C00DFD"/>
    <w:rsid w:val="00C01330"/>
    <w:rsid w:val="00C01E82"/>
    <w:rsid w:val="00C038D8"/>
    <w:rsid w:val="00C04762"/>
    <w:rsid w:val="00C04D0A"/>
    <w:rsid w:val="00C05C02"/>
    <w:rsid w:val="00C06030"/>
    <w:rsid w:val="00C06C1D"/>
    <w:rsid w:val="00C07089"/>
    <w:rsid w:val="00C07C74"/>
    <w:rsid w:val="00C1000E"/>
    <w:rsid w:val="00C110C2"/>
    <w:rsid w:val="00C1268E"/>
    <w:rsid w:val="00C13B2C"/>
    <w:rsid w:val="00C15B08"/>
    <w:rsid w:val="00C165DB"/>
    <w:rsid w:val="00C17AC2"/>
    <w:rsid w:val="00C23682"/>
    <w:rsid w:val="00C24167"/>
    <w:rsid w:val="00C244D4"/>
    <w:rsid w:val="00C25928"/>
    <w:rsid w:val="00C27B4A"/>
    <w:rsid w:val="00C3068F"/>
    <w:rsid w:val="00C30E41"/>
    <w:rsid w:val="00C34499"/>
    <w:rsid w:val="00C36F6C"/>
    <w:rsid w:val="00C37286"/>
    <w:rsid w:val="00C37F52"/>
    <w:rsid w:val="00C40105"/>
    <w:rsid w:val="00C410F9"/>
    <w:rsid w:val="00C4160D"/>
    <w:rsid w:val="00C41D2A"/>
    <w:rsid w:val="00C4202D"/>
    <w:rsid w:val="00C43ECE"/>
    <w:rsid w:val="00C44000"/>
    <w:rsid w:val="00C47476"/>
    <w:rsid w:val="00C47519"/>
    <w:rsid w:val="00C47887"/>
    <w:rsid w:val="00C47F56"/>
    <w:rsid w:val="00C50304"/>
    <w:rsid w:val="00C509B9"/>
    <w:rsid w:val="00C50CC9"/>
    <w:rsid w:val="00C51E51"/>
    <w:rsid w:val="00C55258"/>
    <w:rsid w:val="00C553D9"/>
    <w:rsid w:val="00C60EAC"/>
    <w:rsid w:val="00C61B14"/>
    <w:rsid w:val="00C6499B"/>
    <w:rsid w:val="00C655A6"/>
    <w:rsid w:val="00C659C0"/>
    <w:rsid w:val="00C66432"/>
    <w:rsid w:val="00C67153"/>
    <w:rsid w:val="00C67B9A"/>
    <w:rsid w:val="00C7031F"/>
    <w:rsid w:val="00C708BE"/>
    <w:rsid w:val="00C70965"/>
    <w:rsid w:val="00C72CAA"/>
    <w:rsid w:val="00C73632"/>
    <w:rsid w:val="00C74B6A"/>
    <w:rsid w:val="00C8010A"/>
    <w:rsid w:val="00C8032F"/>
    <w:rsid w:val="00C822F6"/>
    <w:rsid w:val="00C827F7"/>
    <w:rsid w:val="00C82B75"/>
    <w:rsid w:val="00C8406E"/>
    <w:rsid w:val="00C84D1B"/>
    <w:rsid w:val="00C854B7"/>
    <w:rsid w:val="00C8687B"/>
    <w:rsid w:val="00C91DEB"/>
    <w:rsid w:val="00C927C3"/>
    <w:rsid w:val="00C92DFD"/>
    <w:rsid w:val="00C93204"/>
    <w:rsid w:val="00C935C2"/>
    <w:rsid w:val="00C93E83"/>
    <w:rsid w:val="00C94C4E"/>
    <w:rsid w:val="00C96FD2"/>
    <w:rsid w:val="00C974A3"/>
    <w:rsid w:val="00CA033C"/>
    <w:rsid w:val="00CA1C1C"/>
    <w:rsid w:val="00CA1DD2"/>
    <w:rsid w:val="00CA5FAA"/>
    <w:rsid w:val="00CA6BE8"/>
    <w:rsid w:val="00CB10FB"/>
    <w:rsid w:val="00CB18F1"/>
    <w:rsid w:val="00CB2709"/>
    <w:rsid w:val="00CB3210"/>
    <w:rsid w:val="00CB4330"/>
    <w:rsid w:val="00CB5E3E"/>
    <w:rsid w:val="00CB5FBF"/>
    <w:rsid w:val="00CB6295"/>
    <w:rsid w:val="00CB6775"/>
    <w:rsid w:val="00CB6F89"/>
    <w:rsid w:val="00CB75B5"/>
    <w:rsid w:val="00CC11F5"/>
    <w:rsid w:val="00CC30D0"/>
    <w:rsid w:val="00CC37CD"/>
    <w:rsid w:val="00CC3F17"/>
    <w:rsid w:val="00CC49DC"/>
    <w:rsid w:val="00CC4EE3"/>
    <w:rsid w:val="00CC79CC"/>
    <w:rsid w:val="00CD2AD8"/>
    <w:rsid w:val="00CD3D50"/>
    <w:rsid w:val="00CD44B7"/>
    <w:rsid w:val="00CD44DA"/>
    <w:rsid w:val="00CD48BB"/>
    <w:rsid w:val="00CD5C9E"/>
    <w:rsid w:val="00CD60FA"/>
    <w:rsid w:val="00CD7DEA"/>
    <w:rsid w:val="00CE198B"/>
    <w:rsid w:val="00CE3670"/>
    <w:rsid w:val="00CE3C42"/>
    <w:rsid w:val="00CE3DE3"/>
    <w:rsid w:val="00CE4BB4"/>
    <w:rsid w:val="00CE4D8D"/>
    <w:rsid w:val="00CE504C"/>
    <w:rsid w:val="00CE66E3"/>
    <w:rsid w:val="00CE7FA2"/>
    <w:rsid w:val="00CF05AE"/>
    <w:rsid w:val="00CF1BA6"/>
    <w:rsid w:val="00CF1BF0"/>
    <w:rsid w:val="00CF2051"/>
    <w:rsid w:val="00CF251D"/>
    <w:rsid w:val="00CF36DE"/>
    <w:rsid w:val="00CF37A8"/>
    <w:rsid w:val="00CF5032"/>
    <w:rsid w:val="00CF545B"/>
    <w:rsid w:val="00CF63D9"/>
    <w:rsid w:val="00D012A0"/>
    <w:rsid w:val="00D01DEC"/>
    <w:rsid w:val="00D030FB"/>
    <w:rsid w:val="00D03682"/>
    <w:rsid w:val="00D0493E"/>
    <w:rsid w:val="00D05267"/>
    <w:rsid w:val="00D07EF1"/>
    <w:rsid w:val="00D106C3"/>
    <w:rsid w:val="00D117F9"/>
    <w:rsid w:val="00D1207B"/>
    <w:rsid w:val="00D13143"/>
    <w:rsid w:val="00D14ED9"/>
    <w:rsid w:val="00D15202"/>
    <w:rsid w:val="00D20A01"/>
    <w:rsid w:val="00D23169"/>
    <w:rsid w:val="00D30951"/>
    <w:rsid w:val="00D32FC7"/>
    <w:rsid w:val="00D330BC"/>
    <w:rsid w:val="00D334EB"/>
    <w:rsid w:val="00D350EA"/>
    <w:rsid w:val="00D374EE"/>
    <w:rsid w:val="00D40DF5"/>
    <w:rsid w:val="00D40FAC"/>
    <w:rsid w:val="00D418CD"/>
    <w:rsid w:val="00D41F4A"/>
    <w:rsid w:val="00D450DF"/>
    <w:rsid w:val="00D500AA"/>
    <w:rsid w:val="00D51283"/>
    <w:rsid w:val="00D526C8"/>
    <w:rsid w:val="00D55FDD"/>
    <w:rsid w:val="00D57A3F"/>
    <w:rsid w:val="00D63BB7"/>
    <w:rsid w:val="00D65F3F"/>
    <w:rsid w:val="00D7004C"/>
    <w:rsid w:val="00D70F1E"/>
    <w:rsid w:val="00D712D2"/>
    <w:rsid w:val="00D71441"/>
    <w:rsid w:val="00D72771"/>
    <w:rsid w:val="00D7352C"/>
    <w:rsid w:val="00D739FE"/>
    <w:rsid w:val="00D74F97"/>
    <w:rsid w:val="00D77E70"/>
    <w:rsid w:val="00D804C5"/>
    <w:rsid w:val="00D80B17"/>
    <w:rsid w:val="00D81BDD"/>
    <w:rsid w:val="00D81BE2"/>
    <w:rsid w:val="00D836DF"/>
    <w:rsid w:val="00D84836"/>
    <w:rsid w:val="00D909D7"/>
    <w:rsid w:val="00D920BC"/>
    <w:rsid w:val="00D929B8"/>
    <w:rsid w:val="00D93607"/>
    <w:rsid w:val="00D9444E"/>
    <w:rsid w:val="00D95484"/>
    <w:rsid w:val="00D9759F"/>
    <w:rsid w:val="00DA0299"/>
    <w:rsid w:val="00DA1DD8"/>
    <w:rsid w:val="00DA30D8"/>
    <w:rsid w:val="00DA4472"/>
    <w:rsid w:val="00DA53BB"/>
    <w:rsid w:val="00DA744C"/>
    <w:rsid w:val="00DA7835"/>
    <w:rsid w:val="00DA787A"/>
    <w:rsid w:val="00DB13C6"/>
    <w:rsid w:val="00DB32A6"/>
    <w:rsid w:val="00DB42B1"/>
    <w:rsid w:val="00DB5B70"/>
    <w:rsid w:val="00DB71AE"/>
    <w:rsid w:val="00DC06DB"/>
    <w:rsid w:val="00DC0C5A"/>
    <w:rsid w:val="00DC13EC"/>
    <w:rsid w:val="00DC1B7A"/>
    <w:rsid w:val="00DC2E78"/>
    <w:rsid w:val="00DC4F0F"/>
    <w:rsid w:val="00DC5839"/>
    <w:rsid w:val="00DC67E3"/>
    <w:rsid w:val="00DC70F3"/>
    <w:rsid w:val="00DC7BCA"/>
    <w:rsid w:val="00DD1271"/>
    <w:rsid w:val="00DD1E9D"/>
    <w:rsid w:val="00DD56E7"/>
    <w:rsid w:val="00DD6505"/>
    <w:rsid w:val="00DE2EA3"/>
    <w:rsid w:val="00DE3BA7"/>
    <w:rsid w:val="00DE4880"/>
    <w:rsid w:val="00DE58B3"/>
    <w:rsid w:val="00DE68F1"/>
    <w:rsid w:val="00DE73A5"/>
    <w:rsid w:val="00DE7A35"/>
    <w:rsid w:val="00DF0F04"/>
    <w:rsid w:val="00DF15D5"/>
    <w:rsid w:val="00DF1E62"/>
    <w:rsid w:val="00DF2E77"/>
    <w:rsid w:val="00DF39DC"/>
    <w:rsid w:val="00DF3DED"/>
    <w:rsid w:val="00DF47FE"/>
    <w:rsid w:val="00DF60E4"/>
    <w:rsid w:val="00DF7A7E"/>
    <w:rsid w:val="00E00D04"/>
    <w:rsid w:val="00E021F8"/>
    <w:rsid w:val="00E02487"/>
    <w:rsid w:val="00E06825"/>
    <w:rsid w:val="00E074DD"/>
    <w:rsid w:val="00E07A48"/>
    <w:rsid w:val="00E134A9"/>
    <w:rsid w:val="00E147B6"/>
    <w:rsid w:val="00E151DF"/>
    <w:rsid w:val="00E22703"/>
    <w:rsid w:val="00E22DF1"/>
    <w:rsid w:val="00E237B5"/>
    <w:rsid w:val="00E245EE"/>
    <w:rsid w:val="00E27849"/>
    <w:rsid w:val="00E31015"/>
    <w:rsid w:val="00E33761"/>
    <w:rsid w:val="00E33B29"/>
    <w:rsid w:val="00E34155"/>
    <w:rsid w:val="00E35C11"/>
    <w:rsid w:val="00E40D6B"/>
    <w:rsid w:val="00E4229F"/>
    <w:rsid w:val="00E47C1E"/>
    <w:rsid w:val="00E507DD"/>
    <w:rsid w:val="00E50E47"/>
    <w:rsid w:val="00E53A53"/>
    <w:rsid w:val="00E53CE7"/>
    <w:rsid w:val="00E5469A"/>
    <w:rsid w:val="00E5593C"/>
    <w:rsid w:val="00E562A9"/>
    <w:rsid w:val="00E61659"/>
    <w:rsid w:val="00E61D39"/>
    <w:rsid w:val="00E65FC6"/>
    <w:rsid w:val="00E662F8"/>
    <w:rsid w:val="00E66487"/>
    <w:rsid w:val="00E70462"/>
    <w:rsid w:val="00E70748"/>
    <w:rsid w:val="00E7083E"/>
    <w:rsid w:val="00E70E96"/>
    <w:rsid w:val="00E726A2"/>
    <w:rsid w:val="00E73662"/>
    <w:rsid w:val="00E74575"/>
    <w:rsid w:val="00E74C9E"/>
    <w:rsid w:val="00E76E25"/>
    <w:rsid w:val="00E771BF"/>
    <w:rsid w:val="00E815D5"/>
    <w:rsid w:val="00E818D3"/>
    <w:rsid w:val="00E8205D"/>
    <w:rsid w:val="00E8235A"/>
    <w:rsid w:val="00E83812"/>
    <w:rsid w:val="00E84198"/>
    <w:rsid w:val="00E85BC6"/>
    <w:rsid w:val="00E861F0"/>
    <w:rsid w:val="00E86ED3"/>
    <w:rsid w:val="00E87EB6"/>
    <w:rsid w:val="00E901E0"/>
    <w:rsid w:val="00E91119"/>
    <w:rsid w:val="00E91C20"/>
    <w:rsid w:val="00E95021"/>
    <w:rsid w:val="00E9543D"/>
    <w:rsid w:val="00E96ABD"/>
    <w:rsid w:val="00EA19CF"/>
    <w:rsid w:val="00EA2A49"/>
    <w:rsid w:val="00EA33CD"/>
    <w:rsid w:val="00EB0F27"/>
    <w:rsid w:val="00EB0FE4"/>
    <w:rsid w:val="00EB14E8"/>
    <w:rsid w:val="00EB2975"/>
    <w:rsid w:val="00EB2C84"/>
    <w:rsid w:val="00EB2D63"/>
    <w:rsid w:val="00EB4BBF"/>
    <w:rsid w:val="00EB5951"/>
    <w:rsid w:val="00EB5AB4"/>
    <w:rsid w:val="00EB64C9"/>
    <w:rsid w:val="00EB6778"/>
    <w:rsid w:val="00EB68D3"/>
    <w:rsid w:val="00EB6F20"/>
    <w:rsid w:val="00EC1C88"/>
    <w:rsid w:val="00EC282D"/>
    <w:rsid w:val="00EC2839"/>
    <w:rsid w:val="00EC2A5A"/>
    <w:rsid w:val="00EC4937"/>
    <w:rsid w:val="00EC5705"/>
    <w:rsid w:val="00EC618B"/>
    <w:rsid w:val="00EC7200"/>
    <w:rsid w:val="00EC76C8"/>
    <w:rsid w:val="00EC7762"/>
    <w:rsid w:val="00ED0F08"/>
    <w:rsid w:val="00ED25CF"/>
    <w:rsid w:val="00ED2C9B"/>
    <w:rsid w:val="00ED6388"/>
    <w:rsid w:val="00ED69F6"/>
    <w:rsid w:val="00ED6FA4"/>
    <w:rsid w:val="00ED7AC7"/>
    <w:rsid w:val="00EE0195"/>
    <w:rsid w:val="00EE0EC5"/>
    <w:rsid w:val="00EE28C0"/>
    <w:rsid w:val="00EE5190"/>
    <w:rsid w:val="00EE6291"/>
    <w:rsid w:val="00EF0095"/>
    <w:rsid w:val="00EF0B77"/>
    <w:rsid w:val="00EF0FD6"/>
    <w:rsid w:val="00EF1C7B"/>
    <w:rsid w:val="00EF4C23"/>
    <w:rsid w:val="00EF56AC"/>
    <w:rsid w:val="00EF62CF"/>
    <w:rsid w:val="00EF69D2"/>
    <w:rsid w:val="00F03CA0"/>
    <w:rsid w:val="00F057D5"/>
    <w:rsid w:val="00F06872"/>
    <w:rsid w:val="00F06CF5"/>
    <w:rsid w:val="00F06E5B"/>
    <w:rsid w:val="00F076DC"/>
    <w:rsid w:val="00F07A0D"/>
    <w:rsid w:val="00F116A2"/>
    <w:rsid w:val="00F11B4D"/>
    <w:rsid w:val="00F1207F"/>
    <w:rsid w:val="00F129B3"/>
    <w:rsid w:val="00F12F54"/>
    <w:rsid w:val="00F137B2"/>
    <w:rsid w:val="00F13C83"/>
    <w:rsid w:val="00F14ADC"/>
    <w:rsid w:val="00F14B6E"/>
    <w:rsid w:val="00F159FA"/>
    <w:rsid w:val="00F16772"/>
    <w:rsid w:val="00F1690A"/>
    <w:rsid w:val="00F16C84"/>
    <w:rsid w:val="00F177F6"/>
    <w:rsid w:val="00F203D5"/>
    <w:rsid w:val="00F20A93"/>
    <w:rsid w:val="00F219C0"/>
    <w:rsid w:val="00F22B8F"/>
    <w:rsid w:val="00F22C98"/>
    <w:rsid w:val="00F24576"/>
    <w:rsid w:val="00F25D86"/>
    <w:rsid w:val="00F26916"/>
    <w:rsid w:val="00F27A2D"/>
    <w:rsid w:val="00F32240"/>
    <w:rsid w:val="00F32752"/>
    <w:rsid w:val="00F32776"/>
    <w:rsid w:val="00F32FED"/>
    <w:rsid w:val="00F33592"/>
    <w:rsid w:val="00F447F0"/>
    <w:rsid w:val="00F44D77"/>
    <w:rsid w:val="00F4529A"/>
    <w:rsid w:val="00F4595F"/>
    <w:rsid w:val="00F50025"/>
    <w:rsid w:val="00F50338"/>
    <w:rsid w:val="00F51377"/>
    <w:rsid w:val="00F51BCF"/>
    <w:rsid w:val="00F53E5C"/>
    <w:rsid w:val="00F540D7"/>
    <w:rsid w:val="00F552DC"/>
    <w:rsid w:val="00F559FB"/>
    <w:rsid w:val="00F60414"/>
    <w:rsid w:val="00F608D0"/>
    <w:rsid w:val="00F62E93"/>
    <w:rsid w:val="00F656DE"/>
    <w:rsid w:val="00F67542"/>
    <w:rsid w:val="00F67A92"/>
    <w:rsid w:val="00F70989"/>
    <w:rsid w:val="00F7100E"/>
    <w:rsid w:val="00F7274C"/>
    <w:rsid w:val="00F72778"/>
    <w:rsid w:val="00F72F5B"/>
    <w:rsid w:val="00F73C0B"/>
    <w:rsid w:val="00F74E1E"/>
    <w:rsid w:val="00F76579"/>
    <w:rsid w:val="00F76C0C"/>
    <w:rsid w:val="00F7702E"/>
    <w:rsid w:val="00F77BE1"/>
    <w:rsid w:val="00F80924"/>
    <w:rsid w:val="00F8153C"/>
    <w:rsid w:val="00F81760"/>
    <w:rsid w:val="00F82CC1"/>
    <w:rsid w:val="00F82F9D"/>
    <w:rsid w:val="00F8386D"/>
    <w:rsid w:val="00F84E6F"/>
    <w:rsid w:val="00F85CB5"/>
    <w:rsid w:val="00F86301"/>
    <w:rsid w:val="00F863D0"/>
    <w:rsid w:val="00F924E5"/>
    <w:rsid w:val="00F9477A"/>
    <w:rsid w:val="00F95601"/>
    <w:rsid w:val="00F9687A"/>
    <w:rsid w:val="00F97D69"/>
    <w:rsid w:val="00FA1B4F"/>
    <w:rsid w:val="00FA4C30"/>
    <w:rsid w:val="00FA61DC"/>
    <w:rsid w:val="00FA64F8"/>
    <w:rsid w:val="00FA7EDC"/>
    <w:rsid w:val="00FB0ADC"/>
    <w:rsid w:val="00FB3F44"/>
    <w:rsid w:val="00FB4397"/>
    <w:rsid w:val="00FB4541"/>
    <w:rsid w:val="00FB5660"/>
    <w:rsid w:val="00FB687C"/>
    <w:rsid w:val="00FC06D6"/>
    <w:rsid w:val="00FC11B8"/>
    <w:rsid w:val="00FC1447"/>
    <w:rsid w:val="00FC1EFF"/>
    <w:rsid w:val="00FC1F11"/>
    <w:rsid w:val="00FC430E"/>
    <w:rsid w:val="00FC5B32"/>
    <w:rsid w:val="00FC673A"/>
    <w:rsid w:val="00FC693D"/>
    <w:rsid w:val="00FC7C00"/>
    <w:rsid w:val="00FC7D8A"/>
    <w:rsid w:val="00FD03E3"/>
    <w:rsid w:val="00FD16F2"/>
    <w:rsid w:val="00FD30A2"/>
    <w:rsid w:val="00FD4087"/>
    <w:rsid w:val="00FD42FE"/>
    <w:rsid w:val="00FD4B81"/>
    <w:rsid w:val="00FD551F"/>
    <w:rsid w:val="00FD577B"/>
    <w:rsid w:val="00FD5A66"/>
    <w:rsid w:val="00FD71D3"/>
    <w:rsid w:val="00FD7976"/>
    <w:rsid w:val="00FE03A5"/>
    <w:rsid w:val="00FE0D9D"/>
    <w:rsid w:val="00FE1309"/>
    <w:rsid w:val="00FE15B9"/>
    <w:rsid w:val="00FE2D9E"/>
    <w:rsid w:val="00FE345E"/>
    <w:rsid w:val="00FE46C7"/>
    <w:rsid w:val="00FE55BA"/>
    <w:rsid w:val="00FE6E7A"/>
    <w:rsid w:val="00FE772C"/>
    <w:rsid w:val="00FE787C"/>
    <w:rsid w:val="00FF0466"/>
    <w:rsid w:val="00FF09C8"/>
    <w:rsid w:val="00FF260F"/>
    <w:rsid w:val="00FF2F44"/>
    <w:rsid w:val="00FF3341"/>
    <w:rsid w:val="00FF37E1"/>
    <w:rsid w:val="00FF491B"/>
    <w:rsid w:val="00FF5F11"/>
    <w:rsid w:val="00FF6A2D"/>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v.cz/files/clanky/12643/Analyza_2013.pdf" TargetMode="External"/><Relationship Id="rId13" Type="http://schemas.openxmlformats.org/officeDocument/2006/relationships/hyperlink" Target="mailto:marta.petranova@czs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zso.cz/csu/2013edicniplan.nsf/p/3305-1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bohuslav.mejstrik@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E640-120C-4279-BD48-7B908949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1971</TotalTime>
  <Pages>10</Pages>
  <Words>3354</Words>
  <Characters>19791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23099</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cp:lastModifiedBy>User</cp:lastModifiedBy>
  <cp:revision>486</cp:revision>
  <cp:lastPrinted>2014-04-24T06:06:00Z</cp:lastPrinted>
  <dcterms:created xsi:type="dcterms:W3CDTF">2014-01-06T09:32:00Z</dcterms:created>
  <dcterms:modified xsi:type="dcterms:W3CDTF">2014-04-30T07:23:00Z</dcterms:modified>
</cp:coreProperties>
</file>