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5E5054" w:rsidP="00417198">
      <w:pPr>
        <w:pStyle w:val="Datum0"/>
      </w:pPr>
      <w:r>
        <w:t>4</w:t>
      </w:r>
      <w:r w:rsidR="00552C2F">
        <w:t xml:space="preserve">. </w:t>
      </w:r>
      <w:r>
        <w:t>8</w:t>
      </w:r>
      <w:r w:rsidR="0039500D">
        <w:t>. 2014</w:t>
      </w:r>
    </w:p>
    <w:p w:rsidR="001B4EF5" w:rsidRPr="003C3851" w:rsidRDefault="0009333D" w:rsidP="00417198">
      <w:pPr>
        <w:pStyle w:val="Nzev"/>
      </w:pPr>
      <w:r w:rsidRPr="003C3851">
        <w:t>Vyjížďka ze Středočeského kraje výrazně ovlivňuje celkovou zaměstnanost v Praze</w:t>
      </w:r>
    </w:p>
    <w:p w:rsidR="00276CDB" w:rsidRDefault="0009333D" w:rsidP="00276CDB">
      <w:pPr>
        <w:pStyle w:val="Perex"/>
      </w:pPr>
      <w:r>
        <w:t>Intenzita mezikrajské dojížďky za prací je velmi odlišná.</w:t>
      </w:r>
      <w:r w:rsidR="00E74ED8">
        <w:t xml:space="preserve"> Vysoká je především mezi Prahou a velkou částí Středočeského kraje.</w:t>
      </w:r>
      <w:r>
        <w:t xml:space="preserve"> V jiných krajích republiky tento typ pohybu za prací ovlivňuje zaměstnanost v krajích vyjížďky i</w:t>
      </w:r>
      <w:r w:rsidR="00594346">
        <w:t> </w:t>
      </w:r>
      <w:r>
        <w:t>dojížďky podstatně méně.</w:t>
      </w:r>
    </w:p>
    <w:p w:rsidR="00615A63" w:rsidRDefault="0043258F" w:rsidP="005E5054">
      <w:r>
        <w:t>Z výsledků výběrového šetření pracovních sil (VŠPS) je zřejmý rozdílný vývoj zaměstnanosti v jednotlivých krajích republiky. Tyto diference jsou v prvé řadě důsledkem množství a struktury pracovních příležitostí a z toho vyplývajících možností realizace odborných znalostí a</w:t>
      </w:r>
      <w:r w:rsidR="00594346">
        <w:t> </w:t>
      </w:r>
      <w:r>
        <w:t xml:space="preserve">dovedností. </w:t>
      </w:r>
      <w:r w:rsidR="00243315">
        <w:t>Pohyb za prací je v podmínkách České republiky významným faktorem reagujícím na množství pracovních příležitostí</w:t>
      </w:r>
      <w:r w:rsidR="00615A63">
        <w:t>.</w:t>
      </w:r>
    </w:p>
    <w:p w:rsidR="00615A63" w:rsidRDefault="00615A63" w:rsidP="005E5054"/>
    <w:p w:rsidR="005E5054" w:rsidRDefault="0009333D" w:rsidP="005E5054">
      <w:r>
        <w:t>Data o regionální zaměstnanosti se vztahují k osobám, které mají v příslušném kraji své obvyklé bydliště bez ohledu na to, zda na jeho území svou práci skutečně vykonávají.</w:t>
      </w:r>
      <w:r w:rsidR="0018223B">
        <w:t xml:space="preserve"> Šetření však umožňuje získat bližší představu o rozsahu dojížďky za zaměstnáním přes hranice kraje bydliště respondenta (NUTS3). Ve VŠPS</w:t>
      </w:r>
      <w:r w:rsidR="00154075">
        <w:t xml:space="preserve"> není rozlišována frekvence dojí</w:t>
      </w:r>
      <w:r w:rsidR="0018223B">
        <w:t>ž</w:t>
      </w:r>
      <w:r w:rsidR="00765D7B">
        <w:t>ďky, ale</w:t>
      </w:r>
      <w:r w:rsidR="0018223B">
        <w:t xml:space="preserve"> jedná se většinou o denní pohyb, i když zastoupení například týdenní, měsíční či nepravidelné dojížďky bude vyšší, než je tomu ve vnitrokrajské</w:t>
      </w:r>
      <w:r w:rsidR="00D23402">
        <w:t>,</w:t>
      </w:r>
      <w:r w:rsidR="0018223B">
        <w:t xml:space="preserve"> resp. okresní dojížďce.</w:t>
      </w:r>
    </w:p>
    <w:p w:rsidR="008055E9" w:rsidRDefault="008055E9" w:rsidP="005E5054"/>
    <w:p w:rsidR="008055E9" w:rsidRPr="008055E9" w:rsidRDefault="008055E9" w:rsidP="003B54AB">
      <w:pPr>
        <w:jc w:val="left"/>
        <w:rPr>
          <w:b/>
        </w:rPr>
      </w:pPr>
      <w:r w:rsidRPr="008055E9">
        <w:rPr>
          <w:b/>
        </w:rPr>
        <w:t>A.</w:t>
      </w:r>
      <w:r>
        <w:rPr>
          <w:b/>
        </w:rPr>
        <w:t xml:space="preserve"> </w:t>
      </w:r>
      <w:r w:rsidR="00846916">
        <w:rPr>
          <w:b/>
        </w:rPr>
        <w:t>Za prací vyjíždělo v roce 2013 mimo kraj svého bydliště téměř tři sta tisíc osob</w:t>
      </w:r>
    </w:p>
    <w:p w:rsidR="0018223B" w:rsidRDefault="0018223B" w:rsidP="005E5054">
      <w:r>
        <w:t xml:space="preserve">V roce 2013 vyjíždělo přes hranice kraje bydliště za prací do jiných krajů </w:t>
      </w:r>
      <w:r w:rsidR="00C953B0">
        <w:t>298</w:t>
      </w:r>
      <w:r w:rsidR="00765D7B">
        <w:t xml:space="preserve"> tis. osob, tj. 6 % všech pracujících s bydlištěm na území republiky. </w:t>
      </w:r>
      <w:r w:rsidR="00C953B0">
        <w:t xml:space="preserve">Četnost </w:t>
      </w:r>
      <w:r w:rsidR="0002205F">
        <w:t>dojížďky</w:t>
      </w:r>
      <w:r w:rsidR="00C953B0">
        <w:t xml:space="preserve"> a vyjížďky podle jednotlivých krajů je</w:t>
      </w:r>
      <w:r w:rsidR="00B960E2">
        <w:t xml:space="preserve"> přitom</w:t>
      </w:r>
      <w:r w:rsidR="00C953B0">
        <w:t xml:space="preserve"> velmi odlišná. Zcela mimořádné postavení má Praha, do které v minulém roce dojíždělo za prací z jiných krajů 168 tis. </w:t>
      </w:r>
      <w:r w:rsidR="0002205F">
        <w:t>osob, tj. více než 56 % z celkového objemu mezikrajské dojížďky.</w:t>
      </w:r>
      <w:r w:rsidR="00B960E2">
        <w:t xml:space="preserve"> Každý pátý pracující v Praze bydlí mimo hlavní město.</w:t>
      </w:r>
      <w:r w:rsidR="006D45A4">
        <w:t xml:space="preserve"> Druhým nejčastějším cílem je Středočeský kraj, do kterého dojíždělo za prací 43 tis. osob (více než 14 % mezikra</w:t>
      </w:r>
      <w:r w:rsidR="00E5289E">
        <w:t>jské dojížďky). Mezikrajská dojí</w:t>
      </w:r>
      <w:r w:rsidR="006D45A4">
        <w:t>žďka do jiných regionů republiky je již podstatně nižší</w:t>
      </w:r>
      <w:r w:rsidR="00003444">
        <w:t>. N</w:t>
      </w:r>
      <w:r w:rsidR="00FC743D">
        <w:t>a pracoviště v Jihomoravsk</w:t>
      </w:r>
      <w:r w:rsidR="00003444">
        <w:t>ém kraji dojíždělo 16 tis. osob, v</w:t>
      </w:r>
      <w:r w:rsidR="00FC743D">
        <w:t> ostatních krajích s</w:t>
      </w:r>
      <w:r w:rsidR="00FC3175">
        <w:t xml:space="preserve">e pohybovala dojížďka od 2 tis. </w:t>
      </w:r>
      <w:r w:rsidR="00FC743D">
        <w:t>pra</w:t>
      </w:r>
      <w:r w:rsidR="00FC3175">
        <w:t>cujících do Karlovarského kraje až do</w:t>
      </w:r>
      <w:r w:rsidR="00FC743D">
        <w:t xml:space="preserve"> necelých 10 tis. do Královéhra</w:t>
      </w:r>
      <w:r w:rsidR="00E5289E">
        <w:t>de</w:t>
      </w:r>
      <w:r w:rsidR="00FC743D">
        <w:t>ckého kraje (přitom je třeba respektovat skutečnost, že absolutní hodnoty výsledků výběrového šetření menší než 3 tis. mají nižší spolehlivost</w:t>
      </w:r>
      <w:r w:rsidR="00003444">
        <w:t>)</w:t>
      </w:r>
      <w:r w:rsidR="00FC743D">
        <w:t>.</w:t>
      </w:r>
    </w:p>
    <w:p w:rsidR="00546594" w:rsidRDefault="00546594" w:rsidP="005E5054">
      <w:pPr>
        <w:rPr>
          <w:i/>
          <w:color w:val="FF0000"/>
          <w:sz w:val="18"/>
        </w:rPr>
      </w:pPr>
    </w:p>
    <w:p w:rsidR="006571DC" w:rsidRPr="00594346" w:rsidRDefault="00F16524" w:rsidP="005E5054">
      <w:pPr>
        <w:rPr>
          <w:i/>
          <w:sz w:val="18"/>
        </w:rPr>
      </w:pPr>
      <w:r w:rsidRPr="00594346">
        <w:rPr>
          <w:i/>
          <w:sz w:val="18"/>
        </w:rPr>
        <w:t xml:space="preserve">Metodická poznámka: </w:t>
      </w:r>
      <w:r w:rsidR="006571DC" w:rsidRPr="00594346">
        <w:rPr>
          <w:i/>
          <w:sz w:val="18"/>
        </w:rPr>
        <w:t xml:space="preserve">Počet vyjíždějících za prací je vyšší o případy pracujících v cizině. Tito pracující jsou však v šetření v bytových domácnostech podchyceni pouze částečně, protože v řadě případů nemohli být ani kontaktováni. Z dostupných </w:t>
      </w:r>
      <w:r w:rsidR="00083865">
        <w:rPr>
          <w:i/>
          <w:sz w:val="18"/>
        </w:rPr>
        <w:t>údajů</w:t>
      </w:r>
      <w:r w:rsidR="006571DC" w:rsidRPr="00594346">
        <w:rPr>
          <w:i/>
          <w:sz w:val="18"/>
        </w:rPr>
        <w:t xml:space="preserve"> je zřejmé, že vyjížďka za prací do ciziny hraje větší roli </w:t>
      </w:r>
      <w:r w:rsidR="00CA40B4" w:rsidRPr="00594346">
        <w:rPr>
          <w:i/>
          <w:sz w:val="18"/>
        </w:rPr>
        <w:t>v Karlovarském, Plzeňském, Jihočeském a Jihomoravském kraji, kde se jedná převážně o tzv. pendlery, kteří dojíždějí za prací</w:t>
      </w:r>
      <w:r w:rsidR="009332D6" w:rsidRPr="00594346">
        <w:rPr>
          <w:i/>
          <w:sz w:val="18"/>
        </w:rPr>
        <w:t xml:space="preserve"> denně nebo v kratších cyklech</w:t>
      </w:r>
      <w:r w:rsidR="00CA40B4" w:rsidRPr="00594346">
        <w:rPr>
          <w:i/>
          <w:sz w:val="18"/>
        </w:rPr>
        <w:t>. Vesměs jde o pracovníky, kteří našli své uplatnění v sousedním Německu</w:t>
      </w:r>
      <w:r w:rsidR="004117A2">
        <w:rPr>
          <w:i/>
          <w:sz w:val="18"/>
        </w:rPr>
        <w:t>,</w:t>
      </w:r>
      <w:r w:rsidR="00CA40B4" w:rsidRPr="00594346">
        <w:rPr>
          <w:i/>
          <w:sz w:val="18"/>
        </w:rPr>
        <w:t xml:space="preserve"> resp. Rakousku. Protože výběrové šetření je prováděno pouze v bytových domácnostech a předmětem šetření nejs</w:t>
      </w:r>
      <w:r w:rsidR="0092037E" w:rsidRPr="00594346">
        <w:rPr>
          <w:i/>
          <w:sz w:val="18"/>
        </w:rPr>
        <w:t xml:space="preserve">ou osoby v ubytovacích zařízeních, jsou </w:t>
      </w:r>
      <w:r w:rsidR="00CA40B4" w:rsidRPr="00594346">
        <w:rPr>
          <w:i/>
          <w:sz w:val="18"/>
        </w:rPr>
        <w:t>další kategorie pracujících, především cizí státn</w:t>
      </w:r>
      <w:r w:rsidR="00717BEF">
        <w:rPr>
          <w:i/>
          <w:sz w:val="18"/>
        </w:rPr>
        <w:t>í příslušníci, podchyceni jen z</w:t>
      </w:r>
      <w:r w:rsidR="00CA40B4" w:rsidRPr="00594346">
        <w:rPr>
          <w:i/>
          <w:sz w:val="18"/>
        </w:rPr>
        <w:t xml:space="preserve"> části. Zvolený postup však věrohodně dokumentuje mezikrajský pohyb respondentů, kteří žijí v bytových domácnostech a to jsou převážně čeští státní příslušníci.</w:t>
      </w:r>
    </w:p>
    <w:p w:rsidR="008055E9" w:rsidRPr="00594346" w:rsidRDefault="008055E9" w:rsidP="005E5054">
      <w:pPr>
        <w:rPr>
          <w:sz w:val="18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59"/>
        <w:gridCol w:w="2048"/>
        <w:gridCol w:w="139"/>
        <w:gridCol w:w="1910"/>
        <w:gridCol w:w="306"/>
        <w:gridCol w:w="1743"/>
      </w:tblGrid>
      <w:tr w:rsidR="008055E9" w:rsidRPr="00594346" w:rsidTr="00191400">
        <w:trPr>
          <w:trHeight w:val="255"/>
          <w:jc w:val="center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94346">
              <w:rPr>
                <w:rFonts w:eastAsia="Times New Roman" w:cs="Arial"/>
                <w:b/>
                <w:bCs/>
                <w:szCs w:val="20"/>
                <w:lang w:eastAsia="cs-CZ"/>
              </w:rPr>
              <w:t>Počet vyjíždějících a dojíždějících z a do jednotlivých krajů ČR v roce 2013</w:t>
            </w:r>
          </w:p>
        </w:tc>
      </w:tr>
      <w:tr w:rsidR="008055E9" w:rsidRPr="00594346" w:rsidTr="00191400">
        <w:trPr>
          <w:trHeight w:val="270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8055E9" w:rsidRPr="00594346" w:rsidTr="00191400">
        <w:trPr>
          <w:trHeight w:val="390"/>
          <w:jc w:val="center"/>
        </w:trPr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E9" w:rsidRPr="00594346" w:rsidRDefault="008055E9" w:rsidP="0019140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E9" w:rsidRPr="00594346" w:rsidRDefault="008055E9" w:rsidP="0019140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Počet vyjíždějících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E9" w:rsidRPr="00594346" w:rsidRDefault="008055E9" w:rsidP="0019140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Počet dojíždějících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E9" w:rsidRPr="00594346" w:rsidRDefault="008055E9" w:rsidP="0019140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Saldo dojížďky</w:t>
            </w:r>
          </w:p>
        </w:tc>
      </w:tr>
      <w:tr w:rsidR="008055E9" w:rsidRPr="00594346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167,9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142,6 </w:t>
            </w:r>
          </w:p>
        </w:tc>
      </w:tr>
      <w:tr w:rsidR="008055E9" w:rsidRPr="00594346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131,7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>42,5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94346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4346">
              <w:rPr>
                <w:rFonts w:eastAsia="Times New Roman" w:cs="Arial"/>
                <w:sz w:val="16"/>
                <w:szCs w:val="16"/>
                <w:lang w:eastAsia="cs-CZ"/>
              </w:rPr>
              <w:t xml:space="preserve">-89,1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Jihočeský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-2,6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-3,4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-9,0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-8,5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Královéhradecký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-7,4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Pardubický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-5,0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Vysočina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-6,4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Jihomoravský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-0,2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Olomoucký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-2,5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Zlínský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-2,8 </w:t>
            </w: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Moravskoslezský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46594">
              <w:rPr>
                <w:rFonts w:eastAsia="Times New Roman" w:cs="Arial"/>
                <w:sz w:val="16"/>
                <w:szCs w:val="16"/>
                <w:lang w:eastAsia="cs-CZ"/>
              </w:rPr>
              <w:t xml:space="preserve">-3,5 </w:t>
            </w:r>
          </w:p>
        </w:tc>
      </w:tr>
      <w:tr w:rsidR="008055E9" w:rsidRPr="00546594" w:rsidTr="00191400">
        <w:trPr>
          <w:trHeight w:val="120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055E9" w:rsidRPr="00546594" w:rsidTr="00191400">
        <w:trPr>
          <w:trHeight w:val="255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546594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ČSÚ-VŠPS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E9" w:rsidRPr="00546594" w:rsidRDefault="008055E9" w:rsidP="00191400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5E5054" w:rsidRDefault="005E5054" w:rsidP="005E5054"/>
    <w:p w:rsidR="00045796" w:rsidRDefault="00045796" w:rsidP="005E5054">
      <w:r>
        <w:t>Údaje o mezikrajské pracovní dojížďce byly publikovány i za 3. čtvrtletí 2009. Metodika šetření byla shodná a při nižší sezónnosti v </w:t>
      </w:r>
      <w:r w:rsidR="00BF3F5B">
        <w:t>dojížďce</w:t>
      </w:r>
      <w:r>
        <w:t xml:space="preserve"> tohoto typu jsou výsledky dobře srovnatelné.</w:t>
      </w:r>
      <w:r w:rsidR="00220993">
        <w:t xml:space="preserve"> Proti roku 2009 se v roce 2013 výrazně zvýšilo kladné saldo </w:t>
      </w:r>
      <w:r w:rsidR="00BF3F5B">
        <w:t>dojížďky</w:t>
      </w:r>
      <w:r w:rsidR="00220993">
        <w:t xml:space="preserve"> do Prahy a záporné saldo ve Středočeském kraji, </w:t>
      </w:r>
      <w:r w:rsidR="006571DC">
        <w:t>v ostatních krajích při beztak nižší úrovni se změnilo málo.</w:t>
      </w:r>
    </w:p>
    <w:p w:rsidR="00821870" w:rsidRDefault="00821870" w:rsidP="005E5054"/>
    <w:p w:rsidR="0066715A" w:rsidRDefault="00821870" w:rsidP="005E5054">
      <w:r>
        <w:t>Zdaleka nejsilnější vazbu mají Praha a Středočeský kraj. Do Prahy dojíždělo v roce 2013 ze Středočeského kraje 127 tis. pracujících, to je proti roku 2009 o téměř 30 tis. osob více. Protisměrně vyjíždělo v minulém roce z Prahy do Středočeského kraje 21 tis. osob</w:t>
      </w:r>
      <w:r w:rsidR="006A527F">
        <w:t xml:space="preserve"> a proti roku 2009 se</w:t>
      </w:r>
      <w:r w:rsidR="00B738AE">
        <w:t xml:space="preserve"> jejich počet také zvýšil</w:t>
      </w:r>
      <w:r w:rsidR="006A527F">
        <w:t xml:space="preserve">, a to o 6 tis. pracujících. </w:t>
      </w:r>
      <w:r w:rsidR="009C0905">
        <w:t>Významnější byla v minulém roce</w:t>
      </w:r>
      <w:r w:rsidR="00D25CB5">
        <w:t xml:space="preserve"> ještě</w:t>
      </w:r>
      <w:r w:rsidR="009C0905">
        <w:t xml:space="preserve"> dojížďka do Prahy z Ústeckého kraje, z Libereckého do Středočeského kraje, vzájemná dojížďka mezi Královéhradeckým a Pardubickým krajem a vyjížďka z</w:t>
      </w:r>
      <w:r w:rsidR="000875F3">
        <w:t> </w:t>
      </w:r>
      <w:r w:rsidR="009C0905">
        <w:t>Kraje</w:t>
      </w:r>
      <w:r w:rsidR="000875F3">
        <w:t> </w:t>
      </w:r>
      <w:r w:rsidR="009C0905">
        <w:t>Vysočina do Jihomoravského kraje. Ve všech uvedených případech se počet dojíždějících pohyboval v intervalu od 5</w:t>
      </w:r>
      <w:r w:rsidR="00B028FD">
        <w:noBreakHyphen/>
      </w:r>
      <w:r w:rsidR="009C0905">
        <w:t>6 tis. osob.</w:t>
      </w:r>
    </w:p>
    <w:p w:rsidR="006C35A5" w:rsidRDefault="006C35A5" w:rsidP="005E5054"/>
    <w:p w:rsidR="00D3790D" w:rsidRDefault="00282F16" w:rsidP="005E5054">
      <w:r>
        <w:t xml:space="preserve">Všechny kraje s výjimkou Prahy vykazují záporné saldo mezikrajské dojížďky, </w:t>
      </w:r>
      <w:r w:rsidR="00851807">
        <w:t>i když v některých případech je minimální</w:t>
      </w:r>
      <w:r w:rsidR="007874A2">
        <w:t>.</w:t>
      </w:r>
      <w:r w:rsidR="0021298F">
        <w:t xml:space="preserve"> </w:t>
      </w:r>
      <w:r w:rsidR="00243730">
        <w:t>Celkov</w:t>
      </w:r>
      <w:r w:rsidR="00AA585B">
        <w:t>ě</w:t>
      </w:r>
      <w:r w:rsidR="00243730">
        <w:t xml:space="preserve"> vyjíždějí za prací častěji muži než ženy (v poměru dva ku jedné).</w:t>
      </w:r>
      <w:r w:rsidR="0021298F">
        <w:t xml:space="preserve"> </w:t>
      </w:r>
      <w:r w:rsidR="00EF4E0F">
        <w:t xml:space="preserve">V porovnání s rokem 2009 </w:t>
      </w:r>
      <w:r w:rsidR="00EB0EC0">
        <w:t>lze</w:t>
      </w:r>
      <w:r w:rsidR="00243730">
        <w:t xml:space="preserve"> však</w:t>
      </w:r>
      <w:r w:rsidR="00EB0EC0">
        <w:t xml:space="preserve"> pozorovat </w:t>
      </w:r>
      <w:r w:rsidR="00623ECC">
        <w:t>vysoký</w:t>
      </w:r>
      <w:r w:rsidR="00EF4E0F">
        <w:t xml:space="preserve"> nárůst počtu žen</w:t>
      </w:r>
      <w:r w:rsidR="004D0B2B">
        <w:t xml:space="preserve"> vyjíždějících do hlavního měst</w:t>
      </w:r>
      <w:r w:rsidR="00EF4E0F">
        <w:t>a ze Středočeského</w:t>
      </w:r>
      <w:r w:rsidR="008549AF">
        <w:t xml:space="preserve"> kraje. Kladné saldo ženské dojí</w:t>
      </w:r>
      <w:r w:rsidR="00EF4E0F">
        <w:t>žďky do Prahy</w:t>
      </w:r>
      <w:r w:rsidR="00C00CC9">
        <w:t xml:space="preserve"> tak</w:t>
      </w:r>
      <w:r w:rsidR="00EF4E0F">
        <w:t xml:space="preserve"> </w:t>
      </w:r>
      <w:r w:rsidR="005F426B">
        <w:t xml:space="preserve">celkově </w:t>
      </w:r>
      <w:r w:rsidR="00EF4E0F">
        <w:t>vzrostlo za čtyři roky o</w:t>
      </w:r>
      <w:r w:rsidR="00594346">
        <w:t> </w:t>
      </w:r>
      <w:r w:rsidR="00EF4E0F">
        <w:t xml:space="preserve">12 tis. a v roce 2013 se již přiblížilo k hranici 60 tis. Tomu odpovídá i </w:t>
      </w:r>
      <w:r w:rsidR="00C34DD8">
        <w:t xml:space="preserve">vývoj záporného salda </w:t>
      </w:r>
      <w:r w:rsidR="00EF4E0F">
        <w:t>dojížďky ve Středočeském kraji</w:t>
      </w:r>
      <w:r w:rsidR="00C339B8">
        <w:t>, ve kterém</w:t>
      </w:r>
      <w:r w:rsidR="00C34DD8">
        <w:t xml:space="preserve"> je</w:t>
      </w:r>
      <w:r w:rsidR="00C339B8">
        <w:t xml:space="preserve"> záporné saldo dojížďky mužů a žen již prakticky </w:t>
      </w:r>
      <w:r w:rsidR="00C339B8" w:rsidRPr="00C339B8">
        <w:t>shodné</w:t>
      </w:r>
      <w:r w:rsidR="00EF4E0F" w:rsidRPr="00C339B8">
        <w:t xml:space="preserve"> </w:t>
      </w:r>
      <w:r w:rsidR="0062271A" w:rsidRPr="00C339B8">
        <w:t>(po téměř 45 tisících</w:t>
      </w:r>
      <w:r w:rsidR="00C339B8" w:rsidRPr="00C339B8">
        <w:t>)</w:t>
      </w:r>
      <w:r w:rsidR="0062271A" w:rsidRPr="00C339B8">
        <w:t>.</w:t>
      </w:r>
      <w:r w:rsidR="0062271A">
        <w:rPr>
          <w:color w:val="FF0000"/>
        </w:rPr>
        <w:t xml:space="preserve"> </w:t>
      </w:r>
      <w:r w:rsidR="0062271A">
        <w:t>Tento vývoj ovlivnila mimo jiné i</w:t>
      </w:r>
      <w:r w:rsidR="00AD6623">
        <w:t> </w:t>
      </w:r>
      <w:r w:rsidR="0062271A">
        <w:t>skutečnost, že se z Prahy do tohoto regionu stěhují především mladší lidé s malými dětmi, resp. ti, kteří zakládají v novém bydlišti rodiny</w:t>
      </w:r>
      <w:r w:rsidR="00AA585B">
        <w:t>,</w:t>
      </w:r>
      <w:r w:rsidR="0062271A">
        <w:t xml:space="preserve"> a po ukončení rodičovské dovolené </w:t>
      </w:r>
      <w:r w:rsidR="00EA6445">
        <w:t>nastupují</w:t>
      </w:r>
      <w:r w:rsidR="0062271A">
        <w:t xml:space="preserve"> matky znovu do zaměstnání.</w:t>
      </w:r>
    </w:p>
    <w:p w:rsidR="0062271A" w:rsidRDefault="0062271A" w:rsidP="005E5054"/>
    <w:tbl>
      <w:tblPr>
        <w:tblW w:w="8505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477"/>
        <w:gridCol w:w="1634"/>
        <w:gridCol w:w="1197"/>
        <w:gridCol w:w="1197"/>
      </w:tblGrid>
      <w:tr w:rsidR="00BB488A" w:rsidRPr="00BB488A" w:rsidTr="00BB488A">
        <w:trPr>
          <w:trHeight w:val="510"/>
          <w:jc w:val="center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B488A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Saldo mezikrajské dojížďky mužů a žen za zaměstnáním v roce 2013 </w:t>
            </w:r>
            <w:r w:rsidRPr="00BB488A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(bez vyjížďky do zahraničí)</w:t>
            </w:r>
          </w:p>
        </w:tc>
      </w:tr>
      <w:tr w:rsidR="00BB488A" w:rsidRPr="00BB488A" w:rsidTr="00BB488A">
        <w:trPr>
          <w:trHeight w:val="270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BB488A" w:rsidRPr="00BB488A" w:rsidTr="00BB488A">
        <w:trPr>
          <w:trHeight w:val="540"/>
          <w:jc w:val="center"/>
        </w:trPr>
        <w:tc>
          <w:tcPr>
            <w:tcW w:w="43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38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Saldo dojížďky</w:t>
            </w:r>
          </w:p>
        </w:tc>
      </w:tr>
      <w:tr w:rsidR="00BB488A" w:rsidRPr="00BB488A" w:rsidTr="00BB488A">
        <w:trPr>
          <w:trHeight w:val="270"/>
          <w:jc w:val="center"/>
        </w:trPr>
        <w:tc>
          <w:tcPr>
            <w:tcW w:w="4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88A" w:rsidRPr="00BB488A" w:rsidRDefault="00BB488A" w:rsidP="00BB48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142,6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59,3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-89,1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-44,7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-44,5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Jihočeský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-1,1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-0,9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-2,6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-1,2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-1,4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-3,4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-2,6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-0,8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-9,0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-7,2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-1,8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-8,5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-6,8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-1,7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Královéhradecký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-7,4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-5,0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-2,4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Pardubický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-5,0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-3,7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-1,3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Vysočina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-6,4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-4,1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-2,3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Jihomoravský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-0,2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-1,1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Olomoucký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-2,5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-1,8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-0,8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Zlínský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-0,4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-2,5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Moravskoslezský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-3,5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488A">
              <w:rPr>
                <w:rFonts w:eastAsia="Times New Roman" w:cs="Arial"/>
                <w:sz w:val="16"/>
                <w:szCs w:val="16"/>
                <w:lang w:eastAsia="cs-CZ"/>
              </w:rPr>
              <w:t xml:space="preserve">-1,5 </w:t>
            </w:r>
          </w:p>
        </w:tc>
      </w:tr>
      <w:tr w:rsidR="00BB488A" w:rsidRPr="00BB488A" w:rsidTr="00BB488A">
        <w:trPr>
          <w:trHeight w:val="120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B488A" w:rsidRPr="00BB488A" w:rsidTr="00BB488A">
        <w:trPr>
          <w:trHeight w:val="255"/>
          <w:jc w:val="center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831780" w:rsidP="00BB488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</w:t>
            </w:r>
            <w:r w:rsidR="00BB488A" w:rsidRPr="00BB488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SÚ-VŠPS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8A" w:rsidRPr="00BB488A" w:rsidRDefault="00BB488A" w:rsidP="00BB488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2271A" w:rsidRDefault="0062271A" w:rsidP="005E5054">
      <w:pPr>
        <w:rPr>
          <w:color w:val="FF0000"/>
        </w:rPr>
      </w:pPr>
    </w:p>
    <w:p w:rsidR="003D5E9A" w:rsidRPr="003D5E9A" w:rsidRDefault="003D5E9A" w:rsidP="004A336F">
      <w:pPr>
        <w:jc w:val="left"/>
        <w:rPr>
          <w:b/>
        </w:rPr>
      </w:pPr>
      <w:r>
        <w:rPr>
          <w:b/>
        </w:rPr>
        <w:t>B. Za prací do jiného kraje vyjíždějí často mladší v produktivním věku s vyšším vzděláním</w:t>
      </w:r>
    </w:p>
    <w:p w:rsidR="0062271A" w:rsidRDefault="00736AAB" w:rsidP="005E5054">
      <w:r>
        <w:t>Skupina vyjíždějících za prací přes hranice kraje svého obvyklého bydliště vykazuje některé odlišné rysy od skupiny všech osob</w:t>
      </w:r>
      <w:r w:rsidR="00BE23B1">
        <w:t xml:space="preserve"> s jediným nebo hlavním zaměstnáním v České republice</w:t>
      </w:r>
      <w:r>
        <w:t xml:space="preserve">. </w:t>
      </w:r>
      <w:r w:rsidR="005F05AA" w:rsidRPr="00BB488A">
        <w:t>Za prvé,</w:t>
      </w:r>
      <w:r w:rsidR="005F05AA">
        <w:t xml:space="preserve"> vyjíždějící do jiného kraje jsou podstatně mladší. Jestliže se podílejí osoby do 34 let </w:t>
      </w:r>
      <w:r w:rsidR="00E6174B">
        <w:t xml:space="preserve">na celkové zaměstnanosti </w:t>
      </w:r>
      <w:r w:rsidR="005F05AA">
        <w:t xml:space="preserve">necelými </w:t>
      </w:r>
      <w:r w:rsidR="00BE23B1">
        <w:t>třiceti procenty</w:t>
      </w:r>
      <w:r w:rsidR="005F05AA">
        <w:t>, ve skupině vyjíždějících to bylo 37 %. Je však třeba uvést, že</w:t>
      </w:r>
      <w:r w:rsidR="007A5540">
        <w:t xml:space="preserve"> se</w:t>
      </w:r>
      <w:r w:rsidR="005F05AA">
        <w:t xml:space="preserve"> </w:t>
      </w:r>
      <w:r w:rsidR="007A5540">
        <w:t xml:space="preserve">podíl </w:t>
      </w:r>
      <w:r w:rsidR="005F05AA">
        <w:t>mladých</w:t>
      </w:r>
      <w:r w:rsidR="007A5540">
        <w:t xml:space="preserve"> v porovnání s rokem 2009</w:t>
      </w:r>
      <w:r w:rsidR="008C59E1">
        <w:t xml:space="preserve"> snížil, což souvisí s posuny ve věkové skladbě obyvatelstva a dlouhodobými migračními pohyby.</w:t>
      </w:r>
    </w:p>
    <w:p w:rsidR="008C59E1" w:rsidRDefault="008C59E1" w:rsidP="005E5054"/>
    <w:p w:rsidR="001A78A2" w:rsidRDefault="008C59E1" w:rsidP="005E5054">
      <w:r>
        <w:t>Za hranice kraje bydliště vyjíždějí většinou osoby se středním stupněm vzdělání, tedy osoby s maturit</w:t>
      </w:r>
      <w:r w:rsidR="00C85E38">
        <w:t>o</w:t>
      </w:r>
      <w:r>
        <w:t xml:space="preserve">u </w:t>
      </w:r>
      <w:r w:rsidR="006A2351">
        <w:t>nebo vyučení (ISCED 3, </w:t>
      </w:r>
      <w:r>
        <w:t xml:space="preserve">4). Jejich podíl na počtu vyjíždějících </w:t>
      </w:r>
      <w:r w:rsidR="003F6B93">
        <w:t xml:space="preserve">dosahoval </w:t>
      </w:r>
      <w:r w:rsidR="00BE23B1">
        <w:t>62</w:t>
      </w:r>
      <w:r w:rsidR="003F6B93">
        <w:t> %, zatímco osoby s touto úrovní vzdělání se podílely na celkovém počtu osob s hlavním zaměstnáním téměř třemi čtvrtinami. Tato diference se zrcadlově odráží v podílu vysokoškolsky vzdělaných osob (</w:t>
      </w:r>
      <w:r w:rsidR="006A2351">
        <w:t>ISCED 5, </w:t>
      </w:r>
      <w:r w:rsidR="003F6B93">
        <w:t>6). Zatímco v celém národním hospodářství dosáhl podíl pracujících s</w:t>
      </w:r>
      <w:r w:rsidR="001A78A2">
        <w:t xml:space="preserve"> touto</w:t>
      </w:r>
      <w:r w:rsidR="003F6B93">
        <w:t> úrovní vzdělání 22 %, ve skupině vyjíždějících přes hranice kraje bydliště to byla</w:t>
      </w:r>
      <w:r w:rsidR="001A78A2">
        <w:t xml:space="preserve"> více než</w:t>
      </w:r>
      <w:r w:rsidR="003F6B93">
        <w:t xml:space="preserve"> třetina všech respondentů.</w:t>
      </w:r>
    </w:p>
    <w:p w:rsidR="00EC6EB2" w:rsidRDefault="00EC6EB2" w:rsidP="005E5054">
      <w:r>
        <w:br w:type="page"/>
      </w:r>
    </w:p>
    <w:tbl>
      <w:tblPr>
        <w:tblW w:w="858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"/>
        <w:gridCol w:w="1434"/>
        <w:gridCol w:w="1504"/>
        <w:gridCol w:w="1698"/>
        <w:gridCol w:w="659"/>
        <w:gridCol w:w="2358"/>
      </w:tblGrid>
      <w:tr w:rsidR="002A7C15" w:rsidRPr="002A7C15" w:rsidTr="00EC6EB2">
        <w:trPr>
          <w:trHeight w:val="510"/>
          <w:jc w:val="center"/>
        </w:trPr>
        <w:tc>
          <w:tcPr>
            <w:tcW w:w="8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C15" w:rsidRPr="00EC6EB2" w:rsidRDefault="00EC6EB2" w:rsidP="00EC6EB2">
            <w:pPr>
              <w:spacing w:line="240" w:lineRule="auto"/>
              <w:jc w:val="left"/>
            </w:pPr>
            <w:r>
              <w:br w:type="page"/>
            </w:r>
            <w:r>
              <w:br w:type="page"/>
            </w:r>
            <w:r>
              <w:br w:type="page"/>
            </w:r>
            <w:r w:rsidR="002A7C15" w:rsidRPr="002A7C1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Porovnání skupiny vyjíždějících za prací přes hranice kraje bydliště </w:t>
            </w:r>
            <w:r w:rsidR="002A7C15" w:rsidRPr="002A7C15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se strukturou všech pracujících v národním hospodářství v roce 2013</w:t>
            </w:r>
          </w:p>
        </w:tc>
      </w:tr>
      <w:tr w:rsidR="002A7C15" w:rsidRPr="002A7C15" w:rsidTr="00EC6EB2">
        <w:trPr>
          <w:trHeight w:val="27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2A7C15" w:rsidRPr="002A7C15" w:rsidTr="00EC6EB2">
        <w:trPr>
          <w:trHeight w:val="840"/>
          <w:jc w:val="center"/>
        </w:trPr>
        <w:tc>
          <w:tcPr>
            <w:tcW w:w="3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Vyjíždějící za prací </w:t>
            </w: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br/>
              <w:t>přes hranice kraje bydliště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Celkový počet pracujících </w:t>
            </w: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br/>
              <w:t>s bydlištěm v ČR</w:t>
            </w:r>
          </w:p>
        </w:tc>
      </w:tr>
      <w:tr w:rsidR="002A7C15" w:rsidRPr="002A7C15" w:rsidTr="00EC6EB2">
        <w:trPr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do 34 let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29,0 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35-59 let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64,7 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60 a vice let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6,3 </w:t>
            </w:r>
          </w:p>
        </w:tc>
      </w:tr>
      <w:tr w:rsidR="002A7C15" w:rsidRPr="002A7C15" w:rsidTr="00EC6EB2">
        <w:trPr>
          <w:trHeight w:val="300"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Stupeň vzdělání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ISCED 0-2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ISCED 3-4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73,5 </w:t>
            </w: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ISCED 5-6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A7C15">
              <w:rPr>
                <w:rFonts w:eastAsia="Times New Roman" w:cs="Arial"/>
                <w:sz w:val="16"/>
                <w:szCs w:val="16"/>
                <w:lang w:eastAsia="cs-CZ"/>
              </w:rPr>
              <w:t xml:space="preserve">22,3 </w:t>
            </w:r>
          </w:p>
        </w:tc>
      </w:tr>
      <w:tr w:rsidR="002A7C15" w:rsidRPr="002A7C15" w:rsidTr="00EC6EB2">
        <w:trPr>
          <w:trHeight w:val="12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A7C15" w:rsidRPr="002A7C15" w:rsidTr="00EC6EB2">
        <w:trPr>
          <w:trHeight w:val="255"/>
          <w:jc w:val="center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831780" w:rsidP="002A7C1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</w:t>
            </w:r>
            <w:r w:rsidR="002A7C15" w:rsidRPr="002A7C1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SÚ-VŠPS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15" w:rsidRPr="002A7C15" w:rsidRDefault="002A7C15" w:rsidP="002A7C1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2A7C15" w:rsidRDefault="002A7C15" w:rsidP="005E5054"/>
    <w:p w:rsidR="0062271A" w:rsidRDefault="005B7299" w:rsidP="00EC6EB2">
      <w:r>
        <w:t xml:space="preserve">Za prací vyjíždějí především pracující v zaměstnáních, která vyžadují vyšší úroveň formálního vzdělání. Jsou to skupiny řídících pracovníků, specialistů a technických a odborných pracovníků. </w:t>
      </w:r>
      <w:r w:rsidR="003456A3">
        <w:t>V menší míře se to týká i</w:t>
      </w:r>
      <w:r w:rsidR="00594346">
        <w:t> </w:t>
      </w:r>
      <w:r w:rsidR="003456A3">
        <w:t>úředníků.</w:t>
      </w:r>
      <w:r w:rsidR="00B00705">
        <w:t xml:space="preserve"> </w:t>
      </w:r>
      <w:r w:rsidR="000918B7">
        <w:t>V uvedených zaměstnáních pracova</w:t>
      </w:r>
      <w:r w:rsidR="0054324A">
        <w:t>ly dvě třetiny všech mezikrajsky</w:t>
      </w:r>
      <w:r w:rsidR="000918B7">
        <w:t xml:space="preserve"> dojíždějících, tj. o 15 procentních bodů </w:t>
      </w:r>
      <w:r w:rsidR="0054324A">
        <w:t>vyšší podíl</w:t>
      </w:r>
      <w:r w:rsidR="000918B7">
        <w:t xml:space="preserve"> než v celé skupině pracujících v republice.</w:t>
      </w:r>
      <w:r w:rsidR="000918B7" w:rsidRPr="000918B7">
        <w:t xml:space="preserve"> </w:t>
      </w:r>
      <w:r w:rsidR="000918B7">
        <w:t>Naopak méně jsou v mezikrajské dojížďce zastoupeny všechny další hlavní třídy CZ</w:t>
      </w:r>
      <w:r w:rsidR="000918B7">
        <w:noBreakHyphen/>
        <w:t>ISCO jako pracovníci ve službách a prodeji, řemeslníci a opraváři, pracovníci obsluhy strojů a zařízení a pomocní a nekvalifikovaní pracovníci.</w:t>
      </w:r>
    </w:p>
    <w:p w:rsidR="001A78A2" w:rsidRDefault="001A78A2" w:rsidP="005E5054"/>
    <w:p w:rsidR="00AB7335" w:rsidRDefault="00CD011C" w:rsidP="00CD011C">
      <w:pPr>
        <w:jc w:val="center"/>
      </w:pPr>
      <w:r w:rsidRPr="00CD011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51pt">
            <v:imagedata r:id="rId8" o:title=""/>
          </v:shape>
        </w:pict>
      </w:r>
    </w:p>
    <w:p w:rsidR="00EC6EB2" w:rsidRDefault="00EC6EB2" w:rsidP="005E5054"/>
    <w:p w:rsidR="006F6C25" w:rsidRDefault="00085912" w:rsidP="005E5054">
      <w:r>
        <w:t>Pracujíc</w:t>
      </w:r>
      <w:r w:rsidR="000D43C1">
        <w:t>í</w:t>
      </w:r>
      <w:r w:rsidR="006F6C25">
        <w:t xml:space="preserve"> </w:t>
      </w:r>
      <w:r w:rsidR="002C64AA">
        <w:t xml:space="preserve">vyjíždějící </w:t>
      </w:r>
      <w:r w:rsidR="006F6C25">
        <w:t>přes hranice kraje jsou tedy relativně mladší a vzdělanější a zajímavá je i</w:t>
      </w:r>
      <w:r w:rsidR="00594346">
        <w:t> </w:t>
      </w:r>
      <w:r w:rsidR="006F6C25">
        <w:t>skutečnost, že se jedná převážně o zaměstnance.</w:t>
      </w:r>
      <w:r>
        <w:t xml:space="preserve"> </w:t>
      </w:r>
      <w:r w:rsidR="008D2CDF">
        <w:t>Jestliže se zaměstnanci podíleli na celkové zaměstnanosti v </w:t>
      </w:r>
      <w:r>
        <w:t xml:space="preserve">minulém roce 82 %, tak jejich podíl ve skupině mezikrajsky vyjíždějících za prací dosáhl </w:t>
      </w:r>
      <w:r w:rsidR="008D2CDF">
        <w:t xml:space="preserve">více než </w:t>
      </w:r>
      <w:r>
        <w:t>90 %.</w:t>
      </w:r>
    </w:p>
    <w:p w:rsidR="008036C3" w:rsidRDefault="008036C3" w:rsidP="005E5054"/>
    <w:p w:rsidR="003B54AB" w:rsidRPr="003B54AB" w:rsidRDefault="003B54AB" w:rsidP="003B54AB">
      <w:pPr>
        <w:jc w:val="left"/>
        <w:rPr>
          <w:b/>
        </w:rPr>
      </w:pPr>
      <w:r>
        <w:rPr>
          <w:b/>
        </w:rPr>
        <w:t xml:space="preserve">C. </w:t>
      </w:r>
      <w:r w:rsidR="00D262B4">
        <w:rPr>
          <w:b/>
        </w:rPr>
        <w:t>Silná vazba mezi Prahou a Středočeským krajem</w:t>
      </w:r>
    </w:p>
    <w:p w:rsidR="0083066F" w:rsidRDefault="00B73BB4" w:rsidP="005E5054">
      <w:r>
        <w:t>P</w:t>
      </w:r>
      <w:r w:rsidR="005F1BF1">
        <w:t>olovina veškeré</w:t>
      </w:r>
      <w:r w:rsidR="0083066F">
        <w:t xml:space="preserve"> mezikrajské dojížďky za prací se realizuje </w:t>
      </w:r>
      <w:r w:rsidR="00324C26">
        <w:t xml:space="preserve">pouze </w:t>
      </w:r>
      <w:r w:rsidR="0083066F">
        <w:t>mezi Středočeským krajem a</w:t>
      </w:r>
      <w:r w:rsidR="0066539C">
        <w:t> </w:t>
      </w:r>
      <w:r w:rsidR="0083066F">
        <w:t>Prahou.</w:t>
      </w:r>
      <w:r w:rsidR="00370F76">
        <w:t xml:space="preserve"> </w:t>
      </w:r>
      <w:r w:rsidR="00964A48">
        <w:t>Vzájemná</w:t>
      </w:r>
      <w:r w:rsidR="00370F76">
        <w:t xml:space="preserve"> vazba </w:t>
      </w:r>
      <w:r w:rsidR="005F783B">
        <w:t xml:space="preserve">přitom </w:t>
      </w:r>
      <w:r w:rsidR="00370F76">
        <w:t xml:space="preserve">ještě zesiluje, </w:t>
      </w:r>
      <w:r w:rsidR="005F783B">
        <w:t>protože</w:t>
      </w:r>
      <w:r w:rsidR="00370F76">
        <w:t xml:space="preserve"> intenzita pohybu za prací mezi těmito dvěma regiony stále roste. Je to výsledek interakce demografických a</w:t>
      </w:r>
      <w:r w:rsidR="00594346">
        <w:t> </w:t>
      </w:r>
      <w:r w:rsidR="00370F76">
        <w:t>ekonomických faktorů</w:t>
      </w:r>
      <w:r w:rsidR="00BC43B3">
        <w:t xml:space="preserve"> a</w:t>
      </w:r>
      <w:r w:rsidR="000F3C82">
        <w:t> </w:t>
      </w:r>
      <w:r w:rsidR="00BC43B3">
        <w:t>změn v sídelní struktuře daných regionů</w:t>
      </w:r>
      <w:r w:rsidR="00370F76">
        <w:t>.</w:t>
      </w:r>
      <w:r w:rsidR="00D53B67">
        <w:t xml:space="preserve"> </w:t>
      </w:r>
      <w:r w:rsidR="00D53B67" w:rsidRPr="00370F76">
        <w:rPr>
          <w:b/>
        </w:rPr>
        <w:t>Pohyb za prací mezi oběma regiony</w:t>
      </w:r>
      <w:r w:rsidR="00AF7554" w:rsidRPr="00370F76">
        <w:rPr>
          <w:b/>
        </w:rPr>
        <w:t xml:space="preserve"> v podstatné míře ovlivňuje skutečnost, že počet obyvatel Středočeského kraje roste především v důsledku imigrace ekonomicky aktivního obyvatelstva z hlavního města</w:t>
      </w:r>
      <w:r w:rsidR="00AF7554">
        <w:t xml:space="preserve">. </w:t>
      </w:r>
      <w:r w:rsidR="00D26467">
        <w:t>M</w:t>
      </w:r>
      <w:r w:rsidR="00AF7554">
        <w:t>igrace z</w:t>
      </w:r>
      <w:r w:rsidR="00D26467">
        <w:t> </w:t>
      </w:r>
      <w:r w:rsidR="00AF7554">
        <w:t>Prahy</w:t>
      </w:r>
      <w:r w:rsidR="00D26467">
        <w:t xml:space="preserve"> do Středočeského kraje představuje vůbec nejsilnější migrační tok mezi všemi kraji republiky. </w:t>
      </w:r>
      <w:r w:rsidR="00E75A71">
        <w:t>Mnozí Pražané nacházejí své bydliště</w:t>
      </w:r>
      <w:r w:rsidR="00647983">
        <w:t xml:space="preserve"> v jeho zázemí</w:t>
      </w:r>
      <w:r w:rsidR="00DC337B">
        <w:t xml:space="preserve"> a následně tak zvyšují počty dojíždějících za prací do Prahy</w:t>
      </w:r>
      <w:r w:rsidR="005207FA">
        <w:t>.</w:t>
      </w:r>
    </w:p>
    <w:p w:rsidR="005207FA" w:rsidRDefault="005207FA" w:rsidP="005E5054"/>
    <w:p w:rsidR="001C5200" w:rsidRDefault="001C5200" w:rsidP="005E5054">
      <w:r>
        <w:lastRenderedPageBreak/>
        <w:t>Jde především o mladší pracovníky v produktivním věku a navíc roste i počet stěhující</w:t>
      </w:r>
      <w:r w:rsidR="00154075">
        <w:t>c</w:t>
      </w:r>
      <w:r>
        <w:t xml:space="preserve">h se dětí. To společně s následnou reprodukcí </w:t>
      </w:r>
      <w:r w:rsidR="002478C5">
        <w:t>rodin</w:t>
      </w:r>
      <w:r>
        <w:t xml:space="preserve"> vede jak k růstu dojížďky do vzdělávacích zařízení</w:t>
      </w:r>
      <w:r w:rsidR="002478C5">
        <w:t xml:space="preserve"> v Praze</w:t>
      </w:r>
      <w:r>
        <w:t>, tak k problémům s kapacitou předškolních a školních zařízení v obcích bydliště.</w:t>
      </w:r>
    </w:p>
    <w:p w:rsidR="001C569C" w:rsidRDefault="001C569C" w:rsidP="005E5054"/>
    <w:p w:rsidR="001C5200" w:rsidRDefault="00FA473A" w:rsidP="005E5054">
      <w:r>
        <w:t xml:space="preserve">Nejvíce </w:t>
      </w:r>
      <w:r w:rsidR="003245D1">
        <w:t>Pražanů</w:t>
      </w:r>
      <w:r>
        <w:t xml:space="preserve"> se stěh</w:t>
      </w:r>
      <w:r w:rsidR="006C3990">
        <w:t>uje do přilehlých okresů Praha-východ a Praha-z</w:t>
      </w:r>
      <w:r>
        <w:t xml:space="preserve">ápad. Velký počet </w:t>
      </w:r>
      <w:r w:rsidR="003245D1">
        <w:t>jich na</w:t>
      </w:r>
      <w:r w:rsidR="0077685E">
        <w:t>šlo</w:t>
      </w:r>
      <w:r w:rsidR="003245D1">
        <w:t xml:space="preserve"> trvalé</w:t>
      </w:r>
      <w:r>
        <w:t xml:space="preserve"> bydliště i v okresech </w:t>
      </w:r>
      <w:r w:rsidR="0019792F">
        <w:t>Mělník, Kladno a Beroun</w:t>
      </w:r>
      <w:r>
        <w:t>.</w:t>
      </w:r>
      <w:r w:rsidR="004D4FF7">
        <w:t xml:space="preserve"> V následující tabulce </w:t>
      </w:r>
      <w:r w:rsidR="00C87370">
        <w:t xml:space="preserve">jsou uvedeny počty osob, které </w:t>
      </w:r>
      <w:r w:rsidR="008D5E8D">
        <w:t>vy</w:t>
      </w:r>
      <w:r w:rsidR="004D4FF7">
        <w:t>měnily</w:t>
      </w:r>
      <w:r w:rsidR="008D5E8D">
        <w:t xml:space="preserve"> v průběhu let 2009 až 2013</w:t>
      </w:r>
      <w:r w:rsidR="004D4FF7">
        <w:t xml:space="preserve"> své </w:t>
      </w:r>
      <w:r w:rsidR="00C87370">
        <w:t>pražské</w:t>
      </w:r>
      <w:r w:rsidR="004D4FF7">
        <w:t xml:space="preserve"> bydliště</w:t>
      </w:r>
      <w:r w:rsidR="00C87370">
        <w:t xml:space="preserve"> za trvalé bydliště v okresech Středočeského kraje</w:t>
      </w:r>
      <w:r w:rsidR="001C003A">
        <w:t xml:space="preserve"> a naopak</w:t>
      </w:r>
      <w:r w:rsidR="004D4FF7">
        <w:t>.</w:t>
      </w:r>
    </w:p>
    <w:p w:rsidR="003B2DB6" w:rsidRDefault="003B2DB6" w:rsidP="005E5054"/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1"/>
        <w:gridCol w:w="425"/>
        <w:gridCol w:w="1358"/>
        <w:gridCol w:w="649"/>
        <w:gridCol w:w="1683"/>
        <w:gridCol w:w="324"/>
        <w:gridCol w:w="2008"/>
      </w:tblGrid>
      <w:tr w:rsidR="006F0B1D" w:rsidRPr="006F0B1D" w:rsidTr="006F0B1D">
        <w:trPr>
          <w:trHeight w:val="510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F0B1D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Migrační pohyb (změna trvalého bydliště) mezi Prahou a okresy Středočeského kraje </w:t>
            </w:r>
          </w:p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F0B1D">
              <w:rPr>
                <w:rFonts w:eastAsia="Times New Roman" w:cs="Arial"/>
                <w:b/>
                <w:bCs/>
                <w:szCs w:val="20"/>
                <w:lang w:eastAsia="cs-CZ"/>
              </w:rPr>
              <w:t>v letech 2009 a</w:t>
            </w:r>
            <w:r w:rsidR="00B22C4C">
              <w:rPr>
                <w:rFonts w:eastAsia="Times New Roman" w:cs="Arial"/>
                <w:b/>
                <w:bCs/>
                <w:szCs w:val="20"/>
                <w:lang w:eastAsia="cs-CZ"/>
              </w:rPr>
              <w:t>ž</w:t>
            </w:r>
            <w:r w:rsidRPr="006F0B1D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2013</w:t>
            </w:r>
          </w:p>
        </w:tc>
      </w:tr>
      <w:tr w:rsidR="006F0B1D" w:rsidRPr="006F0B1D" w:rsidTr="006F0B1D">
        <w:trPr>
          <w:trHeight w:val="27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počet osob</w:t>
            </w:r>
          </w:p>
        </w:tc>
      </w:tr>
      <w:tr w:rsidR="006F0B1D" w:rsidRPr="006F0B1D" w:rsidTr="006F0B1D">
        <w:trPr>
          <w:trHeight w:val="750"/>
        </w:trPr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1D" w:rsidRPr="006F0B1D" w:rsidRDefault="006F0B1D" w:rsidP="006F0B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Kraj / okres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1D" w:rsidRPr="006F0B1D" w:rsidRDefault="006F0B1D" w:rsidP="00F45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Počet při</w:t>
            </w:r>
            <w:r w:rsidR="00B22C4C">
              <w:rPr>
                <w:rFonts w:eastAsia="Times New Roman" w:cs="Arial"/>
                <w:sz w:val="16"/>
                <w:szCs w:val="16"/>
                <w:lang w:eastAsia="cs-CZ"/>
              </w:rPr>
              <w:t>stěhovalých</w:t>
            </w:r>
            <w:r w:rsidR="00B22C4C"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  <w:r w:rsidR="00F45102">
              <w:rPr>
                <w:rFonts w:eastAsia="Times New Roman" w:cs="Arial"/>
                <w:sz w:val="16"/>
                <w:szCs w:val="16"/>
                <w:lang w:eastAsia="cs-CZ"/>
              </w:rPr>
              <w:t>z</w:t>
            </w:r>
            <w:r w:rsidR="00F45102" w:rsidRPr="006F0B1D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Prahy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1D" w:rsidRPr="006F0B1D" w:rsidRDefault="006F0B1D" w:rsidP="00F45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Počet vystěhovalých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  <w:r w:rsidR="00F45102">
              <w:rPr>
                <w:rFonts w:eastAsia="Times New Roman" w:cs="Arial"/>
                <w:sz w:val="16"/>
                <w:szCs w:val="16"/>
                <w:lang w:eastAsia="cs-CZ"/>
              </w:rPr>
              <w:t>do</w:t>
            </w:r>
            <w:r w:rsidR="00F45102" w:rsidRPr="006F0B1D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Prahy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B1D" w:rsidRPr="006F0B1D" w:rsidRDefault="006F0B1D" w:rsidP="006F0B1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Saldo migrace mezi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  <w:r w:rsidR="003245D1" w:rsidRPr="006F0B1D">
              <w:rPr>
                <w:rFonts w:eastAsia="Times New Roman" w:cs="Arial"/>
                <w:sz w:val="16"/>
                <w:szCs w:val="16"/>
                <w:lang w:eastAsia="cs-CZ"/>
              </w:rPr>
              <w:t>Středočeským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 xml:space="preserve"> krajem </w:t>
            </w: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br/>
              <w:t>a Prahou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Středočeský kraj: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77214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36275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40939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3733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1776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1957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4667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1657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3010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5364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3098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2266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3384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1744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1640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1345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1007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338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5593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3780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1813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2067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2176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-109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4151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2463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1688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22949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8694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14255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19478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7046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12432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3131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1727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1404 </w:t>
            </w:r>
          </w:p>
        </w:tc>
      </w:tr>
      <w:tr w:rsidR="00B22C4C" w:rsidRPr="006F0B1D" w:rsidTr="00E6284C">
        <w:trPr>
          <w:trHeight w:val="255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Pr="006F0B1D" w:rsidRDefault="00B22C4C" w:rsidP="006F0B1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B1D">
              <w:rPr>
                <w:rFonts w:eastAsia="Times New Roman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1352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1107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4C" w:rsidRDefault="00B22C4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245 </w:t>
            </w:r>
          </w:p>
        </w:tc>
      </w:tr>
      <w:tr w:rsidR="006F0B1D" w:rsidRPr="006F0B1D" w:rsidTr="006F0B1D">
        <w:trPr>
          <w:trHeight w:val="12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D" w:rsidRPr="006F0B1D" w:rsidRDefault="006F0B1D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E6284C" w:rsidRPr="006F0B1D" w:rsidTr="00191400">
        <w:trPr>
          <w:trHeight w:val="255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4C" w:rsidRPr="006F0B1D" w:rsidRDefault="00E6284C" w:rsidP="000F7B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6F0B1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ČSÚ-</w:t>
            </w:r>
            <w:r w:rsidRPr="00CC479C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demografi</w:t>
            </w:r>
            <w:r w:rsidR="000F7B81" w:rsidRPr="00CC479C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cká statistika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4C" w:rsidRPr="006F0B1D" w:rsidRDefault="00E6284C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4C" w:rsidRPr="006F0B1D" w:rsidRDefault="00E6284C" w:rsidP="006F0B1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903A40" w:rsidRDefault="00903A40" w:rsidP="00E6284C">
      <w:pPr>
        <w:rPr>
          <w:sz w:val="16"/>
          <w:szCs w:val="16"/>
        </w:rPr>
      </w:pPr>
    </w:p>
    <w:p w:rsidR="00BC4C6B" w:rsidRDefault="00E955E8" w:rsidP="00E6284C">
      <w:pPr>
        <w:rPr>
          <w:b/>
        </w:rPr>
      </w:pPr>
      <w:r>
        <w:rPr>
          <w:sz w:val="16"/>
          <w:szCs w:val="16"/>
        </w:rPr>
        <w:t>Poznámka: Údaje demografické statistiky se týkají změny trvalého bydliště.</w:t>
      </w:r>
      <w:r w:rsidR="00DE5267">
        <w:rPr>
          <w:sz w:val="16"/>
          <w:szCs w:val="16"/>
        </w:rPr>
        <w:t xml:space="preserve"> Výběrové šetření však pracuje s tzv. obvyklým bydlištěm</w:t>
      </w:r>
      <w:r w:rsidR="00C45F16">
        <w:rPr>
          <w:sz w:val="16"/>
          <w:szCs w:val="16"/>
        </w:rPr>
        <w:t>, kdy jednotliví členové domácnosti ji považují za svoji základní domácnost, kde přebývají, bydlí a</w:t>
      </w:r>
      <w:r w:rsidR="00594346">
        <w:rPr>
          <w:sz w:val="16"/>
          <w:szCs w:val="16"/>
        </w:rPr>
        <w:t> </w:t>
      </w:r>
      <w:r w:rsidR="00C45F16">
        <w:rPr>
          <w:sz w:val="16"/>
          <w:szCs w:val="16"/>
        </w:rPr>
        <w:t>starají se o udržování bytové jednotky.</w:t>
      </w:r>
      <w:r w:rsidR="00B358E1">
        <w:rPr>
          <w:sz w:val="16"/>
          <w:szCs w:val="16"/>
        </w:rPr>
        <w:t xml:space="preserve"> V řadě případů se bydlení de facto a bydlení de iure liší.</w:t>
      </w:r>
    </w:p>
    <w:p w:rsidR="00BC4C6B" w:rsidRDefault="00BC4C6B" w:rsidP="00BC4C6B">
      <w:pPr>
        <w:jc w:val="left"/>
        <w:rPr>
          <w:b/>
        </w:rPr>
      </w:pPr>
    </w:p>
    <w:p w:rsidR="00F066D8" w:rsidRDefault="006C3990" w:rsidP="005E5054">
      <w:r>
        <w:t xml:space="preserve">Pražané se tedy stěhují do Středočeského kraje, což na druhé straně vede k velkému nárůstu počtu respondentů vyjíždějících za prací do hlavního města z velké části Středočeského kraje. </w:t>
      </w:r>
      <w:r w:rsidR="003F03DF">
        <w:t>Vzhledem k velikosti výběrového souboru neumožňuje šetření publikovat data o dojíž</w:t>
      </w:r>
      <w:r w:rsidR="00064321">
        <w:t xml:space="preserve">ďce na úrovni okresů. </w:t>
      </w:r>
      <w:r w:rsidR="00064321" w:rsidRPr="006C3990">
        <w:rPr>
          <w:b/>
        </w:rPr>
        <w:t>Přesto je zřejmé</w:t>
      </w:r>
      <w:r w:rsidR="00CA3941" w:rsidRPr="006C3990">
        <w:rPr>
          <w:b/>
        </w:rPr>
        <w:t>,</w:t>
      </w:r>
      <w:r w:rsidR="00064321" w:rsidRPr="006C3990">
        <w:rPr>
          <w:b/>
        </w:rPr>
        <w:t xml:space="preserve"> že více než polovina dojíždějících do Prah</w:t>
      </w:r>
      <w:r w:rsidR="00CA3941" w:rsidRPr="006C3990">
        <w:rPr>
          <w:b/>
        </w:rPr>
        <w:t xml:space="preserve">y </w:t>
      </w:r>
      <w:r w:rsidRPr="006C3990">
        <w:rPr>
          <w:b/>
        </w:rPr>
        <w:t>bydlí na území okresů Praha-východ, Praha-z</w:t>
      </w:r>
      <w:r w:rsidR="00064321" w:rsidRPr="006C3990">
        <w:rPr>
          <w:b/>
        </w:rPr>
        <w:t>ápad,</w:t>
      </w:r>
      <w:r w:rsidR="000F33C7">
        <w:rPr>
          <w:b/>
        </w:rPr>
        <w:t xml:space="preserve"> Kladno a</w:t>
      </w:r>
      <w:r w:rsidR="00064321" w:rsidRPr="006C3990">
        <w:rPr>
          <w:b/>
        </w:rPr>
        <w:t xml:space="preserve"> Mělník</w:t>
      </w:r>
      <w:r w:rsidR="00064321">
        <w:t>.</w:t>
      </w:r>
    </w:p>
    <w:p w:rsidR="00F066D8" w:rsidRDefault="00F066D8" w:rsidP="005E5054"/>
    <w:p w:rsidR="00FE6BF3" w:rsidRDefault="00F066D8" w:rsidP="005E5054">
      <w:r>
        <w:t>Z výsledků šetření vyplývá, že</w:t>
      </w:r>
      <w:r w:rsidR="00A91C2B">
        <w:t xml:space="preserve"> se</w:t>
      </w:r>
      <w:r>
        <w:t xml:space="preserve"> na tomto typu pohybu za prací</w:t>
      </w:r>
      <w:r w:rsidR="00A91C2B">
        <w:t xml:space="preserve"> výrazně</w:t>
      </w:r>
      <w:r>
        <w:t xml:space="preserve"> podílejí absolventi vysokoškolského studia v mladším produktivním věku, kteří pracují převážně v terciárním sektoru. To platí především pro skupinu pracujících, dojíždějících do Prahy z obcí Středočeského kraje. Převážná část</w:t>
      </w:r>
      <w:r w:rsidR="00A91C2B">
        <w:t xml:space="preserve"> těchto dojíždějících</w:t>
      </w:r>
      <w:r>
        <w:t xml:space="preserve"> (85 %) pracuje v sektoru služeb, protože pracovních příležitostí v sekundárním sektoru je v hlavním městě málo.</w:t>
      </w:r>
      <w:r w:rsidR="0047377E">
        <w:t xml:space="preserve"> Naproti tomu ve </w:t>
      </w:r>
      <w:r w:rsidR="0047377E">
        <w:lastRenderedPageBreak/>
        <w:t>skupině mezikrajsk</w:t>
      </w:r>
      <w:r w:rsidR="00AD7E72">
        <w:t>y</w:t>
      </w:r>
      <w:r w:rsidR="0047377E">
        <w:t xml:space="preserve"> dojíždějících v </w:t>
      </w:r>
      <w:r w:rsidR="00A91C2B">
        <w:t>jiných</w:t>
      </w:r>
      <w:r w:rsidR="0047377E">
        <w:t xml:space="preserve"> směrech byl podíl sektoru průmyslu a stavebnictví výrazně vyšší - téměř 40 %.</w:t>
      </w:r>
      <w:r>
        <w:t xml:space="preserve"> Specifikum skupiny dojíždějících</w:t>
      </w:r>
      <w:r w:rsidR="00A57CE4">
        <w:t xml:space="preserve"> do hlavního města z obcí Středočeského kraje</w:t>
      </w:r>
      <w:r>
        <w:t xml:space="preserve"> potvrzuje skutečnost, že tři čtvrtiny z nich jsou klasifikováni jako řídící pracovníci, specialisté, techničtí a odborní pracovníci nebo jako úředníci. </w:t>
      </w:r>
      <w:r w:rsidR="00FE6BF3">
        <w:t>Téměř 38 % těchto respondentů mělo dokončené vysokoškolské vzdělání.</w:t>
      </w:r>
      <w:r w:rsidR="00191400">
        <w:t xml:space="preserve"> Odlišnosti proti skupině pracujících s jinými směry mezikrajské dojížďky jsou patrné z následující tabulky.</w:t>
      </w:r>
      <w:r w:rsidR="000E083E">
        <w:t xml:space="preserve"> Rozdíl proti struktuře všech pracujících v ČR získáme porovnáním s údaji z tabulky na straně 4</w:t>
      </w:r>
      <w:r w:rsidR="00705610">
        <w:t xml:space="preserve"> a grafu na straně 5</w:t>
      </w:r>
      <w:r w:rsidR="000E083E">
        <w:t>.</w:t>
      </w:r>
    </w:p>
    <w:p w:rsidR="00191400" w:rsidRDefault="00191400" w:rsidP="005E5054"/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"/>
        <w:gridCol w:w="3403"/>
        <w:gridCol w:w="991"/>
        <w:gridCol w:w="1948"/>
        <w:gridCol w:w="37"/>
        <w:gridCol w:w="1911"/>
      </w:tblGrid>
      <w:tr w:rsidR="002A0EEB" w:rsidRPr="000549EA" w:rsidTr="005F426B">
        <w:trPr>
          <w:trHeight w:val="510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EB" w:rsidRPr="000549EA" w:rsidRDefault="0055672C" w:rsidP="005F42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5672C">
              <w:rPr>
                <w:rFonts w:eastAsia="Times New Roman" w:cs="Arial"/>
                <w:b/>
                <w:bCs/>
                <w:szCs w:val="20"/>
                <w:lang w:eastAsia="cs-CZ"/>
              </w:rPr>
              <w:t>Porovnání struktury respondentů dojíždějící za prací ze Středočeského kraje do Prahy se skupinou ostatních pracovníků vyjíždějících mimo kraj svého bydliště v roce 2013</w:t>
            </w:r>
          </w:p>
        </w:tc>
      </w:tr>
      <w:tr w:rsidR="002A0EEB" w:rsidRPr="000549EA" w:rsidTr="005F426B">
        <w:trPr>
          <w:trHeight w:val="27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2A0EEB" w:rsidRPr="000549EA" w:rsidTr="0055672C">
        <w:trPr>
          <w:trHeight w:val="732"/>
        </w:trPr>
        <w:tc>
          <w:tcPr>
            <w:tcW w:w="4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EB" w:rsidRPr="000549EA" w:rsidRDefault="002A0EEB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2C" w:rsidRPr="0055672C" w:rsidRDefault="0055672C" w:rsidP="005567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672C">
              <w:rPr>
                <w:rFonts w:eastAsia="Times New Roman" w:cs="Arial"/>
                <w:sz w:val="16"/>
                <w:szCs w:val="16"/>
                <w:lang w:eastAsia="cs-CZ"/>
              </w:rPr>
              <w:t xml:space="preserve">Vyjíždějící za prací </w:t>
            </w:r>
          </w:p>
          <w:p w:rsidR="0055672C" w:rsidRPr="0055672C" w:rsidRDefault="0055672C" w:rsidP="005567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672C">
              <w:rPr>
                <w:rFonts w:eastAsia="Times New Roman" w:cs="Arial"/>
                <w:sz w:val="16"/>
                <w:szCs w:val="16"/>
                <w:lang w:eastAsia="cs-CZ"/>
              </w:rPr>
              <w:t>ze Středočeského kraje</w:t>
            </w:r>
          </w:p>
          <w:p w:rsidR="002A0EEB" w:rsidRPr="000549EA" w:rsidRDefault="0055672C" w:rsidP="0055672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672C">
              <w:rPr>
                <w:rFonts w:eastAsia="Times New Roman" w:cs="Arial"/>
                <w:sz w:val="16"/>
                <w:szCs w:val="16"/>
                <w:lang w:eastAsia="cs-CZ"/>
              </w:rPr>
              <w:t>do Prahy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EB" w:rsidRPr="000549EA" w:rsidRDefault="0055672C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672C">
              <w:rPr>
                <w:rFonts w:eastAsia="Times New Roman" w:cs="Arial"/>
                <w:sz w:val="16"/>
                <w:szCs w:val="16"/>
                <w:lang w:eastAsia="cs-CZ"/>
              </w:rPr>
              <w:t>Ostatní pracující vyjíždějící za hranice kraje svého bydliště</w:t>
            </w:r>
          </w:p>
        </w:tc>
      </w:tr>
      <w:tr w:rsidR="002A0EEB" w:rsidRPr="000549EA" w:rsidTr="004768A6">
        <w:trPr>
          <w:trHeight w:val="260"/>
        </w:trPr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2A0EEB" w:rsidRPr="000549EA" w:rsidTr="0055672C">
        <w:trPr>
          <w:trHeight w:val="227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Stupeň vzdělání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ISCED 0-2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1,4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4,3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ISCED 3-4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61,0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63,0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ISCED 5-6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37,6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32,7 </w:t>
            </w:r>
          </w:p>
        </w:tc>
      </w:tr>
      <w:tr w:rsidR="0046392D" w:rsidRPr="000549EA" w:rsidTr="004768A6">
        <w:trPr>
          <w:trHeight w:val="462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Pracovní zařazení podle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hlavních tříd CZ-ISCO: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zákonodárci a řídící pracovníci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10,2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8,0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specialisté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23,0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18,0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 xml:space="preserve">techničtí a odborní pracovníci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25,2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20,6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úředníci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15,0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8,2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pracovníci ve službách a prodeji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12,1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9,1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řemeslníci a opraváři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6,4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15,4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obsluha strojů a zařízení, montéři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4,8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14,8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6392D" w:rsidRPr="000549EA" w:rsidTr="004768A6">
        <w:trPr>
          <w:trHeight w:val="252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Sektor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Primární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 xml:space="preserve">A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1,0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1,1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Sekundární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B až F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14,2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39,8 </w:t>
            </w:r>
          </w:p>
        </w:tc>
      </w:tr>
      <w:tr w:rsidR="0046392D" w:rsidRPr="000549EA" w:rsidTr="0055672C">
        <w:trPr>
          <w:trHeight w:val="22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Terciární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Pr="000549EA" w:rsidRDefault="0046392D" w:rsidP="005F42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549EA">
              <w:rPr>
                <w:rFonts w:eastAsia="Times New Roman" w:cs="Arial"/>
                <w:sz w:val="16"/>
                <w:szCs w:val="16"/>
                <w:lang w:eastAsia="cs-CZ"/>
              </w:rPr>
              <w:t>G až U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84,8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2D" w:rsidRDefault="0046392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52,8 </w:t>
            </w:r>
          </w:p>
        </w:tc>
      </w:tr>
      <w:tr w:rsidR="002A0EEB" w:rsidRPr="000549EA" w:rsidTr="005F426B">
        <w:trPr>
          <w:trHeight w:val="1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A0EEB" w:rsidRPr="000549EA" w:rsidTr="005F426B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0549E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CSÚ-VŠPS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EB" w:rsidRPr="000549EA" w:rsidRDefault="002A0EEB" w:rsidP="005F42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8E124F" w:rsidRDefault="008E124F" w:rsidP="005E5054"/>
    <w:p w:rsidR="008E124F" w:rsidRPr="008E124F" w:rsidRDefault="008E124F" w:rsidP="008E124F">
      <w:pPr>
        <w:jc w:val="left"/>
        <w:rPr>
          <w:b/>
        </w:rPr>
      </w:pPr>
      <w:r>
        <w:rPr>
          <w:b/>
        </w:rPr>
        <w:t>D. Roste dojížďka do velkých měst</w:t>
      </w:r>
    </w:p>
    <w:p w:rsidR="00D770DC" w:rsidRDefault="00D770DC" w:rsidP="005E5054">
      <w:r>
        <w:t xml:space="preserve">Význam mezikrajské dojížďky pro celkovou zaměstnanost v jednotlivých regionech lze dokumentovat na hodnotě </w:t>
      </w:r>
      <w:r w:rsidRPr="00A514D9">
        <w:rPr>
          <w:b/>
        </w:rPr>
        <w:t>indexu počtu pracujících v regionu k počtu osob s jediným nebo hlavním zaměstnáním s bydlištěm na území příslušného kraje</w:t>
      </w:r>
      <w:r>
        <w:t>.</w:t>
      </w:r>
      <w:r w:rsidR="00EF50CD">
        <w:t xml:space="preserve"> Abychom alespoň částečně eliminovali vliv případných výkyvů souvisejících s metodikou výběrového zjišťování, byl tento index vypočten</w:t>
      </w:r>
      <w:r w:rsidR="00A514D9">
        <w:t xml:space="preserve"> jako průměr</w:t>
      </w:r>
      <w:r w:rsidR="00EF50CD">
        <w:t xml:space="preserve"> za léta 2011 až 2013. V </w:t>
      </w:r>
      <w:r w:rsidR="003A5393">
        <w:t>tom</w:t>
      </w:r>
      <w:r w:rsidR="00EF50CD">
        <w:t xml:space="preserve">to období činil index v Praze 119,7, ve všech ostatních krajích je hodnota indexu nižší než 100. </w:t>
      </w:r>
    </w:p>
    <w:p w:rsidR="00D770DC" w:rsidRDefault="00D770DC" w:rsidP="005E5054"/>
    <w:p w:rsidR="00B7744C" w:rsidRDefault="00CA3941" w:rsidP="005E5054">
      <w:r>
        <w:t xml:space="preserve">Mezikrajská dojížďka představuje pouze menší část dojíždějících za prací mimo obec svého bydliště. Nepostihuje četné případy meziokresní dojížďky v rámci kraje a vnitrookresní dojížďky. Pro alespoň orientační hodnocení vlivu dojížďky na výši zaměstnanosti ve vybraných velkých </w:t>
      </w:r>
      <w:r>
        <w:lastRenderedPageBreak/>
        <w:t>okrese</w:t>
      </w:r>
      <w:r w:rsidR="005C214B">
        <w:t>c</w:t>
      </w:r>
      <w:r>
        <w:t xml:space="preserve">h lze </w:t>
      </w:r>
      <w:r w:rsidR="003267A8">
        <w:t>opět</w:t>
      </w:r>
      <w:r>
        <w:t xml:space="preserve"> </w:t>
      </w:r>
      <w:r w:rsidR="003267A8">
        <w:t xml:space="preserve">použít výše uvedený </w:t>
      </w:r>
      <w:r>
        <w:t>index</w:t>
      </w:r>
      <w:r w:rsidR="003267A8">
        <w:t>.</w:t>
      </w:r>
      <w:r>
        <w:t xml:space="preserve"> Ve své podstatě odráží saldo dojížďky z</w:t>
      </w:r>
      <w:r w:rsidR="00B465A3">
        <w:t> </w:t>
      </w:r>
      <w:r>
        <w:t>a</w:t>
      </w:r>
      <w:r w:rsidR="00B465A3">
        <w:t> </w:t>
      </w:r>
      <w:r>
        <w:t>do okresu v rámci vlastního kraje včetně salda dojížďky z okresů jiných krajů.</w:t>
      </w:r>
    </w:p>
    <w:p w:rsidR="003A5393" w:rsidRDefault="003A5393" w:rsidP="005E5054"/>
    <w:p w:rsidR="00736AAB" w:rsidRDefault="00247F49" w:rsidP="005E5054">
      <w:r>
        <w:t>Hodnota indexu je za další velká města republiky zcela srovnatelná s hodnotou indexu za Prahu</w:t>
      </w:r>
      <w:r w:rsidR="00CA3941">
        <w:t>.</w:t>
      </w:r>
      <w:r w:rsidR="00D060FD">
        <w:t xml:space="preserve"> </w:t>
      </w:r>
      <w:r>
        <w:t>Vůbec n</w:t>
      </w:r>
      <w:r w:rsidR="00D060FD">
        <w:t>ejvyšší hodnoty do</w:t>
      </w:r>
      <w:r w:rsidR="005C214B">
        <w:t>s</w:t>
      </w:r>
      <w:r>
        <w:t>ahuje index v Brně</w:t>
      </w:r>
      <w:r w:rsidR="00317683">
        <w:t xml:space="preserve"> (index </w:t>
      </w:r>
      <w:r>
        <w:t>126,1</w:t>
      </w:r>
      <w:r w:rsidR="00317683">
        <w:t xml:space="preserve">) a </w:t>
      </w:r>
      <w:r>
        <w:t>v</w:t>
      </w:r>
      <w:r w:rsidR="00472CC1">
        <w:t xml:space="preserve"> okrese</w:t>
      </w:r>
      <w:r>
        <w:t> Ostrav</w:t>
      </w:r>
      <w:r w:rsidR="00472CC1">
        <w:t>a-město</w:t>
      </w:r>
      <w:r>
        <w:t xml:space="preserve"> (121,0), kde také přesahuje úroveň hlavního města. Přitom ve</w:t>
      </w:r>
      <w:r w:rsidR="00472CC1">
        <w:t xml:space="preserve"> vlastním</w:t>
      </w:r>
      <w:r>
        <w:t xml:space="preserve"> městě Ostravě může být jeho hodnota ještě poněkud vyšší o případy </w:t>
      </w:r>
      <w:r w:rsidR="00D55302">
        <w:t>dojížďky</w:t>
      </w:r>
      <w:r>
        <w:t xml:space="preserve"> do zaměstnání ze zbývajících obcí okresu. Za Plzeň-město byl index (115,4) nižší než v Praze. Z podrobnějších údajů je však zřejmé, že počet pracující</w:t>
      </w:r>
      <w:r w:rsidR="00D55302">
        <w:t>c</w:t>
      </w:r>
      <w:r>
        <w:t xml:space="preserve">h na území západočeské metropole v posledních třech letech </w:t>
      </w:r>
      <w:r w:rsidR="00E03E4B">
        <w:t>stále</w:t>
      </w:r>
      <w:r>
        <w:t xml:space="preserve"> rostl a lze předpokládat, že se bude v dohledné době pohybovat také na úrovni Prahy.</w:t>
      </w:r>
      <w:r w:rsidR="00280C97">
        <w:t xml:space="preserve"> </w:t>
      </w:r>
      <w:r w:rsidR="00872AAA">
        <w:t xml:space="preserve">Zdrojem </w:t>
      </w:r>
      <w:r w:rsidR="00BF3F5B">
        <w:t>dojížďky</w:t>
      </w:r>
      <w:r w:rsidR="00872AAA">
        <w:t xml:space="preserve"> do </w:t>
      </w:r>
      <w:r w:rsidR="00D459E1">
        <w:t>Brna</w:t>
      </w:r>
      <w:r w:rsidR="00872AAA">
        <w:t xml:space="preserve"> jsou především sousední </w:t>
      </w:r>
      <w:r w:rsidR="00C7068E">
        <w:t>okresy, jako</w:t>
      </w:r>
      <w:r w:rsidR="00D55302">
        <w:t xml:space="preserve"> jsou</w:t>
      </w:r>
      <w:r w:rsidR="00872AAA">
        <w:t xml:space="preserve"> </w:t>
      </w:r>
      <w:r w:rsidR="00D55302">
        <w:t>Brno-venkov, Blansko, Vyškov, pokud jde o</w:t>
      </w:r>
      <w:r w:rsidR="00566732">
        <w:t> </w:t>
      </w:r>
      <w:r w:rsidR="00D55302">
        <w:t>Ostravu, tak nejvíce lidí dojíždí z okresů Opava, Frýdek Místek a Karviná. Největší dojížďka do Plzně je z</w:t>
      </w:r>
      <w:r w:rsidR="00D459E1">
        <w:t> </w:t>
      </w:r>
      <w:r w:rsidR="00D55302">
        <w:t>okresů Plzeň-jih a Plzeň-sever</w:t>
      </w:r>
      <w:r w:rsidR="00C41E9D">
        <w:t>.</w:t>
      </w:r>
    </w:p>
    <w:p w:rsidR="006E1A7F" w:rsidRDefault="006E1A7F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6"/>
        <w:gridCol w:w="2186"/>
        <w:gridCol w:w="1937"/>
        <w:gridCol w:w="1816"/>
      </w:tblGrid>
      <w:tr w:rsidR="006E1A7F" w:rsidRPr="006E1A7F" w:rsidTr="006E1A7F">
        <w:trPr>
          <w:trHeight w:val="51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A7F" w:rsidRPr="006E1A7F" w:rsidRDefault="00CD42FD" w:rsidP="004822B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Index počtu pracujících k</w:t>
            </w:r>
            <w:r w:rsidR="004822B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počtu osob s jediným nebo hlavním zaměstnáním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s obvyklým bydlištěm</w:t>
            </w:r>
            <w:r w:rsidR="004822B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v krajích a vybraných městech za roky 2011 až 2013</w:t>
            </w:r>
          </w:p>
        </w:tc>
      </w:tr>
      <w:tr w:rsidR="006E1A7F" w:rsidRPr="006E1A7F" w:rsidTr="006E1A7F">
        <w:trPr>
          <w:trHeight w:val="27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7F" w:rsidRPr="006E1A7F" w:rsidRDefault="006E1A7F" w:rsidP="009F10E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Kraj / </w:t>
            </w:r>
            <w:r w:rsidR="009F10E2">
              <w:rPr>
                <w:rFonts w:eastAsia="Times New Roman" w:cs="Arial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7F" w:rsidRPr="006E1A7F" w:rsidRDefault="006E1A7F" w:rsidP="006E1A7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Počet pracujících</w:t>
            </w:r>
            <w:r w:rsidR="009F10E2">
              <w:rPr>
                <w:rFonts w:eastAsia="Times New Roman" w:cs="Arial"/>
                <w:sz w:val="16"/>
                <w:szCs w:val="16"/>
                <w:lang w:eastAsia="cs-CZ"/>
              </w:rPr>
              <w:t xml:space="preserve"> (v tis.)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7F" w:rsidRPr="006E1A7F" w:rsidRDefault="006E1A7F" w:rsidP="006E1A7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Počet bydlících</w:t>
            </w:r>
            <w:r w:rsidR="009F10E2">
              <w:rPr>
                <w:rFonts w:eastAsia="Times New Roman" w:cs="Arial"/>
                <w:sz w:val="16"/>
                <w:szCs w:val="16"/>
                <w:lang w:eastAsia="cs-CZ"/>
              </w:rPr>
              <w:t xml:space="preserve"> s jediným nebo hlavním zaměstnáním (v tis.)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7F" w:rsidRPr="006E1A7F" w:rsidRDefault="006E1A7F" w:rsidP="006E1A7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Index </w:t>
            </w:r>
            <w:r w:rsidR="009F10E2">
              <w:rPr>
                <w:rFonts w:eastAsia="Times New Roman" w:cs="Arial"/>
                <w:sz w:val="16"/>
                <w:szCs w:val="16"/>
                <w:lang w:eastAsia="cs-CZ"/>
              </w:rPr>
              <w:t>(* 100)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777,1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644,1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119,7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531,3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620,1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84,8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Jihočeský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291,9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296,9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98,8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269,8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277,8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96,2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135,6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140,4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96,1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349,4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360,3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96,1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187,9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195,9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95,9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Královéhradecký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247,3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252,6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98,0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Pardubický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232,8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238,8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96,6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Vysočina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226,2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233,9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95,7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Jihomoravský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540,6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542,6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97,2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Olomoucký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277,7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282,9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99,8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Zlínský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265,7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271,0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96,2 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Moravskoslezský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536,2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542,6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98,6 </w:t>
            </w:r>
          </w:p>
        </w:tc>
      </w:tr>
      <w:tr w:rsidR="006E1A7F" w:rsidRPr="006E1A7F" w:rsidTr="00594346">
        <w:trPr>
          <w:trHeight w:val="30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9F10E2" w:rsidP="004822B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vybraná města</w:t>
            </w:r>
            <w:r w:rsidR="006E1A7F" w:rsidRPr="006E1A7F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E1A7F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107,1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91,3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7F" w:rsidRPr="006E1A7F" w:rsidRDefault="006E1A7F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115,4 </w:t>
            </w:r>
          </w:p>
        </w:tc>
      </w:tr>
      <w:tr w:rsidR="00903A40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240,3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184,2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126,1 </w:t>
            </w:r>
          </w:p>
        </w:tc>
      </w:tr>
      <w:tr w:rsidR="00903A40" w:rsidRPr="006E1A7F" w:rsidTr="006E1A7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182,8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>146,3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E1A7F">
              <w:rPr>
                <w:rFonts w:eastAsia="Times New Roman" w:cs="Arial"/>
                <w:sz w:val="16"/>
                <w:szCs w:val="16"/>
                <w:lang w:eastAsia="cs-CZ"/>
              </w:rPr>
              <w:t xml:space="preserve">121,0 </w:t>
            </w:r>
          </w:p>
        </w:tc>
      </w:tr>
      <w:tr w:rsidR="00903A40" w:rsidRPr="006E1A7F" w:rsidTr="000E4DB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03A40" w:rsidRPr="006E1A7F" w:rsidTr="000E4DBF">
        <w:trPr>
          <w:trHeight w:val="2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E1A7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ČSÚ-VŠPS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40" w:rsidRPr="006E1A7F" w:rsidRDefault="00903A40" w:rsidP="006E1A7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736AAB" w:rsidRDefault="00736AAB" w:rsidP="005E5054"/>
    <w:p w:rsidR="00A70F56" w:rsidRPr="00F643C9" w:rsidRDefault="00A70F56" w:rsidP="00A70F56">
      <w:r>
        <w:t>Podle výsledků výběrového šetření tak představuje dojížďka do zaměstnání významný zdroj zaměstnanosti v největších městech republiky. Podrobnější údaje o směrech a intenzitě vyjížďky za prací nebo do vzdělávacích zařízení na úrovni měst a obcí lze zjistit z výsledků sčítání lidu, domů a bytů 2011, které byly zveřejněny na internetových stránkách ČSÚ.</w:t>
      </w:r>
    </w:p>
    <w:p w:rsidR="00736AAB" w:rsidRDefault="00736AAB" w:rsidP="005E5054"/>
    <w:p w:rsidR="00736AAB" w:rsidRDefault="00736AAB" w:rsidP="005E5054"/>
    <w:p w:rsidR="00984C63" w:rsidRDefault="00F82CC1" w:rsidP="00A12EE6">
      <w:pPr>
        <w:spacing w:before="1200"/>
        <w:rPr>
          <w:b/>
        </w:rPr>
      </w:pPr>
      <w:r>
        <w:rPr>
          <w:b/>
        </w:rPr>
        <w:lastRenderedPageBreak/>
        <w:t>Autor</w:t>
      </w:r>
    </w:p>
    <w:p w:rsidR="00984C63" w:rsidRDefault="00984C63" w:rsidP="00984C63">
      <w:r>
        <w:t>Marta Petráňová</w:t>
      </w:r>
      <w:r w:rsidR="00F82CC1">
        <w:t>, Bohuslav Mejstřík</w:t>
      </w:r>
    </w:p>
    <w:p w:rsidR="00F82CC1" w:rsidRPr="002C5393" w:rsidRDefault="00984C63" w:rsidP="00917E1A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917E1A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917E1A">
      <w:r>
        <w:t xml:space="preserve">E-mail: </w:t>
      </w:r>
      <w:hyperlink r:id="rId9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0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23" w:rsidRDefault="001C0F23" w:rsidP="00BA6370">
      <w:r>
        <w:separator/>
      </w:r>
    </w:p>
  </w:endnote>
  <w:endnote w:type="continuationSeparator" w:id="0">
    <w:p w:rsidR="001C0F23" w:rsidRDefault="001C0F2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F" w:rsidRDefault="00656DD9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inset="0,0,0,0">
            <w:txbxContent>
              <w:p w:rsidR="001D2A0F" w:rsidRPr="001404AB" w:rsidRDefault="001D2A0F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1D2A0F" w:rsidRPr="00A81EB3" w:rsidRDefault="001D2A0F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56DD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56DD9" w:rsidRPr="004E479E">
                  <w:rPr>
                    <w:rFonts w:cs="Arial"/>
                    <w:szCs w:val="15"/>
                  </w:rPr>
                  <w:fldChar w:fldCharType="separate"/>
                </w:r>
                <w:r w:rsidR="00CD011C">
                  <w:rPr>
                    <w:rFonts w:cs="Arial"/>
                    <w:noProof/>
                    <w:szCs w:val="15"/>
                  </w:rPr>
                  <w:t>6</w:t>
                </w:r>
                <w:r w:rsidR="00656DD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23" w:rsidRDefault="001C0F23" w:rsidP="00BA6370">
      <w:r>
        <w:separator/>
      </w:r>
    </w:p>
  </w:footnote>
  <w:footnote w:type="continuationSeparator" w:id="0">
    <w:p w:rsidR="001C0F23" w:rsidRDefault="001C0F2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F" w:rsidRDefault="00656DD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3444"/>
    <w:rsid w:val="000047E8"/>
    <w:rsid w:val="00007009"/>
    <w:rsid w:val="000071D4"/>
    <w:rsid w:val="00007A51"/>
    <w:rsid w:val="000137F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10F6"/>
    <w:rsid w:val="0002205F"/>
    <w:rsid w:val="0002236F"/>
    <w:rsid w:val="0002478A"/>
    <w:rsid w:val="000247DB"/>
    <w:rsid w:val="00024C4D"/>
    <w:rsid w:val="000251F3"/>
    <w:rsid w:val="00025336"/>
    <w:rsid w:val="000268EE"/>
    <w:rsid w:val="00027BDC"/>
    <w:rsid w:val="00036556"/>
    <w:rsid w:val="00040EBD"/>
    <w:rsid w:val="00040FB8"/>
    <w:rsid w:val="00042669"/>
    <w:rsid w:val="00042D5E"/>
    <w:rsid w:val="0004330D"/>
    <w:rsid w:val="0004512E"/>
    <w:rsid w:val="00045796"/>
    <w:rsid w:val="00045CCD"/>
    <w:rsid w:val="00047185"/>
    <w:rsid w:val="00052EBE"/>
    <w:rsid w:val="0005377B"/>
    <w:rsid w:val="00053EE4"/>
    <w:rsid w:val="000541DA"/>
    <w:rsid w:val="000549EA"/>
    <w:rsid w:val="0005765B"/>
    <w:rsid w:val="00062B6A"/>
    <w:rsid w:val="0006351B"/>
    <w:rsid w:val="00063671"/>
    <w:rsid w:val="00063C3A"/>
    <w:rsid w:val="00063DF8"/>
    <w:rsid w:val="00064321"/>
    <w:rsid w:val="00064B73"/>
    <w:rsid w:val="00066D02"/>
    <w:rsid w:val="00067324"/>
    <w:rsid w:val="000700FD"/>
    <w:rsid w:val="00070BC1"/>
    <w:rsid w:val="00072BF9"/>
    <w:rsid w:val="00074186"/>
    <w:rsid w:val="000746A7"/>
    <w:rsid w:val="00075057"/>
    <w:rsid w:val="00075CEC"/>
    <w:rsid w:val="00076182"/>
    <w:rsid w:val="000773CB"/>
    <w:rsid w:val="00077719"/>
    <w:rsid w:val="00077C10"/>
    <w:rsid w:val="00077C4E"/>
    <w:rsid w:val="00080826"/>
    <w:rsid w:val="00081554"/>
    <w:rsid w:val="00083356"/>
    <w:rsid w:val="00083865"/>
    <w:rsid w:val="00084E62"/>
    <w:rsid w:val="00085912"/>
    <w:rsid w:val="000875F3"/>
    <w:rsid w:val="00091226"/>
    <w:rsid w:val="0009173D"/>
    <w:rsid w:val="000918B7"/>
    <w:rsid w:val="000925B8"/>
    <w:rsid w:val="0009333D"/>
    <w:rsid w:val="00093B31"/>
    <w:rsid w:val="0009650B"/>
    <w:rsid w:val="0009733F"/>
    <w:rsid w:val="000979AC"/>
    <w:rsid w:val="000A1A5E"/>
    <w:rsid w:val="000A25C0"/>
    <w:rsid w:val="000A5367"/>
    <w:rsid w:val="000A6C02"/>
    <w:rsid w:val="000B046E"/>
    <w:rsid w:val="000B375F"/>
    <w:rsid w:val="000B43C9"/>
    <w:rsid w:val="000B608B"/>
    <w:rsid w:val="000B6621"/>
    <w:rsid w:val="000C1623"/>
    <w:rsid w:val="000C228F"/>
    <w:rsid w:val="000C2BCE"/>
    <w:rsid w:val="000C36B3"/>
    <w:rsid w:val="000C36F7"/>
    <w:rsid w:val="000C5228"/>
    <w:rsid w:val="000D073B"/>
    <w:rsid w:val="000D129C"/>
    <w:rsid w:val="000D3D55"/>
    <w:rsid w:val="000D3E9F"/>
    <w:rsid w:val="000D43C1"/>
    <w:rsid w:val="000D452C"/>
    <w:rsid w:val="000D720A"/>
    <w:rsid w:val="000D7920"/>
    <w:rsid w:val="000E078D"/>
    <w:rsid w:val="000E083E"/>
    <w:rsid w:val="000E2582"/>
    <w:rsid w:val="000E282B"/>
    <w:rsid w:val="000E2AFD"/>
    <w:rsid w:val="000E36EB"/>
    <w:rsid w:val="000E4DBF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53EE"/>
    <w:rsid w:val="000F549B"/>
    <w:rsid w:val="000F6959"/>
    <w:rsid w:val="000F7B81"/>
    <w:rsid w:val="000F7DD1"/>
    <w:rsid w:val="000F7FDA"/>
    <w:rsid w:val="00100617"/>
    <w:rsid w:val="001012EB"/>
    <w:rsid w:val="00101608"/>
    <w:rsid w:val="00101DAD"/>
    <w:rsid w:val="001029BA"/>
    <w:rsid w:val="001035D6"/>
    <w:rsid w:val="00105E4A"/>
    <w:rsid w:val="00105F00"/>
    <w:rsid w:val="00106A95"/>
    <w:rsid w:val="0010728A"/>
    <w:rsid w:val="001079FF"/>
    <w:rsid w:val="001124CF"/>
    <w:rsid w:val="00112A47"/>
    <w:rsid w:val="00112C5A"/>
    <w:rsid w:val="00112CE4"/>
    <w:rsid w:val="001134AA"/>
    <w:rsid w:val="001140C1"/>
    <w:rsid w:val="00114E70"/>
    <w:rsid w:val="001162F9"/>
    <w:rsid w:val="0011719C"/>
    <w:rsid w:val="00117496"/>
    <w:rsid w:val="001211A5"/>
    <w:rsid w:val="001247C1"/>
    <w:rsid w:val="0012616B"/>
    <w:rsid w:val="00127B24"/>
    <w:rsid w:val="00127DF6"/>
    <w:rsid w:val="00132F1F"/>
    <w:rsid w:val="0013431C"/>
    <w:rsid w:val="001355A8"/>
    <w:rsid w:val="00136138"/>
    <w:rsid w:val="00136DBB"/>
    <w:rsid w:val="001375F0"/>
    <w:rsid w:val="0014044A"/>
    <w:rsid w:val="001408FD"/>
    <w:rsid w:val="001420F5"/>
    <w:rsid w:val="00143115"/>
    <w:rsid w:val="0014311E"/>
    <w:rsid w:val="00143F1C"/>
    <w:rsid w:val="001469C1"/>
    <w:rsid w:val="0015059D"/>
    <w:rsid w:val="00152847"/>
    <w:rsid w:val="00154075"/>
    <w:rsid w:val="0015580B"/>
    <w:rsid w:val="0015655A"/>
    <w:rsid w:val="001575D0"/>
    <w:rsid w:val="0016078B"/>
    <w:rsid w:val="0016171B"/>
    <w:rsid w:val="00162242"/>
    <w:rsid w:val="0016266F"/>
    <w:rsid w:val="00163BC2"/>
    <w:rsid w:val="00165954"/>
    <w:rsid w:val="001659A1"/>
    <w:rsid w:val="001668E0"/>
    <w:rsid w:val="00166C9E"/>
    <w:rsid w:val="001676F6"/>
    <w:rsid w:val="00167AC2"/>
    <w:rsid w:val="00170A3B"/>
    <w:rsid w:val="00170A5A"/>
    <w:rsid w:val="0017231D"/>
    <w:rsid w:val="00172671"/>
    <w:rsid w:val="00173D71"/>
    <w:rsid w:val="001752D5"/>
    <w:rsid w:val="00180ADC"/>
    <w:rsid w:val="001810DC"/>
    <w:rsid w:val="0018223B"/>
    <w:rsid w:val="00183940"/>
    <w:rsid w:val="00184594"/>
    <w:rsid w:val="001852B3"/>
    <w:rsid w:val="00185A9E"/>
    <w:rsid w:val="0018642F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FEA"/>
    <w:rsid w:val="00193372"/>
    <w:rsid w:val="00193D8F"/>
    <w:rsid w:val="00195470"/>
    <w:rsid w:val="00195F94"/>
    <w:rsid w:val="0019792F"/>
    <w:rsid w:val="001A0381"/>
    <w:rsid w:val="001A0A20"/>
    <w:rsid w:val="001A21E7"/>
    <w:rsid w:val="001A2AC6"/>
    <w:rsid w:val="001A2FF3"/>
    <w:rsid w:val="001A40D2"/>
    <w:rsid w:val="001A78A2"/>
    <w:rsid w:val="001A7984"/>
    <w:rsid w:val="001B06BE"/>
    <w:rsid w:val="001B3832"/>
    <w:rsid w:val="001B4D8A"/>
    <w:rsid w:val="001B4EF5"/>
    <w:rsid w:val="001B580C"/>
    <w:rsid w:val="001B607F"/>
    <w:rsid w:val="001B7409"/>
    <w:rsid w:val="001C003A"/>
    <w:rsid w:val="001C0F23"/>
    <w:rsid w:val="001C1055"/>
    <w:rsid w:val="001C1142"/>
    <w:rsid w:val="001C29A5"/>
    <w:rsid w:val="001C2EE6"/>
    <w:rsid w:val="001C3786"/>
    <w:rsid w:val="001C4514"/>
    <w:rsid w:val="001C455E"/>
    <w:rsid w:val="001C5200"/>
    <w:rsid w:val="001C569C"/>
    <w:rsid w:val="001C61C6"/>
    <w:rsid w:val="001C7BC9"/>
    <w:rsid w:val="001D0068"/>
    <w:rsid w:val="001D0EDD"/>
    <w:rsid w:val="001D2A0F"/>
    <w:rsid w:val="001D31F9"/>
    <w:rsid w:val="001D3E63"/>
    <w:rsid w:val="001D498A"/>
    <w:rsid w:val="001D6114"/>
    <w:rsid w:val="001E0A68"/>
    <w:rsid w:val="001E1CA1"/>
    <w:rsid w:val="001E2372"/>
    <w:rsid w:val="001E44F8"/>
    <w:rsid w:val="001E4EB9"/>
    <w:rsid w:val="001E4F67"/>
    <w:rsid w:val="001E506B"/>
    <w:rsid w:val="001E50AC"/>
    <w:rsid w:val="001E5F15"/>
    <w:rsid w:val="001E6A96"/>
    <w:rsid w:val="001E725F"/>
    <w:rsid w:val="001E7B78"/>
    <w:rsid w:val="001F17C1"/>
    <w:rsid w:val="001F2B9C"/>
    <w:rsid w:val="001F5420"/>
    <w:rsid w:val="002006CB"/>
    <w:rsid w:val="00200EA5"/>
    <w:rsid w:val="00201664"/>
    <w:rsid w:val="00201731"/>
    <w:rsid w:val="00203483"/>
    <w:rsid w:val="00203F3B"/>
    <w:rsid w:val="00205FD6"/>
    <w:rsid w:val="0020650F"/>
    <w:rsid w:val="002070FB"/>
    <w:rsid w:val="00207521"/>
    <w:rsid w:val="002107CE"/>
    <w:rsid w:val="00211247"/>
    <w:rsid w:val="0021258C"/>
    <w:rsid w:val="0021267F"/>
    <w:rsid w:val="0021298F"/>
    <w:rsid w:val="00212CF4"/>
    <w:rsid w:val="0021586B"/>
    <w:rsid w:val="0021626C"/>
    <w:rsid w:val="002163FB"/>
    <w:rsid w:val="00216B4B"/>
    <w:rsid w:val="00217D74"/>
    <w:rsid w:val="002204F9"/>
    <w:rsid w:val="00220993"/>
    <w:rsid w:val="00220BC0"/>
    <w:rsid w:val="00220CD1"/>
    <w:rsid w:val="00220D96"/>
    <w:rsid w:val="00223616"/>
    <w:rsid w:val="00223AB6"/>
    <w:rsid w:val="00225FAD"/>
    <w:rsid w:val="00226469"/>
    <w:rsid w:val="00226A6B"/>
    <w:rsid w:val="00227FAB"/>
    <w:rsid w:val="00230184"/>
    <w:rsid w:val="00232F71"/>
    <w:rsid w:val="00235340"/>
    <w:rsid w:val="00235F0C"/>
    <w:rsid w:val="00236437"/>
    <w:rsid w:val="00237EDE"/>
    <w:rsid w:val="002406FA"/>
    <w:rsid w:val="00240B11"/>
    <w:rsid w:val="002425C9"/>
    <w:rsid w:val="00243315"/>
    <w:rsid w:val="00243730"/>
    <w:rsid w:val="00243898"/>
    <w:rsid w:val="002438A7"/>
    <w:rsid w:val="00243A53"/>
    <w:rsid w:val="00243FF1"/>
    <w:rsid w:val="00244A22"/>
    <w:rsid w:val="00245A74"/>
    <w:rsid w:val="002478C5"/>
    <w:rsid w:val="00247F49"/>
    <w:rsid w:val="00251D46"/>
    <w:rsid w:val="002566A5"/>
    <w:rsid w:val="00257922"/>
    <w:rsid w:val="0026025A"/>
    <w:rsid w:val="0026047C"/>
    <w:rsid w:val="00261F5A"/>
    <w:rsid w:val="0026239B"/>
    <w:rsid w:val="002629EF"/>
    <w:rsid w:val="0026377A"/>
    <w:rsid w:val="00270117"/>
    <w:rsid w:val="002705C6"/>
    <w:rsid w:val="002718EF"/>
    <w:rsid w:val="002730FB"/>
    <w:rsid w:val="002731FF"/>
    <w:rsid w:val="002735AD"/>
    <w:rsid w:val="00274203"/>
    <w:rsid w:val="00274B0B"/>
    <w:rsid w:val="00276CDB"/>
    <w:rsid w:val="00280C7F"/>
    <w:rsid w:val="00280C97"/>
    <w:rsid w:val="00281BBB"/>
    <w:rsid w:val="00282AAB"/>
    <w:rsid w:val="00282F16"/>
    <w:rsid w:val="00282FEC"/>
    <w:rsid w:val="002831A0"/>
    <w:rsid w:val="00285212"/>
    <w:rsid w:val="002859C5"/>
    <w:rsid w:val="002860D7"/>
    <w:rsid w:val="00290444"/>
    <w:rsid w:val="0029071C"/>
    <w:rsid w:val="00290921"/>
    <w:rsid w:val="002914A4"/>
    <w:rsid w:val="002914BB"/>
    <w:rsid w:val="002943FC"/>
    <w:rsid w:val="00294D78"/>
    <w:rsid w:val="002956DD"/>
    <w:rsid w:val="0029581C"/>
    <w:rsid w:val="00295A65"/>
    <w:rsid w:val="002A0EEB"/>
    <w:rsid w:val="002A16BF"/>
    <w:rsid w:val="002A17C3"/>
    <w:rsid w:val="002A1E3B"/>
    <w:rsid w:val="002A20FF"/>
    <w:rsid w:val="002A6485"/>
    <w:rsid w:val="002A68A0"/>
    <w:rsid w:val="002A730E"/>
    <w:rsid w:val="002A7C15"/>
    <w:rsid w:val="002B06E5"/>
    <w:rsid w:val="002B1FC0"/>
    <w:rsid w:val="002B2B7E"/>
    <w:rsid w:val="002B2E47"/>
    <w:rsid w:val="002B7794"/>
    <w:rsid w:val="002C00A3"/>
    <w:rsid w:val="002C037E"/>
    <w:rsid w:val="002C0515"/>
    <w:rsid w:val="002C0CB9"/>
    <w:rsid w:val="002C3230"/>
    <w:rsid w:val="002C3F26"/>
    <w:rsid w:val="002C5393"/>
    <w:rsid w:val="002C64AA"/>
    <w:rsid w:val="002C6C7D"/>
    <w:rsid w:val="002D08D4"/>
    <w:rsid w:val="002D187B"/>
    <w:rsid w:val="002D3EF0"/>
    <w:rsid w:val="002D4899"/>
    <w:rsid w:val="002D4F1A"/>
    <w:rsid w:val="002D5C37"/>
    <w:rsid w:val="002D74AB"/>
    <w:rsid w:val="002D7FAE"/>
    <w:rsid w:val="002E0D8F"/>
    <w:rsid w:val="002E0E02"/>
    <w:rsid w:val="002E0EE2"/>
    <w:rsid w:val="002E11BB"/>
    <w:rsid w:val="002E354F"/>
    <w:rsid w:val="002E4BFF"/>
    <w:rsid w:val="002E5F0A"/>
    <w:rsid w:val="002E649A"/>
    <w:rsid w:val="002E6D21"/>
    <w:rsid w:val="002F1E62"/>
    <w:rsid w:val="002F2B08"/>
    <w:rsid w:val="002F3DA4"/>
    <w:rsid w:val="002F64AB"/>
    <w:rsid w:val="002F6DC0"/>
    <w:rsid w:val="002F7519"/>
    <w:rsid w:val="0030168F"/>
    <w:rsid w:val="0030249D"/>
    <w:rsid w:val="003037DB"/>
    <w:rsid w:val="0030457C"/>
    <w:rsid w:val="00305955"/>
    <w:rsid w:val="003100F8"/>
    <w:rsid w:val="0031049E"/>
    <w:rsid w:val="00310574"/>
    <w:rsid w:val="003121CD"/>
    <w:rsid w:val="003123D5"/>
    <w:rsid w:val="0031524E"/>
    <w:rsid w:val="0031714E"/>
    <w:rsid w:val="00317374"/>
    <w:rsid w:val="00317683"/>
    <w:rsid w:val="0032097D"/>
    <w:rsid w:val="00320AC3"/>
    <w:rsid w:val="00323238"/>
    <w:rsid w:val="0032362F"/>
    <w:rsid w:val="00323873"/>
    <w:rsid w:val="00323902"/>
    <w:rsid w:val="003245D1"/>
    <w:rsid w:val="00324C26"/>
    <w:rsid w:val="003250DE"/>
    <w:rsid w:val="003262BE"/>
    <w:rsid w:val="003267A8"/>
    <w:rsid w:val="003273AE"/>
    <w:rsid w:val="0033049A"/>
    <w:rsid w:val="0033078C"/>
    <w:rsid w:val="00331F20"/>
    <w:rsid w:val="00332B62"/>
    <w:rsid w:val="0033431F"/>
    <w:rsid w:val="00340258"/>
    <w:rsid w:val="003406D9"/>
    <w:rsid w:val="0034109D"/>
    <w:rsid w:val="003422C7"/>
    <w:rsid w:val="00343643"/>
    <w:rsid w:val="00343984"/>
    <w:rsid w:val="00343C03"/>
    <w:rsid w:val="003456A3"/>
    <w:rsid w:val="003460B0"/>
    <w:rsid w:val="00347D69"/>
    <w:rsid w:val="0035009B"/>
    <w:rsid w:val="00350897"/>
    <w:rsid w:val="003531D4"/>
    <w:rsid w:val="00356CE5"/>
    <w:rsid w:val="00357635"/>
    <w:rsid w:val="003618C2"/>
    <w:rsid w:val="003642ED"/>
    <w:rsid w:val="00364588"/>
    <w:rsid w:val="00364A1A"/>
    <w:rsid w:val="003658A0"/>
    <w:rsid w:val="00366223"/>
    <w:rsid w:val="0036655D"/>
    <w:rsid w:val="00367A8C"/>
    <w:rsid w:val="00367C5F"/>
    <w:rsid w:val="00370F76"/>
    <w:rsid w:val="003722A7"/>
    <w:rsid w:val="00373B50"/>
    <w:rsid w:val="003750C2"/>
    <w:rsid w:val="003752AE"/>
    <w:rsid w:val="00376002"/>
    <w:rsid w:val="00376B99"/>
    <w:rsid w:val="003815D2"/>
    <w:rsid w:val="00381A67"/>
    <w:rsid w:val="003820A5"/>
    <w:rsid w:val="003825CE"/>
    <w:rsid w:val="0038282A"/>
    <w:rsid w:val="00383D8D"/>
    <w:rsid w:val="0038402E"/>
    <w:rsid w:val="00387993"/>
    <w:rsid w:val="00387B3F"/>
    <w:rsid w:val="003911E1"/>
    <w:rsid w:val="003920BC"/>
    <w:rsid w:val="003927CA"/>
    <w:rsid w:val="00393651"/>
    <w:rsid w:val="00393B78"/>
    <w:rsid w:val="00393CD0"/>
    <w:rsid w:val="0039478D"/>
    <w:rsid w:val="0039500D"/>
    <w:rsid w:val="0039518F"/>
    <w:rsid w:val="0039597A"/>
    <w:rsid w:val="00396177"/>
    <w:rsid w:val="00396A43"/>
    <w:rsid w:val="00397580"/>
    <w:rsid w:val="00397DC3"/>
    <w:rsid w:val="003A4F25"/>
    <w:rsid w:val="003A531C"/>
    <w:rsid w:val="003A5393"/>
    <w:rsid w:val="003B044F"/>
    <w:rsid w:val="003B1B01"/>
    <w:rsid w:val="003B1BE4"/>
    <w:rsid w:val="003B2DB6"/>
    <w:rsid w:val="003B2E40"/>
    <w:rsid w:val="003B3967"/>
    <w:rsid w:val="003B54AB"/>
    <w:rsid w:val="003B6567"/>
    <w:rsid w:val="003B7004"/>
    <w:rsid w:val="003B7B23"/>
    <w:rsid w:val="003C0A49"/>
    <w:rsid w:val="003C1823"/>
    <w:rsid w:val="003C196B"/>
    <w:rsid w:val="003C25F6"/>
    <w:rsid w:val="003C2CD5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BA5"/>
    <w:rsid w:val="003D151A"/>
    <w:rsid w:val="003D2F7E"/>
    <w:rsid w:val="003D458B"/>
    <w:rsid w:val="003D5E9A"/>
    <w:rsid w:val="003E17EE"/>
    <w:rsid w:val="003E216A"/>
    <w:rsid w:val="003E405E"/>
    <w:rsid w:val="003E4488"/>
    <w:rsid w:val="003E6271"/>
    <w:rsid w:val="003E6597"/>
    <w:rsid w:val="003E7151"/>
    <w:rsid w:val="003F03DF"/>
    <w:rsid w:val="003F0886"/>
    <w:rsid w:val="003F25F7"/>
    <w:rsid w:val="003F3D3A"/>
    <w:rsid w:val="003F4639"/>
    <w:rsid w:val="003F526A"/>
    <w:rsid w:val="003F6B93"/>
    <w:rsid w:val="0040113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104AB"/>
    <w:rsid w:val="004116C8"/>
    <w:rsid w:val="004117A2"/>
    <w:rsid w:val="004159D9"/>
    <w:rsid w:val="00417198"/>
    <w:rsid w:val="00417804"/>
    <w:rsid w:val="00422171"/>
    <w:rsid w:val="004221EB"/>
    <w:rsid w:val="00422940"/>
    <w:rsid w:val="00422ADA"/>
    <w:rsid w:val="004244C2"/>
    <w:rsid w:val="0042692B"/>
    <w:rsid w:val="0043002D"/>
    <w:rsid w:val="00430477"/>
    <w:rsid w:val="004316C1"/>
    <w:rsid w:val="00431DE2"/>
    <w:rsid w:val="0043249A"/>
    <w:rsid w:val="0043258F"/>
    <w:rsid w:val="00432CDD"/>
    <w:rsid w:val="00432F40"/>
    <w:rsid w:val="00433309"/>
    <w:rsid w:val="004335E1"/>
    <w:rsid w:val="00433ACF"/>
    <w:rsid w:val="0043457D"/>
    <w:rsid w:val="00434702"/>
    <w:rsid w:val="0043582A"/>
    <w:rsid w:val="00435BD3"/>
    <w:rsid w:val="00436883"/>
    <w:rsid w:val="00436CE0"/>
    <w:rsid w:val="00440F30"/>
    <w:rsid w:val="0044309B"/>
    <w:rsid w:val="00443857"/>
    <w:rsid w:val="00444BE4"/>
    <w:rsid w:val="00445845"/>
    <w:rsid w:val="00446B38"/>
    <w:rsid w:val="00446DE3"/>
    <w:rsid w:val="00450138"/>
    <w:rsid w:val="0045210B"/>
    <w:rsid w:val="00452DD5"/>
    <w:rsid w:val="00454CBC"/>
    <w:rsid w:val="0045547F"/>
    <w:rsid w:val="00456A39"/>
    <w:rsid w:val="004578A2"/>
    <w:rsid w:val="0046392D"/>
    <w:rsid w:val="00464BED"/>
    <w:rsid w:val="0046700D"/>
    <w:rsid w:val="004676D6"/>
    <w:rsid w:val="00467A24"/>
    <w:rsid w:val="00472972"/>
    <w:rsid w:val="00472CC1"/>
    <w:rsid w:val="0047377E"/>
    <w:rsid w:val="00473F1C"/>
    <w:rsid w:val="004749DA"/>
    <w:rsid w:val="00474AC2"/>
    <w:rsid w:val="00475D77"/>
    <w:rsid w:val="004768A6"/>
    <w:rsid w:val="00477F84"/>
    <w:rsid w:val="00480E60"/>
    <w:rsid w:val="004822B1"/>
    <w:rsid w:val="00482FC6"/>
    <w:rsid w:val="00483528"/>
    <w:rsid w:val="00486AD1"/>
    <w:rsid w:val="00486C7B"/>
    <w:rsid w:val="00487A9A"/>
    <w:rsid w:val="00493628"/>
    <w:rsid w:val="004939D5"/>
    <w:rsid w:val="00495875"/>
    <w:rsid w:val="00495C46"/>
    <w:rsid w:val="00495CD8"/>
    <w:rsid w:val="004965CB"/>
    <w:rsid w:val="00496DC4"/>
    <w:rsid w:val="00496EF6"/>
    <w:rsid w:val="004A06D8"/>
    <w:rsid w:val="004A0EA8"/>
    <w:rsid w:val="004A1A00"/>
    <w:rsid w:val="004A26A6"/>
    <w:rsid w:val="004A2EB6"/>
    <w:rsid w:val="004A3104"/>
    <w:rsid w:val="004A336F"/>
    <w:rsid w:val="004A3C7A"/>
    <w:rsid w:val="004A4EFE"/>
    <w:rsid w:val="004A6E58"/>
    <w:rsid w:val="004A7254"/>
    <w:rsid w:val="004A7840"/>
    <w:rsid w:val="004A78F2"/>
    <w:rsid w:val="004B02E3"/>
    <w:rsid w:val="004B2201"/>
    <w:rsid w:val="004B2C09"/>
    <w:rsid w:val="004C1158"/>
    <w:rsid w:val="004C1FBB"/>
    <w:rsid w:val="004C22C9"/>
    <w:rsid w:val="004C26C9"/>
    <w:rsid w:val="004C2C9D"/>
    <w:rsid w:val="004C3951"/>
    <w:rsid w:val="004C492C"/>
    <w:rsid w:val="004C5259"/>
    <w:rsid w:val="004C5D40"/>
    <w:rsid w:val="004C65E9"/>
    <w:rsid w:val="004D0B2B"/>
    <w:rsid w:val="004D1D9D"/>
    <w:rsid w:val="004D1DFF"/>
    <w:rsid w:val="004D2FAC"/>
    <w:rsid w:val="004D4FF7"/>
    <w:rsid w:val="004D5D91"/>
    <w:rsid w:val="004D7F82"/>
    <w:rsid w:val="004E23CB"/>
    <w:rsid w:val="004E244B"/>
    <w:rsid w:val="004E3BDB"/>
    <w:rsid w:val="004E479E"/>
    <w:rsid w:val="004E7423"/>
    <w:rsid w:val="004E78EF"/>
    <w:rsid w:val="004F02CB"/>
    <w:rsid w:val="004F10F1"/>
    <w:rsid w:val="004F128E"/>
    <w:rsid w:val="004F1594"/>
    <w:rsid w:val="004F3209"/>
    <w:rsid w:val="004F339C"/>
    <w:rsid w:val="004F34D8"/>
    <w:rsid w:val="004F3791"/>
    <w:rsid w:val="004F399E"/>
    <w:rsid w:val="004F3BF5"/>
    <w:rsid w:val="004F48C3"/>
    <w:rsid w:val="004F5769"/>
    <w:rsid w:val="004F78E6"/>
    <w:rsid w:val="00500E6D"/>
    <w:rsid w:val="00502E10"/>
    <w:rsid w:val="00503B5D"/>
    <w:rsid w:val="00504A34"/>
    <w:rsid w:val="00512D99"/>
    <w:rsid w:val="00513215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B63"/>
    <w:rsid w:val="00525CBD"/>
    <w:rsid w:val="00530212"/>
    <w:rsid w:val="00530F10"/>
    <w:rsid w:val="005332C7"/>
    <w:rsid w:val="005336EE"/>
    <w:rsid w:val="0053410E"/>
    <w:rsid w:val="00534811"/>
    <w:rsid w:val="005357BE"/>
    <w:rsid w:val="00536EE8"/>
    <w:rsid w:val="005376E8"/>
    <w:rsid w:val="00537A80"/>
    <w:rsid w:val="00540CFD"/>
    <w:rsid w:val="0054324A"/>
    <w:rsid w:val="0054409D"/>
    <w:rsid w:val="00545627"/>
    <w:rsid w:val="00546594"/>
    <w:rsid w:val="00547AAE"/>
    <w:rsid w:val="00547FA5"/>
    <w:rsid w:val="0055102F"/>
    <w:rsid w:val="00551504"/>
    <w:rsid w:val="00551D9F"/>
    <w:rsid w:val="00552C2F"/>
    <w:rsid w:val="00553ADE"/>
    <w:rsid w:val="00554498"/>
    <w:rsid w:val="005544DC"/>
    <w:rsid w:val="00554D71"/>
    <w:rsid w:val="00554DD3"/>
    <w:rsid w:val="0055549F"/>
    <w:rsid w:val="0055672C"/>
    <w:rsid w:val="00557B9F"/>
    <w:rsid w:val="0056062B"/>
    <w:rsid w:val="00560BCA"/>
    <w:rsid w:val="00561F70"/>
    <w:rsid w:val="005639EB"/>
    <w:rsid w:val="00565C9A"/>
    <w:rsid w:val="00566732"/>
    <w:rsid w:val="00567061"/>
    <w:rsid w:val="00567296"/>
    <w:rsid w:val="00567D4D"/>
    <w:rsid w:val="00570ED1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18A6"/>
    <w:rsid w:val="0058239E"/>
    <w:rsid w:val="005853A8"/>
    <w:rsid w:val="00591263"/>
    <w:rsid w:val="005935F3"/>
    <w:rsid w:val="00594346"/>
    <w:rsid w:val="00594899"/>
    <w:rsid w:val="00597759"/>
    <w:rsid w:val="00597E5F"/>
    <w:rsid w:val="005A0568"/>
    <w:rsid w:val="005A46B4"/>
    <w:rsid w:val="005A4798"/>
    <w:rsid w:val="005A4BD2"/>
    <w:rsid w:val="005A7726"/>
    <w:rsid w:val="005B3E45"/>
    <w:rsid w:val="005B41A0"/>
    <w:rsid w:val="005B65B5"/>
    <w:rsid w:val="005B7299"/>
    <w:rsid w:val="005B79A0"/>
    <w:rsid w:val="005B7E7A"/>
    <w:rsid w:val="005C0595"/>
    <w:rsid w:val="005C188E"/>
    <w:rsid w:val="005C214B"/>
    <w:rsid w:val="005C24B7"/>
    <w:rsid w:val="005C2C6E"/>
    <w:rsid w:val="005C3CBD"/>
    <w:rsid w:val="005C52D0"/>
    <w:rsid w:val="005C64B1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1642"/>
    <w:rsid w:val="005E2ABA"/>
    <w:rsid w:val="005E2EA8"/>
    <w:rsid w:val="005E319F"/>
    <w:rsid w:val="005E3449"/>
    <w:rsid w:val="005E3BCE"/>
    <w:rsid w:val="005E4B6F"/>
    <w:rsid w:val="005E5054"/>
    <w:rsid w:val="005E551C"/>
    <w:rsid w:val="005E6039"/>
    <w:rsid w:val="005F05AA"/>
    <w:rsid w:val="005F1BF1"/>
    <w:rsid w:val="005F2753"/>
    <w:rsid w:val="005F426B"/>
    <w:rsid w:val="005F4F90"/>
    <w:rsid w:val="005F5D08"/>
    <w:rsid w:val="005F613D"/>
    <w:rsid w:val="005F6823"/>
    <w:rsid w:val="005F6A03"/>
    <w:rsid w:val="005F783B"/>
    <w:rsid w:val="005F79FB"/>
    <w:rsid w:val="00600404"/>
    <w:rsid w:val="00601289"/>
    <w:rsid w:val="006019C0"/>
    <w:rsid w:val="006020B8"/>
    <w:rsid w:val="00603C28"/>
    <w:rsid w:val="0060420D"/>
    <w:rsid w:val="00605C19"/>
    <w:rsid w:val="00606CEF"/>
    <w:rsid w:val="0060765A"/>
    <w:rsid w:val="006111FF"/>
    <w:rsid w:val="00612568"/>
    <w:rsid w:val="00612DFB"/>
    <w:rsid w:val="00613862"/>
    <w:rsid w:val="00613C93"/>
    <w:rsid w:val="00613F77"/>
    <w:rsid w:val="00615A63"/>
    <w:rsid w:val="00616BC8"/>
    <w:rsid w:val="0061762E"/>
    <w:rsid w:val="0062271A"/>
    <w:rsid w:val="00622C65"/>
    <w:rsid w:val="00622DA5"/>
    <w:rsid w:val="00623201"/>
    <w:rsid w:val="00623ECC"/>
    <w:rsid w:val="00626140"/>
    <w:rsid w:val="00627788"/>
    <w:rsid w:val="0063087F"/>
    <w:rsid w:val="0063295F"/>
    <w:rsid w:val="00632BFD"/>
    <w:rsid w:val="00634A38"/>
    <w:rsid w:val="00634F04"/>
    <w:rsid w:val="00635158"/>
    <w:rsid w:val="00635BE4"/>
    <w:rsid w:val="00635EE0"/>
    <w:rsid w:val="00636054"/>
    <w:rsid w:val="00637034"/>
    <w:rsid w:val="00637ADD"/>
    <w:rsid w:val="00637C34"/>
    <w:rsid w:val="0064237E"/>
    <w:rsid w:val="00644D54"/>
    <w:rsid w:val="00647983"/>
    <w:rsid w:val="0065251F"/>
    <w:rsid w:val="00652FA2"/>
    <w:rsid w:val="00656DD9"/>
    <w:rsid w:val="006571DC"/>
    <w:rsid w:val="00657234"/>
    <w:rsid w:val="00660727"/>
    <w:rsid w:val="00660F25"/>
    <w:rsid w:val="00662B1E"/>
    <w:rsid w:val="00664C6C"/>
    <w:rsid w:val="00665072"/>
    <w:rsid w:val="006651E9"/>
    <w:rsid w:val="0066539C"/>
    <w:rsid w:val="0066715A"/>
    <w:rsid w:val="00667293"/>
    <w:rsid w:val="0067116D"/>
    <w:rsid w:val="0067426A"/>
    <w:rsid w:val="006771BD"/>
    <w:rsid w:val="0068096C"/>
    <w:rsid w:val="006817DE"/>
    <w:rsid w:val="00681811"/>
    <w:rsid w:val="0068233A"/>
    <w:rsid w:val="00682873"/>
    <w:rsid w:val="006836B9"/>
    <w:rsid w:val="00684E61"/>
    <w:rsid w:val="00685112"/>
    <w:rsid w:val="006855C7"/>
    <w:rsid w:val="006856BD"/>
    <w:rsid w:val="00685EA4"/>
    <w:rsid w:val="00687B0B"/>
    <w:rsid w:val="006929ED"/>
    <w:rsid w:val="00693CFF"/>
    <w:rsid w:val="0069436B"/>
    <w:rsid w:val="00694AE4"/>
    <w:rsid w:val="00694FC2"/>
    <w:rsid w:val="00695DB4"/>
    <w:rsid w:val="00695FC9"/>
    <w:rsid w:val="006971D0"/>
    <w:rsid w:val="00697686"/>
    <w:rsid w:val="0069776B"/>
    <w:rsid w:val="00697FC3"/>
    <w:rsid w:val="006A0896"/>
    <w:rsid w:val="006A2351"/>
    <w:rsid w:val="006A24C8"/>
    <w:rsid w:val="006A38A0"/>
    <w:rsid w:val="006A527F"/>
    <w:rsid w:val="006A5825"/>
    <w:rsid w:val="006B1924"/>
    <w:rsid w:val="006B1FBC"/>
    <w:rsid w:val="006B408C"/>
    <w:rsid w:val="006B5CD5"/>
    <w:rsid w:val="006B6033"/>
    <w:rsid w:val="006B65B9"/>
    <w:rsid w:val="006B699D"/>
    <w:rsid w:val="006B792F"/>
    <w:rsid w:val="006C2D34"/>
    <w:rsid w:val="006C31B5"/>
    <w:rsid w:val="006C35A5"/>
    <w:rsid w:val="006C3990"/>
    <w:rsid w:val="006C4221"/>
    <w:rsid w:val="006C4ADE"/>
    <w:rsid w:val="006C735F"/>
    <w:rsid w:val="006D0C6A"/>
    <w:rsid w:val="006D2BB1"/>
    <w:rsid w:val="006D45A4"/>
    <w:rsid w:val="006D7E16"/>
    <w:rsid w:val="006D7E3D"/>
    <w:rsid w:val="006E024F"/>
    <w:rsid w:val="006E0C61"/>
    <w:rsid w:val="006E0E3A"/>
    <w:rsid w:val="006E1A7F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3EFB"/>
    <w:rsid w:val="006F5281"/>
    <w:rsid w:val="006F6103"/>
    <w:rsid w:val="006F6C25"/>
    <w:rsid w:val="006F6C7C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3ED0"/>
    <w:rsid w:val="00705610"/>
    <w:rsid w:val="0070563E"/>
    <w:rsid w:val="00705DD6"/>
    <w:rsid w:val="00707F7D"/>
    <w:rsid w:val="00710C12"/>
    <w:rsid w:val="007141B3"/>
    <w:rsid w:val="00717BEF"/>
    <w:rsid w:val="00717EC5"/>
    <w:rsid w:val="0072054C"/>
    <w:rsid w:val="007210DC"/>
    <w:rsid w:val="007211E1"/>
    <w:rsid w:val="0072160D"/>
    <w:rsid w:val="007222CD"/>
    <w:rsid w:val="00725EB4"/>
    <w:rsid w:val="00727EA5"/>
    <w:rsid w:val="00730DE5"/>
    <w:rsid w:val="007315E7"/>
    <w:rsid w:val="00731943"/>
    <w:rsid w:val="00732721"/>
    <w:rsid w:val="00732EC3"/>
    <w:rsid w:val="00733EEF"/>
    <w:rsid w:val="00734409"/>
    <w:rsid w:val="00735EF3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9C4"/>
    <w:rsid w:val="00751C7A"/>
    <w:rsid w:val="00751DB0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4191"/>
    <w:rsid w:val="00764407"/>
    <w:rsid w:val="00764626"/>
    <w:rsid w:val="00765D7B"/>
    <w:rsid w:val="007701ED"/>
    <w:rsid w:val="00771E5A"/>
    <w:rsid w:val="00772246"/>
    <w:rsid w:val="0077224C"/>
    <w:rsid w:val="00772EFA"/>
    <w:rsid w:val="007745B4"/>
    <w:rsid w:val="00774BF4"/>
    <w:rsid w:val="0077577D"/>
    <w:rsid w:val="0077685E"/>
    <w:rsid w:val="007874A2"/>
    <w:rsid w:val="00792593"/>
    <w:rsid w:val="00793407"/>
    <w:rsid w:val="00793C81"/>
    <w:rsid w:val="00793D83"/>
    <w:rsid w:val="00795AEF"/>
    <w:rsid w:val="007967D2"/>
    <w:rsid w:val="00797576"/>
    <w:rsid w:val="00797DAE"/>
    <w:rsid w:val="007A0DBF"/>
    <w:rsid w:val="007A1F00"/>
    <w:rsid w:val="007A20A2"/>
    <w:rsid w:val="007A3958"/>
    <w:rsid w:val="007A3EEB"/>
    <w:rsid w:val="007A487F"/>
    <w:rsid w:val="007A494B"/>
    <w:rsid w:val="007A4E92"/>
    <w:rsid w:val="007A5540"/>
    <w:rsid w:val="007A5979"/>
    <w:rsid w:val="007A5C0F"/>
    <w:rsid w:val="007B1BB2"/>
    <w:rsid w:val="007B253A"/>
    <w:rsid w:val="007B3D4F"/>
    <w:rsid w:val="007B6A23"/>
    <w:rsid w:val="007B7738"/>
    <w:rsid w:val="007C13FD"/>
    <w:rsid w:val="007C2022"/>
    <w:rsid w:val="007C2579"/>
    <w:rsid w:val="007C3874"/>
    <w:rsid w:val="007C65FB"/>
    <w:rsid w:val="007D19CB"/>
    <w:rsid w:val="007D4EDE"/>
    <w:rsid w:val="007D657A"/>
    <w:rsid w:val="007D6943"/>
    <w:rsid w:val="007D6B51"/>
    <w:rsid w:val="007D6BB8"/>
    <w:rsid w:val="007E056C"/>
    <w:rsid w:val="007E1011"/>
    <w:rsid w:val="007E131B"/>
    <w:rsid w:val="007E38FC"/>
    <w:rsid w:val="007E43CB"/>
    <w:rsid w:val="007E5384"/>
    <w:rsid w:val="007E5B5A"/>
    <w:rsid w:val="007E61D4"/>
    <w:rsid w:val="007E7C01"/>
    <w:rsid w:val="007F00ED"/>
    <w:rsid w:val="007F047A"/>
    <w:rsid w:val="007F1809"/>
    <w:rsid w:val="007F2648"/>
    <w:rsid w:val="007F2DF4"/>
    <w:rsid w:val="007F2F95"/>
    <w:rsid w:val="007F32FA"/>
    <w:rsid w:val="007F4425"/>
    <w:rsid w:val="007F449C"/>
    <w:rsid w:val="007F5D96"/>
    <w:rsid w:val="007F7877"/>
    <w:rsid w:val="007F7A9D"/>
    <w:rsid w:val="0080292B"/>
    <w:rsid w:val="008036C3"/>
    <w:rsid w:val="008055E9"/>
    <w:rsid w:val="008059B2"/>
    <w:rsid w:val="008104F3"/>
    <w:rsid w:val="008123A1"/>
    <w:rsid w:val="00812503"/>
    <w:rsid w:val="00813325"/>
    <w:rsid w:val="008137C3"/>
    <w:rsid w:val="008141CA"/>
    <w:rsid w:val="0081538E"/>
    <w:rsid w:val="0081593D"/>
    <w:rsid w:val="00816ECC"/>
    <w:rsid w:val="008176FE"/>
    <w:rsid w:val="00817E62"/>
    <w:rsid w:val="00821870"/>
    <w:rsid w:val="008219E0"/>
    <w:rsid w:val="008232F5"/>
    <w:rsid w:val="008238AA"/>
    <w:rsid w:val="0082395E"/>
    <w:rsid w:val="00825619"/>
    <w:rsid w:val="008275F3"/>
    <w:rsid w:val="00827D0C"/>
    <w:rsid w:val="008302EB"/>
    <w:rsid w:val="0083066F"/>
    <w:rsid w:val="00830848"/>
    <w:rsid w:val="008316C3"/>
    <w:rsid w:val="00831780"/>
    <w:rsid w:val="0083285B"/>
    <w:rsid w:val="00834F09"/>
    <w:rsid w:val="00835855"/>
    <w:rsid w:val="00836BCB"/>
    <w:rsid w:val="00837A6D"/>
    <w:rsid w:val="008400A9"/>
    <w:rsid w:val="0084164E"/>
    <w:rsid w:val="00841E67"/>
    <w:rsid w:val="008422EA"/>
    <w:rsid w:val="0084236C"/>
    <w:rsid w:val="00843089"/>
    <w:rsid w:val="00843D7B"/>
    <w:rsid w:val="00844F8E"/>
    <w:rsid w:val="00846916"/>
    <w:rsid w:val="00850A8E"/>
    <w:rsid w:val="0085146D"/>
    <w:rsid w:val="00851807"/>
    <w:rsid w:val="008549AF"/>
    <w:rsid w:val="008553E5"/>
    <w:rsid w:val="00855D3B"/>
    <w:rsid w:val="008561A9"/>
    <w:rsid w:val="00860325"/>
    <w:rsid w:val="00860369"/>
    <w:rsid w:val="008611E3"/>
    <w:rsid w:val="00861D0E"/>
    <w:rsid w:val="00862970"/>
    <w:rsid w:val="00864B09"/>
    <w:rsid w:val="00871463"/>
    <w:rsid w:val="00872406"/>
    <w:rsid w:val="00872977"/>
    <w:rsid w:val="00872AAA"/>
    <w:rsid w:val="00873856"/>
    <w:rsid w:val="00873F6B"/>
    <w:rsid w:val="00874399"/>
    <w:rsid w:val="00875396"/>
    <w:rsid w:val="0087573E"/>
    <w:rsid w:val="008765D9"/>
    <w:rsid w:val="00880BE3"/>
    <w:rsid w:val="00882A3F"/>
    <w:rsid w:val="0088522C"/>
    <w:rsid w:val="0088715D"/>
    <w:rsid w:val="00887C43"/>
    <w:rsid w:val="00891B16"/>
    <w:rsid w:val="008924A0"/>
    <w:rsid w:val="00892BD1"/>
    <w:rsid w:val="00893A4A"/>
    <w:rsid w:val="008951DF"/>
    <w:rsid w:val="0089588B"/>
    <w:rsid w:val="008A0438"/>
    <w:rsid w:val="008A0693"/>
    <w:rsid w:val="008A0B0B"/>
    <w:rsid w:val="008A4BCF"/>
    <w:rsid w:val="008A64C4"/>
    <w:rsid w:val="008B0346"/>
    <w:rsid w:val="008B0D4D"/>
    <w:rsid w:val="008B0E0F"/>
    <w:rsid w:val="008B3177"/>
    <w:rsid w:val="008B41B2"/>
    <w:rsid w:val="008B4232"/>
    <w:rsid w:val="008B4AE7"/>
    <w:rsid w:val="008B4BF3"/>
    <w:rsid w:val="008B5A47"/>
    <w:rsid w:val="008B5B39"/>
    <w:rsid w:val="008C020A"/>
    <w:rsid w:val="008C1EAA"/>
    <w:rsid w:val="008C2353"/>
    <w:rsid w:val="008C36A4"/>
    <w:rsid w:val="008C384C"/>
    <w:rsid w:val="008C3CC3"/>
    <w:rsid w:val="008C4097"/>
    <w:rsid w:val="008C59E1"/>
    <w:rsid w:val="008C62CE"/>
    <w:rsid w:val="008C6AA0"/>
    <w:rsid w:val="008C7315"/>
    <w:rsid w:val="008D2614"/>
    <w:rsid w:val="008D2CDF"/>
    <w:rsid w:val="008D2F63"/>
    <w:rsid w:val="008D31CA"/>
    <w:rsid w:val="008D3AE7"/>
    <w:rsid w:val="008D5E8D"/>
    <w:rsid w:val="008D7E45"/>
    <w:rsid w:val="008E124F"/>
    <w:rsid w:val="008E322C"/>
    <w:rsid w:val="008E334F"/>
    <w:rsid w:val="008E42D7"/>
    <w:rsid w:val="008F0330"/>
    <w:rsid w:val="008F29A4"/>
    <w:rsid w:val="008F4BD8"/>
    <w:rsid w:val="008F705E"/>
    <w:rsid w:val="008F71F4"/>
    <w:rsid w:val="008F73B4"/>
    <w:rsid w:val="009000D7"/>
    <w:rsid w:val="00900398"/>
    <w:rsid w:val="00900534"/>
    <w:rsid w:val="00900B77"/>
    <w:rsid w:val="00903003"/>
    <w:rsid w:val="00903A40"/>
    <w:rsid w:val="0090507E"/>
    <w:rsid w:val="009054A9"/>
    <w:rsid w:val="0090626D"/>
    <w:rsid w:val="0090631B"/>
    <w:rsid w:val="00910439"/>
    <w:rsid w:val="009120B8"/>
    <w:rsid w:val="009132B6"/>
    <w:rsid w:val="00913FA9"/>
    <w:rsid w:val="0091443D"/>
    <w:rsid w:val="00914FDE"/>
    <w:rsid w:val="009152C0"/>
    <w:rsid w:val="009157FD"/>
    <w:rsid w:val="00916BEE"/>
    <w:rsid w:val="00917A42"/>
    <w:rsid w:val="00917E1A"/>
    <w:rsid w:val="00920124"/>
    <w:rsid w:val="0092037E"/>
    <w:rsid w:val="00922961"/>
    <w:rsid w:val="00922DF6"/>
    <w:rsid w:val="009253C0"/>
    <w:rsid w:val="00925729"/>
    <w:rsid w:val="00930587"/>
    <w:rsid w:val="0093193A"/>
    <w:rsid w:val="009332D6"/>
    <w:rsid w:val="009337A0"/>
    <w:rsid w:val="00933A66"/>
    <w:rsid w:val="00934767"/>
    <w:rsid w:val="00934DB2"/>
    <w:rsid w:val="00935CC0"/>
    <w:rsid w:val="009369D9"/>
    <w:rsid w:val="00941BE9"/>
    <w:rsid w:val="00942340"/>
    <w:rsid w:val="00942CD6"/>
    <w:rsid w:val="00943F9A"/>
    <w:rsid w:val="00944BDC"/>
    <w:rsid w:val="00945A8F"/>
    <w:rsid w:val="00945BFA"/>
    <w:rsid w:val="009462F6"/>
    <w:rsid w:val="00947336"/>
    <w:rsid w:val="00947584"/>
    <w:rsid w:val="00950790"/>
    <w:rsid w:val="0095088B"/>
    <w:rsid w:val="0095098A"/>
    <w:rsid w:val="0095180A"/>
    <w:rsid w:val="00952494"/>
    <w:rsid w:val="009553C5"/>
    <w:rsid w:val="00960185"/>
    <w:rsid w:val="00960C7C"/>
    <w:rsid w:val="0096256F"/>
    <w:rsid w:val="009629E6"/>
    <w:rsid w:val="009635C5"/>
    <w:rsid w:val="00963C93"/>
    <w:rsid w:val="00964A48"/>
    <w:rsid w:val="009651D3"/>
    <w:rsid w:val="00965881"/>
    <w:rsid w:val="00967095"/>
    <w:rsid w:val="0097124D"/>
    <w:rsid w:val="009715F0"/>
    <w:rsid w:val="00971997"/>
    <w:rsid w:val="00972F15"/>
    <w:rsid w:val="009743F5"/>
    <w:rsid w:val="00976F08"/>
    <w:rsid w:val="009774DF"/>
    <w:rsid w:val="0098064F"/>
    <w:rsid w:val="00983375"/>
    <w:rsid w:val="009843E9"/>
    <w:rsid w:val="00984C63"/>
    <w:rsid w:val="0098793A"/>
    <w:rsid w:val="00987D01"/>
    <w:rsid w:val="00991419"/>
    <w:rsid w:val="00991CD1"/>
    <w:rsid w:val="00992AB3"/>
    <w:rsid w:val="00992D74"/>
    <w:rsid w:val="00995124"/>
    <w:rsid w:val="00997914"/>
    <w:rsid w:val="00997F33"/>
    <w:rsid w:val="009A280A"/>
    <w:rsid w:val="009A372B"/>
    <w:rsid w:val="009A5F93"/>
    <w:rsid w:val="009A7476"/>
    <w:rsid w:val="009A79DC"/>
    <w:rsid w:val="009B097A"/>
    <w:rsid w:val="009B3B6E"/>
    <w:rsid w:val="009B4536"/>
    <w:rsid w:val="009B55B1"/>
    <w:rsid w:val="009B5DE2"/>
    <w:rsid w:val="009B698E"/>
    <w:rsid w:val="009B6E02"/>
    <w:rsid w:val="009B6E58"/>
    <w:rsid w:val="009C01E0"/>
    <w:rsid w:val="009C0905"/>
    <w:rsid w:val="009C1AEA"/>
    <w:rsid w:val="009C1E31"/>
    <w:rsid w:val="009C3183"/>
    <w:rsid w:val="009C358D"/>
    <w:rsid w:val="009C400F"/>
    <w:rsid w:val="009C739D"/>
    <w:rsid w:val="009C7874"/>
    <w:rsid w:val="009D0E61"/>
    <w:rsid w:val="009D44C5"/>
    <w:rsid w:val="009D4AA0"/>
    <w:rsid w:val="009E0BC5"/>
    <w:rsid w:val="009E2186"/>
    <w:rsid w:val="009E2AE2"/>
    <w:rsid w:val="009E2B01"/>
    <w:rsid w:val="009E423B"/>
    <w:rsid w:val="009E5946"/>
    <w:rsid w:val="009E6479"/>
    <w:rsid w:val="009E785D"/>
    <w:rsid w:val="009F10E2"/>
    <w:rsid w:val="009F13AF"/>
    <w:rsid w:val="009F1C14"/>
    <w:rsid w:val="009F250C"/>
    <w:rsid w:val="009F2C60"/>
    <w:rsid w:val="009F318E"/>
    <w:rsid w:val="009F3B83"/>
    <w:rsid w:val="009F4E20"/>
    <w:rsid w:val="009F6D50"/>
    <w:rsid w:val="00A00204"/>
    <w:rsid w:val="00A014FF"/>
    <w:rsid w:val="00A01636"/>
    <w:rsid w:val="00A03190"/>
    <w:rsid w:val="00A0343A"/>
    <w:rsid w:val="00A067A4"/>
    <w:rsid w:val="00A06C59"/>
    <w:rsid w:val="00A07E42"/>
    <w:rsid w:val="00A102A0"/>
    <w:rsid w:val="00A10806"/>
    <w:rsid w:val="00A12936"/>
    <w:rsid w:val="00A12EE6"/>
    <w:rsid w:val="00A15F79"/>
    <w:rsid w:val="00A1643D"/>
    <w:rsid w:val="00A17914"/>
    <w:rsid w:val="00A17C51"/>
    <w:rsid w:val="00A2098F"/>
    <w:rsid w:val="00A20BCD"/>
    <w:rsid w:val="00A22987"/>
    <w:rsid w:val="00A22BD4"/>
    <w:rsid w:val="00A22DA7"/>
    <w:rsid w:val="00A23561"/>
    <w:rsid w:val="00A24207"/>
    <w:rsid w:val="00A25E4C"/>
    <w:rsid w:val="00A3200E"/>
    <w:rsid w:val="00A32029"/>
    <w:rsid w:val="00A3379D"/>
    <w:rsid w:val="00A33E33"/>
    <w:rsid w:val="00A360A0"/>
    <w:rsid w:val="00A37239"/>
    <w:rsid w:val="00A37521"/>
    <w:rsid w:val="00A377B5"/>
    <w:rsid w:val="00A40101"/>
    <w:rsid w:val="00A40D1D"/>
    <w:rsid w:val="00A41A5E"/>
    <w:rsid w:val="00A41C02"/>
    <w:rsid w:val="00A4343D"/>
    <w:rsid w:val="00A43C2D"/>
    <w:rsid w:val="00A44ED5"/>
    <w:rsid w:val="00A469E4"/>
    <w:rsid w:val="00A46BDD"/>
    <w:rsid w:val="00A46D6A"/>
    <w:rsid w:val="00A46DA6"/>
    <w:rsid w:val="00A510AD"/>
    <w:rsid w:val="00A514D9"/>
    <w:rsid w:val="00A529C0"/>
    <w:rsid w:val="00A53375"/>
    <w:rsid w:val="00A54052"/>
    <w:rsid w:val="00A54B46"/>
    <w:rsid w:val="00A5574A"/>
    <w:rsid w:val="00A558C5"/>
    <w:rsid w:val="00A57CE4"/>
    <w:rsid w:val="00A60620"/>
    <w:rsid w:val="00A61135"/>
    <w:rsid w:val="00A61E50"/>
    <w:rsid w:val="00A625E1"/>
    <w:rsid w:val="00A64806"/>
    <w:rsid w:val="00A64B08"/>
    <w:rsid w:val="00A65953"/>
    <w:rsid w:val="00A65A7D"/>
    <w:rsid w:val="00A662ED"/>
    <w:rsid w:val="00A66B0E"/>
    <w:rsid w:val="00A67130"/>
    <w:rsid w:val="00A67192"/>
    <w:rsid w:val="00A679D3"/>
    <w:rsid w:val="00A701BA"/>
    <w:rsid w:val="00A70DE7"/>
    <w:rsid w:val="00A70F56"/>
    <w:rsid w:val="00A73195"/>
    <w:rsid w:val="00A747DD"/>
    <w:rsid w:val="00A75140"/>
    <w:rsid w:val="00A75A14"/>
    <w:rsid w:val="00A75C16"/>
    <w:rsid w:val="00A7660D"/>
    <w:rsid w:val="00A8019A"/>
    <w:rsid w:val="00A80AB9"/>
    <w:rsid w:val="00A80DE6"/>
    <w:rsid w:val="00A81EB3"/>
    <w:rsid w:val="00A84FEF"/>
    <w:rsid w:val="00A85FE3"/>
    <w:rsid w:val="00A90185"/>
    <w:rsid w:val="00A90AD2"/>
    <w:rsid w:val="00A91C2B"/>
    <w:rsid w:val="00A920D8"/>
    <w:rsid w:val="00A95024"/>
    <w:rsid w:val="00A95402"/>
    <w:rsid w:val="00A960A4"/>
    <w:rsid w:val="00A9750B"/>
    <w:rsid w:val="00AA29F8"/>
    <w:rsid w:val="00AA46FA"/>
    <w:rsid w:val="00AA585B"/>
    <w:rsid w:val="00AA6282"/>
    <w:rsid w:val="00AA72F3"/>
    <w:rsid w:val="00AB2327"/>
    <w:rsid w:val="00AB2370"/>
    <w:rsid w:val="00AB24DA"/>
    <w:rsid w:val="00AB3C7B"/>
    <w:rsid w:val="00AB499A"/>
    <w:rsid w:val="00AB618C"/>
    <w:rsid w:val="00AB62DA"/>
    <w:rsid w:val="00AB6552"/>
    <w:rsid w:val="00AB6A3F"/>
    <w:rsid w:val="00AB6D08"/>
    <w:rsid w:val="00AB70DA"/>
    <w:rsid w:val="00AB7335"/>
    <w:rsid w:val="00AC0165"/>
    <w:rsid w:val="00AC02D1"/>
    <w:rsid w:val="00AC129A"/>
    <w:rsid w:val="00AC134D"/>
    <w:rsid w:val="00AC1BEF"/>
    <w:rsid w:val="00AC2E05"/>
    <w:rsid w:val="00AC3456"/>
    <w:rsid w:val="00AC6292"/>
    <w:rsid w:val="00AC649C"/>
    <w:rsid w:val="00AD27DE"/>
    <w:rsid w:val="00AD32BD"/>
    <w:rsid w:val="00AD4013"/>
    <w:rsid w:val="00AD540B"/>
    <w:rsid w:val="00AD6623"/>
    <w:rsid w:val="00AD7E72"/>
    <w:rsid w:val="00AE037F"/>
    <w:rsid w:val="00AE0614"/>
    <w:rsid w:val="00AE0701"/>
    <w:rsid w:val="00AE2091"/>
    <w:rsid w:val="00AE20D3"/>
    <w:rsid w:val="00AE2D8F"/>
    <w:rsid w:val="00AE2E03"/>
    <w:rsid w:val="00AE307A"/>
    <w:rsid w:val="00AE343B"/>
    <w:rsid w:val="00AE3902"/>
    <w:rsid w:val="00AE59B9"/>
    <w:rsid w:val="00AE5DEE"/>
    <w:rsid w:val="00AE5F5B"/>
    <w:rsid w:val="00AE7A76"/>
    <w:rsid w:val="00AF1E80"/>
    <w:rsid w:val="00AF4307"/>
    <w:rsid w:val="00AF69A9"/>
    <w:rsid w:val="00AF7554"/>
    <w:rsid w:val="00B00705"/>
    <w:rsid w:val="00B00C1D"/>
    <w:rsid w:val="00B010C3"/>
    <w:rsid w:val="00B028FD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D5E"/>
    <w:rsid w:val="00B178C8"/>
    <w:rsid w:val="00B17CD4"/>
    <w:rsid w:val="00B20133"/>
    <w:rsid w:val="00B20917"/>
    <w:rsid w:val="00B21174"/>
    <w:rsid w:val="00B22C4C"/>
    <w:rsid w:val="00B2798C"/>
    <w:rsid w:val="00B307A7"/>
    <w:rsid w:val="00B30B30"/>
    <w:rsid w:val="00B312B6"/>
    <w:rsid w:val="00B33F9B"/>
    <w:rsid w:val="00B352FB"/>
    <w:rsid w:val="00B3538D"/>
    <w:rsid w:val="00B358E1"/>
    <w:rsid w:val="00B35AE9"/>
    <w:rsid w:val="00B35DEC"/>
    <w:rsid w:val="00B36DFD"/>
    <w:rsid w:val="00B37B69"/>
    <w:rsid w:val="00B444A1"/>
    <w:rsid w:val="00B45940"/>
    <w:rsid w:val="00B465A3"/>
    <w:rsid w:val="00B46E39"/>
    <w:rsid w:val="00B47071"/>
    <w:rsid w:val="00B5045B"/>
    <w:rsid w:val="00B50FBC"/>
    <w:rsid w:val="00B528CB"/>
    <w:rsid w:val="00B5550C"/>
    <w:rsid w:val="00B56CE4"/>
    <w:rsid w:val="00B57B72"/>
    <w:rsid w:val="00B60B14"/>
    <w:rsid w:val="00B61432"/>
    <w:rsid w:val="00B6246E"/>
    <w:rsid w:val="00B62472"/>
    <w:rsid w:val="00B6287F"/>
    <w:rsid w:val="00B62975"/>
    <w:rsid w:val="00B6382A"/>
    <w:rsid w:val="00B63E1B"/>
    <w:rsid w:val="00B647CC"/>
    <w:rsid w:val="00B6536D"/>
    <w:rsid w:val="00B65E86"/>
    <w:rsid w:val="00B67A49"/>
    <w:rsid w:val="00B70723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80AC5"/>
    <w:rsid w:val="00B8121F"/>
    <w:rsid w:val="00B837E7"/>
    <w:rsid w:val="00B874AE"/>
    <w:rsid w:val="00B93089"/>
    <w:rsid w:val="00B94322"/>
    <w:rsid w:val="00B960E2"/>
    <w:rsid w:val="00B960EA"/>
    <w:rsid w:val="00B9669A"/>
    <w:rsid w:val="00B96D11"/>
    <w:rsid w:val="00BA0956"/>
    <w:rsid w:val="00BA136C"/>
    <w:rsid w:val="00BA1F97"/>
    <w:rsid w:val="00BA277D"/>
    <w:rsid w:val="00BA3DC5"/>
    <w:rsid w:val="00BA4482"/>
    <w:rsid w:val="00BA521F"/>
    <w:rsid w:val="00BA6370"/>
    <w:rsid w:val="00BA6DAF"/>
    <w:rsid w:val="00BB0008"/>
    <w:rsid w:val="00BB32E3"/>
    <w:rsid w:val="00BB3B89"/>
    <w:rsid w:val="00BB488A"/>
    <w:rsid w:val="00BB5532"/>
    <w:rsid w:val="00BB7C45"/>
    <w:rsid w:val="00BC20F2"/>
    <w:rsid w:val="00BC2980"/>
    <w:rsid w:val="00BC3873"/>
    <w:rsid w:val="00BC43B3"/>
    <w:rsid w:val="00BC4C6B"/>
    <w:rsid w:val="00BC4C7A"/>
    <w:rsid w:val="00BC5024"/>
    <w:rsid w:val="00BC6ABD"/>
    <w:rsid w:val="00BC7C9C"/>
    <w:rsid w:val="00BD0A77"/>
    <w:rsid w:val="00BD0DEE"/>
    <w:rsid w:val="00BD140B"/>
    <w:rsid w:val="00BD21DB"/>
    <w:rsid w:val="00BD3F17"/>
    <w:rsid w:val="00BD44C3"/>
    <w:rsid w:val="00BD568A"/>
    <w:rsid w:val="00BD58C5"/>
    <w:rsid w:val="00BE0244"/>
    <w:rsid w:val="00BE07C6"/>
    <w:rsid w:val="00BE0ED1"/>
    <w:rsid w:val="00BE23B1"/>
    <w:rsid w:val="00BE25D9"/>
    <w:rsid w:val="00BE3CBD"/>
    <w:rsid w:val="00BE4AF2"/>
    <w:rsid w:val="00BE4E6C"/>
    <w:rsid w:val="00BE5569"/>
    <w:rsid w:val="00BE5C44"/>
    <w:rsid w:val="00BE66DE"/>
    <w:rsid w:val="00BE6757"/>
    <w:rsid w:val="00BE759F"/>
    <w:rsid w:val="00BE7DD8"/>
    <w:rsid w:val="00BF296A"/>
    <w:rsid w:val="00BF387E"/>
    <w:rsid w:val="00BF3F5B"/>
    <w:rsid w:val="00BF4BF1"/>
    <w:rsid w:val="00BF55BD"/>
    <w:rsid w:val="00BF5B0D"/>
    <w:rsid w:val="00BF5D1B"/>
    <w:rsid w:val="00BF5FAD"/>
    <w:rsid w:val="00BF609F"/>
    <w:rsid w:val="00BF7148"/>
    <w:rsid w:val="00BF7312"/>
    <w:rsid w:val="00C00824"/>
    <w:rsid w:val="00C00CC9"/>
    <w:rsid w:val="00C00DFD"/>
    <w:rsid w:val="00C01330"/>
    <w:rsid w:val="00C01E82"/>
    <w:rsid w:val="00C038D8"/>
    <w:rsid w:val="00C04365"/>
    <w:rsid w:val="00C04762"/>
    <w:rsid w:val="00C04D0A"/>
    <w:rsid w:val="00C05C02"/>
    <w:rsid w:val="00C06030"/>
    <w:rsid w:val="00C06C1D"/>
    <w:rsid w:val="00C07089"/>
    <w:rsid w:val="00C07C74"/>
    <w:rsid w:val="00C1000E"/>
    <w:rsid w:val="00C110C2"/>
    <w:rsid w:val="00C1268E"/>
    <w:rsid w:val="00C13B2C"/>
    <w:rsid w:val="00C15B08"/>
    <w:rsid w:val="00C165DB"/>
    <w:rsid w:val="00C17AC2"/>
    <w:rsid w:val="00C22D60"/>
    <w:rsid w:val="00C23682"/>
    <w:rsid w:val="00C24167"/>
    <w:rsid w:val="00C244D4"/>
    <w:rsid w:val="00C25928"/>
    <w:rsid w:val="00C27B4A"/>
    <w:rsid w:val="00C3068F"/>
    <w:rsid w:val="00C30E41"/>
    <w:rsid w:val="00C339B8"/>
    <w:rsid w:val="00C34499"/>
    <w:rsid w:val="00C34DD8"/>
    <w:rsid w:val="00C36F6C"/>
    <w:rsid w:val="00C37286"/>
    <w:rsid w:val="00C37F52"/>
    <w:rsid w:val="00C40105"/>
    <w:rsid w:val="00C410F9"/>
    <w:rsid w:val="00C4160D"/>
    <w:rsid w:val="00C41D2A"/>
    <w:rsid w:val="00C41E9D"/>
    <w:rsid w:val="00C4202D"/>
    <w:rsid w:val="00C43ECE"/>
    <w:rsid w:val="00C44000"/>
    <w:rsid w:val="00C45F16"/>
    <w:rsid w:val="00C47476"/>
    <w:rsid w:val="00C47519"/>
    <w:rsid w:val="00C47887"/>
    <w:rsid w:val="00C47F56"/>
    <w:rsid w:val="00C50304"/>
    <w:rsid w:val="00C509B9"/>
    <w:rsid w:val="00C50CC9"/>
    <w:rsid w:val="00C51E51"/>
    <w:rsid w:val="00C55258"/>
    <w:rsid w:val="00C553D9"/>
    <w:rsid w:val="00C60EAC"/>
    <w:rsid w:val="00C61B14"/>
    <w:rsid w:val="00C6499B"/>
    <w:rsid w:val="00C655A6"/>
    <w:rsid w:val="00C659C0"/>
    <w:rsid w:val="00C66432"/>
    <w:rsid w:val="00C67153"/>
    <w:rsid w:val="00C67B9A"/>
    <w:rsid w:val="00C67D68"/>
    <w:rsid w:val="00C7031F"/>
    <w:rsid w:val="00C7068E"/>
    <w:rsid w:val="00C708BE"/>
    <w:rsid w:val="00C70965"/>
    <w:rsid w:val="00C72CAA"/>
    <w:rsid w:val="00C73632"/>
    <w:rsid w:val="00C74B6A"/>
    <w:rsid w:val="00C8010A"/>
    <w:rsid w:val="00C8032F"/>
    <w:rsid w:val="00C822F6"/>
    <w:rsid w:val="00C827F7"/>
    <w:rsid w:val="00C82B75"/>
    <w:rsid w:val="00C8406E"/>
    <w:rsid w:val="00C84D1B"/>
    <w:rsid w:val="00C854B7"/>
    <w:rsid w:val="00C85E38"/>
    <w:rsid w:val="00C8687B"/>
    <w:rsid w:val="00C87370"/>
    <w:rsid w:val="00C91DEB"/>
    <w:rsid w:val="00C927C3"/>
    <w:rsid w:val="00C92DFD"/>
    <w:rsid w:val="00C93204"/>
    <w:rsid w:val="00C935C2"/>
    <w:rsid w:val="00C93E83"/>
    <w:rsid w:val="00C94C4E"/>
    <w:rsid w:val="00C953B0"/>
    <w:rsid w:val="00C96FD2"/>
    <w:rsid w:val="00C974A3"/>
    <w:rsid w:val="00CA033C"/>
    <w:rsid w:val="00CA1C1C"/>
    <w:rsid w:val="00CA1DD2"/>
    <w:rsid w:val="00CA3941"/>
    <w:rsid w:val="00CA40B4"/>
    <w:rsid w:val="00CA4857"/>
    <w:rsid w:val="00CA5FAA"/>
    <w:rsid w:val="00CA6BE8"/>
    <w:rsid w:val="00CB10FB"/>
    <w:rsid w:val="00CB18F1"/>
    <w:rsid w:val="00CB2709"/>
    <w:rsid w:val="00CB3210"/>
    <w:rsid w:val="00CB4330"/>
    <w:rsid w:val="00CB5E3E"/>
    <w:rsid w:val="00CB5FBF"/>
    <w:rsid w:val="00CB6295"/>
    <w:rsid w:val="00CB6775"/>
    <w:rsid w:val="00CB6F89"/>
    <w:rsid w:val="00CB75B5"/>
    <w:rsid w:val="00CC11F5"/>
    <w:rsid w:val="00CC30D0"/>
    <w:rsid w:val="00CC37CD"/>
    <w:rsid w:val="00CC3F17"/>
    <w:rsid w:val="00CC479C"/>
    <w:rsid w:val="00CC49DC"/>
    <w:rsid w:val="00CC4EE3"/>
    <w:rsid w:val="00CC79CC"/>
    <w:rsid w:val="00CD011C"/>
    <w:rsid w:val="00CD2AD8"/>
    <w:rsid w:val="00CD3D50"/>
    <w:rsid w:val="00CD42FD"/>
    <w:rsid w:val="00CD44B7"/>
    <w:rsid w:val="00CD44DA"/>
    <w:rsid w:val="00CD48BB"/>
    <w:rsid w:val="00CD5C9E"/>
    <w:rsid w:val="00CD60FA"/>
    <w:rsid w:val="00CD7DEA"/>
    <w:rsid w:val="00CE198B"/>
    <w:rsid w:val="00CE1F60"/>
    <w:rsid w:val="00CE3670"/>
    <w:rsid w:val="00CE3C42"/>
    <w:rsid w:val="00CE3DE3"/>
    <w:rsid w:val="00CE4BB4"/>
    <w:rsid w:val="00CE4D8D"/>
    <w:rsid w:val="00CE504C"/>
    <w:rsid w:val="00CE66E3"/>
    <w:rsid w:val="00CE7FA2"/>
    <w:rsid w:val="00CF05AE"/>
    <w:rsid w:val="00CF1BA6"/>
    <w:rsid w:val="00CF1BF0"/>
    <w:rsid w:val="00CF2051"/>
    <w:rsid w:val="00CF251D"/>
    <w:rsid w:val="00CF36DE"/>
    <w:rsid w:val="00CF37A8"/>
    <w:rsid w:val="00CF3B26"/>
    <w:rsid w:val="00CF5032"/>
    <w:rsid w:val="00CF545B"/>
    <w:rsid w:val="00CF63D9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17F9"/>
    <w:rsid w:val="00D1207B"/>
    <w:rsid w:val="00D13143"/>
    <w:rsid w:val="00D13146"/>
    <w:rsid w:val="00D14ED9"/>
    <w:rsid w:val="00D15202"/>
    <w:rsid w:val="00D20A01"/>
    <w:rsid w:val="00D23169"/>
    <w:rsid w:val="00D23402"/>
    <w:rsid w:val="00D24CF8"/>
    <w:rsid w:val="00D25CB5"/>
    <w:rsid w:val="00D262B4"/>
    <w:rsid w:val="00D26467"/>
    <w:rsid w:val="00D30951"/>
    <w:rsid w:val="00D32FC7"/>
    <w:rsid w:val="00D330BC"/>
    <w:rsid w:val="00D334EB"/>
    <w:rsid w:val="00D350EA"/>
    <w:rsid w:val="00D374EE"/>
    <w:rsid w:val="00D3790D"/>
    <w:rsid w:val="00D40DF5"/>
    <w:rsid w:val="00D40FAC"/>
    <w:rsid w:val="00D418CD"/>
    <w:rsid w:val="00D41F4A"/>
    <w:rsid w:val="00D450DF"/>
    <w:rsid w:val="00D459E1"/>
    <w:rsid w:val="00D500AA"/>
    <w:rsid w:val="00D51283"/>
    <w:rsid w:val="00D526C8"/>
    <w:rsid w:val="00D53B67"/>
    <w:rsid w:val="00D55302"/>
    <w:rsid w:val="00D55FDD"/>
    <w:rsid w:val="00D57A3F"/>
    <w:rsid w:val="00D63BB7"/>
    <w:rsid w:val="00D65258"/>
    <w:rsid w:val="00D65F3F"/>
    <w:rsid w:val="00D7004C"/>
    <w:rsid w:val="00D70392"/>
    <w:rsid w:val="00D70F1E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1BDD"/>
    <w:rsid w:val="00D81BE2"/>
    <w:rsid w:val="00D836DF"/>
    <w:rsid w:val="00D84836"/>
    <w:rsid w:val="00D909D7"/>
    <w:rsid w:val="00D920BC"/>
    <w:rsid w:val="00D929B8"/>
    <w:rsid w:val="00D93607"/>
    <w:rsid w:val="00D9444E"/>
    <w:rsid w:val="00D95484"/>
    <w:rsid w:val="00D9569B"/>
    <w:rsid w:val="00D9759F"/>
    <w:rsid w:val="00DA0299"/>
    <w:rsid w:val="00DA1DD8"/>
    <w:rsid w:val="00DA30D8"/>
    <w:rsid w:val="00DA4472"/>
    <w:rsid w:val="00DA53BB"/>
    <w:rsid w:val="00DA744C"/>
    <w:rsid w:val="00DA7835"/>
    <w:rsid w:val="00DA787A"/>
    <w:rsid w:val="00DB13C6"/>
    <w:rsid w:val="00DB32A6"/>
    <w:rsid w:val="00DB42B1"/>
    <w:rsid w:val="00DB5B70"/>
    <w:rsid w:val="00DB71AE"/>
    <w:rsid w:val="00DC06DB"/>
    <w:rsid w:val="00DC0C5A"/>
    <w:rsid w:val="00DC13EC"/>
    <w:rsid w:val="00DC1B7A"/>
    <w:rsid w:val="00DC2E78"/>
    <w:rsid w:val="00DC337B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56E7"/>
    <w:rsid w:val="00DD6505"/>
    <w:rsid w:val="00DE2EA3"/>
    <w:rsid w:val="00DE3BA7"/>
    <w:rsid w:val="00DE4880"/>
    <w:rsid w:val="00DE5267"/>
    <w:rsid w:val="00DE58B3"/>
    <w:rsid w:val="00DE68F1"/>
    <w:rsid w:val="00DE73A5"/>
    <w:rsid w:val="00DE7A35"/>
    <w:rsid w:val="00DF0F04"/>
    <w:rsid w:val="00DF15D5"/>
    <w:rsid w:val="00DF1E62"/>
    <w:rsid w:val="00DF2E77"/>
    <w:rsid w:val="00DF39DC"/>
    <w:rsid w:val="00DF3DED"/>
    <w:rsid w:val="00DF452D"/>
    <w:rsid w:val="00DF47FE"/>
    <w:rsid w:val="00DF60E4"/>
    <w:rsid w:val="00DF7A7E"/>
    <w:rsid w:val="00E00D04"/>
    <w:rsid w:val="00E021F8"/>
    <w:rsid w:val="00E02487"/>
    <w:rsid w:val="00E03E4B"/>
    <w:rsid w:val="00E06825"/>
    <w:rsid w:val="00E074DD"/>
    <w:rsid w:val="00E07A48"/>
    <w:rsid w:val="00E134A9"/>
    <w:rsid w:val="00E140D1"/>
    <w:rsid w:val="00E147B6"/>
    <w:rsid w:val="00E151DF"/>
    <w:rsid w:val="00E22703"/>
    <w:rsid w:val="00E22DF1"/>
    <w:rsid w:val="00E235A8"/>
    <w:rsid w:val="00E237B5"/>
    <w:rsid w:val="00E245EE"/>
    <w:rsid w:val="00E27849"/>
    <w:rsid w:val="00E31015"/>
    <w:rsid w:val="00E33761"/>
    <w:rsid w:val="00E33B29"/>
    <w:rsid w:val="00E34155"/>
    <w:rsid w:val="00E35C11"/>
    <w:rsid w:val="00E40D6B"/>
    <w:rsid w:val="00E4229F"/>
    <w:rsid w:val="00E47C1E"/>
    <w:rsid w:val="00E507DD"/>
    <w:rsid w:val="00E50E47"/>
    <w:rsid w:val="00E5289E"/>
    <w:rsid w:val="00E53A53"/>
    <w:rsid w:val="00E53CE7"/>
    <w:rsid w:val="00E5469A"/>
    <w:rsid w:val="00E5593C"/>
    <w:rsid w:val="00E562A9"/>
    <w:rsid w:val="00E61659"/>
    <w:rsid w:val="00E6174B"/>
    <w:rsid w:val="00E61D39"/>
    <w:rsid w:val="00E6284C"/>
    <w:rsid w:val="00E65FC6"/>
    <w:rsid w:val="00E662F8"/>
    <w:rsid w:val="00E66487"/>
    <w:rsid w:val="00E66F37"/>
    <w:rsid w:val="00E70462"/>
    <w:rsid w:val="00E70748"/>
    <w:rsid w:val="00E7083E"/>
    <w:rsid w:val="00E70E96"/>
    <w:rsid w:val="00E726A2"/>
    <w:rsid w:val="00E734F3"/>
    <w:rsid w:val="00E73662"/>
    <w:rsid w:val="00E74575"/>
    <w:rsid w:val="00E74C9E"/>
    <w:rsid w:val="00E74E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5BC6"/>
    <w:rsid w:val="00E861F0"/>
    <w:rsid w:val="00E86ED3"/>
    <w:rsid w:val="00E87EB6"/>
    <w:rsid w:val="00E901E0"/>
    <w:rsid w:val="00E91119"/>
    <w:rsid w:val="00E91B16"/>
    <w:rsid w:val="00E91C20"/>
    <w:rsid w:val="00E95021"/>
    <w:rsid w:val="00E9543D"/>
    <w:rsid w:val="00E955E8"/>
    <w:rsid w:val="00E9672C"/>
    <w:rsid w:val="00E96ABD"/>
    <w:rsid w:val="00EA19CF"/>
    <w:rsid w:val="00EA2A49"/>
    <w:rsid w:val="00EA33CD"/>
    <w:rsid w:val="00EA5E7F"/>
    <w:rsid w:val="00EA6445"/>
    <w:rsid w:val="00EB0EC0"/>
    <w:rsid w:val="00EB0F27"/>
    <w:rsid w:val="00EB0FE4"/>
    <w:rsid w:val="00EB14E8"/>
    <w:rsid w:val="00EB2975"/>
    <w:rsid w:val="00EB2C84"/>
    <w:rsid w:val="00EB2D63"/>
    <w:rsid w:val="00EB4BBF"/>
    <w:rsid w:val="00EB5342"/>
    <w:rsid w:val="00EB5951"/>
    <w:rsid w:val="00EB5AB4"/>
    <w:rsid w:val="00EB64C9"/>
    <w:rsid w:val="00EB6778"/>
    <w:rsid w:val="00EB68D3"/>
    <w:rsid w:val="00EB6F20"/>
    <w:rsid w:val="00EC1C88"/>
    <w:rsid w:val="00EC282D"/>
    <w:rsid w:val="00EC2839"/>
    <w:rsid w:val="00EC2A5A"/>
    <w:rsid w:val="00EC4937"/>
    <w:rsid w:val="00EC5705"/>
    <w:rsid w:val="00EC618B"/>
    <w:rsid w:val="00EC6EB2"/>
    <w:rsid w:val="00EC7200"/>
    <w:rsid w:val="00EC76C8"/>
    <w:rsid w:val="00EC7762"/>
    <w:rsid w:val="00EC79DB"/>
    <w:rsid w:val="00ED0F08"/>
    <w:rsid w:val="00ED25CF"/>
    <w:rsid w:val="00ED2C9B"/>
    <w:rsid w:val="00ED4277"/>
    <w:rsid w:val="00ED6388"/>
    <w:rsid w:val="00ED69F6"/>
    <w:rsid w:val="00ED6FA4"/>
    <w:rsid w:val="00ED7AC7"/>
    <w:rsid w:val="00EE0195"/>
    <w:rsid w:val="00EE0EC5"/>
    <w:rsid w:val="00EE27AD"/>
    <w:rsid w:val="00EE28C0"/>
    <w:rsid w:val="00EE5190"/>
    <w:rsid w:val="00EE6291"/>
    <w:rsid w:val="00EF0095"/>
    <w:rsid w:val="00EF0B77"/>
    <w:rsid w:val="00EF0FD6"/>
    <w:rsid w:val="00EF1C7B"/>
    <w:rsid w:val="00EF4C23"/>
    <w:rsid w:val="00EF4E0F"/>
    <w:rsid w:val="00EF50CD"/>
    <w:rsid w:val="00EF56AC"/>
    <w:rsid w:val="00EF62CF"/>
    <w:rsid w:val="00EF69D2"/>
    <w:rsid w:val="00F03CA0"/>
    <w:rsid w:val="00F057D5"/>
    <w:rsid w:val="00F066D8"/>
    <w:rsid w:val="00F06872"/>
    <w:rsid w:val="00F06CF5"/>
    <w:rsid w:val="00F06E5B"/>
    <w:rsid w:val="00F076DC"/>
    <w:rsid w:val="00F07A0D"/>
    <w:rsid w:val="00F116A2"/>
    <w:rsid w:val="00F11B4D"/>
    <w:rsid w:val="00F1207F"/>
    <w:rsid w:val="00F129B3"/>
    <w:rsid w:val="00F12F54"/>
    <w:rsid w:val="00F137B2"/>
    <w:rsid w:val="00F13C83"/>
    <w:rsid w:val="00F14ADC"/>
    <w:rsid w:val="00F14B6E"/>
    <w:rsid w:val="00F159FA"/>
    <w:rsid w:val="00F16524"/>
    <w:rsid w:val="00F16772"/>
    <w:rsid w:val="00F1690A"/>
    <w:rsid w:val="00F16C84"/>
    <w:rsid w:val="00F177F6"/>
    <w:rsid w:val="00F203D5"/>
    <w:rsid w:val="00F20A93"/>
    <w:rsid w:val="00F219C0"/>
    <w:rsid w:val="00F22B8F"/>
    <w:rsid w:val="00F22C98"/>
    <w:rsid w:val="00F24576"/>
    <w:rsid w:val="00F25D86"/>
    <w:rsid w:val="00F26916"/>
    <w:rsid w:val="00F27A2D"/>
    <w:rsid w:val="00F32240"/>
    <w:rsid w:val="00F32752"/>
    <w:rsid w:val="00F32776"/>
    <w:rsid w:val="00F32FED"/>
    <w:rsid w:val="00F33592"/>
    <w:rsid w:val="00F447F0"/>
    <w:rsid w:val="00F44D77"/>
    <w:rsid w:val="00F45102"/>
    <w:rsid w:val="00F4529A"/>
    <w:rsid w:val="00F4595F"/>
    <w:rsid w:val="00F50025"/>
    <w:rsid w:val="00F50338"/>
    <w:rsid w:val="00F51377"/>
    <w:rsid w:val="00F51BCF"/>
    <w:rsid w:val="00F53E5C"/>
    <w:rsid w:val="00F540D7"/>
    <w:rsid w:val="00F552DC"/>
    <w:rsid w:val="00F559FB"/>
    <w:rsid w:val="00F57A3D"/>
    <w:rsid w:val="00F60414"/>
    <w:rsid w:val="00F608D0"/>
    <w:rsid w:val="00F62E93"/>
    <w:rsid w:val="00F643C9"/>
    <w:rsid w:val="00F656DE"/>
    <w:rsid w:val="00F67542"/>
    <w:rsid w:val="00F67A92"/>
    <w:rsid w:val="00F70989"/>
    <w:rsid w:val="00F7100E"/>
    <w:rsid w:val="00F7274C"/>
    <w:rsid w:val="00F72778"/>
    <w:rsid w:val="00F72F5B"/>
    <w:rsid w:val="00F73C0B"/>
    <w:rsid w:val="00F74E1E"/>
    <w:rsid w:val="00F76579"/>
    <w:rsid w:val="00F76C0C"/>
    <w:rsid w:val="00F7702E"/>
    <w:rsid w:val="00F77BE1"/>
    <w:rsid w:val="00F80924"/>
    <w:rsid w:val="00F8153C"/>
    <w:rsid w:val="00F81760"/>
    <w:rsid w:val="00F82CC1"/>
    <w:rsid w:val="00F82F9D"/>
    <w:rsid w:val="00F8386D"/>
    <w:rsid w:val="00F84E6F"/>
    <w:rsid w:val="00F85CB5"/>
    <w:rsid w:val="00F86301"/>
    <w:rsid w:val="00F863D0"/>
    <w:rsid w:val="00F924E5"/>
    <w:rsid w:val="00F9360B"/>
    <w:rsid w:val="00F93F90"/>
    <w:rsid w:val="00F9477A"/>
    <w:rsid w:val="00F95601"/>
    <w:rsid w:val="00F9687A"/>
    <w:rsid w:val="00F97D69"/>
    <w:rsid w:val="00FA1B4F"/>
    <w:rsid w:val="00FA473A"/>
    <w:rsid w:val="00FA4C30"/>
    <w:rsid w:val="00FA61DC"/>
    <w:rsid w:val="00FA64F8"/>
    <w:rsid w:val="00FA7EDC"/>
    <w:rsid w:val="00FB0ADC"/>
    <w:rsid w:val="00FB2362"/>
    <w:rsid w:val="00FB3F44"/>
    <w:rsid w:val="00FB4397"/>
    <w:rsid w:val="00FB4541"/>
    <w:rsid w:val="00FB5660"/>
    <w:rsid w:val="00FB687C"/>
    <w:rsid w:val="00FC06D6"/>
    <w:rsid w:val="00FC11B8"/>
    <w:rsid w:val="00FC1447"/>
    <w:rsid w:val="00FC1C8B"/>
    <w:rsid w:val="00FC1EFF"/>
    <w:rsid w:val="00FC1F11"/>
    <w:rsid w:val="00FC3175"/>
    <w:rsid w:val="00FC430E"/>
    <w:rsid w:val="00FC5B32"/>
    <w:rsid w:val="00FC673A"/>
    <w:rsid w:val="00FC693D"/>
    <w:rsid w:val="00FC743D"/>
    <w:rsid w:val="00FC7BD2"/>
    <w:rsid w:val="00FC7C00"/>
    <w:rsid w:val="00FC7D8A"/>
    <w:rsid w:val="00FD03E3"/>
    <w:rsid w:val="00FD16F2"/>
    <w:rsid w:val="00FD299E"/>
    <w:rsid w:val="00FD30A2"/>
    <w:rsid w:val="00FD4087"/>
    <w:rsid w:val="00FD42FE"/>
    <w:rsid w:val="00FD4B81"/>
    <w:rsid w:val="00FD551F"/>
    <w:rsid w:val="00FD577B"/>
    <w:rsid w:val="00FD5A66"/>
    <w:rsid w:val="00FD71D3"/>
    <w:rsid w:val="00FD7976"/>
    <w:rsid w:val="00FE03A5"/>
    <w:rsid w:val="00FE0D9D"/>
    <w:rsid w:val="00FE1309"/>
    <w:rsid w:val="00FE15B9"/>
    <w:rsid w:val="00FE2D9E"/>
    <w:rsid w:val="00FE345E"/>
    <w:rsid w:val="00FE46C7"/>
    <w:rsid w:val="00FE4F92"/>
    <w:rsid w:val="00FE55BA"/>
    <w:rsid w:val="00FE6BF3"/>
    <w:rsid w:val="00FE6E7A"/>
    <w:rsid w:val="00FE772C"/>
    <w:rsid w:val="00FE787C"/>
    <w:rsid w:val="00FF0466"/>
    <w:rsid w:val="00FF09C8"/>
    <w:rsid w:val="00FF260F"/>
    <w:rsid w:val="00FF2F44"/>
    <w:rsid w:val="00FF3341"/>
    <w:rsid w:val="00FF37E1"/>
    <w:rsid w:val="00FF491B"/>
    <w:rsid w:val="00FF5F11"/>
    <w:rsid w:val="00FF6A2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huslav.mejstri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17A6-01A4-483C-A702-10E94685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1220</TotalTime>
  <Pages>9</Pages>
  <Words>2483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17105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150</cp:revision>
  <cp:lastPrinted>2014-07-22T06:44:00Z</cp:lastPrinted>
  <dcterms:created xsi:type="dcterms:W3CDTF">2014-07-08T06:15:00Z</dcterms:created>
  <dcterms:modified xsi:type="dcterms:W3CDTF">2014-07-31T08:36:00Z</dcterms:modified>
</cp:coreProperties>
</file>