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4E8" w:rsidRDefault="00773B54" w:rsidP="00702A8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773B54">
        <w:rPr>
          <w:rFonts w:ascii="Arial" w:hAnsi="Arial" w:cs="Arial"/>
          <w:b/>
          <w:sz w:val="22"/>
          <w:szCs w:val="22"/>
        </w:rPr>
        <w:t>Domácnosti s vybranými informačními a komunikačními technologiemi</w:t>
      </w:r>
    </w:p>
    <w:p w:rsidR="00702A8A" w:rsidRPr="008A7371" w:rsidRDefault="00702A8A" w:rsidP="00702A8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702A8A" w:rsidRPr="00B56695" w:rsidRDefault="00702A8A" w:rsidP="00702A8A">
      <w:pPr>
        <w:spacing w:before="120" w:line="192" w:lineRule="auto"/>
        <w:jc w:val="both"/>
        <w:rPr>
          <w:rFonts w:ascii="Arial" w:hAnsi="Arial" w:cs="Arial"/>
          <w:b/>
          <w:sz w:val="22"/>
          <w:szCs w:val="20"/>
        </w:rPr>
      </w:pPr>
      <w:r w:rsidRPr="00875F0F">
        <w:rPr>
          <w:rFonts w:ascii="Arial" w:hAnsi="Arial" w:cs="Arial"/>
          <w:b/>
          <w:sz w:val="20"/>
          <w:szCs w:val="20"/>
        </w:rPr>
        <w:t>Graf 1: Domácnosti s počítačem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B3707">
        <w:rPr>
          <w:rFonts w:ascii="Arial" w:hAnsi="Arial" w:cs="Arial"/>
          <w:i/>
          <w:sz w:val="20"/>
          <w:szCs w:val="20"/>
        </w:rPr>
        <w:t>(%</w:t>
      </w:r>
      <w:r w:rsidRPr="0028691A">
        <w:rPr>
          <w:rFonts w:ascii="Arial" w:hAnsi="Arial" w:cs="Arial"/>
          <w:i/>
          <w:sz w:val="20"/>
          <w:szCs w:val="20"/>
        </w:rPr>
        <w:t xml:space="preserve"> domácností)</w:t>
      </w:r>
    </w:p>
    <w:p w:rsidR="00D17DA0" w:rsidRDefault="00702A8A" w:rsidP="00AD1111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702A8A">
        <w:rPr>
          <w:rFonts w:ascii="Arial" w:hAnsi="Arial" w:cs="Arial"/>
          <w:noProof/>
          <w:sz w:val="22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-52070</wp:posOffset>
            </wp:positionH>
            <wp:positionV relativeFrom="paragraph">
              <wp:posOffset>83820</wp:posOffset>
            </wp:positionV>
            <wp:extent cx="3057525" cy="2562225"/>
            <wp:effectExtent l="0" t="0" r="0" b="0"/>
            <wp:wrapSquare wrapText="bothSides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r w:rsidR="00836F49">
        <w:rPr>
          <w:rFonts w:ascii="Arial" w:hAnsi="Arial" w:cs="Arial"/>
          <w:sz w:val="20"/>
          <w:szCs w:val="20"/>
        </w:rPr>
        <w:t>Již více než dvě třetiny českých domácností jsou vybaveny počítačem a internetem. Přitom ještě před dvaceti lety nebylo vybavení domácností těmito informačními technologiemi žádnou samozřejmostí.</w:t>
      </w:r>
      <w:r w:rsidR="00DD043B">
        <w:rPr>
          <w:rFonts w:ascii="Arial" w:hAnsi="Arial" w:cs="Arial"/>
          <w:sz w:val="20"/>
          <w:szCs w:val="20"/>
        </w:rPr>
        <w:t xml:space="preserve"> Nejinak tomu bylo i </w:t>
      </w:r>
      <w:r w:rsidR="00AD1111">
        <w:rPr>
          <w:rFonts w:ascii="Arial" w:hAnsi="Arial" w:cs="Arial"/>
          <w:sz w:val="20"/>
          <w:szCs w:val="20"/>
        </w:rPr>
        <w:t>v roce 2001, kdy</w:t>
      </w:r>
      <w:r w:rsidR="00836F49">
        <w:rPr>
          <w:rFonts w:ascii="Arial" w:hAnsi="Arial" w:cs="Arial"/>
          <w:sz w:val="20"/>
          <w:szCs w:val="20"/>
        </w:rPr>
        <w:t xml:space="preserve"> měla osobní počítač pouze pětina domácností</w:t>
      </w:r>
      <w:r w:rsidR="00D306BD">
        <w:rPr>
          <w:rFonts w:ascii="Arial" w:hAnsi="Arial" w:cs="Arial"/>
          <w:sz w:val="20"/>
          <w:szCs w:val="20"/>
        </w:rPr>
        <w:t xml:space="preserve">. </w:t>
      </w:r>
      <w:r w:rsidR="00AD1111">
        <w:rPr>
          <w:rFonts w:ascii="Arial" w:hAnsi="Arial" w:cs="Arial"/>
          <w:sz w:val="20"/>
          <w:szCs w:val="20"/>
        </w:rPr>
        <w:t>O šest let později, v roce 2007 bylo počítačem vybaveno již 40 % českých dom</w:t>
      </w:r>
      <w:r w:rsidR="00B84C85">
        <w:rPr>
          <w:rFonts w:ascii="Arial" w:hAnsi="Arial" w:cs="Arial"/>
          <w:sz w:val="20"/>
          <w:szCs w:val="20"/>
        </w:rPr>
        <w:t>ácností, v letošním roce pak 68 </w:t>
      </w:r>
      <w:r w:rsidR="00AD1111">
        <w:rPr>
          <w:rFonts w:ascii="Arial" w:hAnsi="Arial" w:cs="Arial"/>
          <w:sz w:val="20"/>
          <w:szCs w:val="20"/>
        </w:rPr>
        <w:t xml:space="preserve">%. </w:t>
      </w:r>
      <w:r w:rsidR="00836F49">
        <w:rPr>
          <w:rFonts w:ascii="Arial" w:hAnsi="Arial" w:cs="Arial"/>
          <w:sz w:val="20"/>
          <w:szCs w:val="20"/>
        </w:rPr>
        <w:t xml:space="preserve">Za </w:t>
      </w:r>
      <w:r w:rsidR="00B84C85">
        <w:rPr>
          <w:rFonts w:ascii="Arial" w:hAnsi="Arial" w:cs="Arial"/>
          <w:sz w:val="20"/>
          <w:szCs w:val="20"/>
        </w:rPr>
        <w:t>posledních 7 </w:t>
      </w:r>
      <w:r w:rsidR="00836F49">
        <w:rPr>
          <w:rFonts w:ascii="Arial" w:hAnsi="Arial" w:cs="Arial"/>
          <w:sz w:val="20"/>
          <w:szCs w:val="20"/>
        </w:rPr>
        <w:t>let</w:t>
      </w:r>
      <w:r w:rsidR="00C93631">
        <w:rPr>
          <w:rFonts w:ascii="Arial" w:hAnsi="Arial" w:cs="Arial"/>
          <w:sz w:val="20"/>
          <w:szCs w:val="20"/>
        </w:rPr>
        <w:t xml:space="preserve"> tak vzrostl počet</w:t>
      </w:r>
      <w:r w:rsidR="00D306BD">
        <w:rPr>
          <w:rFonts w:ascii="Arial" w:hAnsi="Arial" w:cs="Arial"/>
          <w:sz w:val="20"/>
          <w:szCs w:val="20"/>
        </w:rPr>
        <w:t xml:space="preserve"> domácností vybavených</w:t>
      </w:r>
      <w:r w:rsidRPr="008A7371">
        <w:rPr>
          <w:rFonts w:ascii="Arial" w:hAnsi="Arial" w:cs="Arial"/>
          <w:sz w:val="20"/>
          <w:szCs w:val="20"/>
        </w:rPr>
        <w:t xml:space="preserve"> osobním počítačem</w:t>
      </w:r>
      <w:r>
        <w:rPr>
          <w:rFonts w:ascii="Arial" w:hAnsi="Arial" w:cs="Arial"/>
          <w:sz w:val="20"/>
          <w:szCs w:val="20"/>
        </w:rPr>
        <w:t xml:space="preserve"> o</w:t>
      </w:r>
      <w:r w:rsidR="00B84C85">
        <w:rPr>
          <w:rFonts w:ascii="Arial" w:hAnsi="Arial" w:cs="Arial"/>
          <w:sz w:val="20"/>
          <w:szCs w:val="20"/>
        </w:rPr>
        <w:t> </w:t>
      </w:r>
      <w:r w:rsidR="00D17DA0">
        <w:rPr>
          <w:rFonts w:ascii="Arial" w:hAnsi="Arial" w:cs="Arial"/>
          <w:sz w:val="20"/>
          <w:szCs w:val="20"/>
        </w:rPr>
        <w:t>1,2 </w:t>
      </w:r>
      <w:r w:rsidR="00D17DA0" w:rsidRPr="008A7371">
        <w:rPr>
          <w:rFonts w:ascii="Arial" w:hAnsi="Arial" w:cs="Arial"/>
          <w:sz w:val="20"/>
          <w:szCs w:val="20"/>
        </w:rPr>
        <w:t xml:space="preserve">mil., což </w:t>
      </w:r>
      <w:r w:rsidR="00D17DA0">
        <w:rPr>
          <w:rFonts w:ascii="Arial" w:hAnsi="Arial" w:cs="Arial"/>
          <w:sz w:val="20"/>
          <w:szCs w:val="20"/>
        </w:rPr>
        <w:t xml:space="preserve">představuje </w:t>
      </w:r>
      <w:r w:rsidR="00D17DA0" w:rsidRPr="008A7371">
        <w:rPr>
          <w:rFonts w:ascii="Arial" w:hAnsi="Arial" w:cs="Arial"/>
          <w:sz w:val="20"/>
          <w:szCs w:val="20"/>
        </w:rPr>
        <w:t>re</w:t>
      </w:r>
      <w:r w:rsidR="00B84C85">
        <w:rPr>
          <w:rFonts w:ascii="Arial" w:hAnsi="Arial" w:cs="Arial"/>
          <w:sz w:val="20"/>
          <w:szCs w:val="20"/>
        </w:rPr>
        <w:t>lativní nárůst o </w:t>
      </w:r>
      <w:r w:rsidR="00D17DA0">
        <w:rPr>
          <w:rFonts w:ascii="Arial" w:hAnsi="Arial" w:cs="Arial"/>
          <w:sz w:val="20"/>
          <w:szCs w:val="20"/>
        </w:rPr>
        <w:t>29</w:t>
      </w:r>
      <w:r w:rsidR="00B84C85">
        <w:rPr>
          <w:rFonts w:ascii="Arial" w:hAnsi="Arial" w:cs="Arial"/>
          <w:sz w:val="20"/>
          <w:szCs w:val="20"/>
        </w:rPr>
        <w:t> </w:t>
      </w:r>
      <w:r w:rsidR="00D17DA0" w:rsidRPr="008A7371">
        <w:rPr>
          <w:rFonts w:ascii="Arial" w:hAnsi="Arial" w:cs="Arial"/>
          <w:sz w:val="20"/>
          <w:szCs w:val="20"/>
        </w:rPr>
        <w:t>procentních bodů.</w:t>
      </w:r>
    </w:p>
    <w:p w:rsidR="00B84C85" w:rsidRDefault="00B84C85" w:rsidP="00D17DA0">
      <w:pPr>
        <w:spacing w:after="200" w:line="288" w:lineRule="auto"/>
        <w:rPr>
          <w:rFonts w:ascii="Arial" w:hAnsi="Arial" w:cs="Arial"/>
          <w:sz w:val="20"/>
          <w:szCs w:val="20"/>
        </w:rPr>
      </w:pPr>
    </w:p>
    <w:p w:rsidR="00702A8A" w:rsidRPr="00D17DA0" w:rsidRDefault="00D17DA0" w:rsidP="00D17DA0">
      <w:pPr>
        <w:spacing w:after="200" w:line="288" w:lineRule="auto"/>
        <w:rPr>
          <w:rFonts w:ascii="Arial" w:hAnsi="Arial" w:cs="Arial"/>
          <w:sz w:val="18"/>
          <w:szCs w:val="18"/>
        </w:rPr>
      </w:pPr>
      <w:r w:rsidRPr="00DF3109">
        <w:rPr>
          <w:rFonts w:ascii="Arial" w:hAnsi="Arial" w:cs="Arial"/>
          <w:i/>
          <w:sz w:val="18"/>
          <w:szCs w:val="18"/>
        </w:rPr>
        <w:t>Zdroj: Český statistický úřad, 2</w:t>
      </w:r>
      <w:r>
        <w:rPr>
          <w:rFonts w:ascii="Arial" w:hAnsi="Arial" w:cs="Arial"/>
          <w:i/>
          <w:sz w:val="18"/>
          <w:szCs w:val="18"/>
        </w:rPr>
        <w:t>013</w:t>
      </w:r>
      <w:r w:rsidR="00702A8A" w:rsidRPr="008A7371">
        <w:rPr>
          <w:rFonts w:ascii="Arial" w:hAnsi="Arial" w:cs="Arial"/>
          <w:sz w:val="20"/>
          <w:szCs w:val="20"/>
        </w:rPr>
        <w:t xml:space="preserve"> </w:t>
      </w:r>
    </w:p>
    <w:p w:rsidR="00240056" w:rsidRPr="00702A8A" w:rsidRDefault="00240056" w:rsidP="00240056">
      <w:pPr>
        <w:spacing w:before="120" w:line="288" w:lineRule="auto"/>
        <w:jc w:val="both"/>
        <w:rPr>
          <w:rFonts w:ascii="Arial" w:hAnsi="Arial" w:cs="Arial"/>
          <w:i/>
          <w:sz w:val="20"/>
          <w:szCs w:val="20"/>
        </w:rPr>
      </w:pPr>
      <w:r w:rsidRPr="008A7371">
        <w:rPr>
          <w:rFonts w:ascii="Arial" w:hAnsi="Arial" w:cs="Arial"/>
          <w:sz w:val="20"/>
          <w:szCs w:val="20"/>
        </w:rPr>
        <w:t xml:space="preserve">Z grafu </w:t>
      </w:r>
      <w:r w:rsidR="00CF73A8">
        <w:rPr>
          <w:rFonts w:ascii="Arial" w:hAnsi="Arial" w:cs="Arial"/>
          <w:sz w:val="20"/>
          <w:szCs w:val="20"/>
        </w:rPr>
        <w:t>2 je</w:t>
      </w:r>
      <w:r w:rsidRPr="008A7371">
        <w:rPr>
          <w:rFonts w:ascii="Arial" w:hAnsi="Arial" w:cs="Arial"/>
          <w:sz w:val="20"/>
          <w:szCs w:val="20"/>
        </w:rPr>
        <w:t xml:space="preserve"> patrné, že se liší vybav</w:t>
      </w:r>
      <w:r w:rsidR="00F772DB">
        <w:rPr>
          <w:rFonts w:ascii="Arial" w:hAnsi="Arial" w:cs="Arial"/>
          <w:sz w:val="20"/>
          <w:szCs w:val="20"/>
        </w:rPr>
        <w:t>enost osobním počítačem dle typu</w:t>
      </w:r>
      <w:r w:rsidRPr="008A7371">
        <w:rPr>
          <w:rFonts w:ascii="Arial" w:hAnsi="Arial" w:cs="Arial"/>
          <w:sz w:val="20"/>
          <w:szCs w:val="20"/>
        </w:rPr>
        <w:t xml:space="preserve"> domácnosti. Zatímco </w:t>
      </w:r>
      <w:r w:rsidR="00702A8A">
        <w:rPr>
          <w:rFonts w:ascii="Arial" w:hAnsi="Arial" w:cs="Arial"/>
          <w:sz w:val="20"/>
          <w:szCs w:val="20"/>
        </w:rPr>
        <w:t>osob</w:t>
      </w:r>
      <w:r w:rsidR="00F772DB">
        <w:rPr>
          <w:rFonts w:ascii="Arial" w:hAnsi="Arial" w:cs="Arial"/>
          <w:sz w:val="20"/>
          <w:szCs w:val="20"/>
        </w:rPr>
        <w:t>ním počítačem je vybaveno devět</w:t>
      </w:r>
      <w:r w:rsidR="00702A8A">
        <w:rPr>
          <w:rFonts w:ascii="Arial" w:hAnsi="Arial" w:cs="Arial"/>
          <w:sz w:val="20"/>
          <w:szCs w:val="20"/>
        </w:rPr>
        <w:t xml:space="preserve"> z deseti domácností s dětmi,</w:t>
      </w:r>
      <w:r w:rsidR="00DB3707">
        <w:rPr>
          <w:rFonts w:ascii="Arial" w:hAnsi="Arial" w:cs="Arial"/>
          <w:sz w:val="20"/>
          <w:szCs w:val="20"/>
        </w:rPr>
        <w:t xml:space="preserve"> domácnosti bez dětí jsou vybaveny z necelých 60 %</w:t>
      </w:r>
      <w:r w:rsidRPr="008A7371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Liší se i vybavenost domácností s dětmi dle toho, zda se jedná o úplnou, či neúplnou rodinu. </w:t>
      </w:r>
      <w:r w:rsidR="00E633B4">
        <w:rPr>
          <w:rFonts w:ascii="Arial" w:hAnsi="Arial" w:cs="Arial"/>
          <w:sz w:val="20"/>
          <w:szCs w:val="20"/>
        </w:rPr>
        <w:t>Rodiny</w:t>
      </w:r>
      <w:r>
        <w:rPr>
          <w:rFonts w:ascii="Arial" w:hAnsi="Arial" w:cs="Arial"/>
          <w:sz w:val="20"/>
          <w:szCs w:val="20"/>
        </w:rPr>
        <w:t xml:space="preserve"> úplné jsou počítačem vybaveny z více než 92 %, rodiny neúplné pouze ze tří čtvrtin.</w:t>
      </w:r>
    </w:p>
    <w:p w:rsidR="0018594E" w:rsidRDefault="00DB3707" w:rsidP="00C264DA">
      <w:pPr>
        <w:spacing w:before="180" w:after="120" w:line="288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Graf 2</w:t>
      </w:r>
      <w:r w:rsidR="00875F0F" w:rsidRPr="00875F0F">
        <w:rPr>
          <w:rFonts w:ascii="Arial" w:hAnsi="Arial" w:cs="Arial"/>
          <w:b/>
          <w:sz w:val="20"/>
          <w:szCs w:val="20"/>
        </w:rPr>
        <w:t xml:space="preserve">: Domácnosti s počítačem podle přítomnosti dětí </w:t>
      </w:r>
      <w:r w:rsidR="00875F0F" w:rsidRPr="0028691A">
        <w:rPr>
          <w:rFonts w:ascii="Arial" w:hAnsi="Arial" w:cs="Arial"/>
          <w:i/>
          <w:sz w:val="20"/>
          <w:szCs w:val="20"/>
        </w:rPr>
        <w:t>(% domácností)</w:t>
      </w:r>
    </w:p>
    <w:p w:rsidR="00C264DA" w:rsidRPr="00D17DA0" w:rsidRDefault="00D17DA0" w:rsidP="00D17DA0">
      <w:pPr>
        <w:spacing w:before="180" w:after="120" w:line="288" w:lineRule="auto"/>
        <w:jc w:val="both"/>
        <w:rPr>
          <w:rFonts w:ascii="Arial" w:hAnsi="Arial" w:cs="Arial"/>
          <w:i/>
          <w:sz w:val="20"/>
          <w:szCs w:val="20"/>
        </w:rPr>
      </w:pPr>
      <w:r w:rsidRPr="00D17DA0">
        <w:rPr>
          <w:rFonts w:ascii="Arial" w:hAnsi="Arial" w:cs="Arial"/>
          <w:i/>
          <w:noProof/>
          <w:sz w:val="20"/>
          <w:szCs w:val="20"/>
        </w:rPr>
        <w:drawing>
          <wp:inline distT="0" distB="0" distL="0" distR="0">
            <wp:extent cx="5781675" cy="2200275"/>
            <wp:effectExtent l="0" t="0" r="0" b="0"/>
            <wp:docPr id="18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674E8" w:rsidRPr="00DF3109" w:rsidRDefault="00F674E8" w:rsidP="00DF3109">
      <w:pPr>
        <w:spacing w:after="200" w:line="288" w:lineRule="auto"/>
        <w:jc w:val="both"/>
        <w:rPr>
          <w:rFonts w:ascii="Arial" w:hAnsi="Arial" w:cs="Arial"/>
          <w:sz w:val="18"/>
          <w:szCs w:val="18"/>
        </w:rPr>
      </w:pPr>
      <w:r w:rsidRPr="00DF3109">
        <w:rPr>
          <w:rFonts w:ascii="Arial" w:hAnsi="Arial" w:cs="Arial"/>
          <w:i/>
          <w:sz w:val="18"/>
          <w:szCs w:val="18"/>
        </w:rPr>
        <w:t>Zdroj: Český statistický úřad, 201</w:t>
      </w:r>
      <w:r w:rsidR="00D17DA0">
        <w:rPr>
          <w:rFonts w:ascii="Arial" w:hAnsi="Arial" w:cs="Arial"/>
          <w:i/>
          <w:sz w:val="18"/>
          <w:szCs w:val="18"/>
        </w:rPr>
        <w:t>3</w:t>
      </w:r>
    </w:p>
    <w:p w:rsidR="00240056" w:rsidRDefault="00240056" w:rsidP="00240056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8A7371">
        <w:rPr>
          <w:rFonts w:ascii="Arial" w:hAnsi="Arial" w:cs="Arial"/>
          <w:sz w:val="20"/>
          <w:szCs w:val="20"/>
        </w:rPr>
        <w:t>Pokud se zaměříme na domácnosti z hlediska příjmů, zjišťujeme, že domácnosti s nejnižším příjmem byly osobn</w:t>
      </w:r>
      <w:r>
        <w:rPr>
          <w:rFonts w:ascii="Arial" w:hAnsi="Arial" w:cs="Arial"/>
          <w:sz w:val="20"/>
          <w:szCs w:val="20"/>
        </w:rPr>
        <w:t>ím počítačem vybaveny pouze z</w:t>
      </w:r>
      <w:r w:rsidR="00C93631">
        <w:rPr>
          <w:rFonts w:ascii="Arial" w:hAnsi="Arial" w:cs="Arial"/>
          <w:sz w:val="20"/>
          <w:szCs w:val="20"/>
        </w:rPr>
        <w:t> </w:t>
      </w:r>
      <w:r w:rsidR="00D17DA0">
        <w:rPr>
          <w:rFonts w:ascii="Arial" w:hAnsi="Arial" w:cs="Arial"/>
          <w:sz w:val="20"/>
          <w:szCs w:val="20"/>
        </w:rPr>
        <w:t>30</w:t>
      </w:r>
      <w:r w:rsidR="00C93631">
        <w:rPr>
          <w:rFonts w:ascii="Arial" w:hAnsi="Arial" w:cs="Arial"/>
          <w:sz w:val="20"/>
          <w:szCs w:val="20"/>
        </w:rPr>
        <w:t> </w:t>
      </w:r>
      <w:r w:rsidRPr="008A7371">
        <w:rPr>
          <w:rFonts w:ascii="Arial" w:hAnsi="Arial" w:cs="Arial"/>
          <w:sz w:val="20"/>
          <w:szCs w:val="20"/>
        </w:rPr>
        <w:t>%, kdežto u domácností s nejvyšším příjmem s</w:t>
      </w:r>
      <w:r w:rsidR="00D17DA0">
        <w:rPr>
          <w:rFonts w:ascii="Arial" w:hAnsi="Arial" w:cs="Arial"/>
          <w:sz w:val="20"/>
          <w:szCs w:val="20"/>
        </w:rPr>
        <w:t>e vybavenost pohybovala kolem 96</w:t>
      </w:r>
      <w:r w:rsidRPr="008A7371">
        <w:rPr>
          <w:rFonts w:ascii="Arial" w:hAnsi="Arial" w:cs="Arial"/>
          <w:sz w:val="20"/>
          <w:szCs w:val="20"/>
        </w:rPr>
        <w:t xml:space="preserve"> %. Nutno dodat, že </w:t>
      </w:r>
      <w:r>
        <w:rPr>
          <w:rFonts w:ascii="Arial" w:hAnsi="Arial" w:cs="Arial"/>
          <w:sz w:val="20"/>
          <w:szCs w:val="20"/>
        </w:rPr>
        <w:t>mezi lety 2009 a 201</w:t>
      </w:r>
      <w:r w:rsidR="00D17DA0">
        <w:rPr>
          <w:rFonts w:ascii="Arial" w:hAnsi="Arial" w:cs="Arial"/>
          <w:sz w:val="20"/>
          <w:szCs w:val="20"/>
        </w:rPr>
        <w:t>3</w:t>
      </w:r>
      <w:r w:rsidRPr="008A7371">
        <w:rPr>
          <w:rFonts w:ascii="Arial" w:hAnsi="Arial" w:cs="Arial"/>
          <w:sz w:val="20"/>
          <w:szCs w:val="20"/>
        </w:rPr>
        <w:t xml:space="preserve"> došlo k nárůstu počtu počítačů v domácnostech s nejnižším příjmem o </w:t>
      </w:r>
      <w:r w:rsidR="00D17DA0">
        <w:rPr>
          <w:rFonts w:ascii="Arial" w:hAnsi="Arial" w:cs="Arial"/>
          <w:sz w:val="20"/>
          <w:szCs w:val="20"/>
        </w:rPr>
        <w:t>14 procentních bodů. Jistě bude zajímavé sledovat tento vývoj v následujícím roce v souvislosti s plánovaným zdražením elektroniky a počítačů.</w:t>
      </w:r>
    </w:p>
    <w:p w:rsidR="000C6CBE" w:rsidRPr="00ED689C" w:rsidRDefault="00C04083" w:rsidP="00ED689C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Více než dvě třetiny</w:t>
      </w:r>
      <w:r w:rsidR="00ED689C" w:rsidRPr="008A7371">
        <w:rPr>
          <w:rFonts w:ascii="Arial" w:hAnsi="Arial" w:cs="Arial"/>
          <w:sz w:val="20"/>
          <w:szCs w:val="20"/>
        </w:rPr>
        <w:t xml:space="preserve"> z celkového počtu domácností vybavených počíta</w:t>
      </w:r>
      <w:r w:rsidR="00DD043B">
        <w:rPr>
          <w:rFonts w:ascii="Arial" w:hAnsi="Arial" w:cs="Arial"/>
          <w:sz w:val="20"/>
          <w:szCs w:val="20"/>
        </w:rPr>
        <w:t>čem, používaly počítač stolní a </w:t>
      </w:r>
      <w:r w:rsidR="00ED689C">
        <w:rPr>
          <w:rFonts w:ascii="Arial" w:hAnsi="Arial" w:cs="Arial"/>
          <w:sz w:val="20"/>
          <w:szCs w:val="20"/>
        </w:rPr>
        <w:t>více</w:t>
      </w:r>
      <w:r w:rsidR="00C93631">
        <w:rPr>
          <w:rFonts w:ascii="Arial" w:hAnsi="Arial" w:cs="Arial"/>
          <w:sz w:val="20"/>
          <w:szCs w:val="20"/>
        </w:rPr>
        <w:t> než</w:t>
      </w:r>
      <w:r w:rsidR="00ED689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63% domácností</w:t>
      </w:r>
      <w:r w:rsidR="00ED689C">
        <w:rPr>
          <w:rFonts w:ascii="Arial" w:hAnsi="Arial" w:cs="Arial"/>
          <w:sz w:val="20"/>
          <w:szCs w:val="20"/>
        </w:rPr>
        <w:t xml:space="preserve"> počítač přenosný. Zhruba t</w:t>
      </w:r>
      <w:r w:rsidR="00246112">
        <w:rPr>
          <w:rFonts w:ascii="Arial" w:hAnsi="Arial" w:cs="Arial"/>
          <w:sz w:val="20"/>
          <w:szCs w:val="20"/>
        </w:rPr>
        <w:t>řetina domácností</w:t>
      </w:r>
      <w:r w:rsidR="00ED689C" w:rsidRPr="00C65D8B">
        <w:rPr>
          <w:rFonts w:ascii="Arial" w:hAnsi="Arial" w:cs="Arial"/>
          <w:sz w:val="20"/>
          <w:szCs w:val="20"/>
        </w:rPr>
        <w:t xml:space="preserve"> byla vybavena jak stolním, tak i</w:t>
      </w:r>
      <w:r w:rsidR="00ED689C">
        <w:rPr>
          <w:rFonts w:ascii="Arial" w:hAnsi="Arial" w:cs="Arial"/>
          <w:sz w:val="20"/>
          <w:szCs w:val="20"/>
        </w:rPr>
        <w:t> </w:t>
      </w:r>
      <w:r w:rsidR="00ED689C" w:rsidRPr="00C65D8B">
        <w:rPr>
          <w:rFonts w:ascii="Arial" w:hAnsi="Arial" w:cs="Arial"/>
          <w:sz w:val="20"/>
          <w:szCs w:val="20"/>
        </w:rPr>
        <w:t xml:space="preserve">přenosným počítačem. </w:t>
      </w:r>
      <w:r>
        <w:rPr>
          <w:rFonts w:ascii="Arial" w:hAnsi="Arial" w:cs="Arial"/>
          <w:sz w:val="20"/>
          <w:szCs w:val="20"/>
        </w:rPr>
        <w:t>V</w:t>
      </w:r>
      <w:r w:rsidR="00ED689C" w:rsidRPr="00C65D8B">
        <w:rPr>
          <w:rFonts w:ascii="Arial" w:hAnsi="Arial" w:cs="Arial"/>
          <w:sz w:val="20"/>
          <w:szCs w:val="20"/>
        </w:rPr>
        <w:t> tomto ohledu došlo u českých domácností k v</w:t>
      </w:r>
      <w:r w:rsidR="00AD1111">
        <w:rPr>
          <w:rFonts w:ascii="Arial" w:hAnsi="Arial" w:cs="Arial"/>
          <w:sz w:val="20"/>
          <w:szCs w:val="20"/>
        </w:rPr>
        <w:t xml:space="preserve">elkému posunu, neboť </w:t>
      </w:r>
      <w:r w:rsidR="00AD1111">
        <w:rPr>
          <w:rFonts w:ascii="Arial" w:hAnsi="Arial" w:cs="Arial"/>
          <w:sz w:val="20"/>
          <w:szCs w:val="20"/>
        </w:rPr>
        <w:lastRenderedPageBreak/>
        <w:t>před čtyřm</w:t>
      </w:r>
      <w:r w:rsidR="00ED689C">
        <w:rPr>
          <w:rFonts w:ascii="Arial" w:hAnsi="Arial" w:cs="Arial"/>
          <w:sz w:val="20"/>
          <w:szCs w:val="20"/>
        </w:rPr>
        <w:t>i lety měla přenosný počítač k dispozici pouze pětina domácností</w:t>
      </w:r>
      <w:r w:rsidR="00ED689C" w:rsidRPr="00C65D8B">
        <w:rPr>
          <w:rFonts w:ascii="Arial" w:hAnsi="Arial" w:cs="Arial"/>
          <w:sz w:val="20"/>
          <w:szCs w:val="20"/>
        </w:rPr>
        <w:t>.</w:t>
      </w:r>
      <w:r w:rsidR="00ED689C">
        <w:rPr>
          <w:rFonts w:ascii="Arial" w:hAnsi="Arial" w:cs="Arial"/>
          <w:sz w:val="20"/>
          <w:szCs w:val="20"/>
        </w:rPr>
        <w:t xml:space="preserve"> Roste rovněž podíl domácností s více počítači. Vybavenost dvěma a </w:t>
      </w:r>
      <w:r>
        <w:rPr>
          <w:rFonts w:ascii="Arial" w:hAnsi="Arial" w:cs="Arial"/>
          <w:sz w:val="20"/>
          <w:szCs w:val="20"/>
        </w:rPr>
        <w:t>více počítači uvedlo v roce 2013</w:t>
      </w:r>
      <w:r w:rsidR="00ED689C">
        <w:rPr>
          <w:rFonts w:ascii="Arial" w:hAnsi="Arial" w:cs="Arial"/>
          <w:sz w:val="20"/>
          <w:szCs w:val="20"/>
        </w:rPr>
        <w:t xml:space="preserve"> téměř </w:t>
      </w:r>
      <w:r>
        <w:rPr>
          <w:rFonts w:ascii="Arial" w:hAnsi="Arial" w:cs="Arial"/>
          <w:sz w:val="20"/>
          <w:szCs w:val="20"/>
        </w:rPr>
        <w:t>27 % domácností.</w:t>
      </w:r>
    </w:p>
    <w:p w:rsidR="00C04083" w:rsidRDefault="004C085E" w:rsidP="00ED689C">
      <w:pPr>
        <w:spacing w:before="120" w:line="192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Graf 3</w:t>
      </w:r>
      <w:r w:rsidR="000D45EF" w:rsidRPr="00875F0F">
        <w:rPr>
          <w:rFonts w:ascii="Arial" w:hAnsi="Arial" w:cs="Arial"/>
          <w:b/>
          <w:sz w:val="20"/>
          <w:szCs w:val="20"/>
        </w:rPr>
        <w:t xml:space="preserve">: Domácnosti s počítačem podle </w:t>
      </w:r>
      <w:r w:rsidR="000D45EF">
        <w:rPr>
          <w:rFonts w:ascii="Arial" w:hAnsi="Arial" w:cs="Arial"/>
          <w:b/>
          <w:sz w:val="20"/>
          <w:szCs w:val="20"/>
        </w:rPr>
        <w:t>příjmu domácnosti</w:t>
      </w:r>
      <w:r w:rsidR="00ED689C">
        <w:rPr>
          <w:rFonts w:ascii="Arial" w:hAnsi="Arial" w:cs="Arial"/>
          <w:b/>
          <w:sz w:val="20"/>
          <w:szCs w:val="20"/>
        </w:rPr>
        <w:t xml:space="preserve"> a typu počítače</w:t>
      </w:r>
      <w:r w:rsidR="000D45EF">
        <w:rPr>
          <w:rFonts w:ascii="Arial" w:hAnsi="Arial" w:cs="Arial"/>
          <w:sz w:val="20"/>
          <w:szCs w:val="20"/>
        </w:rPr>
        <w:t xml:space="preserve"> </w:t>
      </w:r>
      <w:r w:rsidR="000D45EF" w:rsidRPr="00051967">
        <w:rPr>
          <w:rFonts w:ascii="Arial" w:hAnsi="Arial" w:cs="Arial"/>
          <w:i/>
          <w:sz w:val="20"/>
          <w:szCs w:val="20"/>
        </w:rPr>
        <w:t>(% domácností)</w:t>
      </w:r>
    </w:p>
    <w:p w:rsidR="00DD6F91" w:rsidRPr="00C04083" w:rsidRDefault="00C04083" w:rsidP="00C04083">
      <w:pPr>
        <w:spacing w:before="120" w:line="192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-61595</wp:posOffset>
            </wp:positionH>
            <wp:positionV relativeFrom="paragraph">
              <wp:posOffset>107315</wp:posOffset>
            </wp:positionV>
            <wp:extent cx="2933700" cy="2028825"/>
            <wp:effectExtent l="0" t="0" r="0" b="0"/>
            <wp:wrapSquare wrapText="bothSides"/>
            <wp:docPr id="19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Pr="00C04083">
        <w:rPr>
          <w:rFonts w:ascii="Arial" w:hAnsi="Arial" w:cs="Arial"/>
          <w:i/>
          <w:noProof/>
          <w:sz w:val="20"/>
          <w:szCs w:val="20"/>
        </w:rPr>
        <w:drawing>
          <wp:inline distT="0" distB="0" distL="0" distR="0">
            <wp:extent cx="3047997" cy="2033525"/>
            <wp:effectExtent l="0" t="0" r="0" b="0"/>
            <wp:docPr id="26" name="Graf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br w:type="textWrapping" w:clear="all"/>
      </w:r>
    </w:p>
    <w:p w:rsidR="000D45EF" w:rsidRPr="00ED689C" w:rsidRDefault="000D45EF" w:rsidP="00ED689C">
      <w:pPr>
        <w:spacing w:after="200" w:line="288" w:lineRule="auto"/>
        <w:jc w:val="both"/>
        <w:rPr>
          <w:rFonts w:ascii="Arial" w:hAnsi="Arial" w:cs="Arial"/>
          <w:sz w:val="18"/>
          <w:szCs w:val="18"/>
        </w:rPr>
      </w:pPr>
      <w:r w:rsidRPr="00DF3109">
        <w:rPr>
          <w:rFonts w:ascii="Arial" w:hAnsi="Arial" w:cs="Arial"/>
          <w:i/>
          <w:sz w:val="18"/>
          <w:szCs w:val="18"/>
        </w:rPr>
        <w:t>Zdroj: Český statistický úřad, 201</w:t>
      </w:r>
      <w:r w:rsidR="00C04083">
        <w:rPr>
          <w:rFonts w:ascii="Arial" w:hAnsi="Arial" w:cs="Arial"/>
          <w:i/>
          <w:sz w:val="18"/>
          <w:szCs w:val="18"/>
        </w:rPr>
        <w:t>3</w:t>
      </w:r>
    </w:p>
    <w:p w:rsidR="00240056" w:rsidRDefault="000A3FA8" w:rsidP="00240056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Dvě třetiny českých domácností (67 %, 2,8</w:t>
      </w:r>
      <w:r w:rsidR="00240056" w:rsidRPr="008A7371">
        <w:rPr>
          <w:rFonts w:ascii="Arial" w:hAnsi="Arial" w:cs="Arial"/>
          <w:sz w:val="20"/>
          <w:szCs w:val="20"/>
        </w:rPr>
        <w:t xml:space="preserve"> mil.) bylo ve druhém čtvrtletí roku </w:t>
      </w:r>
      <w:r w:rsidR="00240056">
        <w:rPr>
          <w:rFonts w:ascii="Arial" w:hAnsi="Arial" w:cs="Arial"/>
          <w:sz w:val="20"/>
          <w:szCs w:val="20"/>
        </w:rPr>
        <w:t>201</w:t>
      </w:r>
      <w:r>
        <w:rPr>
          <w:rFonts w:ascii="Arial" w:hAnsi="Arial" w:cs="Arial"/>
          <w:sz w:val="20"/>
          <w:szCs w:val="20"/>
        </w:rPr>
        <w:t>3</w:t>
      </w:r>
      <w:r w:rsidR="00240056" w:rsidRPr="008A7371">
        <w:rPr>
          <w:rFonts w:ascii="Arial" w:hAnsi="Arial" w:cs="Arial"/>
          <w:sz w:val="20"/>
          <w:szCs w:val="20"/>
        </w:rPr>
        <w:t xml:space="preserve"> připojeno k internetu. </w:t>
      </w:r>
      <w:r w:rsidR="00240056">
        <w:rPr>
          <w:rFonts w:ascii="Arial" w:hAnsi="Arial" w:cs="Arial"/>
          <w:sz w:val="20"/>
          <w:szCs w:val="20"/>
        </w:rPr>
        <w:t xml:space="preserve">Během posledních </w:t>
      </w:r>
      <w:r w:rsidR="00B966B0">
        <w:rPr>
          <w:rFonts w:ascii="Arial" w:hAnsi="Arial" w:cs="Arial"/>
          <w:sz w:val="20"/>
          <w:szCs w:val="20"/>
        </w:rPr>
        <w:t xml:space="preserve">šesti </w:t>
      </w:r>
      <w:r w:rsidR="00240056">
        <w:rPr>
          <w:rFonts w:ascii="Arial" w:hAnsi="Arial" w:cs="Arial"/>
          <w:sz w:val="20"/>
          <w:szCs w:val="20"/>
        </w:rPr>
        <w:t xml:space="preserve">let se tak podíl domácností připojených k internetu více než </w:t>
      </w:r>
      <w:r w:rsidR="004C085E">
        <w:rPr>
          <w:rFonts w:ascii="Arial" w:hAnsi="Arial" w:cs="Arial"/>
          <w:sz w:val="20"/>
          <w:szCs w:val="20"/>
        </w:rPr>
        <w:t>zdvojnásobil</w:t>
      </w:r>
      <w:r w:rsidR="00240056">
        <w:rPr>
          <w:rFonts w:ascii="Arial" w:hAnsi="Arial" w:cs="Arial"/>
          <w:sz w:val="20"/>
          <w:szCs w:val="20"/>
        </w:rPr>
        <w:t>, neboť v roce 2007</w:t>
      </w:r>
      <w:r w:rsidR="00240056" w:rsidRPr="008A7371">
        <w:rPr>
          <w:rFonts w:ascii="Arial" w:hAnsi="Arial" w:cs="Arial"/>
          <w:sz w:val="20"/>
          <w:szCs w:val="20"/>
        </w:rPr>
        <w:t xml:space="preserve"> byl</w:t>
      </w:r>
      <w:r w:rsidR="00240056">
        <w:rPr>
          <w:rFonts w:ascii="Arial" w:hAnsi="Arial" w:cs="Arial"/>
          <w:sz w:val="20"/>
          <w:szCs w:val="20"/>
        </w:rPr>
        <w:t>o k internetu připojeno pouze 32</w:t>
      </w:r>
      <w:r w:rsidR="00240056" w:rsidRPr="008A7371">
        <w:rPr>
          <w:rFonts w:ascii="Arial" w:hAnsi="Arial" w:cs="Arial"/>
          <w:sz w:val="20"/>
          <w:szCs w:val="20"/>
        </w:rPr>
        <w:t> % domácností</w:t>
      </w:r>
      <w:r w:rsidR="00240056">
        <w:rPr>
          <w:rFonts w:ascii="Arial" w:hAnsi="Arial" w:cs="Arial"/>
          <w:sz w:val="20"/>
          <w:szCs w:val="20"/>
        </w:rPr>
        <w:t>, tedy o</w:t>
      </w:r>
      <w:r>
        <w:rPr>
          <w:rFonts w:ascii="Arial" w:hAnsi="Arial" w:cs="Arial"/>
          <w:sz w:val="20"/>
          <w:szCs w:val="20"/>
        </w:rPr>
        <w:t xml:space="preserve"> 1,5</w:t>
      </w:r>
      <w:r w:rsidR="00240056" w:rsidRPr="00306DC9">
        <w:rPr>
          <w:rFonts w:ascii="Arial" w:hAnsi="Arial" w:cs="Arial"/>
          <w:sz w:val="20"/>
          <w:szCs w:val="20"/>
        </w:rPr>
        <w:t xml:space="preserve"> miliónu dom</w:t>
      </w:r>
      <w:r w:rsidR="00240056">
        <w:rPr>
          <w:rFonts w:ascii="Arial" w:hAnsi="Arial" w:cs="Arial"/>
          <w:sz w:val="20"/>
          <w:szCs w:val="20"/>
        </w:rPr>
        <w:t>ácností méně.</w:t>
      </w:r>
      <w:r w:rsidR="00B84C85">
        <w:rPr>
          <w:rFonts w:ascii="Arial" w:hAnsi="Arial" w:cs="Arial"/>
          <w:sz w:val="20"/>
          <w:szCs w:val="20"/>
        </w:rPr>
        <w:t xml:space="preserve"> Na základě těchto dat by se</w:t>
      </w:r>
      <w:r>
        <w:rPr>
          <w:rFonts w:ascii="Arial" w:hAnsi="Arial" w:cs="Arial"/>
          <w:sz w:val="20"/>
          <w:szCs w:val="20"/>
        </w:rPr>
        <w:t xml:space="preserve"> dalo zjednodušeně říci, že téměř každá domácnost, která je vybavena osobním počítačem</w:t>
      </w:r>
      <w:r w:rsidR="00A85EF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má zároveň i přístup k internetu.</w:t>
      </w:r>
    </w:p>
    <w:p w:rsidR="00240056" w:rsidRPr="008A7371" w:rsidRDefault="00240056" w:rsidP="00240056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 vybavenosti domácností internetem lze pozorovat obdobný trend jako </w:t>
      </w:r>
      <w:r w:rsidR="001E794A">
        <w:rPr>
          <w:rFonts w:ascii="Arial" w:hAnsi="Arial" w:cs="Arial"/>
          <w:sz w:val="20"/>
          <w:szCs w:val="20"/>
        </w:rPr>
        <w:t>v případě</w:t>
      </w:r>
      <w:r>
        <w:rPr>
          <w:rFonts w:ascii="Arial" w:hAnsi="Arial" w:cs="Arial"/>
          <w:sz w:val="20"/>
          <w:szCs w:val="20"/>
        </w:rPr>
        <w:t xml:space="preserve"> domácností </w:t>
      </w:r>
      <w:r w:rsidR="001E794A">
        <w:rPr>
          <w:rFonts w:ascii="Arial" w:hAnsi="Arial" w:cs="Arial"/>
          <w:sz w:val="20"/>
          <w:szCs w:val="20"/>
        </w:rPr>
        <w:t xml:space="preserve">vybavených </w:t>
      </w:r>
      <w:r>
        <w:rPr>
          <w:rFonts w:ascii="Arial" w:hAnsi="Arial" w:cs="Arial"/>
          <w:sz w:val="20"/>
          <w:szCs w:val="20"/>
        </w:rPr>
        <w:t>počítači</w:t>
      </w:r>
      <w:r w:rsidRPr="00306DC9">
        <w:rPr>
          <w:rFonts w:ascii="Arial" w:hAnsi="Arial" w:cs="Arial"/>
          <w:sz w:val="20"/>
          <w:szCs w:val="20"/>
        </w:rPr>
        <w:t>.</w:t>
      </w:r>
      <w:r w:rsidRPr="008A7371">
        <w:rPr>
          <w:rFonts w:ascii="Arial" w:hAnsi="Arial" w:cs="Arial"/>
          <w:sz w:val="20"/>
          <w:szCs w:val="20"/>
        </w:rPr>
        <w:t xml:space="preserve"> </w:t>
      </w:r>
      <w:r w:rsidR="001E794A">
        <w:rPr>
          <w:rFonts w:ascii="Arial" w:hAnsi="Arial" w:cs="Arial"/>
          <w:sz w:val="20"/>
          <w:szCs w:val="20"/>
        </w:rPr>
        <w:t>Výrazně</w:t>
      </w:r>
      <w:r w:rsidRPr="008A7371">
        <w:rPr>
          <w:rFonts w:ascii="Arial" w:hAnsi="Arial" w:cs="Arial"/>
          <w:sz w:val="20"/>
          <w:szCs w:val="20"/>
        </w:rPr>
        <w:t xml:space="preserve"> lépe</w:t>
      </w:r>
      <w:r w:rsidR="008A5F29">
        <w:rPr>
          <w:rFonts w:ascii="Arial" w:hAnsi="Arial" w:cs="Arial"/>
          <w:sz w:val="20"/>
          <w:szCs w:val="20"/>
        </w:rPr>
        <w:t xml:space="preserve"> byly ve 2. čtvrtletí roku 2013</w:t>
      </w:r>
      <w:r>
        <w:rPr>
          <w:rFonts w:ascii="Arial" w:hAnsi="Arial" w:cs="Arial"/>
          <w:sz w:val="20"/>
          <w:szCs w:val="20"/>
        </w:rPr>
        <w:t xml:space="preserve"> vybaveny domácnosti s dětmi (</w:t>
      </w:r>
      <w:r w:rsidR="004C085E">
        <w:rPr>
          <w:rFonts w:ascii="Arial" w:hAnsi="Arial" w:cs="Arial"/>
          <w:sz w:val="20"/>
          <w:szCs w:val="20"/>
        </w:rPr>
        <w:t>devět z deseti domácností</w:t>
      </w:r>
      <w:r w:rsidRPr="008A7371">
        <w:rPr>
          <w:rFonts w:ascii="Arial" w:hAnsi="Arial" w:cs="Arial"/>
          <w:sz w:val="20"/>
          <w:szCs w:val="20"/>
        </w:rPr>
        <w:t>)</w:t>
      </w:r>
      <w:r w:rsidR="004C085E">
        <w:rPr>
          <w:rFonts w:ascii="Arial" w:hAnsi="Arial" w:cs="Arial"/>
          <w:sz w:val="20"/>
          <w:szCs w:val="20"/>
        </w:rPr>
        <w:t>,</w:t>
      </w:r>
      <w:r w:rsidRPr="008A7371">
        <w:rPr>
          <w:rFonts w:ascii="Arial" w:hAnsi="Arial" w:cs="Arial"/>
          <w:sz w:val="20"/>
          <w:szCs w:val="20"/>
        </w:rPr>
        <w:t xml:space="preserve"> v porovnání s domácnostmi bez dětí (5</w:t>
      </w:r>
      <w:r>
        <w:rPr>
          <w:rFonts w:ascii="Arial" w:hAnsi="Arial" w:cs="Arial"/>
          <w:sz w:val="20"/>
          <w:szCs w:val="20"/>
        </w:rPr>
        <w:t>7</w:t>
      </w:r>
      <w:r w:rsidR="004C085E">
        <w:rPr>
          <w:rFonts w:ascii="Arial" w:hAnsi="Arial" w:cs="Arial"/>
          <w:sz w:val="20"/>
          <w:szCs w:val="20"/>
        </w:rPr>
        <w:t xml:space="preserve"> %). Stejně tak </w:t>
      </w:r>
      <w:r w:rsidRPr="008A7371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z w:val="20"/>
          <w:szCs w:val="20"/>
        </w:rPr>
        <w:t xml:space="preserve">mácnosti s nejvyšším příjmem </w:t>
      </w:r>
      <w:r w:rsidR="004C085E">
        <w:rPr>
          <w:rFonts w:ascii="Arial" w:hAnsi="Arial" w:cs="Arial"/>
          <w:sz w:val="20"/>
          <w:szCs w:val="20"/>
        </w:rPr>
        <w:t xml:space="preserve">byly vybaveny internetem </w:t>
      </w:r>
      <w:r w:rsidR="00631291">
        <w:rPr>
          <w:rFonts w:ascii="Arial" w:hAnsi="Arial" w:cs="Arial"/>
          <w:sz w:val="20"/>
          <w:szCs w:val="20"/>
        </w:rPr>
        <w:t>výrazně</w:t>
      </w:r>
      <w:r w:rsidR="004C085E">
        <w:rPr>
          <w:rFonts w:ascii="Arial" w:hAnsi="Arial" w:cs="Arial"/>
          <w:sz w:val="20"/>
          <w:szCs w:val="20"/>
        </w:rPr>
        <w:t xml:space="preserve"> lépe než domácnosti s příjmem nejnižší</w:t>
      </w:r>
      <w:r w:rsidR="002B6A79">
        <w:rPr>
          <w:rFonts w:ascii="Arial" w:hAnsi="Arial" w:cs="Arial"/>
          <w:sz w:val="20"/>
          <w:szCs w:val="20"/>
        </w:rPr>
        <w:t>m</w:t>
      </w:r>
      <w:r w:rsidR="004C085E">
        <w:rPr>
          <w:rFonts w:ascii="Arial" w:hAnsi="Arial" w:cs="Arial"/>
          <w:sz w:val="20"/>
          <w:szCs w:val="20"/>
        </w:rPr>
        <w:t xml:space="preserve">. </w:t>
      </w:r>
      <w:r w:rsidR="002B6A79">
        <w:rPr>
          <w:rFonts w:ascii="Arial" w:hAnsi="Arial" w:cs="Arial"/>
          <w:sz w:val="20"/>
          <w:szCs w:val="20"/>
        </w:rPr>
        <w:t xml:space="preserve">V </w:t>
      </w:r>
      <w:r w:rsidR="00631291">
        <w:rPr>
          <w:rFonts w:ascii="Arial" w:hAnsi="Arial" w:cs="Arial"/>
          <w:sz w:val="20"/>
          <w:szCs w:val="20"/>
        </w:rPr>
        <w:t>roce 2013</w:t>
      </w:r>
      <w:r w:rsidR="004C085E">
        <w:rPr>
          <w:rFonts w:ascii="Arial" w:hAnsi="Arial" w:cs="Arial"/>
          <w:sz w:val="20"/>
          <w:szCs w:val="20"/>
        </w:rPr>
        <w:t xml:space="preserve"> </w:t>
      </w:r>
      <w:r w:rsidR="002B6A79">
        <w:rPr>
          <w:rFonts w:ascii="Arial" w:hAnsi="Arial" w:cs="Arial"/>
          <w:sz w:val="20"/>
          <w:szCs w:val="20"/>
        </w:rPr>
        <w:t xml:space="preserve">jím totiž </w:t>
      </w:r>
      <w:r w:rsidR="001E794A">
        <w:rPr>
          <w:rFonts w:ascii="Arial" w:hAnsi="Arial" w:cs="Arial"/>
          <w:sz w:val="20"/>
          <w:szCs w:val="20"/>
        </w:rPr>
        <w:t xml:space="preserve">nebylo vybaveno pouze </w:t>
      </w:r>
      <w:r w:rsidR="00631291">
        <w:rPr>
          <w:rFonts w:ascii="Arial" w:hAnsi="Arial" w:cs="Arial"/>
          <w:sz w:val="20"/>
          <w:szCs w:val="20"/>
        </w:rPr>
        <w:t>5 %</w:t>
      </w:r>
      <w:r w:rsidR="004C085E">
        <w:rPr>
          <w:rFonts w:ascii="Arial" w:hAnsi="Arial" w:cs="Arial"/>
          <w:sz w:val="20"/>
          <w:szCs w:val="20"/>
        </w:rPr>
        <w:t xml:space="preserve"> domácností s nejvyšším příjmem, kdežto pouze </w:t>
      </w:r>
      <w:r w:rsidR="00631291">
        <w:rPr>
          <w:rFonts w:ascii="Arial" w:hAnsi="Arial" w:cs="Arial"/>
          <w:sz w:val="20"/>
          <w:szCs w:val="20"/>
        </w:rPr>
        <w:t xml:space="preserve">29 % </w:t>
      </w:r>
      <w:r w:rsidR="004C085E">
        <w:rPr>
          <w:rFonts w:ascii="Arial" w:hAnsi="Arial" w:cs="Arial"/>
          <w:sz w:val="20"/>
          <w:szCs w:val="20"/>
        </w:rPr>
        <w:t>domácností s nejnižším příjmem</w:t>
      </w:r>
      <w:r w:rsidR="002B6A79">
        <w:rPr>
          <w:rFonts w:ascii="Arial" w:hAnsi="Arial" w:cs="Arial"/>
          <w:sz w:val="20"/>
          <w:szCs w:val="20"/>
        </w:rPr>
        <w:t xml:space="preserve"> uvedla, že má doma přístup k internetu.</w:t>
      </w:r>
    </w:p>
    <w:p w:rsidR="00240056" w:rsidRPr="008A7371" w:rsidRDefault="00240056" w:rsidP="00240056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8A7371">
        <w:rPr>
          <w:rFonts w:ascii="Arial" w:hAnsi="Arial" w:cs="Arial"/>
          <w:sz w:val="20"/>
          <w:szCs w:val="20"/>
        </w:rPr>
        <w:t xml:space="preserve">Vysokorychlostní připojení k internetu </w:t>
      </w:r>
      <w:r w:rsidR="00B966B0">
        <w:rPr>
          <w:rFonts w:ascii="Arial" w:hAnsi="Arial" w:cs="Arial"/>
          <w:sz w:val="20"/>
          <w:szCs w:val="20"/>
        </w:rPr>
        <w:t>patří</w:t>
      </w:r>
      <w:r>
        <w:rPr>
          <w:rFonts w:ascii="Arial" w:hAnsi="Arial" w:cs="Arial"/>
          <w:sz w:val="20"/>
          <w:szCs w:val="20"/>
        </w:rPr>
        <w:t xml:space="preserve"> ke standardu českých domácností</w:t>
      </w:r>
      <w:r w:rsidRPr="008A7371">
        <w:rPr>
          <w:rFonts w:ascii="Arial" w:hAnsi="Arial" w:cs="Arial"/>
          <w:sz w:val="20"/>
          <w:szCs w:val="20"/>
        </w:rPr>
        <w:t xml:space="preserve">. Ve </w:t>
      </w:r>
      <w:r w:rsidRPr="001618D0">
        <w:rPr>
          <w:rFonts w:ascii="Arial" w:hAnsi="Arial" w:cs="Arial"/>
          <w:sz w:val="20"/>
          <w:szCs w:val="20"/>
        </w:rPr>
        <w:t>druhém čtvrtletí roku 201</w:t>
      </w:r>
      <w:r w:rsidR="00631291">
        <w:rPr>
          <w:rFonts w:ascii="Arial" w:hAnsi="Arial" w:cs="Arial"/>
          <w:sz w:val="20"/>
          <w:szCs w:val="20"/>
        </w:rPr>
        <w:t>3</w:t>
      </w:r>
      <w:r w:rsidRPr="001618D0">
        <w:rPr>
          <w:rFonts w:ascii="Arial" w:hAnsi="Arial" w:cs="Arial"/>
          <w:sz w:val="20"/>
          <w:szCs w:val="20"/>
        </w:rPr>
        <w:t xml:space="preserve"> mě</w:t>
      </w:r>
      <w:r>
        <w:rPr>
          <w:rFonts w:ascii="Arial" w:hAnsi="Arial" w:cs="Arial"/>
          <w:sz w:val="20"/>
          <w:szCs w:val="20"/>
        </w:rPr>
        <w:t xml:space="preserve">lo rychlý přístup k internetu </w:t>
      </w:r>
      <w:r w:rsidR="00631291">
        <w:rPr>
          <w:rFonts w:ascii="Arial" w:hAnsi="Arial" w:cs="Arial"/>
          <w:sz w:val="20"/>
          <w:szCs w:val="20"/>
        </w:rPr>
        <w:t>64</w:t>
      </w:r>
      <w:r>
        <w:rPr>
          <w:rFonts w:ascii="Arial" w:hAnsi="Arial" w:cs="Arial"/>
          <w:sz w:val="20"/>
          <w:szCs w:val="20"/>
        </w:rPr>
        <w:t> % domácností (96</w:t>
      </w:r>
      <w:r w:rsidRPr="001618D0">
        <w:rPr>
          <w:rFonts w:ascii="Arial" w:hAnsi="Arial" w:cs="Arial"/>
          <w:sz w:val="20"/>
          <w:szCs w:val="20"/>
        </w:rPr>
        <w:t> % z domácn</w:t>
      </w:r>
      <w:r>
        <w:rPr>
          <w:rFonts w:ascii="Arial" w:hAnsi="Arial" w:cs="Arial"/>
          <w:sz w:val="20"/>
          <w:szCs w:val="20"/>
        </w:rPr>
        <w:t>ostí s připojením k internetu). Přitom v roce 2007 měla vysokorychlostní připojení k internetu pouze čtvrtina českých domácností.</w:t>
      </w:r>
    </w:p>
    <w:p w:rsidR="0020053D" w:rsidRPr="00875F0F" w:rsidRDefault="0020053D" w:rsidP="001618D0">
      <w:pPr>
        <w:spacing w:before="180" w:after="80" w:line="288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Graf </w:t>
      </w:r>
      <w:r w:rsidR="005E2676">
        <w:rPr>
          <w:rFonts w:ascii="Arial" w:hAnsi="Arial" w:cs="Arial"/>
          <w:b/>
          <w:sz w:val="20"/>
          <w:szCs w:val="20"/>
        </w:rPr>
        <w:t>4</w:t>
      </w:r>
      <w:r w:rsidRPr="00875F0F">
        <w:rPr>
          <w:rFonts w:ascii="Arial" w:hAnsi="Arial" w:cs="Arial"/>
          <w:b/>
          <w:sz w:val="20"/>
          <w:szCs w:val="20"/>
        </w:rPr>
        <w:t>: Domácnosti s</w:t>
      </w:r>
      <w:r w:rsidR="00436899">
        <w:rPr>
          <w:rFonts w:ascii="Arial" w:hAnsi="Arial" w:cs="Arial"/>
          <w:b/>
          <w:sz w:val="20"/>
          <w:szCs w:val="20"/>
        </w:rPr>
        <w:t> připojením k internetu</w:t>
      </w:r>
      <w:r w:rsidRPr="00875F0F">
        <w:rPr>
          <w:rFonts w:ascii="Arial" w:hAnsi="Arial" w:cs="Arial"/>
          <w:b/>
          <w:sz w:val="20"/>
          <w:szCs w:val="20"/>
        </w:rPr>
        <w:t xml:space="preserve"> </w:t>
      </w:r>
      <w:r w:rsidRPr="00051967">
        <w:rPr>
          <w:rFonts w:ascii="Arial" w:hAnsi="Arial" w:cs="Arial"/>
          <w:i/>
          <w:sz w:val="20"/>
          <w:szCs w:val="20"/>
        </w:rPr>
        <w:t>(% domácností)</w:t>
      </w:r>
    </w:p>
    <w:p w:rsidR="00ED689C" w:rsidRDefault="00D5739B" w:rsidP="0027505D">
      <w:pPr>
        <w:tabs>
          <w:tab w:val="left" w:pos="1350"/>
        </w:tabs>
        <w:spacing w:line="288" w:lineRule="auto"/>
        <w:jc w:val="center"/>
        <w:rPr>
          <w:i/>
        </w:rPr>
      </w:pPr>
      <w:r w:rsidRPr="00D5739B">
        <w:rPr>
          <w:i/>
          <w:noProof/>
        </w:rPr>
        <w:drawing>
          <wp:inline distT="0" distB="0" distL="0" distR="0">
            <wp:extent cx="5762625" cy="2085975"/>
            <wp:effectExtent l="0" t="0" r="0" b="0"/>
            <wp:docPr id="28" name="Graf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D689C" w:rsidRDefault="00ED689C" w:rsidP="00ED689C">
      <w:pPr>
        <w:tabs>
          <w:tab w:val="left" w:pos="1350"/>
        </w:tabs>
        <w:spacing w:line="288" w:lineRule="auto"/>
        <w:jc w:val="both"/>
        <w:rPr>
          <w:rFonts w:ascii="Arial" w:hAnsi="Arial" w:cs="Arial"/>
          <w:i/>
          <w:sz w:val="18"/>
          <w:szCs w:val="18"/>
        </w:rPr>
      </w:pPr>
    </w:p>
    <w:p w:rsidR="00DF3109" w:rsidRPr="00ED689C" w:rsidRDefault="00DF3109" w:rsidP="002032F1">
      <w:pPr>
        <w:tabs>
          <w:tab w:val="left" w:pos="1350"/>
        </w:tabs>
        <w:spacing w:after="200" w:line="288" w:lineRule="auto"/>
        <w:jc w:val="both"/>
        <w:rPr>
          <w:i/>
        </w:rPr>
      </w:pPr>
      <w:r w:rsidRPr="00DF3109">
        <w:rPr>
          <w:rFonts w:ascii="Arial" w:hAnsi="Arial" w:cs="Arial"/>
          <w:i/>
          <w:sz w:val="18"/>
          <w:szCs w:val="18"/>
        </w:rPr>
        <w:t>Zdroj: Český statistický úřad, 201</w:t>
      </w:r>
      <w:r w:rsidR="00D5739B">
        <w:rPr>
          <w:rFonts w:ascii="Arial" w:hAnsi="Arial" w:cs="Arial"/>
          <w:i/>
          <w:sz w:val="18"/>
          <w:szCs w:val="18"/>
        </w:rPr>
        <w:t>3</w:t>
      </w:r>
    </w:p>
    <w:p w:rsidR="00B966B0" w:rsidRDefault="00240056" w:rsidP="00240056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Pokud jde o způsob připojení</w:t>
      </w:r>
      <w:r w:rsidRPr="008A7371">
        <w:rPr>
          <w:rFonts w:ascii="Arial" w:hAnsi="Arial" w:cs="Arial"/>
          <w:sz w:val="20"/>
          <w:szCs w:val="20"/>
        </w:rPr>
        <w:t xml:space="preserve"> českých domácností k</w:t>
      </w:r>
      <w:r>
        <w:rPr>
          <w:rFonts w:ascii="Arial" w:hAnsi="Arial" w:cs="Arial"/>
          <w:sz w:val="20"/>
          <w:szCs w:val="20"/>
        </w:rPr>
        <w:t> </w:t>
      </w:r>
      <w:r w:rsidRPr="008A7371">
        <w:rPr>
          <w:rFonts w:ascii="Arial" w:hAnsi="Arial" w:cs="Arial"/>
          <w:sz w:val="20"/>
          <w:szCs w:val="20"/>
        </w:rPr>
        <w:t>internetu</w:t>
      </w:r>
      <w:r>
        <w:rPr>
          <w:rFonts w:ascii="Arial" w:hAnsi="Arial" w:cs="Arial"/>
          <w:sz w:val="20"/>
          <w:szCs w:val="20"/>
        </w:rPr>
        <w:t>, tak jednoznačně nejrozšířenější je připojení bezdrátové (</w:t>
      </w:r>
      <w:proofErr w:type="spellStart"/>
      <w:r>
        <w:rPr>
          <w:rFonts w:ascii="Arial" w:hAnsi="Arial" w:cs="Arial"/>
          <w:sz w:val="20"/>
          <w:szCs w:val="20"/>
        </w:rPr>
        <w:t>Wi</w:t>
      </w:r>
      <w:proofErr w:type="spellEnd"/>
      <w:r w:rsidR="00B84C85">
        <w:rPr>
          <w:rFonts w:ascii="Arial" w:hAnsi="Arial" w:cs="Arial"/>
          <w:sz w:val="20"/>
          <w:szCs w:val="20"/>
        </w:rPr>
        <w:t>-</w:t>
      </w:r>
      <w:proofErr w:type="spellStart"/>
      <w:r>
        <w:rPr>
          <w:rFonts w:ascii="Arial" w:hAnsi="Arial" w:cs="Arial"/>
          <w:sz w:val="20"/>
          <w:szCs w:val="20"/>
        </w:rPr>
        <w:t>Fi</w:t>
      </w:r>
      <w:proofErr w:type="spellEnd"/>
      <w:r>
        <w:rPr>
          <w:rFonts w:ascii="Arial" w:hAnsi="Arial" w:cs="Arial"/>
          <w:sz w:val="20"/>
          <w:szCs w:val="20"/>
        </w:rPr>
        <w:t>), kterým se k internetu připojuje</w:t>
      </w:r>
      <w:r w:rsidR="0027505D">
        <w:rPr>
          <w:rFonts w:ascii="Arial" w:hAnsi="Arial" w:cs="Arial"/>
          <w:sz w:val="20"/>
          <w:szCs w:val="20"/>
        </w:rPr>
        <w:t xml:space="preserve"> více než</w:t>
      </w:r>
      <w:r w:rsidR="00B966B0">
        <w:rPr>
          <w:rFonts w:ascii="Arial" w:hAnsi="Arial" w:cs="Arial"/>
          <w:sz w:val="20"/>
          <w:szCs w:val="20"/>
        </w:rPr>
        <w:t xml:space="preserve"> polovina českých domácností.</w:t>
      </w:r>
    </w:p>
    <w:p w:rsidR="00240056" w:rsidRPr="008A7371" w:rsidRDefault="00B966B0" w:rsidP="00240056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Přitom </w:t>
      </w:r>
      <w:r w:rsidR="0027505D">
        <w:rPr>
          <w:rFonts w:ascii="Arial" w:hAnsi="Arial" w:cs="Arial"/>
          <w:sz w:val="20"/>
          <w:szCs w:val="20"/>
        </w:rPr>
        <w:t>v roce 2007 se</w:t>
      </w:r>
      <w:r w:rsidR="00240056">
        <w:rPr>
          <w:rFonts w:ascii="Arial" w:hAnsi="Arial" w:cs="Arial"/>
          <w:sz w:val="20"/>
          <w:szCs w:val="20"/>
        </w:rPr>
        <w:t xml:space="preserve"> prostřednictv</w:t>
      </w:r>
      <w:r w:rsidR="001E794A">
        <w:rPr>
          <w:rFonts w:ascii="Arial" w:hAnsi="Arial" w:cs="Arial"/>
          <w:sz w:val="20"/>
          <w:szCs w:val="20"/>
        </w:rPr>
        <w:t>ím bezdrátových sítí připojovalo</w:t>
      </w:r>
      <w:r w:rsidR="00240056">
        <w:rPr>
          <w:rFonts w:ascii="Arial" w:hAnsi="Arial" w:cs="Arial"/>
          <w:sz w:val="20"/>
          <w:szCs w:val="20"/>
        </w:rPr>
        <w:t xml:space="preserve"> k internetu pouze </w:t>
      </w:r>
      <w:r w:rsidR="001E794A">
        <w:rPr>
          <w:rFonts w:ascii="Arial" w:hAnsi="Arial" w:cs="Arial"/>
          <w:sz w:val="20"/>
          <w:szCs w:val="20"/>
        </w:rPr>
        <w:t>22 %</w:t>
      </w:r>
      <w:r w:rsidR="00240056">
        <w:rPr>
          <w:rFonts w:ascii="Arial" w:hAnsi="Arial" w:cs="Arial"/>
          <w:sz w:val="20"/>
          <w:szCs w:val="20"/>
        </w:rPr>
        <w:t xml:space="preserve"> domácností</w:t>
      </w:r>
      <w:r w:rsidR="00240056" w:rsidRPr="008A7371">
        <w:rPr>
          <w:rFonts w:ascii="Arial" w:hAnsi="Arial" w:cs="Arial"/>
          <w:sz w:val="20"/>
          <w:szCs w:val="20"/>
        </w:rPr>
        <w:t>.</w:t>
      </w:r>
      <w:r w:rsidR="0027505D">
        <w:rPr>
          <w:rFonts w:ascii="Arial" w:hAnsi="Arial" w:cs="Arial"/>
          <w:sz w:val="20"/>
          <w:szCs w:val="20"/>
        </w:rPr>
        <w:t xml:space="preserve"> Naopak </w:t>
      </w:r>
      <w:r>
        <w:rPr>
          <w:rFonts w:ascii="Arial" w:hAnsi="Arial" w:cs="Arial"/>
          <w:sz w:val="20"/>
          <w:szCs w:val="20"/>
        </w:rPr>
        <w:t xml:space="preserve">ještě </w:t>
      </w:r>
      <w:r w:rsidR="0027505D">
        <w:rPr>
          <w:rFonts w:ascii="Arial" w:hAnsi="Arial" w:cs="Arial"/>
          <w:sz w:val="20"/>
          <w:szCs w:val="20"/>
        </w:rPr>
        <w:t xml:space="preserve">nedávno </w:t>
      </w:r>
      <w:r w:rsidR="00240056">
        <w:rPr>
          <w:rFonts w:ascii="Arial" w:hAnsi="Arial" w:cs="Arial"/>
          <w:sz w:val="20"/>
          <w:szCs w:val="20"/>
        </w:rPr>
        <w:t>nejrozšířenější způsob připojení k internetu, prostřednictvím vytáč</w:t>
      </w:r>
      <w:r w:rsidR="0027505D">
        <w:rPr>
          <w:rFonts w:ascii="Arial" w:hAnsi="Arial" w:cs="Arial"/>
          <w:sz w:val="20"/>
          <w:szCs w:val="20"/>
        </w:rPr>
        <w:t>ené telefonní linky, v roce 2013</w:t>
      </w:r>
      <w:r w:rsidR="00B84C85">
        <w:rPr>
          <w:rFonts w:ascii="Arial" w:hAnsi="Arial" w:cs="Arial"/>
          <w:sz w:val="20"/>
          <w:szCs w:val="20"/>
        </w:rPr>
        <w:t xml:space="preserve"> využívala jen 4 </w:t>
      </w:r>
      <w:r w:rsidR="00240056">
        <w:rPr>
          <w:rFonts w:ascii="Arial" w:hAnsi="Arial" w:cs="Arial"/>
          <w:sz w:val="20"/>
          <w:szCs w:val="20"/>
        </w:rPr>
        <w:t>% domácností s připojením k internetu.</w:t>
      </w:r>
      <w:r w:rsidR="00240056" w:rsidRPr="008A7371">
        <w:rPr>
          <w:rFonts w:ascii="Arial" w:hAnsi="Arial" w:cs="Arial"/>
          <w:sz w:val="20"/>
          <w:szCs w:val="20"/>
        </w:rPr>
        <w:t xml:space="preserve"> </w:t>
      </w:r>
      <w:r w:rsidR="00240056">
        <w:rPr>
          <w:rFonts w:ascii="Arial" w:hAnsi="Arial" w:cs="Arial"/>
          <w:sz w:val="20"/>
          <w:szCs w:val="20"/>
        </w:rPr>
        <w:t xml:space="preserve">Podíl domácností připojených k internetu prostřednictvím ADSL </w:t>
      </w:r>
      <w:r w:rsidR="0027505D">
        <w:rPr>
          <w:rFonts w:ascii="Arial" w:hAnsi="Arial" w:cs="Arial"/>
          <w:sz w:val="20"/>
          <w:szCs w:val="20"/>
        </w:rPr>
        <w:t>v posledních letech nepatrně klesá</w:t>
      </w:r>
      <w:r w:rsidR="00B84C85">
        <w:rPr>
          <w:rFonts w:ascii="Arial" w:hAnsi="Arial" w:cs="Arial"/>
          <w:sz w:val="20"/>
          <w:szCs w:val="20"/>
        </w:rPr>
        <w:t>,</w:t>
      </w:r>
      <w:r w:rsidR="0027505D">
        <w:rPr>
          <w:rFonts w:ascii="Arial" w:hAnsi="Arial" w:cs="Arial"/>
          <w:sz w:val="20"/>
          <w:szCs w:val="20"/>
        </w:rPr>
        <w:t xml:space="preserve"> stejně tak jako podíl</w:t>
      </w:r>
      <w:r w:rsidR="00240056">
        <w:rPr>
          <w:rFonts w:ascii="Arial" w:hAnsi="Arial" w:cs="Arial"/>
          <w:sz w:val="20"/>
          <w:szCs w:val="20"/>
        </w:rPr>
        <w:t xml:space="preserve"> domácností připojených k internetu přes kabelovou televizi. </w:t>
      </w:r>
    </w:p>
    <w:p w:rsidR="00223151" w:rsidRDefault="00436899" w:rsidP="00223151">
      <w:pPr>
        <w:spacing w:before="180" w:line="288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Graf </w:t>
      </w:r>
      <w:r w:rsidR="005E2676">
        <w:rPr>
          <w:rFonts w:ascii="Arial" w:hAnsi="Arial" w:cs="Arial"/>
          <w:b/>
          <w:sz w:val="20"/>
          <w:szCs w:val="20"/>
        </w:rPr>
        <w:t>5</w:t>
      </w:r>
      <w:r w:rsidRPr="00875F0F">
        <w:rPr>
          <w:rFonts w:ascii="Arial" w:hAnsi="Arial" w:cs="Arial"/>
          <w:b/>
          <w:sz w:val="20"/>
          <w:szCs w:val="20"/>
        </w:rPr>
        <w:t xml:space="preserve">: </w:t>
      </w:r>
      <w:r w:rsidRPr="00436899">
        <w:rPr>
          <w:rFonts w:ascii="Arial" w:hAnsi="Arial" w:cs="Arial"/>
          <w:b/>
          <w:sz w:val="20"/>
          <w:szCs w:val="20"/>
        </w:rPr>
        <w:t>Domácnosti s</w:t>
      </w:r>
      <w:r>
        <w:rPr>
          <w:rFonts w:ascii="Arial" w:hAnsi="Arial" w:cs="Arial"/>
          <w:b/>
          <w:sz w:val="20"/>
          <w:szCs w:val="20"/>
        </w:rPr>
        <w:t> připojením k internetu</w:t>
      </w:r>
      <w:r w:rsidRPr="00436899">
        <w:rPr>
          <w:rFonts w:ascii="Arial" w:hAnsi="Arial" w:cs="Arial"/>
          <w:b/>
          <w:sz w:val="20"/>
          <w:szCs w:val="20"/>
        </w:rPr>
        <w:t xml:space="preserve"> podle typu připojení</w:t>
      </w:r>
    </w:p>
    <w:p w:rsidR="00436899" w:rsidRPr="00051967" w:rsidRDefault="00436899" w:rsidP="00223151">
      <w:pPr>
        <w:spacing w:after="120" w:line="288" w:lineRule="auto"/>
        <w:jc w:val="both"/>
        <w:rPr>
          <w:rFonts w:ascii="Arial" w:hAnsi="Arial" w:cs="Arial"/>
          <w:i/>
          <w:sz w:val="20"/>
          <w:szCs w:val="20"/>
        </w:rPr>
      </w:pPr>
      <w:r w:rsidRPr="00051967">
        <w:rPr>
          <w:rFonts w:ascii="Arial" w:hAnsi="Arial" w:cs="Arial"/>
          <w:i/>
          <w:sz w:val="20"/>
          <w:szCs w:val="20"/>
        </w:rPr>
        <w:t>(% domácností s připojením k</w:t>
      </w:r>
      <w:r w:rsidR="00223151" w:rsidRPr="00051967">
        <w:rPr>
          <w:rFonts w:ascii="Arial" w:hAnsi="Arial" w:cs="Arial"/>
          <w:i/>
          <w:sz w:val="20"/>
          <w:szCs w:val="20"/>
        </w:rPr>
        <w:t> </w:t>
      </w:r>
      <w:r w:rsidRPr="00051967">
        <w:rPr>
          <w:rFonts w:ascii="Arial" w:hAnsi="Arial" w:cs="Arial"/>
          <w:i/>
          <w:sz w:val="20"/>
          <w:szCs w:val="20"/>
        </w:rPr>
        <w:t>internetu</w:t>
      </w:r>
      <w:r w:rsidR="00223151" w:rsidRPr="00051967">
        <w:rPr>
          <w:rFonts w:ascii="Arial" w:hAnsi="Arial" w:cs="Arial"/>
          <w:i/>
          <w:sz w:val="20"/>
          <w:szCs w:val="20"/>
        </w:rPr>
        <w:t>)</w:t>
      </w:r>
    </w:p>
    <w:p w:rsidR="00436899" w:rsidRDefault="0027505D" w:rsidP="0027505D">
      <w:pPr>
        <w:spacing w:after="200" w:line="288" w:lineRule="auto"/>
        <w:jc w:val="center"/>
        <w:rPr>
          <w:rFonts w:ascii="Arial" w:hAnsi="Arial" w:cs="Arial"/>
          <w:sz w:val="18"/>
          <w:szCs w:val="18"/>
        </w:rPr>
      </w:pPr>
      <w:r w:rsidRPr="0027505D"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572000" cy="2743200"/>
            <wp:effectExtent l="0" t="0" r="0" b="0"/>
            <wp:docPr id="29" name="Graf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36899" w:rsidRDefault="00436899" w:rsidP="00436899">
      <w:pPr>
        <w:spacing w:after="20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DF3109">
        <w:rPr>
          <w:rFonts w:ascii="Arial" w:hAnsi="Arial" w:cs="Arial"/>
          <w:i/>
          <w:sz w:val="18"/>
          <w:szCs w:val="18"/>
        </w:rPr>
        <w:t>Zdroj: Český statistický úřad, 201</w:t>
      </w:r>
      <w:r w:rsidR="0027505D">
        <w:rPr>
          <w:rFonts w:ascii="Arial" w:hAnsi="Arial" w:cs="Arial"/>
          <w:i/>
          <w:sz w:val="18"/>
          <w:szCs w:val="18"/>
        </w:rPr>
        <w:t>3</w:t>
      </w:r>
    </w:p>
    <w:p w:rsidR="00240056" w:rsidRDefault="00240056" w:rsidP="00240056">
      <w:pPr>
        <w:spacing w:after="20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Rozdíly ve vybavenosti domácností počítačem a internetem jsou do jisté míry ovlivněny také lokalitou, ve které se domácnost nachází. Tradičně </w:t>
      </w:r>
      <w:r w:rsidR="0027505D">
        <w:rPr>
          <w:rFonts w:ascii="Arial" w:hAnsi="Arial" w:cs="Arial"/>
          <w:sz w:val="20"/>
          <w:szCs w:val="20"/>
        </w:rPr>
        <w:t>nej</w:t>
      </w:r>
      <w:r>
        <w:rPr>
          <w:rFonts w:ascii="Arial" w:hAnsi="Arial" w:cs="Arial"/>
          <w:sz w:val="20"/>
          <w:szCs w:val="20"/>
        </w:rPr>
        <w:t>lépe jsou oběma techn</w:t>
      </w:r>
      <w:r w:rsidR="00DD043B">
        <w:rPr>
          <w:rFonts w:ascii="Arial" w:hAnsi="Arial" w:cs="Arial"/>
          <w:sz w:val="20"/>
          <w:szCs w:val="20"/>
        </w:rPr>
        <w:t>ologiemi vybaveny domácnosti ve </w:t>
      </w:r>
      <w:r>
        <w:rPr>
          <w:rFonts w:ascii="Arial" w:hAnsi="Arial" w:cs="Arial"/>
          <w:sz w:val="20"/>
          <w:szCs w:val="20"/>
        </w:rPr>
        <w:t xml:space="preserve">velkých městech </w:t>
      </w:r>
      <w:r w:rsidR="001E794A">
        <w:rPr>
          <w:rFonts w:ascii="Arial" w:hAnsi="Arial" w:cs="Arial"/>
          <w:sz w:val="20"/>
          <w:szCs w:val="20"/>
        </w:rPr>
        <w:t>s 50 a více tisíci obyvateli</w:t>
      </w:r>
      <w:r>
        <w:rPr>
          <w:rFonts w:ascii="Arial" w:hAnsi="Arial" w:cs="Arial"/>
          <w:sz w:val="20"/>
          <w:szCs w:val="20"/>
        </w:rPr>
        <w:t xml:space="preserve">. </w:t>
      </w:r>
    </w:p>
    <w:p w:rsidR="00D922D8" w:rsidRDefault="00240056" w:rsidP="007B3455">
      <w:pPr>
        <w:spacing w:after="20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Pokud se zaměříme na regionální rozdíly, tak asi nikoho nepřekvapí, že</w:t>
      </w:r>
      <w:r w:rsidR="00DD043B">
        <w:rPr>
          <w:rFonts w:ascii="Arial" w:hAnsi="Arial" w:cs="Arial"/>
          <w:sz w:val="20"/>
          <w:szCs w:val="20"/>
        </w:rPr>
        <w:t xml:space="preserve"> nejlepší vybavenost počítači i </w:t>
      </w:r>
      <w:r>
        <w:rPr>
          <w:rFonts w:ascii="Arial" w:hAnsi="Arial" w:cs="Arial"/>
          <w:sz w:val="20"/>
          <w:szCs w:val="20"/>
        </w:rPr>
        <w:t xml:space="preserve">internetem vykázal kraj Hlavní město Praha následován krajem </w:t>
      </w:r>
      <w:r w:rsidR="007B3455">
        <w:rPr>
          <w:rFonts w:ascii="Arial" w:hAnsi="Arial" w:cs="Arial"/>
          <w:sz w:val="20"/>
          <w:szCs w:val="20"/>
        </w:rPr>
        <w:t>Středočeským</w:t>
      </w:r>
      <w:r>
        <w:rPr>
          <w:rFonts w:ascii="Arial" w:hAnsi="Arial" w:cs="Arial"/>
          <w:sz w:val="20"/>
          <w:szCs w:val="20"/>
        </w:rPr>
        <w:t>. Na opačném konci jsou pak kraje Liberecký, Ústecký a Olomoucký.</w:t>
      </w:r>
    </w:p>
    <w:p w:rsidR="00240056" w:rsidRDefault="00240056" w:rsidP="00240056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6B16CC">
        <w:rPr>
          <w:rFonts w:ascii="Arial" w:hAnsi="Arial" w:cs="Arial"/>
          <w:sz w:val="20"/>
          <w:szCs w:val="20"/>
        </w:rPr>
        <w:t>Domácnos</w:t>
      </w:r>
      <w:r>
        <w:rPr>
          <w:rFonts w:ascii="Arial" w:hAnsi="Arial" w:cs="Arial"/>
          <w:sz w:val="20"/>
          <w:szCs w:val="20"/>
        </w:rPr>
        <w:t>ti bez přístupu k internetu (1,4</w:t>
      </w:r>
      <w:r w:rsidRPr="006B16CC">
        <w:rPr>
          <w:rFonts w:ascii="Arial" w:hAnsi="Arial" w:cs="Arial"/>
          <w:sz w:val="20"/>
          <w:szCs w:val="20"/>
        </w:rPr>
        <w:t xml:space="preserve"> mil</w:t>
      </w:r>
      <w:r>
        <w:rPr>
          <w:rFonts w:ascii="Arial" w:hAnsi="Arial" w:cs="Arial"/>
          <w:sz w:val="20"/>
          <w:szCs w:val="20"/>
        </w:rPr>
        <w:t>. domácností) uváděly</w:t>
      </w:r>
      <w:r w:rsidRPr="006B16CC">
        <w:rPr>
          <w:rFonts w:ascii="Arial" w:hAnsi="Arial" w:cs="Arial"/>
          <w:sz w:val="20"/>
          <w:szCs w:val="20"/>
        </w:rPr>
        <w:t xml:space="preserve"> jako nejčastější důvod, proč nemají připojení k intern</w:t>
      </w:r>
      <w:r w:rsidR="007B3455">
        <w:rPr>
          <w:rFonts w:ascii="Arial" w:hAnsi="Arial" w:cs="Arial"/>
          <w:sz w:val="20"/>
          <w:szCs w:val="20"/>
        </w:rPr>
        <w:t>etu, že internet nepotřebují (72</w:t>
      </w:r>
      <w:r w:rsidRPr="006B16CC">
        <w:rPr>
          <w:rFonts w:ascii="Arial" w:hAnsi="Arial" w:cs="Arial"/>
          <w:sz w:val="20"/>
          <w:szCs w:val="20"/>
        </w:rPr>
        <w:t> % z domácn</w:t>
      </w:r>
      <w:r>
        <w:rPr>
          <w:rFonts w:ascii="Arial" w:hAnsi="Arial" w:cs="Arial"/>
          <w:sz w:val="20"/>
          <w:szCs w:val="20"/>
        </w:rPr>
        <w:t xml:space="preserve">ostí bez připojení). </w:t>
      </w:r>
      <w:r w:rsidR="007B3455">
        <w:rPr>
          <w:rFonts w:ascii="Arial" w:hAnsi="Arial" w:cs="Arial"/>
          <w:sz w:val="20"/>
          <w:szCs w:val="20"/>
        </w:rPr>
        <w:t>Téměř 38</w:t>
      </w:r>
      <w:r w:rsidRPr="006B16CC">
        <w:rPr>
          <w:rFonts w:ascii="Arial" w:hAnsi="Arial" w:cs="Arial"/>
          <w:sz w:val="20"/>
          <w:szCs w:val="20"/>
        </w:rPr>
        <w:t xml:space="preserve"> % domácností bez připojení pak uvedlo, že internet nemají, neboť </w:t>
      </w:r>
      <w:r>
        <w:rPr>
          <w:rFonts w:ascii="Arial" w:hAnsi="Arial" w:cs="Arial"/>
          <w:sz w:val="20"/>
          <w:szCs w:val="20"/>
        </w:rPr>
        <w:t xml:space="preserve">s ním neumí pracovat. </w:t>
      </w:r>
      <w:r w:rsidR="007B3455">
        <w:rPr>
          <w:rFonts w:ascii="Arial" w:hAnsi="Arial" w:cs="Arial"/>
          <w:sz w:val="20"/>
          <w:szCs w:val="20"/>
        </w:rPr>
        <w:t>Necelé čtvrtině</w:t>
      </w:r>
      <w:r w:rsidRPr="006B16CC">
        <w:rPr>
          <w:rFonts w:ascii="Arial" w:hAnsi="Arial" w:cs="Arial"/>
          <w:sz w:val="20"/>
          <w:szCs w:val="20"/>
        </w:rPr>
        <w:t xml:space="preserve"> domácností se zdály příliš vysoké pořizovací náklady na připojení k internetu a 1</w:t>
      </w:r>
      <w:r>
        <w:rPr>
          <w:rFonts w:ascii="Arial" w:hAnsi="Arial" w:cs="Arial"/>
          <w:sz w:val="20"/>
          <w:szCs w:val="20"/>
        </w:rPr>
        <w:t>8</w:t>
      </w:r>
      <w:r w:rsidRPr="006B16CC">
        <w:rPr>
          <w:rFonts w:ascii="Arial" w:hAnsi="Arial" w:cs="Arial"/>
          <w:sz w:val="20"/>
          <w:szCs w:val="20"/>
        </w:rPr>
        <w:t> % domácností uvedlo, že je vysoká i cena připojení.</w:t>
      </w:r>
    </w:p>
    <w:p w:rsidR="00240056" w:rsidRPr="008A7371" w:rsidRDefault="00240056" w:rsidP="00240056">
      <w:pPr>
        <w:spacing w:before="240" w:line="288" w:lineRule="auto"/>
        <w:jc w:val="both"/>
        <w:rPr>
          <w:rFonts w:ascii="Arial" w:hAnsi="Arial" w:cs="Arial"/>
          <w:sz w:val="20"/>
          <w:szCs w:val="20"/>
        </w:rPr>
      </w:pPr>
      <w:r w:rsidRPr="008A7371">
        <w:rPr>
          <w:rFonts w:ascii="Arial" w:hAnsi="Arial" w:cs="Arial"/>
          <w:sz w:val="20"/>
          <w:szCs w:val="20"/>
        </w:rPr>
        <w:t xml:space="preserve">Z mezinárodního srovnání vyplývá, že se Česká republika nachází, co se vybavenosti domácností </w:t>
      </w:r>
      <w:r w:rsidR="001E794A">
        <w:rPr>
          <w:rFonts w:ascii="Arial" w:hAnsi="Arial" w:cs="Arial"/>
          <w:sz w:val="20"/>
          <w:szCs w:val="20"/>
        </w:rPr>
        <w:t>počítačem a internetem</w:t>
      </w:r>
      <w:r w:rsidRPr="008A7371">
        <w:rPr>
          <w:rFonts w:ascii="Arial" w:hAnsi="Arial" w:cs="Arial"/>
          <w:sz w:val="20"/>
          <w:szCs w:val="20"/>
        </w:rPr>
        <w:t xml:space="preserve"> týká, stále hluboko pod průměrem EU27. V</w:t>
      </w:r>
      <w:r>
        <w:rPr>
          <w:rFonts w:ascii="Arial" w:hAnsi="Arial" w:cs="Arial"/>
          <w:sz w:val="20"/>
          <w:szCs w:val="20"/>
        </w:rPr>
        <w:t> </w:t>
      </w:r>
      <w:r w:rsidRPr="008A7371">
        <w:rPr>
          <w:rFonts w:ascii="Arial" w:hAnsi="Arial" w:cs="Arial"/>
          <w:sz w:val="20"/>
          <w:szCs w:val="20"/>
        </w:rPr>
        <w:t>roce 201</w:t>
      </w:r>
      <w:r w:rsidR="007B3455">
        <w:rPr>
          <w:rFonts w:ascii="Arial" w:hAnsi="Arial" w:cs="Arial"/>
          <w:sz w:val="20"/>
          <w:szCs w:val="20"/>
        </w:rPr>
        <w:t>2</w:t>
      </w:r>
      <w:r w:rsidRPr="008A7371">
        <w:rPr>
          <w:rFonts w:ascii="Arial" w:hAnsi="Arial" w:cs="Arial"/>
          <w:sz w:val="20"/>
          <w:szCs w:val="20"/>
        </w:rPr>
        <w:t xml:space="preserve"> (novější údaje pro</w:t>
      </w:r>
      <w:r w:rsidR="00DD043B">
        <w:rPr>
          <w:rFonts w:ascii="Arial" w:hAnsi="Arial" w:cs="Arial"/>
          <w:sz w:val="20"/>
          <w:szCs w:val="20"/>
        </w:rPr>
        <w:t> </w:t>
      </w:r>
      <w:r w:rsidRPr="008A7371">
        <w:rPr>
          <w:rFonts w:ascii="Arial" w:hAnsi="Arial" w:cs="Arial"/>
          <w:sz w:val="20"/>
          <w:szCs w:val="20"/>
        </w:rPr>
        <w:t xml:space="preserve">mezinárodní srovnání nejsou k dispozici) mělo osobní počítač </w:t>
      </w:r>
      <w:r w:rsidR="007B3455">
        <w:rPr>
          <w:rFonts w:ascii="Arial" w:hAnsi="Arial" w:cs="Arial"/>
          <w:sz w:val="20"/>
          <w:szCs w:val="20"/>
        </w:rPr>
        <w:t>72,5</w:t>
      </w:r>
      <w:r w:rsidRPr="008A7371">
        <w:rPr>
          <w:rFonts w:ascii="Arial" w:hAnsi="Arial" w:cs="Arial"/>
          <w:sz w:val="20"/>
          <w:szCs w:val="20"/>
        </w:rPr>
        <w:t xml:space="preserve"> % českých domácností a </w:t>
      </w:r>
      <w:r w:rsidR="007B3455">
        <w:rPr>
          <w:rFonts w:ascii="Arial" w:hAnsi="Arial" w:cs="Arial"/>
          <w:sz w:val="20"/>
          <w:szCs w:val="20"/>
        </w:rPr>
        <w:t>71,3</w:t>
      </w:r>
      <w:r w:rsidRPr="008A7371">
        <w:rPr>
          <w:rFonts w:ascii="Arial" w:hAnsi="Arial" w:cs="Arial"/>
          <w:sz w:val="20"/>
          <w:szCs w:val="20"/>
        </w:rPr>
        <w:t> % jich bylo připojeno k internetu (jde o údaje pouze za domácnosti, ve kterých žije alespoň jedna osoba ve věku 16-74 let</w:t>
      </w:r>
      <w:r>
        <w:rPr>
          <w:rFonts w:ascii="Arial" w:hAnsi="Arial" w:cs="Arial"/>
          <w:sz w:val="20"/>
          <w:szCs w:val="20"/>
        </w:rPr>
        <w:t>)</w:t>
      </w:r>
      <w:r w:rsidRPr="008A7371">
        <w:rPr>
          <w:rFonts w:ascii="Arial" w:hAnsi="Arial" w:cs="Arial"/>
          <w:sz w:val="20"/>
          <w:szCs w:val="20"/>
        </w:rPr>
        <w:t>. V EU27 dosahoval</w:t>
      </w:r>
      <w:r w:rsidR="00B84C85">
        <w:rPr>
          <w:rFonts w:ascii="Arial" w:hAnsi="Arial" w:cs="Arial"/>
          <w:sz w:val="20"/>
          <w:szCs w:val="20"/>
        </w:rPr>
        <w:t>y hodnoty těchto ukazatelů</w:t>
      </w:r>
      <w:r w:rsidRPr="008A7371">
        <w:rPr>
          <w:rFonts w:ascii="Arial" w:hAnsi="Arial" w:cs="Arial"/>
          <w:sz w:val="20"/>
          <w:szCs w:val="20"/>
        </w:rPr>
        <w:t xml:space="preserve"> v průměru 7</w:t>
      </w:r>
      <w:r w:rsidR="007B3455">
        <w:rPr>
          <w:rFonts w:ascii="Arial" w:hAnsi="Arial" w:cs="Arial"/>
          <w:sz w:val="20"/>
          <w:szCs w:val="20"/>
        </w:rPr>
        <w:t>7,9 % resp. 75,7</w:t>
      </w:r>
      <w:r w:rsidRPr="008A7371">
        <w:rPr>
          <w:rFonts w:ascii="Arial" w:hAnsi="Arial" w:cs="Arial"/>
          <w:sz w:val="20"/>
          <w:szCs w:val="20"/>
        </w:rPr>
        <w:t xml:space="preserve"> %. </w:t>
      </w:r>
      <w:r>
        <w:rPr>
          <w:rFonts w:ascii="Arial" w:hAnsi="Arial" w:cs="Arial"/>
          <w:sz w:val="20"/>
          <w:szCs w:val="20"/>
        </w:rPr>
        <w:t xml:space="preserve">Přesto </w:t>
      </w:r>
      <w:r w:rsidRPr="00F16145">
        <w:rPr>
          <w:rFonts w:ascii="Arial" w:hAnsi="Arial" w:cs="Arial"/>
          <w:sz w:val="20"/>
          <w:szCs w:val="20"/>
        </w:rPr>
        <w:t>od roku 200</w:t>
      </w:r>
      <w:r>
        <w:rPr>
          <w:rFonts w:ascii="Arial" w:hAnsi="Arial" w:cs="Arial"/>
          <w:sz w:val="20"/>
          <w:szCs w:val="20"/>
        </w:rPr>
        <w:t>7</w:t>
      </w:r>
      <w:r w:rsidRPr="00F16145">
        <w:rPr>
          <w:rFonts w:ascii="Arial" w:hAnsi="Arial" w:cs="Arial"/>
          <w:sz w:val="20"/>
          <w:szCs w:val="20"/>
        </w:rPr>
        <w:t xml:space="preserve"> vzrostl počet domácností vybavených osobním počítačem </w:t>
      </w:r>
      <w:r>
        <w:rPr>
          <w:rFonts w:ascii="Arial" w:hAnsi="Arial" w:cs="Arial"/>
          <w:sz w:val="20"/>
          <w:szCs w:val="20"/>
        </w:rPr>
        <w:t xml:space="preserve">v České republice </w:t>
      </w:r>
      <w:r w:rsidRPr="00F16145">
        <w:rPr>
          <w:rFonts w:ascii="Arial" w:hAnsi="Arial" w:cs="Arial"/>
          <w:sz w:val="20"/>
          <w:szCs w:val="20"/>
        </w:rPr>
        <w:t>nejvíce ze všech zemí EU</w:t>
      </w:r>
      <w:r w:rsidR="00D439B8">
        <w:rPr>
          <w:rFonts w:ascii="Arial" w:hAnsi="Arial" w:cs="Arial"/>
          <w:sz w:val="20"/>
          <w:szCs w:val="20"/>
        </w:rPr>
        <w:t>27</w:t>
      </w:r>
      <w:r w:rsidRPr="00F16145">
        <w:rPr>
          <w:rFonts w:ascii="Arial" w:hAnsi="Arial" w:cs="Arial"/>
          <w:sz w:val="20"/>
          <w:szCs w:val="20"/>
        </w:rPr>
        <w:t xml:space="preserve">, a to o </w:t>
      </w:r>
      <w:r>
        <w:rPr>
          <w:rFonts w:ascii="Arial" w:hAnsi="Arial" w:cs="Arial"/>
          <w:sz w:val="20"/>
          <w:szCs w:val="20"/>
        </w:rPr>
        <w:t>2</w:t>
      </w:r>
      <w:r w:rsidR="004508CE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procentních bodů </w:t>
      </w:r>
      <w:r w:rsidRPr="00F16145">
        <w:rPr>
          <w:rFonts w:ascii="Arial" w:hAnsi="Arial" w:cs="Arial"/>
          <w:sz w:val="20"/>
          <w:szCs w:val="20"/>
        </w:rPr>
        <w:t xml:space="preserve"> v porovnání s</w:t>
      </w:r>
      <w:r>
        <w:rPr>
          <w:rFonts w:ascii="Arial" w:hAnsi="Arial" w:cs="Arial"/>
          <w:sz w:val="20"/>
          <w:szCs w:val="20"/>
        </w:rPr>
        <w:t> </w:t>
      </w:r>
      <w:r w:rsidRPr="00F16145">
        <w:rPr>
          <w:rFonts w:ascii="Arial" w:hAnsi="Arial" w:cs="Arial"/>
          <w:sz w:val="20"/>
          <w:szCs w:val="20"/>
        </w:rPr>
        <w:t>nárůstem</w:t>
      </w:r>
      <w:r>
        <w:rPr>
          <w:rFonts w:ascii="Arial" w:hAnsi="Arial" w:cs="Arial"/>
          <w:sz w:val="20"/>
          <w:szCs w:val="20"/>
        </w:rPr>
        <w:t xml:space="preserve"> 13 procentních bodů </w:t>
      </w:r>
      <w:r w:rsidRPr="00F16145">
        <w:rPr>
          <w:rFonts w:ascii="Arial" w:hAnsi="Arial" w:cs="Arial"/>
          <w:sz w:val="20"/>
          <w:szCs w:val="20"/>
        </w:rPr>
        <w:t xml:space="preserve">za </w:t>
      </w:r>
      <w:r>
        <w:rPr>
          <w:rFonts w:ascii="Arial" w:hAnsi="Arial" w:cs="Arial"/>
          <w:sz w:val="20"/>
          <w:szCs w:val="20"/>
        </w:rPr>
        <w:t xml:space="preserve">průměr </w:t>
      </w:r>
      <w:r w:rsidRPr="00F16145">
        <w:rPr>
          <w:rFonts w:ascii="Arial" w:hAnsi="Arial" w:cs="Arial"/>
          <w:sz w:val="20"/>
          <w:szCs w:val="20"/>
        </w:rPr>
        <w:t>EU27.</w:t>
      </w:r>
    </w:p>
    <w:p w:rsidR="005E2676" w:rsidRPr="00B56695" w:rsidRDefault="00240056" w:rsidP="00B56695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8A7371">
        <w:rPr>
          <w:rFonts w:ascii="Arial" w:hAnsi="Arial" w:cs="Arial"/>
          <w:sz w:val="20"/>
          <w:szCs w:val="20"/>
        </w:rPr>
        <w:t>Nejvíce domácností vybavených osobním počítačem i internetem je již tradičně</w:t>
      </w:r>
      <w:r w:rsidR="00B84C85">
        <w:rPr>
          <w:rFonts w:ascii="Arial" w:hAnsi="Arial" w:cs="Arial"/>
          <w:sz w:val="20"/>
          <w:szCs w:val="20"/>
        </w:rPr>
        <w:t xml:space="preserve"> v Nizozemsku, Lucembursku a</w:t>
      </w:r>
      <w:r>
        <w:rPr>
          <w:rFonts w:ascii="Arial" w:hAnsi="Arial" w:cs="Arial"/>
          <w:sz w:val="20"/>
          <w:szCs w:val="20"/>
        </w:rPr>
        <w:t xml:space="preserve"> </w:t>
      </w:r>
      <w:r w:rsidRPr="008A7371">
        <w:rPr>
          <w:rFonts w:ascii="Arial" w:hAnsi="Arial" w:cs="Arial"/>
          <w:sz w:val="20"/>
          <w:szCs w:val="20"/>
        </w:rPr>
        <w:t>ve skandinávs</w:t>
      </w:r>
      <w:r>
        <w:rPr>
          <w:rFonts w:ascii="Arial" w:hAnsi="Arial" w:cs="Arial"/>
          <w:sz w:val="20"/>
          <w:szCs w:val="20"/>
        </w:rPr>
        <w:t xml:space="preserve">kých </w:t>
      </w:r>
      <w:r w:rsidR="00B84C85">
        <w:rPr>
          <w:rFonts w:ascii="Arial" w:hAnsi="Arial" w:cs="Arial"/>
          <w:sz w:val="20"/>
          <w:szCs w:val="20"/>
        </w:rPr>
        <w:t>státech</w:t>
      </w:r>
      <w:r w:rsidRPr="008A7371">
        <w:rPr>
          <w:rFonts w:ascii="Arial" w:hAnsi="Arial" w:cs="Arial"/>
          <w:sz w:val="20"/>
          <w:szCs w:val="20"/>
        </w:rPr>
        <w:t>. V těchto zemích se</w:t>
      </w:r>
      <w:r w:rsidR="00DD043B">
        <w:rPr>
          <w:rFonts w:ascii="Arial" w:hAnsi="Arial" w:cs="Arial"/>
          <w:sz w:val="20"/>
          <w:szCs w:val="20"/>
        </w:rPr>
        <w:t xml:space="preserve"> podíl domácností s počítačem i </w:t>
      </w:r>
      <w:r w:rsidRPr="008A7371">
        <w:rPr>
          <w:rFonts w:ascii="Arial" w:hAnsi="Arial" w:cs="Arial"/>
          <w:sz w:val="20"/>
          <w:szCs w:val="20"/>
        </w:rPr>
        <w:t>př</w:t>
      </w:r>
      <w:r w:rsidR="004508CE">
        <w:rPr>
          <w:rFonts w:ascii="Arial" w:hAnsi="Arial" w:cs="Arial"/>
          <w:sz w:val="20"/>
          <w:szCs w:val="20"/>
        </w:rPr>
        <w:t>ipojením k internetu v roce 2012</w:t>
      </w:r>
      <w:r w:rsidRPr="008A7371">
        <w:rPr>
          <w:rFonts w:ascii="Arial" w:hAnsi="Arial" w:cs="Arial"/>
          <w:sz w:val="20"/>
          <w:szCs w:val="20"/>
        </w:rPr>
        <w:t xml:space="preserve"> pohyboval </w:t>
      </w:r>
      <w:r w:rsidR="00B966B0">
        <w:rPr>
          <w:rFonts w:ascii="Arial" w:hAnsi="Arial" w:cs="Arial"/>
          <w:sz w:val="20"/>
          <w:szCs w:val="20"/>
        </w:rPr>
        <w:t xml:space="preserve">výrazně </w:t>
      </w:r>
      <w:r w:rsidRPr="008A7371">
        <w:rPr>
          <w:rFonts w:ascii="Arial" w:hAnsi="Arial" w:cs="Arial"/>
          <w:sz w:val="20"/>
          <w:szCs w:val="20"/>
        </w:rPr>
        <w:t xml:space="preserve">nad </w:t>
      </w:r>
      <w:r w:rsidR="00D439B8">
        <w:rPr>
          <w:rFonts w:ascii="Arial" w:hAnsi="Arial" w:cs="Arial"/>
          <w:sz w:val="20"/>
          <w:szCs w:val="20"/>
        </w:rPr>
        <w:t xml:space="preserve">hranicí </w:t>
      </w:r>
      <w:r w:rsidRPr="008A7371">
        <w:rPr>
          <w:rFonts w:ascii="Arial" w:hAnsi="Arial" w:cs="Arial"/>
          <w:sz w:val="20"/>
          <w:szCs w:val="20"/>
        </w:rPr>
        <w:t>80 %.</w:t>
      </w:r>
    </w:p>
    <w:p w:rsidR="007D4E43" w:rsidRDefault="00FF73FC" w:rsidP="007D4E43">
      <w:pPr>
        <w:spacing w:before="180" w:line="288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Graf 6</w:t>
      </w:r>
      <w:r w:rsidR="007D4E43" w:rsidRPr="00875F0F">
        <w:rPr>
          <w:rFonts w:ascii="Arial" w:hAnsi="Arial" w:cs="Arial"/>
          <w:b/>
          <w:sz w:val="20"/>
          <w:szCs w:val="20"/>
        </w:rPr>
        <w:t xml:space="preserve">: </w:t>
      </w:r>
      <w:r w:rsidR="007D4E43" w:rsidRPr="00436899">
        <w:rPr>
          <w:rFonts w:ascii="Arial" w:hAnsi="Arial" w:cs="Arial"/>
          <w:b/>
          <w:sz w:val="20"/>
          <w:szCs w:val="20"/>
        </w:rPr>
        <w:t>Domácnosti s</w:t>
      </w:r>
      <w:r w:rsidR="007D4E43">
        <w:rPr>
          <w:rFonts w:ascii="Arial" w:hAnsi="Arial" w:cs="Arial"/>
          <w:b/>
          <w:sz w:val="20"/>
          <w:szCs w:val="20"/>
        </w:rPr>
        <w:t> počítačem v zemích EU</w:t>
      </w:r>
      <w:r w:rsidR="00A838BE" w:rsidRPr="00A838BE">
        <w:rPr>
          <w:rFonts w:ascii="Arial" w:hAnsi="Arial" w:cs="Arial"/>
          <w:i/>
          <w:sz w:val="20"/>
          <w:szCs w:val="20"/>
        </w:rPr>
        <w:t xml:space="preserve"> (% domácností)</w:t>
      </w:r>
    </w:p>
    <w:p w:rsidR="002E7594" w:rsidRDefault="004508CE" w:rsidP="004508CE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4508CE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5760720" cy="3289478"/>
            <wp:effectExtent l="0" t="0" r="0" b="0"/>
            <wp:docPr id="30" name="Graf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4508CE" w:rsidRDefault="004508CE" w:rsidP="007D4E43">
      <w:pPr>
        <w:spacing w:after="200" w:line="288" w:lineRule="auto"/>
        <w:jc w:val="both"/>
        <w:rPr>
          <w:rFonts w:ascii="Arial" w:hAnsi="Arial" w:cs="Arial"/>
          <w:i/>
          <w:sz w:val="18"/>
          <w:szCs w:val="18"/>
        </w:rPr>
      </w:pPr>
    </w:p>
    <w:p w:rsidR="007D4E43" w:rsidRPr="00DF3109" w:rsidRDefault="007D4E43" w:rsidP="007D4E43">
      <w:pPr>
        <w:spacing w:after="200" w:line="288" w:lineRule="auto"/>
        <w:jc w:val="both"/>
        <w:rPr>
          <w:rFonts w:ascii="Arial" w:hAnsi="Arial" w:cs="Arial"/>
          <w:sz w:val="18"/>
          <w:szCs w:val="18"/>
        </w:rPr>
      </w:pPr>
      <w:r w:rsidRPr="00DF3109">
        <w:rPr>
          <w:rFonts w:ascii="Arial" w:hAnsi="Arial" w:cs="Arial"/>
          <w:i/>
          <w:sz w:val="18"/>
          <w:szCs w:val="18"/>
        </w:rPr>
        <w:t xml:space="preserve">Zdroj: </w:t>
      </w:r>
      <w:proofErr w:type="spellStart"/>
      <w:r>
        <w:rPr>
          <w:rFonts w:ascii="Arial" w:hAnsi="Arial" w:cs="Arial"/>
          <w:i/>
          <w:sz w:val="18"/>
          <w:szCs w:val="18"/>
        </w:rPr>
        <w:t>Eurostat</w:t>
      </w:r>
      <w:proofErr w:type="spellEnd"/>
      <w:r w:rsidRPr="00DF3109">
        <w:rPr>
          <w:rFonts w:ascii="Arial" w:hAnsi="Arial" w:cs="Arial"/>
          <w:i/>
          <w:sz w:val="18"/>
          <w:szCs w:val="18"/>
        </w:rPr>
        <w:t>, 201</w:t>
      </w:r>
      <w:r w:rsidR="004508CE">
        <w:rPr>
          <w:rFonts w:ascii="Arial" w:hAnsi="Arial" w:cs="Arial"/>
          <w:i/>
          <w:sz w:val="18"/>
          <w:szCs w:val="18"/>
        </w:rPr>
        <w:t>3</w:t>
      </w:r>
    </w:p>
    <w:p w:rsidR="00F674E8" w:rsidRDefault="00773B54" w:rsidP="006B16CC">
      <w:pPr>
        <w:pageBreakBefore/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773B54">
        <w:rPr>
          <w:rFonts w:ascii="Arial" w:hAnsi="Arial" w:cs="Arial"/>
          <w:b/>
          <w:sz w:val="22"/>
          <w:szCs w:val="22"/>
        </w:rPr>
        <w:t>Jednotlivci využívající vybrané informační a komunikační technologie</w:t>
      </w:r>
    </w:p>
    <w:p w:rsidR="00240056" w:rsidRPr="008A7371" w:rsidRDefault="00240056" w:rsidP="00240056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Nejrozšířenější informační a komunikační technologií současnosti je bezesporu </w:t>
      </w:r>
      <w:r w:rsidR="00A17FD9">
        <w:rPr>
          <w:rFonts w:ascii="Arial" w:hAnsi="Arial" w:cs="Arial"/>
          <w:sz w:val="20"/>
          <w:szCs w:val="20"/>
        </w:rPr>
        <w:t>mobilní telefon. Ten v roce 2013</w:t>
      </w:r>
      <w:r>
        <w:rPr>
          <w:rFonts w:ascii="Arial" w:hAnsi="Arial" w:cs="Arial"/>
          <w:sz w:val="20"/>
          <w:szCs w:val="20"/>
        </w:rPr>
        <w:t xml:space="preserve"> nepoužívaly pouze 4 </w:t>
      </w:r>
      <w:r w:rsidR="00BA7E0D">
        <w:rPr>
          <w:rFonts w:ascii="Arial" w:hAnsi="Arial" w:cs="Arial"/>
          <w:sz w:val="20"/>
          <w:szCs w:val="20"/>
        </w:rPr>
        <w:t>% osob</w:t>
      </w:r>
      <w:r>
        <w:rPr>
          <w:rFonts w:ascii="Arial" w:hAnsi="Arial" w:cs="Arial"/>
          <w:sz w:val="20"/>
          <w:szCs w:val="20"/>
        </w:rPr>
        <w:t xml:space="preserve"> starších šestnácti let. Přitom </w:t>
      </w:r>
      <w:r w:rsidR="00A17FD9">
        <w:rPr>
          <w:rFonts w:ascii="Arial" w:hAnsi="Arial" w:cs="Arial"/>
          <w:sz w:val="20"/>
          <w:szCs w:val="20"/>
        </w:rPr>
        <w:t>v roce 2007</w:t>
      </w:r>
      <w:r>
        <w:rPr>
          <w:rFonts w:ascii="Arial" w:hAnsi="Arial" w:cs="Arial"/>
          <w:sz w:val="20"/>
          <w:szCs w:val="20"/>
        </w:rPr>
        <w:t xml:space="preserve"> jej využívalo pou</w:t>
      </w:r>
      <w:r w:rsidR="00C122FA">
        <w:rPr>
          <w:rFonts w:ascii="Arial" w:hAnsi="Arial" w:cs="Arial"/>
          <w:sz w:val="20"/>
          <w:szCs w:val="20"/>
        </w:rPr>
        <w:t xml:space="preserve">ze necelých 86 % české populace starší </w:t>
      </w:r>
      <w:proofErr w:type="gramStart"/>
      <w:r w:rsidR="00C122FA">
        <w:rPr>
          <w:rFonts w:ascii="Arial" w:hAnsi="Arial" w:cs="Arial"/>
          <w:sz w:val="20"/>
          <w:szCs w:val="20"/>
        </w:rPr>
        <w:t>šestnácti</w:t>
      </w:r>
      <w:proofErr w:type="gramEnd"/>
      <w:r w:rsidR="00C122FA">
        <w:rPr>
          <w:rFonts w:ascii="Arial" w:hAnsi="Arial" w:cs="Arial"/>
          <w:sz w:val="20"/>
          <w:szCs w:val="20"/>
        </w:rPr>
        <w:t xml:space="preserve"> let.</w:t>
      </w:r>
    </w:p>
    <w:p w:rsidR="00240056" w:rsidRDefault="00240056" w:rsidP="00240056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Nikoho nepřekvapí, že m</w:t>
      </w:r>
      <w:r w:rsidRPr="008A7371">
        <w:rPr>
          <w:rFonts w:ascii="Arial" w:hAnsi="Arial" w:cs="Arial"/>
          <w:sz w:val="20"/>
          <w:szCs w:val="20"/>
        </w:rPr>
        <w:t xml:space="preserve">obilní telefon je </w:t>
      </w:r>
      <w:r>
        <w:rPr>
          <w:rFonts w:ascii="Arial" w:hAnsi="Arial" w:cs="Arial"/>
          <w:sz w:val="20"/>
          <w:szCs w:val="20"/>
        </w:rPr>
        <w:t xml:space="preserve">dlouhodobě </w:t>
      </w:r>
      <w:r w:rsidRPr="008A7371">
        <w:rPr>
          <w:rFonts w:ascii="Arial" w:hAnsi="Arial" w:cs="Arial"/>
          <w:sz w:val="20"/>
          <w:szCs w:val="20"/>
        </w:rPr>
        <w:t xml:space="preserve">nejčastěji používán v </w:t>
      </w:r>
      <w:r>
        <w:rPr>
          <w:rFonts w:ascii="Arial" w:hAnsi="Arial" w:cs="Arial"/>
          <w:sz w:val="20"/>
          <w:szCs w:val="20"/>
        </w:rPr>
        <w:t>nej</w:t>
      </w:r>
      <w:r w:rsidRPr="008A7371">
        <w:rPr>
          <w:rFonts w:ascii="Arial" w:hAnsi="Arial" w:cs="Arial"/>
          <w:sz w:val="20"/>
          <w:szCs w:val="20"/>
        </w:rPr>
        <w:t>mladších věkových skupinách 16–24 let a 25–34 let, ve</w:t>
      </w:r>
      <w:r>
        <w:rPr>
          <w:rFonts w:ascii="Arial" w:hAnsi="Arial" w:cs="Arial"/>
          <w:sz w:val="20"/>
          <w:szCs w:val="20"/>
        </w:rPr>
        <w:t xml:space="preserve"> kterých jej používá</w:t>
      </w:r>
      <w:r w:rsidRPr="008A7371">
        <w:rPr>
          <w:rFonts w:ascii="Arial" w:hAnsi="Arial" w:cs="Arial"/>
          <w:sz w:val="20"/>
          <w:szCs w:val="20"/>
        </w:rPr>
        <w:t xml:space="preserve"> téměř 100 % jednotlivců. N</w:t>
      </w:r>
      <w:r>
        <w:rPr>
          <w:rFonts w:ascii="Arial" w:hAnsi="Arial" w:cs="Arial"/>
          <w:sz w:val="20"/>
          <w:szCs w:val="20"/>
        </w:rPr>
        <w:t>aopak n</w:t>
      </w:r>
      <w:r w:rsidRPr="008A7371">
        <w:rPr>
          <w:rFonts w:ascii="Arial" w:hAnsi="Arial" w:cs="Arial"/>
          <w:sz w:val="20"/>
          <w:szCs w:val="20"/>
        </w:rPr>
        <w:t xml:space="preserve">ejméně uživatelů mobilních telefonů je u </w:t>
      </w:r>
      <w:r>
        <w:rPr>
          <w:rFonts w:ascii="Arial" w:hAnsi="Arial" w:cs="Arial"/>
          <w:sz w:val="20"/>
          <w:szCs w:val="20"/>
        </w:rPr>
        <w:t>nejstarších osob -  seniorů nad 75 let. Nicméně právě u této věkové skupiny došlo k největšímu nárůstu počtu uživatelů. Zatímco v roce 200</w:t>
      </w:r>
      <w:r w:rsidR="003977C2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 w:rsidR="00AF4222">
        <w:rPr>
          <w:rFonts w:ascii="Arial" w:hAnsi="Arial" w:cs="Arial"/>
          <w:sz w:val="20"/>
          <w:szCs w:val="20"/>
        </w:rPr>
        <w:t>užívala mobilní telefon pouze čtvrtina seniorů starších 75 let, o sedm let později, v roce 2013, to bylo již 70 %.</w:t>
      </w:r>
    </w:p>
    <w:p w:rsidR="00412540" w:rsidRDefault="00412540" w:rsidP="00613C61">
      <w:pPr>
        <w:spacing w:before="12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773B54">
        <w:rPr>
          <w:rFonts w:ascii="Arial" w:hAnsi="Arial" w:cs="Arial"/>
          <w:b/>
          <w:sz w:val="20"/>
          <w:szCs w:val="20"/>
        </w:rPr>
        <w:t xml:space="preserve">Graf </w:t>
      </w:r>
      <w:r w:rsidR="00FF73FC">
        <w:rPr>
          <w:rFonts w:ascii="Arial" w:hAnsi="Arial" w:cs="Arial"/>
          <w:b/>
          <w:sz w:val="20"/>
          <w:szCs w:val="20"/>
        </w:rPr>
        <w:t>7</w:t>
      </w:r>
      <w:r w:rsidR="00F674E8" w:rsidRPr="00773B54">
        <w:rPr>
          <w:rFonts w:ascii="Arial" w:hAnsi="Arial" w:cs="Arial"/>
          <w:b/>
          <w:sz w:val="20"/>
          <w:szCs w:val="20"/>
        </w:rPr>
        <w:t xml:space="preserve">: Jednotlivci </w:t>
      </w:r>
      <w:r w:rsidRPr="00773B54">
        <w:rPr>
          <w:rFonts w:ascii="Arial" w:hAnsi="Arial" w:cs="Arial"/>
          <w:b/>
          <w:sz w:val="20"/>
          <w:szCs w:val="20"/>
        </w:rPr>
        <w:t xml:space="preserve">starší </w:t>
      </w:r>
      <w:r w:rsidR="00F674E8" w:rsidRPr="00773B54">
        <w:rPr>
          <w:rFonts w:ascii="Arial" w:hAnsi="Arial" w:cs="Arial"/>
          <w:b/>
          <w:sz w:val="20"/>
          <w:szCs w:val="20"/>
        </w:rPr>
        <w:t xml:space="preserve">16 let používající </w:t>
      </w:r>
      <w:r w:rsidRPr="00773B54">
        <w:rPr>
          <w:rFonts w:ascii="Arial" w:hAnsi="Arial" w:cs="Arial"/>
          <w:b/>
          <w:sz w:val="20"/>
          <w:szCs w:val="20"/>
        </w:rPr>
        <w:t>informační technologie</w:t>
      </w:r>
    </w:p>
    <w:p w:rsidR="00F674E8" w:rsidRDefault="00F674E8" w:rsidP="00412540">
      <w:pPr>
        <w:spacing w:after="120" w:line="288" w:lineRule="auto"/>
        <w:jc w:val="both"/>
        <w:rPr>
          <w:rFonts w:ascii="Arial" w:hAnsi="Arial" w:cs="Arial"/>
          <w:i/>
          <w:sz w:val="20"/>
          <w:szCs w:val="20"/>
        </w:rPr>
      </w:pPr>
      <w:r w:rsidRPr="00051967">
        <w:rPr>
          <w:rFonts w:ascii="Arial" w:hAnsi="Arial" w:cs="Arial"/>
          <w:i/>
          <w:sz w:val="20"/>
          <w:szCs w:val="20"/>
        </w:rPr>
        <w:t xml:space="preserve">(% jednotlivců </w:t>
      </w:r>
      <w:r w:rsidR="00412540" w:rsidRPr="00051967">
        <w:rPr>
          <w:rFonts w:ascii="Arial" w:hAnsi="Arial" w:cs="Arial"/>
          <w:i/>
          <w:sz w:val="20"/>
          <w:szCs w:val="20"/>
        </w:rPr>
        <w:t xml:space="preserve">starších </w:t>
      </w:r>
      <w:r w:rsidRPr="00051967">
        <w:rPr>
          <w:rFonts w:ascii="Arial" w:hAnsi="Arial" w:cs="Arial"/>
          <w:i/>
          <w:sz w:val="20"/>
          <w:szCs w:val="20"/>
        </w:rPr>
        <w:t>16 let)</w:t>
      </w:r>
    </w:p>
    <w:p w:rsidR="00EC6675" w:rsidRPr="006D5C02" w:rsidRDefault="00A17FD9" w:rsidP="00DD0FE3">
      <w:pPr>
        <w:spacing w:after="120" w:line="288" w:lineRule="auto"/>
        <w:rPr>
          <w:rFonts w:ascii="Arial" w:hAnsi="Arial" w:cs="Arial"/>
          <w:i/>
          <w:sz w:val="20"/>
          <w:szCs w:val="20"/>
        </w:rPr>
      </w:pPr>
      <w:r w:rsidRPr="00A17FD9">
        <w:rPr>
          <w:rFonts w:ascii="Arial" w:hAnsi="Arial" w:cs="Arial"/>
          <w:i/>
          <w:noProof/>
          <w:sz w:val="20"/>
          <w:szCs w:val="20"/>
        </w:rPr>
        <w:drawing>
          <wp:inline distT="0" distB="0" distL="0" distR="0">
            <wp:extent cx="5760720" cy="2761337"/>
            <wp:effectExtent l="0" t="0" r="0" b="0"/>
            <wp:docPr id="31" name="Graf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F3109" w:rsidRPr="00DF3109" w:rsidRDefault="00DF3109" w:rsidP="00DF3109">
      <w:pPr>
        <w:spacing w:after="200" w:line="288" w:lineRule="auto"/>
        <w:jc w:val="both"/>
        <w:rPr>
          <w:rFonts w:ascii="Arial" w:hAnsi="Arial" w:cs="Arial"/>
          <w:sz w:val="18"/>
          <w:szCs w:val="18"/>
        </w:rPr>
      </w:pPr>
      <w:r w:rsidRPr="00DF3109">
        <w:rPr>
          <w:rFonts w:ascii="Arial" w:hAnsi="Arial" w:cs="Arial"/>
          <w:i/>
          <w:sz w:val="18"/>
          <w:szCs w:val="18"/>
        </w:rPr>
        <w:t>Zdroj: Český statistický úřad, 201</w:t>
      </w:r>
      <w:r w:rsidR="00A17FD9">
        <w:rPr>
          <w:rFonts w:ascii="Arial" w:hAnsi="Arial" w:cs="Arial"/>
          <w:i/>
          <w:sz w:val="18"/>
          <w:szCs w:val="18"/>
        </w:rPr>
        <w:t>3</w:t>
      </w:r>
    </w:p>
    <w:p w:rsidR="00C75B01" w:rsidRDefault="00C75B01" w:rsidP="00C75B01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Osobní počítač v roce 201</w:t>
      </w:r>
      <w:r w:rsidR="00AF4222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používalo 6 mil</w:t>
      </w:r>
      <w:r w:rsidR="00C122F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jednotlivců,</w:t>
      </w:r>
      <w:r w:rsidR="00BA7E0D">
        <w:rPr>
          <w:rFonts w:ascii="Arial" w:hAnsi="Arial" w:cs="Arial"/>
          <w:sz w:val="20"/>
          <w:szCs w:val="20"/>
        </w:rPr>
        <w:t xml:space="preserve"> tj. </w:t>
      </w:r>
      <w:r>
        <w:rPr>
          <w:rFonts w:ascii="Arial" w:hAnsi="Arial" w:cs="Arial"/>
          <w:sz w:val="20"/>
          <w:szCs w:val="20"/>
        </w:rPr>
        <w:t xml:space="preserve"> 70 % populace starší 16 let. Za posledních </w:t>
      </w:r>
      <w:r w:rsidR="00AF4222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let tak </w:t>
      </w:r>
      <w:r w:rsidR="00C122FA">
        <w:rPr>
          <w:rFonts w:ascii="Arial" w:hAnsi="Arial" w:cs="Arial"/>
          <w:sz w:val="20"/>
          <w:szCs w:val="20"/>
        </w:rPr>
        <w:t xml:space="preserve">počet </w:t>
      </w:r>
      <w:r>
        <w:rPr>
          <w:rFonts w:ascii="Arial" w:hAnsi="Arial" w:cs="Arial"/>
          <w:sz w:val="20"/>
          <w:szCs w:val="20"/>
        </w:rPr>
        <w:t xml:space="preserve">uživatelů osobního počítače vzrostl o </w:t>
      </w:r>
      <w:r w:rsidR="00AF4222">
        <w:rPr>
          <w:rFonts w:ascii="Arial" w:hAnsi="Arial" w:cs="Arial"/>
          <w:sz w:val="20"/>
          <w:szCs w:val="20"/>
        </w:rPr>
        <w:t>téměř 1,6</w:t>
      </w:r>
      <w:r w:rsidR="00030FFA">
        <w:rPr>
          <w:rFonts w:ascii="Arial" w:hAnsi="Arial" w:cs="Arial"/>
          <w:sz w:val="20"/>
          <w:szCs w:val="20"/>
        </w:rPr>
        <w:t xml:space="preserve"> mil</w:t>
      </w:r>
      <w:r>
        <w:rPr>
          <w:rFonts w:ascii="Arial" w:hAnsi="Arial" w:cs="Arial"/>
          <w:sz w:val="20"/>
          <w:szCs w:val="20"/>
        </w:rPr>
        <w:t>.</w:t>
      </w:r>
    </w:p>
    <w:p w:rsidR="00030FFA" w:rsidRPr="008A7371" w:rsidRDefault="00AF4222" w:rsidP="00C75B01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roce 2013</w:t>
      </w:r>
      <w:r w:rsidR="00030FFA">
        <w:rPr>
          <w:rFonts w:ascii="Arial" w:hAnsi="Arial" w:cs="Arial"/>
          <w:sz w:val="20"/>
          <w:szCs w:val="20"/>
        </w:rPr>
        <w:t xml:space="preserve"> navíc všichni </w:t>
      </w:r>
      <w:r w:rsidR="00030FFA" w:rsidRPr="008A7371">
        <w:rPr>
          <w:rFonts w:ascii="Arial" w:hAnsi="Arial" w:cs="Arial"/>
          <w:sz w:val="20"/>
          <w:szCs w:val="20"/>
        </w:rPr>
        <w:t xml:space="preserve">uživatelé osobního </w:t>
      </w:r>
      <w:r w:rsidR="00030FFA">
        <w:rPr>
          <w:rFonts w:ascii="Arial" w:hAnsi="Arial" w:cs="Arial"/>
          <w:sz w:val="20"/>
          <w:szCs w:val="20"/>
        </w:rPr>
        <w:t>počítače uváděli, že</w:t>
      </w:r>
      <w:r w:rsidR="00030FFA" w:rsidRPr="008A7371">
        <w:rPr>
          <w:rFonts w:ascii="Arial" w:hAnsi="Arial" w:cs="Arial"/>
          <w:sz w:val="20"/>
          <w:szCs w:val="20"/>
        </w:rPr>
        <w:t xml:space="preserve"> zároveň</w:t>
      </w:r>
      <w:r w:rsidR="00030FFA">
        <w:rPr>
          <w:rFonts w:ascii="Arial" w:hAnsi="Arial" w:cs="Arial"/>
          <w:sz w:val="20"/>
          <w:szCs w:val="20"/>
        </w:rPr>
        <w:t xml:space="preserve"> používají</w:t>
      </w:r>
      <w:r w:rsidR="00030FFA" w:rsidRPr="008A7371">
        <w:rPr>
          <w:rFonts w:ascii="Arial" w:hAnsi="Arial" w:cs="Arial"/>
          <w:sz w:val="20"/>
          <w:szCs w:val="20"/>
        </w:rPr>
        <w:t xml:space="preserve"> </w:t>
      </w:r>
      <w:r w:rsidR="00030FFA">
        <w:rPr>
          <w:rFonts w:ascii="Arial" w:hAnsi="Arial" w:cs="Arial"/>
          <w:sz w:val="20"/>
          <w:szCs w:val="20"/>
        </w:rPr>
        <w:t xml:space="preserve">také </w:t>
      </w:r>
      <w:r w:rsidR="00030FFA" w:rsidRPr="008A7371">
        <w:rPr>
          <w:rFonts w:ascii="Arial" w:hAnsi="Arial" w:cs="Arial"/>
          <w:sz w:val="20"/>
          <w:szCs w:val="20"/>
        </w:rPr>
        <w:t>internet. Stejně jako v případě osobního počítače</w:t>
      </w:r>
      <w:r w:rsidR="00030FFA">
        <w:rPr>
          <w:rFonts w:ascii="Arial" w:hAnsi="Arial" w:cs="Arial"/>
          <w:sz w:val="20"/>
          <w:szCs w:val="20"/>
        </w:rPr>
        <w:t>,</w:t>
      </w:r>
      <w:r w:rsidR="00030FFA" w:rsidRPr="008A7371">
        <w:rPr>
          <w:rFonts w:ascii="Arial" w:hAnsi="Arial" w:cs="Arial"/>
          <w:sz w:val="20"/>
          <w:szCs w:val="20"/>
        </w:rPr>
        <w:t xml:space="preserve"> </w:t>
      </w:r>
      <w:r w:rsidR="00030FFA">
        <w:rPr>
          <w:rFonts w:ascii="Arial" w:hAnsi="Arial" w:cs="Arial"/>
          <w:sz w:val="20"/>
          <w:szCs w:val="20"/>
        </w:rPr>
        <w:t>i v případě internetu</w:t>
      </w:r>
      <w:r w:rsidR="008E4CEB">
        <w:rPr>
          <w:rFonts w:ascii="Arial" w:hAnsi="Arial" w:cs="Arial"/>
          <w:sz w:val="20"/>
          <w:szCs w:val="20"/>
        </w:rPr>
        <w:t xml:space="preserve"> tedy</w:t>
      </w:r>
      <w:r w:rsidR="00030FFA">
        <w:rPr>
          <w:rFonts w:ascii="Arial" w:hAnsi="Arial" w:cs="Arial"/>
          <w:sz w:val="20"/>
          <w:szCs w:val="20"/>
        </w:rPr>
        <w:t xml:space="preserve"> platí, že jej používalo </w:t>
      </w:r>
      <w:r w:rsidR="00BA7E0D">
        <w:rPr>
          <w:rFonts w:ascii="Arial" w:hAnsi="Arial" w:cs="Arial"/>
          <w:sz w:val="20"/>
          <w:szCs w:val="20"/>
        </w:rPr>
        <w:t>sedm</w:t>
      </w:r>
      <w:r w:rsidR="00030FFA">
        <w:rPr>
          <w:rFonts w:ascii="Arial" w:hAnsi="Arial" w:cs="Arial"/>
          <w:sz w:val="20"/>
          <w:szCs w:val="20"/>
        </w:rPr>
        <w:t xml:space="preserve"> z deseti osob z dospělé populace.</w:t>
      </w:r>
    </w:p>
    <w:p w:rsidR="00C75B01" w:rsidRPr="008A7371" w:rsidRDefault="00DD043B" w:rsidP="00C75B01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České republice j</w:t>
      </w:r>
      <w:r w:rsidR="00C122FA">
        <w:rPr>
          <w:rFonts w:ascii="Arial" w:hAnsi="Arial" w:cs="Arial"/>
          <w:sz w:val="20"/>
          <w:szCs w:val="20"/>
        </w:rPr>
        <w:t>e dlouhodobě více</w:t>
      </w:r>
      <w:r w:rsidR="00C75B01" w:rsidRPr="008A7371">
        <w:rPr>
          <w:rFonts w:ascii="Arial" w:hAnsi="Arial" w:cs="Arial"/>
          <w:sz w:val="20"/>
          <w:szCs w:val="20"/>
        </w:rPr>
        <w:t xml:space="preserve"> uživatelů internetu mezi muži než ženami. Intern</w:t>
      </w:r>
      <w:r w:rsidR="00C75B01">
        <w:rPr>
          <w:rFonts w:ascii="Arial" w:hAnsi="Arial" w:cs="Arial"/>
          <w:sz w:val="20"/>
          <w:szCs w:val="20"/>
        </w:rPr>
        <w:t>et ve druhém čtvrtletí 201</w:t>
      </w:r>
      <w:r w:rsidR="00AF4222">
        <w:rPr>
          <w:rFonts w:ascii="Arial" w:hAnsi="Arial" w:cs="Arial"/>
          <w:sz w:val="20"/>
          <w:szCs w:val="20"/>
        </w:rPr>
        <w:t>3</w:t>
      </w:r>
      <w:r w:rsidR="00C75B01">
        <w:rPr>
          <w:rFonts w:ascii="Arial" w:hAnsi="Arial" w:cs="Arial"/>
          <w:sz w:val="20"/>
          <w:szCs w:val="20"/>
        </w:rPr>
        <w:t xml:space="preserve"> používalo 7</w:t>
      </w:r>
      <w:r w:rsidR="00AF4222">
        <w:rPr>
          <w:rFonts w:ascii="Arial" w:hAnsi="Arial" w:cs="Arial"/>
          <w:sz w:val="20"/>
          <w:szCs w:val="20"/>
        </w:rPr>
        <w:t>3 % mužů a 68</w:t>
      </w:r>
      <w:r w:rsidR="00C75B01" w:rsidRPr="008A7371">
        <w:rPr>
          <w:rFonts w:ascii="Arial" w:hAnsi="Arial" w:cs="Arial"/>
          <w:sz w:val="20"/>
          <w:szCs w:val="20"/>
        </w:rPr>
        <w:t> % žen. Tento rozdíl je způsoben především starší generací, kdy například podíl mužů starších 65 let používajících internet je více jak 2</w:t>
      </w:r>
      <w:r>
        <w:rPr>
          <w:rFonts w:ascii="Arial" w:hAnsi="Arial" w:cs="Arial"/>
          <w:sz w:val="20"/>
          <w:szCs w:val="20"/>
        </w:rPr>
        <w:t> </w:t>
      </w:r>
      <w:r w:rsidR="00C75B01" w:rsidRPr="008A7371">
        <w:rPr>
          <w:rFonts w:ascii="Arial" w:hAnsi="Arial" w:cs="Arial"/>
          <w:sz w:val="20"/>
          <w:szCs w:val="20"/>
        </w:rPr>
        <w:t>krát vyšší než podíl žen užívajících internet v této věkové kategorii. Asi nebude pro nikoh</w:t>
      </w:r>
      <w:r>
        <w:rPr>
          <w:rFonts w:ascii="Arial" w:hAnsi="Arial" w:cs="Arial"/>
          <w:sz w:val="20"/>
          <w:szCs w:val="20"/>
        </w:rPr>
        <w:t>o žádným velkým překvapením, že </w:t>
      </w:r>
      <w:r w:rsidR="00C75B01" w:rsidRPr="008A7371">
        <w:rPr>
          <w:rFonts w:ascii="Arial" w:hAnsi="Arial" w:cs="Arial"/>
          <w:sz w:val="20"/>
          <w:szCs w:val="20"/>
        </w:rPr>
        <w:t xml:space="preserve">internet je stále především doménou mladých lidí, ve věku 16–24 let </w:t>
      </w:r>
      <w:r w:rsidR="00C75B01">
        <w:rPr>
          <w:rFonts w:ascii="Arial" w:hAnsi="Arial" w:cs="Arial"/>
          <w:sz w:val="20"/>
          <w:szCs w:val="20"/>
        </w:rPr>
        <w:t xml:space="preserve">jej </w:t>
      </w:r>
      <w:r w:rsidR="00C75B01" w:rsidRPr="008A7371">
        <w:rPr>
          <w:rFonts w:ascii="Arial" w:hAnsi="Arial" w:cs="Arial"/>
          <w:sz w:val="20"/>
          <w:szCs w:val="20"/>
        </w:rPr>
        <w:t xml:space="preserve">používá </w:t>
      </w:r>
      <w:r w:rsidR="00AF4222">
        <w:rPr>
          <w:rFonts w:ascii="Arial" w:hAnsi="Arial" w:cs="Arial"/>
          <w:sz w:val="20"/>
          <w:szCs w:val="20"/>
        </w:rPr>
        <w:t>téměř 97</w:t>
      </w:r>
      <w:r w:rsidR="00C75B01" w:rsidRPr="008A7371">
        <w:rPr>
          <w:rFonts w:ascii="Arial" w:hAnsi="Arial" w:cs="Arial"/>
          <w:sz w:val="20"/>
          <w:szCs w:val="20"/>
        </w:rPr>
        <w:t xml:space="preserve"> % osob. </w:t>
      </w:r>
    </w:p>
    <w:p w:rsidR="00C75B01" w:rsidRDefault="00C75B01" w:rsidP="00DD043B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8A7371">
        <w:rPr>
          <w:rFonts w:ascii="Arial" w:hAnsi="Arial" w:cs="Arial"/>
          <w:sz w:val="20"/>
          <w:szCs w:val="20"/>
        </w:rPr>
        <w:t xml:space="preserve">Na základě zjištěných čísel lze také konstatovat, že čím vyšší je dosažené vzdělání, tím je také větší pravděpodobnost, že daný jednotlivec používá internet. Mezi vysokoškolsky vzdělanou populací </w:t>
      </w:r>
      <w:r w:rsidR="00AF4222">
        <w:rPr>
          <w:rFonts w:ascii="Arial" w:hAnsi="Arial" w:cs="Arial"/>
          <w:sz w:val="20"/>
          <w:szCs w:val="20"/>
        </w:rPr>
        <w:t>je devět z deseti</w:t>
      </w:r>
      <w:r w:rsidRPr="008A7371">
        <w:rPr>
          <w:rFonts w:ascii="Arial" w:hAnsi="Arial" w:cs="Arial"/>
          <w:sz w:val="20"/>
          <w:szCs w:val="20"/>
        </w:rPr>
        <w:t xml:space="preserve"> uživatelů internetu, mezi jednotlivci se středním vzděláním s maturitou </w:t>
      </w:r>
      <w:r>
        <w:rPr>
          <w:rFonts w:ascii="Arial" w:hAnsi="Arial" w:cs="Arial"/>
          <w:sz w:val="20"/>
          <w:szCs w:val="20"/>
        </w:rPr>
        <w:t xml:space="preserve">internet používalo </w:t>
      </w:r>
      <w:r w:rsidR="00BA7E0D">
        <w:rPr>
          <w:rFonts w:ascii="Arial" w:hAnsi="Arial" w:cs="Arial"/>
          <w:sz w:val="20"/>
          <w:szCs w:val="20"/>
        </w:rPr>
        <w:t>osm</w:t>
      </w:r>
      <w:r>
        <w:rPr>
          <w:rFonts w:ascii="Arial" w:hAnsi="Arial" w:cs="Arial"/>
          <w:sz w:val="20"/>
          <w:szCs w:val="20"/>
        </w:rPr>
        <w:t xml:space="preserve"> z deseti</w:t>
      </w:r>
      <w:r w:rsidRPr="008A7371">
        <w:rPr>
          <w:rFonts w:ascii="Arial" w:hAnsi="Arial" w:cs="Arial"/>
          <w:sz w:val="20"/>
          <w:szCs w:val="20"/>
        </w:rPr>
        <w:t xml:space="preserve"> osob</w:t>
      </w:r>
      <w:r>
        <w:rPr>
          <w:rFonts w:ascii="Arial" w:hAnsi="Arial" w:cs="Arial"/>
          <w:sz w:val="20"/>
          <w:szCs w:val="20"/>
        </w:rPr>
        <w:t xml:space="preserve">, </w:t>
      </w:r>
      <w:r w:rsidR="00AF4222">
        <w:rPr>
          <w:rFonts w:ascii="Arial" w:hAnsi="Arial" w:cs="Arial"/>
          <w:sz w:val="20"/>
          <w:szCs w:val="20"/>
        </w:rPr>
        <w:t>u osob s</w:t>
      </w:r>
      <w:r w:rsidRPr="008A7371">
        <w:rPr>
          <w:rFonts w:ascii="Arial" w:hAnsi="Arial" w:cs="Arial"/>
          <w:sz w:val="20"/>
          <w:szCs w:val="20"/>
        </w:rPr>
        <w:t xml:space="preserve"> dokončeným základním vzděláním </w:t>
      </w:r>
      <w:r w:rsidR="00C122FA">
        <w:rPr>
          <w:rFonts w:ascii="Arial" w:hAnsi="Arial" w:cs="Arial"/>
          <w:sz w:val="20"/>
          <w:szCs w:val="20"/>
        </w:rPr>
        <w:t xml:space="preserve">to je </w:t>
      </w:r>
      <w:r>
        <w:rPr>
          <w:rFonts w:ascii="Arial" w:hAnsi="Arial" w:cs="Arial"/>
          <w:sz w:val="20"/>
          <w:szCs w:val="20"/>
        </w:rPr>
        <w:t xml:space="preserve">ale </w:t>
      </w:r>
      <w:r w:rsidR="00AF4222">
        <w:rPr>
          <w:rFonts w:ascii="Arial" w:hAnsi="Arial" w:cs="Arial"/>
          <w:sz w:val="20"/>
          <w:szCs w:val="20"/>
        </w:rPr>
        <w:t>pouhá pětina jednotlivců</w:t>
      </w:r>
      <w:r w:rsidR="00DD043B">
        <w:rPr>
          <w:rFonts w:ascii="Arial" w:hAnsi="Arial" w:cs="Arial"/>
          <w:sz w:val="20"/>
          <w:szCs w:val="20"/>
        </w:rPr>
        <w:t xml:space="preserve">. </w:t>
      </w:r>
      <w:r w:rsidRPr="008A7371">
        <w:rPr>
          <w:rFonts w:ascii="Arial" w:hAnsi="Arial" w:cs="Arial"/>
          <w:sz w:val="20"/>
          <w:szCs w:val="20"/>
        </w:rPr>
        <w:t xml:space="preserve">Specifickou skupinu osob tvoří studenti, u kterých se podíl uživatelů počítače i internetu blíží 100 %. </w:t>
      </w:r>
    </w:p>
    <w:p w:rsidR="00C122FA" w:rsidRPr="008A7371" w:rsidRDefault="00C122FA" w:rsidP="00C75B01">
      <w:pPr>
        <w:spacing w:line="288" w:lineRule="auto"/>
        <w:jc w:val="both"/>
        <w:rPr>
          <w:rFonts w:ascii="Arial" w:hAnsi="Arial" w:cs="Arial"/>
          <w:sz w:val="20"/>
          <w:szCs w:val="20"/>
        </w:rPr>
      </w:pPr>
    </w:p>
    <w:p w:rsidR="00C75B01" w:rsidRPr="008A7371" w:rsidRDefault="00C75B01" w:rsidP="00C75B01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8A7371">
        <w:rPr>
          <w:rFonts w:ascii="Arial" w:hAnsi="Arial" w:cs="Arial"/>
          <w:sz w:val="20"/>
          <w:szCs w:val="20"/>
        </w:rPr>
        <w:t xml:space="preserve">Z tabulek i grafů je dále patrné, že nejrychleji přibývají uživatelé počítače i internetu v těch skupinách populace, které informační technologie používaly nejméně. </w:t>
      </w:r>
    </w:p>
    <w:p w:rsidR="00F674E8" w:rsidRDefault="005E2676" w:rsidP="000531D6">
      <w:pPr>
        <w:spacing w:before="180" w:line="288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Graf </w:t>
      </w:r>
      <w:r w:rsidR="00FF73FC">
        <w:rPr>
          <w:rFonts w:ascii="Arial" w:hAnsi="Arial" w:cs="Arial"/>
          <w:b/>
          <w:sz w:val="20"/>
          <w:szCs w:val="20"/>
        </w:rPr>
        <w:t>8</w:t>
      </w:r>
      <w:r w:rsidR="00DF4DAF" w:rsidRPr="002332EE">
        <w:rPr>
          <w:rFonts w:ascii="Arial" w:hAnsi="Arial" w:cs="Arial"/>
          <w:b/>
          <w:sz w:val="20"/>
          <w:szCs w:val="20"/>
        </w:rPr>
        <w:t xml:space="preserve">: Jednotlivci používající </w:t>
      </w:r>
      <w:r w:rsidR="00DF4DAF">
        <w:rPr>
          <w:rFonts w:ascii="Arial" w:hAnsi="Arial" w:cs="Arial"/>
          <w:b/>
          <w:sz w:val="20"/>
          <w:szCs w:val="20"/>
        </w:rPr>
        <w:t>internet</w:t>
      </w:r>
      <w:r w:rsidR="000531D6">
        <w:rPr>
          <w:rFonts w:ascii="Arial" w:hAnsi="Arial" w:cs="Arial"/>
          <w:b/>
          <w:sz w:val="20"/>
          <w:szCs w:val="20"/>
        </w:rPr>
        <w:t xml:space="preserve"> </w:t>
      </w:r>
      <w:r w:rsidR="00F674E8" w:rsidRPr="00051967">
        <w:rPr>
          <w:rFonts w:ascii="Arial" w:hAnsi="Arial" w:cs="Arial"/>
          <w:i/>
          <w:sz w:val="20"/>
          <w:szCs w:val="20"/>
        </w:rPr>
        <w:t xml:space="preserve">(% jednotlivců v dané </w:t>
      </w:r>
      <w:proofErr w:type="spellStart"/>
      <w:r w:rsidR="00F674E8" w:rsidRPr="00051967">
        <w:rPr>
          <w:rFonts w:ascii="Arial" w:hAnsi="Arial" w:cs="Arial"/>
          <w:i/>
          <w:sz w:val="20"/>
          <w:szCs w:val="20"/>
        </w:rPr>
        <w:t>socio</w:t>
      </w:r>
      <w:proofErr w:type="spellEnd"/>
      <w:r w:rsidR="00F674E8" w:rsidRPr="00051967">
        <w:rPr>
          <w:rFonts w:ascii="Arial" w:hAnsi="Arial" w:cs="Arial"/>
          <w:i/>
          <w:sz w:val="20"/>
          <w:szCs w:val="20"/>
        </w:rPr>
        <w:t>-demografické skupině)</w:t>
      </w:r>
    </w:p>
    <w:p w:rsidR="003977C2" w:rsidRPr="00051967" w:rsidRDefault="003977C2" w:rsidP="000531D6">
      <w:pPr>
        <w:spacing w:before="180" w:line="288" w:lineRule="auto"/>
        <w:jc w:val="both"/>
        <w:rPr>
          <w:rFonts w:ascii="Arial" w:hAnsi="Arial" w:cs="Arial"/>
          <w:i/>
          <w:sz w:val="20"/>
          <w:szCs w:val="20"/>
        </w:rPr>
      </w:pPr>
      <w:r w:rsidRPr="003977C2">
        <w:rPr>
          <w:rFonts w:ascii="Arial" w:hAnsi="Arial" w:cs="Arial"/>
          <w:i/>
          <w:noProof/>
          <w:sz w:val="20"/>
          <w:szCs w:val="20"/>
        </w:rPr>
        <w:drawing>
          <wp:inline distT="0" distB="0" distL="0" distR="0">
            <wp:extent cx="5760720" cy="2875599"/>
            <wp:effectExtent l="0" t="0" r="0" b="0"/>
            <wp:docPr id="32" name="Graf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DF3109" w:rsidRDefault="00DF3109" w:rsidP="00DF3109">
      <w:pPr>
        <w:spacing w:after="20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DF3109">
        <w:rPr>
          <w:rFonts w:ascii="Arial" w:hAnsi="Arial" w:cs="Arial"/>
          <w:i/>
          <w:sz w:val="18"/>
          <w:szCs w:val="18"/>
        </w:rPr>
        <w:t xml:space="preserve">Zdroj: </w:t>
      </w:r>
      <w:r w:rsidR="000C7A17">
        <w:rPr>
          <w:rFonts w:ascii="Arial" w:hAnsi="Arial" w:cs="Arial"/>
          <w:i/>
          <w:sz w:val="18"/>
          <w:szCs w:val="18"/>
        </w:rPr>
        <w:t>Č</w:t>
      </w:r>
      <w:r w:rsidRPr="00DF3109">
        <w:rPr>
          <w:rFonts w:ascii="Arial" w:hAnsi="Arial" w:cs="Arial"/>
          <w:i/>
          <w:sz w:val="18"/>
          <w:szCs w:val="18"/>
        </w:rPr>
        <w:t>eský statistický úřad, 201</w:t>
      </w:r>
      <w:r w:rsidR="003977C2">
        <w:rPr>
          <w:rFonts w:ascii="Arial" w:hAnsi="Arial" w:cs="Arial"/>
          <w:i/>
          <w:sz w:val="18"/>
          <w:szCs w:val="18"/>
        </w:rPr>
        <w:t>3</w:t>
      </w:r>
    </w:p>
    <w:p w:rsidR="000C6CBE" w:rsidRPr="003977C2" w:rsidRDefault="00992A48" w:rsidP="003977C2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8A7371">
        <w:rPr>
          <w:rFonts w:ascii="Arial" w:hAnsi="Arial" w:cs="Arial"/>
          <w:sz w:val="20"/>
          <w:szCs w:val="20"/>
        </w:rPr>
        <w:t xml:space="preserve">ejčastějším místem použití </w:t>
      </w:r>
      <w:r>
        <w:rPr>
          <w:rFonts w:ascii="Arial" w:hAnsi="Arial" w:cs="Arial"/>
          <w:sz w:val="20"/>
          <w:szCs w:val="20"/>
        </w:rPr>
        <w:t>internetu je přirozeně domov. V pohodlí domov</w:t>
      </w:r>
      <w:r w:rsidR="00C122FA">
        <w:rPr>
          <w:rFonts w:ascii="Arial" w:hAnsi="Arial" w:cs="Arial"/>
          <w:sz w:val="20"/>
          <w:szCs w:val="20"/>
        </w:rPr>
        <w:t>a internet v roce 2013 využívaly</w:t>
      </w:r>
      <w:r>
        <w:rPr>
          <w:rFonts w:ascii="Arial" w:hAnsi="Arial" w:cs="Arial"/>
          <w:sz w:val="20"/>
          <w:szCs w:val="20"/>
        </w:rPr>
        <w:t xml:space="preserve"> více než dvě třetiny české populace (</w:t>
      </w:r>
      <w:r w:rsidR="00C75B01">
        <w:rPr>
          <w:rFonts w:ascii="Arial" w:hAnsi="Arial" w:cs="Arial"/>
          <w:sz w:val="20"/>
          <w:szCs w:val="20"/>
        </w:rPr>
        <w:t>96</w:t>
      </w:r>
      <w:r w:rsidR="00C75B01" w:rsidRPr="008A7371">
        <w:rPr>
          <w:rFonts w:ascii="Arial" w:hAnsi="Arial" w:cs="Arial"/>
          <w:sz w:val="20"/>
          <w:szCs w:val="20"/>
        </w:rPr>
        <w:t> % uživatelů internetu</w:t>
      </w:r>
      <w:r>
        <w:rPr>
          <w:rFonts w:ascii="Arial" w:hAnsi="Arial" w:cs="Arial"/>
          <w:sz w:val="20"/>
          <w:szCs w:val="20"/>
        </w:rPr>
        <w:t>)</w:t>
      </w:r>
      <w:r w:rsidR="0068314D">
        <w:rPr>
          <w:rFonts w:ascii="Arial" w:hAnsi="Arial" w:cs="Arial"/>
          <w:sz w:val="20"/>
          <w:szCs w:val="20"/>
        </w:rPr>
        <w:t xml:space="preserve">. Využívání internetu v práci uvedlo </w:t>
      </w:r>
      <w:r>
        <w:rPr>
          <w:rFonts w:ascii="Arial" w:hAnsi="Arial" w:cs="Arial"/>
          <w:sz w:val="20"/>
          <w:szCs w:val="20"/>
        </w:rPr>
        <w:t xml:space="preserve">34 </w:t>
      </w:r>
      <w:r w:rsidR="0068314D">
        <w:rPr>
          <w:rFonts w:ascii="Arial" w:hAnsi="Arial" w:cs="Arial"/>
          <w:sz w:val="20"/>
          <w:szCs w:val="20"/>
        </w:rPr>
        <w:t xml:space="preserve">% uživatelů internetu. </w:t>
      </w:r>
    </w:p>
    <w:p w:rsidR="008636E7" w:rsidRPr="008A7371" w:rsidRDefault="006857FE" w:rsidP="008636E7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8636E7">
        <w:rPr>
          <w:rFonts w:ascii="Arial" w:hAnsi="Arial" w:cs="Arial"/>
          <w:sz w:val="20"/>
          <w:szCs w:val="20"/>
        </w:rPr>
        <w:t> roce 201</w:t>
      </w:r>
      <w:r w:rsidR="00992A48">
        <w:rPr>
          <w:rFonts w:ascii="Arial" w:hAnsi="Arial" w:cs="Arial"/>
          <w:sz w:val="20"/>
          <w:szCs w:val="20"/>
        </w:rPr>
        <w:t xml:space="preserve">3 se </w:t>
      </w:r>
      <w:r w:rsidR="008636E7">
        <w:rPr>
          <w:rFonts w:ascii="Arial" w:hAnsi="Arial" w:cs="Arial"/>
          <w:sz w:val="20"/>
          <w:szCs w:val="20"/>
        </w:rPr>
        <w:t xml:space="preserve">zjišťovala </w:t>
      </w:r>
      <w:r>
        <w:rPr>
          <w:rFonts w:ascii="Arial" w:hAnsi="Arial" w:cs="Arial"/>
          <w:sz w:val="20"/>
          <w:szCs w:val="20"/>
        </w:rPr>
        <w:t xml:space="preserve">také </w:t>
      </w:r>
      <w:r w:rsidR="008636E7">
        <w:rPr>
          <w:rFonts w:ascii="Arial" w:hAnsi="Arial" w:cs="Arial"/>
          <w:sz w:val="20"/>
          <w:szCs w:val="20"/>
        </w:rPr>
        <w:t xml:space="preserve">doba strávená jednotlivci </w:t>
      </w:r>
      <w:r w:rsidR="00C122FA">
        <w:rPr>
          <w:rFonts w:ascii="Arial" w:hAnsi="Arial" w:cs="Arial"/>
          <w:sz w:val="20"/>
          <w:szCs w:val="20"/>
        </w:rPr>
        <w:t xml:space="preserve">na internetu </w:t>
      </w:r>
      <w:r w:rsidR="008636E7">
        <w:rPr>
          <w:rFonts w:ascii="Arial" w:hAnsi="Arial" w:cs="Arial"/>
          <w:sz w:val="20"/>
          <w:szCs w:val="20"/>
        </w:rPr>
        <w:t>pro soukromé účely</w:t>
      </w:r>
      <w:r w:rsidR="00C122FA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N</w:t>
      </w:r>
      <w:r w:rsidR="00992A48">
        <w:rPr>
          <w:rFonts w:ascii="Arial" w:hAnsi="Arial" w:cs="Arial"/>
          <w:sz w:val="20"/>
          <w:szCs w:val="20"/>
        </w:rPr>
        <w:t xml:space="preserve">ávyky Čechů </w:t>
      </w:r>
      <w:r>
        <w:rPr>
          <w:rFonts w:ascii="Arial" w:hAnsi="Arial" w:cs="Arial"/>
          <w:sz w:val="20"/>
          <w:szCs w:val="20"/>
        </w:rPr>
        <w:t xml:space="preserve">se </w:t>
      </w:r>
      <w:r w:rsidR="00992A48">
        <w:rPr>
          <w:rFonts w:ascii="Arial" w:hAnsi="Arial" w:cs="Arial"/>
          <w:sz w:val="20"/>
          <w:szCs w:val="20"/>
        </w:rPr>
        <w:t>nezměnily</w:t>
      </w:r>
      <w:r>
        <w:rPr>
          <w:rFonts w:ascii="Arial" w:hAnsi="Arial" w:cs="Arial"/>
          <w:sz w:val="20"/>
          <w:szCs w:val="20"/>
        </w:rPr>
        <w:t>,</w:t>
      </w:r>
      <w:r w:rsidR="00992A48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tak</w:t>
      </w:r>
      <w:r w:rsidR="00992A48">
        <w:rPr>
          <w:rFonts w:ascii="Arial" w:hAnsi="Arial" w:cs="Arial"/>
          <w:sz w:val="20"/>
          <w:szCs w:val="20"/>
        </w:rPr>
        <w:t xml:space="preserve"> l</w:t>
      </w:r>
      <w:r>
        <w:rPr>
          <w:rFonts w:ascii="Arial" w:hAnsi="Arial" w:cs="Arial"/>
          <w:sz w:val="20"/>
          <w:szCs w:val="20"/>
        </w:rPr>
        <w:t xml:space="preserve">ze </w:t>
      </w:r>
      <w:r w:rsidR="00992A48">
        <w:rPr>
          <w:rFonts w:ascii="Arial" w:hAnsi="Arial" w:cs="Arial"/>
          <w:sz w:val="20"/>
          <w:szCs w:val="20"/>
        </w:rPr>
        <w:t xml:space="preserve">konstatovat, že strávili na internetu přibližně stejně času jako v roce předchozím. </w:t>
      </w:r>
      <w:r w:rsidR="008636E7">
        <w:rPr>
          <w:rFonts w:ascii="Arial" w:hAnsi="Arial" w:cs="Arial"/>
          <w:sz w:val="20"/>
          <w:szCs w:val="20"/>
        </w:rPr>
        <w:t xml:space="preserve">Více než polovina uživatelů internetu uvedla, že pro soukromé účely využívá internet </w:t>
      </w:r>
      <w:r w:rsidR="00C122FA">
        <w:rPr>
          <w:rFonts w:ascii="Arial" w:hAnsi="Arial" w:cs="Arial"/>
          <w:sz w:val="20"/>
          <w:szCs w:val="20"/>
        </w:rPr>
        <w:t xml:space="preserve">maximálně </w:t>
      </w:r>
      <w:r w:rsidR="008636E7">
        <w:rPr>
          <w:rFonts w:ascii="Arial" w:hAnsi="Arial" w:cs="Arial"/>
          <w:sz w:val="20"/>
          <w:szCs w:val="20"/>
        </w:rPr>
        <w:t xml:space="preserve">pět hodin za týden. Téměř 40 % uživatelů internetu na něm stráví 5 až 20 hodin týdně. Pouze 8 % pak více než 20 hodin týdně. Obecně lze říci, že delší dobu strávenou </w:t>
      </w:r>
      <w:r w:rsidR="00F55082">
        <w:rPr>
          <w:rFonts w:ascii="Arial" w:hAnsi="Arial" w:cs="Arial"/>
          <w:sz w:val="20"/>
          <w:szCs w:val="20"/>
        </w:rPr>
        <w:t xml:space="preserve">na internetu </w:t>
      </w:r>
      <w:r w:rsidR="008636E7">
        <w:rPr>
          <w:rFonts w:ascii="Arial" w:hAnsi="Arial" w:cs="Arial"/>
          <w:sz w:val="20"/>
          <w:szCs w:val="20"/>
        </w:rPr>
        <w:t>pro soukromé účely uváděli muži než ženy a mladší věkové skupiny než starší.</w:t>
      </w:r>
    </w:p>
    <w:p w:rsidR="00B70447" w:rsidRDefault="00C75B01" w:rsidP="00B56695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8A7371">
        <w:rPr>
          <w:rFonts w:ascii="Arial" w:hAnsi="Arial" w:cs="Arial"/>
          <w:sz w:val="20"/>
          <w:szCs w:val="20"/>
        </w:rPr>
        <w:t>V mezinárodním srovnání je na tom Č</w:t>
      </w:r>
      <w:r>
        <w:rPr>
          <w:rFonts w:ascii="Arial" w:hAnsi="Arial" w:cs="Arial"/>
          <w:sz w:val="20"/>
          <w:szCs w:val="20"/>
        </w:rPr>
        <w:t>eská republika</w:t>
      </w:r>
      <w:r w:rsidRPr="008A7371">
        <w:rPr>
          <w:rFonts w:ascii="Arial" w:hAnsi="Arial" w:cs="Arial"/>
          <w:sz w:val="20"/>
          <w:szCs w:val="20"/>
        </w:rPr>
        <w:t xml:space="preserve"> z hlediska podílu uživatelů internetu v dospělé populaci daleko lépe než z hlediska podílu domácností s internetem,</w:t>
      </w:r>
      <w:r w:rsidR="00B70447">
        <w:rPr>
          <w:rFonts w:ascii="Arial" w:hAnsi="Arial" w:cs="Arial"/>
          <w:sz w:val="20"/>
          <w:szCs w:val="20"/>
        </w:rPr>
        <w:t xml:space="preserve"> a poprvé v historii </w:t>
      </w:r>
      <w:r w:rsidR="00D9406E">
        <w:rPr>
          <w:rFonts w:ascii="Arial" w:hAnsi="Arial" w:cs="Arial"/>
          <w:sz w:val="20"/>
          <w:szCs w:val="20"/>
        </w:rPr>
        <w:t>dosahuje téměř</w:t>
      </w:r>
      <w:r w:rsidR="00B70447">
        <w:rPr>
          <w:rFonts w:ascii="Arial" w:hAnsi="Arial" w:cs="Arial"/>
          <w:sz w:val="20"/>
          <w:szCs w:val="20"/>
        </w:rPr>
        <w:t xml:space="preserve"> průměru EU</w:t>
      </w:r>
      <w:r w:rsidR="00F55082">
        <w:rPr>
          <w:rFonts w:ascii="Arial" w:hAnsi="Arial" w:cs="Arial"/>
          <w:sz w:val="20"/>
          <w:szCs w:val="20"/>
        </w:rPr>
        <w:t>27</w:t>
      </w:r>
      <w:r w:rsidRPr="008A7371">
        <w:rPr>
          <w:rFonts w:ascii="Arial" w:hAnsi="Arial" w:cs="Arial"/>
          <w:sz w:val="20"/>
          <w:szCs w:val="20"/>
        </w:rPr>
        <w:t>. V roce 201</w:t>
      </w:r>
      <w:r w:rsidR="00B70447">
        <w:rPr>
          <w:rFonts w:ascii="Arial" w:hAnsi="Arial" w:cs="Arial"/>
          <w:sz w:val="20"/>
          <w:szCs w:val="20"/>
        </w:rPr>
        <w:t>2</w:t>
      </w:r>
      <w:r w:rsidRPr="008A7371">
        <w:rPr>
          <w:rFonts w:ascii="Arial" w:hAnsi="Arial" w:cs="Arial"/>
          <w:sz w:val="20"/>
          <w:szCs w:val="20"/>
        </w:rPr>
        <w:t xml:space="preserve"> používalo internet </w:t>
      </w:r>
      <w:r>
        <w:rPr>
          <w:rFonts w:ascii="Arial" w:hAnsi="Arial" w:cs="Arial"/>
          <w:sz w:val="20"/>
          <w:szCs w:val="20"/>
        </w:rPr>
        <w:t xml:space="preserve">v </w:t>
      </w:r>
      <w:r w:rsidRPr="008A7371">
        <w:rPr>
          <w:rFonts w:ascii="Arial" w:hAnsi="Arial" w:cs="Arial"/>
          <w:sz w:val="20"/>
          <w:szCs w:val="20"/>
        </w:rPr>
        <w:t xml:space="preserve">České republice v populaci </w:t>
      </w:r>
      <w:r>
        <w:rPr>
          <w:rFonts w:ascii="Arial" w:hAnsi="Arial" w:cs="Arial"/>
          <w:sz w:val="20"/>
          <w:szCs w:val="20"/>
        </w:rPr>
        <w:t>16 až 74 let, 73</w:t>
      </w:r>
      <w:r w:rsidR="00B70447">
        <w:rPr>
          <w:rFonts w:ascii="Arial" w:hAnsi="Arial" w:cs="Arial"/>
          <w:sz w:val="20"/>
          <w:szCs w:val="20"/>
        </w:rPr>
        <w:t>,4</w:t>
      </w:r>
      <w:r w:rsidRPr="008A7371">
        <w:rPr>
          <w:rFonts w:ascii="Arial" w:hAnsi="Arial" w:cs="Arial"/>
          <w:sz w:val="20"/>
          <w:szCs w:val="20"/>
        </w:rPr>
        <w:t> %</w:t>
      </w:r>
      <w:r w:rsidR="00C122FA">
        <w:rPr>
          <w:rFonts w:ascii="Arial" w:hAnsi="Arial" w:cs="Arial"/>
          <w:sz w:val="20"/>
          <w:szCs w:val="20"/>
        </w:rPr>
        <w:t xml:space="preserve"> osob (průměr EU27 činil 73,6 %)</w:t>
      </w:r>
      <w:r w:rsidR="00B70447">
        <w:rPr>
          <w:rFonts w:ascii="Arial" w:hAnsi="Arial" w:cs="Arial"/>
          <w:sz w:val="20"/>
          <w:szCs w:val="20"/>
        </w:rPr>
        <w:t xml:space="preserve">. </w:t>
      </w:r>
    </w:p>
    <w:p w:rsidR="00C75B01" w:rsidRPr="008A7371" w:rsidRDefault="00C75B01" w:rsidP="00B56695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8A7371">
        <w:rPr>
          <w:rFonts w:ascii="Arial" w:hAnsi="Arial" w:cs="Arial"/>
          <w:sz w:val="20"/>
          <w:szCs w:val="20"/>
        </w:rPr>
        <w:t>Jsou to opět především skandinávské státy, Nizozemsko</w:t>
      </w:r>
      <w:r>
        <w:rPr>
          <w:rFonts w:ascii="Arial" w:hAnsi="Arial" w:cs="Arial"/>
          <w:sz w:val="20"/>
          <w:szCs w:val="20"/>
        </w:rPr>
        <w:t xml:space="preserve"> a</w:t>
      </w:r>
      <w:r w:rsidRPr="008A7371">
        <w:rPr>
          <w:rFonts w:ascii="Arial" w:hAnsi="Arial" w:cs="Arial"/>
          <w:sz w:val="20"/>
          <w:szCs w:val="20"/>
        </w:rPr>
        <w:t xml:space="preserve"> Lu</w:t>
      </w:r>
      <w:r w:rsidR="00B70447">
        <w:rPr>
          <w:rFonts w:ascii="Arial" w:hAnsi="Arial" w:cs="Arial"/>
          <w:sz w:val="20"/>
          <w:szCs w:val="20"/>
        </w:rPr>
        <w:t>cembursko, kde v roce 2012</w:t>
      </w:r>
      <w:r w:rsidRPr="008A7371">
        <w:rPr>
          <w:rFonts w:ascii="Arial" w:hAnsi="Arial" w:cs="Arial"/>
          <w:sz w:val="20"/>
          <w:szCs w:val="20"/>
        </w:rPr>
        <w:t xml:space="preserve"> používalo internet </w:t>
      </w:r>
      <w:r w:rsidR="00F55082">
        <w:rPr>
          <w:rFonts w:ascii="Arial" w:hAnsi="Arial" w:cs="Arial"/>
          <w:sz w:val="20"/>
          <w:szCs w:val="20"/>
        </w:rPr>
        <w:t>devět</w:t>
      </w:r>
      <w:r>
        <w:rPr>
          <w:rFonts w:ascii="Arial" w:hAnsi="Arial" w:cs="Arial"/>
          <w:sz w:val="20"/>
          <w:szCs w:val="20"/>
        </w:rPr>
        <w:t xml:space="preserve"> z deseti osob z </w:t>
      </w:r>
      <w:r w:rsidRPr="008A7371">
        <w:rPr>
          <w:rFonts w:ascii="Arial" w:hAnsi="Arial" w:cs="Arial"/>
          <w:sz w:val="20"/>
          <w:szCs w:val="20"/>
        </w:rPr>
        <w:t>dospělé populace. Rozdíly oproti státům severní a západní Evropy jsou v ČR především u starších ročníků a osob s nižším vzděláním</w:t>
      </w:r>
      <w:r w:rsidR="00DD043B">
        <w:rPr>
          <w:rFonts w:ascii="Arial" w:hAnsi="Arial" w:cs="Arial"/>
          <w:sz w:val="20"/>
          <w:szCs w:val="20"/>
        </w:rPr>
        <w:t>. U některých skupin populace o </w:t>
      </w:r>
      <w:r w:rsidRPr="008A7371">
        <w:rPr>
          <w:rFonts w:ascii="Arial" w:hAnsi="Arial" w:cs="Arial"/>
          <w:sz w:val="20"/>
          <w:szCs w:val="20"/>
        </w:rPr>
        <w:t>zaostávání ve využívání internetu nemůžeme naopak mluvit vůbec – studenti a jednotlivci s VŠ vzděláním se ve využívání internetu zcela vyrovnají stejný</w:t>
      </w:r>
      <w:r w:rsidR="00F55082">
        <w:rPr>
          <w:rFonts w:ascii="Arial" w:hAnsi="Arial" w:cs="Arial"/>
          <w:sz w:val="20"/>
          <w:szCs w:val="20"/>
        </w:rPr>
        <w:t>m skupinám populace v západní a </w:t>
      </w:r>
      <w:r w:rsidRPr="008A7371">
        <w:rPr>
          <w:rFonts w:ascii="Arial" w:hAnsi="Arial" w:cs="Arial"/>
          <w:sz w:val="20"/>
          <w:szCs w:val="20"/>
        </w:rPr>
        <w:t xml:space="preserve">severní Evropě. </w:t>
      </w:r>
    </w:p>
    <w:p w:rsidR="00C75B01" w:rsidRDefault="00C75B01" w:rsidP="00C75B01">
      <w:pPr>
        <w:spacing w:before="36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DA67E0">
        <w:rPr>
          <w:rFonts w:ascii="Arial" w:hAnsi="Arial" w:cs="Arial"/>
          <w:b/>
          <w:sz w:val="22"/>
          <w:szCs w:val="22"/>
        </w:rPr>
        <w:t>Činnosti prováděné jednotlivci na internetu</w:t>
      </w:r>
    </w:p>
    <w:p w:rsidR="00D9406E" w:rsidRDefault="00C75B01" w:rsidP="00C75B01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Jednoznačně nejoblíbenější skupinou činností provozovanou na internetu pro soukromé účely</w:t>
      </w:r>
      <w:r w:rsidRPr="008A737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 w:rsidRPr="008A7371">
        <w:rPr>
          <w:rFonts w:ascii="Arial" w:hAnsi="Arial" w:cs="Arial"/>
          <w:sz w:val="20"/>
          <w:szCs w:val="20"/>
        </w:rPr>
        <w:t xml:space="preserve"> komunikace. </w:t>
      </w:r>
      <w:r>
        <w:rPr>
          <w:rFonts w:ascii="Arial" w:hAnsi="Arial" w:cs="Arial"/>
          <w:sz w:val="20"/>
          <w:szCs w:val="20"/>
        </w:rPr>
        <w:t xml:space="preserve">Téměř 94 % uživatelů internetu jej </w:t>
      </w:r>
      <w:r w:rsidRPr="008A7371">
        <w:rPr>
          <w:rFonts w:ascii="Arial" w:hAnsi="Arial" w:cs="Arial"/>
          <w:sz w:val="20"/>
          <w:szCs w:val="20"/>
        </w:rPr>
        <w:t>použí</w:t>
      </w:r>
      <w:r>
        <w:rPr>
          <w:rFonts w:ascii="Arial" w:hAnsi="Arial" w:cs="Arial"/>
          <w:sz w:val="20"/>
          <w:szCs w:val="20"/>
        </w:rPr>
        <w:t>vá k zasílání/přijímání e-mailů</w:t>
      </w:r>
      <w:r w:rsidRPr="008A737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D9406E">
        <w:rPr>
          <w:rFonts w:ascii="Arial" w:hAnsi="Arial" w:cs="Arial"/>
          <w:sz w:val="20"/>
          <w:szCs w:val="20"/>
        </w:rPr>
        <w:t>Téměř polovina uživatelů internetu využívá sociální sítě.</w:t>
      </w:r>
    </w:p>
    <w:p w:rsidR="00D9406E" w:rsidRDefault="00D9406E" w:rsidP="00C75B01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</w:p>
    <w:p w:rsidR="00F77558" w:rsidRDefault="00C75B01" w:rsidP="00DD043B">
      <w:pPr>
        <w:spacing w:before="120" w:line="288" w:lineRule="auto"/>
        <w:jc w:val="both"/>
        <w:rPr>
          <w:rFonts w:ascii="Arial" w:hAnsi="Arial" w:cs="Arial"/>
          <w:i/>
          <w:noProof/>
          <w:sz w:val="20"/>
          <w:szCs w:val="20"/>
        </w:rPr>
      </w:pPr>
      <w:r w:rsidRPr="008A7371">
        <w:rPr>
          <w:rFonts w:ascii="Arial" w:hAnsi="Arial" w:cs="Arial"/>
          <w:sz w:val="20"/>
          <w:szCs w:val="20"/>
        </w:rPr>
        <w:t xml:space="preserve"> </w:t>
      </w:r>
      <w:r w:rsidR="00FF73FC">
        <w:rPr>
          <w:rFonts w:ascii="Arial" w:hAnsi="Arial" w:cs="Arial"/>
          <w:b/>
          <w:noProof/>
          <w:sz w:val="20"/>
          <w:szCs w:val="20"/>
        </w:rPr>
        <w:t>Graf 9</w:t>
      </w:r>
      <w:r w:rsidR="00F77558" w:rsidRPr="006B16CC">
        <w:rPr>
          <w:rFonts w:ascii="Arial" w:hAnsi="Arial" w:cs="Arial"/>
          <w:b/>
          <w:noProof/>
          <w:sz w:val="20"/>
          <w:szCs w:val="20"/>
        </w:rPr>
        <w:t xml:space="preserve">: Aktivity vykonávané jednotlivci na internetu </w:t>
      </w:r>
      <w:r w:rsidR="00F77558" w:rsidRPr="006B16CC">
        <w:rPr>
          <w:rFonts w:ascii="Arial" w:hAnsi="Arial" w:cs="Arial"/>
          <w:i/>
          <w:noProof/>
          <w:sz w:val="20"/>
          <w:szCs w:val="20"/>
        </w:rPr>
        <w:t>(% uživatelů internetu)</w:t>
      </w:r>
    </w:p>
    <w:p w:rsidR="003977C2" w:rsidRDefault="003977C2" w:rsidP="00F77558">
      <w:pPr>
        <w:spacing w:before="180" w:line="288" w:lineRule="auto"/>
        <w:jc w:val="both"/>
        <w:rPr>
          <w:rFonts w:ascii="Arial" w:hAnsi="Arial" w:cs="Arial"/>
          <w:i/>
          <w:noProof/>
          <w:sz w:val="20"/>
          <w:szCs w:val="20"/>
        </w:rPr>
      </w:pPr>
      <w:r w:rsidRPr="003977C2">
        <w:rPr>
          <w:rFonts w:ascii="Arial" w:hAnsi="Arial" w:cs="Arial"/>
          <w:i/>
          <w:noProof/>
          <w:sz w:val="20"/>
          <w:szCs w:val="20"/>
        </w:rPr>
        <w:drawing>
          <wp:inline distT="0" distB="0" distL="0" distR="0">
            <wp:extent cx="5648326" cy="3867150"/>
            <wp:effectExtent l="0" t="0" r="0" b="0"/>
            <wp:docPr id="38" name="Graf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F77558" w:rsidRPr="00AC0A5E" w:rsidRDefault="00F77558" w:rsidP="00AC0A5E">
      <w:pPr>
        <w:spacing w:before="180" w:line="288" w:lineRule="auto"/>
        <w:jc w:val="center"/>
        <w:rPr>
          <w:rFonts w:ascii="Arial" w:hAnsi="Arial" w:cs="Arial"/>
          <w:i/>
          <w:noProof/>
          <w:sz w:val="20"/>
          <w:szCs w:val="20"/>
        </w:rPr>
      </w:pPr>
    </w:p>
    <w:p w:rsidR="005E2676" w:rsidRPr="00B56695" w:rsidRDefault="00F77558" w:rsidP="00B56695">
      <w:pPr>
        <w:spacing w:after="20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DF3109">
        <w:rPr>
          <w:rFonts w:ascii="Arial" w:hAnsi="Arial" w:cs="Arial"/>
          <w:i/>
          <w:sz w:val="18"/>
          <w:szCs w:val="18"/>
        </w:rPr>
        <w:t>Zdr</w:t>
      </w:r>
      <w:r w:rsidR="00D9406E">
        <w:rPr>
          <w:rFonts w:ascii="Arial" w:hAnsi="Arial" w:cs="Arial"/>
          <w:i/>
          <w:sz w:val="18"/>
          <w:szCs w:val="18"/>
        </w:rPr>
        <w:t>oj: Český statistický úřad, 2013</w:t>
      </w:r>
    </w:p>
    <w:p w:rsidR="0068012A" w:rsidRDefault="0068012A" w:rsidP="0068012A">
      <w:pPr>
        <w:spacing w:before="120" w:line="288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Graf 1</w:t>
      </w:r>
      <w:r w:rsidR="00FF73FC">
        <w:rPr>
          <w:rFonts w:ascii="Arial" w:hAnsi="Arial" w:cs="Arial"/>
          <w:b/>
          <w:sz w:val="20"/>
          <w:szCs w:val="20"/>
        </w:rPr>
        <w:t>0</w:t>
      </w:r>
      <w:r w:rsidRPr="00FF41BC">
        <w:rPr>
          <w:rFonts w:ascii="Arial" w:hAnsi="Arial" w:cs="Arial"/>
          <w:b/>
          <w:sz w:val="20"/>
          <w:szCs w:val="20"/>
        </w:rPr>
        <w:t>: Účast v sociálních sítích</w:t>
      </w:r>
      <w:r w:rsidR="00F61408">
        <w:rPr>
          <w:rFonts w:ascii="Arial" w:hAnsi="Arial" w:cs="Arial"/>
          <w:b/>
          <w:sz w:val="20"/>
          <w:szCs w:val="20"/>
        </w:rPr>
        <w:tab/>
      </w:r>
      <w:r w:rsidR="00F61408">
        <w:rPr>
          <w:rFonts w:ascii="Arial" w:hAnsi="Arial" w:cs="Arial"/>
          <w:b/>
          <w:sz w:val="20"/>
          <w:szCs w:val="20"/>
        </w:rPr>
        <w:tab/>
        <w:t xml:space="preserve">     </w:t>
      </w:r>
      <w:r w:rsidR="002B359E">
        <w:rPr>
          <w:rFonts w:ascii="Arial" w:hAnsi="Arial" w:cs="Arial"/>
          <w:b/>
          <w:sz w:val="20"/>
          <w:szCs w:val="20"/>
        </w:rPr>
        <w:t>Graf 1</w:t>
      </w:r>
      <w:r w:rsidR="00FF73FC">
        <w:rPr>
          <w:rFonts w:ascii="Arial" w:hAnsi="Arial" w:cs="Arial"/>
          <w:b/>
          <w:sz w:val="20"/>
          <w:szCs w:val="20"/>
        </w:rPr>
        <w:t>1</w:t>
      </w:r>
      <w:r w:rsidR="00F61408" w:rsidRPr="00FF41BC">
        <w:rPr>
          <w:rFonts w:ascii="Arial" w:hAnsi="Arial" w:cs="Arial"/>
          <w:b/>
          <w:sz w:val="20"/>
          <w:szCs w:val="20"/>
        </w:rPr>
        <w:t xml:space="preserve">: </w:t>
      </w:r>
      <w:r w:rsidR="00F61408">
        <w:rPr>
          <w:rFonts w:ascii="Arial" w:hAnsi="Arial" w:cs="Arial"/>
          <w:b/>
          <w:sz w:val="20"/>
          <w:szCs w:val="20"/>
        </w:rPr>
        <w:t>Vyhledávání informací o zdraví</w:t>
      </w:r>
    </w:p>
    <w:p w:rsidR="00F61408" w:rsidRDefault="00F61408" w:rsidP="002074B8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F61408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857500" cy="1600200"/>
            <wp:effectExtent l="0" t="0" r="0" b="0"/>
            <wp:docPr id="39" name="Graf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Pr="00F61408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876550" cy="1600200"/>
            <wp:effectExtent l="0" t="0" r="0" b="0"/>
            <wp:docPr id="41" name="Graf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F61408" w:rsidRPr="002074B8" w:rsidRDefault="00F61408" w:rsidP="00F61408">
      <w:pPr>
        <w:spacing w:before="120" w:line="288" w:lineRule="auto"/>
        <w:jc w:val="both"/>
        <w:rPr>
          <w:rFonts w:ascii="Arial" w:hAnsi="Arial" w:cs="Arial"/>
          <w:sz w:val="12"/>
          <w:szCs w:val="12"/>
        </w:rPr>
      </w:pPr>
    </w:p>
    <w:p w:rsidR="00F61408" w:rsidRPr="00F61408" w:rsidRDefault="00F61408" w:rsidP="00F61408">
      <w:pPr>
        <w:spacing w:after="20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DF3109">
        <w:rPr>
          <w:rFonts w:ascii="Arial" w:hAnsi="Arial" w:cs="Arial"/>
          <w:i/>
          <w:sz w:val="18"/>
          <w:szCs w:val="18"/>
        </w:rPr>
        <w:t>Zdr</w:t>
      </w:r>
      <w:r>
        <w:rPr>
          <w:rFonts w:ascii="Arial" w:hAnsi="Arial" w:cs="Arial"/>
          <w:i/>
          <w:sz w:val="18"/>
          <w:szCs w:val="18"/>
        </w:rPr>
        <w:t>oj: Český statistický úřad, 2013</w:t>
      </w:r>
    </w:p>
    <w:p w:rsidR="00B56695" w:rsidRDefault="003C04D5" w:rsidP="002074B8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8A7371">
        <w:rPr>
          <w:rFonts w:ascii="Arial" w:hAnsi="Arial" w:cs="Arial"/>
          <w:sz w:val="20"/>
          <w:szCs w:val="20"/>
        </w:rPr>
        <w:t>Zatímco</w:t>
      </w:r>
      <w:r w:rsidR="00F61408">
        <w:rPr>
          <w:noProof/>
        </w:rPr>
        <w:t xml:space="preserve"> </w:t>
      </w:r>
      <w:r w:rsidRPr="008A7371">
        <w:rPr>
          <w:rFonts w:ascii="Arial" w:hAnsi="Arial" w:cs="Arial"/>
          <w:sz w:val="20"/>
          <w:szCs w:val="20"/>
        </w:rPr>
        <w:t xml:space="preserve">využívání e-mailu je napříč všemi věkovými skupinami vyrovnané a ani napříč socioekonomickými skupinami obyvatelstva nejsou patrné </w:t>
      </w:r>
      <w:r w:rsidR="005624D7">
        <w:rPr>
          <w:rFonts w:ascii="Arial" w:hAnsi="Arial" w:cs="Arial"/>
          <w:sz w:val="20"/>
          <w:szCs w:val="20"/>
        </w:rPr>
        <w:t xml:space="preserve">dramatické rozdíly, </w:t>
      </w:r>
      <w:r w:rsidR="002074B8">
        <w:rPr>
          <w:rFonts w:ascii="Arial" w:hAnsi="Arial" w:cs="Arial"/>
          <w:sz w:val="20"/>
          <w:szCs w:val="20"/>
        </w:rPr>
        <w:t>účast v </w:t>
      </w:r>
      <w:r w:rsidRPr="008A7371">
        <w:rPr>
          <w:rFonts w:ascii="Arial" w:hAnsi="Arial" w:cs="Arial"/>
          <w:sz w:val="20"/>
          <w:szCs w:val="20"/>
        </w:rPr>
        <w:t>sociálních sítí</w:t>
      </w:r>
      <w:r w:rsidR="002074B8">
        <w:rPr>
          <w:rFonts w:ascii="Arial" w:hAnsi="Arial" w:cs="Arial"/>
          <w:sz w:val="20"/>
          <w:szCs w:val="20"/>
        </w:rPr>
        <w:t>ch</w:t>
      </w:r>
      <w:r w:rsidRPr="008A7371">
        <w:rPr>
          <w:rFonts w:ascii="Arial" w:hAnsi="Arial" w:cs="Arial"/>
          <w:sz w:val="20"/>
          <w:szCs w:val="20"/>
        </w:rPr>
        <w:t xml:space="preserve"> jednoznačně převládá u mladších věkových skupin a mezi studenty.</w:t>
      </w:r>
      <w:r w:rsidR="002074B8">
        <w:rPr>
          <w:rFonts w:ascii="Arial" w:hAnsi="Arial" w:cs="Arial"/>
          <w:sz w:val="20"/>
          <w:szCs w:val="20"/>
        </w:rPr>
        <w:t xml:space="preserve"> V nejmladší věkové skupině jsou sociální sítě po</w:t>
      </w:r>
      <w:r w:rsidR="005624D7">
        <w:rPr>
          <w:rFonts w:ascii="Arial" w:hAnsi="Arial" w:cs="Arial"/>
          <w:sz w:val="20"/>
          <w:szCs w:val="20"/>
        </w:rPr>
        <w:t>užívány 2 krát více než u osob ve </w:t>
      </w:r>
      <w:r w:rsidR="002074B8">
        <w:rPr>
          <w:rFonts w:ascii="Arial" w:hAnsi="Arial" w:cs="Arial"/>
          <w:sz w:val="20"/>
          <w:szCs w:val="20"/>
        </w:rPr>
        <w:t>věku 25-54 let.</w:t>
      </w:r>
    </w:p>
    <w:p w:rsidR="003C04D5" w:rsidRDefault="003C04D5" w:rsidP="003C04D5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8A7371">
        <w:rPr>
          <w:rFonts w:ascii="Arial" w:hAnsi="Arial" w:cs="Arial"/>
          <w:sz w:val="20"/>
          <w:szCs w:val="20"/>
        </w:rPr>
        <w:t>Největší část uživatelů internetu vyhledávala</w:t>
      </w:r>
      <w:r w:rsidR="00C122FA">
        <w:rPr>
          <w:rFonts w:ascii="Arial" w:hAnsi="Arial" w:cs="Arial"/>
          <w:sz w:val="20"/>
          <w:szCs w:val="20"/>
        </w:rPr>
        <w:t xml:space="preserve"> informace o zboží a službách, </w:t>
      </w:r>
      <w:r w:rsidRPr="008A7371">
        <w:rPr>
          <w:rFonts w:ascii="Arial" w:hAnsi="Arial" w:cs="Arial"/>
          <w:sz w:val="20"/>
          <w:szCs w:val="20"/>
        </w:rPr>
        <w:t>cestování a ubytování</w:t>
      </w:r>
      <w:r w:rsidR="00F61408">
        <w:rPr>
          <w:rFonts w:ascii="Arial" w:hAnsi="Arial" w:cs="Arial"/>
          <w:sz w:val="20"/>
          <w:szCs w:val="20"/>
        </w:rPr>
        <w:t xml:space="preserve"> </w:t>
      </w:r>
      <w:r w:rsidR="00FE2DD1">
        <w:rPr>
          <w:rFonts w:ascii="Arial" w:hAnsi="Arial" w:cs="Arial"/>
          <w:sz w:val="20"/>
          <w:szCs w:val="20"/>
        </w:rPr>
        <w:t>a </w:t>
      </w:r>
      <w:r w:rsidR="00C122FA">
        <w:rPr>
          <w:rFonts w:ascii="Arial" w:hAnsi="Arial" w:cs="Arial"/>
          <w:sz w:val="20"/>
          <w:szCs w:val="20"/>
        </w:rPr>
        <w:t>o </w:t>
      </w:r>
      <w:r>
        <w:rPr>
          <w:rFonts w:ascii="Arial" w:hAnsi="Arial" w:cs="Arial"/>
          <w:sz w:val="20"/>
          <w:szCs w:val="20"/>
        </w:rPr>
        <w:t>zdraví</w:t>
      </w:r>
      <w:r w:rsidRPr="008A7371">
        <w:rPr>
          <w:rFonts w:ascii="Arial" w:hAnsi="Arial" w:cs="Arial"/>
          <w:sz w:val="20"/>
          <w:szCs w:val="20"/>
        </w:rPr>
        <w:t>. Informace</w:t>
      </w:r>
      <w:r w:rsidR="00F61408">
        <w:rPr>
          <w:rFonts w:ascii="Arial" w:hAnsi="Arial" w:cs="Arial"/>
          <w:sz w:val="20"/>
          <w:szCs w:val="20"/>
        </w:rPr>
        <w:t xml:space="preserve"> na internetu obecně</w:t>
      </w:r>
      <w:r w:rsidRPr="008A7371">
        <w:rPr>
          <w:rFonts w:ascii="Arial" w:hAnsi="Arial" w:cs="Arial"/>
          <w:sz w:val="20"/>
          <w:szCs w:val="20"/>
        </w:rPr>
        <w:t xml:space="preserve"> častěji vyhledávaly ženy</w:t>
      </w:r>
      <w:r>
        <w:rPr>
          <w:rFonts w:ascii="Arial" w:hAnsi="Arial" w:cs="Arial"/>
          <w:sz w:val="20"/>
          <w:szCs w:val="20"/>
        </w:rPr>
        <w:t xml:space="preserve"> než muži. Nejdramatičtější rozdíly mezi oběma pohlavími jsou dlouhodobě zaznamenávány ve vyhledávání informací o zdraví. Tento </w:t>
      </w:r>
      <w:r w:rsidR="005624D7">
        <w:rPr>
          <w:rFonts w:ascii="Arial" w:hAnsi="Arial" w:cs="Arial"/>
          <w:sz w:val="20"/>
          <w:szCs w:val="20"/>
        </w:rPr>
        <w:t>druh informací vyhledávají až 2 krát</w:t>
      </w:r>
      <w:r>
        <w:rPr>
          <w:rFonts w:ascii="Arial" w:hAnsi="Arial" w:cs="Arial"/>
          <w:sz w:val="20"/>
          <w:szCs w:val="20"/>
        </w:rPr>
        <w:t xml:space="preserve"> více ženy než muži. Navíc vyhledávání informací o zdraví je spíše dominantou starší a střední generace. </w:t>
      </w:r>
    </w:p>
    <w:p w:rsidR="00C75B01" w:rsidRPr="008A7371" w:rsidRDefault="00C75B01" w:rsidP="00FF41BC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8A7371">
        <w:rPr>
          <w:rFonts w:ascii="Arial" w:hAnsi="Arial" w:cs="Arial"/>
          <w:sz w:val="20"/>
          <w:szCs w:val="20"/>
        </w:rPr>
        <w:t>Pokud se ale zaměříme na využití internetu k vybraným činnostem zábavy, zjišťujeme, že jednoznačně převažují mezi uživateli muži nad ženami a mladší věkové skupiny nad těmi staršími. Mezi nejoblíbenější činnosti zábavy na internetu patř</w:t>
      </w:r>
      <w:r>
        <w:rPr>
          <w:rFonts w:ascii="Arial" w:hAnsi="Arial" w:cs="Arial"/>
          <w:sz w:val="20"/>
          <w:szCs w:val="20"/>
        </w:rPr>
        <w:t>í čtení on-line zpráv (85</w:t>
      </w:r>
      <w:r w:rsidRPr="008A7371">
        <w:rPr>
          <w:rFonts w:ascii="Arial" w:hAnsi="Arial" w:cs="Arial"/>
          <w:sz w:val="20"/>
          <w:szCs w:val="20"/>
        </w:rPr>
        <w:t> % uživatelů i</w:t>
      </w:r>
      <w:r w:rsidR="005624D7">
        <w:rPr>
          <w:rFonts w:ascii="Arial" w:hAnsi="Arial" w:cs="Arial"/>
          <w:sz w:val="20"/>
          <w:szCs w:val="20"/>
        </w:rPr>
        <w:t>nternetu), dále pak stahování/</w:t>
      </w:r>
      <w:r w:rsidRPr="008A7371">
        <w:rPr>
          <w:rFonts w:ascii="Arial" w:hAnsi="Arial" w:cs="Arial"/>
          <w:sz w:val="20"/>
          <w:szCs w:val="20"/>
        </w:rPr>
        <w:t>přehrávání</w:t>
      </w:r>
      <w:r>
        <w:rPr>
          <w:rFonts w:ascii="Arial" w:hAnsi="Arial" w:cs="Arial"/>
          <w:sz w:val="20"/>
          <w:szCs w:val="20"/>
        </w:rPr>
        <w:t xml:space="preserve"> hudby, filmů a </w:t>
      </w:r>
      <w:r w:rsidRPr="008A7371">
        <w:rPr>
          <w:rFonts w:ascii="Arial" w:hAnsi="Arial" w:cs="Arial"/>
          <w:sz w:val="20"/>
          <w:szCs w:val="20"/>
        </w:rPr>
        <w:t>vid</w:t>
      </w:r>
      <w:r w:rsidR="00F61408">
        <w:rPr>
          <w:rFonts w:ascii="Arial" w:hAnsi="Arial" w:cs="Arial"/>
          <w:sz w:val="20"/>
          <w:szCs w:val="20"/>
        </w:rPr>
        <w:t>eí (52</w:t>
      </w:r>
      <w:r>
        <w:rPr>
          <w:rFonts w:ascii="Arial" w:hAnsi="Arial" w:cs="Arial"/>
          <w:sz w:val="20"/>
          <w:szCs w:val="20"/>
        </w:rPr>
        <w:t xml:space="preserve"> % uživatelů internetu). </w:t>
      </w:r>
      <w:r w:rsidR="00F61408">
        <w:rPr>
          <w:rFonts w:ascii="Arial" w:hAnsi="Arial" w:cs="Arial"/>
          <w:sz w:val="20"/>
          <w:szCs w:val="20"/>
        </w:rPr>
        <w:t>Zhruba 30 %</w:t>
      </w:r>
      <w:r w:rsidR="005624D7">
        <w:rPr>
          <w:rFonts w:ascii="Arial" w:hAnsi="Arial" w:cs="Arial"/>
          <w:sz w:val="20"/>
          <w:szCs w:val="20"/>
        </w:rPr>
        <w:t xml:space="preserve"> uživatelů internetu </w:t>
      </w:r>
      <w:r>
        <w:rPr>
          <w:rFonts w:ascii="Arial" w:hAnsi="Arial" w:cs="Arial"/>
          <w:sz w:val="20"/>
          <w:szCs w:val="20"/>
        </w:rPr>
        <w:t>poslouchá rádia nebo sleduje televizi</w:t>
      </w:r>
      <w:r w:rsidRPr="008A737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F61408">
        <w:rPr>
          <w:rFonts w:ascii="Arial" w:hAnsi="Arial" w:cs="Arial"/>
          <w:sz w:val="20"/>
          <w:szCs w:val="20"/>
        </w:rPr>
        <w:t xml:space="preserve">Necelá </w:t>
      </w:r>
      <w:r>
        <w:rPr>
          <w:rFonts w:ascii="Arial" w:hAnsi="Arial" w:cs="Arial"/>
          <w:sz w:val="20"/>
          <w:szCs w:val="20"/>
        </w:rPr>
        <w:t xml:space="preserve">čtvrtina uživatelů internetu se věnuje hraní/stahování počítačových her. A zhruba polovina z nich </w:t>
      </w:r>
      <w:r w:rsidR="005624D7">
        <w:rPr>
          <w:rFonts w:ascii="Arial" w:hAnsi="Arial" w:cs="Arial"/>
          <w:sz w:val="20"/>
          <w:szCs w:val="20"/>
        </w:rPr>
        <w:t xml:space="preserve">pak také hraje počítačové hry </w:t>
      </w:r>
      <w:r>
        <w:rPr>
          <w:rFonts w:ascii="Arial" w:hAnsi="Arial" w:cs="Arial"/>
          <w:sz w:val="20"/>
          <w:szCs w:val="20"/>
        </w:rPr>
        <w:t>on-line</w:t>
      </w:r>
      <w:r w:rsidR="005624D7">
        <w:rPr>
          <w:rFonts w:ascii="Arial" w:hAnsi="Arial" w:cs="Arial"/>
          <w:sz w:val="20"/>
          <w:szCs w:val="20"/>
        </w:rPr>
        <w:t xml:space="preserve"> s</w:t>
      </w:r>
      <w:r w:rsidR="00F61408">
        <w:rPr>
          <w:rFonts w:ascii="Arial" w:hAnsi="Arial" w:cs="Arial"/>
          <w:sz w:val="20"/>
          <w:szCs w:val="20"/>
        </w:rPr>
        <w:t> </w:t>
      </w:r>
      <w:r w:rsidR="005624D7">
        <w:rPr>
          <w:rFonts w:ascii="Arial" w:hAnsi="Arial" w:cs="Arial"/>
          <w:sz w:val="20"/>
          <w:szCs w:val="20"/>
        </w:rPr>
        <w:t>protihráči</w:t>
      </w:r>
      <w:r w:rsidR="00F61408">
        <w:rPr>
          <w:rFonts w:ascii="Arial" w:hAnsi="Arial" w:cs="Arial"/>
          <w:sz w:val="20"/>
          <w:szCs w:val="20"/>
        </w:rPr>
        <w:t xml:space="preserve"> (údaj za rok 2012)</w:t>
      </w:r>
      <w:r>
        <w:rPr>
          <w:rFonts w:ascii="Arial" w:hAnsi="Arial" w:cs="Arial"/>
          <w:sz w:val="20"/>
          <w:szCs w:val="20"/>
        </w:rPr>
        <w:t xml:space="preserve">. </w:t>
      </w:r>
    </w:p>
    <w:p w:rsidR="00C75B01" w:rsidRPr="008A7371" w:rsidRDefault="00C75B01" w:rsidP="00C75B01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8A7371">
        <w:rPr>
          <w:rFonts w:ascii="Arial" w:hAnsi="Arial" w:cs="Arial"/>
          <w:sz w:val="20"/>
          <w:szCs w:val="20"/>
        </w:rPr>
        <w:t>Z dalších činností provozovaných na internetu rozhodně stojí za z</w:t>
      </w:r>
      <w:r>
        <w:rPr>
          <w:rFonts w:ascii="Arial" w:hAnsi="Arial" w:cs="Arial"/>
          <w:sz w:val="20"/>
          <w:szCs w:val="20"/>
        </w:rPr>
        <w:t xml:space="preserve">mínku používání internetového </w:t>
      </w:r>
      <w:r w:rsidRPr="008A7371">
        <w:rPr>
          <w:rFonts w:ascii="Arial" w:hAnsi="Arial" w:cs="Arial"/>
          <w:sz w:val="20"/>
          <w:szCs w:val="20"/>
        </w:rPr>
        <w:t>bankovnictví. Ve 2. čtvrtletí roku 201</w:t>
      </w:r>
      <w:r w:rsidR="00C46008">
        <w:rPr>
          <w:rFonts w:ascii="Arial" w:hAnsi="Arial" w:cs="Arial"/>
          <w:sz w:val="20"/>
          <w:szCs w:val="20"/>
        </w:rPr>
        <w:t>3 jej používalo 3,4</w:t>
      </w:r>
      <w:r w:rsidRPr="008A7371">
        <w:rPr>
          <w:rFonts w:ascii="Arial" w:hAnsi="Arial" w:cs="Arial"/>
          <w:sz w:val="20"/>
          <w:szCs w:val="20"/>
        </w:rPr>
        <w:t xml:space="preserve"> mil jednotlivců (</w:t>
      </w:r>
      <w:r w:rsidR="00C46008">
        <w:rPr>
          <w:rFonts w:ascii="Arial" w:hAnsi="Arial" w:cs="Arial"/>
          <w:sz w:val="20"/>
          <w:szCs w:val="20"/>
        </w:rPr>
        <w:t>téměř 40 %</w:t>
      </w:r>
      <w:r>
        <w:rPr>
          <w:rFonts w:ascii="Arial" w:hAnsi="Arial" w:cs="Arial"/>
          <w:sz w:val="20"/>
          <w:szCs w:val="20"/>
        </w:rPr>
        <w:t xml:space="preserve"> </w:t>
      </w:r>
      <w:r w:rsidR="00B56695">
        <w:rPr>
          <w:rFonts w:ascii="Arial" w:hAnsi="Arial" w:cs="Arial"/>
          <w:sz w:val="20"/>
          <w:szCs w:val="20"/>
        </w:rPr>
        <w:t>dospělé populace</w:t>
      </w:r>
      <w:r>
        <w:rPr>
          <w:rFonts w:ascii="Arial" w:hAnsi="Arial" w:cs="Arial"/>
          <w:sz w:val="20"/>
          <w:szCs w:val="20"/>
        </w:rPr>
        <w:t xml:space="preserve"> a </w:t>
      </w:r>
      <w:r w:rsidR="00C46008">
        <w:rPr>
          <w:rFonts w:ascii="Arial" w:hAnsi="Arial" w:cs="Arial"/>
          <w:sz w:val="20"/>
          <w:szCs w:val="20"/>
        </w:rPr>
        <w:t>56 %</w:t>
      </w:r>
      <w:r w:rsidRPr="008A7371">
        <w:rPr>
          <w:rFonts w:ascii="Arial" w:hAnsi="Arial" w:cs="Arial"/>
          <w:sz w:val="20"/>
          <w:szCs w:val="20"/>
        </w:rPr>
        <w:t xml:space="preserve"> uživatelů internetu), největší podíl uživatelů internetového bankovnictví je mezi osobami ve 25-54 let. </w:t>
      </w:r>
      <w:r>
        <w:rPr>
          <w:rFonts w:ascii="Arial" w:hAnsi="Arial" w:cs="Arial"/>
          <w:sz w:val="20"/>
          <w:szCs w:val="20"/>
        </w:rPr>
        <w:t>Zajímavé je</w:t>
      </w:r>
      <w:r w:rsidR="005624D7">
        <w:rPr>
          <w:rFonts w:ascii="Arial" w:hAnsi="Arial" w:cs="Arial"/>
          <w:sz w:val="20"/>
          <w:szCs w:val="20"/>
        </w:rPr>
        <w:t xml:space="preserve"> i zjištění</w:t>
      </w:r>
      <w:r>
        <w:rPr>
          <w:rFonts w:ascii="Arial" w:hAnsi="Arial" w:cs="Arial"/>
          <w:sz w:val="20"/>
          <w:szCs w:val="20"/>
        </w:rPr>
        <w:t>, že mezi uživatel</w:t>
      </w:r>
      <w:r w:rsidR="00C46008">
        <w:rPr>
          <w:rFonts w:ascii="Arial" w:hAnsi="Arial" w:cs="Arial"/>
          <w:sz w:val="20"/>
          <w:szCs w:val="20"/>
        </w:rPr>
        <w:t>i internetu ve věkové skupině 65-7</w:t>
      </w:r>
      <w:r>
        <w:rPr>
          <w:rFonts w:ascii="Arial" w:hAnsi="Arial" w:cs="Arial"/>
          <w:sz w:val="20"/>
          <w:szCs w:val="20"/>
        </w:rPr>
        <w:t xml:space="preserve">4 let </w:t>
      </w:r>
      <w:r w:rsidR="00C46008">
        <w:rPr>
          <w:rFonts w:ascii="Arial" w:hAnsi="Arial" w:cs="Arial"/>
          <w:sz w:val="20"/>
          <w:szCs w:val="20"/>
        </w:rPr>
        <w:t xml:space="preserve">stejný podíl </w:t>
      </w:r>
      <w:r>
        <w:rPr>
          <w:rFonts w:ascii="Arial" w:hAnsi="Arial" w:cs="Arial"/>
          <w:sz w:val="20"/>
          <w:szCs w:val="20"/>
        </w:rPr>
        <w:t xml:space="preserve">uživatelů internetového bankovnictví </w:t>
      </w:r>
      <w:r w:rsidR="00C46008">
        <w:rPr>
          <w:rFonts w:ascii="Arial" w:hAnsi="Arial" w:cs="Arial"/>
          <w:sz w:val="20"/>
          <w:szCs w:val="20"/>
        </w:rPr>
        <w:t xml:space="preserve">jako </w:t>
      </w:r>
      <w:r>
        <w:rPr>
          <w:rFonts w:ascii="Arial" w:hAnsi="Arial" w:cs="Arial"/>
          <w:sz w:val="20"/>
          <w:szCs w:val="20"/>
        </w:rPr>
        <w:t>mezi mladými uživateli internetu ve věku 16-24 let.</w:t>
      </w:r>
      <w:r w:rsidR="005624D7">
        <w:rPr>
          <w:rFonts w:ascii="Arial" w:hAnsi="Arial" w:cs="Arial"/>
          <w:sz w:val="20"/>
          <w:szCs w:val="20"/>
        </w:rPr>
        <w:t xml:space="preserve"> </w:t>
      </w:r>
    </w:p>
    <w:p w:rsidR="00C75B01" w:rsidRPr="001F525E" w:rsidRDefault="00C75B01" w:rsidP="00C75B01">
      <w:pPr>
        <w:spacing w:before="24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1F525E">
        <w:rPr>
          <w:rFonts w:ascii="Arial" w:hAnsi="Arial" w:cs="Arial"/>
          <w:b/>
          <w:sz w:val="22"/>
          <w:szCs w:val="22"/>
        </w:rPr>
        <w:t>N</w:t>
      </w:r>
      <w:r>
        <w:rPr>
          <w:rFonts w:ascii="Arial" w:hAnsi="Arial" w:cs="Arial"/>
          <w:b/>
          <w:sz w:val="22"/>
          <w:szCs w:val="22"/>
        </w:rPr>
        <w:t>a</w:t>
      </w:r>
      <w:r w:rsidRPr="001F525E">
        <w:rPr>
          <w:rFonts w:ascii="Arial" w:hAnsi="Arial" w:cs="Arial"/>
          <w:b/>
          <w:sz w:val="22"/>
          <w:szCs w:val="22"/>
        </w:rPr>
        <w:t>kup</w:t>
      </w:r>
      <w:r>
        <w:rPr>
          <w:rFonts w:ascii="Arial" w:hAnsi="Arial" w:cs="Arial"/>
          <w:b/>
          <w:sz w:val="22"/>
          <w:szCs w:val="22"/>
        </w:rPr>
        <w:t>ování</w:t>
      </w:r>
      <w:r w:rsidRPr="001F525E">
        <w:rPr>
          <w:rFonts w:ascii="Arial" w:hAnsi="Arial" w:cs="Arial"/>
          <w:b/>
          <w:sz w:val="22"/>
          <w:szCs w:val="22"/>
        </w:rPr>
        <w:t xml:space="preserve"> přes internet</w:t>
      </w:r>
    </w:p>
    <w:p w:rsidR="00C75B01" w:rsidRDefault="00C75B01" w:rsidP="00C75B01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8A7371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</w:t>
      </w:r>
      <w:r w:rsidRPr="008A7371">
        <w:rPr>
          <w:rFonts w:ascii="Arial" w:hAnsi="Arial" w:cs="Arial"/>
          <w:sz w:val="20"/>
          <w:szCs w:val="20"/>
        </w:rPr>
        <w:t> 2. čtvrtletí roku 201</w:t>
      </w:r>
      <w:r w:rsidR="002B359E">
        <w:rPr>
          <w:rFonts w:ascii="Arial" w:hAnsi="Arial" w:cs="Arial"/>
          <w:sz w:val="20"/>
          <w:szCs w:val="20"/>
        </w:rPr>
        <w:t>3</w:t>
      </w:r>
      <w:r w:rsidRPr="008A7371">
        <w:rPr>
          <w:rFonts w:ascii="Arial" w:hAnsi="Arial" w:cs="Arial"/>
          <w:sz w:val="20"/>
          <w:szCs w:val="20"/>
        </w:rPr>
        <w:t xml:space="preserve"> </w:t>
      </w:r>
      <w:r w:rsidR="002B359E">
        <w:rPr>
          <w:rFonts w:ascii="Arial" w:hAnsi="Arial" w:cs="Arial"/>
          <w:sz w:val="20"/>
          <w:szCs w:val="20"/>
        </w:rPr>
        <w:t>uvedlo téměř 3 miliony Čechů</w:t>
      </w:r>
      <w:r>
        <w:rPr>
          <w:rFonts w:ascii="Arial" w:hAnsi="Arial" w:cs="Arial"/>
          <w:sz w:val="20"/>
          <w:szCs w:val="20"/>
        </w:rPr>
        <w:t>, tedy 3</w:t>
      </w:r>
      <w:r w:rsidR="002B359E">
        <w:rPr>
          <w:rFonts w:ascii="Arial" w:hAnsi="Arial" w:cs="Arial"/>
          <w:sz w:val="20"/>
          <w:szCs w:val="20"/>
        </w:rPr>
        <w:t>4</w:t>
      </w:r>
      <w:r w:rsidRPr="008A7371">
        <w:rPr>
          <w:rFonts w:ascii="Arial" w:hAnsi="Arial" w:cs="Arial"/>
          <w:sz w:val="20"/>
          <w:szCs w:val="20"/>
        </w:rPr>
        <w:t> % z celkového počtu obyvatel ČR a 4</w:t>
      </w:r>
      <w:r w:rsidR="002B359E">
        <w:rPr>
          <w:rFonts w:ascii="Arial" w:hAnsi="Arial" w:cs="Arial"/>
          <w:sz w:val="20"/>
          <w:szCs w:val="20"/>
        </w:rPr>
        <w:t>9</w:t>
      </w:r>
      <w:r w:rsidRPr="008A7371">
        <w:rPr>
          <w:rFonts w:ascii="Arial" w:hAnsi="Arial" w:cs="Arial"/>
          <w:sz w:val="20"/>
          <w:szCs w:val="20"/>
        </w:rPr>
        <w:t> % z celkového počtu uživatelů internetu</w:t>
      </w:r>
      <w:r>
        <w:rPr>
          <w:rFonts w:ascii="Arial" w:hAnsi="Arial" w:cs="Arial"/>
          <w:sz w:val="20"/>
          <w:szCs w:val="20"/>
        </w:rPr>
        <w:t xml:space="preserve">, že </w:t>
      </w:r>
      <w:r w:rsidRPr="008A7371">
        <w:rPr>
          <w:rFonts w:ascii="Arial" w:hAnsi="Arial" w:cs="Arial"/>
          <w:sz w:val="20"/>
          <w:szCs w:val="20"/>
        </w:rPr>
        <w:t xml:space="preserve">nakoupilo </w:t>
      </w:r>
      <w:r>
        <w:rPr>
          <w:rFonts w:ascii="Arial" w:hAnsi="Arial" w:cs="Arial"/>
          <w:sz w:val="20"/>
          <w:szCs w:val="20"/>
        </w:rPr>
        <w:t xml:space="preserve">v uplynulých 12 měsících </w:t>
      </w:r>
      <w:r w:rsidR="00FE2DD1">
        <w:rPr>
          <w:rFonts w:ascii="Arial" w:hAnsi="Arial" w:cs="Arial"/>
          <w:sz w:val="20"/>
          <w:szCs w:val="20"/>
        </w:rPr>
        <w:t>přes internet. Mezi </w:t>
      </w:r>
      <w:r w:rsidRPr="008A7371">
        <w:rPr>
          <w:rFonts w:ascii="Arial" w:hAnsi="Arial" w:cs="Arial"/>
          <w:sz w:val="20"/>
          <w:szCs w:val="20"/>
        </w:rPr>
        <w:t>nakupujícími přes internet nepatrně převažují ženy nad</w:t>
      </w:r>
      <w:r w:rsidR="00FE2DD1">
        <w:rPr>
          <w:rFonts w:ascii="Arial" w:hAnsi="Arial" w:cs="Arial"/>
          <w:sz w:val="20"/>
          <w:szCs w:val="20"/>
        </w:rPr>
        <w:t xml:space="preserve"> muži (pokud hodnotíme podíl na </w:t>
      </w:r>
      <w:r w:rsidRPr="008A7371">
        <w:rPr>
          <w:rFonts w:ascii="Arial" w:hAnsi="Arial" w:cs="Arial"/>
          <w:sz w:val="20"/>
          <w:szCs w:val="20"/>
        </w:rPr>
        <w:t>uživatelích internetu)</w:t>
      </w:r>
      <w:r w:rsidR="00460850">
        <w:rPr>
          <w:rFonts w:ascii="Arial" w:hAnsi="Arial" w:cs="Arial"/>
          <w:sz w:val="20"/>
          <w:szCs w:val="20"/>
        </w:rPr>
        <w:t>.</w:t>
      </w:r>
      <w:r w:rsidRPr="008A7371">
        <w:rPr>
          <w:rFonts w:ascii="Arial" w:hAnsi="Arial" w:cs="Arial"/>
          <w:sz w:val="20"/>
          <w:szCs w:val="20"/>
        </w:rPr>
        <w:t xml:space="preserve"> </w:t>
      </w:r>
      <w:r w:rsidR="00460850">
        <w:rPr>
          <w:rFonts w:ascii="Arial" w:hAnsi="Arial" w:cs="Arial"/>
          <w:sz w:val="20"/>
          <w:szCs w:val="20"/>
        </w:rPr>
        <w:t>P</w:t>
      </w:r>
      <w:r w:rsidR="00460850" w:rsidRPr="008A7371">
        <w:rPr>
          <w:rFonts w:ascii="Arial" w:hAnsi="Arial" w:cs="Arial"/>
          <w:sz w:val="20"/>
          <w:szCs w:val="20"/>
        </w:rPr>
        <w:t xml:space="preserve">řes internet </w:t>
      </w:r>
      <w:r w:rsidRPr="008A7371">
        <w:rPr>
          <w:rFonts w:ascii="Arial" w:hAnsi="Arial" w:cs="Arial"/>
          <w:sz w:val="20"/>
          <w:szCs w:val="20"/>
        </w:rPr>
        <w:t xml:space="preserve">nejčastěji nakupují </w:t>
      </w:r>
      <w:r w:rsidR="00C122FA">
        <w:rPr>
          <w:rFonts w:ascii="Arial" w:hAnsi="Arial" w:cs="Arial"/>
          <w:sz w:val="20"/>
          <w:szCs w:val="20"/>
        </w:rPr>
        <w:t>vysokoškoláci a osoby ve věku 25</w:t>
      </w:r>
      <w:r w:rsidRPr="008A7371">
        <w:rPr>
          <w:rFonts w:ascii="Arial" w:hAnsi="Arial" w:cs="Arial"/>
          <w:sz w:val="20"/>
          <w:szCs w:val="20"/>
        </w:rPr>
        <w:t>–34 let.</w:t>
      </w:r>
      <w:r>
        <w:rPr>
          <w:rFonts w:ascii="Arial" w:hAnsi="Arial" w:cs="Arial"/>
          <w:sz w:val="20"/>
          <w:szCs w:val="20"/>
        </w:rPr>
        <w:t xml:space="preserve"> Zvláštní skupinou jsou pak ženy na rodičovské dovolené, těch přes inter</w:t>
      </w:r>
      <w:r w:rsidR="00BA496F">
        <w:rPr>
          <w:rFonts w:ascii="Arial" w:hAnsi="Arial" w:cs="Arial"/>
          <w:sz w:val="20"/>
          <w:szCs w:val="20"/>
        </w:rPr>
        <w:t>net nakupuje zhruba 55 % (62</w:t>
      </w:r>
      <w:r w:rsidR="00460850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% uživatelek internetu).</w:t>
      </w:r>
    </w:p>
    <w:p w:rsidR="00B56695" w:rsidRPr="00460850" w:rsidRDefault="002B359E" w:rsidP="00460850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Asi pětina osob (62 % těch</w:t>
      </w:r>
      <w:r w:rsidR="00C75B01">
        <w:rPr>
          <w:rFonts w:ascii="Arial" w:hAnsi="Arial" w:cs="Arial"/>
          <w:sz w:val="20"/>
          <w:szCs w:val="20"/>
        </w:rPr>
        <w:t>, kteří nakoupili v posledních 12 měsících přes internet</w:t>
      </w:r>
      <w:r>
        <w:rPr>
          <w:rFonts w:ascii="Arial" w:hAnsi="Arial" w:cs="Arial"/>
          <w:sz w:val="20"/>
          <w:szCs w:val="20"/>
        </w:rPr>
        <w:t>)</w:t>
      </w:r>
      <w:r w:rsidR="00C75B01">
        <w:rPr>
          <w:rFonts w:ascii="Arial" w:hAnsi="Arial" w:cs="Arial"/>
          <w:sz w:val="20"/>
          <w:szCs w:val="20"/>
        </w:rPr>
        <w:t xml:space="preserve"> pak také uvedla, že nakoupila přes nějaký slevový portál. Nákup na slevových portálech je dominantou spíš mladších </w:t>
      </w:r>
      <w:r w:rsidR="00BA496F">
        <w:rPr>
          <w:rFonts w:ascii="Arial" w:hAnsi="Arial" w:cs="Arial"/>
          <w:sz w:val="20"/>
          <w:szCs w:val="20"/>
        </w:rPr>
        <w:t xml:space="preserve">věkových </w:t>
      </w:r>
      <w:r w:rsidR="00C75B01">
        <w:rPr>
          <w:rFonts w:ascii="Arial" w:hAnsi="Arial" w:cs="Arial"/>
          <w:sz w:val="20"/>
          <w:szCs w:val="20"/>
        </w:rPr>
        <w:t xml:space="preserve">skupin – nejčastěji je využívají osoby </w:t>
      </w:r>
      <w:r w:rsidR="00BA496F">
        <w:rPr>
          <w:rFonts w:ascii="Arial" w:hAnsi="Arial" w:cs="Arial"/>
          <w:sz w:val="20"/>
          <w:szCs w:val="20"/>
        </w:rPr>
        <w:t>do</w:t>
      </w:r>
      <w:r w:rsidR="00C75B01">
        <w:rPr>
          <w:rFonts w:ascii="Arial" w:hAnsi="Arial" w:cs="Arial"/>
          <w:sz w:val="20"/>
          <w:szCs w:val="20"/>
        </w:rPr>
        <w:t xml:space="preserve"> 45 let.</w:t>
      </w:r>
    </w:p>
    <w:p w:rsidR="00F674E8" w:rsidRDefault="002B359E" w:rsidP="00BB063C">
      <w:pPr>
        <w:spacing w:before="180" w:line="288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>Graf 1</w:t>
      </w:r>
      <w:r w:rsidR="00FF73FC">
        <w:rPr>
          <w:rFonts w:ascii="Arial" w:hAnsi="Arial" w:cs="Arial"/>
          <w:b/>
          <w:noProof/>
          <w:sz w:val="20"/>
          <w:szCs w:val="20"/>
        </w:rPr>
        <w:t>2</w:t>
      </w:r>
      <w:r w:rsidR="00F674E8" w:rsidRPr="00BB063C">
        <w:rPr>
          <w:rFonts w:ascii="Arial" w:hAnsi="Arial" w:cs="Arial"/>
          <w:b/>
          <w:noProof/>
          <w:sz w:val="20"/>
          <w:szCs w:val="20"/>
        </w:rPr>
        <w:t>: Jednotlivci nakupující přes internet</w:t>
      </w:r>
      <w:r w:rsidR="00BB063C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BB063C" w:rsidRPr="00051967">
        <w:rPr>
          <w:rFonts w:ascii="Arial" w:hAnsi="Arial" w:cs="Arial"/>
          <w:i/>
          <w:sz w:val="20"/>
          <w:szCs w:val="20"/>
        </w:rPr>
        <w:t xml:space="preserve">(% jednotlivců v dané </w:t>
      </w:r>
      <w:proofErr w:type="spellStart"/>
      <w:r w:rsidR="00BB063C" w:rsidRPr="00051967">
        <w:rPr>
          <w:rFonts w:ascii="Arial" w:hAnsi="Arial" w:cs="Arial"/>
          <w:i/>
          <w:sz w:val="20"/>
          <w:szCs w:val="20"/>
        </w:rPr>
        <w:t>socio</w:t>
      </w:r>
      <w:proofErr w:type="spellEnd"/>
      <w:r w:rsidR="00BB063C" w:rsidRPr="00051967">
        <w:rPr>
          <w:rFonts w:ascii="Arial" w:hAnsi="Arial" w:cs="Arial"/>
          <w:i/>
          <w:sz w:val="20"/>
          <w:szCs w:val="20"/>
        </w:rPr>
        <w:t>-demografické skupině)</w:t>
      </w:r>
    </w:p>
    <w:p w:rsidR="002B359E" w:rsidRPr="00BB063C" w:rsidRDefault="002B359E" w:rsidP="00BB063C">
      <w:pPr>
        <w:spacing w:before="180" w:line="288" w:lineRule="auto"/>
        <w:jc w:val="both"/>
        <w:rPr>
          <w:rFonts w:ascii="Arial" w:hAnsi="Arial" w:cs="Arial"/>
          <w:b/>
          <w:noProof/>
          <w:sz w:val="20"/>
          <w:szCs w:val="20"/>
        </w:rPr>
      </w:pPr>
      <w:r w:rsidRPr="002B359E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5760720" cy="2578421"/>
            <wp:effectExtent l="0" t="0" r="0" b="0"/>
            <wp:docPr id="42" name="Graf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DF3109" w:rsidRPr="00DF3109" w:rsidRDefault="00DF3109" w:rsidP="00DF3109">
      <w:pPr>
        <w:spacing w:after="200" w:line="288" w:lineRule="auto"/>
        <w:jc w:val="both"/>
        <w:rPr>
          <w:rFonts w:ascii="Arial" w:hAnsi="Arial" w:cs="Arial"/>
          <w:sz w:val="18"/>
          <w:szCs w:val="18"/>
        </w:rPr>
      </w:pPr>
      <w:r w:rsidRPr="00DF3109">
        <w:rPr>
          <w:rFonts w:ascii="Arial" w:hAnsi="Arial" w:cs="Arial"/>
          <w:i/>
          <w:sz w:val="18"/>
          <w:szCs w:val="18"/>
        </w:rPr>
        <w:t>Zdroj: Český statistický úřad, 201</w:t>
      </w:r>
      <w:r w:rsidR="002B359E">
        <w:rPr>
          <w:rFonts w:ascii="Arial" w:hAnsi="Arial" w:cs="Arial"/>
          <w:i/>
          <w:sz w:val="18"/>
          <w:szCs w:val="18"/>
        </w:rPr>
        <w:t>3</w:t>
      </w:r>
    </w:p>
    <w:p w:rsidR="00C75B01" w:rsidRDefault="00C75B01" w:rsidP="00C75B01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8A7371">
        <w:rPr>
          <w:rFonts w:ascii="Arial" w:hAnsi="Arial" w:cs="Arial"/>
          <w:sz w:val="20"/>
          <w:szCs w:val="20"/>
        </w:rPr>
        <w:t>Nejčastěj</w:t>
      </w:r>
      <w:r w:rsidR="003C04D5">
        <w:rPr>
          <w:rFonts w:ascii="Arial" w:hAnsi="Arial" w:cs="Arial"/>
          <w:sz w:val="20"/>
          <w:szCs w:val="20"/>
        </w:rPr>
        <w:t>i uváděným</w:t>
      </w:r>
      <w:r w:rsidRPr="008A7371">
        <w:rPr>
          <w:rFonts w:ascii="Arial" w:hAnsi="Arial" w:cs="Arial"/>
          <w:sz w:val="20"/>
          <w:szCs w:val="20"/>
        </w:rPr>
        <w:t xml:space="preserve"> zbožím nakupovaným přes internet je</w:t>
      </w:r>
      <w:r w:rsidR="002B359E">
        <w:rPr>
          <w:rFonts w:ascii="Arial" w:hAnsi="Arial" w:cs="Arial"/>
          <w:sz w:val="20"/>
          <w:szCs w:val="20"/>
        </w:rPr>
        <w:t xml:space="preserve"> jednoznačně oblečení a obuv (47</w:t>
      </w:r>
      <w:r w:rsidRPr="008A7371">
        <w:rPr>
          <w:rFonts w:ascii="Arial" w:hAnsi="Arial" w:cs="Arial"/>
          <w:sz w:val="20"/>
          <w:szCs w:val="20"/>
        </w:rPr>
        <w:t xml:space="preserve"> % </w:t>
      </w:r>
      <w:r>
        <w:rPr>
          <w:rFonts w:ascii="Arial" w:hAnsi="Arial" w:cs="Arial"/>
          <w:sz w:val="20"/>
          <w:szCs w:val="20"/>
        </w:rPr>
        <w:t xml:space="preserve">z těch, co nakoupili přes internet). </w:t>
      </w:r>
      <w:r w:rsidR="002B359E">
        <w:rPr>
          <w:rFonts w:ascii="Arial" w:hAnsi="Arial" w:cs="Arial"/>
          <w:sz w:val="20"/>
          <w:szCs w:val="20"/>
        </w:rPr>
        <w:t>36 %</w:t>
      </w:r>
      <w:r>
        <w:rPr>
          <w:rFonts w:ascii="Arial" w:hAnsi="Arial" w:cs="Arial"/>
          <w:sz w:val="20"/>
          <w:szCs w:val="20"/>
        </w:rPr>
        <w:t xml:space="preserve"> </w:t>
      </w:r>
      <w:r w:rsidRPr="008A7371">
        <w:rPr>
          <w:rFonts w:ascii="Arial" w:hAnsi="Arial" w:cs="Arial"/>
          <w:sz w:val="20"/>
          <w:szCs w:val="20"/>
        </w:rPr>
        <w:t>těch, kteří nakoupili v posledních 12 měsících přes internet pro soukromé účely, si objednalo vstupenky na kulturní či sportovní akce. Mezi další zboží, které se těší oblibě nakupujících přes internet</w:t>
      </w:r>
      <w:r>
        <w:rPr>
          <w:rFonts w:ascii="Arial" w:hAnsi="Arial" w:cs="Arial"/>
          <w:sz w:val="20"/>
          <w:szCs w:val="20"/>
        </w:rPr>
        <w:t>,</w:t>
      </w:r>
      <w:r w:rsidRPr="008A7371">
        <w:rPr>
          <w:rFonts w:ascii="Arial" w:hAnsi="Arial" w:cs="Arial"/>
          <w:sz w:val="20"/>
          <w:szCs w:val="20"/>
        </w:rPr>
        <w:t xml:space="preserve"> patří kosmet</w:t>
      </w:r>
      <w:r w:rsidR="00BA496F">
        <w:rPr>
          <w:rFonts w:ascii="Arial" w:hAnsi="Arial" w:cs="Arial"/>
          <w:sz w:val="20"/>
          <w:szCs w:val="20"/>
        </w:rPr>
        <w:t>ika a</w:t>
      </w:r>
      <w:r w:rsidR="002B359E">
        <w:rPr>
          <w:rFonts w:ascii="Arial" w:hAnsi="Arial" w:cs="Arial"/>
          <w:sz w:val="20"/>
          <w:szCs w:val="20"/>
        </w:rPr>
        <w:t xml:space="preserve"> zdravotnické prostředky (</w:t>
      </w:r>
      <w:r w:rsidR="00BA496F">
        <w:rPr>
          <w:rFonts w:ascii="Arial" w:hAnsi="Arial" w:cs="Arial"/>
          <w:sz w:val="20"/>
          <w:szCs w:val="20"/>
        </w:rPr>
        <w:t xml:space="preserve">dohromady </w:t>
      </w:r>
      <w:r w:rsidR="002B359E">
        <w:rPr>
          <w:rFonts w:ascii="Arial" w:hAnsi="Arial" w:cs="Arial"/>
          <w:sz w:val="20"/>
          <w:szCs w:val="20"/>
        </w:rPr>
        <w:t>25</w:t>
      </w:r>
      <w:r w:rsidR="00AD09D9">
        <w:rPr>
          <w:rFonts w:ascii="Arial" w:hAnsi="Arial" w:cs="Arial"/>
          <w:sz w:val="20"/>
          <w:szCs w:val="20"/>
        </w:rPr>
        <w:t> %) a </w:t>
      </w:r>
      <w:r w:rsidRPr="008A7371">
        <w:rPr>
          <w:rFonts w:ascii="Arial" w:hAnsi="Arial" w:cs="Arial"/>
          <w:sz w:val="20"/>
          <w:szCs w:val="20"/>
        </w:rPr>
        <w:t>sportovní potřeby (2</w:t>
      </w:r>
      <w:r w:rsidR="002B359E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 %). </w:t>
      </w:r>
      <w:r w:rsidR="00BA496F">
        <w:rPr>
          <w:rFonts w:ascii="Arial" w:hAnsi="Arial" w:cs="Arial"/>
          <w:sz w:val="20"/>
          <w:szCs w:val="20"/>
        </w:rPr>
        <w:t>Elektroniku (</w:t>
      </w:r>
      <w:r w:rsidR="002B359E">
        <w:rPr>
          <w:rFonts w:ascii="Arial" w:hAnsi="Arial" w:cs="Arial"/>
          <w:sz w:val="20"/>
          <w:szCs w:val="20"/>
        </w:rPr>
        <w:t>včetně m</w:t>
      </w:r>
      <w:r>
        <w:rPr>
          <w:rFonts w:ascii="Arial" w:hAnsi="Arial" w:cs="Arial"/>
          <w:sz w:val="20"/>
          <w:szCs w:val="20"/>
        </w:rPr>
        <w:t>obilní</w:t>
      </w:r>
      <w:r w:rsidR="002B359E">
        <w:rPr>
          <w:rFonts w:ascii="Arial" w:hAnsi="Arial" w:cs="Arial"/>
          <w:sz w:val="20"/>
          <w:szCs w:val="20"/>
        </w:rPr>
        <w:t>ch</w:t>
      </w:r>
      <w:r>
        <w:rPr>
          <w:rFonts w:ascii="Arial" w:hAnsi="Arial" w:cs="Arial"/>
          <w:sz w:val="20"/>
          <w:szCs w:val="20"/>
        </w:rPr>
        <w:t xml:space="preserve"> telefon</w:t>
      </w:r>
      <w:r w:rsidR="002B359E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a příslušenství k</w:t>
      </w:r>
      <w:r w:rsidR="002B359E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nim</w:t>
      </w:r>
      <w:r w:rsidR="002B359E">
        <w:rPr>
          <w:rFonts w:ascii="Arial" w:hAnsi="Arial" w:cs="Arial"/>
          <w:sz w:val="20"/>
          <w:szCs w:val="20"/>
        </w:rPr>
        <w:t xml:space="preserve">) nakoupilo </w:t>
      </w:r>
      <w:r w:rsidR="00BA496F">
        <w:rPr>
          <w:rFonts w:ascii="Arial" w:hAnsi="Arial" w:cs="Arial"/>
          <w:sz w:val="20"/>
          <w:szCs w:val="20"/>
        </w:rPr>
        <w:t>23,2 %</w:t>
      </w:r>
      <w:r>
        <w:rPr>
          <w:rFonts w:ascii="Arial" w:hAnsi="Arial" w:cs="Arial"/>
          <w:sz w:val="20"/>
          <w:szCs w:val="20"/>
        </w:rPr>
        <w:t xml:space="preserve">, </w:t>
      </w:r>
      <w:r w:rsidRPr="008A7371">
        <w:rPr>
          <w:rFonts w:ascii="Arial" w:hAnsi="Arial" w:cs="Arial"/>
          <w:sz w:val="20"/>
          <w:szCs w:val="20"/>
        </w:rPr>
        <w:t xml:space="preserve">knihy/časopisy </w:t>
      </w:r>
      <w:r w:rsidR="002B359E">
        <w:rPr>
          <w:rFonts w:ascii="Arial" w:hAnsi="Arial" w:cs="Arial"/>
          <w:sz w:val="20"/>
          <w:szCs w:val="20"/>
        </w:rPr>
        <w:t>pak necelých 17 % těch</w:t>
      </w:r>
      <w:r>
        <w:rPr>
          <w:rFonts w:ascii="Arial" w:hAnsi="Arial" w:cs="Arial"/>
          <w:sz w:val="20"/>
          <w:szCs w:val="20"/>
        </w:rPr>
        <w:t>, kteří uvedli, že v posledních 12 měsí</w:t>
      </w:r>
      <w:r w:rsidR="002B359E">
        <w:rPr>
          <w:rFonts w:ascii="Arial" w:hAnsi="Arial" w:cs="Arial"/>
          <w:sz w:val="20"/>
          <w:szCs w:val="20"/>
        </w:rPr>
        <w:t>cích nakoupili přes internet. 15</w:t>
      </w:r>
      <w:r>
        <w:rPr>
          <w:rFonts w:ascii="Arial" w:hAnsi="Arial" w:cs="Arial"/>
          <w:sz w:val="20"/>
          <w:szCs w:val="20"/>
        </w:rPr>
        <w:t xml:space="preserve"> % pak nakoupilo také ubytovací služby a 16 % letenky či jízdenky.</w:t>
      </w:r>
    </w:p>
    <w:p w:rsidR="00C75B01" w:rsidRPr="008A7371" w:rsidRDefault="00C75B01" w:rsidP="00C75B01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 již bylo zmíněno, specifickou skupinou osob nakupujících přes internet jsou ženy</w:t>
      </w:r>
      <w:r w:rsidR="00877718">
        <w:rPr>
          <w:rFonts w:ascii="Arial" w:hAnsi="Arial" w:cs="Arial"/>
          <w:sz w:val="20"/>
          <w:szCs w:val="20"/>
        </w:rPr>
        <w:t xml:space="preserve"> na rodičovské dovolené, které nejčastěji nakupují oblečení, hračky, </w:t>
      </w:r>
      <w:r>
        <w:rPr>
          <w:rFonts w:ascii="Arial" w:hAnsi="Arial" w:cs="Arial"/>
          <w:sz w:val="20"/>
          <w:szCs w:val="20"/>
        </w:rPr>
        <w:t>kosmetiku či zdravotnické prostředky a fotoslužby.</w:t>
      </w:r>
    </w:p>
    <w:p w:rsidR="00C75B01" w:rsidRDefault="00C75B01" w:rsidP="00C75B01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8A7371">
        <w:rPr>
          <w:rFonts w:ascii="Arial" w:hAnsi="Arial" w:cs="Arial"/>
          <w:sz w:val="20"/>
          <w:szCs w:val="20"/>
        </w:rPr>
        <w:t>Za zboží nakoupené přes internet pak</w:t>
      </w:r>
      <w:r w:rsidR="00BA496F">
        <w:rPr>
          <w:rFonts w:ascii="Arial" w:hAnsi="Arial" w:cs="Arial"/>
          <w:sz w:val="20"/>
          <w:szCs w:val="20"/>
        </w:rPr>
        <w:t xml:space="preserve"> přímo</w:t>
      </w:r>
      <w:r w:rsidRPr="008A7371">
        <w:rPr>
          <w:rFonts w:ascii="Arial" w:hAnsi="Arial" w:cs="Arial"/>
          <w:sz w:val="20"/>
          <w:szCs w:val="20"/>
        </w:rPr>
        <w:t xml:space="preserve"> prostř</w:t>
      </w:r>
      <w:r w:rsidR="00877718">
        <w:rPr>
          <w:rFonts w:ascii="Arial" w:hAnsi="Arial" w:cs="Arial"/>
          <w:sz w:val="20"/>
          <w:szCs w:val="20"/>
        </w:rPr>
        <w:t>ednictvím internetu zaplatila polovina</w:t>
      </w:r>
      <w:r w:rsidRPr="008A7371">
        <w:rPr>
          <w:rFonts w:ascii="Arial" w:hAnsi="Arial" w:cs="Arial"/>
          <w:sz w:val="20"/>
          <w:szCs w:val="20"/>
        </w:rPr>
        <w:t xml:space="preserve"> osob.</w:t>
      </w:r>
      <w:r w:rsidR="00BA496F">
        <w:rPr>
          <w:rFonts w:ascii="Arial" w:hAnsi="Arial" w:cs="Arial"/>
          <w:sz w:val="20"/>
          <w:szCs w:val="20"/>
        </w:rPr>
        <w:t xml:space="preserve"> Při </w:t>
      </w:r>
      <w:r>
        <w:rPr>
          <w:rFonts w:ascii="Arial" w:hAnsi="Arial" w:cs="Arial"/>
          <w:sz w:val="20"/>
          <w:szCs w:val="20"/>
        </w:rPr>
        <w:t xml:space="preserve">osobním odběru pak </w:t>
      </w:r>
      <w:r w:rsidR="00BA496F">
        <w:rPr>
          <w:rFonts w:ascii="Arial" w:hAnsi="Arial" w:cs="Arial"/>
          <w:sz w:val="20"/>
          <w:szCs w:val="20"/>
        </w:rPr>
        <w:t xml:space="preserve">zboží </w:t>
      </w:r>
      <w:r>
        <w:rPr>
          <w:rFonts w:ascii="Arial" w:hAnsi="Arial" w:cs="Arial"/>
          <w:sz w:val="20"/>
          <w:szCs w:val="20"/>
        </w:rPr>
        <w:t>pla</w:t>
      </w:r>
      <w:r w:rsidR="00877718">
        <w:rPr>
          <w:rFonts w:ascii="Arial" w:hAnsi="Arial" w:cs="Arial"/>
          <w:sz w:val="20"/>
          <w:szCs w:val="20"/>
        </w:rPr>
        <w:t xml:space="preserve">tilo 73 % </w:t>
      </w:r>
      <w:r>
        <w:rPr>
          <w:rFonts w:ascii="Arial" w:hAnsi="Arial" w:cs="Arial"/>
          <w:sz w:val="20"/>
          <w:szCs w:val="20"/>
        </w:rPr>
        <w:t xml:space="preserve">těch, kteří </w:t>
      </w:r>
      <w:r w:rsidR="00AD09D9">
        <w:rPr>
          <w:rFonts w:ascii="Arial" w:hAnsi="Arial" w:cs="Arial"/>
          <w:sz w:val="20"/>
          <w:szCs w:val="20"/>
        </w:rPr>
        <w:t xml:space="preserve">nakoupili </w:t>
      </w:r>
      <w:r>
        <w:rPr>
          <w:rFonts w:ascii="Arial" w:hAnsi="Arial" w:cs="Arial"/>
          <w:sz w:val="20"/>
          <w:szCs w:val="20"/>
        </w:rPr>
        <w:t>přes internet.</w:t>
      </w:r>
    </w:p>
    <w:p w:rsidR="00A51256" w:rsidRPr="00877718" w:rsidRDefault="00A51256" w:rsidP="00877718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Devět</w:t>
      </w:r>
      <w:r w:rsidR="00C75B01">
        <w:rPr>
          <w:rFonts w:ascii="Arial" w:hAnsi="Arial" w:cs="Arial"/>
          <w:sz w:val="20"/>
          <w:szCs w:val="20"/>
        </w:rPr>
        <w:t xml:space="preserve"> z deseti nakupujících přes internet pak uvedlo, že nakoupilo zboží </w:t>
      </w:r>
      <w:r w:rsidR="00877718">
        <w:rPr>
          <w:rFonts w:ascii="Arial" w:hAnsi="Arial" w:cs="Arial"/>
          <w:sz w:val="20"/>
          <w:szCs w:val="20"/>
        </w:rPr>
        <w:t>od dodavatele z České republiky.</w:t>
      </w:r>
    </w:p>
    <w:p w:rsidR="005E1CC5" w:rsidRDefault="00A51256" w:rsidP="005E1CC5">
      <w:pPr>
        <w:spacing w:before="180" w:line="288" w:lineRule="auto"/>
        <w:jc w:val="both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>Gr</w:t>
      </w:r>
      <w:r w:rsidR="00F674E8" w:rsidRPr="005E1CC5">
        <w:rPr>
          <w:rFonts w:ascii="Arial" w:hAnsi="Arial" w:cs="Arial"/>
          <w:b/>
          <w:noProof/>
          <w:sz w:val="20"/>
          <w:szCs w:val="20"/>
        </w:rPr>
        <w:t>af 1</w:t>
      </w:r>
      <w:r w:rsidR="00FF73FC">
        <w:rPr>
          <w:rFonts w:ascii="Arial" w:hAnsi="Arial" w:cs="Arial"/>
          <w:b/>
          <w:noProof/>
          <w:sz w:val="20"/>
          <w:szCs w:val="20"/>
        </w:rPr>
        <w:t>3</w:t>
      </w:r>
      <w:r w:rsidR="00F674E8" w:rsidRPr="005E1CC5">
        <w:rPr>
          <w:rFonts w:ascii="Arial" w:hAnsi="Arial" w:cs="Arial"/>
          <w:b/>
          <w:noProof/>
          <w:sz w:val="20"/>
          <w:szCs w:val="20"/>
        </w:rPr>
        <w:t>: Zboží nakoupené přes internet</w:t>
      </w:r>
    </w:p>
    <w:p w:rsidR="00F674E8" w:rsidRPr="00051967" w:rsidRDefault="00F674E8" w:rsidP="005E1CC5">
      <w:pPr>
        <w:spacing w:line="288" w:lineRule="auto"/>
        <w:jc w:val="both"/>
        <w:rPr>
          <w:rFonts w:ascii="Arial" w:hAnsi="Arial" w:cs="Arial"/>
          <w:i/>
          <w:sz w:val="20"/>
          <w:szCs w:val="20"/>
        </w:rPr>
      </w:pPr>
      <w:r w:rsidRPr="00051967">
        <w:rPr>
          <w:rFonts w:ascii="Arial" w:hAnsi="Arial" w:cs="Arial"/>
          <w:i/>
          <w:sz w:val="20"/>
          <w:szCs w:val="20"/>
        </w:rPr>
        <w:t>(% jednotlivců, kteří nakoupili v posledních 12 měsících přes internet)</w:t>
      </w:r>
    </w:p>
    <w:p w:rsidR="00F674E8" w:rsidRDefault="00877718" w:rsidP="00F674E8">
      <w:pPr>
        <w:spacing w:line="288" w:lineRule="auto"/>
        <w:jc w:val="both"/>
        <w:rPr>
          <w:i/>
        </w:rPr>
      </w:pPr>
      <w:r w:rsidRPr="00877718">
        <w:rPr>
          <w:i/>
          <w:noProof/>
        </w:rPr>
        <w:drawing>
          <wp:inline distT="0" distB="0" distL="0" distR="0">
            <wp:extent cx="5467350" cy="3086100"/>
            <wp:effectExtent l="0" t="0" r="0" b="0"/>
            <wp:docPr id="43" name="Graf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9C74FF" w:rsidRPr="009C74FF" w:rsidRDefault="00DF3109" w:rsidP="00C75B01">
      <w:pPr>
        <w:spacing w:after="20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DF3109">
        <w:rPr>
          <w:rFonts w:ascii="Arial" w:hAnsi="Arial" w:cs="Arial"/>
          <w:i/>
          <w:sz w:val="18"/>
          <w:szCs w:val="18"/>
        </w:rPr>
        <w:t>Zd</w:t>
      </w:r>
      <w:r w:rsidR="000A28D6">
        <w:rPr>
          <w:rFonts w:ascii="Arial" w:hAnsi="Arial" w:cs="Arial"/>
          <w:i/>
          <w:sz w:val="18"/>
          <w:szCs w:val="18"/>
        </w:rPr>
        <w:t>roj: Č</w:t>
      </w:r>
      <w:r w:rsidR="00877718">
        <w:rPr>
          <w:rFonts w:ascii="Arial" w:hAnsi="Arial" w:cs="Arial"/>
          <w:i/>
          <w:sz w:val="18"/>
          <w:szCs w:val="18"/>
        </w:rPr>
        <w:t>eský statistický úřad, 2013</w:t>
      </w:r>
    </w:p>
    <w:p w:rsidR="009C74FF" w:rsidRPr="001F525E" w:rsidRDefault="004123FC" w:rsidP="009C74FF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Přístup a připojení k internetu prostřednictvím mobilních a přenosných zařízení</w:t>
      </w:r>
    </w:p>
    <w:p w:rsidR="00B56695" w:rsidRDefault="00550609" w:rsidP="00C75B01">
      <w:pPr>
        <w:spacing w:after="20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roce 2013 bylo podruhé šetřeno využívání mobilních </w:t>
      </w:r>
      <w:r w:rsidR="00BA496F">
        <w:rPr>
          <w:rFonts w:ascii="Arial" w:hAnsi="Arial" w:cs="Arial"/>
          <w:sz w:val="20"/>
          <w:szCs w:val="20"/>
        </w:rPr>
        <w:t>a přenosných zařízení a přístup</w:t>
      </w:r>
      <w:r>
        <w:rPr>
          <w:rFonts w:ascii="Arial" w:hAnsi="Arial" w:cs="Arial"/>
          <w:sz w:val="20"/>
          <w:szCs w:val="20"/>
        </w:rPr>
        <w:t xml:space="preserve"> z těchto zařízení ke službám internetu.</w:t>
      </w:r>
      <w:r w:rsidR="00C75B01">
        <w:rPr>
          <w:rFonts w:ascii="Arial" w:hAnsi="Arial" w:cs="Arial"/>
          <w:sz w:val="20"/>
          <w:szCs w:val="20"/>
        </w:rPr>
        <w:t xml:space="preserve"> </w:t>
      </w:r>
    </w:p>
    <w:p w:rsidR="004A5670" w:rsidRDefault="004A5670" w:rsidP="00E35E19">
      <w:pPr>
        <w:spacing w:line="288" w:lineRule="auto"/>
        <w:jc w:val="both"/>
        <w:rPr>
          <w:rFonts w:ascii="Arial" w:hAnsi="Arial" w:cs="Arial"/>
          <w:b/>
          <w:noProof/>
          <w:sz w:val="20"/>
          <w:szCs w:val="20"/>
        </w:rPr>
        <w:sectPr w:rsidR="004A5670" w:rsidSect="008636E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50609" w:rsidRDefault="00BF636B" w:rsidP="004A5670">
      <w:pPr>
        <w:spacing w:after="20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Ke </w:t>
      </w:r>
      <w:r w:rsidR="004A5670">
        <w:rPr>
          <w:rFonts w:ascii="Arial" w:hAnsi="Arial" w:cs="Arial"/>
          <w:sz w:val="20"/>
          <w:szCs w:val="20"/>
        </w:rPr>
        <w:t xml:space="preserve">službám internetu </w:t>
      </w:r>
      <w:r w:rsidR="00550609">
        <w:rPr>
          <w:rFonts w:ascii="Arial" w:hAnsi="Arial" w:cs="Arial"/>
          <w:sz w:val="20"/>
          <w:szCs w:val="20"/>
        </w:rPr>
        <w:t>přistupovala v roce 2013</w:t>
      </w:r>
      <w:r w:rsidR="00BA496F">
        <w:rPr>
          <w:rFonts w:ascii="Arial" w:hAnsi="Arial" w:cs="Arial"/>
          <w:sz w:val="20"/>
          <w:szCs w:val="20"/>
        </w:rPr>
        <w:t xml:space="preserve"> prostřednictvím mobilního telefonu</w:t>
      </w:r>
      <w:r>
        <w:rPr>
          <w:rFonts w:ascii="Arial" w:hAnsi="Arial" w:cs="Arial"/>
          <w:sz w:val="20"/>
          <w:szCs w:val="20"/>
        </w:rPr>
        <w:t xml:space="preserve"> pětina dospělé populace</w:t>
      </w:r>
      <w:r w:rsidR="00F541DD">
        <w:rPr>
          <w:rFonts w:ascii="Arial" w:hAnsi="Arial" w:cs="Arial"/>
          <w:sz w:val="20"/>
          <w:szCs w:val="20"/>
        </w:rPr>
        <w:t xml:space="preserve">, </w:t>
      </w:r>
      <w:r w:rsidR="00BA496F">
        <w:rPr>
          <w:rFonts w:ascii="Arial" w:hAnsi="Arial" w:cs="Arial"/>
          <w:sz w:val="20"/>
          <w:szCs w:val="20"/>
        </w:rPr>
        <w:t>15 </w:t>
      </w:r>
      <w:r w:rsidR="00550609">
        <w:rPr>
          <w:rFonts w:ascii="Arial" w:hAnsi="Arial" w:cs="Arial"/>
          <w:sz w:val="20"/>
          <w:szCs w:val="20"/>
        </w:rPr>
        <w:t xml:space="preserve">% Čechů se připojovalo k internetu mimo domov či pracoviště z notebooku či </w:t>
      </w:r>
      <w:proofErr w:type="spellStart"/>
      <w:r w:rsidR="00550609">
        <w:rPr>
          <w:rFonts w:ascii="Arial" w:hAnsi="Arial" w:cs="Arial"/>
          <w:sz w:val="20"/>
          <w:szCs w:val="20"/>
        </w:rPr>
        <w:t>netbooku</w:t>
      </w:r>
      <w:proofErr w:type="spellEnd"/>
      <w:r w:rsidR="00550609">
        <w:rPr>
          <w:rFonts w:ascii="Arial" w:hAnsi="Arial" w:cs="Arial"/>
          <w:sz w:val="20"/>
          <w:szCs w:val="20"/>
        </w:rPr>
        <w:t>. Necelá 2</w:t>
      </w:r>
      <w:r w:rsidR="00BA496F">
        <w:rPr>
          <w:rFonts w:ascii="Arial" w:hAnsi="Arial" w:cs="Arial"/>
          <w:sz w:val="20"/>
          <w:szCs w:val="20"/>
        </w:rPr>
        <w:t> </w:t>
      </w:r>
      <w:r w:rsidR="00550609">
        <w:rPr>
          <w:rFonts w:ascii="Arial" w:hAnsi="Arial" w:cs="Arial"/>
          <w:sz w:val="20"/>
          <w:szCs w:val="20"/>
        </w:rPr>
        <w:t>% pak z tabletu. Připojen</w:t>
      </w:r>
      <w:r w:rsidR="006857FE">
        <w:rPr>
          <w:rFonts w:ascii="Arial" w:hAnsi="Arial" w:cs="Arial"/>
          <w:sz w:val="20"/>
          <w:szCs w:val="20"/>
        </w:rPr>
        <w:t>í</w:t>
      </w:r>
      <w:r w:rsidR="00550609">
        <w:rPr>
          <w:rFonts w:ascii="Arial" w:hAnsi="Arial" w:cs="Arial"/>
          <w:sz w:val="20"/>
          <w:szCs w:val="20"/>
        </w:rPr>
        <w:t xml:space="preserve"> z přenosných zařízení k inte</w:t>
      </w:r>
      <w:r w:rsidR="00BA496F">
        <w:rPr>
          <w:rFonts w:ascii="Arial" w:hAnsi="Arial" w:cs="Arial"/>
          <w:sz w:val="20"/>
          <w:szCs w:val="20"/>
        </w:rPr>
        <w:t>rnetu je jednoznačně častější u </w:t>
      </w:r>
      <w:r w:rsidR="00550609">
        <w:rPr>
          <w:rFonts w:ascii="Arial" w:hAnsi="Arial" w:cs="Arial"/>
          <w:sz w:val="20"/>
          <w:szCs w:val="20"/>
        </w:rPr>
        <w:t>m</w:t>
      </w:r>
      <w:r w:rsidR="00BA496F">
        <w:rPr>
          <w:rFonts w:ascii="Arial" w:hAnsi="Arial" w:cs="Arial"/>
          <w:sz w:val="20"/>
          <w:szCs w:val="20"/>
        </w:rPr>
        <w:t>ladých osob (do 35 let). Například z mobilního telefonu</w:t>
      </w:r>
      <w:r w:rsidR="00550609">
        <w:rPr>
          <w:rFonts w:ascii="Arial" w:hAnsi="Arial" w:cs="Arial"/>
          <w:sz w:val="20"/>
          <w:szCs w:val="20"/>
        </w:rPr>
        <w:t xml:space="preserve"> či </w:t>
      </w:r>
      <w:proofErr w:type="spellStart"/>
      <w:r w:rsidR="00550609">
        <w:rPr>
          <w:rFonts w:ascii="Arial" w:hAnsi="Arial" w:cs="Arial"/>
          <w:sz w:val="20"/>
          <w:szCs w:val="20"/>
        </w:rPr>
        <w:t>smartphonu</w:t>
      </w:r>
      <w:proofErr w:type="spellEnd"/>
      <w:r w:rsidR="00550609">
        <w:rPr>
          <w:rFonts w:ascii="Arial" w:hAnsi="Arial" w:cs="Arial"/>
          <w:sz w:val="20"/>
          <w:szCs w:val="20"/>
        </w:rPr>
        <w:t xml:space="preserve"> se k internetu připojuje polovina jednotlivců ve věku 16-24 let.</w:t>
      </w:r>
    </w:p>
    <w:p w:rsidR="00550609" w:rsidRDefault="00550609" w:rsidP="004A5670">
      <w:pPr>
        <w:spacing w:after="20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 hlediska </w:t>
      </w:r>
      <w:r w:rsidR="00BA496F">
        <w:rPr>
          <w:rFonts w:ascii="Arial" w:hAnsi="Arial" w:cs="Arial"/>
          <w:sz w:val="20"/>
          <w:szCs w:val="20"/>
        </w:rPr>
        <w:t>frekvence připojení k internetu</w:t>
      </w:r>
      <w:r>
        <w:rPr>
          <w:rFonts w:ascii="Arial" w:hAnsi="Arial" w:cs="Arial"/>
          <w:sz w:val="20"/>
          <w:szCs w:val="20"/>
        </w:rPr>
        <w:t xml:space="preserve"> lze konstatovat, že pakliže má někdo přístup ke službám internetu z mobilního telefonu, tak se nejčastěji připojuje </w:t>
      </w:r>
      <w:r w:rsidR="00BA496F">
        <w:rPr>
          <w:rFonts w:ascii="Arial" w:hAnsi="Arial" w:cs="Arial"/>
          <w:sz w:val="20"/>
          <w:szCs w:val="20"/>
        </w:rPr>
        <w:t>každý den</w:t>
      </w:r>
      <w:r w:rsidR="00386D17">
        <w:rPr>
          <w:rFonts w:ascii="Arial" w:hAnsi="Arial" w:cs="Arial"/>
          <w:sz w:val="20"/>
          <w:szCs w:val="20"/>
        </w:rPr>
        <w:t xml:space="preserve"> či skoro každý den.</w:t>
      </w:r>
    </w:p>
    <w:p w:rsidR="00C75B01" w:rsidRPr="00852D84" w:rsidRDefault="00386D17" w:rsidP="005E1CC5">
      <w:pPr>
        <w:spacing w:after="20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 loňského průzkumu pak vyplynulo, že uživatelé</w:t>
      </w:r>
      <w:r w:rsidR="00D56AAD">
        <w:rPr>
          <w:rFonts w:ascii="Arial" w:hAnsi="Arial" w:cs="Arial"/>
          <w:sz w:val="20"/>
          <w:szCs w:val="20"/>
        </w:rPr>
        <w:t xml:space="preserve"> služeb internetu z mobilních zařízení </w:t>
      </w:r>
      <w:r w:rsidR="004602F6"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z w:val="20"/>
          <w:szCs w:val="20"/>
        </w:rPr>
        <w:t>j nejčastěji využívají k</w:t>
      </w:r>
      <w:r w:rsidR="00D56AAD">
        <w:rPr>
          <w:rFonts w:ascii="Arial" w:hAnsi="Arial" w:cs="Arial"/>
          <w:sz w:val="20"/>
          <w:szCs w:val="20"/>
        </w:rPr>
        <w:t xml:space="preserve"> přijímání/posílání emailů, </w:t>
      </w:r>
      <w:r w:rsidR="00C75B01">
        <w:rPr>
          <w:rFonts w:ascii="Arial" w:hAnsi="Arial" w:cs="Arial"/>
          <w:sz w:val="20"/>
          <w:szCs w:val="20"/>
        </w:rPr>
        <w:t>čtení on-line zpráv</w:t>
      </w:r>
      <w:r w:rsidR="00BA496F">
        <w:rPr>
          <w:rFonts w:ascii="Arial" w:hAnsi="Arial" w:cs="Arial"/>
          <w:sz w:val="20"/>
          <w:szCs w:val="20"/>
        </w:rPr>
        <w:t>,</w:t>
      </w:r>
      <w:r w:rsidR="00D56AAD">
        <w:rPr>
          <w:rFonts w:ascii="Arial" w:hAnsi="Arial" w:cs="Arial"/>
          <w:sz w:val="20"/>
          <w:szCs w:val="20"/>
        </w:rPr>
        <w:t xml:space="preserve"> </w:t>
      </w:r>
      <w:r w:rsidR="00C75B01">
        <w:rPr>
          <w:rFonts w:ascii="Arial" w:hAnsi="Arial" w:cs="Arial"/>
          <w:sz w:val="20"/>
          <w:szCs w:val="20"/>
        </w:rPr>
        <w:t>novin a časopisů</w:t>
      </w:r>
      <w:r>
        <w:rPr>
          <w:rFonts w:ascii="Arial" w:hAnsi="Arial" w:cs="Arial"/>
          <w:sz w:val="20"/>
          <w:szCs w:val="20"/>
        </w:rPr>
        <w:t xml:space="preserve"> a k účasti v sociálních sítích.</w:t>
      </w:r>
    </w:p>
    <w:sectPr w:rsidR="00C75B01" w:rsidRPr="00852D84" w:rsidSect="008636E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434A1"/>
    <w:multiLevelType w:val="hybridMultilevel"/>
    <w:tmpl w:val="A266D594"/>
    <w:lvl w:ilvl="0" w:tplc="5DA4EA7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83745B"/>
    <w:multiLevelType w:val="hybridMultilevel"/>
    <w:tmpl w:val="574E9C20"/>
    <w:lvl w:ilvl="0" w:tplc="003083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F674E8"/>
    <w:rsid w:val="00026020"/>
    <w:rsid w:val="00030FFA"/>
    <w:rsid w:val="00051967"/>
    <w:rsid w:val="000531D6"/>
    <w:rsid w:val="000A28D6"/>
    <w:rsid w:val="000A3FA8"/>
    <w:rsid w:val="000C6CBE"/>
    <w:rsid w:val="000C7A17"/>
    <w:rsid w:val="000D45EF"/>
    <w:rsid w:val="000D6B2A"/>
    <w:rsid w:val="000F3C99"/>
    <w:rsid w:val="0010544A"/>
    <w:rsid w:val="0011121E"/>
    <w:rsid w:val="0011320C"/>
    <w:rsid w:val="001618D0"/>
    <w:rsid w:val="0018594E"/>
    <w:rsid w:val="001D14C2"/>
    <w:rsid w:val="001E794A"/>
    <w:rsid w:val="001F525E"/>
    <w:rsid w:val="001F5EE6"/>
    <w:rsid w:val="0020053D"/>
    <w:rsid w:val="002032F1"/>
    <w:rsid w:val="002074B8"/>
    <w:rsid w:val="00223151"/>
    <w:rsid w:val="002332EE"/>
    <w:rsid w:val="00240056"/>
    <w:rsid w:val="00246112"/>
    <w:rsid w:val="00257F4A"/>
    <w:rsid w:val="0027505D"/>
    <w:rsid w:val="0028691A"/>
    <w:rsid w:val="00291BAA"/>
    <w:rsid w:val="002B359E"/>
    <w:rsid w:val="002B6A79"/>
    <w:rsid w:val="002D4B83"/>
    <w:rsid w:val="002E7594"/>
    <w:rsid w:val="003004B7"/>
    <w:rsid w:val="003041B1"/>
    <w:rsid w:val="00306DC9"/>
    <w:rsid w:val="0033653E"/>
    <w:rsid w:val="00386D17"/>
    <w:rsid w:val="003977C2"/>
    <w:rsid w:val="003A7A4B"/>
    <w:rsid w:val="003C04D5"/>
    <w:rsid w:val="003E0114"/>
    <w:rsid w:val="00401452"/>
    <w:rsid w:val="004123FC"/>
    <w:rsid w:val="00412540"/>
    <w:rsid w:val="0041309D"/>
    <w:rsid w:val="00436899"/>
    <w:rsid w:val="004508CE"/>
    <w:rsid w:val="004602F6"/>
    <w:rsid w:val="00460850"/>
    <w:rsid w:val="0047408F"/>
    <w:rsid w:val="00485C5D"/>
    <w:rsid w:val="00493E9D"/>
    <w:rsid w:val="0049674F"/>
    <w:rsid w:val="004A5670"/>
    <w:rsid w:val="004B2187"/>
    <w:rsid w:val="004C085E"/>
    <w:rsid w:val="004D2067"/>
    <w:rsid w:val="004E62C0"/>
    <w:rsid w:val="004F6EAB"/>
    <w:rsid w:val="00504073"/>
    <w:rsid w:val="00505C12"/>
    <w:rsid w:val="00513920"/>
    <w:rsid w:val="00550609"/>
    <w:rsid w:val="005519C7"/>
    <w:rsid w:val="00554F91"/>
    <w:rsid w:val="005624D7"/>
    <w:rsid w:val="005A6B82"/>
    <w:rsid w:val="005C68E4"/>
    <w:rsid w:val="005E1CC5"/>
    <w:rsid w:val="005E2676"/>
    <w:rsid w:val="0061122C"/>
    <w:rsid w:val="00613C61"/>
    <w:rsid w:val="006175A4"/>
    <w:rsid w:val="006200AB"/>
    <w:rsid w:val="00621CFA"/>
    <w:rsid w:val="00631291"/>
    <w:rsid w:val="00632EB4"/>
    <w:rsid w:val="006505AD"/>
    <w:rsid w:val="00655BEF"/>
    <w:rsid w:val="0066589E"/>
    <w:rsid w:val="00667BC7"/>
    <w:rsid w:val="0068012A"/>
    <w:rsid w:val="006820B0"/>
    <w:rsid w:val="0068314D"/>
    <w:rsid w:val="006857FE"/>
    <w:rsid w:val="006B16CC"/>
    <w:rsid w:val="006D5C02"/>
    <w:rsid w:val="006D637C"/>
    <w:rsid w:val="00702A8A"/>
    <w:rsid w:val="007207B2"/>
    <w:rsid w:val="00754CC3"/>
    <w:rsid w:val="0076760A"/>
    <w:rsid w:val="00773B54"/>
    <w:rsid w:val="007B3455"/>
    <w:rsid w:val="007C78B5"/>
    <w:rsid w:val="007D4E43"/>
    <w:rsid w:val="0081587A"/>
    <w:rsid w:val="00836F49"/>
    <w:rsid w:val="00852D84"/>
    <w:rsid w:val="008636E7"/>
    <w:rsid w:val="008749E7"/>
    <w:rsid w:val="00875F0F"/>
    <w:rsid w:val="00877718"/>
    <w:rsid w:val="008A5F29"/>
    <w:rsid w:val="008E4CEB"/>
    <w:rsid w:val="008F3B0C"/>
    <w:rsid w:val="008F6235"/>
    <w:rsid w:val="0090314D"/>
    <w:rsid w:val="00923AD6"/>
    <w:rsid w:val="00986A1D"/>
    <w:rsid w:val="00987E42"/>
    <w:rsid w:val="00992A48"/>
    <w:rsid w:val="0099585B"/>
    <w:rsid w:val="009C74FF"/>
    <w:rsid w:val="009D5EE0"/>
    <w:rsid w:val="00A17FD9"/>
    <w:rsid w:val="00A51256"/>
    <w:rsid w:val="00A838BE"/>
    <w:rsid w:val="00A85EF4"/>
    <w:rsid w:val="00AC08F6"/>
    <w:rsid w:val="00AC0A5E"/>
    <w:rsid w:val="00AD09D9"/>
    <w:rsid w:val="00AD1111"/>
    <w:rsid w:val="00AE46E3"/>
    <w:rsid w:val="00AF4222"/>
    <w:rsid w:val="00B04F75"/>
    <w:rsid w:val="00B56695"/>
    <w:rsid w:val="00B70447"/>
    <w:rsid w:val="00B70CD1"/>
    <w:rsid w:val="00B84C85"/>
    <w:rsid w:val="00B9328E"/>
    <w:rsid w:val="00B966B0"/>
    <w:rsid w:val="00BA496F"/>
    <w:rsid w:val="00BA7E0D"/>
    <w:rsid w:val="00BB063C"/>
    <w:rsid w:val="00BB6452"/>
    <w:rsid w:val="00BB6D2F"/>
    <w:rsid w:val="00BF636B"/>
    <w:rsid w:val="00C04083"/>
    <w:rsid w:val="00C122FA"/>
    <w:rsid w:val="00C2078F"/>
    <w:rsid w:val="00C264DA"/>
    <w:rsid w:val="00C41DC2"/>
    <w:rsid w:val="00C46008"/>
    <w:rsid w:val="00C53C64"/>
    <w:rsid w:val="00C65D8B"/>
    <w:rsid w:val="00C71A88"/>
    <w:rsid w:val="00C75B01"/>
    <w:rsid w:val="00C93631"/>
    <w:rsid w:val="00C96843"/>
    <w:rsid w:val="00CB7017"/>
    <w:rsid w:val="00CD55CD"/>
    <w:rsid w:val="00CF73A8"/>
    <w:rsid w:val="00D17DA0"/>
    <w:rsid w:val="00D306BD"/>
    <w:rsid w:val="00D4319E"/>
    <w:rsid w:val="00D439B8"/>
    <w:rsid w:val="00D56AAD"/>
    <w:rsid w:val="00D5739B"/>
    <w:rsid w:val="00D922D8"/>
    <w:rsid w:val="00D9406E"/>
    <w:rsid w:val="00DA67E0"/>
    <w:rsid w:val="00DB3707"/>
    <w:rsid w:val="00DD043B"/>
    <w:rsid w:val="00DD0FE3"/>
    <w:rsid w:val="00DD6F91"/>
    <w:rsid w:val="00DF0D1E"/>
    <w:rsid w:val="00DF3109"/>
    <w:rsid w:val="00DF34AD"/>
    <w:rsid w:val="00DF4DAF"/>
    <w:rsid w:val="00E101BA"/>
    <w:rsid w:val="00E30DC7"/>
    <w:rsid w:val="00E35E19"/>
    <w:rsid w:val="00E633B4"/>
    <w:rsid w:val="00EA4038"/>
    <w:rsid w:val="00EA5869"/>
    <w:rsid w:val="00EC6675"/>
    <w:rsid w:val="00ED5149"/>
    <w:rsid w:val="00ED689C"/>
    <w:rsid w:val="00ED733D"/>
    <w:rsid w:val="00F04DB7"/>
    <w:rsid w:val="00F16145"/>
    <w:rsid w:val="00F231F0"/>
    <w:rsid w:val="00F30E27"/>
    <w:rsid w:val="00F37B44"/>
    <w:rsid w:val="00F478CC"/>
    <w:rsid w:val="00F541DD"/>
    <w:rsid w:val="00F55082"/>
    <w:rsid w:val="00F61408"/>
    <w:rsid w:val="00F674E8"/>
    <w:rsid w:val="00F723C6"/>
    <w:rsid w:val="00F772DB"/>
    <w:rsid w:val="00F77558"/>
    <w:rsid w:val="00F95942"/>
    <w:rsid w:val="00FA1BBA"/>
    <w:rsid w:val="00FD1E9C"/>
    <w:rsid w:val="00FE2DD1"/>
    <w:rsid w:val="00FE78A3"/>
    <w:rsid w:val="00FF257B"/>
    <w:rsid w:val="00FF41BC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74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674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4E8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1618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5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8.xml"/><Relationship Id="rId18" Type="http://schemas.openxmlformats.org/officeDocument/2006/relationships/chart" Target="charts/chart1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17" Type="http://schemas.openxmlformats.org/officeDocument/2006/relationships/chart" Target="charts/chart12.xml"/><Relationship Id="rId2" Type="http://schemas.openxmlformats.org/officeDocument/2006/relationships/numbering" Target="numbering.xml"/><Relationship Id="rId16" Type="http://schemas.openxmlformats.org/officeDocument/2006/relationships/chart" Target="charts/chart1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webSettings" Target="webSettings.xml"/><Relationship Id="rId15" Type="http://schemas.openxmlformats.org/officeDocument/2006/relationships/chart" Target="charts/chart10.xml"/><Relationship Id="rId10" Type="http://schemas.openxmlformats.org/officeDocument/2006/relationships/chart" Target="charts/chart5.xml"/><Relationship Id="rId19" Type="http://schemas.openxmlformats.org/officeDocument/2006/relationships/chart" Target="charts/chart14.xml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openxmlformats.org/officeDocument/2006/relationships/chart" Target="charts/chart9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VSIT\2013\publikace\publikace_grafy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VSIT\2013\publikace\publikace_grafy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VSIT\2013\publikace\publikace_grafy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VSIT\2013\publikace\publikace_grafy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VSIT\2013\publikace\publikace_grafy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VSIT\2013\publikace\publikace_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VSIT\2013\publikace\publikace_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VSIT\2013\publikace\publikace_grafy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VSIT\2013\publikace\publikace_grafy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VSIT\2013\publikace\publikace_grafy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VSIT\2013\publikace\publikace_grafy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VSIT\2013\publikace\publikace_grafy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VSIT\2013\publikace\publikace_grafy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VSIT\2013\publikace\publikace_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>
        <c:manualLayout>
          <c:layoutTarget val="inner"/>
          <c:xMode val="edge"/>
          <c:yMode val="edge"/>
          <c:x val="2.948775547200749E-3"/>
          <c:y val="4.1245919528876095E-3"/>
          <c:w val="0.97397034146165928"/>
          <c:h val="0.85214830550873466"/>
        </c:manualLayout>
      </c:layout>
      <c:barChart>
        <c:barDir val="col"/>
        <c:grouping val="clustered"/>
        <c:ser>
          <c:idx val="0"/>
          <c:order val="0"/>
          <c:tx>
            <c:strRef>
              <c:f>[publikace_grafy.xlsx]HH_pocitac!$B$2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  <a:ln w="25400">
              <a:noFill/>
            </a:ln>
          </c:spPr>
          <c:dLbls>
            <c:dLbl>
              <c:idx val="5"/>
              <c:layout>
                <c:manualLayout>
                  <c:x val="2.2259321090706782E-3"/>
                  <c:y val="1.020408163265312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cs-CZ"/>
                </a:p>
              </c:txPr>
              <c:dLblPos val="outEnd"/>
              <c:showVal val="1"/>
            </c:dLbl>
            <c:spPr>
              <a:noFill/>
              <a:ln w="25400">
                <a:noFill/>
              </a:ln>
            </c:spPr>
            <c:showVal val="1"/>
          </c:dLbls>
          <c:cat>
            <c:numRef>
              <c:f>[publikace_grafy.xlsx]HH_pocitac!$A$4:$A$10</c:f>
              <c:numCache>
                <c:formatCode>General</c:formatCode>
                <c:ptCount val="7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</c:numCache>
            </c:numRef>
          </c:cat>
          <c:val>
            <c:numRef>
              <c:f>[publikace_grafy.xlsx]HH_pocitac!$B$4:$B$10</c:f>
              <c:numCache>
                <c:formatCode>0%</c:formatCode>
                <c:ptCount val="7"/>
                <c:pt idx="0">
                  <c:v>0.3961187598954149</c:v>
                </c:pt>
                <c:pt idx="1">
                  <c:v>0.47702044449317105</c:v>
                </c:pt>
                <c:pt idx="2">
                  <c:v>0.54172850472103951</c:v>
                </c:pt>
                <c:pt idx="3">
                  <c:v>0.59275445715464892</c:v>
                </c:pt>
                <c:pt idx="4">
                  <c:v>0.64750454258032264</c:v>
                </c:pt>
                <c:pt idx="5">
                  <c:v>0.67300000000000115</c:v>
                </c:pt>
                <c:pt idx="6">
                  <c:v>0.6810000000000006</c:v>
                </c:pt>
              </c:numCache>
            </c:numRef>
          </c:val>
        </c:ser>
        <c:dLbls>
          <c:showVal val="1"/>
        </c:dLbls>
        <c:gapWidth val="40"/>
        <c:axId val="170055936"/>
        <c:axId val="170119168"/>
      </c:barChart>
      <c:catAx>
        <c:axId val="170055936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b="0"/>
            </a:pPr>
            <a:endParaRPr lang="cs-CZ"/>
          </a:p>
        </c:txPr>
        <c:crossAx val="170119168"/>
        <c:crosses val="autoZero"/>
        <c:auto val="1"/>
        <c:lblAlgn val="ctr"/>
        <c:lblOffset val="100"/>
        <c:tickLblSkip val="1"/>
        <c:tickMarkSkip val="1"/>
      </c:catAx>
      <c:valAx>
        <c:axId val="170119168"/>
        <c:scaling>
          <c:orientation val="minMax"/>
          <c:max val="1"/>
        </c:scaling>
        <c:axPos val="l"/>
        <c:numFmt formatCode="0%" sourceLinked="1"/>
        <c:majorTickMark val="none"/>
        <c:tickLblPos val="none"/>
        <c:crossAx val="170055936"/>
        <c:crosses val="autoZero"/>
        <c:crossBetween val="between"/>
      </c:valAx>
      <c:spPr>
        <a:solidFill>
          <a:schemeClr val="bg1"/>
        </a:solidFill>
        <a:ln w="12700">
          <a:solidFill>
            <a:schemeClr val="bg1">
              <a:lumMod val="65000"/>
            </a:schemeClr>
          </a:solidFill>
        </a:ln>
      </c:spPr>
    </c:plotArea>
    <c:plotVisOnly val="1"/>
    <c:dispBlanksAs val="gap"/>
  </c:chart>
  <c:spPr>
    <a:noFill/>
    <a:ln w="9525"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cs-CZ"/>
    </a:p>
  </c:tx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0.39385368337450977"/>
          <c:y val="7.0544183668809865E-2"/>
          <c:w val="0.58772333608223037"/>
          <c:h val="0.88833580291541681"/>
        </c:manualLayout>
      </c:layout>
      <c:barChart>
        <c:barDir val="bar"/>
        <c:grouping val="clustered"/>
        <c:ser>
          <c:idx val="0"/>
          <c:order val="0"/>
          <c:tx>
            <c:strRef>
              <c:f>IND_internet!$B$122</c:f>
              <c:strCache>
                <c:ptCount val="1"/>
                <c:pt idx="0">
                  <c:v>2013</c:v>
                </c:pt>
              </c:strCache>
            </c:strRef>
          </c:tx>
          <c:spPr>
            <a:solidFill>
              <a:srgbClr val="953735"/>
            </a:solidFill>
            <a:ln w="25400">
              <a:noFill/>
            </a:ln>
          </c:spPr>
          <c:dLbls>
            <c:dLbl>
              <c:idx val="16"/>
              <c:layout>
                <c:manualLayout>
                  <c:x val="-1.1242268948357469E-2"/>
                  <c:y val="0"/>
                </c:manualLayout>
              </c:layout>
              <c:dLblPos val="outEnd"/>
              <c:showVal val="1"/>
            </c:dLbl>
            <c:dLbl>
              <c:idx val="19"/>
              <c:layout>
                <c:manualLayout>
                  <c:x val="-1.1242268948357476E-2"/>
                  <c:y val="0"/>
                </c:manualLayout>
              </c:layout>
              <c:dLblPos val="outEnd"/>
              <c:showVal val="1"/>
            </c:dLbl>
            <c:dLbl>
              <c:idx val="21"/>
              <c:layout>
                <c:manualLayout>
                  <c:x val="-6.8376049969432733E-3"/>
                  <c:y val="0"/>
                </c:manualLayout>
              </c:layout>
              <c:dLblPos val="outEnd"/>
              <c:showVal val="1"/>
            </c:dLbl>
            <c:dLbl>
              <c:idx val="22"/>
              <c:layout>
                <c:manualLayout>
                  <c:x val="-6.8376049969432733E-3"/>
                  <c:y val="0"/>
                </c:manualLayout>
              </c:layout>
              <c:dLblPos val="outEnd"/>
              <c:showVal val="1"/>
            </c:dLbl>
            <c:dLbl>
              <c:idx val="23"/>
              <c:layout>
                <c:manualLayout>
                  <c:x val="-1.02564074954149E-2"/>
                  <c:y val="-2.0206394798905811E-3"/>
                </c:manualLayout>
              </c:layout>
              <c:dLblPos val="outEnd"/>
              <c:showVal val="1"/>
            </c:dLbl>
            <c:dLbl>
              <c:idx val="24"/>
              <c:layout>
                <c:manualLayout>
                  <c:x val="-2.6952008358029993E-3"/>
                  <c:y val="0"/>
                </c:manualLayout>
              </c:layout>
              <c:numFmt formatCode="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ysClr val="windowText" lastClr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cs-CZ"/>
                </a:p>
              </c:txPr>
              <c:dLblPos val="outEnd"/>
              <c:showVal val="1"/>
            </c:dLbl>
            <c:dLbl>
              <c:idx val="25"/>
              <c:layout>
                <c:manualLayout>
                  <c:x val="-1.3076784958130437E-2"/>
                  <c:y val="0"/>
                </c:manualLayout>
              </c:layout>
              <c:numFmt formatCode="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chemeClr val="tx1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cs-CZ"/>
                </a:p>
              </c:txPr>
              <c:dLblPos val="outEnd"/>
              <c:showVal val="1"/>
            </c:dLbl>
            <c:dLbl>
              <c:idx val="26"/>
              <c:layout>
                <c:manualLayout>
                  <c:x val="-1.6401080299745224E-2"/>
                  <c:y val="0"/>
                </c:manualLayout>
              </c:layout>
              <c:numFmt formatCode="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chemeClr val="tx1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cs-CZ"/>
                </a:p>
              </c:txPr>
              <c:dLblPos val="outEnd"/>
              <c:showVal val="1"/>
            </c:dLbl>
            <c:dLbl>
              <c:idx val="27"/>
              <c:layout>
                <c:manualLayout>
                  <c:x val="-9.0456084293811106E-3"/>
                  <c:y val="0"/>
                </c:manualLayout>
              </c:layout>
              <c:numFmt formatCode="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ysClr val="windowText" lastClr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cs-CZ"/>
                </a:p>
              </c:txPr>
              <c:dLblPos val="outEnd"/>
              <c:showVal val="1"/>
            </c:dLbl>
            <c:dLbl>
              <c:idx val="40"/>
              <c:numFmt formatCode="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FFFFFF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cs-CZ"/>
                </a:p>
              </c:txPr>
            </c:dLbl>
            <c:numFmt formatCode="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cs-CZ"/>
              </a:p>
            </c:txPr>
            <c:dLblPos val="outEnd"/>
            <c:showVal val="1"/>
          </c:dLbls>
          <c:cat>
            <c:strRef>
              <c:f>IND_internet!$A$123:$A$139</c:f>
              <c:strCache>
                <c:ptCount val="17"/>
                <c:pt idx="0">
                  <c:v>hraní počítačových her</c:v>
                </c:pt>
                <c:pt idx="1">
                  <c:v>sledování TV</c:v>
                </c:pt>
                <c:pt idx="2">
                  <c:v>poslech rádia</c:v>
                </c:pt>
                <c:pt idx="3">
                  <c:v>přehrávání/stahování filmů nebo videí</c:v>
                </c:pt>
                <c:pt idx="4">
                  <c:v>čtení on-line zpráv</c:v>
                </c:pt>
                <c:pt idx="6">
                  <c:v>prodej zboží/služeb</c:v>
                </c:pt>
                <c:pt idx="7">
                  <c:v>internetové bankovnictví</c:v>
                </c:pt>
                <c:pt idx="9">
                  <c:v>zdraví</c:v>
                </c:pt>
                <c:pt idx="10">
                  <c:v>cestování</c:v>
                </c:pt>
                <c:pt idx="11">
                  <c:v>zboží a službách</c:v>
                </c:pt>
                <c:pt idx="12">
                  <c:v>vyhledávání informací o:</c:v>
                </c:pt>
                <c:pt idx="14">
                  <c:v>účast v profesních sítích</c:v>
                </c:pt>
                <c:pt idx="15">
                  <c:v>účast v sociálních sítí</c:v>
                </c:pt>
                <c:pt idx="16">
                  <c:v>posílání e-mailů</c:v>
                </c:pt>
              </c:strCache>
            </c:strRef>
          </c:cat>
          <c:val>
            <c:numRef>
              <c:f>IND_internet!$B$123:$B$139</c:f>
              <c:numCache>
                <c:formatCode>0%</c:formatCode>
                <c:ptCount val="17"/>
                <c:pt idx="0">
                  <c:v>0.23600000000000004</c:v>
                </c:pt>
                <c:pt idx="1">
                  <c:v>0.29500000000000032</c:v>
                </c:pt>
                <c:pt idx="2">
                  <c:v>0.30500000000000038</c:v>
                </c:pt>
                <c:pt idx="3">
                  <c:v>0.51500000000000001</c:v>
                </c:pt>
                <c:pt idx="4">
                  <c:v>0.85400000000000065</c:v>
                </c:pt>
                <c:pt idx="6">
                  <c:v>0.22600000000000001</c:v>
                </c:pt>
                <c:pt idx="7">
                  <c:v>0.55800000000000005</c:v>
                </c:pt>
                <c:pt idx="9">
                  <c:v>0.54700000000000004</c:v>
                </c:pt>
                <c:pt idx="10">
                  <c:v>0.58699999999999997</c:v>
                </c:pt>
                <c:pt idx="11">
                  <c:v>0.85300000000000065</c:v>
                </c:pt>
                <c:pt idx="14">
                  <c:v>9.8000000000000156E-2</c:v>
                </c:pt>
                <c:pt idx="15">
                  <c:v>0.48700000000000032</c:v>
                </c:pt>
                <c:pt idx="16">
                  <c:v>0.93799999999999994</c:v>
                </c:pt>
              </c:numCache>
            </c:numRef>
          </c:val>
        </c:ser>
        <c:dLbls>
          <c:showVal val="1"/>
        </c:dLbls>
        <c:gapWidth val="50"/>
        <c:axId val="171105280"/>
        <c:axId val="171115264"/>
      </c:barChart>
      <c:barChart>
        <c:barDir val="bar"/>
        <c:grouping val="clustered"/>
        <c:ser>
          <c:idx val="1"/>
          <c:order val="1"/>
          <c:tx>
            <c:strRef>
              <c:f>IND_internet!$C$122</c:f>
              <c:strCache>
                <c:ptCount val="1"/>
                <c:pt idx="0">
                  <c:v>2009</c:v>
                </c:pt>
              </c:strCache>
            </c:strRef>
          </c:tx>
          <c:spPr>
            <a:solidFill>
              <a:srgbClr val="D99694"/>
            </a:solidFill>
            <a:ln w="25400">
              <a:noFill/>
            </a:ln>
          </c:spPr>
          <c:dLbls>
            <c:dLbl>
              <c:idx val="5"/>
              <c:delete val="1"/>
            </c:dLbl>
            <c:dLbl>
              <c:idx val="14"/>
              <c:delete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cs-CZ"/>
              </a:p>
            </c:txPr>
            <c:dLblPos val="ctr"/>
            <c:showVal val="1"/>
          </c:dLbls>
          <c:cat>
            <c:strRef>
              <c:f>IND_internet!$A$123:$A$139</c:f>
              <c:strCache>
                <c:ptCount val="17"/>
                <c:pt idx="0">
                  <c:v>hraní počítačových her</c:v>
                </c:pt>
                <c:pt idx="1">
                  <c:v>sledování TV</c:v>
                </c:pt>
                <c:pt idx="2">
                  <c:v>poslech rádia</c:v>
                </c:pt>
                <c:pt idx="3">
                  <c:v>přehrávání/stahování filmů nebo videí</c:v>
                </c:pt>
                <c:pt idx="4">
                  <c:v>čtení on-line zpráv</c:v>
                </c:pt>
                <c:pt idx="6">
                  <c:v>prodej zboží/služeb</c:v>
                </c:pt>
                <c:pt idx="7">
                  <c:v>internetové bankovnictví</c:v>
                </c:pt>
                <c:pt idx="9">
                  <c:v>zdraví</c:v>
                </c:pt>
                <c:pt idx="10">
                  <c:v>cestování</c:v>
                </c:pt>
                <c:pt idx="11">
                  <c:v>zboží a službách</c:v>
                </c:pt>
                <c:pt idx="12">
                  <c:v>vyhledávání informací o:</c:v>
                </c:pt>
                <c:pt idx="14">
                  <c:v>účast v profesních sítích</c:v>
                </c:pt>
                <c:pt idx="15">
                  <c:v>účast v sociálních sítí</c:v>
                </c:pt>
                <c:pt idx="16">
                  <c:v>posílání e-mailů</c:v>
                </c:pt>
              </c:strCache>
            </c:strRef>
          </c:cat>
          <c:val>
            <c:numRef>
              <c:f>IND_internet!$C$123:$C$139</c:f>
              <c:numCache>
                <c:formatCode>0%</c:formatCode>
                <c:ptCount val="17"/>
                <c:pt idx="0">
                  <c:v>0.16200000000000001</c:v>
                </c:pt>
                <c:pt idx="1">
                  <c:v>0.21500000000000019</c:v>
                </c:pt>
                <c:pt idx="2">
                  <c:v>0.24400000000000019</c:v>
                </c:pt>
                <c:pt idx="3">
                  <c:v>0.26600000000000001</c:v>
                </c:pt>
                <c:pt idx="4">
                  <c:v>0.70500000000000063</c:v>
                </c:pt>
                <c:pt idx="6">
                  <c:v>6.9000000000000034E-2</c:v>
                </c:pt>
                <c:pt idx="7">
                  <c:v>0.30500000000000038</c:v>
                </c:pt>
                <c:pt idx="9">
                  <c:v>0.33400000000000052</c:v>
                </c:pt>
                <c:pt idx="10">
                  <c:v>0.44600000000000001</c:v>
                </c:pt>
                <c:pt idx="11">
                  <c:v>0.83200000000000063</c:v>
                </c:pt>
                <c:pt idx="14" formatCode="0.0%">
                  <c:v>0</c:v>
                </c:pt>
                <c:pt idx="15">
                  <c:v>9.3000000000000166E-2</c:v>
                </c:pt>
                <c:pt idx="16">
                  <c:v>0.90700000000000003</c:v>
                </c:pt>
              </c:numCache>
            </c:numRef>
          </c:val>
        </c:ser>
        <c:dLbls>
          <c:showVal val="1"/>
        </c:dLbls>
        <c:gapWidth val="160"/>
        <c:axId val="171116800"/>
        <c:axId val="171130880"/>
      </c:barChart>
      <c:catAx>
        <c:axId val="171105280"/>
        <c:scaling>
          <c:orientation val="minMax"/>
        </c:scaling>
        <c:axPos val="l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171115264"/>
        <c:crosses val="autoZero"/>
        <c:auto val="1"/>
        <c:lblAlgn val="ctr"/>
        <c:lblOffset val="100"/>
        <c:tickLblSkip val="1"/>
        <c:tickMarkSkip val="1"/>
      </c:catAx>
      <c:valAx>
        <c:axId val="171115264"/>
        <c:scaling>
          <c:orientation val="minMax"/>
          <c:max val="1"/>
          <c:min val="0"/>
        </c:scaling>
        <c:delete val="1"/>
        <c:axPos val="b"/>
        <c:numFmt formatCode="0%" sourceLinked="1"/>
        <c:tickLblPos val="none"/>
        <c:crossAx val="171105280"/>
        <c:crosses val="autoZero"/>
        <c:crossBetween val="between"/>
      </c:valAx>
      <c:catAx>
        <c:axId val="171116800"/>
        <c:scaling>
          <c:orientation val="minMax"/>
        </c:scaling>
        <c:delete val="1"/>
        <c:axPos val="l"/>
        <c:tickLblPos val="none"/>
        <c:crossAx val="171130880"/>
        <c:crosses val="autoZero"/>
        <c:auto val="1"/>
        <c:lblAlgn val="ctr"/>
        <c:lblOffset val="100"/>
      </c:catAx>
      <c:valAx>
        <c:axId val="171130880"/>
        <c:scaling>
          <c:orientation val="minMax"/>
          <c:max val="0.8"/>
        </c:scaling>
        <c:delete val="1"/>
        <c:axPos val="t"/>
        <c:numFmt formatCode="0%" sourceLinked="1"/>
        <c:tickLblPos val="none"/>
        <c:crossAx val="171116800"/>
        <c:crosses val="max"/>
        <c:crossBetween val="between"/>
      </c:valAx>
      <c:spPr>
        <a:noFill/>
        <a:ln w="12700">
          <a:solidFill>
            <a:srgbClr val="A6A6A6"/>
          </a:solidFill>
          <a:prstDash val="solid"/>
        </a:ln>
      </c:spPr>
    </c:plotArea>
    <c:legend>
      <c:legendPos val="t"/>
      <c:layout>
        <c:manualLayout>
          <c:xMode val="edge"/>
          <c:yMode val="edge"/>
          <c:x val="0.40456074950348131"/>
          <c:y val="1.4325795482461241E-3"/>
          <c:w val="0.54866663149400374"/>
          <c:h val="4.8753991957902074E-2"/>
        </c:manualLayout>
      </c:layout>
      <c:spPr>
        <a:noFill/>
        <a:ln w="25400">
          <a:noFill/>
        </a:ln>
      </c:spPr>
      <c:txPr>
        <a:bodyPr/>
        <a:lstStyle/>
        <a:p>
          <a:pPr>
            <a:defRPr sz="800" b="1" i="0" u="none" strike="noStrike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endParaRPr lang="cs-CZ"/>
        </a:p>
      </c:txPr>
    </c:legend>
    <c:plotVisOnly val="1"/>
    <c:dispBlanksAs val="gap"/>
  </c:chart>
  <c:spPr>
    <a:solidFill>
      <a:srgbClr val="FFFFFF"/>
    </a:solidFill>
    <a:ln w="9525">
      <a:noFill/>
    </a:ln>
  </c:spPr>
  <c:txPr>
    <a:bodyPr/>
    <a:lstStyle/>
    <a:p>
      <a:pPr>
        <a:defRPr sz="57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1.4648958333333345E-2"/>
          <c:y val="3.7875000000000456E-3"/>
          <c:w val="0.95084554485185269"/>
          <c:h val="0.84432828482191657"/>
        </c:manualLayout>
      </c:layout>
      <c:barChart>
        <c:barDir val="col"/>
        <c:grouping val="clustered"/>
        <c:ser>
          <c:idx val="0"/>
          <c:order val="0"/>
          <c:tx>
            <c:strRef>
              <c:f>IND_internet!$O$50</c:f>
              <c:strCache>
                <c:ptCount val="1"/>
                <c:pt idx="0">
                  <c:v>% všech jednotlivců</c:v>
                </c:pt>
              </c:strCache>
            </c:strRef>
          </c:tx>
          <c:spPr>
            <a:solidFill>
              <a:srgbClr val="953735"/>
            </a:solidFill>
          </c:spPr>
          <c:dLbls>
            <c:dLbl>
              <c:idx val="3"/>
              <c:layout>
                <c:manualLayout>
                  <c:x val="7.2661217075386374E-3"/>
                  <c:y val="0.1010101010101010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cs-CZ"/>
              </a:p>
            </c:txPr>
            <c:showVal val="1"/>
          </c:dLbls>
          <c:cat>
            <c:strRef>
              <c:f>IND_internet!$N$51:$N$53</c:f>
              <c:strCache>
                <c:ptCount val="3"/>
                <c:pt idx="0">
                  <c:v>16-24</c:v>
                </c:pt>
                <c:pt idx="1">
                  <c:v>25-54</c:v>
                </c:pt>
                <c:pt idx="2">
                  <c:v>55+</c:v>
                </c:pt>
              </c:strCache>
            </c:strRef>
          </c:cat>
          <c:val>
            <c:numRef>
              <c:f>IND_internet!$O$51:$O$53</c:f>
              <c:numCache>
                <c:formatCode>0%</c:formatCode>
                <c:ptCount val="3"/>
                <c:pt idx="0">
                  <c:v>0.85400000000000065</c:v>
                </c:pt>
                <c:pt idx="1">
                  <c:v>0.42913502445388679</c:v>
                </c:pt>
                <c:pt idx="2">
                  <c:v>5.4985197196193512E-2</c:v>
                </c:pt>
              </c:numCache>
            </c:numRef>
          </c:val>
        </c:ser>
        <c:ser>
          <c:idx val="1"/>
          <c:order val="1"/>
          <c:tx>
            <c:strRef>
              <c:f>IND_internet!$P$50</c:f>
              <c:strCache>
                <c:ptCount val="1"/>
                <c:pt idx="0">
                  <c:v>% uživatelů internetu</c:v>
                </c:pt>
              </c:strCache>
            </c:strRef>
          </c:tx>
          <c:spPr>
            <a:solidFill>
              <a:srgbClr val="FF8080"/>
            </a:solidFill>
          </c:spPr>
          <c:dLbls>
            <c:dLbl>
              <c:idx val="3"/>
              <c:layout>
                <c:manualLayout>
                  <c:x val="0"/>
                  <c:y val="8.080808080808084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cs-CZ"/>
              </a:p>
            </c:txPr>
            <c:showVal val="1"/>
          </c:dLbls>
          <c:cat>
            <c:strRef>
              <c:f>IND_internet!$N$51:$N$53</c:f>
              <c:strCache>
                <c:ptCount val="3"/>
                <c:pt idx="0">
                  <c:v>16-24</c:v>
                </c:pt>
                <c:pt idx="1">
                  <c:v>25-54</c:v>
                </c:pt>
                <c:pt idx="2">
                  <c:v>55+</c:v>
                </c:pt>
              </c:strCache>
            </c:strRef>
          </c:cat>
          <c:val>
            <c:numRef>
              <c:f>IND_internet!$P$51:$P$53</c:f>
              <c:numCache>
                <c:formatCode>0%</c:formatCode>
                <c:ptCount val="3"/>
                <c:pt idx="0">
                  <c:v>0.88200000000000001</c:v>
                </c:pt>
                <c:pt idx="1">
                  <c:v>0.48523503799131679</c:v>
                </c:pt>
                <c:pt idx="2">
                  <c:v>0.15033801370100719</c:v>
                </c:pt>
              </c:numCache>
            </c:numRef>
          </c:val>
        </c:ser>
        <c:dLbls>
          <c:showVal val="1"/>
        </c:dLbls>
        <c:gapWidth val="200"/>
        <c:axId val="171160320"/>
        <c:axId val="171161856"/>
      </c:barChart>
      <c:catAx>
        <c:axId val="171160320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cs-CZ"/>
          </a:p>
        </c:txPr>
        <c:crossAx val="171161856"/>
        <c:crosses val="autoZero"/>
        <c:auto val="1"/>
        <c:lblAlgn val="ctr"/>
        <c:lblOffset val="100"/>
        <c:tickLblSkip val="1"/>
        <c:tickMarkSkip val="1"/>
      </c:catAx>
      <c:valAx>
        <c:axId val="171161856"/>
        <c:scaling>
          <c:orientation val="minMax"/>
          <c:max val="1"/>
        </c:scaling>
        <c:delete val="1"/>
        <c:axPos val="l"/>
        <c:numFmt formatCode="0%" sourceLinked="1"/>
        <c:tickLblPos val="none"/>
        <c:crossAx val="171160320"/>
        <c:crosses val="autoZero"/>
        <c:crossBetween val="between"/>
      </c:valAx>
      <c:spPr>
        <a:solidFill>
          <a:schemeClr val="bg1"/>
        </a:solidFill>
        <a:ln w="12700">
          <a:solidFill>
            <a:schemeClr val="bg1">
              <a:lumMod val="65000"/>
            </a:schemeClr>
          </a:solidFill>
        </a:ln>
      </c:spPr>
    </c:plotArea>
    <c:legend>
      <c:legendPos val="t"/>
      <c:layout>
        <c:manualLayout>
          <c:xMode val="edge"/>
          <c:yMode val="edge"/>
          <c:x val="0.51611205275089933"/>
          <c:y val="5.1879140107486545E-2"/>
          <c:w val="0.41554263482732234"/>
          <c:h val="0.25105549306336705"/>
        </c:manualLayout>
      </c:layout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cs-CZ"/>
        </a:p>
      </c:txPr>
    </c:legend>
    <c:plotVisOnly val="1"/>
    <c:dispBlanksAs val="gap"/>
  </c:chart>
  <c:spPr>
    <a:noFill/>
    <a:ln w="9525"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cs-CZ"/>
    </a:p>
  </c:tx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1.4648958333333345E-2"/>
          <c:y val="3.7875000000000499E-3"/>
          <c:w val="0.95084554485185269"/>
          <c:h val="0.84432828482191657"/>
        </c:manualLayout>
      </c:layout>
      <c:barChart>
        <c:barDir val="col"/>
        <c:grouping val="clustered"/>
        <c:ser>
          <c:idx val="0"/>
          <c:order val="0"/>
          <c:tx>
            <c:strRef>
              <c:f>IND_internet!$O$56</c:f>
              <c:strCache>
                <c:ptCount val="1"/>
                <c:pt idx="0">
                  <c:v>% všech jednotlivců</c:v>
                </c:pt>
              </c:strCache>
            </c:strRef>
          </c:tx>
          <c:spPr>
            <a:solidFill>
              <a:srgbClr val="953735"/>
            </a:solidFill>
          </c:spPr>
          <c:dLbls>
            <c:dLbl>
              <c:idx val="3"/>
              <c:layout>
                <c:manualLayout>
                  <c:x val="7.2661217075386426E-3"/>
                  <c:y val="0.1010101010101010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cs-CZ"/>
              </a:p>
            </c:txPr>
            <c:showVal val="1"/>
          </c:dLbls>
          <c:cat>
            <c:strRef>
              <c:f>IND_internet!$N$57:$N$59</c:f>
              <c:strCache>
                <c:ptCount val="3"/>
                <c:pt idx="0">
                  <c:v>16-24</c:v>
                </c:pt>
                <c:pt idx="1">
                  <c:v>25-54</c:v>
                </c:pt>
                <c:pt idx="2">
                  <c:v>55+</c:v>
                </c:pt>
              </c:strCache>
            </c:strRef>
          </c:cat>
          <c:val>
            <c:numRef>
              <c:f>IND_internet!$O$57:$O$59</c:f>
              <c:numCache>
                <c:formatCode>0%</c:formatCode>
                <c:ptCount val="3"/>
                <c:pt idx="0">
                  <c:v>0.38100000000000045</c:v>
                </c:pt>
                <c:pt idx="1">
                  <c:v>0.50390000000000001</c:v>
                </c:pt>
                <c:pt idx="2">
                  <c:v>0.2203</c:v>
                </c:pt>
              </c:numCache>
            </c:numRef>
          </c:val>
        </c:ser>
        <c:ser>
          <c:idx val="1"/>
          <c:order val="1"/>
          <c:tx>
            <c:strRef>
              <c:f>IND_internet!$P$56</c:f>
              <c:strCache>
                <c:ptCount val="1"/>
                <c:pt idx="0">
                  <c:v>% uživatelů internetu</c:v>
                </c:pt>
              </c:strCache>
            </c:strRef>
          </c:tx>
          <c:spPr>
            <a:solidFill>
              <a:srgbClr val="FF8080"/>
            </a:solidFill>
          </c:spPr>
          <c:dLbls>
            <c:dLbl>
              <c:idx val="3"/>
              <c:layout>
                <c:manualLayout>
                  <c:x val="0"/>
                  <c:y val="8.080808080808084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cs-CZ"/>
              </a:p>
            </c:txPr>
            <c:showVal val="1"/>
          </c:dLbls>
          <c:cat>
            <c:strRef>
              <c:f>IND_internet!$N$57:$N$59</c:f>
              <c:strCache>
                <c:ptCount val="3"/>
                <c:pt idx="0">
                  <c:v>16-24</c:v>
                </c:pt>
                <c:pt idx="1">
                  <c:v>25-54</c:v>
                </c:pt>
                <c:pt idx="2">
                  <c:v>55+</c:v>
                </c:pt>
              </c:strCache>
            </c:strRef>
          </c:cat>
          <c:val>
            <c:numRef>
              <c:f>IND_internet!$P$57:$P$59</c:f>
              <c:numCache>
                <c:formatCode>0%</c:formatCode>
                <c:ptCount val="3"/>
                <c:pt idx="0">
                  <c:v>0.39300000000000052</c:v>
                </c:pt>
                <c:pt idx="1">
                  <c:v>0.56970000000000065</c:v>
                </c:pt>
                <c:pt idx="2">
                  <c:v>0.60250000000000004</c:v>
                </c:pt>
              </c:numCache>
            </c:numRef>
          </c:val>
        </c:ser>
        <c:dLbls>
          <c:showVal val="1"/>
        </c:dLbls>
        <c:gapWidth val="200"/>
        <c:axId val="171211776"/>
        <c:axId val="171221760"/>
      </c:barChart>
      <c:catAx>
        <c:axId val="171211776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cs-CZ"/>
          </a:p>
        </c:txPr>
        <c:crossAx val="171221760"/>
        <c:crosses val="autoZero"/>
        <c:auto val="1"/>
        <c:lblAlgn val="ctr"/>
        <c:lblOffset val="100"/>
        <c:tickLblSkip val="1"/>
        <c:tickMarkSkip val="1"/>
      </c:catAx>
      <c:valAx>
        <c:axId val="171221760"/>
        <c:scaling>
          <c:orientation val="minMax"/>
          <c:max val="1"/>
        </c:scaling>
        <c:delete val="1"/>
        <c:axPos val="l"/>
        <c:numFmt formatCode="0%" sourceLinked="1"/>
        <c:tickLblPos val="none"/>
        <c:crossAx val="171211776"/>
        <c:crosses val="autoZero"/>
        <c:crossBetween val="between"/>
      </c:valAx>
      <c:spPr>
        <a:solidFill>
          <a:schemeClr val="bg1"/>
        </a:solidFill>
        <a:ln w="12700">
          <a:solidFill>
            <a:schemeClr val="bg1">
              <a:lumMod val="65000"/>
            </a:schemeClr>
          </a:solidFill>
        </a:ln>
      </c:spPr>
    </c:plotArea>
    <c:legend>
      <c:legendPos val="t"/>
      <c:layout>
        <c:manualLayout>
          <c:xMode val="edge"/>
          <c:yMode val="edge"/>
          <c:x val="4.3814141760890241E-2"/>
          <c:y val="5.1879140107486545E-2"/>
          <c:w val="0.3755789654358625"/>
          <c:h val="0.23518247719035121"/>
        </c:manualLayout>
      </c:layout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cs-CZ"/>
        </a:p>
      </c:txPr>
    </c:legend>
    <c:plotVisOnly val="1"/>
    <c:dispBlanksAs val="gap"/>
  </c:chart>
  <c:spPr>
    <a:noFill/>
    <a:ln w="9525"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cs-CZ"/>
    </a:p>
  </c:tx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8275058275058245E-3"/>
          <c:y val="1.325101967887818E-2"/>
          <c:w val="0.98951161575750257"/>
          <c:h val="0.63641113110119463"/>
        </c:manualLayout>
      </c:layout>
      <c:barChart>
        <c:barDir val="col"/>
        <c:grouping val="clustered"/>
        <c:ser>
          <c:idx val="0"/>
          <c:order val="0"/>
          <c:tx>
            <c:strRef>
              <c:f>IND_internet!$B$79</c:f>
              <c:strCache>
                <c:ptCount val="1"/>
                <c:pt idx="0">
                  <c:v>2007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 w="25400">
              <a:noFill/>
            </a:ln>
          </c:spPr>
          <c:dLbls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 algn="ctr">
                  <a:defRPr b="1"/>
                </a:pPr>
                <a:endParaRPr lang="cs-CZ"/>
              </a:p>
            </c:txPr>
            <c:showVal val="1"/>
          </c:dLbls>
          <c:cat>
            <c:strRef>
              <c:f>(IND_internet!$A$80:$A$90;IND_internet!$A$92:$A$96)</c:f>
              <c:strCache>
                <c:ptCount val="16"/>
                <c:pt idx="0">
                  <c:v>Celkem 16+</c:v>
                </c:pt>
                <c:pt idx="2">
                  <c:v>muži</c:v>
                </c:pt>
                <c:pt idx="3">
                  <c:v>ženy</c:v>
                </c:pt>
                <c:pt idx="5">
                  <c:v>16–24 let</c:v>
                </c:pt>
                <c:pt idx="6">
                  <c:v>25–34 let</c:v>
                </c:pt>
                <c:pt idx="7">
                  <c:v>35–44 let</c:v>
                </c:pt>
                <c:pt idx="8">
                  <c:v>45–54 let</c:v>
                </c:pt>
                <c:pt idx="9">
                  <c:v>55–64 let</c:v>
                </c:pt>
                <c:pt idx="10">
                  <c:v>65–74 let</c:v>
                </c:pt>
                <c:pt idx="12">
                  <c:v>základní</c:v>
                </c:pt>
                <c:pt idx="13">
                  <c:v>střední bez maturity</c:v>
                </c:pt>
                <c:pt idx="14">
                  <c:v>střední s maturitou</c:v>
                </c:pt>
                <c:pt idx="15">
                  <c:v>vysokoškolské</c:v>
                </c:pt>
              </c:strCache>
            </c:strRef>
          </c:cat>
          <c:val>
            <c:numRef>
              <c:f>(IND_internet!$B$80:$B$90;IND_internet!$B$92:$B$96)</c:f>
              <c:numCache>
                <c:formatCode>General</c:formatCode>
                <c:ptCount val="16"/>
                <c:pt idx="0" formatCode="0%">
                  <c:v>0.15284036510472884</c:v>
                </c:pt>
                <c:pt idx="2" formatCode="0%">
                  <c:v>0.18274025193203192</c:v>
                </c:pt>
                <c:pt idx="3" formatCode="0%">
                  <c:v>0.12477221799808323</c:v>
                </c:pt>
                <c:pt idx="5" formatCode="0%">
                  <c:v>0.22871220868599154</c:v>
                </c:pt>
                <c:pt idx="6" formatCode="0%">
                  <c:v>0.25061596388194363</c:v>
                </c:pt>
                <c:pt idx="7" formatCode="0%">
                  <c:v>0.21546377619945234</c:v>
                </c:pt>
                <c:pt idx="8" formatCode="0%">
                  <c:v>0.13666891781766921</c:v>
                </c:pt>
                <c:pt idx="9" formatCode="0%">
                  <c:v>6.8870212984865176E-2</c:v>
                </c:pt>
                <c:pt idx="10" formatCode="0%">
                  <c:v>2.2369047281971598E-2</c:v>
                </c:pt>
                <c:pt idx="12" formatCode="0%">
                  <c:v>6.1545379889299786E-3</c:v>
                </c:pt>
                <c:pt idx="13" formatCode="0%">
                  <c:v>6.3713920715450331E-2</c:v>
                </c:pt>
                <c:pt idx="14" formatCode="0%">
                  <c:v>0.2250495978919845</c:v>
                </c:pt>
                <c:pt idx="15" formatCode="0%">
                  <c:v>0.32640201011631137</c:v>
                </c:pt>
              </c:numCache>
            </c:numRef>
          </c:val>
        </c:ser>
        <c:ser>
          <c:idx val="1"/>
          <c:order val="1"/>
          <c:tx>
            <c:strRef>
              <c:f>IND_internet!$C$79</c:f>
              <c:strCache>
                <c:ptCount val="1"/>
                <c:pt idx="0">
                  <c:v>2013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</c:spPr>
          <c:dLbls>
            <c:dLbl>
              <c:idx val="5"/>
              <c:layout>
                <c:manualLayout>
                  <c:x val="0"/>
                  <c:y val="0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0"/>
                  <c:y val="7.9664570230607981E-2"/>
                </c:manualLayout>
              </c:layout>
              <c:spPr/>
              <c:txPr>
                <a:bodyPr rot="-5400000"/>
                <a:lstStyle/>
                <a:p>
                  <a:pPr>
                    <a:defRPr b="1">
                      <a:solidFill>
                        <a:schemeClr val="bg1"/>
                      </a:solidFill>
                    </a:defRPr>
                  </a:pPr>
                  <a:endParaRPr lang="cs-CZ"/>
                </a:p>
              </c:txPr>
              <c:showVal val="1"/>
            </c:dLbl>
            <c:txPr>
              <a:bodyPr rot="-5400000"/>
              <a:lstStyle/>
              <a:p>
                <a:pPr>
                  <a:defRPr b="1"/>
                </a:pPr>
                <a:endParaRPr lang="cs-CZ"/>
              </a:p>
            </c:txPr>
            <c:showVal val="1"/>
          </c:dLbls>
          <c:cat>
            <c:strRef>
              <c:f>(IND_internet!$A$80:$A$90;IND_internet!$A$92:$A$96)</c:f>
              <c:strCache>
                <c:ptCount val="16"/>
                <c:pt idx="0">
                  <c:v>Celkem 16+</c:v>
                </c:pt>
                <c:pt idx="2">
                  <c:v>muži</c:v>
                </c:pt>
                <c:pt idx="3">
                  <c:v>ženy</c:v>
                </c:pt>
                <c:pt idx="5">
                  <c:v>16–24 let</c:v>
                </c:pt>
                <c:pt idx="6">
                  <c:v>25–34 let</c:v>
                </c:pt>
                <c:pt idx="7">
                  <c:v>35–44 let</c:v>
                </c:pt>
                <c:pt idx="8">
                  <c:v>45–54 let</c:v>
                </c:pt>
                <c:pt idx="9">
                  <c:v>55–64 let</c:v>
                </c:pt>
                <c:pt idx="10">
                  <c:v>65–74 let</c:v>
                </c:pt>
                <c:pt idx="12">
                  <c:v>základní</c:v>
                </c:pt>
                <c:pt idx="13">
                  <c:v>střední bez maturity</c:v>
                </c:pt>
                <c:pt idx="14">
                  <c:v>střední s maturitou</c:v>
                </c:pt>
                <c:pt idx="15">
                  <c:v>vysokoškolské</c:v>
                </c:pt>
              </c:strCache>
            </c:strRef>
          </c:cat>
          <c:val>
            <c:numRef>
              <c:f>(IND_internet!$C$80:$C$90;IND_internet!$C$92:$C$96)</c:f>
              <c:numCache>
                <c:formatCode>General</c:formatCode>
                <c:ptCount val="16"/>
                <c:pt idx="0" formatCode="0%">
                  <c:v>0.34439841852165731</c:v>
                </c:pt>
                <c:pt idx="2" formatCode="0%">
                  <c:v>0.35573059547858621</c:v>
                </c:pt>
                <c:pt idx="3" formatCode="0%">
                  <c:v>0.33381002213235611</c:v>
                </c:pt>
                <c:pt idx="5" formatCode="0%">
                  <c:v>0.5386795079367086</c:v>
                </c:pt>
                <c:pt idx="6" formatCode="0%">
                  <c:v>0.58314935827473302</c:v>
                </c:pt>
                <c:pt idx="7" formatCode="0%">
                  <c:v>0.46938170000946605</c:v>
                </c:pt>
                <c:pt idx="8" formatCode="0%">
                  <c:v>0.32445774201108984</c:v>
                </c:pt>
                <c:pt idx="9" formatCode="0%">
                  <c:v>0.19787599342555967</c:v>
                </c:pt>
                <c:pt idx="10" formatCode="0%">
                  <c:v>6.7039260083443991E-2</c:v>
                </c:pt>
                <c:pt idx="12" formatCode="0%">
                  <c:v>5.3641602617333577E-2</c:v>
                </c:pt>
                <c:pt idx="13" formatCode="0%">
                  <c:v>0.21340359786848395</c:v>
                </c:pt>
                <c:pt idx="14" formatCode="0%">
                  <c:v>0.41381785176501446</c:v>
                </c:pt>
                <c:pt idx="15" formatCode="0%">
                  <c:v>0.53801293887907331</c:v>
                </c:pt>
              </c:numCache>
            </c:numRef>
          </c:val>
        </c:ser>
        <c:dLbls>
          <c:showVal val="1"/>
        </c:dLbls>
        <c:gapWidth val="40"/>
        <c:axId val="171247488"/>
        <c:axId val="171249024"/>
      </c:barChart>
      <c:catAx>
        <c:axId val="171247488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71249024"/>
        <c:crosses val="autoZero"/>
        <c:auto val="1"/>
        <c:lblAlgn val="ctr"/>
        <c:lblOffset val="100"/>
        <c:tickLblSkip val="1"/>
        <c:tickMarkSkip val="1"/>
      </c:catAx>
      <c:valAx>
        <c:axId val="171249024"/>
        <c:scaling>
          <c:orientation val="minMax"/>
        </c:scaling>
        <c:delete val="1"/>
        <c:axPos val="l"/>
        <c:numFmt formatCode="0%" sourceLinked="1"/>
        <c:tickLblPos val="none"/>
        <c:crossAx val="171247488"/>
        <c:crosses val="autoZero"/>
        <c:crossBetween val="between"/>
      </c:valAx>
      <c:spPr>
        <a:solidFill>
          <a:schemeClr val="bg1"/>
        </a:solidFill>
        <a:ln w="12700">
          <a:solidFill>
            <a:schemeClr val="bg1">
              <a:lumMod val="65000"/>
            </a:schemeClr>
          </a:solidFill>
        </a:ln>
      </c:spPr>
    </c:plotArea>
    <c:legend>
      <c:legendPos val="t"/>
      <c:layout>
        <c:manualLayout>
          <c:xMode val="edge"/>
          <c:yMode val="edge"/>
          <c:x val="0.52051712659423288"/>
          <c:y val="8.9979550102249548E-2"/>
          <c:w val="0.39253226812784076"/>
          <c:h val="5.8578383223569376E-2"/>
        </c:manualLayout>
      </c:layout>
      <c:txPr>
        <a:bodyPr/>
        <a:lstStyle/>
        <a:p>
          <a:pPr>
            <a:defRPr b="0"/>
          </a:pPr>
          <a:endParaRPr lang="cs-CZ"/>
        </a:p>
      </c:txPr>
    </c:legend>
    <c:plotVisOnly val="1"/>
    <c:dispBlanksAs val="gap"/>
  </c:chart>
  <c:spPr>
    <a:noFill/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cs-CZ"/>
    </a:p>
  </c:tx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0.37044326776226222"/>
          <c:y val="1.7660044150110375E-2"/>
          <c:w val="0.61329656963611268"/>
          <c:h val="0.93377483443709086"/>
        </c:manualLayout>
      </c:layout>
      <c:barChart>
        <c:barDir val="bar"/>
        <c:grouping val="clustered"/>
        <c:ser>
          <c:idx val="0"/>
          <c:order val="0"/>
          <c:spPr>
            <a:solidFill>
              <a:schemeClr val="accent2">
                <a:lumMod val="75000"/>
              </a:schemeClr>
            </a:solidFill>
          </c:spPr>
          <c:dLbls>
            <c:dLbl>
              <c:idx val="13"/>
              <c:layout>
                <c:manualLayout>
                  <c:x val="-9.2915214866434379E-3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Val val="1"/>
          </c:dLbls>
          <c:cat>
            <c:strRef>
              <c:f>IND_internet!$A$100:$A$113</c:f>
              <c:strCache>
                <c:ptCount val="14"/>
                <c:pt idx="0">
                  <c:v>telekomunikační služby</c:v>
                </c:pt>
                <c:pt idx="1">
                  <c:v>fotoslužby</c:v>
                </c:pt>
                <c:pt idx="2">
                  <c:v>fitness/wellness</c:v>
                </c:pt>
                <c:pt idx="3">
                  <c:v>jiné služby v oblasti cestování</c:v>
                </c:pt>
                <c:pt idx="4">
                  <c:v>ubytování</c:v>
                </c:pt>
                <c:pt idx="5">
                  <c:v>jízdenky/letenky</c:v>
                </c:pt>
                <c:pt idx="6">
                  <c:v>vstupenky </c:v>
                </c:pt>
                <c:pt idx="8">
                  <c:v>bílá technika</c:v>
                </c:pt>
                <c:pt idx="9">
                  <c:v>knihy/časopisy</c:v>
                </c:pt>
                <c:pt idx="10">
                  <c:v>sportovní potřeby</c:v>
                </c:pt>
                <c:pt idx="11">
                  <c:v>elektronika (vč.mobilních telefonů)</c:v>
                </c:pt>
                <c:pt idx="12">
                  <c:v>kosmetika, zdrav. prostředky</c:v>
                </c:pt>
                <c:pt idx="13">
                  <c:v>oblečení, obuv</c:v>
                </c:pt>
              </c:strCache>
            </c:strRef>
          </c:cat>
          <c:val>
            <c:numRef>
              <c:f>IND_internet!$B$100:$B$113</c:f>
              <c:numCache>
                <c:formatCode>0%</c:formatCode>
                <c:ptCount val="14"/>
                <c:pt idx="0">
                  <c:v>6.2000000000000034E-2</c:v>
                </c:pt>
                <c:pt idx="1">
                  <c:v>8.7000000000000022E-2</c:v>
                </c:pt>
                <c:pt idx="2">
                  <c:v>9.5000000000000043E-2</c:v>
                </c:pt>
                <c:pt idx="3">
                  <c:v>0.13400000000000001</c:v>
                </c:pt>
                <c:pt idx="4">
                  <c:v>0.15400000000000019</c:v>
                </c:pt>
                <c:pt idx="5">
                  <c:v>0.15800000000000022</c:v>
                </c:pt>
                <c:pt idx="6">
                  <c:v>0.35800000000000032</c:v>
                </c:pt>
                <c:pt idx="8">
                  <c:v>0.10500000000000002</c:v>
                </c:pt>
                <c:pt idx="9">
                  <c:v>0.16800000000000001</c:v>
                </c:pt>
                <c:pt idx="10">
                  <c:v>0.221</c:v>
                </c:pt>
                <c:pt idx="11">
                  <c:v>0.23200000000000001</c:v>
                </c:pt>
                <c:pt idx="12">
                  <c:v>0.24700000000000019</c:v>
                </c:pt>
                <c:pt idx="13">
                  <c:v>0.46800000000000008</c:v>
                </c:pt>
              </c:numCache>
            </c:numRef>
          </c:val>
        </c:ser>
        <c:gapWidth val="60"/>
        <c:axId val="171273216"/>
        <c:axId val="171291392"/>
      </c:barChart>
      <c:catAx>
        <c:axId val="171273216"/>
        <c:scaling>
          <c:orientation val="minMax"/>
        </c:scaling>
        <c:axPos val="l"/>
        <c:tickLblPos val="nextTo"/>
        <c:crossAx val="171291392"/>
        <c:crosses val="autoZero"/>
        <c:auto val="1"/>
        <c:lblAlgn val="ctr"/>
        <c:lblOffset val="100"/>
      </c:catAx>
      <c:valAx>
        <c:axId val="171291392"/>
        <c:scaling>
          <c:orientation val="minMax"/>
          <c:max val="0.5"/>
          <c:min val="0"/>
        </c:scaling>
        <c:delete val="1"/>
        <c:axPos val="b"/>
        <c:numFmt formatCode="0%" sourceLinked="1"/>
        <c:tickLblPos val="none"/>
        <c:crossAx val="171273216"/>
        <c:crosses val="autoZero"/>
        <c:crossBetween val="between"/>
      </c:valAx>
      <c:spPr>
        <a:ln w="12700">
          <a:solidFill>
            <a:schemeClr val="bg1">
              <a:lumMod val="65000"/>
            </a:schemeClr>
          </a:solidFill>
        </a:ln>
      </c:spPr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1.4648958333333345E-2"/>
          <c:y val="3.78750000000003E-3"/>
          <c:w val="0.96376083553354286"/>
          <c:h val="0.84432828482191657"/>
        </c:manualLayout>
      </c:layout>
      <c:barChart>
        <c:barDir val="col"/>
        <c:grouping val="clustered"/>
        <c:ser>
          <c:idx val="0"/>
          <c:order val="0"/>
          <c:tx>
            <c:strRef>
              <c:f>HH_pocitac!$A$24</c:f>
              <c:strCache>
                <c:ptCount val="1"/>
                <c:pt idx="0">
                  <c:v>bez dětí </c:v>
                </c:pt>
              </c:strCache>
            </c:strRef>
          </c:tx>
          <c:spPr>
            <a:solidFill>
              <a:srgbClr val="FFC000"/>
            </a:solidFill>
            <a:ln w="25400">
              <a:noFill/>
            </a:ln>
          </c:spPr>
          <c:dLbls>
            <c:spPr>
              <a:noFill/>
              <a:ln w="25400">
                <a:noFill/>
              </a:ln>
            </c:spPr>
            <c:showVal val="1"/>
          </c:dLbls>
          <c:cat>
            <c:numRef>
              <c:f>HH_pocitac!$C$23:$I$23</c:f>
              <c:numCache>
                <c:formatCode>General</c:formatCode>
                <c:ptCount val="7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</c:numCache>
            </c:numRef>
          </c:cat>
          <c:val>
            <c:numRef>
              <c:f>HH_pocitac!$C$24:$I$24</c:f>
              <c:numCache>
                <c:formatCode>0%</c:formatCode>
                <c:ptCount val="7"/>
                <c:pt idx="0">
                  <c:v>0.31400000000000039</c:v>
                </c:pt>
                <c:pt idx="1">
                  <c:v>0.39000000000000046</c:v>
                </c:pt>
                <c:pt idx="2">
                  <c:v>0.45300000000000001</c:v>
                </c:pt>
                <c:pt idx="3">
                  <c:v>0.49882812628060036</c:v>
                </c:pt>
                <c:pt idx="4">
                  <c:v>0.56333620858126643</c:v>
                </c:pt>
                <c:pt idx="5">
                  <c:v>0.58449999999999958</c:v>
                </c:pt>
                <c:pt idx="6">
                  <c:v>0.58760000000000001</c:v>
                </c:pt>
              </c:numCache>
            </c:numRef>
          </c:val>
        </c:ser>
        <c:ser>
          <c:idx val="1"/>
          <c:order val="1"/>
          <c:tx>
            <c:strRef>
              <c:f>HH_pocitac!$A$25</c:f>
              <c:strCache>
                <c:ptCount val="1"/>
                <c:pt idx="0">
                  <c:v>s dětmi 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cat>
            <c:numRef>
              <c:f>HH_pocitac!$C$23:$I$23</c:f>
              <c:numCache>
                <c:formatCode>General</c:formatCode>
                <c:ptCount val="7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</c:numCache>
            </c:numRef>
          </c:cat>
          <c:val>
            <c:numRef>
              <c:f>HH_pocitac!$C$25:$I$25</c:f>
              <c:numCache>
                <c:formatCode>0%</c:formatCode>
                <c:ptCount val="7"/>
                <c:pt idx="0">
                  <c:v>0.63000000000000089</c:v>
                </c:pt>
                <c:pt idx="1">
                  <c:v>0.73500000000000065</c:v>
                </c:pt>
                <c:pt idx="2">
                  <c:v>0.81200000000000061</c:v>
                </c:pt>
                <c:pt idx="3">
                  <c:v>0.84840596342784969</c:v>
                </c:pt>
                <c:pt idx="4">
                  <c:v>0.86770230793505831</c:v>
                </c:pt>
                <c:pt idx="5">
                  <c:v>0.91090000000000004</c:v>
                </c:pt>
                <c:pt idx="6">
                  <c:v>0.92290000000000005</c:v>
                </c:pt>
              </c:numCache>
            </c:numRef>
          </c:val>
        </c:ser>
        <c:dLbls>
          <c:showVal val="1"/>
        </c:dLbls>
        <c:gapWidth val="40"/>
        <c:axId val="170537728"/>
        <c:axId val="170539264"/>
      </c:barChart>
      <c:catAx>
        <c:axId val="170537728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b="0" baseline="0"/>
            </a:pPr>
            <a:endParaRPr lang="cs-CZ"/>
          </a:p>
        </c:txPr>
        <c:crossAx val="170539264"/>
        <c:crosses val="autoZero"/>
        <c:auto val="1"/>
        <c:lblAlgn val="ctr"/>
        <c:lblOffset val="100"/>
        <c:tickLblSkip val="1"/>
        <c:tickMarkSkip val="1"/>
      </c:catAx>
      <c:valAx>
        <c:axId val="170539264"/>
        <c:scaling>
          <c:orientation val="minMax"/>
        </c:scaling>
        <c:axPos val="l"/>
        <c:numFmt formatCode="0%" sourceLinked="1"/>
        <c:majorTickMark val="none"/>
        <c:tickLblPos val="none"/>
        <c:crossAx val="170537728"/>
        <c:crosses val="autoZero"/>
        <c:crossBetween val="between"/>
      </c:valAx>
      <c:spPr>
        <a:solidFill>
          <a:schemeClr val="bg1"/>
        </a:solidFill>
        <a:ln w="12700">
          <a:solidFill>
            <a:schemeClr val="bg1">
              <a:lumMod val="65000"/>
            </a:schemeClr>
          </a:solidFill>
        </a:ln>
      </c:spPr>
    </c:plotArea>
    <c:legend>
      <c:legendPos val="t"/>
      <c:layout>
        <c:manualLayout>
          <c:xMode val="edge"/>
          <c:yMode val="edge"/>
          <c:x val="1.4472892875145558E-2"/>
          <c:y val="2.3500244287645862E-2"/>
          <c:w val="0.21847178043142032"/>
          <c:h val="0.17141311881469418"/>
        </c:manualLayout>
      </c:layout>
    </c:legend>
    <c:plotVisOnly val="1"/>
    <c:dispBlanksAs val="gap"/>
  </c:chart>
  <c:spPr>
    <a:noFill/>
    <a:ln w="9525"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cs-CZ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1.8963836416999603E-2"/>
          <c:y val="0"/>
          <c:w val="0.98047485443629889"/>
          <c:h val="0.73770718333927565"/>
        </c:manualLayout>
      </c:layout>
      <c:barChart>
        <c:barDir val="col"/>
        <c:grouping val="clustered"/>
        <c:ser>
          <c:idx val="0"/>
          <c:order val="0"/>
          <c:tx>
            <c:strRef>
              <c:f>HH_pocitac!$A$50</c:f>
              <c:strCache>
                <c:ptCount val="1"/>
                <c:pt idx="0">
                  <c:v>2009</c:v>
                </c:pt>
              </c:strCache>
            </c:strRef>
          </c:tx>
          <c:spPr>
            <a:solidFill>
              <a:srgbClr val="FFC000"/>
            </a:solidFill>
            <a:ln w="25400">
              <a:noFill/>
            </a:ln>
          </c:spPr>
          <c:dLbls>
            <c:dLbl>
              <c:idx val="3"/>
              <c:layout>
                <c:manualLayout>
                  <c:x val="-4.3290072802312984E-3"/>
                  <c:y val="1.6335673276699329E-2"/>
                </c:manualLayout>
              </c:layout>
              <c:dLblPos val="outEnd"/>
              <c:showVal val="1"/>
            </c:dLbl>
            <c:spPr>
              <a:noFill/>
              <a:ln w="25400">
                <a:noFill/>
              </a:ln>
            </c:spPr>
            <c:showVal val="1"/>
          </c:dLbls>
          <c:cat>
            <c:strRef>
              <c:f>HH_pocitac!$B$49:$E$49</c:f>
              <c:strCache>
                <c:ptCount val="4"/>
                <c:pt idx="0">
                  <c:v>první (nejnižší) kvartil</c:v>
                </c:pt>
                <c:pt idx="1">
                  <c:v>druhý kvartil</c:v>
                </c:pt>
                <c:pt idx="2">
                  <c:v>třetí kvartil</c:v>
                </c:pt>
                <c:pt idx="3">
                  <c:v>čtvrtý (nejvyšší) kvartil</c:v>
                </c:pt>
              </c:strCache>
            </c:strRef>
          </c:cat>
          <c:val>
            <c:numRef>
              <c:f>HH_pocitac!$B$50:$E$50</c:f>
              <c:numCache>
                <c:formatCode>0%</c:formatCode>
                <c:ptCount val="4"/>
                <c:pt idx="0">
                  <c:v>0.16499946323768436</c:v>
                </c:pt>
                <c:pt idx="1">
                  <c:v>0.45247620267342631</c:v>
                </c:pt>
                <c:pt idx="2">
                  <c:v>0.77386340995101233</c:v>
                </c:pt>
                <c:pt idx="3">
                  <c:v>0.91272662415273853</c:v>
                </c:pt>
              </c:numCache>
            </c:numRef>
          </c:val>
        </c:ser>
        <c:ser>
          <c:idx val="1"/>
          <c:order val="1"/>
          <c:tx>
            <c:strRef>
              <c:f>HH_pocitac!$A$51</c:f>
              <c:strCache>
                <c:ptCount val="1"/>
                <c:pt idx="0">
                  <c:v>2013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dLbls>
            <c:dLbl>
              <c:idx val="3"/>
              <c:layout>
                <c:manualLayout>
                  <c:x val="2.1403021033521512E-3"/>
                  <c:y val="8.9755473869266855E-3"/>
                </c:manualLayout>
              </c:layout>
              <c:dLblPos val="outEnd"/>
              <c:showVal val="1"/>
            </c:dLbl>
            <c:showVal val="1"/>
          </c:dLbls>
          <c:cat>
            <c:strRef>
              <c:f>HH_pocitac!$B$49:$E$49</c:f>
              <c:strCache>
                <c:ptCount val="4"/>
                <c:pt idx="0">
                  <c:v>první (nejnižší) kvartil</c:v>
                </c:pt>
                <c:pt idx="1">
                  <c:v>druhý kvartil</c:v>
                </c:pt>
                <c:pt idx="2">
                  <c:v>třetí kvartil</c:v>
                </c:pt>
                <c:pt idx="3">
                  <c:v>čtvrtý (nejvyšší) kvartil</c:v>
                </c:pt>
              </c:strCache>
            </c:strRef>
          </c:cat>
          <c:val>
            <c:numRef>
              <c:f>HH_pocitac!$B$51:$E$51</c:f>
              <c:numCache>
                <c:formatCode>0%</c:formatCode>
                <c:ptCount val="4"/>
                <c:pt idx="0">
                  <c:v>0.30350495825081353</c:v>
                </c:pt>
                <c:pt idx="1">
                  <c:v>0.52441508801054559</c:v>
                </c:pt>
                <c:pt idx="2">
                  <c:v>0.87631547773258789</c:v>
                </c:pt>
                <c:pt idx="3">
                  <c:v>0.95512517491783899</c:v>
                </c:pt>
              </c:numCache>
            </c:numRef>
          </c:val>
        </c:ser>
        <c:dLbls>
          <c:showVal val="1"/>
        </c:dLbls>
        <c:gapWidth val="40"/>
        <c:axId val="170577280"/>
        <c:axId val="170787968"/>
      </c:barChart>
      <c:catAx>
        <c:axId val="170577280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b="0"/>
            </a:pPr>
            <a:endParaRPr lang="cs-CZ"/>
          </a:p>
        </c:txPr>
        <c:crossAx val="170787968"/>
        <c:crosses val="autoZero"/>
        <c:auto val="1"/>
        <c:lblAlgn val="ctr"/>
        <c:lblOffset val="100"/>
        <c:tickLblSkip val="1"/>
        <c:tickMarkSkip val="1"/>
      </c:catAx>
      <c:valAx>
        <c:axId val="170787968"/>
        <c:scaling>
          <c:orientation val="minMax"/>
        </c:scaling>
        <c:delete val="1"/>
        <c:axPos val="l"/>
        <c:numFmt formatCode="0%" sourceLinked="1"/>
        <c:tickLblPos val="none"/>
        <c:crossAx val="170577280"/>
        <c:crosses val="autoZero"/>
        <c:crossBetween val="between"/>
      </c:valAx>
      <c:spPr>
        <a:solidFill>
          <a:schemeClr val="bg1"/>
        </a:solidFill>
        <a:ln w="12700">
          <a:solidFill>
            <a:schemeClr val="bg1">
              <a:lumMod val="65000"/>
            </a:schemeClr>
          </a:solidFill>
        </a:ln>
      </c:spPr>
    </c:plotArea>
    <c:legend>
      <c:legendPos val="t"/>
      <c:layout>
        <c:manualLayout>
          <c:xMode val="edge"/>
          <c:yMode val="edge"/>
          <c:x val="2.5376927221845615E-2"/>
          <c:y val="4.4217512458519813E-2"/>
          <c:w val="0.40496428012723723"/>
          <c:h val="7.3073641125255828E-2"/>
        </c:manualLayout>
      </c:layout>
    </c:legend>
    <c:plotVisOnly val="1"/>
    <c:dispBlanksAs val="gap"/>
  </c:chart>
  <c:spPr>
    <a:noFill/>
    <a:ln w="9525"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cs-CZ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4.3564071462346594E-2"/>
          <c:y val="1.1127683929376669E-3"/>
          <c:w val="0.93143589427300943"/>
          <c:h val="0.75510800211455731"/>
        </c:manualLayout>
      </c:layout>
      <c:barChart>
        <c:barDir val="col"/>
        <c:grouping val="clustered"/>
        <c:ser>
          <c:idx val="0"/>
          <c:order val="0"/>
          <c:tx>
            <c:strRef>
              <c:f>HH_pocitac!$A$70</c:f>
              <c:strCache>
                <c:ptCount val="1"/>
                <c:pt idx="0">
                  <c:v>2009</c:v>
                </c:pt>
              </c:strCache>
            </c:strRef>
          </c:tx>
          <c:spPr>
            <a:solidFill>
              <a:srgbClr val="FFC000"/>
            </a:solidFill>
            <a:ln w="25400">
              <a:noFill/>
            </a:ln>
          </c:spPr>
          <c:dLbls>
            <c:spPr>
              <a:noFill/>
              <a:ln w="25400">
                <a:noFill/>
              </a:ln>
            </c:spPr>
            <c:showVal val="1"/>
          </c:dLbls>
          <c:cat>
            <c:strRef>
              <c:f>HH_pocitac!$B$69:$E$69</c:f>
              <c:strCache>
                <c:ptCount val="4"/>
                <c:pt idx="0">
                  <c:v>osobní počítač
celkem</c:v>
                </c:pt>
                <c:pt idx="1">
                  <c:v>stolní
počítač</c:v>
                </c:pt>
                <c:pt idx="2">
                  <c:v>přenosný
počítač</c:v>
                </c:pt>
                <c:pt idx="3">
                  <c:v>dva a více
počítačů</c:v>
                </c:pt>
              </c:strCache>
            </c:strRef>
          </c:cat>
          <c:val>
            <c:numRef>
              <c:f>HH_pocitac!$B$70:$E$70</c:f>
              <c:numCache>
                <c:formatCode>0%</c:formatCode>
                <c:ptCount val="4"/>
                <c:pt idx="0">
                  <c:v>0.54172850472103951</c:v>
                </c:pt>
                <c:pt idx="1">
                  <c:v>0.45919682026827702</c:v>
                </c:pt>
                <c:pt idx="2">
                  <c:v>0.19643449253859332</c:v>
                </c:pt>
                <c:pt idx="3">
                  <c:v>0.13500582031664718</c:v>
                </c:pt>
              </c:numCache>
            </c:numRef>
          </c:val>
        </c:ser>
        <c:ser>
          <c:idx val="1"/>
          <c:order val="1"/>
          <c:tx>
            <c:strRef>
              <c:f>HH_pocitac!$A$71</c:f>
              <c:strCache>
                <c:ptCount val="1"/>
                <c:pt idx="0">
                  <c:v>2013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cat>
            <c:strRef>
              <c:f>HH_pocitac!$B$69:$E$69</c:f>
              <c:strCache>
                <c:ptCount val="4"/>
                <c:pt idx="0">
                  <c:v>osobní počítač
celkem</c:v>
                </c:pt>
                <c:pt idx="1">
                  <c:v>stolní
počítač</c:v>
                </c:pt>
                <c:pt idx="2">
                  <c:v>přenosný
počítač</c:v>
                </c:pt>
                <c:pt idx="3">
                  <c:v>dva a více
počítačů</c:v>
                </c:pt>
              </c:strCache>
            </c:strRef>
          </c:cat>
          <c:val>
            <c:numRef>
              <c:f>HH_pocitac!$B$71:$E$71</c:f>
              <c:numCache>
                <c:formatCode>0%</c:formatCode>
                <c:ptCount val="4"/>
                <c:pt idx="0">
                  <c:v>0.68100000000000005</c:v>
                </c:pt>
                <c:pt idx="1">
                  <c:v>0.46300000000000002</c:v>
                </c:pt>
                <c:pt idx="2">
                  <c:v>0.43100000000000038</c:v>
                </c:pt>
                <c:pt idx="3">
                  <c:v>0.26700000000000002</c:v>
                </c:pt>
              </c:numCache>
            </c:numRef>
          </c:val>
        </c:ser>
        <c:dLbls>
          <c:showVal val="1"/>
        </c:dLbls>
        <c:gapWidth val="60"/>
        <c:axId val="170804736"/>
        <c:axId val="170806272"/>
      </c:barChart>
      <c:catAx>
        <c:axId val="170804736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b="0"/>
            </a:pPr>
            <a:endParaRPr lang="cs-CZ"/>
          </a:p>
        </c:txPr>
        <c:crossAx val="170806272"/>
        <c:crosses val="autoZero"/>
        <c:auto val="1"/>
        <c:lblAlgn val="ctr"/>
        <c:lblOffset val="100"/>
        <c:tickLblSkip val="1"/>
        <c:tickMarkSkip val="1"/>
      </c:catAx>
      <c:valAx>
        <c:axId val="170806272"/>
        <c:scaling>
          <c:orientation val="minMax"/>
          <c:max val="1"/>
        </c:scaling>
        <c:axPos val="l"/>
        <c:numFmt formatCode="0%" sourceLinked="1"/>
        <c:majorTickMark val="none"/>
        <c:tickLblPos val="none"/>
        <c:crossAx val="170804736"/>
        <c:crosses val="autoZero"/>
        <c:crossBetween val="between"/>
      </c:valAx>
      <c:spPr>
        <a:solidFill>
          <a:schemeClr val="bg1"/>
        </a:solidFill>
        <a:ln w="12700">
          <a:solidFill>
            <a:schemeClr val="bg1">
              <a:lumMod val="65000"/>
            </a:schemeClr>
          </a:solidFill>
        </a:ln>
      </c:spPr>
    </c:plotArea>
    <c:legend>
      <c:legendPos val="t"/>
      <c:layout>
        <c:manualLayout>
          <c:xMode val="edge"/>
          <c:yMode val="edge"/>
          <c:x val="0.57721923832368971"/>
          <c:y val="4.0816307653173574E-2"/>
          <c:w val="0.39564026351010906"/>
          <c:h val="7.3073641125255828E-2"/>
        </c:manualLayout>
      </c:layout>
    </c:legend>
    <c:plotVisOnly val="1"/>
    <c:dispBlanksAs val="gap"/>
  </c:chart>
  <c:spPr>
    <a:noFill/>
    <a:ln w="9525"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cs-CZ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8275058275058245E-3"/>
          <c:y val="2.15209705929616E-2"/>
          <c:w val="0.98951161575750257"/>
          <c:h val="0.86133510096952171"/>
        </c:manualLayout>
      </c:layout>
      <c:barChart>
        <c:barDir val="col"/>
        <c:grouping val="clustered"/>
        <c:ser>
          <c:idx val="0"/>
          <c:order val="0"/>
          <c:tx>
            <c:strRef>
              <c:f>HH_internet!$B$2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rgbClr val="FFC000"/>
            </a:solidFill>
            <a:ln w="25400">
              <a:noFill/>
            </a:ln>
          </c:spPr>
          <c:dLbls>
            <c:spPr>
              <a:noFill/>
              <a:ln w="25400">
                <a:noFill/>
              </a:ln>
            </c:spPr>
            <c:showVal val="1"/>
          </c:dLbls>
          <c:cat>
            <c:numRef>
              <c:f>HH_internet!$A$4:$A$10</c:f>
              <c:numCache>
                <c:formatCode>General</c:formatCode>
                <c:ptCount val="7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</c:numCache>
            </c:numRef>
          </c:cat>
          <c:val>
            <c:numRef>
              <c:f>HH_internet!$B$4:$B$10</c:f>
              <c:numCache>
                <c:formatCode>0%</c:formatCode>
                <c:ptCount val="7"/>
                <c:pt idx="0">
                  <c:v>0.32000000000000045</c:v>
                </c:pt>
                <c:pt idx="1">
                  <c:v>0.41700000000000031</c:v>
                </c:pt>
                <c:pt idx="2">
                  <c:v>0.49200000000000038</c:v>
                </c:pt>
                <c:pt idx="3">
                  <c:v>0.56000000000000005</c:v>
                </c:pt>
                <c:pt idx="4">
                  <c:v>0.61696875795287165</c:v>
                </c:pt>
                <c:pt idx="5">
                  <c:v>0.65400000000000102</c:v>
                </c:pt>
                <c:pt idx="6">
                  <c:v>0.67000000000000104</c:v>
                </c:pt>
              </c:numCache>
            </c:numRef>
          </c:val>
        </c:ser>
        <c:ser>
          <c:idx val="1"/>
          <c:order val="1"/>
          <c:tx>
            <c:strRef>
              <c:f>HH_internet!$C$2</c:f>
              <c:strCache>
                <c:ptCount val="1"/>
                <c:pt idx="0">
                  <c:v>s vysokorychlostním připojením</c:v>
                </c:pt>
              </c:strCache>
            </c:strRef>
          </c:tx>
          <c:spPr>
            <a:solidFill>
              <a:srgbClr val="E46C0A"/>
            </a:solidFill>
          </c:spPr>
          <c:cat>
            <c:numRef>
              <c:f>HH_internet!$A$4:$A$10</c:f>
              <c:numCache>
                <c:formatCode>General</c:formatCode>
                <c:ptCount val="7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</c:numCache>
            </c:numRef>
          </c:cat>
          <c:val>
            <c:numRef>
              <c:f>HH_internet!$C$4:$C$10</c:f>
              <c:numCache>
                <c:formatCode>0%</c:formatCode>
                <c:ptCount val="7"/>
                <c:pt idx="0">
                  <c:v>0.25600000000000001</c:v>
                </c:pt>
                <c:pt idx="1">
                  <c:v>0.33100000000000052</c:v>
                </c:pt>
                <c:pt idx="2">
                  <c:v>0.44400000000000001</c:v>
                </c:pt>
                <c:pt idx="3">
                  <c:v>0.50900000000000001</c:v>
                </c:pt>
                <c:pt idx="4">
                  <c:v>0.58799999999999997</c:v>
                </c:pt>
                <c:pt idx="5">
                  <c:v>0.62510000000000077</c:v>
                </c:pt>
                <c:pt idx="6">
                  <c:v>0.6400000000000009</c:v>
                </c:pt>
              </c:numCache>
            </c:numRef>
          </c:val>
        </c:ser>
        <c:dLbls>
          <c:showVal val="1"/>
        </c:dLbls>
        <c:gapWidth val="120"/>
        <c:axId val="170856448"/>
        <c:axId val="170857984"/>
      </c:barChart>
      <c:catAx>
        <c:axId val="170856448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b="0"/>
            </a:pPr>
            <a:endParaRPr lang="cs-CZ"/>
          </a:p>
        </c:txPr>
        <c:crossAx val="170857984"/>
        <c:crosses val="autoZero"/>
        <c:auto val="1"/>
        <c:lblAlgn val="ctr"/>
        <c:lblOffset val="100"/>
        <c:tickLblSkip val="1"/>
        <c:tickMarkSkip val="1"/>
      </c:catAx>
      <c:valAx>
        <c:axId val="170857984"/>
        <c:scaling>
          <c:orientation val="minMax"/>
          <c:max val="1"/>
        </c:scaling>
        <c:axPos val="l"/>
        <c:numFmt formatCode="0%" sourceLinked="1"/>
        <c:majorTickMark val="none"/>
        <c:tickLblPos val="none"/>
        <c:crossAx val="170856448"/>
        <c:crosses val="autoZero"/>
        <c:crossBetween val="between"/>
      </c:valAx>
      <c:spPr>
        <a:solidFill>
          <a:schemeClr val="bg1"/>
        </a:solidFill>
        <a:ln w="12700">
          <a:solidFill>
            <a:schemeClr val="bg1">
              <a:lumMod val="65000"/>
            </a:schemeClr>
          </a:solidFill>
        </a:ln>
      </c:spPr>
    </c:plotArea>
    <c:legend>
      <c:legendPos val="t"/>
      <c:layout>
        <c:manualLayout>
          <c:xMode val="edge"/>
          <c:yMode val="edge"/>
          <c:x val="1.3100415428203943E-2"/>
          <c:y val="4.7619241560322177E-2"/>
          <c:w val="0.40271826219091117"/>
          <c:h val="8.5319485926328181E-2"/>
        </c:manualLayout>
      </c:layout>
      <c:txPr>
        <a:bodyPr/>
        <a:lstStyle/>
        <a:p>
          <a:pPr>
            <a:defRPr b="0"/>
          </a:pPr>
          <a:endParaRPr lang="cs-CZ"/>
        </a:p>
      </c:txPr>
    </c:legend>
    <c:plotVisOnly val="1"/>
    <c:dispBlanksAs val="gap"/>
  </c:chart>
  <c:spPr>
    <a:noFill/>
    <a:ln w="9525"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cs-CZ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0.23668985126859138"/>
          <c:y val="0.125"/>
          <c:w val="0.7151364829396325"/>
          <c:h val="0.830516914552345"/>
        </c:manualLayout>
      </c:layout>
      <c:barChart>
        <c:barDir val="bar"/>
        <c:grouping val="clustered"/>
        <c:ser>
          <c:idx val="0"/>
          <c:order val="0"/>
          <c:tx>
            <c:strRef>
              <c:f>HH_internet!$Q$22</c:f>
              <c:strCache>
                <c:ptCount val="1"/>
                <c:pt idx="0">
                  <c:v>2007</c:v>
                </c:pt>
              </c:strCache>
            </c:strRef>
          </c:tx>
          <c:spPr>
            <a:solidFill>
              <a:srgbClr val="FFC000"/>
            </a:solidFill>
          </c:spPr>
          <c:dLbls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Val val="1"/>
          </c:dLbls>
          <c:cat>
            <c:strRef>
              <c:f>HH_internet!$N$23:$N$26</c:f>
              <c:strCache>
                <c:ptCount val="4"/>
                <c:pt idx="0">
                  <c:v>TV kabel</c:v>
                </c:pt>
                <c:pt idx="1">
                  <c:v>ADSL</c:v>
                </c:pt>
                <c:pt idx="2">
                  <c:v>bezdrátové (Wi-Fi)</c:v>
                </c:pt>
                <c:pt idx="3">
                  <c:v>dial-up, ISDN</c:v>
                </c:pt>
              </c:strCache>
            </c:strRef>
          </c:cat>
          <c:val>
            <c:numRef>
              <c:f>HH_internet!$Q$23:$Q$26</c:f>
              <c:numCache>
                <c:formatCode>0.0%</c:formatCode>
                <c:ptCount val="4"/>
                <c:pt idx="0">
                  <c:v>0.2266995</c:v>
                </c:pt>
                <c:pt idx="1">
                  <c:v>0.25951030000000008</c:v>
                </c:pt>
                <c:pt idx="2">
                  <c:v>0.22320818000000026</c:v>
                </c:pt>
                <c:pt idx="3">
                  <c:v>0.28812635000000031</c:v>
                </c:pt>
              </c:numCache>
            </c:numRef>
          </c:val>
        </c:ser>
        <c:ser>
          <c:idx val="1"/>
          <c:order val="1"/>
          <c:tx>
            <c:strRef>
              <c:f>HH_internet!$R$22</c:f>
              <c:strCache>
                <c:ptCount val="1"/>
                <c:pt idx="0">
                  <c:v>2013</c:v>
                </c:pt>
              </c:strCache>
            </c:strRef>
          </c:tx>
          <c:spPr>
            <a:solidFill>
              <a:srgbClr val="F79646">
                <a:lumMod val="75000"/>
              </a:srgbClr>
            </a:solidFill>
          </c:spPr>
          <c:dLbls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Val val="1"/>
          </c:dLbls>
          <c:cat>
            <c:strRef>
              <c:f>HH_internet!$N$23:$N$26</c:f>
              <c:strCache>
                <c:ptCount val="4"/>
                <c:pt idx="0">
                  <c:v>TV kabel</c:v>
                </c:pt>
                <c:pt idx="1">
                  <c:v>ADSL</c:v>
                </c:pt>
                <c:pt idx="2">
                  <c:v>bezdrátové (Wi-Fi)</c:v>
                </c:pt>
                <c:pt idx="3">
                  <c:v>dial-up, ISDN</c:v>
                </c:pt>
              </c:strCache>
            </c:strRef>
          </c:cat>
          <c:val>
            <c:numRef>
              <c:f>HH_internet!$R$23:$R$26</c:f>
              <c:numCache>
                <c:formatCode>0.0%</c:formatCode>
                <c:ptCount val="4"/>
                <c:pt idx="0">
                  <c:v>0.21300000000000019</c:v>
                </c:pt>
                <c:pt idx="1">
                  <c:v>0.224</c:v>
                </c:pt>
                <c:pt idx="2">
                  <c:v>0.501</c:v>
                </c:pt>
                <c:pt idx="3">
                  <c:v>4.0000000000000022E-2</c:v>
                </c:pt>
              </c:numCache>
            </c:numRef>
          </c:val>
        </c:ser>
        <c:gapWidth val="60"/>
        <c:axId val="170903808"/>
        <c:axId val="170913792"/>
      </c:barChart>
      <c:catAx>
        <c:axId val="170903808"/>
        <c:scaling>
          <c:orientation val="minMax"/>
        </c:scaling>
        <c:axPos val="l"/>
        <c:tickLblPos val="nextTo"/>
        <c:crossAx val="170913792"/>
        <c:crosses val="autoZero"/>
        <c:auto val="1"/>
        <c:lblAlgn val="ctr"/>
        <c:lblOffset val="100"/>
      </c:catAx>
      <c:valAx>
        <c:axId val="170913792"/>
        <c:scaling>
          <c:orientation val="minMax"/>
        </c:scaling>
        <c:delete val="1"/>
        <c:axPos val="b"/>
        <c:numFmt formatCode="0.0%" sourceLinked="1"/>
        <c:tickLblPos val="none"/>
        <c:crossAx val="170903808"/>
        <c:crosses val="autoZero"/>
        <c:crossBetween val="between"/>
      </c:valAx>
      <c:spPr>
        <a:ln w="12700">
          <a:solidFill>
            <a:schemeClr val="bg1">
              <a:lumMod val="6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40599584426946767"/>
          <c:y val="7.1485855934674098E-4"/>
          <c:w val="0.30789304461942257"/>
          <c:h val="0.10042213473315872"/>
        </c:manualLayout>
      </c:layout>
    </c:legend>
    <c:plotVisOnly val="1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7.9954656307569302E-2"/>
          <c:y val="3.6461476798158851E-2"/>
          <c:w val="0.89892113079856761"/>
          <c:h val="0.65406125958393402"/>
        </c:manualLayout>
      </c:layout>
      <c:barChart>
        <c:barDir val="col"/>
        <c:grouping val="clustered"/>
        <c:ser>
          <c:idx val="1"/>
          <c:order val="1"/>
          <c:tx>
            <c:strRef>
              <c:f>HH_pocitac!$E$92</c:f>
              <c:strCache>
                <c:ptCount val="1"/>
                <c:pt idx="0">
                  <c:v>2. čtvrtletí 2012</c:v>
                </c:pt>
              </c:strCache>
            </c:strRef>
          </c:tx>
          <c:spPr>
            <a:solidFill>
              <a:srgbClr val="F79646">
                <a:lumMod val="75000"/>
              </a:srgbClr>
            </a:solidFill>
          </c:spPr>
          <c:cat>
            <c:strRef>
              <c:f>HH_pocitac!$A$93:$A$120</c:f>
              <c:strCache>
                <c:ptCount val="28"/>
                <c:pt idx="0">
                  <c:v>Nizozemsko</c:v>
                </c:pt>
                <c:pt idx="1">
                  <c:v>Lucembursko</c:v>
                </c:pt>
                <c:pt idx="2">
                  <c:v>Švédsko</c:v>
                </c:pt>
                <c:pt idx="3">
                  <c:v>Dánsko</c:v>
                </c:pt>
                <c:pt idx="4">
                  <c:v>Německo</c:v>
                </c:pt>
                <c:pt idx="5">
                  <c:v>Finsko</c:v>
                </c:pt>
                <c:pt idx="6">
                  <c:v>Spojené království</c:v>
                </c:pt>
                <c:pt idx="7">
                  <c:v>Irsko</c:v>
                </c:pt>
                <c:pt idx="8">
                  <c:v>Belgie</c:v>
                </c:pt>
                <c:pt idx="9">
                  <c:v>Francie</c:v>
                </c:pt>
                <c:pt idx="10">
                  <c:v>Rakousko</c:v>
                </c:pt>
                <c:pt idx="11">
                  <c:v>EU27 průměr</c:v>
                </c:pt>
                <c:pt idx="12">
                  <c:v>Malta</c:v>
                </c:pt>
                <c:pt idx="13">
                  <c:v>Slovensko</c:v>
                </c:pt>
                <c:pt idx="14">
                  <c:v>Slovinsko</c:v>
                </c:pt>
                <c:pt idx="15">
                  <c:v>Španělsko</c:v>
                </c:pt>
                <c:pt idx="16">
                  <c:v>Estonsko</c:v>
                </c:pt>
                <c:pt idx="17">
                  <c:v>Polsko</c:v>
                </c:pt>
                <c:pt idx="18">
                  <c:v>Česká republika</c:v>
                </c:pt>
                <c:pt idx="19">
                  <c:v>Maďarsko</c:v>
                </c:pt>
                <c:pt idx="20">
                  <c:v>Itálie</c:v>
                </c:pt>
                <c:pt idx="21">
                  <c:v>Lotyšsko</c:v>
                </c:pt>
                <c:pt idx="22">
                  <c:v>Kypr</c:v>
                </c:pt>
                <c:pt idx="23">
                  <c:v>Portugalsko</c:v>
                </c:pt>
                <c:pt idx="24">
                  <c:v>Litva</c:v>
                </c:pt>
                <c:pt idx="25">
                  <c:v>Řecko</c:v>
                </c:pt>
                <c:pt idx="26">
                  <c:v>Rumunsko</c:v>
                </c:pt>
                <c:pt idx="27">
                  <c:v>Bulharsko</c:v>
                </c:pt>
              </c:strCache>
            </c:strRef>
          </c:cat>
          <c:val>
            <c:numRef>
              <c:f>HH_pocitac!$E$93:$E$120</c:f>
              <c:numCache>
                <c:formatCode>0%</c:formatCode>
                <c:ptCount val="28"/>
                <c:pt idx="0">
                  <c:v>0.94159999999999999</c:v>
                </c:pt>
                <c:pt idx="1">
                  <c:v>0.92130000000000001</c:v>
                </c:pt>
                <c:pt idx="2">
                  <c:v>0.92290000000000005</c:v>
                </c:pt>
                <c:pt idx="3">
                  <c:v>0.90439999999999998</c:v>
                </c:pt>
                <c:pt idx="4">
                  <c:v>0.87100000000000077</c:v>
                </c:pt>
                <c:pt idx="5">
                  <c:v>0.87560000000000104</c:v>
                </c:pt>
                <c:pt idx="6">
                  <c:v>0.87220000000000064</c:v>
                </c:pt>
                <c:pt idx="7">
                  <c:v>0.82750000000000001</c:v>
                </c:pt>
                <c:pt idx="8">
                  <c:v>0.80330000000000001</c:v>
                </c:pt>
                <c:pt idx="9">
                  <c:v>0.81010000000000004</c:v>
                </c:pt>
                <c:pt idx="10">
                  <c:v>0.81299999999999994</c:v>
                </c:pt>
                <c:pt idx="11">
                  <c:v>0.77850000000000064</c:v>
                </c:pt>
                <c:pt idx="12">
                  <c:v>0.78320000000000012</c:v>
                </c:pt>
                <c:pt idx="13">
                  <c:v>0.78810000000000002</c:v>
                </c:pt>
                <c:pt idx="14">
                  <c:v>0.76100000000000079</c:v>
                </c:pt>
                <c:pt idx="15">
                  <c:v>0.73910000000000065</c:v>
                </c:pt>
                <c:pt idx="16">
                  <c:v>0.75510000000000088</c:v>
                </c:pt>
                <c:pt idx="17">
                  <c:v>0.73370000000000091</c:v>
                </c:pt>
                <c:pt idx="18">
                  <c:v>0.72500000000000064</c:v>
                </c:pt>
                <c:pt idx="19">
                  <c:v>0.71430000000000005</c:v>
                </c:pt>
                <c:pt idx="20">
                  <c:v>0.67090000000000105</c:v>
                </c:pt>
                <c:pt idx="21">
                  <c:v>0.69520000000000015</c:v>
                </c:pt>
                <c:pt idx="22">
                  <c:v>0.69680000000000064</c:v>
                </c:pt>
                <c:pt idx="23">
                  <c:v>0.66100000000000103</c:v>
                </c:pt>
                <c:pt idx="24">
                  <c:v>0.63580000000000103</c:v>
                </c:pt>
                <c:pt idx="25">
                  <c:v>0.56790000000000063</c:v>
                </c:pt>
                <c:pt idx="26">
                  <c:v>0.56710000000000005</c:v>
                </c:pt>
                <c:pt idx="27">
                  <c:v>0.52329999999999999</c:v>
                </c:pt>
              </c:numCache>
            </c:numRef>
          </c:val>
        </c:ser>
        <c:gapWidth val="50"/>
        <c:axId val="170928000"/>
        <c:axId val="170929536"/>
      </c:barChart>
      <c:barChart>
        <c:barDir val="col"/>
        <c:grouping val="clustered"/>
        <c:ser>
          <c:idx val="0"/>
          <c:order val="0"/>
          <c:tx>
            <c:strRef>
              <c:f>HH_pocitac!$D$92</c:f>
              <c:strCache>
                <c:ptCount val="1"/>
                <c:pt idx="0">
                  <c:v>2. čtvrtletí 2007</c:v>
                </c:pt>
              </c:strCache>
            </c:strRef>
          </c:tx>
          <c:spPr>
            <a:solidFill>
              <a:srgbClr val="FFC000"/>
            </a:solidFill>
          </c:spPr>
          <c:cat>
            <c:strRef>
              <c:f>HH_pocitac!$A$93:$A$120</c:f>
              <c:strCache>
                <c:ptCount val="28"/>
                <c:pt idx="0">
                  <c:v>Nizozemsko</c:v>
                </c:pt>
                <c:pt idx="1">
                  <c:v>Lucembursko</c:v>
                </c:pt>
                <c:pt idx="2">
                  <c:v>Švédsko</c:v>
                </c:pt>
                <c:pt idx="3">
                  <c:v>Dánsko</c:v>
                </c:pt>
                <c:pt idx="4">
                  <c:v>Německo</c:v>
                </c:pt>
                <c:pt idx="5">
                  <c:v>Finsko</c:v>
                </c:pt>
                <c:pt idx="6">
                  <c:v>Spojené království</c:v>
                </c:pt>
                <c:pt idx="7">
                  <c:v>Irsko</c:v>
                </c:pt>
                <c:pt idx="8">
                  <c:v>Belgie</c:v>
                </c:pt>
                <c:pt idx="9">
                  <c:v>Francie</c:v>
                </c:pt>
                <c:pt idx="10">
                  <c:v>Rakousko</c:v>
                </c:pt>
                <c:pt idx="11">
                  <c:v>EU27 průměr</c:v>
                </c:pt>
                <c:pt idx="12">
                  <c:v>Malta</c:v>
                </c:pt>
                <c:pt idx="13">
                  <c:v>Slovensko</c:v>
                </c:pt>
                <c:pt idx="14">
                  <c:v>Slovinsko</c:v>
                </c:pt>
                <c:pt idx="15">
                  <c:v>Španělsko</c:v>
                </c:pt>
                <c:pt idx="16">
                  <c:v>Estonsko</c:v>
                </c:pt>
                <c:pt idx="17">
                  <c:v>Polsko</c:v>
                </c:pt>
                <c:pt idx="18">
                  <c:v>Česká republika</c:v>
                </c:pt>
                <c:pt idx="19">
                  <c:v>Maďarsko</c:v>
                </c:pt>
                <c:pt idx="20">
                  <c:v>Itálie</c:v>
                </c:pt>
                <c:pt idx="21">
                  <c:v>Lotyšsko</c:v>
                </c:pt>
                <c:pt idx="22">
                  <c:v>Kypr</c:v>
                </c:pt>
                <c:pt idx="23">
                  <c:v>Portugalsko</c:v>
                </c:pt>
                <c:pt idx="24">
                  <c:v>Litva</c:v>
                </c:pt>
                <c:pt idx="25">
                  <c:v>Řecko</c:v>
                </c:pt>
                <c:pt idx="26">
                  <c:v>Rumunsko</c:v>
                </c:pt>
                <c:pt idx="27">
                  <c:v>Bulharsko</c:v>
                </c:pt>
              </c:strCache>
            </c:strRef>
          </c:cat>
          <c:val>
            <c:numRef>
              <c:f>HH_pocitac!$D$93:$D$120</c:f>
              <c:numCache>
                <c:formatCode>0%</c:formatCode>
                <c:ptCount val="28"/>
                <c:pt idx="0">
                  <c:v>0.86300000000000077</c:v>
                </c:pt>
                <c:pt idx="1">
                  <c:v>0.79970000000000063</c:v>
                </c:pt>
                <c:pt idx="2">
                  <c:v>0.82870000000000077</c:v>
                </c:pt>
                <c:pt idx="3">
                  <c:v>0.82959999999999989</c:v>
                </c:pt>
                <c:pt idx="4">
                  <c:v>0.78649999999999987</c:v>
                </c:pt>
                <c:pt idx="5">
                  <c:v>0.73960000000000103</c:v>
                </c:pt>
                <c:pt idx="6">
                  <c:v>0.75380000000000091</c:v>
                </c:pt>
                <c:pt idx="7">
                  <c:v>0.65490000000000104</c:v>
                </c:pt>
                <c:pt idx="8">
                  <c:v>0.67200000000000104</c:v>
                </c:pt>
                <c:pt idx="9">
                  <c:v>0.65600000000000103</c:v>
                </c:pt>
                <c:pt idx="10">
                  <c:v>0.70740000000000014</c:v>
                </c:pt>
                <c:pt idx="11">
                  <c:v>0.64490000000000114</c:v>
                </c:pt>
                <c:pt idx="12">
                  <c:v>0.62640000000000062</c:v>
                </c:pt>
                <c:pt idx="13">
                  <c:v>0.55430000000000001</c:v>
                </c:pt>
                <c:pt idx="14">
                  <c:v>0.66000000000000103</c:v>
                </c:pt>
                <c:pt idx="15">
                  <c:v>0.60390000000000077</c:v>
                </c:pt>
                <c:pt idx="16">
                  <c:v>0.57199999999999995</c:v>
                </c:pt>
                <c:pt idx="17">
                  <c:v>0.53690000000000004</c:v>
                </c:pt>
                <c:pt idx="18">
                  <c:v>0.43400000000000039</c:v>
                </c:pt>
                <c:pt idx="19">
                  <c:v>0.53520000000000001</c:v>
                </c:pt>
                <c:pt idx="20">
                  <c:v>0.53380000000000005</c:v>
                </c:pt>
                <c:pt idx="21">
                  <c:v>0.49220000000000008</c:v>
                </c:pt>
                <c:pt idx="22">
                  <c:v>0.53049999999999997</c:v>
                </c:pt>
                <c:pt idx="23">
                  <c:v>0.48320000000000002</c:v>
                </c:pt>
                <c:pt idx="24">
                  <c:v>0.46270000000000006</c:v>
                </c:pt>
                <c:pt idx="25">
                  <c:v>0.4017</c:v>
                </c:pt>
                <c:pt idx="26">
                  <c:v>0.34</c:v>
                </c:pt>
                <c:pt idx="27">
                  <c:v>0.23330000000000001</c:v>
                </c:pt>
              </c:numCache>
            </c:numRef>
          </c:val>
        </c:ser>
        <c:gapWidth val="222"/>
        <c:axId val="170957440"/>
        <c:axId val="170955904"/>
      </c:barChart>
      <c:catAx>
        <c:axId val="170928000"/>
        <c:scaling>
          <c:orientation val="minMax"/>
        </c:scaling>
        <c:axPos val="b"/>
        <c:tickLblPos val="nextTo"/>
        <c:txPr>
          <a:bodyPr rot="-5400000" vert="horz"/>
          <a:lstStyle/>
          <a:p>
            <a:pPr>
              <a:defRPr/>
            </a:pPr>
            <a:endParaRPr lang="cs-CZ"/>
          </a:p>
        </c:txPr>
        <c:crossAx val="170929536"/>
        <c:crosses val="autoZero"/>
        <c:auto val="1"/>
        <c:lblAlgn val="ctr"/>
        <c:lblOffset val="100"/>
      </c:catAx>
      <c:valAx>
        <c:axId val="170929536"/>
        <c:scaling>
          <c:orientation val="minMax"/>
        </c:scaling>
        <c:axPos val="l"/>
        <c:majorGridlines>
          <c:spPr>
            <a:ln w="12700">
              <a:solidFill>
                <a:schemeClr val="bg1">
                  <a:lumMod val="65000"/>
                </a:schemeClr>
              </a:solidFill>
              <a:prstDash val="dash"/>
            </a:ln>
          </c:spPr>
        </c:majorGridlines>
        <c:numFmt formatCode="0%" sourceLinked="1"/>
        <c:tickLblPos val="nextTo"/>
        <c:crossAx val="170928000"/>
        <c:crosses val="autoZero"/>
        <c:crossBetween val="between"/>
      </c:valAx>
      <c:valAx>
        <c:axId val="170955904"/>
        <c:scaling>
          <c:orientation val="minMax"/>
          <c:max val="1"/>
          <c:min val="0"/>
        </c:scaling>
        <c:axPos val="r"/>
        <c:numFmt formatCode="0%" sourceLinked="1"/>
        <c:majorTickMark val="none"/>
        <c:tickLblPos val="none"/>
        <c:crossAx val="170957440"/>
        <c:crosses val="max"/>
        <c:crossBetween val="between"/>
      </c:valAx>
      <c:catAx>
        <c:axId val="170957440"/>
        <c:scaling>
          <c:orientation val="minMax"/>
        </c:scaling>
        <c:delete val="1"/>
        <c:axPos val="b"/>
        <c:tickLblPos val="none"/>
        <c:crossAx val="170955904"/>
        <c:crosses val="autoZero"/>
        <c:auto val="1"/>
        <c:lblAlgn val="ctr"/>
        <c:lblOffset val="100"/>
      </c:catAx>
      <c:spPr>
        <a:ln w="12700">
          <a:solidFill>
            <a:schemeClr val="bg1">
              <a:lumMod val="6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75009007311574738"/>
          <c:y val="6.9514241754263503E-2"/>
          <c:w val="0.16472851962914667"/>
          <c:h val="0.10079205616539312"/>
        </c:manualLayout>
      </c:layout>
    </c:legend>
    <c:plotVisOnly val="1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2.5664172143771292E-2"/>
          <c:y val="0.13866630464295421"/>
          <c:w val="0.96526912648315921"/>
          <c:h val="0.75278957371707977"/>
        </c:manualLayout>
      </c:layout>
      <c:barChart>
        <c:barDir val="col"/>
        <c:grouping val="clustered"/>
        <c:ser>
          <c:idx val="0"/>
          <c:order val="0"/>
          <c:tx>
            <c:strRef>
              <c:f>IND_ICT!$K$22</c:f>
              <c:strCache>
                <c:ptCount val="1"/>
                <c:pt idx="0">
                  <c:v>osobní počítač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 w="25400">
              <a:noFill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Val val="1"/>
          </c:dLbls>
          <c:cat>
            <c:numRef>
              <c:f>IND_ICT!$M$21:$S$21</c:f>
              <c:numCache>
                <c:formatCode>General</c:formatCode>
                <c:ptCount val="7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</c:numCache>
            </c:numRef>
          </c:cat>
          <c:val>
            <c:numRef>
              <c:f>IND_ICT!$M$22:$S$22</c:f>
              <c:numCache>
                <c:formatCode>0%</c:formatCode>
                <c:ptCount val="7"/>
                <c:pt idx="0">
                  <c:v>0.50893490944929953</c:v>
                </c:pt>
                <c:pt idx="1">
                  <c:v>0.58667264171746247</c:v>
                </c:pt>
                <c:pt idx="2">
                  <c:v>0.59208413682890348</c:v>
                </c:pt>
                <c:pt idx="3">
                  <c:v>0.64079069725037729</c:v>
                </c:pt>
                <c:pt idx="4">
                  <c:v>0.6708159496537015</c:v>
                </c:pt>
                <c:pt idx="5">
                  <c:v>0.69456455649307203</c:v>
                </c:pt>
                <c:pt idx="6">
                  <c:v>0.70199655003531702</c:v>
                </c:pt>
              </c:numCache>
            </c:numRef>
          </c:val>
        </c:ser>
        <c:ser>
          <c:idx val="1"/>
          <c:order val="1"/>
          <c:tx>
            <c:strRef>
              <c:f>IND_ICT!$K$23</c:f>
              <c:strCache>
                <c:ptCount val="1"/>
                <c:pt idx="0">
                  <c:v>internet</c:v>
                </c:pt>
              </c:strCache>
            </c:strRef>
          </c:tx>
          <c:spPr>
            <a:solidFill>
              <a:schemeClr val="accent2"/>
            </a:solidFill>
          </c:spPr>
          <c:dLbls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Val val="1"/>
          </c:dLbls>
          <c:cat>
            <c:numRef>
              <c:f>IND_ICT!$M$21:$S$21</c:f>
              <c:numCache>
                <c:formatCode>General</c:formatCode>
                <c:ptCount val="7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</c:numCache>
            </c:numRef>
          </c:cat>
          <c:val>
            <c:numRef>
              <c:f>IND_ICT!$M$23:$S$23</c:f>
              <c:numCache>
                <c:formatCode>0%</c:formatCode>
                <c:ptCount val="7"/>
                <c:pt idx="0">
                  <c:v>0.45019412878016279</c:v>
                </c:pt>
                <c:pt idx="1">
                  <c:v>0.54041089063375969</c:v>
                </c:pt>
                <c:pt idx="2">
                  <c:v>0.5594078827901876</c:v>
                </c:pt>
                <c:pt idx="3">
                  <c:v>0.61827501121299644</c:v>
                </c:pt>
                <c:pt idx="4">
                  <c:v>0.65453824594487164</c:v>
                </c:pt>
                <c:pt idx="5">
                  <c:v>0.69499323446147543</c:v>
                </c:pt>
                <c:pt idx="6">
                  <c:v>0.70418951563790699</c:v>
                </c:pt>
              </c:numCache>
            </c:numRef>
          </c:val>
        </c:ser>
        <c:dLbls>
          <c:showVal val="1"/>
        </c:dLbls>
        <c:gapWidth val="60"/>
        <c:axId val="170994304"/>
        <c:axId val="171004288"/>
      </c:barChart>
      <c:catAx>
        <c:axId val="170994304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71004288"/>
        <c:crosses val="autoZero"/>
        <c:auto val="1"/>
        <c:lblAlgn val="ctr"/>
        <c:lblOffset val="100"/>
        <c:tickLblSkip val="1"/>
        <c:tickMarkSkip val="1"/>
      </c:catAx>
      <c:valAx>
        <c:axId val="171004288"/>
        <c:scaling>
          <c:orientation val="minMax"/>
          <c:max val="1.1000000000000001"/>
          <c:min val="0"/>
        </c:scaling>
        <c:axPos val="l"/>
        <c:numFmt formatCode="0%" sourceLinked="1"/>
        <c:majorTickMark val="none"/>
        <c:tickLblPos val="none"/>
        <c:crossAx val="170994304"/>
        <c:crosses val="autoZero"/>
        <c:crossBetween val="between"/>
      </c:valAx>
      <c:spPr>
        <a:solidFill>
          <a:schemeClr val="bg1"/>
        </a:solidFill>
        <a:ln w="12700">
          <a:solidFill>
            <a:schemeClr val="bg1">
              <a:lumMod val="65000"/>
            </a:schemeClr>
          </a:solidFill>
        </a:ln>
      </c:spPr>
    </c:plotArea>
    <c:legend>
      <c:legendPos val="t"/>
      <c:layout>
        <c:manualLayout>
          <c:xMode val="edge"/>
          <c:yMode val="edge"/>
          <c:x val="0.26226693564130926"/>
          <c:y val="1.1441439385294289E-2"/>
          <c:w val="0.44135025270601475"/>
          <c:h val="0.12523522490723143"/>
        </c:manualLayout>
      </c:layout>
    </c:legend>
    <c:plotVisOnly val="1"/>
    <c:dispBlanksAs val="gap"/>
  </c:chart>
  <c:spPr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cs-CZ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1.9050693043534846E-2"/>
          <c:y val="3.4535467834732582E-2"/>
          <c:w val="0.95865755623522264"/>
          <c:h val="0.58338878170029507"/>
        </c:manualLayout>
      </c:layout>
      <c:barChart>
        <c:barDir val="col"/>
        <c:grouping val="clustered"/>
        <c:ser>
          <c:idx val="0"/>
          <c:order val="0"/>
          <c:tx>
            <c:strRef>
              <c:f>IND_internet!$B$2</c:f>
              <c:strCache>
                <c:ptCount val="1"/>
                <c:pt idx="0">
                  <c:v>2007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 w="25400">
              <a:noFill/>
            </a:ln>
          </c:spPr>
          <c:dLbls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 algn="ctr">
                  <a:defRPr b="1"/>
                </a:pPr>
                <a:endParaRPr lang="cs-CZ"/>
              </a:p>
            </c:txPr>
            <c:showVal val="1"/>
          </c:dLbls>
          <c:cat>
            <c:strRef>
              <c:f>IND_internet!$A$3:$A$19</c:f>
              <c:strCache>
                <c:ptCount val="17"/>
                <c:pt idx="0">
                  <c:v>Celkem 16+</c:v>
                </c:pt>
                <c:pt idx="2">
                  <c:v>muži</c:v>
                </c:pt>
                <c:pt idx="3">
                  <c:v>ženy</c:v>
                </c:pt>
                <c:pt idx="5">
                  <c:v>16–24 let</c:v>
                </c:pt>
                <c:pt idx="6">
                  <c:v>25–34 let</c:v>
                </c:pt>
                <c:pt idx="7">
                  <c:v>35–44 let</c:v>
                </c:pt>
                <c:pt idx="8">
                  <c:v>45–54 let</c:v>
                </c:pt>
                <c:pt idx="9">
                  <c:v>55–64 let</c:v>
                </c:pt>
                <c:pt idx="10">
                  <c:v>65–74 let</c:v>
                </c:pt>
                <c:pt idx="11">
                  <c:v>75+</c:v>
                </c:pt>
                <c:pt idx="13">
                  <c:v>základní</c:v>
                </c:pt>
                <c:pt idx="14">
                  <c:v>střední bez maturity</c:v>
                </c:pt>
                <c:pt idx="15">
                  <c:v>střední s maturitou</c:v>
                </c:pt>
                <c:pt idx="16">
                  <c:v>vysokoškolské</c:v>
                </c:pt>
              </c:strCache>
            </c:strRef>
          </c:cat>
          <c:val>
            <c:numRef>
              <c:f>IND_internet!$B$3:$B$19</c:f>
              <c:numCache>
                <c:formatCode>General</c:formatCode>
                <c:ptCount val="17"/>
                <c:pt idx="0" formatCode="0%">
                  <c:v>0.45019412878016279</c:v>
                </c:pt>
                <c:pt idx="2" formatCode="0%">
                  <c:v>0.48788425996581714</c:v>
                </c:pt>
                <c:pt idx="3" formatCode="0%">
                  <c:v>0.41481298661405552</c:v>
                </c:pt>
                <c:pt idx="5" formatCode="0%">
                  <c:v>0.82048872933223438</c:v>
                </c:pt>
                <c:pt idx="6" formatCode="0%">
                  <c:v>0.59720598656484325</c:v>
                </c:pt>
                <c:pt idx="7" formatCode="0%">
                  <c:v>0.56412525432518312</c:v>
                </c:pt>
                <c:pt idx="8" formatCode="0%">
                  <c:v>0.46899151815639079</c:v>
                </c:pt>
                <c:pt idx="9" formatCode="0%">
                  <c:v>0.24952892096647841</c:v>
                </c:pt>
                <c:pt idx="10" formatCode="0%">
                  <c:v>6.9163269481372108E-2</c:v>
                </c:pt>
                <c:pt idx="11" formatCode="0%">
                  <c:v>1.2611764926996538E-2</c:v>
                </c:pt>
                <c:pt idx="13" formatCode="0%">
                  <c:v>5.1114589247454385E-2</c:v>
                </c:pt>
                <c:pt idx="14" formatCode="0%">
                  <c:v>0.22360561677033072</c:v>
                </c:pt>
                <c:pt idx="15" formatCode="0%">
                  <c:v>0.59402386582277567</c:v>
                </c:pt>
                <c:pt idx="16" formatCode="0%">
                  <c:v>0.79348440129527853</c:v>
                </c:pt>
              </c:numCache>
            </c:numRef>
          </c:val>
        </c:ser>
        <c:ser>
          <c:idx val="1"/>
          <c:order val="1"/>
          <c:tx>
            <c:strRef>
              <c:f>IND_internet!$C$2</c:f>
              <c:strCache>
                <c:ptCount val="1"/>
                <c:pt idx="0">
                  <c:v>2013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</c:spPr>
          <c:dLbls>
            <c:txPr>
              <a:bodyPr rot="-5400000"/>
              <a:lstStyle/>
              <a:p>
                <a:pPr>
                  <a:defRPr b="1"/>
                </a:pPr>
                <a:endParaRPr lang="cs-CZ"/>
              </a:p>
            </c:txPr>
            <c:dLblPos val="outEnd"/>
            <c:showVal val="1"/>
          </c:dLbls>
          <c:cat>
            <c:strRef>
              <c:f>IND_internet!$A$3:$A$19</c:f>
              <c:strCache>
                <c:ptCount val="17"/>
                <c:pt idx="0">
                  <c:v>Celkem 16+</c:v>
                </c:pt>
                <c:pt idx="2">
                  <c:v>muži</c:v>
                </c:pt>
                <c:pt idx="3">
                  <c:v>ženy</c:v>
                </c:pt>
                <c:pt idx="5">
                  <c:v>16–24 let</c:v>
                </c:pt>
                <c:pt idx="6">
                  <c:v>25–34 let</c:v>
                </c:pt>
                <c:pt idx="7">
                  <c:v>35–44 let</c:v>
                </c:pt>
                <c:pt idx="8">
                  <c:v>45–54 let</c:v>
                </c:pt>
                <c:pt idx="9">
                  <c:v>55–64 let</c:v>
                </c:pt>
                <c:pt idx="10">
                  <c:v>65–74 let</c:v>
                </c:pt>
                <c:pt idx="11">
                  <c:v>75+</c:v>
                </c:pt>
                <c:pt idx="13">
                  <c:v>základní</c:v>
                </c:pt>
                <c:pt idx="14">
                  <c:v>střední bez maturity</c:v>
                </c:pt>
                <c:pt idx="15">
                  <c:v>střední s maturitou</c:v>
                </c:pt>
                <c:pt idx="16">
                  <c:v>vysokoškolské</c:v>
                </c:pt>
              </c:strCache>
            </c:strRef>
          </c:cat>
          <c:val>
            <c:numRef>
              <c:f>IND_internet!$C$3:$C$19</c:f>
              <c:numCache>
                <c:formatCode>General</c:formatCode>
                <c:ptCount val="17"/>
                <c:pt idx="0" formatCode="0%">
                  <c:v>0.69499323446147543</c:v>
                </c:pt>
                <c:pt idx="2" formatCode="0%">
                  <c:v>0.73110000000000064</c:v>
                </c:pt>
                <c:pt idx="3" formatCode="0%">
                  <c:v>0.67899000000000143</c:v>
                </c:pt>
                <c:pt idx="5" formatCode="0%">
                  <c:v>0.96870000000000089</c:v>
                </c:pt>
                <c:pt idx="6" formatCode="0%">
                  <c:v>0.91835</c:v>
                </c:pt>
                <c:pt idx="7" formatCode="0%">
                  <c:v>0.91185000000000005</c:v>
                </c:pt>
                <c:pt idx="8" formatCode="0%">
                  <c:v>0.81228</c:v>
                </c:pt>
                <c:pt idx="9" formatCode="0%">
                  <c:v>0.58019999999999949</c:v>
                </c:pt>
                <c:pt idx="10" formatCode="0%">
                  <c:v>0.2737</c:v>
                </c:pt>
                <c:pt idx="11" formatCode="0%">
                  <c:v>6.0600000000000001E-2</c:v>
                </c:pt>
                <c:pt idx="13" formatCode="0%">
                  <c:v>0.2026</c:v>
                </c:pt>
                <c:pt idx="14" formatCode="0%">
                  <c:v>0.58169999999999999</c:v>
                </c:pt>
                <c:pt idx="15" formatCode="0%">
                  <c:v>0.80230000000000001</c:v>
                </c:pt>
                <c:pt idx="16" formatCode="0%">
                  <c:v>0.90159999999999996</c:v>
                </c:pt>
              </c:numCache>
            </c:numRef>
          </c:val>
        </c:ser>
        <c:dLbls>
          <c:showVal val="1"/>
        </c:dLbls>
        <c:gapWidth val="40"/>
        <c:axId val="171033728"/>
        <c:axId val="171035264"/>
      </c:barChart>
      <c:catAx>
        <c:axId val="171033728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b="0"/>
            </a:pPr>
            <a:endParaRPr lang="cs-CZ"/>
          </a:p>
        </c:txPr>
        <c:crossAx val="171035264"/>
        <c:crosses val="autoZero"/>
        <c:auto val="1"/>
        <c:lblAlgn val="ctr"/>
        <c:lblOffset val="100"/>
        <c:tickLblSkip val="1"/>
        <c:tickMarkSkip val="1"/>
      </c:catAx>
      <c:valAx>
        <c:axId val="171035264"/>
        <c:scaling>
          <c:orientation val="minMax"/>
          <c:max val="1.2"/>
          <c:min val="0"/>
        </c:scaling>
        <c:axPos val="l"/>
        <c:numFmt formatCode="0%" sourceLinked="1"/>
        <c:majorTickMark val="none"/>
        <c:tickLblPos val="none"/>
        <c:crossAx val="171033728"/>
        <c:crosses val="autoZero"/>
        <c:crossBetween val="between"/>
      </c:valAx>
      <c:spPr>
        <a:solidFill>
          <a:schemeClr val="bg1"/>
        </a:solidFill>
        <a:ln w="12700">
          <a:solidFill>
            <a:schemeClr val="bg1">
              <a:lumMod val="65000"/>
            </a:schemeClr>
          </a:solidFill>
        </a:ln>
      </c:spPr>
    </c:plotArea>
    <c:legend>
      <c:legendPos val="t"/>
      <c:layout>
        <c:manualLayout>
          <c:xMode val="edge"/>
          <c:yMode val="edge"/>
          <c:x val="0.50653113815318562"/>
          <c:y val="6.5439502181432616E-2"/>
          <c:w val="0.39253222272835697"/>
          <c:h val="5.8578505501381856E-2"/>
        </c:manualLayout>
      </c:layout>
      <c:txPr>
        <a:bodyPr/>
        <a:lstStyle/>
        <a:p>
          <a:pPr>
            <a:defRPr b="1"/>
          </a:pPr>
          <a:endParaRPr lang="cs-CZ"/>
        </a:p>
      </c:txPr>
    </c:legend>
    <c:plotVisOnly val="1"/>
    <c:dispBlanksAs val="gap"/>
  </c:chart>
  <c:spPr>
    <a:ln w="9525"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39FF5-2D37-4264-94C2-1B609DE78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9</Pages>
  <Words>2366</Words>
  <Characters>13961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16295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skarlandtova7414</dc:creator>
  <cp:keywords/>
  <dc:description/>
  <cp:lastModifiedBy>skarlandtova7414</cp:lastModifiedBy>
  <cp:revision>124</cp:revision>
  <cp:lastPrinted>2013-11-21T05:38:00Z</cp:lastPrinted>
  <dcterms:created xsi:type="dcterms:W3CDTF">2011-11-15T15:34:00Z</dcterms:created>
  <dcterms:modified xsi:type="dcterms:W3CDTF">2013-11-21T05:48:00Z</dcterms:modified>
</cp:coreProperties>
</file>