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9.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0.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drawings/drawing11.xml" ContentType="application/vnd.openxmlformats-officedocument.drawingml.chartshapes+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drawings/drawing12.xml" ContentType="application/vnd.openxmlformats-officedocument.drawingml.chartshapes+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drawings/drawing13.xml" ContentType="application/vnd.openxmlformats-officedocument.drawingml.chartshapes+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drawings/drawing14.xml" ContentType="application/vnd.openxmlformats-officedocument.drawingml.chartshapes+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7313F" w14:textId="77777777" w:rsidR="002D23AB" w:rsidRDefault="002D23AB" w:rsidP="002D23AB">
      <w:pPr>
        <w:spacing w:after="0" w:line="240" w:lineRule="auto"/>
      </w:pPr>
      <w:bookmarkStart w:id="0" w:name="_Toc444112494"/>
    </w:p>
    <w:p w14:paraId="17DB96F7" w14:textId="77777777" w:rsidR="00DA42AC" w:rsidRDefault="00DA42AC" w:rsidP="002D23AB">
      <w:pPr>
        <w:spacing w:after="0" w:line="240" w:lineRule="auto"/>
      </w:pPr>
    </w:p>
    <w:p w14:paraId="596BFBAE" w14:textId="77777777" w:rsidR="002D23AB" w:rsidRDefault="002D23AB" w:rsidP="002D23AB">
      <w:pPr>
        <w:spacing w:after="0" w:line="240" w:lineRule="auto"/>
      </w:pPr>
    </w:p>
    <w:p w14:paraId="2B095868" w14:textId="60329187" w:rsidR="00E75E92" w:rsidRPr="002D23AB" w:rsidRDefault="00665701" w:rsidP="00E75E92">
      <w:pPr>
        <w:spacing w:after="0"/>
        <w:jc w:val="center"/>
        <w:rPr>
          <w:b/>
          <w:color w:val="C00000"/>
          <w:sz w:val="40"/>
          <w:szCs w:val="40"/>
        </w:rPr>
      </w:pPr>
      <w:r>
        <w:rPr>
          <w:b/>
          <w:color w:val="C00000"/>
          <w:sz w:val="40"/>
          <w:szCs w:val="40"/>
        </w:rPr>
        <w:t>Vzdělávání zaměstnanců 2020</w:t>
      </w:r>
    </w:p>
    <w:p w14:paraId="07A98052" w14:textId="5DB7F3F8" w:rsidR="002D23AB" w:rsidRDefault="002D23AB" w:rsidP="006C25BC">
      <w:pPr>
        <w:spacing w:after="0"/>
        <w:jc w:val="center"/>
        <w:rPr>
          <w:b/>
          <w:color w:val="C00000"/>
          <w:sz w:val="40"/>
          <w:szCs w:val="40"/>
        </w:rPr>
      </w:pPr>
      <w:r w:rsidRPr="002D23AB">
        <w:rPr>
          <w:b/>
          <w:color w:val="C00000"/>
          <w:sz w:val="40"/>
          <w:szCs w:val="40"/>
        </w:rPr>
        <w:t>Analytická část</w:t>
      </w:r>
    </w:p>
    <w:p w14:paraId="75176BE6" w14:textId="77777777" w:rsidR="00940058" w:rsidRDefault="00940058" w:rsidP="006C25BC">
      <w:pPr>
        <w:spacing w:after="0"/>
        <w:jc w:val="center"/>
        <w:rPr>
          <w:b/>
          <w:color w:val="C00000"/>
          <w:sz w:val="40"/>
          <w:szCs w:val="40"/>
        </w:rPr>
      </w:pPr>
    </w:p>
    <w:p w14:paraId="3B85F804" w14:textId="228C06FF" w:rsidR="005D3C3F" w:rsidRDefault="005D3C3F" w:rsidP="002D23AB">
      <w:pPr>
        <w:spacing w:after="0"/>
        <w:rPr>
          <w:b/>
          <w:color w:val="00B050"/>
          <w:szCs w:val="20"/>
        </w:rPr>
      </w:pPr>
    </w:p>
    <w:sdt>
      <w:sdtPr>
        <w:rPr>
          <w:rFonts w:ascii="Arial" w:eastAsia="Times New Roman" w:hAnsi="Arial" w:cs="Times New Roman"/>
          <w:color w:val="auto"/>
          <w:sz w:val="20"/>
          <w:szCs w:val="24"/>
        </w:rPr>
        <w:id w:val="-34121293"/>
        <w:docPartObj>
          <w:docPartGallery w:val="Table of Contents"/>
          <w:docPartUnique/>
        </w:docPartObj>
      </w:sdtPr>
      <w:sdtEndPr>
        <w:rPr>
          <w:b/>
          <w:bCs/>
        </w:rPr>
      </w:sdtEndPr>
      <w:sdtContent>
        <w:p w14:paraId="1D38F708" w14:textId="5D5A4411" w:rsidR="00510068" w:rsidRDefault="00510068">
          <w:pPr>
            <w:pStyle w:val="Nadpisobsahu"/>
            <w:rPr>
              <w:rFonts w:ascii="Arial" w:hAnsi="Arial" w:cs="Arial"/>
              <w:b/>
              <w:color w:val="C00000"/>
            </w:rPr>
          </w:pPr>
          <w:r w:rsidRPr="00510068">
            <w:rPr>
              <w:rFonts w:ascii="Arial" w:hAnsi="Arial" w:cs="Arial"/>
              <w:b/>
              <w:color w:val="C00000"/>
            </w:rPr>
            <w:t>Obsah</w:t>
          </w:r>
          <w:r>
            <w:rPr>
              <w:rFonts w:ascii="Arial" w:hAnsi="Arial" w:cs="Arial"/>
              <w:b/>
              <w:color w:val="C00000"/>
            </w:rPr>
            <w:t>:</w:t>
          </w:r>
        </w:p>
        <w:p w14:paraId="43BF5EF8" w14:textId="77777777" w:rsidR="00510068" w:rsidRPr="00510068" w:rsidRDefault="00510068" w:rsidP="00510068"/>
        <w:p w14:paraId="5CAEEF12" w14:textId="18807881" w:rsidR="003D1722" w:rsidRDefault="00510068">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6664210" w:history="1">
            <w:r w:rsidR="003D1722" w:rsidRPr="003D1722">
              <w:rPr>
                <w:rStyle w:val="Hypertextovodkaz"/>
                <w:b/>
                <w:noProof/>
              </w:rPr>
              <w:t>Kapitola 1: Důraz kladený na vzdělávání v podnicích</w:t>
            </w:r>
            <w:r w:rsidR="003D1722">
              <w:rPr>
                <w:noProof/>
                <w:webHidden/>
              </w:rPr>
              <w:tab/>
            </w:r>
            <w:r w:rsidR="003D1722">
              <w:rPr>
                <w:noProof/>
                <w:webHidden/>
              </w:rPr>
              <w:fldChar w:fldCharType="begin"/>
            </w:r>
            <w:r w:rsidR="003D1722">
              <w:rPr>
                <w:noProof/>
                <w:webHidden/>
              </w:rPr>
              <w:instrText xml:space="preserve"> PAGEREF _Toc126664210 \h </w:instrText>
            </w:r>
            <w:r w:rsidR="003D1722">
              <w:rPr>
                <w:noProof/>
                <w:webHidden/>
              </w:rPr>
            </w:r>
            <w:r w:rsidR="003D1722">
              <w:rPr>
                <w:noProof/>
                <w:webHidden/>
              </w:rPr>
              <w:fldChar w:fldCharType="separate"/>
            </w:r>
            <w:r w:rsidR="00E93A26">
              <w:rPr>
                <w:noProof/>
                <w:webHidden/>
              </w:rPr>
              <w:t>2</w:t>
            </w:r>
            <w:r w:rsidR="003D1722">
              <w:rPr>
                <w:noProof/>
                <w:webHidden/>
              </w:rPr>
              <w:fldChar w:fldCharType="end"/>
            </w:r>
          </w:hyperlink>
        </w:p>
        <w:p w14:paraId="3E167170" w14:textId="0D82AF56" w:rsidR="003D1722" w:rsidRDefault="00E93A26">
          <w:pPr>
            <w:pStyle w:val="Obsah2"/>
            <w:rPr>
              <w:rFonts w:asciiTheme="minorHAnsi" w:eastAsiaTheme="minorEastAsia" w:hAnsiTheme="minorHAnsi" w:cstheme="minorBidi"/>
              <w:noProof/>
              <w:sz w:val="22"/>
              <w:szCs w:val="22"/>
            </w:rPr>
          </w:pPr>
          <w:hyperlink w:anchor="_Toc126664211" w:history="1">
            <w:r w:rsidR="003D1722" w:rsidRPr="00F92237">
              <w:rPr>
                <w:rStyle w:val="Hypertextovodkaz"/>
                <w:noProof/>
              </w:rPr>
              <w:t>Hlavní zjištění</w:t>
            </w:r>
            <w:r w:rsidR="003D1722">
              <w:rPr>
                <w:noProof/>
                <w:webHidden/>
              </w:rPr>
              <w:tab/>
            </w:r>
            <w:r w:rsidR="003D1722">
              <w:rPr>
                <w:noProof/>
                <w:webHidden/>
              </w:rPr>
              <w:fldChar w:fldCharType="begin"/>
            </w:r>
            <w:r w:rsidR="003D1722">
              <w:rPr>
                <w:noProof/>
                <w:webHidden/>
              </w:rPr>
              <w:instrText xml:space="preserve"> PAGEREF _Toc126664211 \h </w:instrText>
            </w:r>
            <w:r w:rsidR="003D1722">
              <w:rPr>
                <w:noProof/>
                <w:webHidden/>
              </w:rPr>
            </w:r>
            <w:r w:rsidR="003D1722">
              <w:rPr>
                <w:noProof/>
                <w:webHidden/>
              </w:rPr>
              <w:fldChar w:fldCharType="separate"/>
            </w:r>
            <w:r>
              <w:rPr>
                <w:noProof/>
                <w:webHidden/>
              </w:rPr>
              <w:t>2</w:t>
            </w:r>
            <w:r w:rsidR="003D1722">
              <w:rPr>
                <w:noProof/>
                <w:webHidden/>
              </w:rPr>
              <w:fldChar w:fldCharType="end"/>
            </w:r>
          </w:hyperlink>
        </w:p>
        <w:p w14:paraId="7E0A9EBD" w14:textId="667DD569" w:rsidR="003D1722" w:rsidRDefault="00E93A26">
          <w:pPr>
            <w:pStyle w:val="Obsah2"/>
            <w:tabs>
              <w:tab w:val="left" w:pos="800"/>
            </w:tabs>
            <w:rPr>
              <w:rFonts w:asciiTheme="minorHAnsi" w:eastAsiaTheme="minorEastAsia" w:hAnsiTheme="minorHAnsi" w:cstheme="minorBidi"/>
              <w:noProof/>
              <w:sz w:val="22"/>
              <w:szCs w:val="22"/>
            </w:rPr>
          </w:pPr>
          <w:hyperlink w:anchor="_Toc126664212" w:history="1">
            <w:r w:rsidR="003D1722" w:rsidRPr="00F92237">
              <w:rPr>
                <w:rStyle w:val="Hypertextovodkaz"/>
                <w:noProof/>
              </w:rPr>
              <w:t>1.1</w:t>
            </w:r>
            <w:r w:rsidR="003D1722">
              <w:rPr>
                <w:rFonts w:asciiTheme="minorHAnsi" w:eastAsiaTheme="minorEastAsia" w:hAnsiTheme="minorHAnsi" w:cstheme="minorBidi"/>
                <w:noProof/>
                <w:sz w:val="22"/>
                <w:szCs w:val="22"/>
              </w:rPr>
              <w:t xml:space="preserve"> </w:t>
            </w:r>
            <w:r w:rsidR="003D1722" w:rsidRPr="00F92237">
              <w:rPr>
                <w:rStyle w:val="Hypertextovodkaz"/>
                <w:noProof/>
              </w:rPr>
              <w:t>Zajišťování vzdělávání zaměstnanců v podnicích</w:t>
            </w:r>
            <w:r w:rsidR="003D1722">
              <w:rPr>
                <w:noProof/>
                <w:webHidden/>
              </w:rPr>
              <w:tab/>
            </w:r>
            <w:r w:rsidR="003D1722">
              <w:rPr>
                <w:noProof/>
                <w:webHidden/>
              </w:rPr>
              <w:fldChar w:fldCharType="begin"/>
            </w:r>
            <w:r w:rsidR="003D1722">
              <w:rPr>
                <w:noProof/>
                <w:webHidden/>
              </w:rPr>
              <w:instrText xml:space="preserve"> PAGEREF _Toc126664212 \h </w:instrText>
            </w:r>
            <w:r w:rsidR="003D1722">
              <w:rPr>
                <w:noProof/>
                <w:webHidden/>
              </w:rPr>
            </w:r>
            <w:r w:rsidR="003D1722">
              <w:rPr>
                <w:noProof/>
                <w:webHidden/>
              </w:rPr>
              <w:fldChar w:fldCharType="separate"/>
            </w:r>
            <w:r>
              <w:rPr>
                <w:noProof/>
                <w:webHidden/>
              </w:rPr>
              <w:t>3</w:t>
            </w:r>
            <w:r w:rsidR="003D1722">
              <w:rPr>
                <w:noProof/>
                <w:webHidden/>
              </w:rPr>
              <w:fldChar w:fldCharType="end"/>
            </w:r>
          </w:hyperlink>
        </w:p>
        <w:p w14:paraId="7878BCAE" w14:textId="01C1F98B" w:rsidR="003D1722" w:rsidRDefault="00E93A26">
          <w:pPr>
            <w:pStyle w:val="Obsah2"/>
            <w:tabs>
              <w:tab w:val="left" w:pos="800"/>
            </w:tabs>
            <w:rPr>
              <w:rFonts w:asciiTheme="minorHAnsi" w:eastAsiaTheme="minorEastAsia" w:hAnsiTheme="minorHAnsi" w:cstheme="minorBidi"/>
              <w:noProof/>
              <w:sz w:val="22"/>
              <w:szCs w:val="22"/>
            </w:rPr>
          </w:pPr>
          <w:hyperlink w:anchor="_Toc126664213" w:history="1">
            <w:r w:rsidR="003D1722" w:rsidRPr="00F92237">
              <w:rPr>
                <w:rStyle w:val="Hypertextovodkaz"/>
                <w:noProof/>
              </w:rPr>
              <w:t>1.2</w:t>
            </w:r>
            <w:r w:rsidR="003D1722">
              <w:rPr>
                <w:rFonts w:asciiTheme="minorHAnsi" w:eastAsiaTheme="minorEastAsia" w:hAnsiTheme="minorHAnsi" w:cstheme="minorBidi"/>
                <w:noProof/>
                <w:sz w:val="22"/>
                <w:szCs w:val="22"/>
              </w:rPr>
              <w:t xml:space="preserve"> </w:t>
            </w:r>
            <w:r w:rsidR="003D1722" w:rsidRPr="00F92237">
              <w:rPr>
                <w:rStyle w:val="Hypertextovodkaz"/>
                <w:noProof/>
              </w:rPr>
              <w:t>Plánování a vyhodnocování vzdělávání zaměstnanců v podnicích</w:t>
            </w:r>
            <w:r w:rsidR="003D1722">
              <w:rPr>
                <w:noProof/>
                <w:webHidden/>
              </w:rPr>
              <w:tab/>
            </w:r>
            <w:r w:rsidR="003D1722">
              <w:rPr>
                <w:noProof/>
                <w:webHidden/>
              </w:rPr>
              <w:fldChar w:fldCharType="begin"/>
            </w:r>
            <w:r w:rsidR="003D1722">
              <w:rPr>
                <w:noProof/>
                <w:webHidden/>
              </w:rPr>
              <w:instrText xml:space="preserve"> PAGEREF _Toc126664213 \h </w:instrText>
            </w:r>
            <w:r w:rsidR="003D1722">
              <w:rPr>
                <w:noProof/>
                <w:webHidden/>
              </w:rPr>
            </w:r>
            <w:r w:rsidR="003D1722">
              <w:rPr>
                <w:noProof/>
                <w:webHidden/>
              </w:rPr>
              <w:fldChar w:fldCharType="separate"/>
            </w:r>
            <w:r>
              <w:rPr>
                <w:noProof/>
                <w:webHidden/>
              </w:rPr>
              <w:t>9</w:t>
            </w:r>
            <w:r w:rsidR="003D1722">
              <w:rPr>
                <w:noProof/>
                <w:webHidden/>
              </w:rPr>
              <w:fldChar w:fldCharType="end"/>
            </w:r>
          </w:hyperlink>
        </w:p>
        <w:p w14:paraId="4AEB6183" w14:textId="4DFEA8F5" w:rsidR="003D1722" w:rsidRDefault="00E93A26">
          <w:pPr>
            <w:pStyle w:val="Obsah3"/>
            <w:rPr>
              <w:rFonts w:asciiTheme="minorHAnsi" w:eastAsiaTheme="minorEastAsia" w:hAnsiTheme="minorHAnsi" w:cstheme="minorBidi"/>
              <w:noProof/>
              <w:sz w:val="22"/>
              <w:szCs w:val="22"/>
            </w:rPr>
          </w:pPr>
          <w:hyperlink w:anchor="_Toc126664214" w:history="1">
            <w:r w:rsidR="003D1722" w:rsidRPr="003D1722">
              <w:rPr>
                <w:rStyle w:val="Hypertextovodkaz"/>
                <w:i/>
                <w:noProof/>
              </w:rPr>
              <w:t>Systém plánování  a rozhodování o vzdělávání v podnicích</w:t>
            </w:r>
            <w:r w:rsidR="003D1722">
              <w:rPr>
                <w:noProof/>
                <w:webHidden/>
              </w:rPr>
              <w:tab/>
            </w:r>
            <w:r w:rsidR="003D1722">
              <w:rPr>
                <w:noProof/>
                <w:webHidden/>
              </w:rPr>
              <w:fldChar w:fldCharType="begin"/>
            </w:r>
            <w:r w:rsidR="003D1722">
              <w:rPr>
                <w:noProof/>
                <w:webHidden/>
              </w:rPr>
              <w:instrText xml:space="preserve"> PAGEREF _Toc126664214 \h </w:instrText>
            </w:r>
            <w:r w:rsidR="003D1722">
              <w:rPr>
                <w:noProof/>
                <w:webHidden/>
              </w:rPr>
            </w:r>
            <w:r w:rsidR="003D1722">
              <w:rPr>
                <w:noProof/>
                <w:webHidden/>
              </w:rPr>
              <w:fldChar w:fldCharType="separate"/>
            </w:r>
            <w:r>
              <w:rPr>
                <w:noProof/>
                <w:webHidden/>
              </w:rPr>
              <w:t>9</w:t>
            </w:r>
            <w:r w:rsidR="003D1722">
              <w:rPr>
                <w:noProof/>
                <w:webHidden/>
              </w:rPr>
              <w:fldChar w:fldCharType="end"/>
            </w:r>
          </w:hyperlink>
        </w:p>
        <w:p w14:paraId="4308B3A2" w14:textId="703458DB" w:rsidR="003D1722" w:rsidRDefault="00E93A26">
          <w:pPr>
            <w:pStyle w:val="Obsah3"/>
            <w:rPr>
              <w:rFonts w:asciiTheme="minorHAnsi" w:eastAsiaTheme="minorEastAsia" w:hAnsiTheme="minorHAnsi" w:cstheme="minorBidi"/>
              <w:noProof/>
              <w:sz w:val="22"/>
              <w:szCs w:val="22"/>
            </w:rPr>
          </w:pPr>
          <w:hyperlink w:anchor="_Toc126664215" w:history="1">
            <w:r w:rsidR="003D1722" w:rsidRPr="003D1722">
              <w:rPr>
                <w:rStyle w:val="Hypertextovodkaz"/>
                <w:i/>
                <w:noProof/>
              </w:rPr>
              <w:t>Systém vyhodnocování potřeby a kvality vzdělávání v podnicích</w:t>
            </w:r>
            <w:r w:rsidR="003D1722">
              <w:rPr>
                <w:noProof/>
                <w:webHidden/>
              </w:rPr>
              <w:tab/>
            </w:r>
            <w:r w:rsidR="003D1722">
              <w:rPr>
                <w:noProof/>
                <w:webHidden/>
              </w:rPr>
              <w:fldChar w:fldCharType="begin"/>
            </w:r>
            <w:r w:rsidR="003D1722">
              <w:rPr>
                <w:noProof/>
                <w:webHidden/>
              </w:rPr>
              <w:instrText xml:space="preserve"> PAGEREF _Toc126664215 \h </w:instrText>
            </w:r>
            <w:r w:rsidR="003D1722">
              <w:rPr>
                <w:noProof/>
                <w:webHidden/>
              </w:rPr>
            </w:r>
            <w:r w:rsidR="003D1722">
              <w:rPr>
                <w:noProof/>
                <w:webHidden/>
              </w:rPr>
              <w:fldChar w:fldCharType="separate"/>
            </w:r>
            <w:r>
              <w:rPr>
                <w:noProof/>
                <w:webHidden/>
              </w:rPr>
              <w:t>13</w:t>
            </w:r>
            <w:r w:rsidR="003D1722">
              <w:rPr>
                <w:noProof/>
                <w:webHidden/>
              </w:rPr>
              <w:fldChar w:fldCharType="end"/>
            </w:r>
          </w:hyperlink>
        </w:p>
        <w:p w14:paraId="3FE02DE9" w14:textId="2D7BB473" w:rsidR="003D1722" w:rsidRDefault="00E93A26">
          <w:pPr>
            <w:pStyle w:val="Obsah1"/>
            <w:rPr>
              <w:rFonts w:asciiTheme="minorHAnsi" w:eastAsiaTheme="minorEastAsia" w:hAnsiTheme="minorHAnsi" w:cstheme="minorBidi"/>
              <w:noProof/>
              <w:sz w:val="22"/>
              <w:szCs w:val="22"/>
            </w:rPr>
          </w:pPr>
          <w:hyperlink w:anchor="_Toc126664216" w:history="1">
            <w:r w:rsidR="003D1722" w:rsidRPr="003D1722">
              <w:rPr>
                <w:rStyle w:val="Hypertextovodkaz"/>
                <w:b/>
                <w:noProof/>
              </w:rPr>
              <w:t>Kapitola 2: Účast zaměstnanců na vzdělávání v podnicích</w:t>
            </w:r>
            <w:r w:rsidR="003D1722">
              <w:rPr>
                <w:noProof/>
                <w:webHidden/>
              </w:rPr>
              <w:tab/>
            </w:r>
            <w:r w:rsidR="003D1722">
              <w:rPr>
                <w:noProof/>
                <w:webHidden/>
              </w:rPr>
              <w:fldChar w:fldCharType="begin"/>
            </w:r>
            <w:r w:rsidR="003D1722">
              <w:rPr>
                <w:noProof/>
                <w:webHidden/>
              </w:rPr>
              <w:instrText xml:space="preserve"> PAGEREF _Toc126664216 \h </w:instrText>
            </w:r>
            <w:r w:rsidR="003D1722">
              <w:rPr>
                <w:noProof/>
                <w:webHidden/>
              </w:rPr>
            </w:r>
            <w:r w:rsidR="003D1722">
              <w:rPr>
                <w:noProof/>
                <w:webHidden/>
              </w:rPr>
              <w:fldChar w:fldCharType="separate"/>
            </w:r>
            <w:r>
              <w:rPr>
                <w:noProof/>
                <w:webHidden/>
              </w:rPr>
              <w:t>17</w:t>
            </w:r>
            <w:r w:rsidR="003D1722">
              <w:rPr>
                <w:noProof/>
                <w:webHidden/>
              </w:rPr>
              <w:fldChar w:fldCharType="end"/>
            </w:r>
          </w:hyperlink>
        </w:p>
        <w:p w14:paraId="164E183E" w14:textId="3E54C0B0" w:rsidR="003D1722" w:rsidRDefault="00E93A26">
          <w:pPr>
            <w:pStyle w:val="Obsah2"/>
            <w:rPr>
              <w:rFonts w:asciiTheme="minorHAnsi" w:eastAsiaTheme="minorEastAsia" w:hAnsiTheme="minorHAnsi" w:cstheme="minorBidi"/>
              <w:noProof/>
              <w:sz w:val="22"/>
              <w:szCs w:val="22"/>
            </w:rPr>
          </w:pPr>
          <w:hyperlink w:anchor="_Toc126664217" w:history="1">
            <w:r w:rsidR="003D1722" w:rsidRPr="00F92237">
              <w:rPr>
                <w:rStyle w:val="Hypertextovodkaz"/>
                <w:noProof/>
              </w:rPr>
              <w:t>Hlavní zjištění</w:t>
            </w:r>
            <w:r w:rsidR="003D1722">
              <w:rPr>
                <w:noProof/>
                <w:webHidden/>
              </w:rPr>
              <w:tab/>
            </w:r>
            <w:r w:rsidR="003D1722">
              <w:rPr>
                <w:noProof/>
                <w:webHidden/>
              </w:rPr>
              <w:fldChar w:fldCharType="begin"/>
            </w:r>
            <w:r w:rsidR="003D1722">
              <w:rPr>
                <w:noProof/>
                <w:webHidden/>
              </w:rPr>
              <w:instrText xml:space="preserve"> PAGEREF _Toc126664217 \h </w:instrText>
            </w:r>
            <w:r w:rsidR="003D1722">
              <w:rPr>
                <w:noProof/>
                <w:webHidden/>
              </w:rPr>
            </w:r>
            <w:r w:rsidR="003D1722">
              <w:rPr>
                <w:noProof/>
                <w:webHidden/>
              </w:rPr>
              <w:fldChar w:fldCharType="separate"/>
            </w:r>
            <w:r>
              <w:rPr>
                <w:noProof/>
                <w:webHidden/>
              </w:rPr>
              <w:t>17</w:t>
            </w:r>
            <w:r w:rsidR="003D1722">
              <w:rPr>
                <w:noProof/>
                <w:webHidden/>
              </w:rPr>
              <w:fldChar w:fldCharType="end"/>
            </w:r>
          </w:hyperlink>
        </w:p>
        <w:p w14:paraId="4D04B8C5" w14:textId="0D75D59B" w:rsidR="003D1722" w:rsidRDefault="00E93A26">
          <w:pPr>
            <w:pStyle w:val="Obsah2"/>
            <w:rPr>
              <w:rFonts w:asciiTheme="minorHAnsi" w:eastAsiaTheme="minorEastAsia" w:hAnsiTheme="minorHAnsi" w:cstheme="minorBidi"/>
              <w:noProof/>
              <w:sz w:val="22"/>
              <w:szCs w:val="22"/>
            </w:rPr>
          </w:pPr>
          <w:hyperlink w:anchor="_Toc126664218" w:history="1">
            <w:r w:rsidR="003D1722" w:rsidRPr="00F92237">
              <w:rPr>
                <w:rStyle w:val="Hypertextovodkaz"/>
                <w:noProof/>
              </w:rPr>
              <w:t>2.1 Podíl účastníků vzdělávání v podnicích</w:t>
            </w:r>
            <w:r w:rsidR="003D1722">
              <w:rPr>
                <w:noProof/>
                <w:webHidden/>
              </w:rPr>
              <w:tab/>
            </w:r>
            <w:r w:rsidR="003D1722">
              <w:rPr>
                <w:noProof/>
                <w:webHidden/>
              </w:rPr>
              <w:fldChar w:fldCharType="begin"/>
            </w:r>
            <w:r w:rsidR="003D1722">
              <w:rPr>
                <w:noProof/>
                <w:webHidden/>
              </w:rPr>
              <w:instrText xml:space="preserve"> PAGEREF _Toc126664218 \h </w:instrText>
            </w:r>
            <w:r w:rsidR="003D1722">
              <w:rPr>
                <w:noProof/>
                <w:webHidden/>
              </w:rPr>
            </w:r>
            <w:r w:rsidR="003D1722">
              <w:rPr>
                <w:noProof/>
                <w:webHidden/>
              </w:rPr>
              <w:fldChar w:fldCharType="separate"/>
            </w:r>
            <w:r>
              <w:rPr>
                <w:noProof/>
                <w:webHidden/>
              </w:rPr>
              <w:t>18</w:t>
            </w:r>
            <w:r w:rsidR="003D1722">
              <w:rPr>
                <w:noProof/>
                <w:webHidden/>
              </w:rPr>
              <w:fldChar w:fldCharType="end"/>
            </w:r>
          </w:hyperlink>
        </w:p>
        <w:p w14:paraId="49314AE3" w14:textId="484AB9C2" w:rsidR="003D1722" w:rsidRDefault="00E93A26">
          <w:pPr>
            <w:pStyle w:val="Obsah2"/>
            <w:rPr>
              <w:rFonts w:asciiTheme="minorHAnsi" w:eastAsiaTheme="minorEastAsia" w:hAnsiTheme="minorHAnsi" w:cstheme="minorBidi"/>
              <w:noProof/>
              <w:sz w:val="22"/>
              <w:szCs w:val="22"/>
            </w:rPr>
          </w:pPr>
          <w:hyperlink w:anchor="_Toc126664219" w:history="1">
            <w:r w:rsidR="003D1722" w:rsidRPr="00F92237">
              <w:rPr>
                <w:rStyle w:val="Hypertextovodkaz"/>
                <w:noProof/>
              </w:rPr>
              <w:t>2.2 Počet a podíl hodin placené pracovní doby strávené kurzy/školeními</w:t>
            </w:r>
            <w:r w:rsidR="003D1722">
              <w:rPr>
                <w:noProof/>
                <w:webHidden/>
              </w:rPr>
              <w:tab/>
            </w:r>
            <w:r w:rsidR="003D1722">
              <w:rPr>
                <w:noProof/>
                <w:webHidden/>
              </w:rPr>
              <w:fldChar w:fldCharType="begin"/>
            </w:r>
            <w:r w:rsidR="003D1722">
              <w:rPr>
                <w:noProof/>
                <w:webHidden/>
              </w:rPr>
              <w:instrText xml:space="preserve"> PAGEREF _Toc126664219 \h </w:instrText>
            </w:r>
            <w:r w:rsidR="003D1722">
              <w:rPr>
                <w:noProof/>
                <w:webHidden/>
              </w:rPr>
            </w:r>
            <w:r w:rsidR="003D1722">
              <w:rPr>
                <w:noProof/>
                <w:webHidden/>
              </w:rPr>
              <w:fldChar w:fldCharType="separate"/>
            </w:r>
            <w:r>
              <w:rPr>
                <w:noProof/>
                <w:webHidden/>
              </w:rPr>
              <w:t>22</w:t>
            </w:r>
            <w:r w:rsidR="003D1722">
              <w:rPr>
                <w:noProof/>
                <w:webHidden/>
              </w:rPr>
              <w:fldChar w:fldCharType="end"/>
            </w:r>
          </w:hyperlink>
        </w:p>
        <w:p w14:paraId="0312C0D5" w14:textId="280BE18C" w:rsidR="003D1722" w:rsidRDefault="00E93A26">
          <w:pPr>
            <w:pStyle w:val="Obsah1"/>
            <w:rPr>
              <w:rFonts w:asciiTheme="minorHAnsi" w:eastAsiaTheme="minorEastAsia" w:hAnsiTheme="minorHAnsi" w:cstheme="minorBidi"/>
              <w:noProof/>
              <w:sz w:val="22"/>
              <w:szCs w:val="22"/>
            </w:rPr>
          </w:pPr>
          <w:hyperlink w:anchor="_Toc126664220" w:history="1">
            <w:r w:rsidR="003D1722" w:rsidRPr="003D1722">
              <w:rPr>
                <w:rStyle w:val="Hypertextovodkaz"/>
                <w:b/>
                <w:noProof/>
              </w:rPr>
              <w:t>Kapitola 3: Hlavní tematická zaměření kurzů/školení</w:t>
            </w:r>
            <w:r w:rsidR="003D1722">
              <w:rPr>
                <w:noProof/>
                <w:webHidden/>
              </w:rPr>
              <w:tab/>
            </w:r>
            <w:r w:rsidR="003D1722">
              <w:rPr>
                <w:noProof/>
                <w:webHidden/>
              </w:rPr>
              <w:fldChar w:fldCharType="begin"/>
            </w:r>
            <w:r w:rsidR="003D1722">
              <w:rPr>
                <w:noProof/>
                <w:webHidden/>
              </w:rPr>
              <w:instrText xml:space="preserve"> PAGEREF _Toc126664220 \h </w:instrText>
            </w:r>
            <w:r w:rsidR="003D1722">
              <w:rPr>
                <w:noProof/>
                <w:webHidden/>
              </w:rPr>
            </w:r>
            <w:r w:rsidR="003D1722">
              <w:rPr>
                <w:noProof/>
                <w:webHidden/>
              </w:rPr>
              <w:fldChar w:fldCharType="separate"/>
            </w:r>
            <w:r>
              <w:rPr>
                <w:noProof/>
                <w:webHidden/>
              </w:rPr>
              <w:t>29</w:t>
            </w:r>
            <w:r w:rsidR="003D1722">
              <w:rPr>
                <w:noProof/>
                <w:webHidden/>
              </w:rPr>
              <w:fldChar w:fldCharType="end"/>
            </w:r>
          </w:hyperlink>
        </w:p>
        <w:p w14:paraId="017C611B" w14:textId="0CFF03E2" w:rsidR="003D1722" w:rsidRDefault="00E93A26">
          <w:pPr>
            <w:pStyle w:val="Obsah2"/>
            <w:rPr>
              <w:rFonts w:asciiTheme="minorHAnsi" w:eastAsiaTheme="minorEastAsia" w:hAnsiTheme="minorHAnsi" w:cstheme="minorBidi"/>
              <w:noProof/>
              <w:sz w:val="22"/>
              <w:szCs w:val="22"/>
            </w:rPr>
          </w:pPr>
          <w:hyperlink w:anchor="_Toc126664221" w:history="1">
            <w:r w:rsidR="003D1722" w:rsidRPr="00F92237">
              <w:rPr>
                <w:rStyle w:val="Hypertextovodkaz"/>
                <w:noProof/>
              </w:rPr>
              <w:t>Hlavní zjištění</w:t>
            </w:r>
            <w:r w:rsidR="003D1722">
              <w:rPr>
                <w:noProof/>
                <w:webHidden/>
              </w:rPr>
              <w:tab/>
            </w:r>
            <w:r w:rsidR="003D1722">
              <w:rPr>
                <w:noProof/>
                <w:webHidden/>
              </w:rPr>
              <w:fldChar w:fldCharType="begin"/>
            </w:r>
            <w:r w:rsidR="003D1722">
              <w:rPr>
                <w:noProof/>
                <w:webHidden/>
              </w:rPr>
              <w:instrText xml:space="preserve"> PAGEREF _Toc126664221 \h </w:instrText>
            </w:r>
            <w:r w:rsidR="003D1722">
              <w:rPr>
                <w:noProof/>
                <w:webHidden/>
              </w:rPr>
            </w:r>
            <w:r w:rsidR="003D1722">
              <w:rPr>
                <w:noProof/>
                <w:webHidden/>
              </w:rPr>
              <w:fldChar w:fldCharType="separate"/>
            </w:r>
            <w:r>
              <w:rPr>
                <w:noProof/>
                <w:webHidden/>
              </w:rPr>
              <w:t>29</w:t>
            </w:r>
            <w:r w:rsidR="003D1722">
              <w:rPr>
                <w:noProof/>
                <w:webHidden/>
              </w:rPr>
              <w:fldChar w:fldCharType="end"/>
            </w:r>
          </w:hyperlink>
        </w:p>
        <w:p w14:paraId="1BA6055B" w14:textId="19211D2B" w:rsidR="003D1722" w:rsidRDefault="00E93A26">
          <w:pPr>
            <w:pStyle w:val="Obsah2"/>
            <w:rPr>
              <w:rFonts w:asciiTheme="minorHAnsi" w:eastAsiaTheme="minorEastAsia" w:hAnsiTheme="minorHAnsi" w:cstheme="minorBidi"/>
              <w:noProof/>
              <w:sz w:val="22"/>
              <w:szCs w:val="22"/>
            </w:rPr>
          </w:pPr>
          <w:hyperlink w:anchor="_Toc126664222" w:history="1">
            <w:r w:rsidR="003D1722" w:rsidRPr="00F92237">
              <w:rPr>
                <w:rStyle w:val="Hypertextovodkaz"/>
                <w:noProof/>
              </w:rPr>
              <w:t>3.1 Porovnání stěžejních témat pro rozvoj podniku s hlavním zaměřením proběhlých kurzů/školení</w:t>
            </w:r>
            <w:r w:rsidR="003D1722">
              <w:rPr>
                <w:noProof/>
                <w:webHidden/>
              </w:rPr>
              <w:tab/>
            </w:r>
            <w:r w:rsidR="003D1722">
              <w:rPr>
                <w:noProof/>
                <w:webHidden/>
              </w:rPr>
              <w:fldChar w:fldCharType="begin"/>
            </w:r>
            <w:r w:rsidR="003D1722">
              <w:rPr>
                <w:noProof/>
                <w:webHidden/>
              </w:rPr>
              <w:instrText xml:space="preserve"> PAGEREF _Toc126664222 \h </w:instrText>
            </w:r>
            <w:r w:rsidR="003D1722">
              <w:rPr>
                <w:noProof/>
                <w:webHidden/>
              </w:rPr>
            </w:r>
            <w:r w:rsidR="003D1722">
              <w:rPr>
                <w:noProof/>
                <w:webHidden/>
              </w:rPr>
              <w:fldChar w:fldCharType="separate"/>
            </w:r>
            <w:r>
              <w:rPr>
                <w:noProof/>
                <w:webHidden/>
              </w:rPr>
              <w:t>30</w:t>
            </w:r>
            <w:r w:rsidR="003D1722">
              <w:rPr>
                <w:noProof/>
                <w:webHidden/>
              </w:rPr>
              <w:fldChar w:fldCharType="end"/>
            </w:r>
          </w:hyperlink>
        </w:p>
        <w:p w14:paraId="4B28358A" w14:textId="191F846E" w:rsidR="003D1722" w:rsidRDefault="00E93A26">
          <w:pPr>
            <w:pStyle w:val="Obsah2"/>
            <w:rPr>
              <w:rFonts w:asciiTheme="minorHAnsi" w:eastAsiaTheme="minorEastAsia" w:hAnsiTheme="minorHAnsi" w:cstheme="minorBidi"/>
              <w:noProof/>
              <w:sz w:val="22"/>
              <w:szCs w:val="22"/>
            </w:rPr>
          </w:pPr>
          <w:hyperlink w:anchor="_Toc126664223" w:history="1">
            <w:r w:rsidR="003D1722" w:rsidRPr="00F92237">
              <w:rPr>
                <w:rStyle w:val="Hypertextovodkaz"/>
                <w:noProof/>
              </w:rPr>
              <w:t>3.2 Hlavní tematická zaměření nepovinných kurzů dle hodinové dotace</w:t>
            </w:r>
            <w:r w:rsidR="003D1722">
              <w:rPr>
                <w:noProof/>
                <w:webHidden/>
              </w:rPr>
              <w:tab/>
            </w:r>
            <w:r w:rsidR="003D1722">
              <w:rPr>
                <w:noProof/>
                <w:webHidden/>
              </w:rPr>
              <w:fldChar w:fldCharType="begin"/>
            </w:r>
            <w:r w:rsidR="003D1722">
              <w:rPr>
                <w:noProof/>
                <w:webHidden/>
              </w:rPr>
              <w:instrText xml:space="preserve"> PAGEREF _Toc126664223 \h </w:instrText>
            </w:r>
            <w:r w:rsidR="003D1722">
              <w:rPr>
                <w:noProof/>
                <w:webHidden/>
              </w:rPr>
            </w:r>
            <w:r w:rsidR="003D1722">
              <w:rPr>
                <w:noProof/>
                <w:webHidden/>
              </w:rPr>
              <w:fldChar w:fldCharType="separate"/>
            </w:r>
            <w:r>
              <w:rPr>
                <w:noProof/>
                <w:webHidden/>
              </w:rPr>
              <w:t>31</w:t>
            </w:r>
            <w:r w:rsidR="003D1722">
              <w:rPr>
                <w:noProof/>
                <w:webHidden/>
              </w:rPr>
              <w:fldChar w:fldCharType="end"/>
            </w:r>
          </w:hyperlink>
        </w:p>
        <w:p w14:paraId="609AD2C0" w14:textId="4434CDBD" w:rsidR="003D1722" w:rsidRDefault="00E93A26">
          <w:pPr>
            <w:pStyle w:val="Obsah2"/>
            <w:rPr>
              <w:rFonts w:asciiTheme="minorHAnsi" w:eastAsiaTheme="minorEastAsia" w:hAnsiTheme="minorHAnsi" w:cstheme="minorBidi"/>
              <w:noProof/>
              <w:sz w:val="22"/>
              <w:szCs w:val="22"/>
            </w:rPr>
          </w:pPr>
          <w:hyperlink w:anchor="_Toc126664224" w:history="1">
            <w:r w:rsidR="003D1722" w:rsidRPr="00F92237">
              <w:rPr>
                <w:rStyle w:val="Hypertextovodkaz"/>
                <w:noProof/>
              </w:rPr>
              <w:t>3.3 Klíčové dovednosti pro rozvoj podniku v nejbližších letech</w:t>
            </w:r>
            <w:r w:rsidR="003D1722">
              <w:rPr>
                <w:noProof/>
                <w:webHidden/>
              </w:rPr>
              <w:tab/>
            </w:r>
            <w:r w:rsidR="003D1722">
              <w:rPr>
                <w:noProof/>
                <w:webHidden/>
              </w:rPr>
              <w:fldChar w:fldCharType="begin"/>
            </w:r>
            <w:r w:rsidR="003D1722">
              <w:rPr>
                <w:noProof/>
                <w:webHidden/>
              </w:rPr>
              <w:instrText xml:space="preserve"> PAGEREF _Toc126664224 \h </w:instrText>
            </w:r>
            <w:r w:rsidR="003D1722">
              <w:rPr>
                <w:noProof/>
                <w:webHidden/>
              </w:rPr>
            </w:r>
            <w:r w:rsidR="003D1722">
              <w:rPr>
                <w:noProof/>
                <w:webHidden/>
              </w:rPr>
              <w:fldChar w:fldCharType="separate"/>
            </w:r>
            <w:r>
              <w:rPr>
                <w:noProof/>
                <w:webHidden/>
              </w:rPr>
              <w:t>34</w:t>
            </w:r>
            <w:r w:rsidR="003D1722">
              <w:rPr>
                <w:noProof/>
                <w:webHidden/>
              </w:rPr>
              <w:fldChar w:fldCharType="end"/>
            </w:r>
          </w:hyperlink>
        </w:p>
        <w:p w14:paraId="2E93E937" w14:textId="114E3278" w:rsidR="003D1722" w:rsidRDefault="00E93A26">
          <w:pPr>
            <w:pStyle w:val="Obsah1"/>
            <w:rPr>
              <w:rFonts w:asciiTheme="minorHAnsi" w:eastAsiaTheme="minorEastAsia" w:hAnsiTheme="minorHAnsi" w:cstheme="minorBidi"/>
              <w:noProof/>
              <w:sz w:val="22"/>
              <w:szCs w:val="22"/>
            </w:rPr>
          </w:pPr>
          <w:hyperlink w:anchor="_Toc126664225" w:history="1">
            <w:r w:rsidR="003D1722" w:rsidRPr="003D1722">
              <w:rPr>
                <w:rStyle w:val="Hypertextovodkaz"/>
                <w:b/>
                <w:noProof/>
              </w:rPr>
              <w:t>Kapitola 4: Omezení a překážky v účasti ve vzdělávání</w:t>
            </w:r>
            <w:r w:rsidR="003D1722">
              <w:rPr>
                <w:noProof/>
                <w:webHidden/>
              </w:rPr>
              <w:tab/>
            </w:r>
            <w:r w:rsidR="003D1722">
              <w:rPr>
                <w:noProof/>
                <w:webHidden/>
              </w:rPr>
              <w:fldChar w:fldCharType="begin"/>
            </w:r>
            <w:r w:rsidR="003D1722">
              <w:rPr>
                <w:noProof/>
                <w:webHidden/>
              </w:rPr>
              <w:instrText xml:space="preserve"> PAGEREF _Toc126664225 \h </w:instrText>
            </w:r>
            <w:r w:rsidR="003D1722">
              <w:rPr>
                <w:noProof/>
                <w:webHidden/>
              </w:rPr>
            </w:r>
            <w:r w:rsidR="003D1722">
              <w:rPr>
                <w:noProof/>
                <w:webHidden/>
              </w:rPr>
              <w:fldChar w:fldCharType="separate"/>
            </w:r>
            <w:r>
              <w:rPr>
                <w:noProof/>
                <w:webHidden/>
              </w:rPr>
              <w:t>38</w:t>
            </w:r>
            <w:r w:rsidR="003D1722">
              <w:rPr>
                <w:noProof/>
                <w:webHidden/>
              </w:rPr>
              <w:fldChar w:fldCharType="end"/>
            </w:r>
          </w:hyperlink>
        </w:p>
        <w:p w14:paraId="7B66B82C" w14:textId="22DA5513" w:rsidR="003D1722" w:rsidRDefault="00E93A26">
          <w:pPr>
            <w:pStyle w:val="Obsah2"/>
            <w:rPr>
              <w:rFonts w:asciiTheme="minorHAnsi" w:eastAsiaTheme="minorEastAsia" w:hAnsiTheme="minorHAnsi" w:cstheme="minorBidi"/>
              <w:noProof/>
              <w:sz w:val="22"/>
              <w:szCs w:val="22"/>
            </w:rPr>
          </w:pPr>
          <w:hyperlink w:anchor="_Toc126664226" w:history="1">
            <w:r w:rsidR="003D1722" w:rsidRPr="00F92237">
              <w:rPr>
                <w:rStyle w:val="Hypertextovodkaz"/>
                <w:noProof/>
              </w:rPr>
              <w:t>Hlavní zjištění</w:t>
            </w:r>
            <w:r w:rsidR="003D1722">
              <w:rPr>
                <w:noProof/>
                <w:webHidden/>
              </w:rPr>
              <w:tab/>
            </w:r>
            <w:r w:rsidR="003D1722">
              <w:rPr>
                <w:noProof/>
                <w:webHidden/>
              </w:rPr>
              <w:fldChar w:fldCharType="begin"/>
            </w:r>
            <w:r w:rsidR="003D1722">
              <w:rPr>
                <w:noProof/>
                <w:webHidden/>
              </w:rPr>
              <w:instrText xml:space="preserve"> PAGEREF _Toc126664226 \h </w:instrText>
            </w:r>
            <w:r w:rsidR="003D1722">
              <w:rPr>
                <w:noProof/>
                <w:webHidden/>
              </w:rPr>
            </w:r>
            <w:r w:rsidR="003D1722">
              <w:rPr>
                <w:noProof/>
                <w:webHidden/>
              </w:rPr>
              <w:fldChar w:fldCharType="separate"/>
            </w:r>
            <w:r>
              <w:rPr>
                <w:noProof/>
                <w:webHidden/>
              </w:rPr>
              <w:t>38</w:t>
            </w:r>
            <w:r w:rsidR="003D1722">
              <w:rPr>
                <w:noProof/>
                <w:webHidden/>
              </w:rPr>
              <w:fldChar w:fldCharType="end"/>
            </w:r>
          </w:hyperlink>
        </w:p>
        <w:p w14:paraId="2EB45DFB" w14:textId="3AE74F2F" w:rsidR="003D1722" w:rsidRDefault="00E93A26">
          <w:pPr>
            <w:pStyle w:val="Obsah2"/>
            <w:rPr>
              <w:rFonts w:asciiTheme="minorHAnsi" w:eastAsiaTheme="minorEastAsia" w:hAnsiTheme="minorHAnsi" w:cstheme="minorBidi"/>
              <w:noProof/>
              <w:sz w:val="22"/>
              <w:szCs w:val="22"/>
            </w:rPr>
          </w:pPr>
          <w:hyperlink w:anchor="_Toc126664227" w:history="1">
            <w:r w:rsidR="003D1722" w:rsidRPr="00F92237">
              <w:rPr>
                <w:rStyle w:val="Hypertextovodkaz"/>
                <w:noProof/>
              </w:rPr>
              <w:t>4.1 Omezení v účasti ve vzdělávání</w:t>
            </w:r>
            <w:r w:rsidR="003D1722">
              <w:rPr>
                <w:noProof/>
                <w:webHidden/>
              </w:rPr>
              <w:tab/>
            </w:r>
            <w:r w:rsidR="003D1722">
              <w:rPr>
                <w:noProof/>
                <w:webHidden/>
              </w:rPr>
              <w:fldChar w:fldCharType="begin"/>
            </w:r>
            <w:r w:rsidR="003D1722">
              <w:rPr>
                <w:noProof/>
                <w:webHidden/>
              </w:rPr>
              <w:instrText xml:space="preserve"> PAGEREF _Toc126664227 \h </w:instrText>
            </w:r>
            <w:r w:rsidR="003D1722">
              <w:rPr>
                <w:noProof/>
                <w:webHidden/>
              </w:rPr>
            </w:r>
            <w:r w:rsidR="003D1722">
              <w:rPr>
                <w:noProof/>
                <w:webHidden/>
              </w:rPr>
              <w:fldChar w:fldCharType="separate"/>
            </w:r>
            <w:r>
              <w:rPr>
                <w:noProof/>
                <w:webHidden/>
              </w:rPr>
              <w:t>39</w:t>
            </w:r>
            <w:r w:rsidR="003D1722">
              <w:rPr>
                <w:noProof/>
                <w:webHidden/>
              </w:rPr>
              <w:fldChar w:fldCharType="end"/>
            </w:r>
          </w:hyperlink>
        </w:p>
        <w:p w14:paraId="58863289" w14:textId="58352014" w:rsidR="003D1722" w:rsidRDefault="00E93A26">
          <w:pPr>
            <w:pStyle w:val="Obsah2"/>
            <w:rPr>
              <w:rFonts w:asciiTheme="minorHAnsi" w:eastAsiaTheme="minorEastAsia" w:hAnsiTheme="minorHAnsi" w:cstheme="minorBidi"/>
              <w:noProof/>
              <w:sz w:val="22"/>
              <w:szCs w:val="22"/>
            </w:rPr>
          </w:pPr>
          <w:hyperlink w:anchor="_Toc126664228" w:history="1">
            <w:r w:rsidR="003D1722" w:rsidRPr="00F92237">
              <w:rPr>
                <w:rStyle w:val="Hypertextovodkaz"/>
                <w:noProof/>
              </w:rPr>
              <w:t>4.2 Důvody nezajišťování vzdělávání v podnicích</w:t>
            </w:r>
            <w:r w:rsidR="003D1722">
              <w:rPr>
                <w:noProof/>
                <w:webHidden/>
              </w:rPr>
              <w:tab/>
            </w:r>
            <w:r w:rsidR="003D1722">
              <w:rPr>
                <w:noProof/>
                <w:webHidden/>
              </w:rPr>
              <w:fldChar w:fldCharType="begin"/>
            </w:r>
            <w:r w:rsidR="003D1722">
              <w:rPr>
                <w:noProof/>
                <w:webHidden/>
              </w:rPr>
              <w:instrText xml:space="preserve"> PAGEREF _Toc126664228 \h </w:instrText>
            </w:r>
            <w:r w:rsidR="003D1722">
              <w:rPr>
                <w:noProof/>
                <w:webHidden/>
              </w:rPr>
            </w:r>
            <w:r w:rsidR="003D1722">
              <w:rPr>
                <w:noProof/>
                <w:webHidden/>
              </w:rPr>
              <w:fldChar w:fldCharType="separate"/>
            </w:r>
            <w:r>
              <w:rPr>
                <w:noProof/>
                <w:webHidden/>
              </w:rPr>
              <w:t>42</w:t>
            </w:r>
            <w:r w:rsidR="003D1722">
              <w:rPr>
                <w:noProof/>
                <w:webHidden/>
              </w:rPr>
              <w:fldChar w:fldCharType="end"/>
            </w:r>
          </w:hyperlink>
        </w:p>
        <w:p w14:paraId="2F4D8F22" w14:textId="279AAD3D" w:rsidR="003D1722" w:rsidRDefault="00E93A26">
          <w:pPr>
            <w:pStyle w:val="Obsah1"/>
            <w:rPr>
              <w:rFonts w:asciiTheme="minorHAnsi" w:eastAsiaTheme="minorEastAsia" w:hAnsiTheme="minorHAnsi" w:cstheme="minorBidi"/>
              <w:noProof/>
              <w:sz w:val="22"/>
              <w:szCs w:val="22"/>
            </w:rPr>
          </w:pPr>
          <w:hyperlink w:anchor="_Toc126664229" w:history="1">
            <w:r w:rsidR="003D1722" w:rsidRPr="003D1722">
              <w:rPr>
                <w:rStyle w:val="Hypertextovodkaz"/>
                <w:b/>
                <w:noProof/>
              </w:rPr>
              <w:t>Kapitola 5: Zajišťování praxe žáků/studentů počátečního vzdělávání v podnicích</w:t>
            </w:r>
            <w:r w:rsidR="003D1722">
              <w:rPr>
                <w:noProof/>
                <w:webHidden/>
              </w:rPr>
              <w:tab/>
            </w:r>
            <w:r w:rsidR="003D1722">
              <w:rPr>
                <w:noProof/>
                <w:webHidden/>
              </w:rPr>
              <w:fldChar w:fldCharType="begin"/>
            </w:r>
            <w:r w:rsidR="003D1722">
              <w:rPr>
                <w:noProof/>
                <w:webHidden/>
              </w:rPr>
              <w:instrText xml:space="preserve"> PAGEREF _Toc126664229 \h </w:instrText>
            </w:r>
            <w:r w:rsidR="003D1722">
              <w:rPr>
                <w:noProof/>
                <w:webHidden/>
              </w:rPr>
            </w:r>
            <w:r w:rsidR="003D1722">
              <w:rPr>
                <w:noProof/>
                <w:webHidden/>
              </w:rPr>
              <w:fldChar w:fldCharType="separate"/>
            </w:r>
            <w:r>
              <w:rPr>
                <w:noProof/>
                <w:webHidden/>
              </w:rPr>
              <w:t>46</w:t>
            </w:r>
            <w:r w:rsidR="003D1722">
              <w:rPr>
                <w:noProof/>
                <w:webHidden/>
              </w:rPr>
              <w:fldChar w:fldCharType="end"/>
            </w:r>
          </w:hyperlink>
        </w:p>
        <w:p w14:paraId="4D78CB44" w14:textId="0D73EB87" w:rsidR="003D1722" w:rsidRDefault="00E93A26">
          <w:pPr>
            <w:pStyle w:val="Obsah2"/>
            <w:rPr>
              <w:rFonts w:asciiTheme="minorHAnsi" w:eastAsiaTheme="minorEastAsia" w:hAnsiTheme="minorHAnsi" w:cstheme="minorBidi"/>
              <w:noProof/>
              <w:sz w:val="22"/>
              <w:szCs w:val="22"/>
            </w:rPr>
          </w:pPr>
          <w:hyperlink w:anchor="_Toc126664230" w:history="1">
            <w:r w:rsidR="003D1722" w:rsidRPr="00F92237">
              <w:rPr>
                <w:rStyle w:val="Hypertextovodkaz"/>
                <w:noProof/>
              </w:rPr>
              <w:t>Hlavní zjištění</w:t>
            </w:r>
            <w:r w:rsidR="003D1722">
              <w:rPr>
                <w:noProof/>
                <w:webHidden/>
              </w:rPr>
              <w:tab/>
            </w:r>
            <w:r w:rsidR="003D1722">
              <w:rPr>
                <w:noProof/>
                <w:webHidden/>
              </w:rPr>
              <w:fldChar w:fldCharType="begin"/>
            </w:r>
            <w:r w:rsidR="003D1722">
              <w:rPr>
                <w:noProof/>
                <w:webHidden/>
              </w:rPr>
              <w:instrText xml:space="preserve"> PAGEREF _Toc126664230 \h </w:instrText>
            </w:r>
            <w:r w:rsidR="003D1722">
              <w:rPr>
                <w:noProof/>
                <w:webHidden/>
              </w:rPr>
            </w:r>
            <w:r w:rsidR="003D1722">
              <w:rPr>
                <w:noProof/>
                <w:webHidden/>
              </w:rPr>
              <w:fldChar w:fldCharType="separate"/>
            </w:r>
            <w:r>
              <w:rPr>
                <w:noProof/>
                <w:webHidden/>
              </w:rPr>
              <w:t>46</w:t>
            </w:r>
            <w:r w:rsidR="003D1722">
              <w:rPr>
                <w:noProof/>
                <w:webHidden/>
              </w:rPr>
              <w:fldChar w:fldCharType="end"/>
            </w:r>
          </w:hyperlink>
        </w:p>
        <w:p w14:paraId="2E1AC739" w14:textId="540D2C0E" w:rsidR="003D1722" w:rsidRDefault="00E93A26">
          <w:pPr>
            <w:pStyle w:val="Obsah2"/>
            <w:rPr>
              <w:rFonts w:asciiTheme="minorHAnsi" w:eastAsiaTheme="minorEastAsia" w:hAnsiTheme="minorHAnsi" w:cstheme="minorBidi"/>
              <w:noProof/>
              <w:sz w:val="22"/>
              <w:szCs w:val="22"/>
            </w:rPr>
          </w:pPr>
          <w:hyperlink w:anchor="_Toc126664231" w:history="1">
            <w:r w:rsidR="003D1722" w:rsidRPr="00F92237">
              <w:rPr>
                <w:rStyle w:val="Hypertextovodkaz"/>
                <w:noProof/>
              </w:rPr>
              <w:t>5.1 Míra zajišťování praxe žákům/studentům počátečního vzdělávání v podnicích</w:t>
            </w:r>
            <w:r w:rsidR="003D1722">
              <w:rPr>
                <w:noProof/>
                <w:webHidden/>
              </w:rPr>
              <w:tab/>
            </w:r>
            <w:r w:rsidR="003D1722">
              <w:rPr>
                <w:noProof/>
                <w:webHidden/>
              </w:rPr>
              <w:fldChar w:fldCharType="begin"/>
            </w:r>
            <w:r w:rsidR="003D1722">
              <w:rPr>
                <w:noProof/>
                <w:webHidden/>
              </w:rPr>
              <w:instrText xml:space="preserve"> PAGEREF _Toc126664231 \h </w:instrText>
            </w:r>
            <w:r w:rsidR="003D1722">
              <w:rPr>
                <w:noProof/>
                <w:webHidden/>
              </w:rPr>
            </w:r>
            <w:r w:rsidR="003D1722">
              <w:rPr>
                <w:noProof/>
                <w:webHidden/>
              </w:rPr>
              <w:fldChar w:fldCharType="separate"/>
            </w:r>
            <w:r>
              <w:rPr>
                <w:noProof/>
                <w:webHidden/>
              </w:rPr>
              <w:t>47</w:t>
            </w:r>
            <w:r w:rsidR="003D1722">
              <w:rPr>
                <w:noProof/>
                <w:webHidden/>
              </w:rPr>
              <w:fldChar w:fldCharType="end"/>
            </w:r>
          </w:hyperlink>
        </w:p>
        <w:p w14:paraId="54598F2D" w14:textId="34C7FB7A" w:rsidR="003D1722" w:rsidRDefault="00E93A26">
          <w:pPr>
            <w:pStyle w:val="Obsah2"/>
            <w:rPr>
              <w:rFonts w:asciiTheme="minorHAnsi" w:eastAsiaTheme="minorEastAsia" w:hAnsiTheme="minorHAnsi" w:cstheme="minorBidi"/>
              <w:noProof/>
              <w:sz w:val="22"/>
              <w:szCs w:val="22"/>
            </w:rPr>
          </w:pPr>
          <w:hyperlink w:anchor="_Toc126664232" w:history="1">
            <w:r w:rsidR="003D1722" w:rsidRPr="00F92237">
              <w:rPr>
                <w:rStyle w:val="Hypertextovodkaz"/>
                <w:noProof/>
              </w:rPr>
              <w:t>5.2 Důvody zajišťování praxe žákům/studentům počátečního vzdělávání v podnicích</w:t>
            </w:r>
            <w:r w:rsidR="003D1722">
              <w:rPr>
                <w:noProof/>
                <w:webHidden/>
              </w:rPr>
              <w:tab/>
            </w:r>
            <w:r w:rsidR="003D1722">
              <w:rPr>
                <w:noProof/>
                <w:webHidden/>
              </w:rPr>
              <w:fldChar w:fldCharType="begin"/>
            </w:r>
            <w:r w:rsidR="003D1722">
              <w:rPr>
                <w:noProof/>
                <w:webHidden/>
              </w:rPr>
              <w:instrText xml:space="preserve"> PAGEREF _Toc126664232 \h </w:instrText>
            </w:r>
            <w:r w:rsidR="003D1722">
              <w:rPr>
                <w:noProof/>
                <w:webHidden/>
              </w:rPr>
            </w:r>
            <w:r w:rsidR="003D1722">
              <w:rPr>
                <w:noProof/>
                <w:webHidden/>
              </w:rPr>
              <w:fldChar w:fldCharType="separate"/>
            </w:r>
            <w:r>
              <w:rPr>
                <w:noProof/>
                <w:webHidden/>
              </w:rPr>
              <w:t>48</w:t>
            </w:r>
            <w:r w:rsidR="003D1722">
              <w:rPr>
                <w:noProof/>
                <w:webHidden/>
              </w:rPr>
              <w:fldChar w:fldCharType="end"/>
            </w:r>
          </w:hyperlink>
        </w:p>
        <w:p w14:paraId="2D69BFCE" w14:textId="19A4A732" w:rsidR="00510068" w:rsidRDefault="00510068">
          <w:r>
            <w:rPr>
              <w:b/>
              <w:bCs/>
            </w:rPr>
            <w:fldChar w:fldCharType="end"/>
          </w:r>
        </w:p>
      </w:sdtContent>
    </w:sdt>
    <w:p w14:paraId="0646F5F6" w14:textId="77777777" w:rsidR="009B0ADC" w:rsidRDefault="009B0ADC" w:rsidP="002D23AB">
      <w:pPr>
        <w:spacing w:after="0"/>
        <w:rPr>
          <w:color w:val="C00000"/>
        </w:rPr>
      </w:pPr>
    </w:p>
    <w:p w14:paraId="566B03FE" w14:textId="77777777" w:rsidR="009B0ADC" w:rsidRDefault="009B0ADC" w:rsidP="002D23AB">
      <w:pPr>
        <w:spacing w:after="0"/>
        <w:rPr>
          <w:color w:val="C00000"/>
        </w:rPr>
      </w:pPr>
    </w:p>
    <w:p w14:paraId="6AC72875" w14:textId="77777777" w:rsidR="008E02AB" w:rsidRPr="008E02AB" w:rsidRDefault="008E02AB" w:rsidP="002D23AB">
      <w:pPr>
        <w:spacing w:after="0"/>
        <w:rPr>
          <w:color w:val="C00000"/>
        </w:rPr>
      </w:pPr>
    </w:p>
    <w:p w14:paraId="77B49B4E" w14:textId="77777777" w:rsidR="001B08D3" w:rsidRDefault="001B08D3" w:rsidP="002D23AB">
      <w:pPr>
        <w:spacing w:after="0"/>
        <w:rPr>
          <w:color w:val="C00000"/>
        </w:rPr>
      </w:pPr>
    </w:p>
    <w:p w14:paraId="4E84030A" w14:textId="27D028A9" w:rsidR="002D23AB" w:rsidRPr="002D23AB" w:rsidRDefault="002D23AB" w:rsidP="002D23AB">
      <w:pPr>
        <w:spacing w:after="0"/>
        <w:rPr>
          <w:b/>
          <w:bCs/>
          <w:color w:val="C00000"/>
          <w:sz w:val="32"/>
          <w:szCs w:val="28"/>
        </w:rPr>
      </w:pPr>
      <w:r>
        <w:br w:type="page"/>
      </w:r>
    </w:p>
    <w:p w14:paraId="11DA17B7" w14:textId="6B1CDE3F" w:rsidR="00A67C12" w:rsidRPr="002D23AB" w:rsidRDefault="00665701" w:rsidP="002D23AB">
      <w:pPr>
        <w:pStyle w:val="Nadpis1"/>
      </w:pPr>
      <w:bookmarkStart w:id="1" w:name="_Toc126664210"/>
      <w:r w:rsidRPr="00665701">
        <w:lastRenderedPageBreak/>
        <w:t xml:space="preserve">Kapitola 1: Důraz kladený na vzdělávání </w:t>
      </w:r>
      <w:r w:rsidR="009B0ADC">
        <w:t>v podnicích</w:t>
      </w:r>
      <w:bookmarkEnd w:id="1"/>
    </w:p>
    <w:p w14:paraId="21F32FB3" w14:textId="0F637D28" w:rsidR="00795E5C" w:rsidRDefault="00795E5C" w:rsidP="00795E5C">
      <w:pPr>
        <w:spacing w:after="120"/>
        <w:jc w:val="both"/>
      </w:pPr>
      <w:r>
        <w:t xml:space="preserve">Důraz kladený v dnešním světě na další vzdělávání, včetně vzdělávání zaměstnanců v podnicích, se do různé míry odráží do strategie podniků. Ty mohou </w:t>
      </w:r>
      <w:r w:rsidR="005C6012">
        <w:t>klást větší důraz na</w:t>
      </w:r>
      <w:r>
        <w:t xml:space="preserve"> </w:t>
      </w:r>
      <w:r w:rsidR="005C6012">
        <w:t>vyhodnocování</w:t>
      </w:r>
      <w:r>
        <w:t>, jaké vzdělávání zaměstnanci potřebují, mohou vzdělávání v podnicích více organizovat či plánovat, zapojovat do tohoto plánování své zaměstnance a vyhrazovat si dopředu finanční prostředky na vzdělávání. Ve výsledku se pak mohou lépe rozhodovat, zda a jaké vzdělávání poskytnou a jakou finanční částku do něj investují, aby se to podniku vyplatilo.</w:t>
      </w:r>
    </w:p>
    <w:p w14:paraId="57246AE9" w14:textId="0F83A504" w:rsidR="001245E3" w:rsidRPr="0013654C" w:rsidRDefault="001245E3" w:rsidP="00112DCF">
      <w:pPr>
        <w:pStyle w:val="Nadpis2"/>
      </w:pPr>
      <w:bookmarkStart w:id="2" w:name="_Toc126664211"/>
      <w:r w:rsidRPr="0013654C">
        <w:t>Hlavní zjištění</w:t>
      </w:r>
      <w:bookmarkEnd w:id="2"/>
    </w:p>
    <w:p w14:paraId="158E739B" w14:textId="316104FE" w:rsidR="001245E3"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V roce 2020 </w:t>
      </w:r>
      <w:r w:rsidRPr="003F341D">
        <w:rPr>
          <w:rFonts w:ascii="Arial" w:hAnsi="Arial" w:cs="Arial"/>
          <w:b/>
          <w:sz w:val="20"/>
          <w:szCs w:val="20"/>
        </w:rPr>
        <w:t>zajišťovalo</w:t>
      </w:r>
      <w:r w:rsidR="00890637">
        <w:rPr>
          <w:rFonts w:ascii="Arial" w:hAnsi="Arial" w:cs="Arial"/>
          <w:sz w:val="20"/>
          <w:szCs w:val="20"/>
        </w:rPr>
        <w:t xml:space="preserve"> jakékoliv vzdělávání 86</w:t>
      </w:r>
      <w:r w:rsidRPr="0013654C">
        <w:rPr>
          <w:rFonts w:ascii="Arial" w:hAnsi="Arial" w:cs="Arial"/>
          <w:sz w:val="20"/>
          <w:szCs w:val="20"/>
        </w:rPr>
        <w:t xml:space="preserve"> % podniků. Pokud však nebudeme brát v potaz povinné vzdělávání vyplývající ze zákona (BOZP a PO), pak bylo </w:t>
      </w:r>
      <w:r w:rsidR="0013654C">
        <w:rPr>
          <w:rFonts w:ascii="Arial" w:hAnsi="Arial" w:cs="Arial"/>
          <w:sz w:val="20"/>
          <w:szCs w:val="20"/>
        </w:rPr>
        <w:t>podniků</w:t>
      </w:r>
      <w:r w:rsidR="008F4B9C">
        <w:rPr>
          <w:rFonts w:ascii="Arial" w:hAnsi="Arial" w:cs="Arial"/>
          <w:sz w:val="20"/>
          <w:szCs w:val="20"/>
        </w:rPr>
        <w:t xml:space="preserve"> zajišťujících vzdělávání</w:t>
      </w:r>
      <w:r w:rsidR="00890637">
        <w:rPr>
          <w:rFonts w:ascii="Arial" w:hAnsi="Arial" w:cs="Arial"/>
          <w:sz w:val="20"/>
          <w:szCs w:val="20"/>
        </w:rPr>
        <w:t xml:space="preserve"> 57 % oproti 64</w:t>
      </w:r>
      <w:r w:rsidR="0013654C">
        <w:rPr>
          <w:rFonts w:ascii="Arial" w:hAnsi="Arial" w:cs="Arial"/>
          <w:sz w:val="20"/>
          <w:szCs w:val="20"/>
        </w:rPr>
        <w:t> </w:t>
      </w:r>
      <w:r w:rsidRPr="0013654C">
        <w:rPr>
          <w:rFonts w:ascii="Arial" w:hAnsi="Arial" w:cs="Arial"/>
          <w:sz w:val="20"/>
          <w:szCs w:val="20"/>
        </w:rPr>
        <w:t>% v roce 2</w:t>
      </w:r>
      <w:r w:rsidR="0013654C">
        <w:rPr>
          <w:rFonts w:ascii="Arial" w:hAnsi="Arial" w:cs="Arial"/>
          <w:sz w:val="20"/>
          <w:szCs w:val="20"/>
        </w:rPr>
        <w:t>0</w:t>
      </w:r>
      <w:r w:rsidRPr="0013654C">
        <w:rPr>
          <w:rFonts w:ascii="Arial" w:hAnsi="Arial" w:cs="Arial"/>
          <w:sz w:val="20"/>
          <w:szCs w:val="20"/>
        </w:rPr>
        <w:t>15.</w:t>
      </w:r>
    </w:p>
    <w:p w14:paraId="11C2E220" w14:textId="22A8A0F0" w:rsidR="002F74ED" w:rsidRPr="002F74ED" w:rsidRDefault="002F74ED" w:rsidP="0013654C">
      <w:pPr>
        <w:pStyle w:val="Odstavecseseznamem"/>
        <w:numPr>
          <w:ilvl w:val="0"/>
          <w:numId w:val="20"/>
        </w:numPr>
        <w:spacing w:after="120"/>
        <w:jc w:val="both"/>
        <w:rPr>
          <w:rFonts w:ascii="Arial" w:hAnsi="Arial" w:cs="Arial"/>
          <w:sz w:val="20"/>
          <w:szCs w:val="20"/>
        </w:rPr>
      </w:pPr>
      <w:r w:rsidRPr="002F74ED">
        <w:rPr>
          <w:rFonts w:ascii="Arial" w:hAnsi="Arial" w:cs="Arial"/>
          <w:sz w:val="20"/>
          <w:szCs w:val="20"/>
        </w:rPr>
        <w:t>Co se </w:t>
      </w:r>
      <w:r w:rsidRPr="002F74ED">
        <w:rPr>
          <w:rFonts w:ascii="Arial" w:hAnsi="Arial" w:cs="Arial"/>
          <w:b/>
          <w:sz w:val="20"/>
          <w:szCs w:val="20"/>
        </w:rPr>
        <w:t>forem vzdělávání</w:t>
      </w:r>
      <w:r w:rsidRPr="002F74ED">
        <w:rPr>
          <w:rFonts w:ascii="Arial" w:hAnsi="Arial" w:cs="Arial"/>
          <w:sz w:val="20"/>
          <w:szCs w:val="20"/>
        </w:rPr>
        <w:t xml:space="preserve"> </w:t>
      </w:r>
      <w:r>
        <w:rPr>
          <w:rFonts w:ascii="Arial" w:hAnsi="Arial" w:cs="Arial"/>
          <w:sz w:val="20"/>
          <w:szCs w:val="20"/>
        </w:rPr>
        <w:t xml:space="preserve">nevyplývajícího ze zákona </w:t>
      </w:r>
      <w:r w:rsidRPr="002F74ED">
        <w:rPr>
          <w:rFonts w:ascii="Arial" w:hAnsi="Arial" w:cs="Arial"/>
          <w:sz w:val="20"/>
          <w:szCs w:val="20"/>
        </w:rPr>
        <w:t xml:space="preserve">týče, největší podíl podniků se uchýlil k zajišťování </w:t>
      </w:r>
      <w:r>
        <w:rPr>
          <w:rFonts w:ascii="Arial" w:hAnsi="Arial" w:cs="Arial"/>
          <w:sz w:val="20"/>
          <w:szCs w:val="20"/>
        </w:rPr>
        <w:t xml:space="preserve">nepovinných </w:t>
      </w:r>
      <w:r w:rsidR="00890637">
        <w:rPr>
          <w:rFonts w:ascii="Arial" w:hAnsi="Arial" w:cs="Arial"/>
          <w:sz w:val="20"/>
          <w:szCs w:val="20"/>
        </w:rPr>
        <w:t>kurzů/školení (44</w:t>
      </w:r>
      <w:r w:rsidRPr="002F74ED">
        <w:rPr>
          <w:rFonts w:ascii="Arial" w:hAnsi="Arial" w:cs="Arial"/>
          <w:sz w:val="20"/>
          <w:szCs w:val="20"/>
        </w:rPr>
        <w:t> %), dále k zaškolování či</w:t>
      </w:r>
      <w:r w:rsidR="00890637">
        <w:rPr>
          <w:rFonts w:ascii="Arial" w:hAnsi="Arial" w:cs="Arial"/>
          <w:sz w:val="20"/>
          <w:szCs w:val="20"/>
        </w:rPr>
        <w:t xml:space="preserve"> instruktáži na pracovišti (26</w:t>
      </w:r>
      <w:r w:rsidRPr="002F74ED">
        <w:rPr>
          <w:rFonts w:ascii="Arial" w:hAnsi="Arial" w:cs="Arial"/>
          <w:sz w:val="20"/>
          <w:szCs w:val="20"/>
        </w:rPr>
        <w:t> %), k</w:t>
      </w:r>
      <w:r w:rsidR="00890637">
        <w:rPr>
          <w:rFonts w:ascii="Arial" w:hAnsi="Arial" w:cs="Arial"/>
          <w:sz w:val="20"/>
          <w:szCs w:val="20"/>
        </w:rPr>
        <w:t> samostudiu či e-learningu (18</w:t>
      </w:r>
      <w:r w:rsidRPr="002F74ED">
        <w:rPr>
          <w:rFonts w:ascii="Arial" w:hAnsi="Arial" w:cs="Arial"/>
          <w:sz w:val="20"/>
          <w:szCs w:val="20"/>
        </w:rPr>
        <w:t> %) a k workshopům, seminářům</w:t>
      </w:r>
      <w:r w:rsidR="00890637">
        <w:rPr>
          <w:rFonts w:ascii="Arial" w:hAnsi="Arial" w:cs="Arial"/>
          <w:sz w:val="20"/>
          <w:szCs w:val="20"/>
        </w:rPr>
        <w:t>, konferencím či veletrhům (15</w:t>
      </w:r>
      <w:r w:rsidRPr="002F74ED">
        <w:rPr>
          <w:rFonts w:ascii="Arial" w:hAnsi="Arial" w:cs="Arial"/>
          <w:sz w:val="20"/>
          <w:szCs w:val="20"/>
        </w:rPr>
        <w:t> %). Rotace zaměstnanců na pracovních místech či kroužky kvality či vzdělávací kroužky již byly podstatně m</w:t>
      </w:r>
      <w:r w:rsidR="00890637">
        <w:rPr>
          <w:rFonts w:ascii="Arial" w:hAnsi="Arial" w:cs="Arial"/>
          <w:sz w:val="20"/>
          <w:szCs w:val="20"/>
        </w:rPr>
        <w:t>éně oblíbené (realizovalo je 4 %, resp. 3</w:t>
      </w:r>
      <w:r w:rsidRPr="002F74ED">
        <w:rPr>
          <w:rFonts w:ascii="Arial" w:hAnsi="Arial" w:cs="Arial"/>
          <w:sz w:val="20"/>
          <w:szCs w:val="20"/>
        </w:rPr>
        <w:t> % podniků).</w:t>
      </w:r>
    </w:p>
    <w:p w14:paraId="3695CE79" w14:textId="4EFC7A67" w:rsidR="002F74ED" w:rsidRPr="002F74ED" w:rsidRDefault="009A7A3A" w:rsidP="002F74ED">
      <w:pPr>
        <w:pStyle w:val="Odstavecseseznamem"/>
        <w:numPr>
          <w:ilvl w:val="0"/>
          <w:numId w:val="20"/>
        </w:numPr>
        <w:spacing w:after="120"/>
        <w:jc w:val="both"/>
        <w:rPr>
          <w:rFonts w:ascii="Arial" w:hAnsi="Arial" w:cs="Arial"/>
          <w:sz w:val="20"/>
          <w:szCs w:val="20"/>
        </w:rPr>
      </w:pPr>
      <w:r>
        <w:rPr>
          <w:rFonts w:ascii="Arial" w:hAnsi="Arial" w:cs="Arial"/>
          <w:sz w:val="20"/>
          <w:szCs w:val="20"/>
        </w:rPr>
        <w:t>N</w:t>
      </w:r>
      <w:r w:rsidR="001245E3" w:rsidRPr="0013654C">
        <w:rPr>
          <w:rFonts w:ascii="Arial" w:hAnsi="Arial" w:cs="Arial"/>
          <w:sz w:val="20"/>
          <w:szCs w:val="20"/>
        </w:rPr>
        <w:t>a vzdělávání bylo</w:t>
      </w:r>
      <w:r>
        <w:rPr>
          <w:rFonts w:ascii="Arial" w:hAnsi="Arial" w:cs="Arial"/>
          <w:sz w:val="20"/>
          <w:szCs w:val="20"/>
        </w:rPr>
        <w:t xml:space="preserve"> v roce 2020</w:t>
      </w:r>
      <w:r w:rsidR="001245E3" w:rsidRPr="0013654C">
        <w:rPr>
          <w:rFonts w:ascii="Arial" w:hAnsi="Arial" w:cs="Arial"/>
          <w:sz w:val="20"/>
          <w:szCs w:val="20"/>
        </w:rPr>
        <w:t xml:space="preserve"> v </w:t>
      </w:r>
      <w:r w:rsidR="0013654C">
        <w:rPr>
          <w:rFonts w:ascii="Arial" w:hAnsi="Arial" w:cs="Arial"/>
          <w:sz w:val="20"/>
          <w:szCs w:val="20"/>
        </w:rPr>
        <w:t xml:space="preserve">průměru </w:t>
      </w:r>
      <w:r>
        <w:rPr>
          <w:rFonts w:ascii="Arial" w:hAnsi="Arial" w:cs="Arial"/>
          <w:b/>
          <w:sz w:val="20"/>
          <w:szCs w:val="20"/>
        </w:rPr>
        <w:t>vydáno</w:t>
      </w:r>
      <w:r w:rsidR="0013654C">
        <w:rPr>
          <w:rFonts w:ascii="Arial" w:hAnsi="Arial" w:cs="Arial"/>
          <w:sz w:val="20"/>
          <w:szCs w:val="20"/>
        </w:rPr>
        <w:t xml:space="preserve"> 2 431 Kč </w:t>
      </w:r>
      <w:r w:rsidR="002F74ED">
        <w:rPr>
          <w:rFonts w:ascii="Arial" w:hAnsi="Arial" w:cs="Arial"/>
          <w:sz w:val="20"/>
          <w:szCs w:val="20"/>
        </w:rPr>
        <w:t xml:space="preserve">na jednoho zaměstnance ve všech podnicích </w:t>
      </w:r>
      <w:r w:rsidR="0013654C">
        <w:rPr>
          <w:rFonts w:ascii="Arial" w:hAnsi="Arial" w:cs="Arial"/>
          <w:sz w:val="20"/>
          <w:szCs w:val="20"/>
        </w:rPr>
        <w:t xml:space="preserve">a </w:t>
      </w:r>
      <w:r w:rsidR="008F4B9C" w:rsidRPr="0013654C">
        <w:rPr>
          <w:rFonts w:ascii="Arial" w:hAnsi="Arial" w:cs="Arial"/>
          <w:sz w:val="20"/>
          <w:szCs w:val="20"/>
        </w:rPr>
        <w:t>2 569 Kč</w:t>
      </w:r>
      <w:r w:rsidR="008F4B9C">
        <w:rPr>
          <w:rFonts w:ascii="Arial" w:hAnsi="Arial" w:cs="Arial"/>
          <w:sz w:val="20"/>
          <w:szCs w:val="20"/>
        </w:rPr>
        <w:t xml:space="preserve"> </w:t>
      </w:r>
      <w:r w:rsidR="0013654C">
        <w:rPr>
          <w:rFonts w:ascii="Arial" w:hAnsi="Arial" w:cs="Arial"/>
          <w:sz w:val="20"/>
          <w:szCs w:val="20"/>
        </w:rPr>
        <w:t>na jednoho</w:t>
      </w:r>
      <w:r w:rsidR="001245E3" w:rsidRPr="0013654C">
        <w:rPr>
          <w:rFonts w:ascii="Arial" w:hAnsi="Arial" w:cs="Arial"/>
          <w:sz w:val="20"/>
          <w:szCs w:val="20"/>
        </w:rPr>
        <w:t xml:space="preserve"> zaměstnance v podnicích zajišťujících vzdělávání. Za kurzy/školení připadly na jednoho účastníka náklady ve výši 2 874 Kč a podíl nákladů </w:t>
      </w:r>
      <w:r>
        <w:rPr>
          <w:rFonts w:ascii="Arial" w:hAnsi="Arial" w:cs="Arial"/>
          <w:sz w:val="20"/>
          <w:szCs w:val="20"/>
        </w:rPr>
        <w:t xml:space="preserve">na </w:t>
      </w:r>
      <w:r w:rsidR="001245E3" w:rsidRPr="0013654C">
        <w:rPr>
          <w:rFonts w:ascii="Arial" w:hAnsi="Arial" w:cs="Arial"/>
          <w:sz w:val="20"/>
          <w:szCs w:val="20"/>
        </w:rPr>
        <w:t xml:space="preserve">vzdělávání k celkovým nákladům práce byl 0,4 %.  </w:t>
      </w:r>
    </w:p>
    <w:p w14:paraId="2FEEE2A9" w14:textId="6F98D39A"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Téměř dvě pětiny </w:t>
      </w:r>
      <w:r w:rsidR="00A65763">
        <w:rPr>
          <w:rFonts w:ascii="Arial" w:hAnsi="Arial" w:cs="Arial"/>
          <w:sz w:val="20"/>
          <w:szCs w:val="20"/>
        </w:rPr>
        <w:t xml:space="preserve">všech </w:t>
      </w:r>
      <w:r w:rsidRPr="0013654C">
        <w:rPr>
          <w:rFonts w:ascii="Arial" w:hAnsi="Arial" w:cs="Arial"/>
          <w:sz w:val="20"/>
          <w:szCs w:val="20"/>
        </w:rPr>
        <w:t xml:space="preserve">podniků zajišťovaly </w:t>
      </w:r>
      <w:r w:rsidRPr="003F341D">
        <w:rPr>
          <w:rFonts w:ascii="Arial" w:hAnsi="Arial" w:cs="Arial"/>
          <w:b/>
          <w:sz w:val="20"/>
          <w:szCs w:val="20"/>
        </w:rPr>
        <w:t xml:space="preserve">externí </w:t>
      </w:r>
      <w:r w:rsidRPr="008F4B9C">
        <w:rPr>
          <w:rFonts w:ascii="Arial" w:hAnsi="Arial" w:cs="Arial"/>
          <w:b/>
          <w:sz w:val="20"/>
          <w:szCs w:val="20"/>
        </w:rPr>
        <w:t>nepovinné</w:t>
      </w:r>
      <w:r w:rsidRPr="003F341D">
        <w:rPr>
          <w:rFonts w:ascii="Arial" w:hAnsi="Arial" w:cs="Arial"/>
          <w:b/>
          <w:sz w:val="20"/>
          <w:szCs w:val="20"/>
        </w:rPr>
        <w:t xml:space="preserve"> kurzy/školení</w:t>
      </w:r>
      <w:r w:rsidRPr="0013654C">
        <w:rPr>
          <w:rFonts w:ascii="Arial" w:hAnsi="Arial" w:cs="Arial"/>
          <w:sz w:val="20"/>
          <w:szCs w:val="20"/>
        </w:rPr>
        <w:t xml:space="preserve"> a téměř tři pětiny </w:t>
      </w:r>
      <w:r w:rsidRPr="008F4B9C">
        <w:rPr>
          <w:rFonts w:ascii="Arial" w:hAnsi="Arial" w:cs="Arial"/>
          <w:b/>
          <w:sz w:val="20"/>
          <w:szCs w:val="20"/>
        </w:rPr>
        <w:t>externí povinné kurzy/školení</w:t>
      </w:r>
      <w:r w:rsidRPr="0013654C">
        <w:rPr>
          <w:rFonts w:ascii="Arial" w:hAnsi="Arial" w:cs="Arial"/>
          <w:sz w:val="20"/>
          <w:szCs w:val="20"/>
        </w:rPr>
        <w:t xml:space="preserve">. Pokud se jedná o </w:t>
      </w:r>
      <w:r w:rsidRPr="003F341D">
        <w:rPr>
          <w:rFonts w:ascii="Arial" w:hAnsi="Arial" w:cs="Arial"/>
          <w:b/>
          <w:sz w:val="20"/>
          <w:szCs w:val="20"/>
        </w:rPr>
        <w:t>interní kurzy/školení</w:t>
      </w:r>
      <w:r w:rsidR="00890637">
        <w:rPr>
          <w:rFonts w:ascii="Arial" w:hAnsi="Arial" w:cs="Arial"/>
          <w:sz w:val="20"/>
          <w:szCs w:val="20"/>
        </w:rPr>
        <w:t>, 17</w:t>
      </w:r>
      <w:r w:rsidRPr="0013654C">
        <w:rPr>
          <w:rFonts w:ascii="Arial" w:hAnsi="Arial" w:cs="Arial"/>
          <w:sz w:val="20"/>
          <w:szCs w:val="20"/>
        </w:rPr>
        <w:t xml:space="preserve"> % podniků </w:t>
      </w:r>
      <w:r w:rsidR="00F87C65" w:rsidRPr="0013654C">
        <w:rPr>
          <w:rFonts w:ascii="Arial" w:hAnsi="Arial" w:cs="Arial"/>
          <w:sz w:val="20"/>
          <w:szCs w:val="20"/>
        </w:rPr>
        <w:t xml:space="preserve">zajišťovalo </w:t>
      </w:r>
      <w:r w:rsidRPr="0013654C">
        <w:rPr>
          <w:rFonts w:ascii="Arial" w:hAnsi="Arial" w:cs="Arial"/>
          <w:sz w:val="20"/>
          <w:szCs w:val="20"/>
        </w:rPr>
        <w:t>nepovi</w:t>
      </w:r>
      <w:r w:rsidR="00890637">
        <w:rPr>
          <w:rFonts w:ascii="Arial" w:hAnsi="Arial" w:cs="Arial"/>
          <w:sz w:val="20"/>
          <w:szCs w:val="20"/>
        </w:rPr>
        <w:t>nné interní kurzy/školení a 47</w:t>
      </w:r>
      <w:r w:rsidRPr="0013654C">
        <w:rPr>
          <w:rFonts w:ascii="Arial" w:hAnsi="Arial" w:cs="Arial"/>
          <w:sz w:val="20"/>
          <w:szCs w:val="20"/>
        </w:rPr>
        <w:t> % povinné interní kurzy/školení.</w:t>
      </w:r>
    </w:p>
    <w:p w14:paraId="3DAFF5A1" w14:textId="3CAC29D7"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Polovina podniků v roce 2020 uvedla, že vzdělávání se u nich </w:t>
      </w:r>
      <w:r w:rsidRPr="003F341D">
        <w:rPr>
          <w:rFonts w:ascii="Arial" w:hAnsi="Arial" w:cs="Arial"/>
          <w:b/>
          <w:sz w:val="20"/>
          <w:szCs w:val="20"/>
        </w:rPr>
        <w:t>plánuje předem</w:t>
      </w:r>
      <w:r w:rsidRPr="0013654C">
        <w:rPr>
          <w:rFonts w:ascii="Arial" w:hAnsi="Arial" w:cs="Arial"/>
          <w:sz w:val="20"/>
          <w:szCs w:val="20"/>
        </w:rPr>
        <w:t xml:space="preserve">. Oproti tomu jen pětina všech podniků </w:t>
      </w:r>
      <w:r w:rsidR="008F4B9C">
        <w:rPr>
          <w:rFonts w:ascii="Arial" w:hAnsi="Arial" w:cs="Arial"/>
          <w:sz w:val="20"/>
          <w:szCs w:val="20"/>
        </w:rPr>
        <w:t>sdělila</w:t>
      </w:r>
      <w:r w:rsidRPr="0013654C">
        <w:rPr>
          <w:rFonts w:ascii="Arial" w:hAnsi="Arial" w:cs="Arial"/>
          <w:sz w:val="20"/>
          <w:szCs w:val="20"/>
        </w:rPr>
        <w:t>, že předem plánované vzdělávání zahrnuje písemný vzdělávací plán či projekt.</w:t>
      </w:r>
    </w:p>
    <w:p w14:paraId="226EE9F2" w14:textId="43AB59F8"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Ne všechny podniky, které vzdělávání plánovaly dopředu, si na něj v rozpočtu </w:t>
      </w:r>
      <w:r w:rsidRPr="003F341D">
        <w:rPr>
          <w:rFonts w:ascii="Arial" w:hAnsi="Arial" w:cs="Arial"/>
          <w:b/>
          <w:sz w:val="20"/>
          <w:szCs w:val="20"/>
        </w:rPr>
        <w:t>předem</w:t>
      </w:r>
      <w:r w:rsidRPr="0013654C">
        <w:rPr>
          <w:rFonts w:ascii="Arial" w:hAnsi="Arial" w:cs="Arial"/>
          <w:sz w:val="20"/>
          <w:szCs w:val="20"/>
        </w:rPr>
        <w:t xml:space="preserve"> </w:t>
      </w:r>
      <w:r w:rsidRPr="003F341D">
        <w:rPr>
          <w:rFonts w:ascii="Arial" w:hAnsi="Arial" w:cs="Arial"/>
          <w:b/>
          <w:sz w:val="20"/>
          <w:szCs w:val="20"/>
        </w:rPr>
        <w:t>vyhrazovaly finanční prostředky</w:t>
      </w:r>
      <w:r w:rsidR="00E54D47">
        <w:rPr>
          <w:rFonts w:ascii="Arial" w:hAnsi="Arial" w:cs="Arial"/>
          <w:sz w:val="20"/>
          <w:szCs w:val="20"/>
        </w:rPr>
        <w:t xml:space="preserve">. Ze všech podniků </w:t>
      </w:r>
      <w:r w:rsidRPr="0013654C">
        <w:rPr>
          <w:rFonts w:ascii="Arial" w:hAnsi="Arial" w:cs="Arial"/>
          <w:sz w:val="20"/>
          <w:szCs w:val="20"/>
        </w:rPr>
        <w:t>tak v roce 2020</w:t>
      </w:r>
      <w:r w:rsidR="00E54D47">
        <w:rPr>
          <w:rFonts w:ascii="Arial" w:hAnsi="Arial" w:cs="Arial"/>
          <w:sz w:val="20"/>
          <w:szCs w:val="20"/>
        </w:rPr>
        <w:t xml:space="preserve"> činily</w:t>
      </w:r>
      <w:r w:rsidR="0013654C">
        <w:rPr>
          <w:rFonts w:ascii="Arial" w:hAnsi="Arial" w:cs="Arial"/>
          <w:sz w:val="20"/>
          <w:szCs w:val="20"/>
        </w:rPr>
        <w:t xml:space="preserve"> jen dvě pětiny.</w:t>
      </w:r>
    </w:p>
    <w:p w14:paraId="1411B532" w14:textId="49626171"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Více než dvě třetiny podniků v roce 2020 uvedly, že </w:t>
      </w:r>
      <w:r w:rsidR="008F4B9C">
        <w:rPr>
          <w:rFonts w:ascii="Arial" w:hAnsi="Arial" w:cs="Arial"/>
          <w:b/>
          <w:sz w:val="20"/>
          <w:szCs w:val="20"/>
        </w:rPr>
        <w:t>analyzují</w:t>
      </w:r>
      <w:r w:rsidRPr="003F341D">
        <w:rPr>
          <w:rFonts w:ascii="Arial" w:hAnsi="Arial" w:cs="Arial"/>
          <w:b/>
          <w:sz w:val="20"/>
          <w:szCs w:val="20"/>
        </w:rPr>
        <w:t>,</w:t>
      </w:r>
      <w:r w:rsidRPr="0013654C">
        <w:rPr>
          <w:rFonts w:ascii="Arial" w:hAnsi="Arial" w:cs="Arial"/>
          <w:sz w:val="20"/>
          <w:szCs w:val="20"/>
        </w:rPr>
        <w:t xml:space="preserve"> </w:t>
      </w:r>
      <w:r w:rsidRPr="003F341D">
        <w:rPr>
          <w:rFonts w:ascii="Arial" w:hAnsi="Arial" w:cs="Arial"/>
          <w:b/>
          <w:sz w:val="20"/>
          <w:szCs w:val="20"/>
        </w:rPr>
        <w:t>jaké dovednosti zaměstnanců budou v budoucnu potřebovat</w:t>
      </w:r>
      <w:r w:rsidRPr="0013654C">
        <w:rPr>
          <w:rFonts w:ascii="Arial" w:hAnsi="Arial" w:cs="Arial"/>
          <w:sz w:val="20"/>
          <w:szCs w:val="20"/>
        </w:rPr>
        <w:t>.</w:t>
      </w:r>
    </w:p>
    <w:p w14:paraId="0660EF32" w14:textId="4B6365C4"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Pokud podnik zjistí, že dovednosti zaměstnanců neodpovídají plně tomu, co bude podnik v budoucnu potřebovat, má více možností, jak danou situaci řešit. Mírně nadpoloviční většina podniků v dané situaci </w:t>
      </w:r>
      <w:r w:rsidRPr="00F176DE">
        <w:rPr>
          <w:rFonts w:ascii="Arial" w:hAnsi="Arial" w:cs="Arial"/>
          <w:b/>
          <w:sz w:val="20"/>
          <w:szCs w:val="20"/>
        </w:rPr>
        <w:t>přistupuje k zajištění vzdělávání zaměstnanců</w:t>
      </w:r>
      <w:r w:rsidR="00890637">
        <w:rPr>
          <w:rFonts w:ascii="Arial" w:hAnsi="Arial" w:cs="Arial"/>
          <w:sz w:val="20"/>
          <w:szCs w:val="20"/>
        </w:rPr>
        <w:t xml:space="preserve"> (52</w:t>
      </w:r>
      <w:r w:rsidR="00122C16">
        <w:rPr>
          <w:rFonts w:ascii="Arial" w:hAnsi="Arial" w:cs="Arial"/>
          <w:sz w:val="20"/>
          <w:szCs w:val="20"/>
        </w:rPr>
        <w:t> </w:t>
      </w:r>
      <w:r w:rsidRPr="0013654C">
        <w:rPr>
          <w:rFonts w:ascii="Arial" w:hAnsi="Arial" w:cs="Arial"/>
          <w:sz w:val="20"/>
          <w:szCs w:val="20"/>
        </w:rPr>
        <w:t xml:space="preserve">%). Více než pětina podniků uvedla, že </w:t>
      </w:r>
      <w:r w:rsidRPr="00F176DE">
        <w:rPr>
          <w:rFonts w:ascii="Arial" w:hAnsi="Arial" w:cs="Arial"/>
          <w:b/>
          <w:sz w:val="20"/>
          <w:szCs w:val="20"/>
        </w:rPr>
        <w:t>nabírají nové pracovníky</w:t>
      </w:r>
      <w:r w:rsidRPr="0013654C">
        <w:rPr>
          <w:rFonts w:ascii="Arial" w:hAnsi="Arial" w:cs="Arial"/>
          <w:sz w:val="20"/>
          <w:szCs w:val="20"/>
        </w:rPr>
        <w:t xml:space="preserve"> s odpovídající kvalifikací,</w:t>
      </w:r>
      <w:r w:rsidR="00890637">
        <w:rPr>
          <w:rFonts w:ascii="Arial" w:hAnsi="Arial" w:cs="Arial"/>
          <w:sz w:val="20"/>
          <w:szCs w:val="20"/>
        </w:rPr>
        <w:t xml:space="preserve"> dovednostmi a schopnostmi (22</w:t>
      </w:r>
      <w:r w:rsidRPr="0013654C">
        <w:rPr>
          <w:rFonts w:ascii="Arial" w:hAnsi="Arial" w:cs="Arial"/>
          <w:sz w:val="20"/>
          <w:szCs w:val="20"/>
        </w:rPr>
        <w:t xml:space="preserve"> %) a také že </w:t>
      </w:r>
      <w:r w:rsidRPr="00F176DE">
        <w:rPr>
          <w:rFonts w:ascii="Arial" w:hAnsi="Arial" w:cs="Arial"/>
          <w:b/>
          <w:sz w:val="20"/>
          <w:szCs w:val="20"/>
        </w:rPr>
        <w:t>přistupují k vnitřní reorganizaci</w:t>
      </w:r>
      <w:r w:rsidRPr="0013654C">
        <w:rPr>
          <w:rFonts w:ascii="Arial" w:hAnsi="Arial" w:cs="Arial"/>
          <w:sz w:val="20"/>
          <w:szCs w:val="20"/>
        </w:rPr>
        <w:t>, aby lépe využily dovednosti a schopno</w:t>
      </w:r>
      <w:r w:rsidR="00890637">
        <w:rPr>
          <w:rFonts w:ascii="Arial" w:hAnsi="Arial" w:cs="Arial"/>
          <w:sz w:val="20"/>
          <w:szCs w:val="20"/>
        </w:rPr>
        <w:t>sti stávajících pracovníků (22 %). Pouhé 4</w:t>
      </w:r>
      <w:r w:rsidR="00562981">
        <w:rPr>
          <w:rFonts w:ascii="Arial" w:hAnsi="Arial" w:cs="Arial"/>
          <w:sz w:val="20"/>
          <w:szCs w:val="20"/>
        </w:rPr>
        <w:t xml:space="preserve"> % podniků uvedly, že nabírají</w:t>
      </w:r>
      <w:r w:rsidRPr="0013654C">
        <w:rPr>
          <w:rFonts w:ascii="Arial" w:hAnsi="Arial" w:cs="Arial"/>
          <w:sz w:val="20"/>
          <w:szCs w:val="20"/>
        </w:rPr>
        <w:t xml:space="preserve"> nové pracovníky, kterým následně zajistí potřebné vzdělání.</w:t>
      </w:r>
    </w:p>
    <w:p w14:paraId="4FC51533" w14:textId="14F8552C"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Podnikům, které uvedly, že pro zaměstnance v roce 2020 </w:t>
      </w:r>
      <w:r w:rsidR="00890637">
        <w:rPr>
          <w:rFonts w:ascii="Arial" w:hAnsi="Arial" w:cs="Arial"/>
          <w:sz w:val="20"/>
          <w:szCs w:val="20"/>
        </w:rPr>
        <w:t>zajišťovaly vzdělávání, tj. 86</w:t>
      </w:r>
      <w:r w:rsidRPr="0013654C">
        <w:rPr>
          <w:rFonts w:ascii="Arial" w:hAnsi="Arial" w:cs="Arial"/>
          <w:sz w:val="20"/>
          <w:szCs w:val="20"/>
        </w:rPr>
        <w:t xml:space="preserve"> % všech podniků, byla položena otázka, zda </w:t>
      </w:r>
      <w:r w:rsidRPr="003F341D">
        <w:rPr>
          <w:rFonts w:ascii="Arial" w:hAnsi="Arial" w:cs="Arial"/>
          <w:b/>
          <w:sz w:val="20"/>
          <w:szCs w:val="20"/>
        </w:rPr>
        <w:t>obvykle vyhodnocují efektivitu</w:t>
      </w:r>
      <w:r w:rsidRPr="0013654C">
        <w:rPr>
          <w:rFonts w:ascii="Arial" w:hAnsi="Arial" w:cs="Arial"/>
          <w:sz w:val="20"/>
          <w:szCs w:val="20"/>
        </w:rPr>
        <w:t xml:space="preserve"> poskytovaného vzdělávání. Kladně odpověděla necelá polovina </w:t>
      </w:r>
      <w:r w:rsidR="00890637">
        <w:rPr>
          <w:rFonts w:ascii="Arial" w:hAnsi="Arial" w:cs="Arial"/>
          <w:sz w:val="20"/>
          <w:szCs w:val="20"/>
        </w:rPr>
        <w:t>(46</w:t>
      </w:r>
      <w:r w:rsidRPr="0013654C">
        <w:rPr>
          <w:rFonts w:ascii="Arial" w:hAnsi="Arial" w:cs="Arial"/>
          <w:sz w:val="20"/>
          <w:szCs w:val="20"/>
        </w:rPr>
        <w:t> %).</w:t>
      </w:r>
    </w:p>
    <w:p w14:paraId="56CB1CAB" w14:textId="2F1BC717" w:rsidR="001245E3" w:rsidRPr="0013654C" w:rsidRDefault="001245E3" w:rsidP="0013654C">
      <w:pPr>
        <w:pStyle w:val="Odstavecseseznamem"/>
        <w:numPr>
          <w:ilvl w:val="0"/>
          <w:numId w:val="20"/>
        </w:numPr>
        <w:spacing w:after="120"/>
        <w:jc w:val="both"/>
        <w:rPr>
          <w:rFonts w:ascii="Arial" w:hAnsi="Arial" w:cs="Arial"/>
          <w:sz w:val="20"/>
          <w:szCs w:val="20"/>
        </w:rPr>
      </w:pPr>
      <w:r w:rsidRPr="0013654C">
        <w:rPr>
          <w:rFonts w:ascii="Arial" w:hAnsi="Arial" w:cs="Arial"/>
          <w:sz w:val="20"/>
          <w:szCs w:val="20"/>
        </w:rPr>
        <w:t xml:space="preserve">Pro indikátory zmíněné v této kapitole platí, že </w:t>
      </w:r>
      <w:r w:rsidRPr="00F176DE">
        <w:rPr>
          <w:rFonts w:ascii="Arial" w:hAnsi="Arial" w:cs="Arial"/>
          <w:b/>
          <w:sz w:val="20"/>
          <w:szCs w:val="20"/>
        </w:rPr>
        <w:t>aktivnější přístup ke vzdělávání</w:t>
      </w:r>
      <w:r w:rsidRPr="0013654C">
        <w:rPr>
          <w:rFonts w:ascii="Arial" w:hAnsi="Arial" w:cs="Arial"/>
          <w:sz w:val="20"/>
          <w:szCs w:val="20"/>
        </w:rPr>
        <w:t xml:space="preserve"> zaměstnanců měly </w:t>
      </w:r>
      <w:r w:rsidR="00861AE8">
        <w:rPr>
          <w:rFonts w:ascii="Arial" w:hAnsi="Arial" w:cs="Arial"/>
          <w:sz w:val="20"/>
          <w:szCs w:val="20"/>
        </w:rPr>
        <w:t>podniky větší než menší, podnik</w:t>
      </w:r>
      <w:r w:rsidRPr="0013654C">
        <w:rPr>
          <w:rFonts w:ascii="Arial" w:hAnsi="Arial" w:cs="Arial"/>
          <w:sz w:val="20"/>
          <w:szCs w:val="20"/>
        </w:rPr>
        <w:t xml:space="preserve">y </w:t>
      </w:r>
      <w:r w:rsidR="0022681B">
        <w:rPr>
          <w:rFonts w:ascii="Arial" w:hAnsi="Arial" w:cs="Arial"/>
          <w:sz w:val="20"/>
          <w:szCs w:val="20"/>
        </w:rPr>
        <w:t>pod zahr</w:t>
      </w:r>
      <w:r w:rsidR="00516487">
        <w:rPr>
          <w:rFonts w:ascii="Arial" w:hAnsi="Arial" w:cs="Arial"/>
          <w:sz w:val="20"/>
          <w:szCs w:val="20"/>
        </w:rPr>
        <w:t>aniční kontrolou než podniky do</w:t>
      </w:r>
      <w:r w:rsidR="0022681B">
        <w:rPr>
          <w:rFonts w:ascii="Arial" w:hAnsi="Arial" w:cs="Arial"/>
          <w:sz w:val="20"/>
          <w:szCs w:val="20"/>
        </w:rPr>
        <w:t>mácí</w:t>
      </w:r>
      <w:r w:rsidRPr="0013654C">
        <w:rPr>
          <w:rFonts w:ascii="Arial" w:hAnsi="Arial" w:cs="Arial"/>
          <w:sz w:val="20"/>
          <w:szCs w:val="20"/>
        </w:rPr>
        <w:t xml:space="preserve"> a podniky působící v oblasti peněžnictví a pojišťovnictví, informačních a komunikačních činností a profesní, vědecké a t</w:t>
      </w:r>
      <w:r w:rsidR="0013654C">
        <w:rPr>
          <w:rFonts w:ascii="Arial" w:hAnsi="Arial" w:cs="Arial"/>
          <w:sz w:val="20"/>
          <w:szCs w:val="20"/>
        </w:rPr>
        <w:t>echnické činnosti</w:t>
      </w:r>
      <w:r w:rsidR="008F4B9C">
        <w:rPr>
          <w:rFonts w:ascii="Arial" w:hAnsi="Arial" w:cs="Arial"/>
          <w:sz w:val="20"/>
          <w:szCs w:val="20"/>
        </w:rPr>
        <w:t>. N</w:t>
      </w:r>
      <w:r w:rsidRPr="0013654C">
        <w:rPr>
          <w:rFonts w:ascii="Arial" w:hAnsi="Arial" w:cs="Arial"/>
          <w:sz w:val="20"/>
          <w:szCs w:val="20"/>
        </w:rPr>
        <w:t xml:space="preserve">aopak na nejspodnějších příčkách žebříčku se nejčastěji vyskytovaly podniky z oblasti ubytování, stravování a pohostinství. </w:t>
      </w:r>
    </w:p>
    <w:p w14:paraId="22FE4203" w14:textId="35605A79" w:rsidR="00DE6B3F" w:rsidRDefault="00DE6B3F">
      <w:pPr>
        <w:spacing w:after="0" w:line="240" w:lineRule="auto"/>
      </w:pPr>
      <w:r>
        <w:br w:type="page"/>
      </w:r>
    </w:p>
    <w:p w14:paraId="1C202B7E" w14:textId="4E9BC2EE" w:rsidR="00A67C12" w:rsidRDefault="00161CF1" w:rsidP="008B2876">
      <w:pPr>
        <w:pStyle w:val="Nadpis2"/>
        <w:numPr>
          <w:ilvl w:val="1"/>
          <w:numId w:val="18"/>
        </w:numPr>
        <w:spacing w:after="120"/>
      </w:pPr>
      <w:bookmarkStart w:id="3" w:name="_Toc126664212"/>
      <w:r>
        <w:lastRenderedPageBreak/>
        <w:t xml:space="preserve">Zajišťování vzdělávání zaměstnanců </w:t>
      </w:r>
      <w:r w:rsidR="007F7251">
        <w:t>v podnicích</w:t>
      </w:r>
      <w:bookmarkEnd w:id="3"/>
    </w:p>
    <w:p w14:paraId="210FC0DE" w14:textId="2E7D2C5D" w:rsidR="001D56FE" w:rsidRDefault="001D56FE" w:rsidP="00B17C70">
      <w:pPr>
        <w:spacing w:after="120"/>
        <w:jc w:val="both"/>
      </w:pPr>
      <w:r>
        <w:t>V této kapitole začneme od klíčového indikátoru a ukážeme nejprve, jaký podíl podniků přistoupil k zajišťování vzdělávání pro své zaměstnance. Nutno říci, že tento ukazatel byl v roce 2020 ovlivněn pandemií</w:t>
      </w:r>
      <w:r w:rsidR="001E5A35">
        <w:t xml:space="preserve"> onemocnění</w:t>
      </w:r>
      <w:r>
        <w:t xml:space="preserve"> covid-19. </w:t>
      </w:r>
    </w:p>
    <w:p w14:paraId="38E3B8BE" w14:textId="4E34B8A3" w:rsidR="00665701" w:rsidRDefault="00F67170" w:rsidP="00B17C70">
      <w:pPr>
        <w:spacing w:after="120"/>
        <w:jc w:val="both"/>
      </w:pPr>
      <w:r>
        <w:t xml:space="preserve">V roce 2020 přes všechny překážky, které vyplývaly z opatření proti šíření pandemie covid-19, </w:t>
      </w:r>
      <w:r w:rsidR="00740857">
        <w:rPr>
          <w:b/>
        </w:rPr>
        <w:t>zajišťovalo v České republice</w:t>
      </w:r>
      <w:r w:rsidRPr="008B2876">
        <w:rPr>
          <w:b/>
        </w:rPr>
        <w:t xml:space="preserve"> vzdělávání</w:t>
      </w:r>
      <w:r w:rsidR="009D6745">
        <w:t xml:space="preserve"> 86</w:t>
      </w:r>
      <w:r>
        <w:t> % podniků. Před pěti lety, tj. v roce 2015</w:t>
      </w:r>
      <w:r w:rsidRPr="00005702">
        <w:t xml:space="preserve">, to bylo </w:t>
      </w:r>
      <w:r w:rsidR="00005702" w:rsidRPr="00005702">
        <w:t>91</w:t>
      </w:r>
      <w:r w:rsidRPr="00005702">
        <w:t xml:space="preserve"> %, </w:t>
      </w:r>
      <w:r w:rsidR="002F5698" w:rsidRPr="00005702">
        <w:t xml:space="preserve">tedy jen </w:t>
      </w:r>
      <w:r w:rsidR="00740857">
        <w:t>o 5 </w:t>
      </w:r>
      <w:r w:rsidR="00005702">
        <w:t>procentních bodů více</w:t>
      </w:r>
      <w:r w:rsidR="001B7B0D">
        <w:t>. K udržení vysokého podílu podniků zajišťujících vzdělávání</w:t>
      </w:r>
      <w:r w:rsidRPr="00005702">
        <w:t xml:space="preserve"> </w:t>
      </w:r>
      <w:r w:rsidR="001B7B0D">
        <w:t xml:space="preserve">přispěla </w:t>
      </w:r>
      <w:r w:rsidRPr="00005702">
        <w:t>mimo</w:t>
      </w:r>
      <w:r w:rsidR="009F5902" w:rsidRPr="00005702">
        <w:t xml:space="preserve"> jiné skutečnost, že podniky u n</w:t>
      </w:r>
      <w:r w:rsidRPr="00005702">
        <w:t xml:space="preserve">ás mají </w:t>
      </w:r>
      <w:r w:rsidR="007C1AB1" w:rsidRPr="00005702">
        <w:t>zákonem</w:t>
      </w:r>
      <w:r w:rsidR="007C1AB1">
        <w:t xml:space="preserve"> stanovenou </w:t>
      </w:r>
      <w:r>
        <w:t>povinnost své zaměstnance vzdělávat, a t</w:t>
      </w:r>
      <w:r w:rsidR="002E6D27">
        <w:t xml:space="preserve">o minimálně v oblasti </w:t>
      </w:r>
      <w:r w:rsidR="00B17C70">
        <w:t>b</w:t>
      </w:r>
      <w:r w:rsidR="00B17C70" w:rsidRPr="00B17C70">
        <w:t>ezpečnost</w:t>
      </w:r>
      <w:r w:rsidR="00B17C70">
        <w:t>i a ochrany</w:t>
      </w:r>
      <w:r w:rsidR="00B17C70" w:rsidRPr="00B17C70">
        <w:t xml:space="preserve"> zdraví při práci </w:t>
      </w:r>
      <w:r w:rsidR="00B17C70">
        <w:t>(</w:t>
      </w:r>
      <w:r w:rsidR="002E6D27">
        <w:t>BOZ</w:t>
      </w:r>
      <w:r w:rsidR="00B17C70">
        <w:t>P) a požární ochrany (PO).</w:t>
      </w:r>
      <w:r w:rsidR="002E0731">
        <w:t xml:space="preserve"> Dále budeme toto vzdělávání označovat jako „povinné“. </w:t>
      </w:r>
      <w:r w:rsidR="00B17C70">
        <w:t>Takové vzdělávání přitom je možné realizovat</w:t>
      </w:r>
      <w:r w:rsidR="002E6D27">
        <w:t xml:space="preserve"> formou samostatného studia a online prověření znalostí</w:t>
      </w:r>
      <w:r w:rsidR="00B17C70">
        <w:t>, tedy není nutné, aby se zaměstnanci set</w:t>
      </w:r>
      <w:r w:rsidR="002E0731">
        <w:t>kávali se školitelem osobně a i </w:t>
      </w:r>
      <w:r w:rsidR="00B17C70">
        <w:t>nák</w:t>
      </w:r>
      <w:r w:rsidR="003922A9">
        <w:t>lady na takové vzdělávání nemusí být vysoké</w:t>
      </w:r>
      <w:r w:rsidR="002E6D27">
        <w:t>.</w:t>
      </w:r>
      <w:r>
        <w:t xml:space="preserve"> </w:t>
      </w:r>
      <w:r w:rsidR="002C23B9">
        <w:t>Vezmeme-li v potaz</w:t>
      </w:r>
      <w:r w:rsidR="009F5902">
        <w:t xml:space="preserve"> pouze </w:t>
      </w:r>
      <w:r w:rsidR="009F5902" w:rsidRPr="008B2876">
        <w:t>vzdělávání, které</w:t>
      </w:r>
      <w:r w:rsidR="002C23B9" w:rsidRPr="008B2876">
        <w:t xml:space="preserve"> není povinné ze zákona</w:t>
      </w:r>
      <w:r w:rsidR="002C23B9">
        <w:t xml:space="preserve"> (ať už nepovinné kurzy/školení, nebo jiné formy vzdělávání než kurzy/školení), pak jej</w:t>
      </w:r>
      <w:r w:rsidR="000B6C47">
        <w:t xml:space="preserve"> v roce 2020</w:t>
      </w:r>
      <w:r w:rsidR="00980C44">
        <w:t xml:space="preserve"> zajišťovaly</w:t>
      </w:r>
      <w:r w:rsidR="002C23B9">
        <w:t xml:space="preserve"> </w:t>
      </w:r>
      <w:r w:rsidR="00980C44">
        <w:t>necelé tři pětiny</w:t>
      </w:r>
      <w:r w:rsidR="00890637">
        <w:t xml:space="preserve"> podniků (57</w:t>
      </w:r>
      <w:r w:rsidR="002C23B9">
        <w:t xml:space="preserve"> %). </w:t>
      </w:r>
      <w:r w:rsidR="000B6C47">
        <w:t xml:space="preserve">V roce 2015 činil tento podíl </w:t>
      </w:r>
      <w:r w:rsidR="002E6D27">
        <w:t>téměř dvě třetiny (</w:t>
      </w:r>
      <w:r w:rsidR="00890637">
        <w:t>64</w:t>
      </w:r>
      <w:r w:rsidR="000B6C47">
        <w:t xml:space="preserve"> %</w:t>
      </w:r>
      <w:r w:rsidR="002E6D27">
        <w:t>)</w:t>
      </w:r>
      <w:r w:rsidR="000B6C47">
        <w:t>.</w:t>
      </w:r>
    </w:p>
    <w:p w14:paraId="15752A8A" w14:textId="2A65DC12" w:rsidR="00204FDE" w:rsidRDefault="00204FDE" w:rsidP="003D1467">
      <w:pPr>
        <w:spacing w:after="120"/>
        <w:rPr>
          <w:b/>
        </w:rPr>
      </w:pPr>
      <w:r w:rsidRPr="00204FDE">
        <w:rPr>
          <w:b/>
        </w:rPr>
        <w:t>Graf 1</w:t>
      </w:r>
      <w:r w:rsidR="00614C13">
        <w:rPr>
          <w:b/>
        </w:rPr>
        <w:t>.1</w:t>
      </w:r>
      <w:r w:rsidR="005912E7">
        <w:rPr>
          <w:b/>
        </w:rPr>
        <w:t>: Podniky zajišťující vzdělávání</w:t>
      </w:r>
      <w:r w:rsidR="00315A97">
        <w:rPr>
          <w:b/>
        </w:rPr>
        <w:t>, 2020</w:t>
      </w:r>
      <w:r w:rsidR="005912E7">
        <w:rPr>
          <w:b/>
        </w:rPr>
        <w:t xml:space="preserve"> (v % ze všech podniků)</w:t>
      </w:r>
    </w:p>
    <w:p w14:paraId="2E19B2C8" w14:textId="6B6FDD0E" w:rsidR="002C23B9" w:rsidRDefault="00116F05" w:rsidP="003D1467">
      <w:pPr>
        <w:spacing w:after="120"/>
        <w:rPr>
          <w:b/>
        </w:rPr>
      </w:pPr>
      <w:r>
        <w:rPr>
          <w:noProof/>
        </w:rPr>
        <mc:AlternateContent>
          <mc:Choice Requires="wps">
            <w:drawing>
              <wp:anchor distT="0" distB="0" distL="114300" distR="114300" simplePos="0" relativeHeight="251659264" behindDoc="0" locked="0" layoutInCell="1" allowOverlap="1" wp14:anchorId="102C2C0C" wp14:editId="2BB6AAA1">
                <wp:simplePos x="0" y="0"/>
                <wp:positionH relativeFrom="column">
                  <wp:posOffset>1480185</wp:posOffset>
                </wp:positionH>
                <wp:positionV relativeFrom="paragraph">
                  <wp:posOffset>553085</wp:posOffset>
                </wp:positionV>
                <wp:extent cx="514350" cy="123825"/>
                <wp:effectExtent l="57150" t="19050" r="57150" b="104775"/>
                <wp:wrapNone/>
                <wp:docPr id="20" name="Zaoblený obdélník 20"/>
                <wp:cNvGraphicFramePr/>
                <a:graphic xmlns:a="http://schemas.openxmlformats.org/drawingml/2006/main">
                  <a:graphicData uri="http://schemas.microsoft.com/office/word/2010/wordprocessingShape">
                    <wps:wsp>
                      <wps:cNvSpPr/>
                      <wps:spPr>
                        <a:xfrm>
                          <a:off x="0" y="0"/>
                          <a:ext cx="514350" cy="123825"/>
                        </a:xfrm>
                        <a:prstGeom prst="roundRect">
                          <a:avLst/>
                        </a:prstGeom>
                        <a:solidFill>
                          <a:schemeClr val="bg1">
                            <a:lumMod val="50000"/>
                            <a:alpha val="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359398" id="Zaoblený obdélník 20" o:spid="_x0000_s1026" style="position:absolute;margin-left:116.55pt;margin-top:43.55pt;width:4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g+swIAAPQFAAAOAAAAZHJzL2Uyb0RvYy54bWysVM1OGzEQvlfqO1i+l82GpNCIDYpAVJUo&#10;IKBC6s3x2tlVbY9rO9mEN+qhj9ATL9axd7OklLYSag4b2zPzzcw3P0fHa63ISjhfgylovjegRBgO&#10;ZW0WBf10e/bmkBIfmCmZAiMKuhGeHk9fvzpq7EQMoQJVCkcQxPhJYwtahWAnWeZ5JTTze2CFQaEE&#10;p1nAq1tkpWMNomuVDQeDt1kDrrQOuPAeX09bIZ0mfCkFD5dSehGIKijGFtLXpe88frPpEZssHLNV&#10;zbsw2Aui0Kw26LSHOmWBkaWrf4PSNXfgQYY9DjoDKWsuUg6YTT54ks1NxaxIuSA53vY0+f8Hyy9W&#10;V47UZUGHSI9hGmv0mcFcCfPwg8C8fPimzMP3LwTFyFVj/QRNbuyV624ejzHxtXQ6/mNKZJ343fT8&#10;inUgHB/H+Wh/jG44ivLh/uFwHDGzR2PrfHgvQJN4KKiDpSmvsYaJWrY696HV3+pFhx5UXZ7VSqVL&#10;7BtxohxZMaz4fJEnU7XUH6Fs38YD/LV1Z8pWrH1NLxhJarwIkOL6BVuZl7g7iP66NP8Ijo4jehbp&#10;bQlNp7BRIvpU5lpILBJS2ObTA7XBM86FCXnnJWlHM4mk9Ib7iYi/Gnb60VSk0emNh/827i2SZzCh&#10;N9a1AfccgOpDlq3+loE270jBHMoN9qeDdnC95Wc1tsY58+GKOZxU7CbcPuESP1JBU1DoTpRU4O6f&#10;e4/6OEAopaTByS+o/7pkTlCiPhgcrXf5aBRXRbqMxgdxMNyuZL4rMUt9AthqOe45y9Mx6ge1PUoH&#10;+g6X1Cx6RREzHH0XlAe3vZyEdiPhmuNiNktquB4sC+fmxvJt1WPX367vmLPdfAQcrAvYbgk2eTIh&#10;rW6sh4HZMoCs0/g88trxjasldXu3BuPu2r0nrcdlPf0JAAD//wMAUEsDBBQABgAIAAAAIQBcEDmY&#10;3wAAAAoBAAAPAAAAZHJzL2Rvd25yZXYueG1sTI/BTsMwDIbvSLxDZCQuiKVdp7YqTSeEtMPgwBg8&#10;QNqYtrRxqibbyttjTnCyLX/6/bncLnYUZ5x970hBvIpAIDXO9NQq+Hjf3ecgfNBk9OgIFXyjh211&#10;fVXqwrgLveH5GFrBIeQLraALYSqk9E2HVvuVm5B49+lmqwOPcyvNrC8cbke5jqJUWt0TX+j0hE8d&#10;NsPxZBXcEW0Or80wfWW7/fPeD3UW5y9K3d4sjw8gAi7hD4ZffVaHip1qdyLjxahgnSQxowryjCsD&#10;SbzhpmYySlOQVSn/v1D9AAAA//8DAFBLAQItABQABgAIAAAAIQC2gziS/gAAAOEBAAATAAAAAAAA&#10;AAAAAAAAAAAAAABbQ29udGVudF9UeXBlc10ueG1sUEsBAi0AFAAGAAgAAAAhADj9If/WAAAAlAEA&#10;AAsAAAAAAAAAAAAAAAAALwEAAF9yZWxzLy5yZWxzUEsBAi0AFAAGAAgAAAAhAFqrmD6zAgAA9AUA&#10;AA4AAAAAAAAAAAAAAAAALgIAAGRycy9lMm9Eb2MueG1sUEsBAi0AFAAGAAgAAAAhAFwQOZjfAAAA&#10;CgEAAA8AAAAAAAAAAAAAAAAADQUAAGRycy9kb3ducmV2LnhtbFBLBQYAAAAABAAEAPMAAAAZBgAA&#10;AAA=&#10;" fillcolor="#7f7f7f [1612]" strokecolor="#bfbfbf [2412]">
                <v:fill opacity="0"/>
                <v:shadow on="t" color="black" opacity="22937f" origin=",.5" offset="0,.63889mm"/>
              </v:roundrect>
            </w:pict>
          </mc:Fallback>
        </mc:AlternateContent>
      </w:r>
      <w:r>
        <w:rPr>
          <w:noProof/>
        </w:rPr>
        <w:drawing>
          <wp:inline distT="0" distB="0" distL="0" distR="0" wp14:anchorId="08B83367" wp14:editId="79403B59">
            <wp:extent cx="6143625" cy="4152900"/>
            <wp:effectExtent l="0" t="0" r="952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5C47F7" w14:textId="3BAF2F74" w:rsidR="003D1467" w:rsidRPr="003D1467" w:rsidRDefault="003D1467" w:rsidP="001E5A35">
      <w:pPr>
        <w:spacing w:after="120"/>
        <w:jc w:val="right"/>
        <w:rPr>
          <w:szCs w:val="20"/>
        </w:rPr>
      </w:pPr>
      <w:r w:rsidRPr="003D1467">
        <w:rPr>
          <w:szCs w:val="20"/>
        </w:rPr>
        <w:t>Zdroj: ČSÚ</w:t>
      </w:r>
    </w:p>
    <w:p w14:paraId="54893517" w14:textId="420A2F8F" w:rsidR="00665701" w:rsidRDefault="002C23B9" w:rsidP="00A67C12">
      <w:pPr>
        <w:spacing w:after="120"/>
        <w:jc w:val="both"/>
        <w:rPr>
          <w:rFonts w:cs="Arial"/>
          <w:szCs w:val="20"/>
        </w:rPr>
      </w:pPr>
      <w:r>
        <w:rPr>
          <w:rFonts w:cs="Arial"/>
          <w:szCs w:val="20"/>
        </w:rPr>
        <w:t>K zajišťování vzdělávání pro své zaměstnance</w:t>
      </w:r>
      <w:r w:rsidR="000B6C47">
        <w:rPr>
          <w:rFonts w:cs="Arial"/>
          <w:szCs w:val="20"/>
        </w:rPr>
        <w:t xml:space="preserve"> přistupovaly v roce 2020 </w:t>
      </w:r>
      <w:r>
        <w:rPr>
          <w:rFonts w:cs="Arial"/>
          <w:szCs w:val="20"/>
        </w:rPr>
        <w:t xml:space="preserve"> mnohem častěji větší podniky než ty menší a také</w:t>
      </w:r>
      <w:r w:rsidR="002E0731">
        <w:rPr>
          <w:rFonts w:cs="Arial"/>
          <w:szCs w:val="20"/>
        </w:rPr>
        <w:t xml:space="preserve"> podniky</w:t>
      </w:r>
      <w:r w:rsidR="000E34EE">
        <w:rPr>
          <w:rFonts w:cs="Arial"/>
          <w:szCs w:val="20"/>
        </w:rPr>
        <w:t xml:space="preserve"> pod zahraniční kontrolou než podniky domácí</w:t>
      </w:r>
      <w:r w:rsidR="000B6C47">
        <w:rPr>
          <w:rFonts w:cs="Arial"/>
          <w:szCs w:val="20"/>
        </w:rPr>
        <w:t>. Obojí přitom platí ve větší míře pro</w:t>
      </w:r>
      <w:r>
        <w:rPr>
          <w:rFonts w:cs="Arial"/>
          <w:szCs w:val="20"/>
        </w:rPr>
        <w:t xml:space="preserve"> zajišťování nepovinného vzdělávání. Rozdíly jsou patrné i mezi různými </w:t>
      </w:r>
      <w:r w:rsidR="00204FDE">
        <w:rPr>
          <w:rFonts w:cs="Arial"/>
          <w:szCs w:val="20"/>
        </w:rPr>
        <w:t>odvě</w:t>
      </w:r>
      <w:r w:rsidR="000B6C47">
        <w:rPr>
          <w:rFonts w:cs="Arial"/>
          <w:szCs w:val="20"/>
        </w:rPr>
        <w:t xml:space="preserve">tvími. Podniky věnující se </w:t>
      </w:r>
      <w:r w:rsidR="00306B9B" w:rsidRPr="002E0731">
        <w:rPr>
          <w:rFonts w:cs="Arial"/>
          <w:i/>
          <w:szCs w:val="20"/>
        </w:rPr>
        <w:t>informační a komunikační čin</w:t>
      </w:r>
      <w:r w:rsidR="002E0731" w:rsidRPr="002E0731">
        <w:rPr>
          <w:rFonts w:cs="Arial"/>
          <w:i/>
          <w:szCs w:val="20"/>
        </w:rPr>
        <w:t>n</w:t>
      </w:r>
      <w:r w:rsidR="00306B9B" w:rsidRPr="002E0731">
        <w:rPr>
          <w:rFonts w:cs="Arial"/>
          <w:i/>
          <w:szCs w:val="20"/>
        </w:rPr>
        <w:t>osti</w:t>
      </w:r>
      <w:r w:rsidR="000B6C47">
        <w:rPr>
          <w:rFonts w:cs="Arial"/>
          <w:szCs w:val="20"/>
        </w:rPr>
        <w:t xml:space="preserve"> či</w:t>
      </w:r>
      <w:r w:rsidR="00204FDE">
        <w:rPr>
          <w:rFonts w:cs="Arial"/>
          <w:szCs w:val="20"/>
        </w:rPr>
        <w:t xml:space="preserve"> </w:t>
      </w:r>
      <w:r w:rsidR="00204FDE" w:rsidRPr="002E0731">
        <w:rPr>
          <w:rFonts w:cs="Arial"/>
          <w:i/>
          <w:szCs w:val="20"/>
        </w:rPr>
        <w:t>peněžnictví a pojišťovnictví</w:t>
      </w:r>
      <w:r w:rsidR="00204FDE">
        <w:rPr>
          <w:rFonts w:cs="Arial"/>
          <w:szCs w:val="20"/>
        </w:rPr>
        <w:t xml:space="preserve"> byly v zajišťování vzdělávání, a to zejmén</w:t>
      </w:r>
      <w:r w:rsidR="00F52CC3">
        <w:rPr>
          <w:rFonts w:cs="Arial"/>
          <w:szCs w:val="20"/>
        </w:rPr>
        <w:t>a toho nevyplývajícího ze zákona</w:t>
      </w:r>
      <w:r w:rsidR="00204FDE">
        <w:rPr>
          <w:rFonts w:cs="Arial"/>
          <w:szCs w:val="20"/>
        </w:rPr>
        <w:t xml:space="preserve">, aktivnější než zejména podniky věnující se </w:t>
      </w:r>
      <w:r w:rsidR="00204FDE" w:rsidRPr="002E0731">
        <w:rPr>
          <w:rFonts w:cs="Arial"/>
          <w:i/>
          <w:szCs w:val="20"/>
        </w:rPr>
        <w:t xml:space="preserve">ubytování, stravování a pohostinství </w:t>
      </w:r>
      <w:r w:rsidR="00204FDE">
        <w:rPr>
          <w:rFonts w:cs="Arial"/>
          <w:szCs w:val="20"/>
        </w:rPr>
        <w:t xml:space="preserve">a podniky z oblasti </w:t>
      </w:r>
      <w:r w:rsidR="00204FDE" w:rsidRPr="002E0731">
        <w:rPr>
          <w:rFonts w:cs="Arial"/>
          <w:i/>
          <w:szCs w:val="20"/>
        </w:rPr>
        <w:t xml:space="preserve">kulturní, zábavní </w:t>
      </w:r>
      <w:r w:rsidR="000B6C47" w:rsidRPr="002E0731">
        <w:rPr>
          <w:rFonts w:cs="Arial"/>
          <w:i/>
          <w:szCs w:val="20"/>
        </w:rPr>
        <w:t>a rekreační činnosti</w:t>
      </w:r>
      <w:r w:rsidR="000B6C47">
        <w:rPr>
          <w:rFonts w:cs="Arial"/>
          <w:szCs w:val="20"/>
        </w:rPr>
        <w:t xml:space="preserve">. </w:t>
      </w:r>
      <w:r w:rsidR="00231874">
        <w:rPr>
          <w:rFonts w:cs="Arial"/>
          <w:szCs w:val="20"/>
        </w:rPr>
        <w:t>Je možné namítnout</w:t>
      </w:r>
      <w:r w:rsidR="00204FDE">
        <w:rPr>
          <w:rFonts w:cs="Arial"/>
          <w:szCs w:val="20"/>
        </w:rPr>
        <w:t xml:space="preserve">, že </w:t>
      </w:r>
      <w:r w:rsidR="00876690">
        <w:rPr>
          <w:rFonts w:cs="Arial"/>
          <w:szCs w:val="20"/>
        </w:rPr>
        <w:t>oblast</w:t>
      </w:r>
      <w:r w:rsidR="00A853C0">
        <w:rPr>
          <w:rFonts w:cs="Arial"/>
          <w:szCs w:val="20"/>
        </w:rPr>
        <w:t>i</w:t>
      </w:r>
      <w:r w:rsidR="00876690">
        <w:rPr>
          <w:rFonts w:cs="Arial"/>
          <w:szCs w:val="20"/>
        </w:rPr>
        <w:t xml:space="preserve"> ubytování, stravování,</w:t>
      </w:r>
      <w:r w:rsidR="00A853C0">
        <w:rPr>
          <w:rFonts w:cs="Arial"/>
          <w:szCs w:val="20"/>
        </w:rPr>
        <w:t xml:space="preserve"> kultury, zábavy a rekreace byly</w:t>
      </w:r>
      <w:r w:rsidR="00876690">
        <w:rPr>
          <w:rFonts w:cs="Arial"/>
          <w:szCs w:val="20"/>
        </w:rPr>
        <w:t xml:space="preserve"> pandemií zasaženy </w:t>
      </w:r>
      <w:r w:rsidR="00FC4021">
        <w:rPr>
          <w:rFonts w:cs="Arial"/>
          <w:szCs w:val="20"/>
        </w:rPr>
        <w:t xml:space="preserve">více než </w:t>
      </w:r>
      <w:r w:rsidR="00876690">
        <w:rPr>
          <w:rFonts w:cs="Arial"/>
          <w:szCs w:val="20"/>
        </w:rPr>
        <w:t xml:space="preserve">mnohé </w:t>
      </w:r>
      <w:r w:rsidR="00FC4021">
        <w:rPr>
          <w:rFonts w:cs="Arial"/>
          <w:szCs w:val="20"/>
        </w:rPr>
        <w:t>jiné</w:t>
      </w:r>
      <w:r w:rsidR="00F52CC3">
        <w:rPr>
          <w:rFonts w:cs="Arial"/>
          <w:szCs w:val="20"/>
        </w:rPr>
        <w:t xml:space="preserve"> a výstupy z tohoto šetření tím mohou být </w:t>
      </w:r>
      <w:r w:rsidR="00C55023">
        <w:rPr>
          <w:rFonts w:cs="Arial"/>
          <w:szCs w:val="20"/>
        </w:rPr>
        <w:t xml:space="preserve">do jisté míry </w:t>
      </w:r>
      <w:r w:rsidR="00F52CC3">
        <w:rPr>
          <w:rFonts w:cs="Arial"/>
          <w:szCs w:val="20"/>
        </w:rPr>
        <w:t>ovlivněné</w:t>
      </w:r>
      <w:r w:rsidR="00FC4021">
        <w:rPr>
          <w:rFonts w:cs="Arial"/>
          <w:szCs w:val="20"/>
        </w:rPr>
        <w:t>.</w:t>
      </w:r>
      <w:r w:rsidR="00370F12">
        <w:rPr>
          <w:rFonts w:cs="Arial"/>
          <w:szCs w:val="20"/>
        </w:rPr>
        <w:t xml:space="preserve"> </w:t>
      </w:r>
    </w:p>
    <w:p w14:paraId="4565AB35" w14:textId="7242C373" w:rsidR="00E97E4E" w:rsidRDefault="00FA2FCB" w:rsidP="00A67C12">
      <w:pPr>
        <w:spacing w:after="120"/>
        <w:jc w:val="both"/>
        <w:rPr>
          <w:rFonts w:cs="Arial"/>
          <w:szCs w:val="20"/>
        </w:rPr>
      </w:pPr>
      <w:r>
        <w:rPr>
          <w:rFonts w:cs="Arial"/>
          <w:szCs w:val="20"/>
        </w:rPr>
        <w:lastRenderedPageBreak/>
        <w:t>Co se</w:t>
      </w:r>
      <w:r w:rsidR="00E97E4E">
        <w:rPr>
          <w:rFonts w:cs="Arial"/>
          <w:szCs w:val="20"/>
        </w:rPr>
        <w:t> </w:t>
      </w:r>
      <w:r w:rsidR="00EB05AD" w:rsidRPr="008B2876">
        <w:rPr>
          <w:rFonts w:cs="Arial"/>
          <w:b/>
          <w:i/>
          <w:szCs w:val="20"/>
        </w:rPr>
        <w:t xml:space="preserve">forem </w:t>
      </w:r>
      <w:r w:rsidR="00E97E4E" w:rsidRPr="008B2876">
        <w:rPr>
          <w:rFonts w:cs="Arial"/>
          <w:b/>
          <w:i/>
          <w:szCs w:val="20"/>
        </w:rPr>
        <w:t>nepovinného vzdělá</w:t>
      </w:r>
      <w:r w:rsidRPr="008B2876">
        <w:rPr>
          <w:rFonts w:cs="Arial"/>
          <w:b/>
          <w:i/>
          <w:szCs w:val="20"/>
        </w:rPr>
        <w:t>vání</w:t>
      </w:r>
      <w:r>
        <w:rPr>
          <w:rFonts w:cs="Arial"/>
          <w:szCs w:val="20"/>
        </w:rPr>
        <w:t xml:space="preserve"> týče,</w:t>
      </w:r>
      <w:r w:rsidR="00E97E4E">
        <w:rPr>
          <w:rFonts w:cs="Arial"/>
          <w:szCs w:val="20"/>
        </w:rPr>
        <w:t xml:space="preserve"> největší podíl podniků </w:t>
      </w:r>
      <w:r>
        <w:rPr>
          <w:rFonts w:cs="Arial"/>
          <w:szCs w:val="20"/>
        </w:rPr>
        <w:t xml:space="preserve">se </w:t>
      </w:r>
      <w:r w:rsidR="00E97E4E">
        <w:rPr>
          <w:rFonts w:cs="Arial"/>
          <w:szCs w:val="20"/>
        </w:rPr>
        <w:t>uchýlil k</w:t>
      </w:r>
      <w:r w:rsidR="00890637">
        <w:rPr>
          <w:rFonts w:cs="Arial"/>
          <w:szCs w:val="20"/>
        </w:rPr>
        <w:t> zajišťování kurzů/školení (44</w:t>
      </w:r>
      <w:r w:rsidR="00E97E4E">
        <w:rPr>
          <w:rFonts w:cs="Arial"/>
          <w:szCs w:val="20"/>
        </w:rPr>
        <w:t> %), dále k zaškolování či</w:t>
      </w:r>
      <w:r w:rsidR="00890637">
        <w:rPr>
          <w:rFonts w:cs="Arial"/>
          <w:szCs w:val="20"/>
        </w:rPr>
        <w:t xml:space="preserve"> instruktáži na pracovišti (26</w:t>
      </w:r>
      <w:r w:rsidR="00E97E4E">
        <w:rPr>
          <w:rFonts w:cs="Arial"/>
          <w:szCs w:val="20"/>
        </w:rPr>
        <w:t> %), k</w:t>
      </w:r>
      <w:r w:rsidR="00890637">
        <w:rPr>
          <w:rFonts w:cs="Arial"/>
          <w:szCs w:val="20"/>
        </w:rPr>
        <w:t> samostudiu či e-learningu (18</w:t>
      </w:r>
      <w:r w:rsidR="00E97E4E">
        <w:rPr>
          <w:rFonts w:cs="Arial"/>
          <w:szCs w:val="20"/>
        </w:rPr>
        <w:t> %) a k workshopům, seminářům, konferencím či veletrhům (1</w:t>
      </w:r>
      <w:r w:rsidR="00890637">
        <w:rPr>
          <w:rFonts w:cs="Arial"/>
          <w:szCs w:val="20"/>
        </w:rPr>
        <w:t>5</w:t>
      </w:r>
      <w:r w:rsidR="00E97E4E">
        <w:rPr>
          <w:rFonts w:cs="Arial"/>
          <w:szCs w:val="20"/>
        </w:rPr>
        <w:t> %). Rotace zaměstnanců na pracovní</w:t>
      </w:r>
      <w:r w:rsidR="006459C9">
        <w:rPr>
          <w:rFonts w:cs="Arial"/>
          <w:szCs w:val="20"/>
        </w:rPr>
        <w:t>ch místech či kroužky kvality, potažmo</w:t>
      </w:r>
      <w:r w:rsidR="00E97E4E">
        <w:rPr>
          <w:rFonts w:cs="Arial"/>
          <w:szCs w:val="20"/>
        </w:rPr>
        <w:t xml:space="preserve"> vzdělávací kroužky již byly podstatně m</w:t>
      </w:r>
      <w:r w:rsidR="00890637">
        <w:rPr>
          <w:rFonts w:cs="Arial"/>
          <w:szCs w:val="20"/>
        </w:rPr>
        <w:t>éně oblíbené (real</w:t>
      </w:r>
      <w:r w:rsidR="00AF0C36">
        <w:rPr>
          <w:rFonts w:cs="Arial"/>
          <w:szCs w:val="20"/>
        </w:rPr>
        <w:t>izovaly</w:t>
      </w:r>
      <w:r w:rsidR="00890637">
        <w:rPr>
          <w:rFonts w:cs="Arial"/>
          <w:szCs w:val="20"/>
        </w:rPr>
        <w:t xml:space="preserve"> je 4 %, resp. 3</w:t>
      </w:r>
      <w:r w:rsidR="00E97E4E">
        <w:rPr>
          <w:rFonts w:cs="Arial"/>
          <w:szCs w:val="20"/>
        </w:rPr>
        <w:t> % podniků). Z tabulky 1</w:t>
      </w:r>
      <w:r w:rsidR="00306B9B">
        <w:rPr>
          <w:rFonts w:cs="Arial"/>
          <w:szCs w:val="20"/>
        </w:rPr>
        <w:t>.1</w:t>
      </w:r>
      <w:r w:rsidR="00E97E4E">
        <w:rPr>
          <w:rFonts w:cs="Arial"/>
          <w:szCs w:val="20"/>
        </w:rPr>
        <w:t xml:space="preserve"> si lze přitom všimnout, že v podnicíc</w:t>
      </w:r>
      <w:r w:rsidR="002E6D27">
        <w:rPr>
          <w:rFonts w:cs="Arial"/>
          <w:szCs w:val="20"/>
        </w:rPr>
        <w:t>h s vyšším počtem zaměstnanců byla</w:t>
      </w:r>
      <w:r w:rsidR="00E97E4E">
        <w:rPr>
          <w:rFonts w:cs="Arial"/>
          <w:szCs w:val="20"/>
        </w:rPr>
        <w:t xml:space="preserve"> realizace jakékoliv formy vzdělávání pravděpodobnější než v podnicích s menším počtem zaměstnanců. </w:t>
      </w:r>
    </w:p>
    <w:p w14:paraId="65A33863" w14:textId="40E3ED85" w:rsidR="00CD57BE" w:rsidRPr="00CD57BE" w:rsidRDefault="00672A9B" w:rsidP="00DF12E6">
      <w:pPr>
        <w:keepNext/>
        <w:spacing w:after="120"/>
        <w:jc w:val="both"/>
        <w:rPr>
          <w:rFonts w:cs="Arial"/>
          <w:b/>
          <w:szCs w:val="20"/>
        </w:rPr>
      </w:pPr>
      <w:r>
        <w:rPr>
          <w:rFonts w:cs="Arial"/>
          <w:b/>
          <w:szCs w:val="20"/>
        </w:rPr>
        <w:t>Tab.</w:t>
      </w:r>
      <w:r w:rsidR="00E97E4E" w:rsidRPr="00E97E4E">
        <w:rPr>
          <w:rFonts w:cs="Arial"/>
          <w:b/>
          <w:szCs w:val="20"/>
        </w:rPr>
        <w:t xml:space="preserve"> 1.</w:t>
      </w:r>
      <w:r w:rsidR="00614C13">
        <w:rPr>
          <w:rFonts w:cs="Arial"/>
          <w:b/>
          <w:szCs w:val="20"/>
        </w:rPr>
        <w:t>1</w:t>
      </w:r>
      <w:r w:rsidR="00E97E4E" w:rsidRPr="00E97E4E">
        <w:rPr>
          <w:rFonts w:cs="Arial"/>
          <w:b/>
          <w:szCs w:val="20"/>
        </w:rPr>
        <w:t xml:space="preserve"> </w:t>
      </w:r>
      <w:r w:rsidR="005912E7">
        <w:rPr>
          <w:rFonts w:cs="Arial"/>
          <w:b/>
          <w:szCs w:val="20"/>
        </w:rPr>
        <w:t xml:space="preserve">Podniky zajišťující jednotlivé formy vzdělávání, 2020 (v </w:t>
      </w:r>
      <w:r w:rsidR="00E97E4E" w:rsidRPr="00E97E4E">
        <w:rPr>
          <w:rFonts w:cs="Arial"/>
          <w:b/>
          <w:szCs w:val="20"/>
        </w:rPr>
        <w:t>%</w:t>
      </w:r>
      <w:r w:rsidR="005912E7">
        <w:rPr>
          <w:rFonts w:cs="Arial"/>
          <w:b/>
          <w:szCs w:val="20"/>
        </w:rPr>
        <w:t xml:space="preserve"> ze všech podniků</w:t>
      </w:r>
      <w:r w:rsidR="00E97E4E" w:rsidRPr="00E97E4E">
        <w:rPr>
          <w:rFonts w:cs="Arial"/>
          <w:b/>
          <w:szCs w:val="20"/>
        </w:rPr>
        <w:t>)</w:t>
      </w:r>
      <w:r w:rsidR="00CD57BE">
        <w:fldChar w:fldCharType="begin"/>
      </w:r>
      <w:r w:rsidR="00CD57BE">
        <w:instrText xml:space="preserve"> LINK </w:instrText>
      </w:r>
      <w:r w:rsidR="00D93BF6">
        <w:instrText xml:space="preserve">Excel.Sheet.12 "\\\\ABFS2\\DATA\\DATA\\ZPRAC\\TECHNOL\\oddeleni_6301\\02_Vzdělávání\\04_CVTS\\2020\\publikace\\publikace_ seznam tabulek a grafů.xlsx" List1!R1C1:R21C8 </w:instrText>
      </w:r>
      <w:r w:rsidR="00CD57BE">
        <w:instrText xml:space="preserve">\a \f 4 \h </w:instrText>
      </w:r>
      <w:r w:rsidR="008D204F">
        <w:instrText xml:space="preserve"> \* MERGEFORMAT </w:instrText>
      </w:r>
      <w:r w:rsidR="00CD57BE">
        <w:fldChar w:fldCharType="separate"/>
      </w:r>
    </w:p>
    <w:tbl>
      <w:tblPr>
        <w:tblW w:w="9884" w:type="dxa"/>
        <w:jc w:val="center"/>
        <w:tblCellMar>
          <w:left w:w="70" w:type="dxa"/>
          <w:right w:w="70" w:type="dxa"/>
        </w:tblCellMar>
        <w:tblLook w:val="04A0" w:firstRow="1" w:lastRow="0" w:firstColumn="1" w:lastColumn="0" w:noHBand="0" w:noVBand="1"/>
      </w:tblPr>
      <w:tblGrid>
        <w:gridCol w:w="3109"/>
        <w:gridCol w:w="763"/>
        <w:gridCol w:w="708"/>
        <w:gridCol w:w="1134"/>
        <w:gridCol w:w="1154"/>
        <w:gridCol w:w="1114"/>
        <w:gridCol w:w="993"/>
        <w:gridCol w:w="963"/>
      </w:tblGrid>
      <w:tr w:rsidR="005912E7" w:rsidRPr="00CD57BE" w14:paraId="47CA7707" w14:textId="77777777" w:rsidTr="005912E7">
        <w:trPr>
          <w:trHeight w:val="363"/>
          <w:jc w:val="center"/>
        </w:trPr>
        <w:tc>
          <w:tcPr>
            <w:tcW w:w="3109" w:type="dxa"/>
            <w:vMerge w:val="restart"/>
            <w:tcBorders>
              <w:top w:val="single" w:sz="8" w:space="0" w:color="auto"/>
              <w:left w:val="single" w:sz="8" w:space="0" w:color="auto"/>
              <w:right w:val="single" w:sz="4" w:space="0" w:color="auto"/>
            </w:tcBorders>
            <w:shd w:val="clear" w:color="auto" w:fill="A1BBDB"/>
            <w:vAlign w:val="center"/>
            <w:hideMark/>
          </w:tcPr>
          <w:p w14:paraId="39601DBB" w14:textId="5F62A00F" w:rsidR="005912E7" w:rsidRPr="00CD57BE" w:rsidRDefault="005912E7" w:rsidP="00CD57BE">
            <w:pPr>
              <w:spacing w:after="0" w:line="240" w:lineRule="auto"/>
              <w:jc w:val="center"/>
              <w:rPr>
                <w:rFonts w:cs="Arial"/>
                <w:b/>
                <w:bCs/>
                <w:color w:val="000000"/>
                <w:sz w:val="16"/>
                <w:szCs w:val="16"/>
              </w:rPr>
            </w:pPr>
            <w:r w:rsidRPr="00CD57BE">
              <w:rPr>
                <w:rFonts w:cs="Arial"/>
                <w:b/>
                <w:bCs/>
                <w:color w:val="000000"/>
                <w:sz w:val="16"/>
                <w:szCs w:val="16"/>
              </w:rPr>
              <w:t> </w:t>
            </w:r>
          </w:p>
        </w:tc>
        <w:tc>
          <w:tcPr>
            <w:tcW w:w="709" w:type="dxa"/>
            <w:vMerge w:val="restart"/>
            <w:tcBorders>
              <w:top w:val="single" w:sz="8" w:space="0" w:color="auto"/>
              <w:left w:val="nil"/>
              <w:right w:val="single" w:sz="4" w:space="0" w:color="auto"/>
            </w:tcBorders>
            <w:shd w:val="clear" w:color="auto" w:fill="A1BBDB"/>
            <w:vAlign w:val="center"/>
            <w:hideMark/>
          </w:tcPr>
          <w:p w14:paraId="2EF137F1" w14:textId="77777777" w:rsidR="005912E7" w:rsidRDefault="005912E7" w:rsidP="005912E7">
            <w:pPr>
              <w:spacing w:after="0" w:line="240" w:lineRule="auto"/>
              <w:jc w:val="center"/>
              <w:rPr>
                <w:rFonts w:cs="Arial"/>
                <w:b/>
                <w:bCs/>
                <w:color w:val="000000"/>
                <w:sz w:val="16"/>
                <w:szCs w:val="16"/>
              </w:rPr>
            </w:pPr>
            <w:r>
              <w:rPr>
                <w:rFonts w:cs="Arial"/>
                <w:b/>
                <w:bCs/>
                <w:color w:val="000000"/>
                <w:sz w:val="16"/>
                <w:szCs w:val="16"/>
              </w:rPr>
              <w:t>P</w:t>
            </w:r>
            <w:r w:rsidRPr="00CD57BE">
              <w:rPr>
                <w:rFonts w:cs="Arial"/>
                <w:b/>
                <w:bCs/>
                <w:color w:val="000000"/>
                <w:sz w:val="16"/>
                <w:szCs w:val="16"/>
              </w:rPr>
              <w:t xml:space="preserve">ovinné </w:t>
            </w:r>
          </w:p>
          <w:p w14:paraId="45C6CA57" w14:textId="77777777" w:rsidR="005912E7" w:rsidRPr="005912E7" w:rsidRDefault="005912E7" w:rsidP="005912E7">
            <w:pPr>
              <w:spacing w:after="0" w:line="240" w:lineRule="auto"/>
              <w:jc w:val="center"/>
              <w:rPr>
                <w:rFonts w:cs="Arial"/>
                <w:b/>
                <w:bCs/>
                <w:color w:val="000000"/>
                <w:sz w:val="16"/>
                <w:szCs w:val="16"/>
              </w:rPr>
            </w:pPr>
            <w:r w:rsidRPr="005912E7">
              <w:rPr>
                <w:rFonts w:cs="Arial"/>
                <w:b/>
                <w:bCs/>
                <w:color w:val="000000"/>
                <w:sz w:val="16"/>
                <w:szCs w:val="16"/>
              </w:rPr>
              <w:t>kurzy/</w:t>
            </w:r>
          </w:p>
          <w:p w14:paraId="26F21148" w14:textId="77777777" w:rsidR="005912E7" w:rsidRDefault="005912E7" w:rsidP="005912E7">
            <w:pPr>
              <w:spacing w:after="0" w:line="240" w:lineRule="auto"/>
              <w:jc w:val="center"/>
              <w:rPr>
                <w:rFonts w:cs="Arial"/>
                <w:b/>
                <w:bCs/>
                <w:color w:val="000000"/>
                <w:sz w:val="16"/>
                <w:szCs w:val="16"/>
              </w:rPr>
            </w:pPr>
            <w:r w:rsidRPr="005912E7">
              <w:rPr>
                <w:rFonts w:cs="Arial"/>
                <w:b/>
                <w:bCs/>
                <w:color w:val="000000"/>
                <w:sz w:val="16"/>
                <w:szCs w:val="16"/>
              </w:rPr>
              <w:t>školení</w:t>
            </w:r>
          </w:p>
          <w:p w14:paraId="37615FA2" w14:textId="6D58D0CA" w:rsidR="005912E7" w:rsidRPr="00CD57BE" w:rsidRDefault="005912E7" w:rsidP="005912E7">
            <w:pPr>
              <w:spacing w:after="0" w:line="240" w:lineRule="auto"/>
              <w:jc w:val="center"/>
              <w:rPr>
                <w:rFonts w:cs="Arial"/>
                <w:b/>
                <w:bCs/>
                <w:color w:val="000000"/>
                <w:sz w:val="16"/>
                <w:szCs w:val="16"/>
              </w:rPr>
            </w:pPr>
            <w:r>
              <w:rPr>
                <w:rFonts w:cs="Arial"/>
                <w:b/>
                <w:bCs/>
                <w:color w:val="000000"/>
                <w:sz w:val="16"/>
                <w:szCs w:val="16"/>
              </w:rPr>
              <w:t>(BOZP, PO)</w:t>
            </w:r>
          </w:p>
        </w:tc>
        <w:tc>
          <w:tcPr>
            <w:tcW w:w="6066" w:type="dxa"/>
            <w:gridSpan w:val="6"/>
            <w:tcBorders>
              <w:top w:val="single" w:sz="8" w:space="0" w:color="auto"/>
              <w:left w:val="nil"/>
              <w:bottom w:val="single" w:sz="8" w:space="0" w:color="auto"/>
              <w:right w:val="single" w:sz="8" w:space="0" w:color="auto"/>
            </w:tcBorders>
            <w:shd w:val="clear" w:color="auto" w:fill="A1BBDB"/>
            <w:vAlign w:val="center"/>
            <w:hideMark/>
          </w:tcPr>
          <w:p w14:paraId="487190BD" w14:textId="2439619C" w:rsidR="005912E7" w:rsidRPr="00CD57BE" w:rsidRDefault="005912E7" w:rsidP="00CD57BE">
            <w:pPr>
              <w:spacing w:after="0" w:line="240" w:lineRule="auto"/>
              <w:jc w:val="center"/>
              <w:rPr>
                <w:rFonts w:cs="Arial"/>
                <w:b/>
                <w:bCs/>
                <w:color w:val="000000"/>
                <w:sz w:val="16"/>
                <w:szCs w:val="16"/>
              </w:rPr>
            </w:pPr>
            <w:r>
              <w:rPr>
                <w:rFonts w:cs="Arial"/>
                <w:b/>
                <w:bCs/>
                <w:color w:val="000000"/>
                <w:sz w:val="16"/>
                <w:szCs w:val="16"/>
              </w:rPr>
              <w:t>Nepovinné vzdělávání</w:t>
            </w:r>
          </w:p>
        </w:tc>
      </w:tr>
      <w:tr w:rsidR="005912E7" w:rsidRPr="00CD57BE" w14:paraId="3BD3D432" w14:textId="77777777" w:rsidTr="005912E7">
        <w:trPr>
          <w:trHeight w:val="822"/>
          <w:jc w:val="center"/>
        </w:trPr>
        <w:tc>
          <w:tcPr>
            <w:tcW w:w="3109" w:type="dxa"/>
            <w:vMerge/>
            <w:tcBorders>
              <w:left w:val="single" w:sz="8" w:space="0" w:color="auto"/>
              <w:bottom w:val="single" w:sz="8" w:space="0" w:color="auto"/>
              <w:right w:val="single" w:sz="4" w:space="0" w:color="auto"/>
            </w:tcBorders>
            <w:shd w:val="clear" w:color="auto" w:fill="A1BBDB"/>
            <w:vAlign w:val="center"/>
          </w:tcPr>
          <w:p w14:paraId="2AE28078" w14:textId="77777777" w:rsidR="005912E7" w:rsidRPr="00CD57BE" w:rsidRDefault="005912E7" w:rsidP="005912E7">
            <w:pPr>
              <w:spacing w:after="0" w:line="240" w:lineRule="auto"/>
              <w:jc w:val="center"/>
              <w:rPr>
                <w:rFonts w:cs="Arial"/>
                <w:b/>
                <w:bCs/>
                <w:color w:val="000000"/>
                <w:sz w:val="16"/>
                <w:szCs w:val="16"/>
              </w:rPr>
            </w:pPr>
          </w:p>
        </w:tc>
        <w:tc>
          <w:tcPr>
            <w:tcW w:w="709" w:type="dxa"/>
            <w:vMerge/>
            <w:tcBorders>
              <w:left w:val="nil"/>
              <w:bottom w:val="single" w:sz="8" w:space="0" w:color="auto"/>
              <w:right w:val="single" w:sz="4" w:space="0" w:color="auto"/>
            </w:tcBorders>
            <w:shd w:val="clear" w:color="auto" w:fill="A1BBDB"/>
            <w:vAlign w:val="center"/>
          </w:tcPr>
          <w:p w14:paraId="4E673C68" w14:textId="3B7DFAAD" w:rsidR="005912E7" w:rsidRDefault="005912E7" w:rsidP="005912E7">
            <w:pPr>
              <w:spacing w:after="0" w:line="240" w:lineRule="auto"/>
              <w:jc w:val="center"/>
              <w:rPr>
                <w:rFonts w:cs="Arial"/>
                <w:b/>
                <w:bCs/>
                <w:color w:val="000000"/>
                <w:sz w:val="16"/>
                <w:szCs w:val="16"/>
              </w:rPr>
            </w:pPr>
          </w:p>
        </w:tc>
        <w:tc>
          <w:tcPr>
            <w:tcW w:w="708" w:type="dxa"/>
            <w:tcBorders>
              <w:top w:val="single" w:sz="8" w:space="0" w:color="auto"/>
              <w:left w:val="nil"/>
              <w:bottom w:val="single" w:sz="8" w:space="0" w:color="auto"/>
              <w:right w:val="single" w:sz="4" w:space="0" w:color="auto"/>
            </w:tcBorders>
            <w:shd w:val="clear" w:color="auto" w:fill="A1BBDB"/>
            <w:vAlign w:val="center"/>
          </w:tcPr>
          <w:p w14:paraId="69854030" w14:textId="64728A5D" w:rsidR="005912E7" w:rsidRDefault="005912E7" w:rsidP="005912E7">
            <w:pPr>
              <w:spacing w:after="0" w:line="240" w:lineRule="auto"/>
              <w:jc w:val="center"/>
              <w:rPr>
                <w:rFonts w:cs="Arial"/>
                <w:b/>
                <w:bCs/>
                <w:color w:val="000000"/>
                <w:sz w:val="16"/>
                <w:szCs w:val="16"/>
              </w:rPr>
            </w:pPr>
            <w:r>
              <w:rPr>
                <w:rFonts w:cs="Arial"/>
                <w:b/>
                <w:bCs/>
                <w:color w:val="000000"/>
                <w:sz w:val="16"/>
                <w:szCs w:val="16"/>
              </w:rPr>
              <w:t xml:space="preserve">  </w:t>
            </w:r>
            <w:r w:rsidRPr="00CD57BE">
              <w:rPr>
                <w:rFonts w:cs="Arial"/>
                <w:b/>
                <w:bCs/>
                <w:color w:val="000000"/>
                <w:sz w:val="16"/>
                <w:szCs w:val="16"/>
              </w:rPr>
              <w:t>kurzy/</w:t>
            </w:r>
            <w:r w:rsidRPr="00CD57BE">
              <w:rPr>
                <w:rFonts w:cs="Arial"/>
                <w:b/>
                <w:bCs/>
                <w:color w:val="000000"/>
                <w:sz w:val="16"/>
                <w:szCs w:val="16"/>
              </w:rPr>
              <w:br/>
              <w:t>školení</w:t>
            </w:r>
          </w:p>
        </w:tc>
        <w:tc>
          <w:tcPr>
            <w:tcW w:w="1134" w:type="dxa"/>
            <w:tcBorders>
              <w:top w:val="single" w:sz="8" w:space="0" w:color="auto"/>
              <w:left w:val="nil"/>
              <w:bottom w:val="single" w:sz="8" w:space="0" w:color="auto"/>
              <w:right w:val="single" w:sz="4" w:space="0" w:color="auto"/>
            </w:tcBorders>
            <w:shd w:val="clear" w:color="auto" w:fill="A1BBDB"/>
            <w:vAlign w:val="center"/>
          </w:tcPr>
          <w:p w14:paraId="37FC6C8C" w14:textId="5ECE0997" w:rsidR="005912E7" w:rsidRPr="00CD57BE" w:rsidRDefault="005912E7" w:rsidP="005912E7">
            <w:pPr>
              <w:spacing w:after="0" w:line="240" w:lineRule="auto"/>
              <w:jc w:val="center"/>
              <w:rPr>
                <w:rFonts w:cs="Arial"/>
                <w:b/>
                <w:bCs/>
                <w:color w:val="000000"/>
                <w:sz w:val="16"/>
                <w:szCs w:val="16"/>
              </w:rPr>
            </w:pPr>
            <w:r>
              <w:rPr>
                <w:rFonts w:cs="Arial"/>
                <w:b/>
                <w:bCs/>
                <w:color w:val="000000"/>
                <w:sz w:val="16"/>
                <w:szCs w:val="16"/>
              </w:rPr>
              <w:t>zaškolo</w:t>
            </w:r>
            <w:r w:rsidRPr="00CD57BE">
              <w:rPr>
                <w:rFonts w:cs="Arial"/>
                <w:b/>
                <w:bCs/>
                <w:color w:val="000000"/>
                <w:sz w:val="16"/>
                <w:szCs w:val="16"/>
              </w:rPr>
              <w:t>vání, instruktáž na pracovišti</w:t>
            </w:r>
          </w:p>
        </w:tc>
        <w:tc>
          <w:tcPr>
            <w:tcW w:w="1154" w:type="dxa"/>
            <w:tcBorders>
              <w:top w:val="single" w:sz="8" w:space="0" w:color="auto"/>
              <w:left w:val="nil"/>
              <w:bottom w:val="single" w:sz="8" w:space="0" w:color="auto"/>
              <w:right w:val="single" w:sz="4" w:space="0" w:color="auto"/>
            </w:tcBorders>
            <w:shd w:val="clear" w:color="auto" w:fill="A1BBDB"/>
            <w:vAlign w:val="center"/>
          </w:tcPr>
          <w:p w14:paraId="69DCFB0B" w14:textId="568DA54B" w:rsidR="005912E7" w:rsidRPr="00CD57BE" w:rsidRDefault="005912E7" w:rsidP="005912E7">
            <w:pPr>
              <w:spacing w:after="0" w:line="240" w:lineRule="auto"/>
              <w:jc w:val="center"/>
              <w:rPr>
                <w:rFonts w:cs="Arial"/>
                <w:b/>
                <w:bCs/>
                <w:color w:val="000000"/>
                <w:sz w:val="16"/>
                <w:szCs w:val="16"/>
              </w:rPr>
            </w:pPr>
            <w:r>
              <w:rPr>
                <w:rFonts w:cs="Arial"/>
                <w:b/>
                <w:bCs/>
                <w:color w:val="000000"/>
                <w:sz w:val="16"/>
                <w:szCs w:val="16"/>
              </w:rPr>
              <w:t>rotace zaměstnanců na pracovních</w:t>
            </w:r>
            <w:r w:rsidRPr="00CD57BE">
              <w:rPr>
                <w:rFonts w:cs="Arial"/>
                <w:b/>
                <w:bCs/>
                <w:color w:val="000000"/>
                <w:sz w:val="16"/>
                <w:szCs w:val="16"/>
              </w:rPr>
              <w:t xml:space="preserve"> místech</w:t>
            </w:r>
          </w:p>
        </w:tc>
        <w:tc>
          <w:tcPr>
            <w:tcW w:w="1114" w:type="dxa"/>
            <w:tcBorders>
              <w:top w:val="single" w:sz="8" w:space="0" w:color="auto"/>
              <w:left w:val="nil"/>
              <w:bottom w:val="single" w:sz="8" w:space="0" w:color="auto"/>
              <w:right w:val="single" w:sz="4" w:space="0" w:color="auto"/>
            </w:tcBorders>
            <w:shd w:val="clear" w:color="auto" w:fill="A1BBDB"/>
            <w:vAlign w:val="center"/>
          </w:tcPr>
          <w:p w14:paraId="5D97BA13" w14:textId="235AB1A0" w:rsidR="005912E7" w:rsidRPr="00CD57BE" w:rsidRDefault="005912E7" w:rsidP="005912E7">
            <w:pPr>
              <w:spacing w:after="0" w:line="240" w:lineRule="auto"/>
              <w:rPr>
                <w:rFonts w:cs="Arial"/>
                <w:b/>
                <w:bCs/>
                <w:color w:val="000000"/>
                <w:sz w:val="16"/>
                <w:szCs w:val="16"/>
              </w:rPr>
            </w:pPr>
            <w:r>
              <w:rPr>
                <w:rFonts w:cs="Arial"/>
                <w:b/>
                <w:bCs/>
                <w:color w:val="000000"/>
                <w:sz w:val="16"/>
                <w:szCs w:val="16"/>
              </w:rPr>
              <w:t>w</w:t>
            </w:r>
            <w:r w:rsidRPr="00CD57BE">
              <w:rPr>
                <w:rFonts w:cs="Arial"/>
                <w:b/>
                <w:bCs/>
                <w:color w:val="000000"/>
                <w:sz w:val="16"/>
                <w:szCs w:val="16"/>
              </w:rPr>
              <w:t>orkshopy, semináře, konference, veletrhy</w:t>
            </w:r>
          </w:p>
        </w:tc>
        <w:tc>
          <w:tcPr>
            <w:tcW w:w="993" w:type="dxa"/>
            <w:tcBorders>
              <w:top w:val="single" w:sz="8" w:space="0" w:color="auto"/>
              <w:left w:val="nil"/>
              <w:bottom w:val="single" w:sz="8" w:space="0" w:color="auto"/>
              <w:right w:val="single" w:sz="4" w:space="0" w:color="auto"/>
            </w:tcBorders>
            <w:shd w:val="clear" w:color="auto" w:fill="A1BBDB"/>
            <w:vAlign w:val="center"/>
          </w:tcPr>
          <w:p w14:paraId="20CA4604" w14:textId="46AC3152" w:rsidR="005912E7" w:rsidRPr="00CD57BE" w:rsidRDefault="005912E7" w:rsidP="005912E7">
            <w:pPr>
              <w:spacing w:after="0" w:line="240" w:lineRule="auto"/>
              <w:rPr>
                <w:rFonts w:cs="Arial"/>
                <w:b/>
                <w:bCs/>
                <w:color w:val="000000"/>
                <w:sz w:val="16"/>
                <w:szCs w:val="16"/>
              </w:rPr>
            </w:pPr>
            <w:r>
              <w:rPr>
                <w:rFonts w:cs="Arial"/>
                <w:b/>
                <w:bCs/>
                <w:color w:val="000000"/>
                <w:sz w:val="16"/>
                <w:szCs w:val="16"/>
              </w:rPr>
              <w:t>k</w:t>
            </w:r>
            <w:r w:rsidRPr="00CD57BE">
              <w:rPr>
                <w:rFonts w:cs="Arial"/>
                <w:b/>
                <w:bCs/>
                <w:color w:val="000000"/>
                <w:sz w:val="16"/>
                <w:szCs w:val="16"/>
              </w:rPr>
              <w:t>rouž</w:t>
            </w:r>
            <w:r>
              <w:rPr>
                <w:rFonts w:cs="Arial"/>
                <w:b/>
                <w:bCs/>
                <w:color w:val="000000"/>
                <w:sz w:val="16"/>
                <w:szCs w:val="16"/>
              </w:rPr>
              <w:t>ky kvality, vzdělávací kroužky</w:t>
            </w:r>
          </w:p>
        </w:tc>
        <w:tc>
          <w:tcPr>
            <w:tcW w:w="963" w:type="dxa"/>
            <w:tcBorders>
              <w:top w:val="single" w:sz="8" w:space="0" w:color="auto"/>
              <w:left w:val="nil"/>
              <w:bottom w:val="single" w:sz="8" w:space="0" w:color="auto"/>
              <w:right w:val="single" w:sz="8" w:space="0" w:color="auto"/>
            </w:tcBorders>
            <w:shd w:val="clear" w:color="auto" w:fill="A1BBDB"/>
            <w:vAlign w:val="center"/>
          </w:tcPr>
          <w:p w14:paraId="0AECDC80" w14:textId="08814995" w:rsidR="005912E7" w:rsidRPr="00CD57BE" w:rsidRDefault="005912E7" w:rsidP="005912E7">
            <w:pPr>
              <w:spacing w:after="0" w:line="240" w:lineRule="auto"/>
              <w:jc w:val="center"/>
              <w:rPr>
                <w:rFonts w:cs="Arial"/>
                <w:b/>
                <w:bCs/>
                <w:color w:val="000000"/>
                <w:sz w:val="16"/>
                <w:szCs w:val="16"/>
              </w:rPr>
            </w:pPr>
            <w:r>
              <w:rPr>
                <w:rFonts w:cs="Arial"/>
                <w:b/>
                <w:bCs/>
                <w:color w:val="000000"/>
                <w:sz w:val="16"/>
                <w:szCs w:val="16"/>
              </w:rPr>
              <w:t>s</w:t>
            </w:r>
            <w:r w:rsidRPr="00CD57BE">
              <w:rPr>
                <w:rFonts w:cs="Arial"/>
                <w:b/>
                <w:bCs/>
                <w:color w:val="000000"/>
                <w:sz w:val="16"/>
                <w:szCs w:val="16"/>
              </w:rPr>
              <w:t>amo-studium,</w:t>
            </w:r>
            <w:r w:rsidRPr="00CD57BE">
              <w:rPr>
                <w:rFonts w:cs="Arial"/>
                <w:b/>
                <w:bCs/>
                <w:color w:val="000000"/>
                <w:sz w:val="16"/>
                <w:szCs w:val="16"/>
              </w:rPr>
              <w:br/>
              <w:t>e-learning</w:t>
            </w:r>
          </w:p>
        </w:tc>
      </w:tr>
      <w:tr w:rsidR="005912E7" w:rsidRPr="00CD57BE" w14:paraId="77739CAE" w14:textId="77777777" w:rsidTr="005912E7">
        <w:trPr>
          <w:trHeight w:val="315"/>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3D45359D" w14:textId="77777777" w:rsidR="005912E7" w:rsidRPr="00CD57BE" w:rsidRDefault="005912E7" w:rsidP="005912E7">
            <w:pPr>
              <w:spacing w:after="0" w:line="240" w:lineRule="auto"/>
              <w:rPr>
                <w:rFonts w:cs="Arial"/>
                <w:b/>
                <w:bCs/>
                <w:sz w:val="16"/>
                <w:szCs w:val="16"/>
              </w:rPr>
            </w:pPr>
            <w:r w:rsidRPr="00CD57BE">
              <w:rPr>
                <w:rFonts w:cs="Arial"/>
                <w:b/>
                <w:bCs/>
                <w:sz w:val="16"/>
                <w:szCs w:val="16"/>
              </w:rPr>
              <w:t>Celkem</w:t>
            </w:r>
          </w:p>
        </w:tc>
        <w:tc>
          <w:tcPr>
            <w:tcW w:w="709" w:type="dxa"/>
            <w:tcBorders>
              <w:top w:val="nil"/>
              <w:left w:val="nil"/>
              <w:bottom w:val="single" w:sz="4" w:space="0" w:color="auto"/>
              <w:right w:val="single" w:sz="4" w:space="0" w:color="auto"/>
            </w:tcBorders>
            <w:shd w:val="clear" w:color="auto" w:fill="auto"/>
            <w:noWrap/>
            <w:vAlign w:val="center"/>
            <w:hideMark/>
          </w:tcPr>
          <w:p w14:paraId="23269B5C"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82,9</w:t>
            </w:r>
          </w:p>
        </w:tc>
        <w:tc>
          <w:tcPr>
            <w:tcW w:w="708" w:type="dxa"/>
            <w:tcBorders>
              <w:top w:val="nil"/>
              <w:left w:val="nil"/>
              <w:bottom w:val="single" w:sz="4" w:space="0" w:color="auto"/>
              <w:right w:val="single" w:sz="4" w:space="0" w:color="auto"/>
            </w:tcBorders>
            <w:shd w:val="clear" w:color="auto" w:fill="auto"/>
            <w:noWrap/>
            <w:vAlign w:val="center"/>
            <w:hideMark/>
          </w:tcPr>
          <w:p w14:paraId="1B22CB4D"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44,4</w:t>
            </w:r>
          </w:p>
        </w:tc>
        <w:tc>
          <w:tcPr>
            <w:tcW w:w="1134" w:type="dxa"/>
            <w:tcBorders>
              <w:top w:val="nil"/>
              <w:left w:val="nil"/>
              <w:bottom w:val="single" w:sz="4" w:space="0" w:color="auto"/>
              <w:right w:val="single" w:sz="4" w:space="0" w:color="auto"/>
            </w:tcBorders>
            <w:shd w:val="clear" w:color="auto" w:fill="auto"/>
            <w:noWrap/>
            <w:vAlign w:val="center"/>
            <w:hideMark/>
          </w:tcPr>
          <w:p w14:paraId="20DE0943"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25,5</w:t>
            </w:r>
          </w:p>
        </w:tc>
        <w:tc>
          <w:tcPr>
            <w:tcW w:w="1154" w:type="dxa"/>
            <w:tcBorders>
              <w:top w:val="nil"/>
              <w:left w:val="nil"/>
              <w:bottom w:val="single" w:sz="4" w:space="0" w:color="auto"/>
              <w:right w:val="single" w:sz="4" w:space="0" w:color="auto"/>
            </w:tcBorders>
            <w:shd w:val="clear" w:color="auto" w:fill="auto"/>
            <w:noWrap/>
            <w:vAlign w:val="center"/>
            <w:hideMark/>
          </w:tcPr>
          <w:p w14:paraId="01162357"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4,1</w:t>
            </w:r>
          </w:p>
        </w:tc>
        <w:tc>
          <w:tcPr>
            <w:tcW w:w="1114" w:type="dxa"/>
            <w:tcBorders>
              <w:top w:val="nil"/>
              <w:left w:val="nil"/>
              <w:bottom w:val="single" w:sz="4" w:space="0" w:color="auto"/>
              <w:right w:val="single" w:sz="4" w:space="0" w:color="auto"/>
            </w:tcBorders>
            <w:shd w:val="clear" w:color="auto" w:fill="auto"/>
            <w:noWrap/>
            <w:vAlign w:val="center"/>
            <w:hideMark/>
          </w:tcPr>
          <w:p w14:paraId="49566578"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14,8</w:t>
            </w:r>
          </w:p>
        </w:tc>
        <w:tc>
          <w:tcPr>
            <w:tcW w:w="993" w:type="dxa"/>
            <w:tcBorders>
              <w:top w:val="nil"/>
              <w:left w:val="nil"/>
              <w:bottom w:val="single" w:sz="4" w:space="0" w:color="auto"/>
              <w:right w:val="single" w:sz="4" w:space="0" w:color="auto"/>
            </w:tcBorders>
            <w:shd w:val="clear" w:color="auto" w:fill="auto"/>
            <w:noWrap/>
            <w:vAlign w:val="center"/>
            <w:hideMark/>
          </w:tcPr>
          <w:p w14:paraId="127F9486"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2,8</w:t>
            </w:r>
          </w:p>
        </w:tc>
        <w:tc>
          <w:tcPr>
            <w:tcW w:w="963" w:type="dxa"/>
            <w:tcBorders>
              <w:top w:val="nil"/>
              <w:left w:val="nil"/>
              <w:bottom w:val="single" w:sz="4" w:space="0" w:color="auto"/>
              <w:right w:val="single" w:sz="8" w:space="0" w:color="auto"/>
            </w:tcBorders>
            <w:shd w:val="clear" w:color="auto" w:fill="auto"/>
            <w:noWrap/>
            <w:vAlign w:val="center"/>
            <w:hideMark/>
          </w:tcPr>
          <w:p w14:paraId="43719526" w14:textId="77777777" w:rsidR="005912E7" w:rsidRPr="00323EF3" w:rsidRDefault="005912E7" w:rsidP="005912E7">
            <w:pPr>
              <w:spacing w:after="0" w:line="240" w:lineRule="auto"/>
              <w:jc w:val="right"/>
              <w:rPr>
                <w:rFonts w:cs="Arial"/>
                <w:b/>
                <w:color w:val="000000"/>
                <w:sz w:val="16"/>
                <w:szCs w:val="16"/>
              </w:rPr>
            </w:pPr>
            <w:r w:rsidRPr="00323EF3">
              <w:rPr>
                <w:rFonts w:cs="Arial"/>
                <w:b/>
                <w:color w:val="000000"/>
                <w:sz w:val="16"/>
                <w:szCs w:val="16"/>
              </w:rPr>
              <w:t>18,5</w:t>
            </w:r>
          </w:p>
        </w:tc>
      </w:tr>
      <w:tr w:rsidR="005912E7" w:rsidRPr="00CD57BE" w14:paraId="4FB9C562" w14:textId="77777777" w:rsidTr="005912E7">
        <w:trPr>
          <w:trHeight w:val="300"/>
          <w:jc w:val="center"/>
        </w:trPr>
        <w:tc>
          <w:tcPr>
            <w:tcW w:w="9884" w:type="dxa"/>
            <w:gridSpan w:val="8"/>
            <w:tcBorders>
              <w:top w:val="nil"/>
              <w:left w:val="single" w:sz="8" w:space="0" w:color="auto"/>
              <w:bottom w:val="single" w:sz="4" w:space="0" w:color="auto"/>
              <w:right w:val="single" w:sz="8" w:space="0" w:color="auto"/>
            </w:tcBorders>
            <w:shd w:val="clear" w:color="auto" w:fill="DBE5F1" w:themeFill="accent1" w:themeFillTint="33"/>
            <w:vAlign w:val="center"/>
            <w:hideMark/>
          </w:tcPr>
          <w:p w14:paraId="3A28F131" w14:textId="03B6F4A9" w:rsidR="005912E7" w:rsidRPr="006459C9" w:rsidRDefault="005912E7" w:rsidP="005912E7">
            <w:pPr>
              <w:spacing w:after="0" w:line="240" w:lineRule="auto"/>
              <w:rPr>
                <w:rFonts w:cs="Arial"/>
                <w:b/>
                <w:bCs/>
                <w:sz w:val="16"/>
                <w:szCs w:val="16"/>
              </w:rPr>
            </w:pPr>
            <w:r w:rsidRPr="00CD57BE">
              <w:rPr>
                <w:rFonts w:cs="Arial"/>
                <w:b/>
                <w:bCs/>
                <w:sz w:val="16"/>
                <w:szCs w:val="16"/>
              </w:rPr>
              <w:t xml:space="preserve">podle počtu zaměstnanců </w:t>
            </w:r>
          </w:p>
        </w:tc>
      </w:tr>
      <w:tr w:rsidR="005912E7" w:rsidRPr="00CD57BE" w14:paraId="36F484E9"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24D61F9D" w14:textId="77777777" w:rsidR="005912E7" w:rsidRPr="00CD57BE" w:rsidRDefault="005912E7" w:rsidP="005912E7">
            <w:pPr>
              <w:spacing w:after="0" w:line="240" w:lineRule="auto"/>
              <w:rPr>
                <w:rFonts w:cs="Arial"/>
                <w:sz w:val="16"/>
                <w:szCs w:val="16"/>
              </w:rPr>
            </w:pPr>
            <w:r w:rsidRPr="00CD57BE">
              <w:rPr>
                <w:rFonts w:cs="Arial"/>
                <w:sz w:val="16"/>
                <w:szCs w:val="16"/>
              </w:rPr>
              <w:t>10–19 zaměstnanců</w:t>
            </w:r>
          </w:p>
        </w:tc>
        <w:tc>
          <w:tcPr>
            <w:tcW w:w="709" w:type="dxa"/>
            <w:tcBorders>
              <w:top w:val="nil"/>
              <w:left w:val="nil"/>
              <w:bottom w:val="single" w:sz="4" w:space="0" w:color="auto"/>
              <w:right w:val="single" w:sz="4" w:space="0" w:color="auto"/>
            </w:tcBorders>
            <w:shd w:val="clear" w:color="auto" w:fill="auto"/>
            <w:noWrap/>
            <w:vAlign w:val="center"/>
            <w:hideMark/>
          </w:tcPr>
          <w:p w14:paraId="458789C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76,4</w:t>
            </w:r>
          </w:p>
        </w:tc>
        <w:tc>
          <w:tcPr>
            <w:tcW w:w="708" w:type="dxa"/>
            <w:tcBorders>
              <w:top w:val="nil"/>
              <w:left w:val="nil"/>
              <w:bottom w:val="single" w:sz="4" w:space="0" w:color="auto"/>
              <w:right w:val="single" w:sz="4" w:space="0" w:color="auto"/>
            </w:tcBorders>
            <w:shd w:val="clear" w:color="auto" w:fill="auto"/>
            <w:noWrap/>
            <w:vAlign w:val="center"/>
            <w:hideMark/>
          </w:tcPr>
          <w:p w14:paraId="7BBE470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32,1</w:t>
            </w:r>
          </w:p>
        </w:tc>
        <w:tc>
          <w:tcPr>
            <w:tcW w:w="1134" w:type="dxa"/>
            <w:tcBorders>
              <w:top w:val="nil"/>
              <w:left w:val="nil"/>
              <w:bottom w:val="single" w:sz="4" w:space="0" w:color="auto"/>
              <w:right w:val="single" w:sz="4" w:space="0" w:color="auto"/>
            </w:tcBorders>
            <w:shd w:val="clear" w:color="auto" w:fill="auto"/>
            <w:noWrap/>
            <w:vAlign w:val="center"/>
            <w:hideMark/>
          </w:tcPr>
          <w:p w14:paraId="4DB8A5C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18,8</w:t>
            </w:r>
          </w:p>
        </w:tc>
        <w:tc>
          <w:tcPr>
            <w:tcW w:w="1154" w:type="dxa"/>
            <w:tcBorders>
              <w:top w:val="nil"/>
              <w:left w:val="nil"/>
              <w:bottom w:val="single" w:sz="4" w:space="0" w:color="auto"/>
              <w:right w:val="single" w:sz="4" w:space="0" w:color="auto"/>
            </w:tcBorders>
            <w:shd w:val="clear" w:color="auto" w:fill="auto"/>
            <w:noWrap/>
            <w:vAlign w:val="center"/>
            <w:hideMark/>
          </w:tcPr>
          <w:p w14:paraId="3FBD687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2,1</w:t>
            </w:r>
          </w:p>
        </w:tc>
        <w:tc>
          <w:tcPr>
            <w:tcW w:w="1114" w:type="dxa"/>
            <w:tcBorders>
              <w:top w:val="nil"/>
              <w:left w:val="nil"/>
              <w:bottom w:val="single" w:sz="4" w:space="0" w:color="auto"/>
              <w:right w:val="single" w:sz="4" w:space="0" w:color="auto"/>
            </w:tcBorders>
            <w:shd w:val="clear" w:color="auto" w:fill="auto"/>
            <w:noWrap/>
            <w:vAlign w:val="center"/>
            <w:hideMark/>
          </w:tcPr>
          <w:p w14:paraId="605E5408"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9,8</w:t>
            </w:r>
          </w:p>
        </w:tc>
        <w:tc>
          <w:tcPr>
            <w:tcW w:w="993" w:type="dxa"/>
            <w:tcBorders>
              <w:top w:val="nil"/>
              <w:left w:val="nil"/>
              <w:bottom w:val="single" w:sz="4" w:space="0" w:color="auto"/>
              <w:right w:val="single" w:sz="4" w:space="0" w:color="auto"/>
            </w:tcBorders>
            <w:shd w:val="clear" w:color="auto" w:fill="auto"/>
            <w:noWrap/>
            <w:vAlign w:val="center"/>
            <w:hideMark/>
          </w:tcPr>
          <w:p w14:paraId="1DCAA1D5"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1,9</w:t>
            </w:r>
          </w:p>
        </w:tc>
        <w:tc>
          <w:tcPr>
            <w:tcW w:w="963" w:type="dxa"/>
            <w:tcBorders>
              <w:top w:val="nil"/>
              <w:left w:val="nil"/>
              <w:bottom w:val="single" w:sz="4" w:space="0" w:color="auto"/>
              <w:right w:val="single" w:sz="8" w:space="0" w:color="auto"/>
            </w:tcBorders>
            <w:shd w:val="clear" w:color="auto" w:fill="auto"/>
            <w:noWrap/>
            <w:vAlign w:val="center"/>
            <w:hideMark/>
          </w:tcPr>
          <w:p w14:paraId="01AF239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12,8</w:t>
            </w:r>
          </w:p>
        </w:tc>
      </w:tr>
      <w:tr w:rsidR="005912E7" w:rsidRPr="00CD57BE" w14:paraId="28B017E4"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5D9BB590" w14:textId="77777777" w:rsidR="005912E7" w:rsidRPr="00CD57BE" w:rsidRDefault="005912E7" w:rsidP="005912E7">
            <w:pPr>
              <w:spacing w:after="0" w:line="240" w:lineRule="auto"/>
              <w:rPr>
                <w:rFonts w:cs="Arial"/>
                <w:sz w:val="16"/>
                <w:szCs w:val="16"/>
              </w:rPr>
            </w:pPr>
            <w:r w:rsidRPr="00CD57BE">
              <w:rPr>
                <w:rFonts w:cs="Arial"/>
                <w:sz w:val="16"/>
                <w:szCs w:val="16"/>
              </w:rPr>
              <w:t>20–49 zaměstnanců</w:t>
            </w:r>
          </w:p>
        </w:tc>
        <w:tc>
          <w:tcPr>
            <w:tcW w:w="709" w:type="dxa"/>
            <w:tcBorders>
              <w:top w:val="nil"/>
              <w:left w:val="nil"/>
              <w:bottom w:val="single" w:sz="4" w:space="0" w:color="auto"/>
              <w:right w:val="single" w:sz="4" w:space="0" w:color="auto"/>
            </w:tcBorders>
            <w:shd w:val="clear" w:color="auto" w:fill="auto"/>
            <w:noWrap/>
            <w:vAlign w:val="center"/>
            <w:hideMark/>
          </w:tcPr>
          <w:p w14:paraId="39913AC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86,0</w:t>
            </w:r>
          </w:p>
        </w:tc>
        <w:tc>
          <w:tcPr>
            <w:tcW w:w="708" w:type="dxa"/>
            <w:tcBorders>
              <w:top w:val="nil"/>
              <w:left w:val="nil"/>
              <w:bottom w:val="single" w:sz="4" w:space="0" w:color="auto"/>
              <w:right w:val="single" w:sz="4" w:space="0" w:color="auto"/>
            </w:tcBorders>
            <w:shd w:val="clear" w:color="auto" w:fill="auto"/>
            <w:noWrap/>
            <w:vAlign w:val="center"/>
            <w:hideMark/>
          </w:tcPr>
          <w:p w14:paraId="138848C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44,0</w:t>
            </w:r>
          </w:p>
        </w:tc>
        <w:tc>
          <w:tcPr>
            <w:tcW w:w="1134" w:type="dxa"/>
            <w:tcBorders>
              <w:top w:val="nil"/>
              <w:left w:val="nil"/>
              <w:bottom w:val="single" w:sz="4" w:space="0" w:color="auto"/>
              <w:right w:val="single" w:sz="4" w:space="0" w:color="auto"/>
            </w:tcBorders>
            <w:shd w:val="clear" w:color="auto" w:fill="auto"/>
            <w:noWrap/>
            <w:vAlign w:val="center"/>
            <w:hideMark/>
          </w:tcPr>
          <w:p w14:paraId="6E5D7A8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25,1</w:t>
            </w:r>
          </w:p>
        </w:tc>
        <w:tc>
          <w:tcPr>
            <w:tcW w:w="1154" w:type="dxa"/>
            <w:tcBorders>
              <w:top w:val="nil"/>
              <w:left w:val="nil"/>
              <w:bottom w:val="single" w:sz="4" w:space="0" w:color="auto"/>
              <w:right w:val="single" w:sz="4" w:space="0" w:color="auto"/>
            </w:tcBorders>
            <w:shd w:val="clear" w:color="auto" w:fill="auto"/>
            <w:noWrap/>
            <w:vAlign w:val="center"/>
            <w:hideMark/>
          </w:tcPr>
          <w:p w14:paraId="13332EC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3,9</w:t>
            </w:r>
          </w:p>
        </w:tc>
        <w:tc>
          <w:tcPr>
            <w:tcW w:w="1114" w:type="dxa"/>
            <w:tcBorders>
              <w:top w:val="nil"/>
              <w:left w:val="nil"/>
              <w:bottom w:val="single" w:sz="4" w:space="0" w:color="auto"/>
              <w:right w:val="single" w:sz="4" w:space="0" w:color="auto"/>
            </w:tcBorders>
            <w:shd w:val="clear" w:color="auto" w:fill="auto"/>
            <w:noWrap/>
            <w:vAlign w:val="center"/>
            <w:hideMark/>
          </w:tcPr>
          <w:p w14:paraId="2D96E4C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12,3</w:t>
            </w:r>
          </w:p>
        </w:tc>
        <w:tc>
          <w:tcPr>
            <w:tcW w:w="993" w:type="dxa"/>
            <w:tcBorders>
              <w:top w:val="nil"/>
              <w:left w:val="nil"/>
              <w:bottom w:val="single" w:sz="4" w:space="0" w:color="auto"/>
              <w:right w:val="single" w:sz="4" w:space="0" w:color="auto"/>
            </w:tcBorders>
            <w:shd w:val="clear" w:color="auto" w:fill="auto"/>
            <w:noWrap/>
            <w:vAlign w:val="center"/>
            <w:hideMark/>
          </w:tcPr>
          <w:p w14:paraId="10D4A27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2,2</w:t>
            </w:r>
          </w:p>
        </w:tc>
        <w:tc>
          <w:tcPr>
            <w:tcW w:w="963" w:type="dxa"/>
            <w:tcBorders>
              <w:top w:val="nil"/>
              <w:left w:val="nil"/>
              <w:bottom w:val="single" w:sz="4" w:space="0" w:color="auto"/>
              <w:right w:val="single" w:sz="8" w:space="0" w:color="auto"/>
            </w:tcBorders>
            <w:shd w:val="clear" w:color="auto" w:fill="auto"/>
            <w:noWrap/>
            <w:vAlign w:val="center"/>
            <w:hideMark/>
          </w:tcPr>
          <w:p w14:paraId="486A14E3"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17,1</w:t>
            </w:r>
          </w:p>
        </w:tc>
      </w:tr>
      <w:tr w:rsidR="005912E7" w:rsidRPr="00CD57BE" w14:paraId="39FF5EAE"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06914DFD" w14:textId="77777777" w:rsidR="005912E7" w:rsidRPr="00CD57BE" w:rsidRDefault="005912E7" w:rsidP="005912E7">
            <w:pPr>
              <w:spacing w:after="0" w:line="240" w:lineRule="auto"/>
              <w:rPr>
                <w:rFonts w:cs="Arial"/>
                <w:sz w:val="16"/>
                <w:szCs w:val="16"/>
              </w:rPr>
            </w:pPr>
            <w:r w:rsidRPr="00CD57BE">
              <w:rPr>
                <w:rFonts w:cs="Arial"/>
                <w:sz w:val="16"/>
                <w:szCs w:val="16"/>
              </w:rPr>
              <w:t>50–249 zaměstnanců</w:t>
            </w:r>
          </w:p>
        </w:tc>
        <w:tc>
          <w:tcPr>
            <w:tcW w:w="709" w:type="dxa"/>
            <w:tcBorders>
              <w:top w:val="nil"/>
              <w:left w:val="nil"/>
              <w:bottom w:val="single" w:sz="4" w:space="0" w:color="auto"/>
              <w:right w:val="single" w:sz="4" w:space="0" w:color="auto"/>
            </w:tcBorders>
            <w:shd w:val="clear" w:color="auto" w:fill="auto"/>
            <w:noWrap/>
            <w:vAlign w:val="center"/>
            <w:hideMark/>
          </w:tcPr>
          <w:p w14:paraId="0F699351"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91,0</w:t>
            </w:r>
          </w:p>
        </w:tc>
        <w:tc>
          <w:tcPr>
            <w:tcW w:w="708" w:type="dxa"/>
            <w:tcBorders>
              <w:top w:val="nil"/>
              <w:left w:val="nil"/>
              <w:bottom w:val="single" w:sz="4" w:space="0" w:color="auto"/>
              <w:right w:val="single" w:sz="4" w:space="0" w:color="auto"/>
            </w:tcBorders>
            <w:shd w:val="clear" w:color="auto" w:fill="auto"/>
            <w:noWrap/>
            <w:vAlign w:val="center"/>
            <w:hideMark/>
          </w:tcPr>
          <w:p w14:paraId="60454AF0"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67,0</w:t>
            </w:r>
          </w:p>
        </w:tc>
        <w:tc>
          <w:tcPr>
            <w:tcW w:w="1134" w:type="dxa"/>
            <w:tcBorders>
              <w:top w:val="nil"/>
              <w:left w:val="nil"/>
              <w:bottom w:val="single" w:sz="4" w:space="0" w:color="auto"/>
              <w:right w:val="single" w:sz="4" w:space="0" w:color="auto"/>
            </w:tcBorders>
            <w:shd w:val="clear" w:color="auto" w:fill="auto"/>
            <w:noWrap/>
            <w:vAlign w:val="center"/>
            <w:hideMark/>
          </w:tcPr>
          <w:p w14:paraId="5D58C216"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36,6</w:t>
            </w:r>
          </w:p>
        </w:tc>
        <w:tc>
          <w:tcPr>
            <w:tcW w:w="1154" w:type="dxa"/>
            <w:tcBorders>
              <w:top w:val="nil"/>
              <w:left w:val="nil"/>
              <w:bottom w:val="single" w:sz="4" w:space="0" w:color="auto"/>
              <w:right w:val="single" w:sz="4" w:space="0" w:color="auto"/>
            </w:tcBorders>
            <w:shd w:val="clear" w:color="auto" w:fill="auto"/>
            <w:noWrap/>
            <w:vAlign w:val="center"/>
            <w:hideMark/>
          </w:tcPr>
          <w:p w14:paraId="311AAB3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6,8</w:t>
            </w:r>
          </w:p>
        </w:tc>
        <w:tc>
          <w:tcPr>
            <w:tcW w:w="1114" w:type="dxa"/>
            <w:tcBorders>
              <w:top w:val="nil"/>
              <w:left w:val="nil"/>
              <w:bottom w:val="single" w:sz="4" w:space="0" w:color="auto"/>
              <w:right w:val="single" w:sz="4" w:space="0" w:color="auto"/>
            </w:tcBorders>
            <w:shd w:val="clear" w:color="auto" w:fill="auto"/>
            <w:noWrap/>
            <w:vAlign w:val="center"/>
            <w:hideMark/>
          </w:tcPr>
          <w:p w14:paraId="67276C6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25,0</w:t>
            </w:r>
          </w:p>
        </w:tc>
        <w:tc>
          <w:tcPr>
            <w:tcW w:w="993" w:type="dxa"/>
            <w:tcBorders>
              <w:top w:val="nil"/>
              <w:left w:val="nil"/>
              <w:bottom w:val="single" w:sz="4" w:space="0" w:color="auto"/>
              <w:right w:val="single" w:sz="4" w:space="0" w:color="auto"/>
            </w:tcBorders>
            <w:shd w:val="clear" w:color="auto" w:fill="auto"/>
            <w:noWrap/>
            <w:vAlign w:val="center"/>
            <w:hideMark/>
          </w:tcPr>
          <w:p w14:paraId="6E762B7E"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4,3</w:t>
            </w:r>
          </w:p>
        </w:tc>
        <w:tc>
          <w:tcPr>
            <w:tcW w:w="963" w:type="dxa"/>
            <w:tcBorders>
              <w:top w:val="nil"/>
              <w:left w:val="nil"/>
              <w:bottom w:val="single" w:sz="4" w:space="0" w:color="auto"/>
              <w:right w:val="single" w:sz="8" w:space="0" w:color="auto"/>
            </w:tcBorders>
            <w:shd w:val="clear" w:color="auto" w:fill="auto"/>
            <w:noWrap/>
            <w:vAlign w:val="center"/>
            <w:hideMark/>
          </w:tcPr>
          <w:p w14:paraId="466F6195"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27,1</w:t>
            </w:r>
          </w:p>
        </w:tc>
      </w:tr>
      <w:tr w:rsidR="005912E7" w:rsidRPr="00CD57BE" w14:paraId="27783BB2"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14E012FA" w14:textId="77777777" w:rsidR="005912E7" w:rsidRPr="00CD57BE" w:rsidRDefault="005912E7" w:rsidP="005912E7">
            <w:pPr>
              <w:spacing w:after="0" w:line="240" w:lineRule="auto"/>
              <w:rPr>
                <w:rFonts w:cs="Arial"/>
                <w:sz w:val="16"/>
                <w:szCs w:val="16"/>
              </w:rPr>
            </w:pPr>
            <w:r w:rsidRPr="00CD57BE">
              <w:rPr>
                <w:rFonts w:cs="Arial"/>
                <w:sz w:val="16"/>
                <w:szCs w:val="16"/>
              </w:rPr>
              <w:t>250 a více zaměstnanců</w:t>
            </w:r>
          </w:p>
        </w:tc>
        <w:tc>
          <w:tcPr>
            <w:tcW w:w="709" w:type="dxa"/>
            <w:tcBorders>
              <w:top w:val="nil"/>
              <w:left w:val="nil"/>
              <w:bottom w:val="single" w:sz="4" w:space="0" w:color="auto"/>
              <w:right w:val="single" w:sz="4" w:space="0" w:color="auto"/>
            </w:tcBorders>
            <w:shd w:val="clear" w:color="auto" w:fill="auto"/>
            <w:noWrap/>
            <w:vAlign w:val="center"/>
            <w:hideMark/>
          </w:tcPr>
          <w:p w14:paraId="7344CB85"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97,5</w:t>
            </w:r>
          </w:p>
        </w:tc>
        <w:tc>
          <w:tcPr>
            <w:tcW w:w="708" w:type="dxa"/>
            <w:tcBorders>
              <w:top w:val="nil"/>
              <w:left w:val="nil"/>
              <w:bottom w:val="single" w:sz="4" w:space="0" w:color="auto"/>
              <w:right w:val="single" w:sz="4" w:space="0" w:color="auto"/>
            </w:tcBorders>
            <w:shd w:val="clear" w:color="auto" w:fill="auto"/>
            <w:noWrap/>
            <w:vAlign w:val="center"/>
            <w:hideMark/>
          </w:tcPr>
          <w:p w14:paraId="3140B131"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88,9</w:t>
            </w:r>
          </w:p>
        </w:tc>
        <w:tc>
          <w:tcPr>
            <w:tcW w:w="1134" w:type="dxa"/>
            <w:tcBorders>
              <w:top w:val="nil"/>
              <w:left w:val="nil"/>
              <w:bottom w:val="single" w:sz="4" w:space="0" w:color="auto"/>
              <w:right w:val="single" w:sz="4" w:space="0" w:color="auto"/>
            </w:tcBorders>
            <w:shd w:val="clear" w:color="auto" w:fill="auto"/>
            <w:noWrap/>
            <w:vAlign w:val="center"/>
            <w:hideMark/>
          </w:tcPr>
          <w:p w14:paraId="19DA72A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56,4</w:t>
            </w:r>
          </w:p>
        </w:tc>
        <w:tc>
          <w:tcPr>
            <w:tcW w:w="1154" w:type="dxa"/>
            <w:tcBorders>
              <w:top w:val="nil"/>
              <w:left w:val="nil"/>
              <w:bottom w:val="single" w:sz="4" w:space="0" w:color="auto"/>
              <w:right w:val="single" w:sz="4" w:space="0" w:color="auto"/>
            </w:tcBorders>
            <w:shd w:val="clear" w:color="auto" w:fill="auto"/>
            <w:noWrap/>
            <w:vAlign w:val="center"/>
            <w:hideMark/>
          </w:tcPr>
          <w:p w14:paraId="6C6D3FF1"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15,9</w:t>
            </w:r>
          </w:p>
        </w:tc>
        <w:tc>
          <w:tcPr>
            <w:tcW w:w="1114" w:type="dxa"/>
            <w:tcBorders>
              <w:top w:val="nil"/>
              <w:left w:val="nil"/>
              <w:bottom w:val="single" w:sz="4" w:space="0" w:color="auto"/>
              <w:right w:val="single" w:sz="4" w:space="0" w:color="auto"/>
            </w:tcBorders>
            <w:shd w:val="clear" w:color="auto" w:fill="auto"/>
            <w:noWrap/>
            <w:vAlign w:val="center"/>
            <w:hideMark/>
          </w:tcPr>
          <w:p w14:paraId="363AE12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45,9</w:t>
            </w:r>
          </w:p>
        </w:tc>
        <w:tc>
          <w:tcPr>
            <w:tcW w:w="993" w:type="dxa"/>
            <w:tcBorders>
              <w:top w:val="nil"/>
              <w:left w:val="nil"/>
              <w:bottom w:val="single" w:sz="4" w:space="0" w:color="auto"/>
              <w:right w:val="single" w:sz="4" w:space="0" w:color="auto"/>
            </w:tcBorders>
            <w:shd w:val="clear" w:color="auto" w:fill="auto"/>
            <w:noWrap/>
            <w:vAlign w:val="center"/>
            <w:hideMark/>
          </w:tcPr>
          <w:p w14:paraId="0BDBB470"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11,0</w:t>
            </w:r>
          </w:p>
        </w:tc>
        <w:tc>
          <w:tcPr>
            <w:tcW w:w="963" w:type="dxa"/>
            <w:tcBorders>
              <w:top w:val="nil"/>
              <w:left w:val="nil"/>
              <w:bottom w:val="single" w:sz="4" w:space="0" w:color="auto"/>
              <w:right w:val="single" w:sz="8" w:space="0" w:color="auto"/>
            </w:tcBorders>
            <w:shd w:val="clear" w:color="auto" w:fill="auto"/>
            <w:noWrap/>
            <w:vAlign w:val="center"/>
            <w:hideMark/>
          </w:tcPr>
          <w:p w14:paraId="06A5F36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55,5</w:t>
            </w:r>
          </w:p>
        </w:tc>
      </w:tr>
      <w:tr w:rsidR="005912E7" w:rsidRPr="00CD57BE" w14:paraId="18C5F089" w14:textId="77777777" w:rsidTr="005912E7">
        <w:trPr>
          <w:trHeight w:val="330"/>
          <w:jc w:val="center"/>
        </w:trPr>
        <w:tc>
          <w:tcPr>
            <w:tcW w:w="9884" w:type="dxa"/>
            <w:gridSpan w:val="8"/>
            <w:tcBorders>
              <w:top w:val="single" w:sz="4" w:space="0" w:color="auto"/>
              <w:left w:val="single" w:sz="8" w:space="0" w:color="auto"/>
              <w:bottom w:val="single" w:sz="4" w:space="0" w:color="auto"/>
              <w:right w:val="single" w:sz="8" w:space="0" w:color="000000"/>
            </w:tcBorders>
            <w:shd w:val="clear" w:color="auto" w:fill="DBE5F1" w:themeFill="accent1" w:themeFillTint="33"/>
            <w:vAlign w:val="center"/>
            <w:hideMark/>
          </w:tcPr>
          <w:p w14:paraId="4A96DDC0" w14:textId="3A487593" w:rsidR="005912E7" w:rsidRPr="00CD57BE" w:rsidRDefault="005912E7" w:rsidP="005912E7">
            <w:pPr>
              <w:spacing w:after="0" w:line="240" w:lineRule="auto"/>
              <w:rPr>
                <w:rFonts w:cs="Arial"/>
                <w:b/>
                <w:bCs/>
                <w:sz w:val="16"/>
                <w:szCs w:val="16"/>
              </w:rPr>
            </w:pPr>
            <w:r>
              <w:rPr>
                <w:rFonts w:cs="Arial"/>
                <w:b/>
                <w:bCs/>
                <w:sz w:val="16"/>
                <w:szCs w:val="16"/>
              </w:rPr>
              <w:t>podle vlastnictví</w:t>
            </w:r>
          </w:p>
        </w:tc>
      </w:tr>
      <w:tr w:rsidR="005912E7" w:rsidRPr="00CD57BE" w14:paraId="2BAEF8F5"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000000" w:fill="FFFFFF"/>
            <w:noWrap/>
            <w:vAlign w:val="center"/>
            <w:hideMark/>
          </w:tcPr>
          <w:p w14:paraId="7CA96CD1" w14:textId="53CA0385" w:rsidR="005912E7" w:rsidRPr="00CD57BE" w:rsidRDefault="005912E7" w:rsidP="005912E7">
            <w:pPr>
              <w:spacing w:after="0" w:line="240" w:lineRule="auto"/>
              <w:rPr>
                <w:rFonts w:cs="Arial"/>
                <w:sz w:val="16"/>
                <w:szCs w:val="16"/>
              </w:rPr>
            </w:pPr>
            <w:r>
              <w:rPr>
                <w:rFonts w:cs="Arial"/>
                <w:sz w:val="16"/>
                <w:szCs w:val="16"/>
              </w:rPr>
              <w:t>domácí podniky</w:t>
            </w:r>
          </w:p>
        </w:tc>
        <w:tc>
          <w:tcPr>
            <w:tcW w:w="709" w:type="dxa"/>
            <w:tcBorders>
              <w:top w:val="nil"/>
              <w:left w:val="nil"/>
              <w:bottom w:val="single" w:sz="4" w:space="0" w:color="auto"/>
              <w:right w:val="single" w:sz="4" w:space="0" w:color="auto"/>
            </w:tcBorders>
            <w:shd w:val="clear" w:color="auto" w:fill="auto"/>
            <w:noWrap/>
            <w:vAlign w:val="center"/>
            <w:hideMark/>
          </w:tcPr>
          <w:p w14:paraId="0AC07ED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81,5</w:t>
            </w:r>
          </w:p>
        </w:tc>
        <w:tc>
          <w:tcPr>
            <w:tcW w:w="708" w:type="dxa"/>
            <w:tcBorders>
              <w:top w:val="nil"/>
              <w:left w:val="nil"/>
              <w:bottom w:val="single" w:sz="4" w:space="0" w:color="auto"/>
              <w:right w:val="single" w:sz="4" w:space="0" w:color="auto"/>
            </w:tcBorders>
            <w:shd w:val="clear" w:color="auto" w:fill="auto"/>
            <w:noWrap/>
            <w:vAlign w:val="center"/>
            <w:hideMark/>
          </w:tcPr>
          <w:p w14:paraId="15CEF41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39,8</w:t>
            </w:r>
          </w:p>
        </w:tc>
        <w:tc>
          <w:tcPr>
            <w:tcW w:w="1134" w:type="dxa"/>
            <w:tcBorders>
              <w:top w:val="nil"/>
              <w:left w:val="nil"/>
              <w:bottom w:val="single" w:sz="4" w:space="0" w:color="auto"/>
              <w:right w:val="single" w:sz="4" w:space="0" w:color="auto"/>
            </w:tcBorders>
            <w:shd w:val="clear" w:color="auto" w:fill="auto"/>
            <w:noWrap/>
            <w:vAlign w:val="center"/>
            <w:hideMark/>
          </w:tcPr>
          <w:p w14:paraId="3F77FFF6"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23,3</w:t>
            </w:r>
          </w:p>
        </w:tc>
        <w:tc>
          <w:tcPr>
            <w:tcW w:w="1154" w:type="dxa"/>
            <w:tcBorders>
              <w:top w:val="nil"/>
              <w:left w:val="nil"/>
              <w:bottom w:val="single" w:sz="4" w:space="0" w:color="auto"/>
              <w:right w:val="single" w:sz="4" w:space="0" w:color="auto"/>
            </w:tcBorders>
            <w:shd w:val="clear" w:color="auto" w:fill="auto"/>
            <w:noWrap/>
            <w:vAlign w:val="center"/>
            <w:hideMark/>
          </w:tcPr>
          <w:p w14:paraId="79A34AC5"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3,3</w:t>
            </w:r>
          </w:p>
        </w:tc>
        <w:tc>
          <w:tcPr>
            <w:tcW w:w="1114" w:type="dxa"/>
            <w:tcBorders>
              <w:top w:val="nil"/>
              <w:left w:val="nil"/>
              <w:bottom w:val="single" w:sz="4" w:space="0" w:color="auto"/>
              <w:right w:val="single" w:sz="4" w:space="0" w:color="auto"/>
            </w:tcBorders>
            <w:shd w:val="clear" w:color="auto" w:fill="auto"/>
            <w:noWrap/>
            <w:vAlign w:val="center"/>
            <w:hideMark/>
          </w:tcPr>
          <w:p w14:paraId="08784F9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12,2</w:t>
            </w:r>
          </w:p>
        </w:tc>
        <w:tc>
          <w:tcPr>
            <w:tcW w:w="993" w:type="dxa"/>
            <w:tcBorders>
              <w:top w:val="nil"/>
              <w:left w:val="nil"/>
              <w:bottom w:val="single" w:sz="4" w:space="0" w:color="auto"/>
              <w:right w:val="single" w:sz="4" w:space="0" w:color="auto"/>
            </w:tcBorders>
            <w:shd w:val="clear" w:color="auto" w:fill="auto"/>
            <w:noWrap/>
            <w:vAlign w:val="center"/>
            <w:hideMark/>
          </w:tcPr>
          <w:p w14:paraId="0A914C0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2,0</w:t>
            </w:r>
          </w:p>
        </w:tc>
        <w:tc>
          <w:tcPr>
            <w:tcW w:w="963" w:type="dxa"/>
            <w:tcBorders>
              <w:top w:val="nil"/>
              <w:left w:val="nil"/>
              <w:bottom w:val="single" w:sz="4" w:space="0" w:color="auto"/>
              <w:right w:val="single" w:sz="8" w:space="0" w:color="auto"/>
            </w:tcBorders>
            <w:shd w:val="clear" w:color="auto" w:fill="auto"/>
            <w:noWrap/>
            <w:vAlign w:val="center"/>
            <w:hideMark/>
          </w:tcPr>
          <w:p w14:paraId="031DDCD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14,6</w:t>
            </w:r>
          </w:p>
        </w:tc>
      </w:tr>
      <w:tr w:rsidR="005912E7" w:rsidRPr="00CD57BE" w14:paraId="573E52E7"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000000" w:fill="FFFFFF"/>
            <w:noWrap/>
            <w:vAlign w:val="center"/>
            <w:hideMark/>
          </w:tcPr>
          <w:p w14:paraId="72918D58" w14:textId="5965B462" w:rsidR="005912E7" w:rsidRPr="00CD57BE" w:rsidRDefault="005912E7" w:rsidP="005912E7">
            <w:pPr>
              <w:spacing w:after="0" w:line="240" w:lineRule="auto"/>
              <w:rPr>
                <w:rFonts w:cs="Arial"/>
                <w:sz w:val="16"/>
                <w:szCs w:val="16"/>
              </w:rPr>
            </w:pPr>
            <w:r>
              <w:rPr>
                <w:rFonts w:cs="Arial"/>
                <w:sz w:val="16"/>
                <w:szCs w:val="16"/>
              </w:rPr>
              <w:t>podniky pod zahraniční kontrolou</w:t>
            </w:r>
          </w:p>
        </w:tc>
        <w:tc>
          <w:tcPr>
            <w:tcW w:w="709" w:type="dxa"/>
            <w:tcBorders>
              <w:top w:val="nil"/>
              <w:left w:val="nil"/>
              <w:bottom w:val="single" w:sz="4" w:space="0" w:color="auto"/>
              <w:right w:val="single" w:sz="4" w:space="0" w:color="auto"/>
            </w:tcBorders>
            <w:shd w:val="clear" w:color="auto" w:fill="auto"/>
            <w:noWrap/>
            <w:vAlign w:val="center"/>
            <w:hideMark/>
          </w:tcPr>
          <w:p w14:paraId="54E85E9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90,7</w:t>
            </w:r>
          </w:p>
        </w:tc>
        <w:tc>
          <w:tcPr>
            <w:tcW w:w="708" w:type="dxa"/>
            <w:tcBorders>
              <w:top w:val="nil"/>
              <w:left w:val="nil"/>
              <w:bottom w:val="single" w:sz="4" w:space="0" w:color="auto"/>
              <w:right w:val="single" w:sz="4" w:space="0" w:color="auto"/>
            </w:tcBorders>
            <w:shd w:val="clear" w:color="auto" w:fill="auto"/>
            <w:noWrap/>
            <w:vAlign w:val="center"/>
            <w:hideMark/>
          </w:tcPr>
          <w:p w14:paraId="7182410A"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70,9</w:t>
            </w:r>
          </w:p>
        </w:tc>
        <w:tc>
          <w:tcPr>
            <w:tcW w:w="1134" w:type="dxa"/>
            <w:tcBorders>
              <w:top w:val="nil"/>
              <w:left w:val="nil"/>
              <w:bottom w:val="single" w:sz="4" w:space="0" w:color="auto"/>
              <w:right w:val="single" w:sz="4" w:space="0" w:color="auto"/>
            </w:tcBorders>
            <w:shd w:val="clear" w:color="auto" w:fill="auto"/>
            <w:noWrap/>
            <w:vAlign w:val="center"/>
            <w:hideMark/>
          </w:tcPr>
          <w:p w14:paraId="2D06099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38,2</w:t>
            </w:r>
          </w:p>
        </w:tc>
        <w:tc>
          <w:tcPr>
            <w:tcW w:w="1154" w:type="dxa"/>
            <w:tcBorders>
              <w:top w:val="nil"/>
              <w:left w:val="nil"/>
              <w:bottom w:val="single" w:sz="4" w:space="0" w:color="auto"/>
              <w:right w:val="single" w:sz="4" w:space="0" w:color="auto"/>
            </w:tcBorders>
            <w:shd w:val="clear" w:color="auto" w:fill="auto"/>
            <w:noWrap/>
            <w:vAlign w:val="center"/>
            <w:hideMark/>
          </w:tcPr>
          <w:p w14:paraId="5BAA50C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8,7</w:t>
            </w:r>
          </w:p>
        </w:tc>
        <w:tc>
          <w:tcPr>
            <w:tcW w:w="1114" w:type="dxa"/>
            <w:tcBorders>
              <w:top w:val="nil"/>
              <w:left w:val="nil"/>
              <w:bottom w:val="single" w:sz="4" w:space="0" w:color="auto"/>
              <w:right w:val="single" w:sz="4" w:space="0" w:color="auto"/>
            </w:tcBorders>
            <w:shd w:val="clear" w:color="auto" w:fill="auto"/>
            <w:noWrap/>
            <w:vAlign w:val="center"/>
            <w:hideMark/>
          </w:tcPr>
          <w:p w14:paraId="2FEAA0B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30,1</w:t>
            </w:r>
          </w:p>
        </w:tc>
        <w:tc>
          <w:tcPr>
            <w:tcW w:w="993" w:type="dxa"/>
            <w:tcBorders>
              <w:top w:val="nil"/>
              <w:left w:val="nil"/>
              <w:bottom w:val="single" w:sz="4" w:space="0" w:color="auto"/>
              <w:right w:val="single" w:sz="4" w:space="0" w:color="auto"/>
            </w:tcBorders>
            <w:shd w:val="clear" w:color="auto" w:fill="auto"/>
            <w:noWrap/>
            <w:vAlign w:val="center"/>
            <w:hideMark/>
          </w:tcPr>
          <w:p w14:paraId="57254B73"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7,1</w:t>
            </w:r>
          </w:p>
        </w:tc>
        <w:tc>
          <w:tcPr>
            <w:tcW w:w="963" w:type="dxa"/>
            <w:tcBorders>
              <w:top w:val="nil"/>
              <w:left w:val="nil"/>
              <w:bottom w:val="single" w:sz="4" w:space="0" w:color="auto"/>
              <w:right w:val="single" w:sz="8" w:space="0" w:color="auto"/>
            </w:tcBorders>
            <w:shd w:val="clear" w:color="auto" w:fill="auto"/>
            <w:noWrap/>
            <w:vAlign w:val="center"/>
            <w:hideMark/>
          </w:tcPr>
          <w:p w14:paraId="4CCC5DF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41,1</w:t>
            </w:r>
          </w:p>
        </w:tc>
      </w:tr>
      <w:tr w:rsidR="005912E7" w:rsidRPr="00CD57BE" w14:paraId="3AC37C08" w14:textId="77777777" w:rsidTr="005912E7">
        <w:trPr>
          <w:trHeight w:val="300"/>
          <w:jc w:val="center"/>
        </w:trPr>
        <w:tc>
          <w:tcPr>
            <w:tcW w:w="9884" w:type="dxa"/>
            <w:gridSpan w:val="8"/>
            <w:tcBorders>
              <w:top w:val="single" w:sz="4" w:space="0" w:color="auto"/>
              <w:left w:val="single" w:sz="8" w:space="0" w:color="auto"/>
              <w:bottom w:val="single" w:sz="4" w:space="0" w:color="auto"/>
              <w:right w:val="single" w:sz="8" w:space="0" w:color="000000"/>
            </w:tcBorders>
            <w:shd w:val="clear" w:color="auto" w:fill="DBE5F1" w:themeFill="accent1" w:themeFillTint="33"/>
            <w:vAlign w:val="center"/>
            <w:hideMark/>
          </w:tcPr>
          <w:p w14:paraId="0CFF5744" w14:textId="11201BF7" w:rsidR="005912E7" w:rsidRPr="00CD57BE" w:rsidRDefault="005912E7" w:rsidP="00F476A4">
            <w:pPr>
              <w:spacing w:after="0" w:line="240" w:lineRule="auto"/>
              <w:rPr>
                <w:rFonts w:cs="Arial"/>
                <w:b/>
                <w:bCs/>
                <w:sz w:val="16"/>
                <w:szCs w:val="16"/>
              </w:rPr>
            </w:pPr>
            <w:r w:rsidRPr="00CD57BE">
              <w:rPr>
                <w:rFonts w:cs="Arial"/>
                <w:b/>
                <w:bCs/>
                <w:sz w:val="16"/>
                <w:szCs w:val="16"/>
              </w:rPr>
              <w:t xml:space="preserve">podle </w:t>
            </w:r>
            <w:r w:rsidR="00F476A4">
              <w:rPr>
                <w:rFonts w:cs="Arial"/>
                <w:b/>
                <w:bCs/>
                <w:sz w:val="16"/>
                <w:szCs w:val="16"/>
              </w:rPr>
              <w:t>odvětvové sekce (CZ-NACE)</w:t>
            </w:r>
          </w:p>
        </w:tc>
      </w:tr>
      <w:tr w:rsidR="005912E7" w:rsidRPr="00CD57BE" w14:paraId="76074DEE"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87A1ED0" w14:textId="0520394F"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P</w:t>
            </w:r>
            <w:r>
              <w:rPr>
                <w:rFonts w:cs="Arial"/>
                <w:color w:val="000000"/>
                <w:sz w:val="16"/>
                <w:szCs w:val="16"/>
              </w:rPr>
              <w:t>eněžnictví a pojišťovnictví</w:t>
            </w:r>
          </w:p>
        </w:tc>
        <w:tc>
          <w:tcPr>
            <w:tcW w:w="709" w:type="dxa"/>
            <w:tcBorders>
              <w:top w:val="nil"/>
              <w:left w:val="nil"/>
              <w:bottom w:val="single" w:sz="4" w:space="0" w:color="auto"/>
              <w:right w:val="single" w:sz="4" w:space="0" w:color="auto"/>
            </w:tcBorders>
            <w:shd w:val="clear" w:color="auto" w:fill="auto"/>
            <w:noWrap/>
            <w:vAlign w:val="center"/>
            <w:hideMark/>
          </w:tcPr>
          <w:p w14:paraId="7FFCFE94"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90,3</w:t>
            </w:r>
          </w:p>
        </w:tc>
        <w:tc>
          <w:tcPr>
            <w:tcW w:w="708" w:type="dxa"/>
            <w:tcBorders>
              <w:top w:val="nil"/>
              <w:left w:val="nil"/>
              <w:bottom w:val="single" w:sz="4" w:space="0" w:color="auto"/>
              <w:right w:val="single" w:sz="4" w:space="0" w:color="auto"/>
            </w:tcBorders>
            <w:shd w:val="clear" w:color="auto" w:fill="auto"/>
            <w:noWrap/>
            <w:vAlign w:val="center"/>
            <w:hideMark/>
          </w:tcPr>
          <w:p w14:paraId="27BF7F0F"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78,1</w:t>
            </w:r>
          </w:p>
        </w:tc>
        <w:tc>
          <w:tcPr>
            <w:tcW w:w="1134" w:type="dxa"/>
            <w:tcBorders>
              <w:top w:val="nil"/>
              <w:left w:val="nil"/>
              <w:bottom w:val="single" w:sz="4" w:space="0" w:color="auto"/>
              <w:right w:val="single" w:sz="4" w:space="0" w:color="auto"/>
            </w:tcBorders>
            <w:shd w:val="clear" w:color="auto" w:fill="auto"/>
            <w:noWrap/>
            <w:vAlign w:val="center"/>
            <w:hideMark/>
          </w:tcPr>
          <w:p w14:paraId="787A2FB2"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34,6</w:t>
            </w:r>
          </w:p>
        </w:tc>
        <w:tc>
          <w:tcPr>
            <w:tcW w:w="1154" w:type="dxa"/>
            <w:tcBorders>
              <w:top w:val="nil"/>
              <w:left w:val="nil"/>
              <w:bottom w:val="single" w:sz="4" w:space="0" w:color="auto"/>
              <w:right w:val="single" w:sz="4" w:space="0" w:color="auto"/>
            </w:tcBorders>
            <w:shd w:val="clear" w:color="auto" w:fill="auto"/>
            <w:noWrap/>
            <w:vAlign w:val="center"/>
            <w:hideMark/>
          </w:tcPr>
          <w:p w14:paraId="0284CA49" w14:textId="77777777" w:rsidR="005912E7" w:rsidRPr="00C06CCA" w:rsidRDefault="005912E7" w:rsidP="005912E7">
            <w:pPr>
              <w:spacing w:after="0" w:line="240" w:lineRule="auto"/>
              <w:jc w:val="right"/>
              <w:rPr>
                <w:rFonts w:cs="Arial"/>
                <w:b/>
                <w:color w:val="000000"/>
                <w:sz w:val="16"/>
                <w:szCs w:val="16"/>
              </w:rPr>
            </w:pPr>
            <w:r w:rsidRPr="00C06CCA">
              <w:rPr>
                <w:rFonts w:cs="Arial"/>
                <w:b/>
                <w:color w:val="00B050"/>
                <w:sz w:val="16"/>
                <w:szCs w:val="16"/>
              </w:rPr>
              <w:t>7,2</w:t>
            </w:r>
          </w:p>
        </w:tc>
        <w:tc>
          <w:tcPr>
            <w:tcW w:w="1114" w:type="dxa"/>
            <w:tcBorders>
              <w:top w:val="nil"/>
              <w:left w:val="nil"/>
              <w:bottom w:val="single" w:sz="4" w:space="0" w:color="auto"/>
              <w:right w:val="single" w:sz="4" w:space="0" w:color="auto"/>
            </w:tcBorders>
            <w:shd w:val="clear" w:color="auto" w:fill="auto"/>
            <w:noWrap/>
            <w:vAlign w:val="center"/>
            <w:hideMark/>
          </w:tcPr>
          <w:p w14:paraId="3B51077F" w14:textId="77777777" w:rsidR="005912E7" w:rsidRPr="009D6745" w:rsidRDefault="005912E7" w:rsidP="005912E7">
            <w:pPr>
              <w:spacing w:after="0" w:line="240" w:lineRule="auto"/>
              <w:jc w:val="right"/>
              <w:rPr>
                <w:rFonts w:cs="Arial"/>
                <w:b/>
                <w:color w:val="000000"/>
                <w:sz w:val="16"/>
                <w:szCs w:val="16"/>
              </w:rPr>
            </w:pPr>
            <w:r w:rsidRPr="009D6745">
              <w:rPr>
                <w:rFonts w:cs="Arial"/>
                <w:b/>
                <w:color w:val="00B050"/>
                <w:sz w:val="16"/>
                <w:szCs w:val="16"/>
              </w:rPr>
              <w:t>37,8</w:t>
            </w:r>
          </w:p>
        </w:tc>
        <w:tc>
          <w:tcPr>
            <w:tcW w:w="993" w:type="dxa"/>
            <w:tcBorders>
              <w:top w:val="nil"/>
              <w:left w:val="nil"/>
              <w:bottom w:val="single" w:sz="4" w:space="0" w:color="auto"/>
              <w:right w:val="single" w:sz="4" w:space="0" w:color="auto"/>
            </w:tcBorders>
            <w:shd w:val="clear" w:color="auto" w:fill="auto"/>
            <w:noWrap/>
            <w:vAlign w:val="center"/>
            <w:hideMark/>
          </w:tcPr>
          <w:p w14:paraId="2E9956BA"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2,6</w:t>
            </w:r>
          </w:p>
        </w:tc>
        <w:tc>
          <w:tcPr>
            <w:tcW w:w="963" w:type="dxa"/>
            <w:tcBorders>
              <w:top w:val="nil"/>
              <w:left w:val="nil"/>
              <w:bottom w:val="single" w:sz="4" w:space="0" w:color="auto"/>
              <w:right w:val="single" w:sz="8" w:space="0" w:color="auto"/>
            </w:tcBorders>
            <w:shd w:val="clear" w:color="auto" w:fill="auto"/>
            <w:noWrap/>
            <w:vAlign w:val="center"/>
            <w:hideMark/>
          </w:tcPr>
          <w:p w14:paraId="4BA0E1E8" w14:textId="77777777" w:rsidR="005912E7" w:rsidRPr="009D6745" w:rsidRDefault="005912E7" w:rsidP="005912E7">
            <w:pPr>
              <w:spacing w:after="0" w:line="240" w:lineRule="auto"/>
              <w:jc w:val="right"/>
              <w:rPr>
                <w:rFonts w:cs="Arial"/>
                <w:b/>
                <w:color w:val="000000"/>
                <w:sz w:val="16"/>
                <w:szCs w:val="16"/>
              </w:rPr>
            </w:pPr>
            <w:r w:rsidRPr="009D6745">
              <w:rPr>
                <w:rFonts w:cs="Arial"/>
                <w:b/>
                <w:color w:val="00B050"/>
                <w:sz w:val="16"/>
                <w:szCs w:val="16"/>
              </w:rPr>
              <w:t>50,5</w:t>
            </w:r>
          </w:p>
        </w:tc>
      </w:tr>
      <w:tr w:rsidR="005912E7" w:rsidRPr="00CD57BE" w14:paraId="456800FD"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11459CB3" w14:textId="0C7E342B"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Infor</w:t>
            </w:r>
            <w:r>
              <w:rPr>
                <w:rFonts w:cs="Arial"/>
                <w:color w:val="000000"/>
                <w:sz w:val="16"/>
                <w:szCs w:val="16"/>
              </w:rPr>
              <w:t>mační a komunikační činnosti</w:t>
            </w:r>
          </w:p>
        </w:tc>
        <w:tc>
          <w:tcPr>
            <w:tcW w:w="709" w:type="dxa"/>
            <w:tcBorders>
              <w:top w:val="nil"/>
              <w:left w:val="nil"/>
              <w:bottom w:val="single" w:sz="4" w:space="0" w:color="auto"/>
              <w:right w:val="single" w:sz="4" w:space="0" w:color="auto"/>
            </w:tcBorders>
            <w:shd w:val="clear" w:color="auto" w:fill="auto"/>
            <w:noWrap/>
            <w:vAlign w:val="center"/>
            <w:hideMark/>
          </w:tcPr>
          <w:p w14:paraId="36992E9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82,1</w:t>
            </w:r>
          </w:p>
        </w:tc>
        <w:tc>
          <w:tcPr>
            <w:tcW w:w="708" w:type="dxa"/>
            <w:tcBorders>
              <w:top w:val="nil"/>
              <w:left w:val="nil"/>
              <w:bottom w:val="single" w:sz="4" w:space="0" w:color="auto"/>
              <w:right w:val="single" w:sz="4" w:space="0" w:color="auto"/>
            </w:tcBorders>
            <w:shd w:val="clear" w:color="auto" w:fill="auto"/>
            <w:noWrap/>
            <w:vAlign w:val="center"/>
            <w:hideMark/>
          </w:tcPr>
          <w:p w14:paraId="2D9DD743" w14:textId="77777777" w:rsidR="005912E7" w:rsidRPr="009D6745" w:rsidRDefault="005912E7" w:rsidP="005912E7">
            <w:pPr>
              <w:spacing w:after="0" w:line="240" w:lineRule="auto"/>
              <w:jc w:val="right"/>
              <w:rPr>
                <w:rFonts w:cs="Arial"/>
                <w:b/>
                <w:color w:val="000000"/>
                <w:sz w:val="16"/>
                <w:szCs w:val="16"/>
              </w:rPr>
            </w:pPr>
            <w:r w:rsidRPr="009D6745">
              <w:rPr>
                <w:rFonts w:cs="Arial"/>
                <w:b/>
                <w:color w:val="00B050"/>
                <w:sz w:val="16"/>
                <w:szCs w:val="16"/>
              </w:rPr>
              <w:t>73,7</w:t>
            </w:r>
          </w:p>
        </w:tc>
        <w:tc>
          <w:tcPr>
            <w:tcW w:w="1134" w:type="dxa"/>
            <w:tcBorders>
              <w:top w:val="nil"/>
              <w:left w:val="nil"/>
              <w:bottom w:val="single" w:sz="4" w:space="0" w:color="auto"/>
              <w:right w:val="single" w:sz="4" w:space="0" w:color="auto"/>
            </w:tcBorders>
            <w:shd w:val="clear" w:color="auto" w:fill="auto"/>
            <w:noWrap/>
            <w:vAlign w:val="center"/>
            <w:hideMark/>
          </w:tcPr>
          <w:p w14:paraId="1B57EED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32,0</w:t>
            </w:r>
          </w:p>
        </w:tc>
        <w:tc>
          <w:tcPr>
            <w:tcW w:w="1154" w:type="dxa"/>
            <w:tcBorders>
              <w:top w:val="nil"/>
              <w:left w:val="nil"/>
              <w:bottom w:val="single" w:sz="4" w:space="0" w:color="auto"/>
              <w:right w:val="single" w:sz="4" w:space="0" w:color="auto"/>
            </w:tcBorders>
            <w:shd w:val="clear" w:color="auto" w:fill="auto"/>
            <w:noWrap/>
            <w:vAlign w:val="center"/>
            <w:hideMark/>
          </w:tcPr>
          <w:p w14:paraId="1772B59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5,3</w:t>
            </w:r>
          </w:p>
        </w:tc>
        <w:tc>
          <w:tcPr>
            <w:tcW w:w="1114" w:type="dxa"/>
            <w:tcBorders>
              <w:top w:val="nil"/>
              <w:left w:val="nil"/>
              <w:bottom w:val="single" w:sz="4" w:space="0" w:color="auto"/>
              <w:right w:val="single" w:sz="4" w:space="0" w:color="auto"/>
            </w:tcBorders>
            <w:shd w:val="clear" w:color="auto" w:fill="auto"/>
            <w:noWrap/>
            <w:vAlign w:val="center"/>
            <w:hideMark/>
          </w:tcPr>
          <w:p w14:paraId="26ACB1D4"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40,2</w:t>
            </w:r>
          </w:p>
        </w:tc>
        <w:tc>
          <w:tcPr>
            <w:tcW w:w="993" w:type="dxa"/>
            <w:tcBorders>
              <w:top w:val="nil"/>
              <w:left w:val="nil"/>
              <w:bottom w:val="single" w:sz="4" w:space="0" w:color="auto"/>
              <w:right w:val="single" w:sz="4" w:space="0" w:color="auto"/>
            </w:tcBorders>
            <w:shd w:val="clear" w:color="auto" w:fill="auto"/>
            <w:noWrap/>
            <w:vAlign w:val="center"/>
            <w:hideMark/>
          </w:tcPr>
          <w:p w14:paraId="4A2EDB4C"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5,1</w:t>
            </w:r>
          </w:p>
        </w:tc>
        <w:tc>
          <w:tcPr>
            <w:tcW w:w="963" w:type="dxa"/>
            <w:tcBorders>
              <w:top w:val="nil"/>
              <w:left w:val="nil"/>
              <w:bottom w:val="single" w:sz="4" w:space="0" w:color="auto"/>
              <w:right w:val="single" w:sz="8" w:space="0" w:color="auto"/>
            </w:tcBorders>
            <w:shd w:val="clear" w:color="auto" w:fill="auto"/>
            <w:noWrap/>
            <w:vAlign w:val="center"/>
            <w:hideMark/>
          </w:tcPr>
          <w:p w14:paraId="029FBED1" w14:textId="77777777" w:rsidR="005912E7" w:rsidRPr="00C06CCA" w:rsidRDefault="005912E7" w:rsidP="005912E7">
            <w:pPr>
              <w:spacing w:after="0" w:line="240" w:lineRule="auto"/>
              <w:jc w:val="right"/>
              <w:rPr>
                <w:rFonts w:cs="Arial"/>
                <w:b/>
                <w:color w:val="00B050"/>
                <w:sz w:val="16"/>
                <w:szCs w:val="16"/>
              </w:rPr>
            </w:pPr>
            <w:r w:rsidRPr="00C06CCA">
              <w:rPr>
                <w:rFonts w:cs="Arial"/>
                <w:b/>
                <w:color w:val="00B050"/>
                <w:sz w:val="16"/>
                <w:szCs w:val="16"/>
              </w:rPr>
              <w:t>51,9</w:t>
            </w:r>
          </w:p>
        </w:tc>
      </w:tr>
      <w:tr w:rsidR="005912E7" w:rsidRPr="00CD57BE" w14:paraId="64733EA6" w14:textId="77777777" w:rsidTr="005912E7">
        <w:trPr>
          <w:trHeight w:val="285"/>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1FAB212" w14:textId="54D7D905"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Profesní, </w:t>
            </w:r>
            <w:r>
              <w:rPr>
                <w:rFonts w:cs="Arial"/>
                <w:color w:val="000000"/>
                <w:sz w:val="16"/>
                <w:szCs w:val="16"/>
              </w:rPr>
              <w:t>vědecké a technické činnosti</w:t>
            </w:r>
          </w:p>
        </w:tc>
        <w:tc>
          <w:tcPr>
            <w:tcW w:w="709" w:type="dxa"/>
            <w:tcBorders>
              <w:top w:val="nil"/>
              <w:left w:val="nil"/>
              <w:bottom w:val="single" w:sz="4" w:space="0" w:color="auto"/>
              <w:right w:val="single" w:sz="4" w:space="0" w:color="auto"/>
            </w:tcBorders>
            <w:shd w:val="clear" w:color="auto" w:fill="auto"/>
            <w:noWrap/>
            <w:vAlign w:val="center"/>
            <w:hideMark/>
          </w:tcPr>
          <w:p w14:paraId="498E23F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82,9</w:t>
            </w:r>
          </w:p>
        </w:tc>
        <w:tc>
          <w:tcPr>
            <w:tcW w:w="708" w:type="dxa"/>
            <w:tcBorders>
              <w:top w:val="nil"/>
              <w:left w:val="nil"/>
              <w:bottom w:val="single" w:sz="4" w:space="0" w:color="auto"/>
              <w:right w:val="single" w:sz="4" w:space="0" w:color="auto"/>
            </w:tcBorders>
            <w:shd w:val="clear" w:color="auto" w:fill="auto"/>
            <w:noWrap/>
            <w:vAlign w:val="center"/>
            <w:hideMark/>
          </w:tcPr>
          <w:p w14:paraId="6D05D8B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61,2</w:t>
            </w:r>
          </w:p>
        </w:tc>
        <w:tc>
          <w:tcPr>
            <w:tcW w:w="1134" w:type="dxa"/>
            <w:tcBorders>
              <w:top w:val="nil"/>
              <w:left w:val="nil"/>
              <w:bottom w:val="single" w:sz="4" w:space="0" w:color="auto"/>
              <w:right w:val="single" w:sz="4" w:space="0" w:color="auto"/>
            </w:tcBorders>
            <w:shd w:val="clear" w:color="auto" w:fill="auto"/>
            <w:noWrap/>
            <w:vAlign w:val="center"/>
            <w:hideMark/>
          </w:tcPr>
          <w:p w14:paraId="14581AEF" w14:textId="77777777" w:rsidR="005912E7" w:rsidRPr="00C06CCA" w:rsidRDefault="005912E7" w:rsidP="005912E7">
            <w:pPr>
              <w:spacing w:after="0" w:line="240" w:lineRule="auto"/>
              <w:jc w:val="right"/>
              <w:rPr>
                <w:rFonts w:cs="Arial"/>
                <w:b/>
                <w:color w:val="FF0000"/>
                <w:sz w:val="16"/>
                <w:szCs w:val="16"/>
              </w:rPr>
            </w:pPr>
            <w:r w:rsidRPr="00C06CCA">
              <w:rPr>
                <w:rFonts w:cs="Arial"/>
                <w:b/>
                <w:color w:val="FF0000"/>
                <w:sz w:val="16"/>
                <w:szCs w:val="16"/>
              </w:rPr>
              <w:t>17,6</w:t>
            </w:r>
          </w:p>
        </w:tc>
        <w:tc>
          <w:tcPr>
            <w:tcW w:w="1154" w:type="dxa"/>
            <w:tcBorders>
              <w:top w:val="nil"/>
              <w:left w:val="nil"/>
              <w:bottom w:val="single" w:sz="4" w:space="0" w:color="auto"/>
              <w:right w:val="single" w:sz="4" w:space="0" w:color="auto"/>
            </w:tcBorders>
            <w:shd w:val="clear" w:color="auto" w:fill="auto"/>
            <w:noWrap/>
            <w:vAlign w:val="center"/>
            <w:hideMark/>
          </w:tcPr>
          <w:p w14:paraId="130E01B1"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2,7</w:t>
            </w:r>
          </w:p>
        </w:tc>
        <w:tc>
          <w:tcPr>
            <w:tcW w:w="1114" w:type="dxa"/>
            <w:tcBorders>
              <w:top w:val="nil"/>
              <w:left w:val="nil"/>
              <w:bottom w:val="single" w:sz="4" w:space="0" w:color="auto"/>
              <w:right w:val="single" w:sz="4" w:space="0" w:color="auto"/>
            </w:tcBorders>
            <w:shd w:val="clear" w:color="auto" w:fill="auto"/>
            <w:noWrap/>
            <w:vAlign w:val="center"/>
            <w:hideMark/>
          </w:tcPr>
          <w:p w14:paraId="1B63A5F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29,7</w:t>
            </w:r>
          </w:p>
        </w:tc>
        <w:tc>
          <w:tcPr>
            <w:tcW w:w="993" w:type="dxa"/>
            <w:tcBorders>
              <w:top w:val="nil"/>
              <w:left w:val="nil"/>
              <w:bottom w:val="single" w:sz="4" w:space="0" w:color="auto"/>
              <w:right w:val="single" w:sz="4" w:space="0" w:color="auto"/>
            </w:tcBorders>
            <w:shd w:val="clear" w:color="auto" w:fill="auto"/>
            <w:noWrap/>
            <w:vAlign w:val="center"/>
            <w:hideMark/>
          </w:tcPr>
          <w:p w14:paraId="58E3A7B6"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2,3</w:t>
            </w:r>
          </w:p>
        </w:tc>
        <w:tc>
          <w:tcPr>
            <w:tcW w:w="963" w:type="dxa"/>
            <w:tcBorders>
              <w:top w:val="nil"/>
              <w:left w:val="nil"/>
              <w:bottom w:val="single" w:sz="4" w:space="0" w:color="auto"/>
              <w:right w:val="single" w:sz="8" w:space="0" w:color="auto"/>
            </w:tcBorders>
            <w:shd w:val="clear" w:color="auto" w:fill="auto"/>
            <w:noWrap/>
            <w:vAlign w:val="center"/>
            <w:hideMark/>
          </w:tcPr>
          <w:p w14:paraId="30A5D1E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27,2</w:t>
            </w:r>
          </w:p>
        </w:tc>
      </w:tr>
      <w:tr w:rsidR="005912E7" w:rsidRPr="00CD57BE" w14:paraId="12696DF9" w14:textId="77777777" w:rsidTr="005912E7">
        <w:trPr>
          <w:trHeight w:val="300"/>
          <w:jc w:val="center"/>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34374012" w14:textId="31550DD5" w:rsidR="005912E7" w:rsidRPr="00CD57BE" w:rsidRDefault="005912E7" w:rsidP="005912E7">
            <w:pPr>
              <w:spacing w:after="0" w:line="240" w:lineRule="auto"/>
              <w:rPr>
                <w:rFonts w:cs="Arial"/>
                <w:color w:val="000000"/>
                <w:sz w:val="16"/>
                <w:szCs w:val="16"/>
              </w:rPr>
            </w:pPr>
            <w:r>
              <w:rPr>
                <w:rFonts w:cs="Arial"/>
                <w:color w:val="000000"/>
                <w:sz w:val="16"/>
                <w:szCs w:val="16"/>
              </w:rPr>
              <w:t xml:space="preserve"> Průmysl</w:t>
            </w:r>
          </w:p>
        </w:tc>
        <w:tc>
          <w:tcPr>
            <w:tcW w:w="709" w:type="dxa"/>
            <w:tcBorders>
              <w:top w:val="nil"/>
              <w:left w:val="nil"/>
              <w:bottom w:val="single" w:sz="4" w:space="0" w:color="auto"/>
              <w:right w:val="single" w:sz="4" w:space="0" w:color="auto"/>
            </w:tcBorders>
            <w:shd w:val="clear" w:color="auto" w:fill="auto"/>
            <w:noWrap/>
            <w:vAlign w:val="center"/>
            <w:hideMark/>
          </w:tcPr>
          <w:p w14:paraId="46A1BD3E"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86,6</w:t>
            </w:r>
          </w:p>
        </w:tc>
        <w:tc>
          <w:tcPr>
            <w:tcW w:w="708" w:type="dxa"/>
            <w:tcBorders>
              <w:top w:val="nil"/>
              <w:left w:val="nil"/>
              <w:bottom w:val="single" w:sz="4" w:space="0" w:color="auto"/>
              <w:right w:val="single" w:sz="4" w:space="0" w:color="auto"/>
            </w:tcBorders>
            <w:shd w:val="clear" w:color="auto" w:fill="auto"/>
            <w:noWrap/>
            <w:vAlign w:val="center"/>
            <w:hideMark/>
          </w:tcPr>
          <w:p w14:paraId="45E5D10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50,3</w:t>
            </w:r>
          </w:p>
        </w:tc>
        <w:tc>
          <w:tcPr>
            <w:tcW w:w="1134" w:type="dxa"/>
            <w:tcBorders>
              <w:top w:val="nil"/>
              <w:left w:val="nil"/>
              <w:bottom w:val="single" w:sz="4" w:space="0" w:color="auto"/>
              <w:right w:val="single" w:sz="4" w:space="0" w:color="auto"/>
            </w:tcBorders>
            <w:shd w:val="clear" w:color="auto" w:fill="auto"/>
            <w:noWrap/>
            <w:vAlign w:val="center"/>
            <w:hideMark/>
          </w:tcPr>
          <w:p w14:paraId="1C91141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31,4</w:t>
            </w:r>
          </w:p>
        </w:tc>
        <w:tc>
          <w:tcPr>
            <w:tcW w:w="1154" w:type="dxa"/>
            <w:tcBorders>
              <w:top w:val="nil"/>
              <w:left w:val="nil"/>
              <w:bottom w:val="single" w:sz="4" w:space="0" w:color="auto"/>
              <w:right w:val="single" w:sz="4" w:space="0" w:color="auto"/>
            </w:tcBorders>
            <w:shd w:val="clear" w:color="auto" w:fill="auto"/>
            <w:noWrap/>
            <w:vAlign w:val="center"/>
            <w:hideMark/>
          </w:tcPr>
          <w:p w14:paraId="04BDB88A"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6,3</w:t>
            </w:r>
          </w:p>
        </w:tc>
        <w:tc>
          <w:tcPr>
            <w:tcW w:w="1114" w:type="dxa"/>
            <w:tcBorders>
              <w:top w:val="nil"/>
              <w:left w:val="nil"/>
              <w:bottom w:val="single" w:sz="4" w:space="0" w:color="auto"/>
              <w:right w:val="single" w:sz="4" w:space="0" w:color="auto"/>
            </w:tcBorders>
            <w:shd w:val="clear" w:color="auto" w:fill="auto"/>
            <w:noWrap/>
            <w:vAlign w:val="center"/>
            <w:hideMark/>
          </w:tcPr>
          <w:p w14:paraId="7D5D405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15,6</w:t>
            </w:r>
          </w:p>
        </w:tc>
        <w:tc>
          <w:tcPr>
            <w:tcW w:w="993" w:type="dxa"/>
            <w:tcBorders>
              <w:top w:val="nil"/>
              <w:left w:val="nil"/>
              <w:bottom w:val="single" w:sz="4" w:space="0" w:color="auto"/>
              <w:right w:val="single" w:sz="4" w:space="0" w:color="auto"/>
            </w:tcBorders>
            <w:shd w:val="clear" w:color="auto" w:fill="auto"/>
            <w:noWrap/>
            <w:vAlign w:val="center"/>
            <w:hideMark/>
          </w:tcPr>
          <w:p w14:paraId="7D7A9BB3"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4,4</w:t>
            </w:r>
          </w:p>
        </w:tc>
        <w:tc>
          <w:tcPr>
            <w:tcW w:w="963" w:type="dxa"/>
            <w:tcBorders>
              <w:top w:val="nil"/>
              <w:left w:val="nil"/>
              <w:bottom w:val="single" w:sz="4" w:space="0" w:color="auto"/>
              <w:right w:val="single" w:sz="8" w:space="0" w:color="auto"/>
            </w:tcBorders>
            <w:shd w:val="clear" w:color="auto" w:fill="auto"/>
            <w:noWrap/>
            <w:vAlign w:val="center"/>
            <w:hideMark/>
          </w:tcPr>
          <w:p w14:paraId="63B42E8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17,6</w:t>
            </w:r>
          </w:p>
        </w:tc>
      </w:tr>
      <w:tr w:rsidR="005912E7" w:rsidRPr="00CD57BE" w14:paraId="79E0E7AB" w14:textId="77777777" w:rsidTr="005912E7">
        <w:trPr>
          <w:trHeight w:val="301"/>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1ACB223" w14:textId="5D98537D"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w:t>
            </w:r>
            <w:r>
              <w:rPr>
                <w:rFonts w:cs="Arial"/>
                <w:color w:val="000000"/>
                <w:sz w:val="16"/>
                <w:szCs w:val="16"/>
              </w:rPr>
              <w:t>Obchod</w:t>
            </w:r>
            <w:r w:rsidRPr="00CD57BE">
              <w:rPr>
                <w:rFonts w:cs="Arial"/>
                <w:color w:val="000000"/>
                <w:sz w:val="16"/>
                <w:szCs w:val="16"/>
              </w:rPr>
              <w:t xml:space="preserve">; opravy </w:t>
            </w:r>
            <w:r>
              <w:rPr>
                <w:rFonts w:cs="Arial"/>
                <w:color w:val="000000"/>
                <w:sz w:val="16"/>
                <w:szCs w:val="16"/>
              </w:rPr>
              <w:t>motorových vozidel</w:t>
            </w:r>
          </w:p>
        </w:tc>
        <w:tc>
          <w:tcPr>
            <w:tcW w:w="709" w:type="dxa"/>
            <w:tcBorders>
              <w:top w:val="nil"/>
              <w:left w:val="nil"/>
              <w:bottom w:val="single" w:sz="4" w:space="0" w:color="auto"/>
              <w:right w:val="single" w:sz="4" w:space="0" w:color="auto"/>
            </w:tcBorders>
            <w:shd w:val="clear" w:color="auto" w:fill="auto"/>
            <w:noWrap/>
            <w:vAlign w:val="center"/>
            <w:hideMark/>
          </w:tcPr>
          <w:p w14:paraId="093AC9E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84,3</w:t>
            </w:r>
          </w:p>
        </w:tc>
        <w:tc>
          <w:tcPr>
            <w:tcW w:w="708" w:type="dxa"/>
            <w:tcBorders>
              <w:top w:val="nil"/>
              <w:left w:val="nil"/>
              <w:bottom w:val="single" w:sz="4" w:space="0" w:color="auto"/>
              <w:right w:val="single" w:sz="4" w:space="0" w:color="auto"/>
            </w:tcBorders>
            <w:shd w:val="clear" w:color="auto" w:fill="auto"/>
            <w:noWrap/>
            <w:vAlign w:val="center"/>
            <w:hideMark/>
          </w:tcPr>
          <w:p w14:paraId="2F6046A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44,0</w:t>
            </w:r>
          </w:p>
        </w:tc>
        <w:tc>
          <w:tcPr>
            <w:tcW w:w="1134" w:type="dxa"/>
            <w:tcBorders>
              <w:top w:val="nil"/>
              <w:left w:val="nil"/>
              <w:bottom w:val="single" w:sz="4" w:space="0" w:color="auto"/>
              <w:right w:val="single" w:sz="4" w:space="0" w:color="auto"/>
            </w:tcBorders>
            <w:shd w:val="clear" w:color="auto" w:fill="auto"/>
            <w:noWrap/>
            <w:vAlign w:val="center"/>
            <w:hideMark/>
          </w:tcPr>
          <w:p w14:paraId="1B838D86"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25,3</w:t>
            </w:r>
          </w:p>
        </w:tc>
        <w:tc>
          <w:tcPr>
            <w:tcW w:w="1154" w:type="dxa"/>
            <w:tcBorders>
              <w:top w:val="nil"/>
              <w:left w:val="nil"/>
              <w:bottom w:val="single" w:sz="4" w:space="0" w:color="auto"/>
              <w:right w:val="single" w:sz="4" w:space="0" w:color="auto"/>
            </w:tcBorders>
            <w:shd w:val="clear" w:color="auto" w:fill="auto"/>
            <w:noWrap/>
            <w:vAlign w:val="center"/>
            <w:hideMark/>
          </w:tcPr>
          <w:p w14:paraId="20D91623"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3,5</w:t>
            </w:r>
          </w:p>
        </w:tc>
        <w:tc>
          <w:tcPr>
            <w:tcW w:w="1114" w:type="dxa"/>
            <w:tcBorders>
              <w:top w:val="nil"/>
              <w:left w:val="nil"/>
              <w:bottom w:val="single" w:sz="4" w:space="0" w:color="auto"/>
              <w:right w:val="single" w:sz="4" w:space="0" w:color="auto"/>
            </w:tcBorders>
            <w:shd w:val="clear" w:color="auto" w:fill="auto"/>
            <w:noWrap/>
            <w:vAlign w:val="center"/>
            <w:hideMark/>
          </w:tcPr>
          <w:p w14:paraId="433308FE"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14,8</w:t>
            </w:r>
          </w:p>
        </w:tc>
        <w:tc>
          <w:tcPr>
            <w:tcW w:w="993" w:type="dxa"/>
            <w:tcBorders>
              <w:top w:val="nil"/>
              <w:left w:val="nil"/>
              <w:bottom w:val="single" w:sz="4" w:space="0" w:color="auto"/>
              <w:right w:val="single" w:sz="4" w:space="0" w:color="auto"/>
            </w:tcBorders>
            <w:shd w:val="clear" w:color="auto" w:fill="auto"/>
            <w:noWrap/>
            <w:vAlign w:val="center"/>
            <w:hideMark/>
          </w:tcPr>
          <w:p w14:paraId="17ECCEA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2,2</w:t>
            </w:r>
          </w:p>
        </w:tc>
        <w:tc>
          <w:tcPr>
            <w:tcW w:w="963" w:type="dxa"/>
            <w:tcBorders>
              <w:top w:val="nil"/>
              <w:left w:val="nil"/>
              <w:bottom w:val="single" w:sz="4" w:space="0" w:color="auto"/>
              <w:right w:val="single" w:sz="8" w:space="0" w:color="auto"/>
            </w:tcBorders>
            <w:shd w:val="clear" w:color="auto" w:fill="auto"/>
            <w:noWrap/>
            <w:vAlign w:val="center"/>
            <w:hideMark/>
          </w:tcPr>
          <w:p w14:paraId="72C13A2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22,3</w:t>
            </w:r>
          </w:p>
        </w:tc>
      </w:tr>
      <w:tr w:rsidR="005912E7" w:rsidRPr="00CD57BE" w14:paraId="14F1FEAC" w14:textId="77777777" w:rsidTr="005912E7">
        <w:trPr>
          <w:trHeight w:val="450"/>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42494EA" w14:textId="06BF78B3"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Kulturní, zábavní a rekreační </w:t>
            </w:r>
            <w:r>
              <w:rPr>
                <w:rFonts w:cs="Arial"/>
                <w:color w:val="000000"/>
                <w:sz w:val="16"/>
                <w:szCs w:val="16"/>
              </w:rPr>
              <w:t>činnosti a ostatní činnosti</w:t>
            </w:r>
          </w:p>
        </w:tc>
        <w:tc>
          <w:tcPr>
            <w:tcW w:w="709" w:type="dxa"/>
            <w:tcBorders>
              <w:top w:val="nil"/>
              <w:left w:val="nil"/>
              <w:bottom w:val="single" w:sz="4" w:space="0" w:color="auto"/>
              <w:right w:val="single" w:sz="4" w:space="0" w:color="auto"/>
            </w:tcBorders>
            <w:shd w:val="clear" w:color="auto" w:fill="auto"/>
            <w:noWrap/>
            <w:vAlign w:val="center"/>
            <w:hideMark/>
          </w:tcPr>
          <w:p w14:paraId="4A71B058"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74,2</w:t>
            </w:r>
          </w:p>
        </w:tc>
        <w:tc>
          <w:tcPr>
            <w:tcW w:w="708" w:type="dxa"/>
            <w:tcBorders>
              <w:top w:val="nil"/>
              <w:left w:val="nil"/>
              <w:bottom w:val="single" w:sz="4" w:space="0" w:color="auto"/>
              <w:right w:val="single" w:sz="4" w:space="0" w:color="auto"/>
            </w:tcBorders>
            <w:shd w:val="clear" w:color="auto" w:fill="auto"/>
            <w:noWrap/>
            <w:vAlign w:val="center"/>
            <w:hideMark/>
          </w:tcPr>
          <w:p w14:paraId="068709E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36,0</w:t>
            </w:r>
          </w:p>
        </w:tc>
        <w:tc>
          <w:tcPr>
            <w:tcW w:w="1134" w:type="dxa"/>
            <w:tcBorders>
              <w:top w:val="nil"/>
              <w:left w:val="nil"/>
              <w:bottom w:val="single" w:sz="4" w:space="0" w:color="auto"/>
              <w:right w:val="single" w:sz="4" w:space="0" w:color="auto"/>
            </w:tcBorders>
            <w:shd w:val="clear" w:color="auto" w:fill="auto"/>
            <w:noWrap/>
            <w:vAlign w:val="center"/>
            <w:hideMark/>
          </w:tcPr>
          <w:p w14:paraId="0594501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19,3</w:t>
            </w:r>
          </w:p>
        </w:tc>
        <w:tc>
          <w:tcPr>
            <w:tcW w:w="1154" w:type="dxa"/>
            <w:tcBorders>
              <w:top w:val="nil"/>
              <w:left w:val="nil"/>
              <w:bottom w:val="single" w:sz="4" w:space="0" w:color="auto"/>
              <w:right w:val="single" w:sz="4" w:space="0" w:color="auto"/>
            </w:tcBorders>
            <w:shd w:val="clear" w:color="auto" w:fill="auto"/>
            <w:noWrap/>
            <w:vAlign w:val="center"/>
            <w:hideMark/>
          </w:tcPr>
          <w:p w14:paraId="25D071E5"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2,9</w:t>
            </w:r>
          </w:p>
        </w:tc>
        <w:tc>
          <w:tcPr>
            <w:tcW w:w="1114" w:type="dxa"/>
            <w:tcBorders>
              <w:top w:val="nil"/>
              <w:left w:val="nil"/>
              <w:bottom w:val="single" w:sz="4" w:space="0" w:color="auto"/>
              <w:right w:val="single" w:sz="4" w:space="0" w:color="auto"/>
            </w:tcBorders>
            <w:shd w:val="clear" w:color="auto" w:fill="auto"/>
            <w:noWrap/>
            <w:vAlign w:val="center"/>
            <w:hideMark/>
          </w:tcPr>
          <w:p w14:paraId="48AE303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6,6</w:t>
            </w:r>
          </w:p>
        </w:tc>
        <w:tc>
          <w:tcPr>
            <w:tcW w:w="993" w:type="dxa"/>
            <w:tcBorders>
              <w:top w:val="nil"/>
              <w:left w:val="nil"/>
              <w:bottom w:val="single" w:sz="4" w:space="0" w:color="auto"/>
              <w:right w:val="single" w:sz="4" w:space="0" w:color="auto"/>
            </w:tcBorders>
            <w:shd w:val="clear" w:color="auto" w:fill="auto"/>
            <w:noWrap/>
            <w:vAlign w:val="center"/>
            <w:hideMark/>
          </w:tcPr>
          <w:p w14:paraId="5D7D6A0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4,1</w:t>
            </w:r>
          </w:p>
        </w:tc>
        <w:tc>
          <w:tcPr>
            <w:tcW w:w="963" w:type="dxa"/>
            <w:tcBorders>
              <w:top w:val="nil"/>
              <w:left w:val="nil"/>
              <w:bottom w:val="single" w:sz="4" w:space="0" w:color="auto"/>
              <w:right w:val="single" w:sz="8" w:space="0" w:color="auto"/>
            </w:tcBorders>
            <w:shd w:val="clear" w:color="auto" w:fill="auto"/>
            <w:noWrap/>
            <w:vAlign w:val="center"/>
            <w:hideMark/>
          </w:tcPr>
          <w:p w14:paraId="2F596E8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9,6</w:t>
            </w:r>
          </w:p>
        </w:tc>
      </w:tr>
      <w:tr w:rsidR="005912E7" w:rsidRPr="00CD57BE" w14:paraId="3D06A389" w14:textId="77777777" w:rsidTr="005912E7">
        <w:trPr>
          <w:trHeight w:val="450"/>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22C3C6DB" w14:textId="3578FEF4"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Činnosti v oblasti nemovitostí a administrat</w:t>
            </w:r>
            <w:r>
              <w:rPr>
                <w:rFonts w:cs="Arial"/>
                <w:color w:val="000000"/>
                <w:sz w:val="16"/>
                <w:szCs w:val="16"/>
              </w:rPr>
              <w:t>ivní a podpůrné činnosti</w:t>
            </w:r>
          </w:p>
        </w:tc>
        <w:tc>
          <w:tcPr>
            <w:tcW w:w="709" w:type="dxa"/>
            <w:tcBorders>
              <w:top w:val="nil"/>
              <w:left w:val="nil"/>
              <w:bottom w:val="single" w:sz="4" w:space="0" w:color="auto"/>
              <w:right w:val="single" w:sz="4" w:space="0" w:color="auto"/>
            </w:tcBorders>
            <w:shd w:val="clear" w:color="auto" w:fill="auto"/>
            <w:noWrap/>
            <w:vAlign w:val="center"/>
            <w:hideMark/>
          </w:tcPr>
          <w:p w14:paraId="4BB0862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72,7</w:t>
            </w:r>
          </w:p>
        </w:tc>
        <w:tc>
          <w:tcPr>
            <w:tcW w:w="708" w:type="dxa"/>
            <w:tcBorders>
              <w:top w:val="nil"/>
              <w:left w:val="nil"/>
              <w:bottom w:val="single" w:sz="4" w:space="0" w:color="auto"/>
              <w:right w:val="single" w:sz="4" w:space="0" w:color="auto"/>
            </w:tcBorders>
            <w:shd w:val="clear" w:color="auto" w:fill="auto"/>
            <w:noWrap/>
            <w:vAlign w:val="center"/>
            <w:hideMark/>
          </w:tcPr>
          <w:p w14:paraId="4E16F0F6"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28,8</w:t>
            </w:r>
          </w:p>
        </w:tc>
        <w:tc>
          <w:tcPr>
            <w:tcW w:w="1134" w:type="dxa"/>
            <w:tcBorders>
              <w:top w:val="nil"/>
              <w:left w:val="nil"/>
              <w:bottom w:val="single" w:sz="4" w:space="0" w:color="auto"/>
              <w:right w:val="single" w:sz="4" w:space="0" w:color="auto"/>
            </w:tcBorders>
            <w:shd w:val="clear" w:color="auto" w:fill="auto"/>
            <w:noWrap/>
            <w:vAlign w:val="center"/>
            <w:hideMark/>
          </w:tcPr>
          <w:p w14:paraId="6126FE0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24,9</w:t>
            </w:r>
          </w:p>
        </w:tc>
        <w:tc>
          <w:tcPr>
            <w:tcW w:w="1154" w:type="dxa"/>
            <w:tcBorders>
              <w:top w:val="nil"/>
              <w:left w:val="nil"/>
              <w:bottom w:val="single" w:sz="4" w:space="0" w:color="auto"/>
              <w:right w:val="single" w:sz="4" w:space="0" w:color="auto"/>
            </w:tcBorders>
            <w:shd w:val="clear" w:color="auto" w:fill="auto"/>
            <w:noWrap/>
            <w:vAlign w:val="center"/>
            <w:hideMark/>
          </w:tcPr>
          <w:p w14:paraId="2FED667C"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2,9</w:t>
            </w:r>
          </w:p>
        </w:tc>
        <w:tc>
          <w:tcPr>
            <w:tcW w:w="1114" w:type="dxa"/>
            <w:tcBorders>
              <w:top w:val="nil"/>
              <w:left w:val="nil"/>
              <w:bottom w:val="single" w:sz="4" w:space="0" w:color="auto"/>
              <w:right w:val="single" w:sz="4" w:space="0" w:color="auto"/>
            </w:tcBorders>
            <w:shd w:val="clear" w:color="auto" w:fill="auto"/>
            <w:noWrap/>
            <w:vAlign w:val="center"/>
            <w:hideMark/>
          </w:tcPr>
          <w:p w14:paraId="41815F2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8,7</w:t>
            </w:r>
          </w:p>
        </w:tc>
        <w:tc>
          <w:tcPr>
            <w:tcW w:w="993" w:type="dxa"/>
            <w:tcBorders>
              <w:top w:val="nil"/>
              <w:left w:val="nil"/>
              <w:bottom w:val="single" w:sz="4" w:space="0" w:color="auto"/>
              <w:right w:val="single" w:sz="4" w:space="0" w:color="auto"/>
            </w:tcBorders>
            <w:shd w:val="clear" w:color="auto" w:fill="auto"/>
            <w:noWrap/>
            <w:vAlign w:val="center"/>
            <w:hideMark/>
          </w:tcPr>
          <w:p w14:paraId="1B2BB57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2,3</w:t>
            </w:r>
          </w:p>
        </w:tc>
        <w:tc>
          <w:tcPr>
            <w:tcW w:w="963" w:type="dxa"/>
            <w:tcBorders>
              <w:top w:val="nil"/>
              <w:left w:val="nil"/>
              <w:bottom w:val="single" w:sz="4" w:space="0" w:color="auto"/>
              <w:right w:val="single" w:sz="8" w:space="0" w:color="auto"/>
            </w:tcBorders>
            <w:shd w:val="clear" w:color="auto" w:fill="auto"/>
            <w:noWrap/>
            <w:vAlign w:val="center"/>
            <w:hideMark/>
          </w:tcPr>
          <w:p w14:paraId="76DDFB8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10,6</w:t>
            </w:r>
          </w:p>
        </w:tc>
      </w:tr>
      <w:tr w:rsidR="005912E7" w:rsidRPr="00CD57BE" w14:paraId="482A4672" w14:textId="77777777" w:rsidTr="005912E7">
        <w:trPr>
          <w:trHeight w:val="255"/>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2BC9B9B" w14:textId="51A2E684" w:rsidR="005912E7" w:rsidRPr="00CD57BE" w:rsidRDefault="005912E7" w:rsidP="005912E7">
            <w:pPr>
              <w:spacing w:after="0" w:line="240" w:lineRule="auto"/>
              <w:rPr>
                <w:rFonts w:cs="Arial"/>
                <w:color w:val="000000"/>
                <w:sz w:val="16"/>
                <w:szCs w:val="16"/>
              </w:rPr>
            </w:pPr>
            <w:r>
              <w:rPr>
                <w:rFonts w:cs="Arial"/>
                <w:color w:val="000000"/>
                <w:sz w:val="16"/>
                <w:szCs w:val="16"/>
              </w:rPr>
              <w:t xml:space="preserve"> Stavebnictví</w:t>
            </w:r>
          </w:p>
        </w:tc>
        <w:tc>
          <w:tcPr>
            <w:tcW w:w="709" w:type="dxa"/>
            <w:tcBorders>
              <w:top w:val="nil"/>
              <w:left w:val="nil"/>
              <w:bottom w:val="single" w:sz="4" w:space="0" w:color="auto"/>
              <w:right w:val="single" w:sz="4" w:space="0" w:color="auto"/>
            </w:tcBorders>
            <w:shd w:val="clear" w:color="auto" w:fill="auto"/>
            <w:noWrap/>
            <w:vAlign w:val="center"/>
            <w:hideMark/>
          </w:tcPr>
          <w:p w14:paraId="58AA652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88,6</w:t>
            </w:r>
          </w:p>
        </w:tc>
        <w:tc>
          <w:tcPr>
            <w:tcW w:w="708" w:type="dxa"/>
            <w:tcBorders>
              <w:top w:val="nil"/>
              <w:left w:val="nil"/>
              <w:bottom w:val="single" w:sz="4" w:space="0" w:color="auto"/>
              <w:right w:val="single" w:sz="4" w:space="0" w:color="auto"/>
            </w:tcBorders>
            <w:shd w:val="clear" w:color="auto" w:fill="auto"/>
            <w:noWrap/>
            <w:vAlign w:val="center"/>
            <w:hideMark/>
          </w:tcPr>
          <w:p w14:paraId="1BF816FD"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37,0</w:t>
            </w:r>
          </w:p>
        </w:tc>
        <w:tc>
          <w:tcPr>
            <w:tcW w:w="1134" w:type="dxa"/>
            <w:tcBorders>
              <w:top w:val="nil"/>
              <w:left w:val="nil"/>
              <w:bottom w:val="single" w:sz="4" w:space="0" w:color="auto"/>
              <w:right w:val="single" w:sz="4" w:space="0" w:color="auto"/>
            </w:tcBorders>
            <w:shd w:val="clear" w:color="auto" w:fill="auto"/>
            <w:noWrap/>
            <w:vAlign w:val="center"/>
            <w:hideMark/>
          </w:tcPr>
          <w:p w14:paraId="17969EC3"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20,4</w:t>
            </w:r>
          </w:p>
        </w:tc>
        <w:tc>
          <w:tcPr>
            <w:tcW w:w="1154" w:type="dxa"/>
            <w:tcBorders>
              <w:top w:val="nil"/>
              <w:left w:val="nil"/>
              <w:bottom w:val="single" w:sz="4" w:space="0" w:color="auto"/>
              <w:right w:val="single" w:sz="4" w:space="0" w:color="auto"/>
            </w:tcBorders>
            <w:shd w:val="clear" w:color="auto" w:fill="auto"/>
            <w:noWrap/>
            <w:vAlign w:val="center"/>
            <w:hideMark/>
          </w:tcPr>
          <w:p w14:paraId="085550D2" w14:textId="77777777" w:rsidR="005912E7" w:rsidRPr="00C06CCA" w:rsidRDefault="005912E7" w:rsidP="005912E7">
            <w:pPr>
              <w:spacing w:after="0" w:line="240" w:lineRule="auto"/>
              <w:jc w:val="right"/>
              <w:rPr>
                <w:rFonts w:cs="Arial"/>
                <w:b/>
                <w:color w:val="FF0000"/>
                <w:sz w:val="16"/>
                <w:szCs w:val="16"/>
              </w:rPr>
            </w:pPr>
            <w:r w:rsidRPr="00C06CCA">
              <w:rPr>
                <w:rFonts w:cs="Arial"/>
                <w:b/>
                <w:color w:val="FF0000"/>
                <w:sz w:val="16"/>
                <w:szCs w:val="16"/>
              </w:rPr>
              <w:t>1,0</w:t>
            </w:r>
          </w:p>
        </w:tc>
        <w:tc>
          <w:tcPr>
            <w:tcW w:w="1114" w:type="dxa"/>
            <w:tcBorders>
              <w:top w:val="nil"/>
              <w:left w:val="nil"/>
              <w:bottom w:val="single" w:sz="4" w:space="0" w:color="auto"/>
              <w:right w:val="single" w:sz="4" w:space="0" w:color="auto"/>
            </w:tcBorders>
            <w:shd w:val="clear" w:color="auto" w:fill="auto"/>
            <w:noWrap/>
            <w:vAlign w:val="center"/>
            <w:hideMark/>
          </w:tcPr>
          <w:p w14:paraId="4C0A41AF"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7,6</w:t>
            </w:r>
          </w:p>
        </w:tc>
        <w:tc>
          <w:tcPr>
            <w:tcW w:w="993" w:type="dxa"/>
            <w:tcBorders>
              <w:top w:val="nil"/>
              <w:left w:val="nil"/>
              <w:bottom w:val="single" w:sz="4" w:space="0" w:color="auto"/>
              <w:right w:val="single" w:sz="4" w:space="0" w:color="auto"/>
            </w:tcBorders>
            <w:shd w:val="clear" w:color="auto" w:fill="auto"/>
            <w:noWrap/>
            <w:vAlign w:val="center"/>
            <w:hideMark/>
          </w:tcPr>
          <w:p w14:paraId="4086B5A9" w14:textId="77777777" w:rsidR="005912E7" w:rsidRPr="00C06CCA" w:rsidRDefault="005912E7" w:rsidP="005912E7">
            <w:pPr>
              <w:spacing w:after="0" w:line="240" w:lineRule="auto"/>
              <w:jc w:val="right"/>
              <w:rPr>
                <w:rFonts w:cs="Arial"/>
                <w:b/>
                <w:color w:val="FF0000"/>
                <w:sz w:val="16"/>
                <w:szCs w:val="16"/>
              </w:rPr>
            </w:pPr>
            <w:r w:rsidRPr="00C06CCA">
              <w:rPr>
                <w:rFonts w:cs="Arial"/>
                <w:b/>
                <w:color w:val="FF0000"/>
                <w:sz w:val="16"/>
                <w:szCs w:val="16"/>
              </w:rPr>
              <w:t>0,7</w:t>
            </w:r>
          </w:p>
        </w:tc>
        <w:tc>
          <w:tcPr>
            <w:tcW w:w="963" w:type="dxa"/>
            <w:tcBorders>
              <w:top w:val="nil"/>
              <w:left w:val="nil"/>
              <w:bottom w:val="single" w:sz="4" w:space="0" w:color="auto"/>
              <w:right w:val="single" w:sz="8" w:space="0" w:color="auto"/>
            </w:tcBorders>
            <w:shd w:val="clear" w:color="auto" w:fill="auto"/>
            <w:noWrap/>
            <w:vAlign w:val="center"/>
            <w:hideMark/>
          </w:tcPr>
          <w:p w14:paraId="0AF3DB21"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10,5</w:t>
            </w:r>
          </w:p>
        </w:tc>
      </w:tr>
      <w:tr w:rsidR="005912E7" w:rsidRPr="00CD57BE" w14:paraId="61E764B5" w14:textId="77777777" w:rsidTr="005912E7">
        <w:trPr>
          <w:trHeight w:val="315"/>
          <w:jc w:val="center"/>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18DD6BDE" w14:textId="7E976304" w:rsidR="005912E7" w:rsidRPr="00CD57BE" w:rsidRDefault="005912E7" w:rsidP="005912E7">
            <w:pPr>
              <w:spacing w:after="0" w:line="240" w:lineRule="auto"/>
              <w:rPr>
                <w:rFonts w:cs="Arial"/>
                <w:color w:val="000000"/>
                <w:sz w:val="16"/>
                <w:szCs w:val="16"/>
              </w:rPr>
            </w:pPr>
            <w:r>
              <w:rPr>
                <w:rFonts w:cs="Arial"/>
                <w:color w:val="000000"/>
                <w:sz w:val="16"/>
                <w:szCs w:val="16"/>
              </w:rPr>
              <w:t xml:space="preserve"> Doprava a skladování</w:t>
            </w:r>
          </w:p>
        </w:tc>
        <w:tc>
          <w:tcPr>
            <w:tcW w:w="709" w:type="dxa"/>
            <w:tcBorders>
              <w:top w:val="nil"/>
              <w:left w:val="nil"/>
              <w:bottom w:val="single" w:sz="4" w:space="0" w:color="auto"/>
              <w:right w:val="single" w:sz="4" w:space="0" w:color="auto"/>
            </w:tcBorders>
            <w:shd w:val="clear" w:color="auto" w:fill="auto"/>
            <w:noWrap/>
            <w:vAlign w:val="center"/>
            <w:hideMark/>
          </w:tcPr>
          <w:p w14:paraId="017FDF12"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85,5</w:t>
            </w:r>
          </w:p>
        </w:tc>
        <w:tc>
          <w:tcPr>
            <w:tcW w:w="708" w:type="dxa"/>
            <w:tcBorders>
              <w:top w:val="nil"/>
              <w:left w:val="nil"/>
              <w:bottom w:val="single" w:sz="4" w:space="0" w:color="auto"/>
              <w:right w:val="single" w:sz="4" w:space="0" w:color="auto"/>
            </w:tcBorders>
            <w:shd w:val="clear" w:color="auto" w:fill="auto"/>
            <w:noWrap/>
            <w:vAlign w:val="center"/>
            <w:hideMark/>
          </w:tcPr>
          <w:p w14:paraId="219D6A9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35,6</w:t>
            </w:r>
          </w:p>
        </w:tc>
        <w:tc>
          <w:tcPr>
            <w:tcW w:w="1134" w:type="dxa"/>
            <w:tcBorders>
              <w:top w:val="nil"/>
              <w:left w:val="nil"/>
              <w:bottom w:val="single" w:sz="4" w:space="0" w:color="auto"/>
              <w:right w:val="single" w:sz="4" w:space="0" w:color="auto"/>
            </w:tcBorders>
            <w:shd w:val="clear" w:color="auto" w:fill="auto"/>
            <w:noWrap/>
            <w:vAlign w:val="center"/>
            <w:hideMark/>
          </w:tcPr>
          <w:p w14:paraId="2F0EED69"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20,3</w:t>
            </w:r>
          </w:p>
        </w:tc>
        <w:tc>
          <w:tcPr>
            <w:tcW w:w="1154" w:type="dxa"/>
            <w:tcBorders>
              <w:top w:val="nil"/>
              <w:left w:val="nil"/>
              <w:bottom w:val="single" w:sz="4" w:space="0" w:color="auto"/>
              <w:right w:val="single" w:sz="4" w:space="0" w:color="auto"/>
            </w:tcBorders>
            <w:shd w:val="clear" w:color="auto" w:fill="auto"/>
            <w:noWrap/>
            <w:vAlign w:val="center"/>
            <w:hideMark/>
          </w:tcPr>
          <w:p w14:paraId="6AB6B038"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1,6</w:t>
            </w:r>
          </w:p>
        </w:tc>
        <w:tc>
          <w:tcPr>
            <w:tcW w:w="1114" w:type="dxa"/>
            <w:tcBorders>
              <w:top w:val="nil"/>
              <w:left w:val="nil"/>
              <w:bottom w:val="single" w:sz="4" w:space="0" w:color="auto"/>
              <w:right w:val="single" w:sz="4" w:space="0" w:color="auto"/>
            </w:tcBorders>
            <w:shd w:val="clear" w:color="auto" w:fill="auto"/>
            <w:noWrap/>
            <w:vAlign w:val="center"/>
            <w:hideMark/>
          </w:tcPr>
          <w:p w14:paraId="7D933915" w14:textId="77777777" w:rsidR="005912E7" w:rsidRPr="00C06CCA" w:rsidRDefault="005912E7" w:rsidP="005912E7">
            <w:pPr>
              <w:spacing w:after="0" w:line="240" w:lineRule="auto"/>
              <w:jc w:val="right"/>
              <w:rPr>
                <w:rFonts w:cs="Arial"/>
                <w:b/>
                <w:color w:val="FF0000"/>
                <w:sz w:val="16"/>
                <w:szCs w:val="16"/>
              </w:rPr>
            </w:pPr>
            <w:r w:rsidRPr="00C06CCA">
              <w:rPr>
                <w:rFonts w:cs="Arial"/>
                <w:b/>
                <w:color w:val="FF0000"/>
                <w:sz w:val="16"/>
                <w:szCs w:val="16"/>
              </w:rPr>
              <w:t>4,7</w:t>
            </w:r>
          </w:p>
        </w:tc>
        <w:tc>
          <w:tcPr>
            <w:tcW w:w="993" w:type="dxa"/>
            <w:tcBorders>
              <w:top w:val="nil"/>
              <w:left w:val="nil"/>
              <w:bottom w:val="single" w:sz="4" w:space="0" w:color="auto"/>
              <w:right w:val="single" w:sz="4" w:space="0" w:color="auto"/>
            </w:tcBorders>
            <w:shd w:val="clear" w:color="auto" w:fill="auto"/>
            <w:noWrap/>
            <w:vAlign w:val="center"/>
            <w:hideMark/>
          </w:tcPr>
          <w:p w14:paraId="1401CFF8" w14:textId="77777777" w:rsidR="005912E7" w:rsidRPr="009D6745" w:rsidRDefault="005912E7" w:rsidP="005912E7">
            <w:pPr>
              <w:spacing w:after="0" w:line="240" w:lineRule="auto"/>
              <w:jc w:val="right"/>
              <w:rPr>
                <w:rFonts w:cs="Arial"/>
                <w:b/>
                <w:color w:val="000000"/>
                <w:sz w:val="16"/>
                <w:szCs w:val="16"/>
              </w:rPr>
            </w:pPr>
            <w:r w:rsidRPr="009D6745">
              <w:rPr>
                <w:rFonts w:cs="Arial"/>
                <w:b/>
                <w:color w:val="C00000"/>
                <w:sz w:val="16"/>
                <w:szCs w:val="16"/>
              </w:rPr>
              <w:t>0,8</w:t>
            </w:r>
          </w:p>
        </w:tc>
        <w:tc>
          <w:tcPr>
            <w:tcW w:w="963" w:type="dxa"/>
            <w:tcBorders>
              <w:top w:val="nil"/>
              <w:left w:val="nil"/>
              <w:bottom w:val="single" w:sz="4" w:space="0" w:color="auto"/>
              <w:right w:val="single" w:sz="8" w:space="0" w:color="auto"/>
            </w:tcBorders>
            <w:shd w:val="clear" w:color="auto" w:fill="auto"/>
            <w:noWrap/>
            <w:vAlign w:val="center"/>
            <w:hideMark/>
          </w:tcPr>
          <w:p w14:paraId="249421F4"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10,8</w:t>
            </w:r>
          </w:p>
        </w:tc>
      </w:tr>
      <w:tr w:rsidR="005912E7" w:rsidRPr="00CD57BE" w14:paraId="24515625" w14:textId="77777777" w:rsidTr="005912E7">
        <w:trPr>
          <w:trHeight w:val="270"/>
          <w:jc w:val="center"/>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050F5025" w14:textId="5A2A7D06" w:rsidR="005912E7" w:rsidRPr="00CD57BE" w:rsidRDefault="005912E7" w:rsidP="005912E7">
            <w:pPr>
              <w:spacing w:after="0" w:line="240" w:lineRule="auto"/>
              <w:rPr>
                <w:rFonts w:cs="Arial"/>
                <w:color w:val="000000"/>
                <w:sz w:val="16"/>
                <w:szCs w:val="16"/>
              </w:rPr>
            </w:pPr>
            <w:r w:rsidRPr="00CD57BE">
              <w:rPr>
                <w:rFonts w:cs="Arial"/>
                <w:color w:val="000000"/>
                <w:sz w:val="16"/>
                <w:szCs w:val="16"/>
              </w:rPr>
              <w:t xml:space="preserve"> Ubytován</w:t>
            </w:r>
            <w:r>
              <w:rPr>
                <w:rFonts w:cs="Arial"/>
                <w:color w:val="000000"/>
                <w:sz w:val="16"/>
                <w:szCs w:val="16"/>
              </w:rPr>
              <w:t>í, stravování a pohostinství</w:t>
            </w:r>
            <w:r w:rsidRPr="00CD57BE">
              <w:rPr>
                <w:rFonts w:cs="Arial"/>
                <w:color w:val="000000"/>
                <w:sz w:val="16"/>
                <w:szCs w:val="16"/>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37824D7F" w14:textId="77777777" w:rsidR="005912E7" w:rsidRPr="00306B9B" w:rsidRDefault="005912E7" w:rsidP="005912E7">
            <w:pPr>
              <w:spacing w:after="0" w:line="240" w:lineRule="auto"/>
              <w:jc w:val="right"/>
              <w:rPr>
                <w:rFonts w:cs="Arial"/>
                <w:b/>
                <w:color w:val="000000"/>
                <w:sz w:val="16"/>
                <w:szCs w:val="16"/>
              </w:rPr>
            </w:pPr>
            <w:r w:rsidRPr="00306B9B">
              <w:rPr>
                <w:rFonts w:cs="Arial"/>
                <w:b/>
                <w:color w:val="FF0000"/>
                <w:sz w:val="16"/>
                <w:szCs w:val="16"/>
              </w:rPr>
              <w:t>61,0</w:t>
            </w:r>
          </w:p>
        </w:tc>
        <w:tc>
          <w:tcPr>
            <w:tcW w:w="708" w:type="dxa"/>
            <w:tcBorders>
              <w:top w:val="nil"/>
              <w:left w:val="nil"/>
              <w:bottom w:val="single" w:sz="8" w:space="0" w:color="auto"/>
              <w:right w:val="single" w:sz="4" w:space="0" w:color="auto"/>
            </w:tcBorders>
            <w:shd w:val="clear" w:color="auto" w:fill="auto"/>
            <w:noWrap/>
            <w:vAlign w:val="center"/>
            <w:hideMark/>
          </w:tcPr>
          <w:p w14:paraId="1CE3C181" w14:textId="77777777" w:rsidR="005912E7" w:rsidRPr="00C06CCA" w:rsidRDefault="005912E7" w:rsidP="005912E7">
            <w:pPr>
              <w:spacing w:after="0" w:line="240" w:lineRule="auto"/>
              <w:jc w:val="right"/>
              <w:rPr>
                <w:rFonts w:cs="Arial"/>
                <w:b/>
                <w:color w:val="FF0000"/>
                <w:sz w:val="16"/>
                <w:szCs w:val="16"/>
              </w:rPr>
            </w:pPr>
            <w:r w:rsidRPr="00C06CCA">
              <w:rPr>
                <w:rFonts w:cs="Arial"/>
                <w:b/>
                <w:color w:val="FF0000"/>
                <w:sz w:val="16"/>
                <w:szCs w:val="16"/>
              </w:rPr>
              <w:t>15,8</w:t>
            </w:r>
          </w:p>
        </w:tc>
        <w:tc>
          <w:tcPr>
            <w:tcW w:w="1134" w:type="dxa"/>
            <w:tcBorders>
              <w:top w:val="nil"/>
              <w:left w:val="nil"/>
              <w:bottom w:val="single" w:sz="8" w:space="0" w:color="auto"/>
              <w:right w:val="single" w:sz="4" w:space="0" w:color="auto"/>
            </w:tcBorders>
            <w:shd w:val="clear" w:color="auto" w:fill="auto"/>
            <w:noWrap/>
            <w:vAlign w:val="center"/>
            <w:hideMark/>
          </w:tcPr>
          <w:p w14:paraId="68832676" w14:textId="77777777" w:rsidR="005912E7" w:rsidRPr="009D6745" w:rsidRDefault="005912E7" w:rsidP="005912E7">
            <w:pPr>
              <w:spacing w:after="0" w:line="240" w:lineRule="auto"/>
              <w:jc w:val="right"/>
              <w:rPr>
                <w:rFonts w:cs="Arial"/>
                <w:b/>
                <w:color w:val="000000"/>
                <w:sz w:val="16"/>
                <w:szCs w:val="16"/>
              </w:rPr>
            </w:pPr>
            <w:r w:rsidRPr="009D6745">
              <w:rPr>
                <w:rFonts w:cs="Arial"/>
                <w:b/>
                <w:color w:val="C00000"/>
                <w:sz w:val="16"/>
                <w:szCs w:val="16"/>
              </w:rPr>
              <w:t>17,9</w:t>
            </w:r>
          </w:p>
        </w:tc>
        <w:tc>
          <w:tcPr>
            <w:tcW w:w="1154" w:type="dxa"/>
            <w:tcBorders>
              <w:top w:val="nil"/>
              <w:left w:val="nil"/>
              <w:bottom w:val="single" w:sz="8" w:space="0" w:color="auto"/>
              <w:right w:val="single" w:sz="4" w:space="0" w:color="auto"/>
            </w:tcBorders>
            <w:shd w:val="clear" w:color="auto" w:fill="auto"/>
            <w:noWrap/>
            <w:vAlign w:val="center"/>
            <w:hideMark/>
          </w:tcPr>
          <w:p w14:paraId="0A676A5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4,9</w:t>
            </w:r>
          </w:p>
        </w:tc>
        <w:tc>
          <w:tcPr>
            <w:tcW w:w="1114" w:type="dxa"/>
            <w:tcBorders>
              <w:top w:val="nil"/>
              <w:left w:val="nil"/>
              <w:bottom w:val="single" w:sz="8" w:space="0" w:color="auto"/>
              <w:right w:val="single" w:sz="4" w:space="0" w:color="auto"/>
            </w:tcBorders>
            <w:shd w:val="clear" w:color="auto" w:fill="auto"/>
            <w:noWrap/>
            <w:vAlign w:val="center"/>
            <w:hideMark/>
          </w:tcPr>
          <w:p w14:paraId="3C674D8B"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6,6</w:t>
            </w:r>
          </w:p>
        </w:tc>
        <w:tc>
          <w:tcPr>
            <w:tcW w:w="993" w:type="dxa"/>
            <w:tcBorders>
              <w:top w:val="nil"/>
              <w:left w:val="nil"/>
              <w:bottom w:val="single" w:sz="8" w:space="0" w:color="auto"/>
              <w:right w:val="single" w:sz="4" w:space="0" w:color="auto"/>
            </w:tcBorders>
            <w:shd w:val="clear" w:color="auto" w:fill="auto"/>
            <w:noWrap/>
            <w:vAlign w:val="center"/>
            <w:hideMark/>
          </w:tcPr>
          <w:p w14:paraId="6216A157" w14:textId="77777777" w:rsidR="005912E7" w:rsidRPr="00CD57BE" w:rsidRDefault="005912E7" w:rsidP="005912E7">
            <w:pPr>
              <w:spacing w:after="0" w:line="240" w:lineRule="auto"/>
              <w:jc w:val="right"/>
              <w:rPr>
                <w:rFonts w:cs="Arial"/>
                <w:color w:val="000000"/>
                <w:sz w:val="16"/>
                <w:szCs w:val="16"/>
              </w:rPr>
            </w:pPr>
            <w:r w:rsidRPr="00CD57BE">
              <w:rPr>
                <w:rFonts w:cs="Arial"/>
                <w:color w:val="000000"/>
                <w:sz w:val="16"/>
                <w:szCs w:val="16"/>
              </w:rPr>
              <w:t>1,8</w:t>
            </w:r>
          </w:p>
        </w:tc>
        <w:tc>
          <w:tcPr>
            <w:tcW w:w="963" w:type="dxa"/>
            <w:tcBorders>
              <w:top w:val="nil"/>
              <w:left w:val="nil"/>
              <w:bottom w:val="single" w:sz="8" w:space="0" w:color="auto"/>
              <w:right w:val="single" w:sz="8" w:space="0" w:color="auto"/>
            </w:tcBorders>
            <w:shd w:val="clear" w:color="auto" w:fill="auto"/>
            <w:noWrap/>
            <w:vAlign w:val="center"/>
            <w:hideMark/>
          </w:tcPr>
          <w:p w14:paraId="19386A43" w14:textId="77777777" w:rsidR="005912E7" w:rsidRPr="00CD57BE" w:rsidRDefault="005912E7" w:rsidP="005912E7">
            <w:pPr>
              <w:spacing w:after="0" w:line="240" w:lineRule="auto"/>
              <w:jc w:val="right"/>
              <w:rPr>
                <w:rFonts w:cs="Arial"/>
                <w:color w:val="000000"/>
                <w:sz w:val="16"/>
                <w:szCs w:val="16"/>
              </w:rPr>
            </w:pPr>
            <w:r w:rsidRPr="00C06CCA">
              <w:rPr>
                <w:rFonts w:cs="Arial"/>
                <w:b/>
                <w:color w:val="FF0000"/>
                <w:sz w:val="16"/>
                <w:szCs w:val="16"/>
              </w:rPr>
              <w:t>8,3</w:t>
            </w:r>
          </w:p>
        </w:tc>
      </w:tr>
    </w:tbl>
    <w:p w14:paraId="5D8B278F" w14:textId="6FC2754A" w:rsidR="00CD57BE" w:rsidRPr="003D1467" w:rsidRDefault="00CD57BE" w:rsidP="003D1467">
      <w:pPr>
        <w:spacing w:before="120" w:after="120"/>
        <w:jc w:val="right"/>
        <w:rPr>
          <w:szCs w:val="20"/>
        </w:rPr>
      </w:pPr>
      <w:r>
        <w:rPr>
          <w:rFonts w:cs="Arial"/>
          <w:b/>
          <w:szCs w:val="20"/>
        </w:rPr>
        <w:fldChar w:fldCharType="end"/>
      </w:r>
      <w:bookmarkStart w:id="4" w:name="_GoBack"/>
      <w:bookmarkEnd w:id="4"/>
      <w:r w:rsidR="003D1467" w:rsidRPr="003D1467">
        <w:rPr>
          <w:szCs w:val="20"/>
        </w:rPr>
        <w:t xml:space="preserve"> Zdroj: ČSÚ</w:t>
      </w:r>
    </w:p>
    <w:p w14:paraId="6C4F83B3" w14:textId="5C466A2F" w:rsidR="00CD57BE" w:rsidRDefault="009F73CF" w:rsidP="00A67C12">
      <w:pPr>
        <w:spacing w:after="120"/>
        <w:jc w:val="both"/>
        <w:rPr>
          <w:rFonts w:cs="Arial"/>
          <w:szCs w:val="20"/>
        </w:rPr>
      </w:pPr>
      <w:r>
        <w:rPr>
          <w:rFonts w:cs="Arial"/>
          <w:szCs w:val="20"/>
        </w:rPr>
        <w:t>Pokud jde o dělení dle hlavní ekonomické činnosti podniku, n</w:t>
      </w:r>
      <w:r w:rsidR="00CD57BE" w:rsidRPr="00CD57BE">
        <w:rPr>
          <w:rFonts w:cs="Arial"/>
          <w:szCs w:val="20"/>
        </w:rPr>
        <w:t xml:space="preserve">ejrozmanitější </w:t>
      </w:r>
      <w:r w:rsidR="00CD57BE">
        <w:rPr>
          <w:rFonts w:cs="Arial"/>
          <w:szCs w:val="20"/>
        </w:rPr>
        <w:t xml:space="preserve">formy vzdělávání, které nevyplývá ze zákona, nabízely podniky působící v oblasti </w:t>
      </w:r>
      <w:r w:rsidR="00CD57BE" w:rsidRPr="009F73CF">
        <w:rPr>
          <w:rFonts w:cs="Arial"/>
          <w:i/>
          <w:szCs w:val="20"/>
        </w:rPr>
        <w:t>peněžnictví a pojišťovnictví</w:t>
      </w:r>
      <w:r w:rsidR="00CD57BE">
        <w:rPr>
          <w:rFonts w:cs="Arial"/>
          <w:szCs w:val="20"/>
        </w:rPr>
        <w:t xml:space="preserve"> a v oblasti </w:t>
      </w:r>
      <w:r w:rsidR="00306B9B" w:rsidRPr="009F73CF">
        <w:rPr>
          <w:rFonts w:cs="Arial"/>
          <w:i/>
          <w:szCs w:val="20"/>
        </w:rPr>
        <w:t>informační a komunikační činnosti</w:t>
      </w:r>
      <w:r w:rsidR="00CD57BE">
        <w:rPr>
          <w:rFonts w:cs="Arial"/>
          <w:szCs w:val="20"/>
        </w:rPr>
        <w:t xml:space="preserve">. </w:t>
      </w:r>
      <w:r w:rsidR="002C03E6">
        <w:rPr>
          <w:rFonts w:cs="Arial"/>
          <w:szCs w:val="20"/>
        </w:rPr>
        <w:t>Relativně častěji než podniky působící v jiných oblastech</w:t>
      </w:r>
      <w:r w:rsidR="00CD57BE">
        <w:rPr>
          <w:rFonts w:cs="Arial"/>
          <w:szCs w:val="20"/>
        </w:rPr>
        <w:t xml:space="preserve"> </w:t>
      </w:r>
      <w:r w:rsidR="002C03E6">
        <w:rPr>
          <w:rFonts w:cs="Arial"/>
          <w:szCs w:val="20"/>
        </w:rPr>
        <w:t xml:space="preserve">nabízely </w:t>
      </w:r>
      <w:r w:rsidR="00CD57BE">
        <w:rPr>
          <w:rFonts w:cs="Arial"/>
          <w:szCs w:val="20"/>
        </w:rPr>
        <w:t>nepovinné kurzy/školení (</w:t>
      </w:r>
      <w:r w:rsidR="00BE13B3">
        <w:rPr>
          <w:rFonts w:cs="Arial"/>
          <w:szCs w:val="20"/>
        </w:rPr>
        <w:t>téměř</w:t>
      </w:r>
      <w:r w:rsidR="00CD57BE">
        <w:rPr>
          <w:rFonts w:cs="Arial"/>
          <w:szCs w:val="20"/>
        </w:rPr>
        <w:t xml:space="preserve"> čtyři pětiny, resp. tři čtvrtiny z nich)</w:t>
      </w:r>
      <w:r w:rsidR="00306B9B">
        <w:rPr>
          <w:rFonts w:cs="Arial"/>
          <w:szCs w:val="20"/>
        </w:rPr>
        <w:t>, zaškolování</w:t>
      </w:r>
      <w:r w:rsidR="002C03E6">
        <w:rPr>
          <w:rFonts w:cs="Arial"/>
          <w:szCs w:val="20"/>
        </w:rPr>
        <w:t xml:space="preserve"> či instruktáže (cca třetina), workshopy, semináře či konference (cca dvě pětiny) a samostudium, e-learning (cca polovina)</w:t>
      </w:r>
      <w:r w:rsidR="00CD57BE">
        <w:rPr>
          <w:rFonts w:cs="Arial"/>
          <w:szCs w:val="20"/>
        </w:rPr>
        <w:t xml:space="preserve">. Naopak nejmenší podíl podniků nabízejících nepovinné kurzy/školení byl mezi těmi působícími v oblasti </w:t>
      </w:r>
      <w:r w:rsidR="00CD57BE" w:rsidRPr="009F73CF">
        <w:rPr>
          <w:rFonts w:cs="Arial"/>
          <w:i/>
          <w:szCs w:val="20"/>
        </w:rPr>
        <w:t>ubytování, stravování a pohostinství</w:t>
      </w:r>
      <w:r w:rsidR="00A65763">
        <w:rPr>
          <w:rFonts w:cs="Arial"/>
          <w:i/>
          <w:szCs w:val="20"/>
        </w:rPr>
        <w:t xml:space="preserve"> </w:t>
      </w:r>
      <w:r w:rsidR="00890637">
        <w:rPr>
          <w:rFonts w:cs="Arial"/>
          <w:szCs w:val="20"/>
        </w:rPr>
        <w:t>(16</w:t>
      </w:r>
      <w:r w:rsidR="00A65763" w:rsidRPr="00A65763">
        <w:rPr>
          <w:rFonts w:cs="Arial"/>
          <w:szCs w:val="20"/>
        </w:rPr>
        <w:t> %)</w:t>
      </w:r>
      <w:r w:rsidR="00CD57BE">
        <w:rPr>
          <w:rFonts w:cs="Arial"/>
          <w:szCs w:val="20"/>
        </w:rPr>
        <w:t>.</w:t>
      </w:r>
      <w:r w:rsidR="002C03E6">
        <w:rPr>
          <w:rFonts w:cs="Arial"/>
          <w:szCs w:val="20"/>
        </w:rPr>
        <w:t xml:space="preserve"> Tyto podniky také </w:t>
      </w:r>
      <w:r w:rsidR="00306B9B">
        <w:rPr>
          <w:rFonts w:cs="Arial"/>
          <w:szCs w:val="20"/>
        </w:rPr>
        <w:t xml:space="preserve">spolu s oblastí </w:t>
      </w:r>
      <w:r w:rsidR="00306B9B" w:rsidRPr="009F73CF">
        <w:rPr>
          <w:rFonts w:cs="Arial"/>
          <w:i/>
          <w:szCs w:val="20"/>
        </w:rPr>
        <w:t>profesní, vědecké a technické činnosti</w:t>
      </w:r>
      <w:r w:rsidR="00306B9B">
        <w:rPr>
          <w:rFonts w:cs="Arial"/>
          <w:szCs w:val="20"/>
        </w:rPr>
        <w:t xml:space="preserve"> </w:t>
      </w:r>
      <w:r w:rsidR="002C03E6">
        <w:rPr>
          <w:rFonts w:cs="Arial"/>
          <w:szCs w:val="20"/>
        </w:rPr>
        <w:t>v nejmenší míře nabíz</w:t>
      </w:r>
      <w:r w:rsidR="00306B9B">
        <w:rPr>
          <w:rFonts w:cs="Arial"/>
          <w:szCs w:val="20"/>
        </w:rPr>
        <w:t xml:space="preserve">ely zaškolování a instruktáže (necelá pětina) a </w:t>
      </w:r>
      <w:r w:rsidR="002E0731">
        <w:rPr>
          <w:rFonts w:cs="Arial"/>
          <w:szCs w:val="20"/>
        </w:rPr>
        <w:t>na spodní příčce v žebříčku se umístily i v podílu zajišťování samo</w:t>
      </w:r>
      <w:r w:rsidR="00165554">
        <w:rPr>
          <w:rFonts w:cs="Arial"/>
          <w:szCs w:val="20"/>
        </w:rPr>
        <w:t xml:space="preserve">statného </w:t>
      </w:r>
      <w:r w:rsidR="002E0731">
        <w:rPr>
          <w:rFonts w:cs="Arial"/>
          <w:szCs w:val="20"/>
        </w:rPr>
        <w:t>studia</w:t>
      </w:r>
      <w:r w:rsidR="00306B9B">
        <w:rPr>
          <w:rFonts w:cs="Arial"/>
          <w:szCs w:val="20"/>
        </w:rPr>
        <w:t xml:space="preserve"> či</w:t>
      </w:r>
      <w:r w:rsidR="002C03E6">
        <w:rPr>
          <w:rFonts w:cs="Arial"/>
          <w:szCs w:val="20"/>
        </w:rPr>
        <w:t xml:space="preserve"> e-learning</w:t>
      </w:r>
      <w:r w:rsidR="002E0731">
        <w:rPr>
          <w:rFonts w:cs="Arial"/>
          <w:szCs w:val="20"/>
        </w:rPr>
        <w:t>u</w:t>
      </w:r>
      <w:r w:rsidR="002C03E6">
        <w:rPr>
          <w:rFonts w:cs="Arial"/>
          <w:szCs w:val="20"/>
        </w:rPr>
        <w:t xml:space="preserve"> (</w:t>
      </w:r>
      <w:r w:rsidR="00890637">
        <w:rPr>
          <w:rFonts w:cs="Arial"/>
          <w:szCs w:val="20"/>
        </w:rPr>
        <w:t>8</w:t>
      </w:r>
      <w:r w:rsidR="002E0731">
        <w:rPr>
          <w:rFonts w:cs="Arial"/>
          <w:szCs w:val="20"/>
        </w:rPr>
        <w:t> %</w:t>
      </w:r>
      <w:r w:rsidR="002C03E6">
        <w:rPr>
          <w:rFonts w:cs="Arial"/>
          <w:szCs w:val="20"/>
        </w:rPr>
        <w:t>).</w:t>
      </w:r>
      <w:r w:rsidR="00CD57BE">
        <w:rPr>
          <w:rFonts w:cs="Arial"/>
          <w:szCs w:val="20"/>
        </w:rPr>
        <w:t xml:space="preserve"> </w:t>
      </w:r>
    </w:p>
    <w:p w14:paraId="4E28C4EF" w14:textId="1044D60D" w:rsidR="00665701" w:rsidRPr="00C129E5" w:rsidRDefault="002C03E6" w:rsidP="00A67C12">
      <w:pPr>
        <w:spacing w:after="120"/>
        <w:jc w:val="both"/>
        <w:rPr>
          <w:rFonts w:cs="Arial"/>
          <w:szCs w:val="20"/>
        </w:rPr>
      </w:pPr>
      <w:r>
        <w:rPr>
          <w:rFonts w:cs="Arial"/>
          <w:szCs w:val="20"/>
        </w:rPr>
        <w:t>Lze s</w:t>
      </w:r>
      <w:r w:rsidR="000E34EE">
        <w:rPr>
          <w:rFonts w:cs="Arial"/>
          <w:szCs w:val="20"/>
        </w:rPr>
        <w:t>i také všimnout, že mezi podniky pod zahraniční kontrolou</w:t>
      </w:r>
      <w:r>
        <w:rPr>
          <w:rFonts w:cs="Arial"/>
          <w:szCs w:val="20"/>
        </w:rPr>
        <w:t xml:space="preserve"> byl vyšší </w:t>
      </w:r>
      <w:r w:rsidR="00A65763">
        <w:rPr>
          <w:rFonts w:cs="Arial"/>
          <w:szCs w:val="20"/>
        </w:rPr>
        <w:t>po</w:t>
      </w:r>
      <w:r>
        <w:rPr>
          <w:rFonts w:cs="Arial"/>
          <w:szCs w:val="20"/>
        </w:rPr>
        <w:t>díl zajišťujících ať již jakoukoliv sledovanou formu vzdělávání</w:t>
      </w:r>
      <w:r w:rsidR="000E34EE">
        <w:rPr>
          <w:rFonts w:cs="Arial"/>
          <w:szCs w:val="20"/>
        </w:rPr>
        <w:t xml:space="preserve"> než mezi podniky domácími</w:t>
      </w:r>
      <w:r>
        <w:rPr>
          <w:rFonts w:cs="Arial"/>
          <w:szCs w:val="20"/>
        </w:rPr>
        <w:t xml:space="preserve">. </w:t>
      </w:r>
      <w:r w:rsidR="00C129E5">
        <w:rPr>
          <w:rFonts w:cs="Arial"/>
          <w:szCs w:val="20"/>
        </w:rPr>
        <w:t xml:space="preserve">Doplňme však, </w:t>
      </w:r>
      <w:r w:rsidR="00323EF3">
        <w:rPr>
          <w:rFonts w:cs="Arial"/>
          <w:szCs w:val="20"/>
        </w:rPr>
        <w:t xml:space="preserve">že podniky </w:t>
      </w:r>
      <w:r w:rsidR="000E34EE">
        <w:rPr>
          <w:rFonts w:cs="Arial"/>
          <w:szCs w:val="20"/>
        </w:rPr>
        <w:t>pod zahraniční kontrolou</w:t>
      </w:r>
      <w:r w:rsidR="00C129E5">
        <w:rPr>
          <w:rFonts w:cs="Arial"/>
          <w:szCs w:val="20"/>
        </w:rPr>
        <w:t xml:space="preserve"> mívaly v průměru vyšší </w:t>
      </w:r>
      <w:r w:rsidR="001F274C">
        <w:rPr>
          <w:rFonts w:cs="Arial"/>
          <w:szCs w:val="20"/>
        </w:rPr>
        <w:t>počet zaměstnanců (viz metodickou</w:t>
      </w:r>
      <w:r w:rsidR="00C129E5">
        <w:rPr>
          <w:rFonts w:cs="Arial"/>
          <w:szCs w:val="20"/>
        </w:rPr>
        <w:t xml:space="preserve"> část</w:t>
      </w:r>
      <w:r w:rsidR="00881DC8">
        <w:rPr>
          <w:rFonts w:cs="Arial"/>
          <w:szCs w:val="20"/>
        </w:rPr>
        <w:t xml:space="preserve"> publikace</w:t>
      </w:r>
      <w:r w:rsidR="00C129E5">
        <w:rPr>
          <w:rFonts w:cs="Arial"/>
          <w:szCs w:val="20"/>
        </w:rPr>
        <w:t>).</w:t>
      </w:r>
      <w:r>
        <w:rPr>
          <w:rFonts w:cs="Arial"/>
          <w:szCs w:val="20"/>
        </w:rPr>
        <w:t xml:space="preserve"> </w:t>
      </w:r>
    </w:p>
    <w:p w14:paraId="1CBA9439" w14:textId="5EAA0FBA" w:rsidR="009A0D37" w:rsidRDefault="002E6D27" w:rsidP="00A67C12">
      <w:pPr>
        <w:spacing w:after="120"/>
        <w:jc w:val="both"/>
        <w:rPr>
          <w:rFonts w:cs="Arial"/>
          <w:szCs w:val="20"/>
        </w:rPr>
      </w:pPr>
      <w:r>
        <w:rPr>
          <w:rFonts w:cs="Arial"/>
          <w:szCs w:val="20"/>
        </w:rPr>
        <w:lastRenderedPageBreak/>
        <w:t xml:space="preserve">Podniky zajišťující vzdělávání mohou na vzdělávání vynaložit </w:t>
      </w:r>
      <w:r w:rsidRPr="008B2876">
        <w:rPr>
          <w:rFonts w:cs="Arial"/>
          <w:b/>
          <w:szCs w:val="20"/>
        </w:rPr>
        <w:t xml:space="preserve">různé </w:t>
      </w:r>
      <w:r w:rsidR="008B2876" w:rsidRPr="008B2876">
        <w:rPr>
          <w:rFonts w:cs="Arial"/>
          <w:b/>
          <w:szCs w:val="20"/>
        </w:rPr>
        <w:t xml:space="preserve">finanční </w:t>
      </w:r>
      <w:r w:rsidRPr="008B2876">
        <w:rPr>
          <w:rFonts w:cs="Arial"/>
          <w:b/>
          <w:szCs w:val="20"/>
        </w:rPr>
        <w:t>prostředky</w:t>
      </w:r>
      <w:r>
        <w:rPr>
          <w:rFonts w:cs="Arial"/>
          <w:szCs w:val="20"/>
        </w:rPr>
        <w:t xml:space="preserve">. Pokud podnik např. realizuje jen povinné vzdělávání, přičemž využívá </w:t>
      </w:r>
      <w:r w:rsidR="008F3F37">
        <w:rPr>
          <w:rFonts w:cs="Arial"/>
          <w:szCs w:val="20"/>
        </w:rPr>
        <w:t>samostatného</w:t>
      </w:r>
      <w:r w:rsidR="00B41EDF">
        <w:rPr>
          <w:rFonts w:cs="Arial"/>
          <w:szCs w:val="20"/>
        </w:rPr>
        <w:t xml:space="preserve"> st</w:t>
      </w:r>
      <w:r>
        <w:rPr>
          <w:rFonts w:cs="Arial"/>
          <w:szCs w:val="20"/>
        </w:rPr>
        <w:t xml:space="preserve">udia </w:t>
      </w:r>
      <w:r w:rsidR="00B41EDF">
        <w:rPr>
          <w:rFonts w:cs="Arial"/>
          <w:szCs w:val="20"/>
        </w:rPr>
        <w:t xml:space="preserve">zaměstnanců </w:t>
      </w:r>
      <w:r>
        <w:rPr>
          <w:rFonts w:cs="Arial"/>
          <w:szCs w:val="20"/>
        </w:rPr>
        <w:t>a online zjišťování znalostí, mohou být náklady za daný rok minimální, příp. i nulové</w:t>
      </w:r>
      <w:r w:rsidR="00A65763">
        <w:rPr>
          <w:rFonts w:cs="Arial"/>
          <w:szCs w:val="20"/>
        </w:rPr>
        <w:t xml:space="preserve"> (</w:t>
      </w:r>
      <w:r w:rsidR="00876690">
        <w:rPr>
          <w:rFonts w:cs="Arial"/>
          <w:szCs w:val="20"/>
        </w:rPr>
        <w:t>zejména pokud</w:t>
      </w:r>
      <w:r w:rsidR="00A65763">
        <w:rPr>
          <w:rFonts w:cs="Arial"/>
          <w:szCs w:val="20"/>
        </w:rPr>
        <w:t xml:space="preserve"> využívá podkladů vytvořených v minulých letech)</w:t>
      </w:r>
      <w:r>
        <w:rPr>
          <w:rFonts w:cs="Arial"/>
          <w:szCs w:val="20"/>
        </w:rPr>
        <w:t xml:space="preserve">. </w:t>
      </w:r>
      <w:r w:rsidR="008C39DE">
        <w:rPr>
          <w:rFonts w:cs="Arial"/>
          <w:szCs w:val="20"/>
        </w:rPr>
        <w:t xml:space="preserve">Stejně tak mohou být minimální náklady na </w:t>
      </w:r>
      <w:r w:rsidR="00B41EDF">
        <w:rPr>
          <w:rFonts w:cs="Arial"/>
          <w:szCs w:val="20"/>
        </w:rPr>
        <w:t xml:space="preserve">nepovinné </w:t>
      </w:r>
      <w:r w:rsidR="008C39DE">
        <w:rPr>
          <w:rFonts w:cs="Arial"/>
          <w:szCs w:val="20"/>
        </w:rPr>
        <w:t>samostudium, kroužky kvality apod. Vyšší náklady</w:t>
      </w:r>
      <w:r>
        <w:rPr>
          <w:rFonts w:cs="Arial"/>
          <w:szCs w:val="20"/>
        </w:rPr>
        <w:t xml:space="preserve"> lze </w:t>
      </w:r>
      <w:r w:rsidR="008C39DE">
        <w:rPr>
          <w:rFonts w:cs="Arial"/>
          <w:szCs w:val="20"/>
        </w:rPr>
        <w:t xml:space="preserve">naopak </w:t>
      </w:r>
      <w:r w:rsidR="00A65763">
        <w:rPr>
          <w:rFonts w:cs="Arial"/>
          <w:szCs w:val="20"/>
        </w:rPr>
        <w:t>očekávat u </w:t>
      </w:r>
      <w:r w:rsidR="008F3F37">
        <w:rPr>
          <w:rFonts w:cs="Arial"/>
          <w:szCs w:val="20"/>
        </w:rPr>
        <w:t>odborných kurzů/školení zajišťovaných</w:t>
      </w:r>
      <w:r>
        <w:rPr>
          <w:rFonts w:cs="Arial"/>
          <w:szCs w:val="20"/>
        </w:rPr>
        <w:t xml:space="preserve"> externí firmou. </w:t>
      </w:r>
    </w:p>
    <w:p w14:paraId="5CB6BC45" w14:textId="7511B20E" w:rsidR="009A0D37" w:rsidRDefault="00597D35" w:rsidP="00A67C12">
      <w:pPr>
        <w:spacing w:after="120"/>
        <w:jc w:val="both"/>
        <w:rPr>
          <w:rFonts w:cs="Arial"/>
          <w:szCs w:val="20"/>
        </w:rPr>
      </w:pPr>
      <w:r>
        <w:rPr>
          <w:rFonts w:cs="Arial"/>
          <w:szCs w:val="20"/>
        </w:rPr>
        <w:t>N</w:t>
      </w:r>
      <w:r w:rsidR="009A0D37" w:rsidRPr="009A0D37">
        <w:rPr>
          <w:rFonts w:cs="Arial"/>
          <w:szCs w:val="20"/>
        </w:rPr>
        <w:t xml:space="preserve">a vzdělávání bylo </w:t>
      </w:r>
      <w:r w:rsidR="00BA65AB">
        <w:rPr>
          <w:rFonts w:cs="Arial"/>
          <w:szCs w:val="20"/>
        </w:rPr>
        <w:t xml:space="preserve">v roce 2020 </w:t>
      </w:r>
      <w:r w:rsidR="009A0D37" w:rsidRPr="009A0D37">
        <w:rPr>
          <w:rFonts w:cs="Arial"/>
          <w:szCs w:val="20"/>
        </w:rPr>
        <w:t xml:space="preserve">v </w:t>
      </w:r>
      <w:r w:rsidR="00BA65AB">
        <w:rPr>
          <w:rFonts w:cs="Arial"/>
          <w:szCs w:val="20"/>
        </w:rPr>
        <w:t>průměru vydáno</w:t>
      </w:r>
      <w:r w:rsidR="009A0D37">
        <w:rPr>
          <w:rFonts w:cs="Arial"/>
          <w:szCs w:val="20"/>
        </w:rPr>
        <w:t xml:space="preserve"> 2 431 Kč </w:t>
      </w:r>
      <w:r>
        <w:rPr>
          <w:rFonts w:cs="Arial"/>
          <w:szCs w:val="20"/>
        </w:rPr>
        <w:t xml:space="preserve">na 1 zaměstnance ze všech podniků </w:t>
      </w:r>
      <w:r w:rsidR="009A0D37">
        <w:rPr>
          <w:rFonts w:cs="Arial"/>
          <w:szCs w:val="20"/>
        </w:rPr>
        <w:t>a na jednoho zaměstnance v </w:t>
      </w:r>
      <w:r w:rsidR="009A0D37" w:rsidRPr="009A0D37">
        <w:rPr>
          <w:rFonts w:cs="Arial"/>
          <w:szCs w:val="20"/>
        </w:rPr>
        <w:t>podnicích zajišťujícíc</w:t>
      </w:r>
      <w:r w:rsidR="00477DCB">
        <w:rPr>
          <w:rFonts w:cs="Arial"/>
          <w:szCs w:val="20"/>
        </w:rPr>
        <w:t xml:space="preserve">h vzdělávání </w:t>
      </w:r>
      <w:r w:rsidR="00A81553">
        <w:rPr>
          <w:rFonts w:cs="Arial"/>
          <w:szCs w:val="20"/>
        </w:rPr>
        <w:t xml:space="preserve">připadlo </w:t>
      </w:r>
      <w:r w:rsidR="00477DCB">
        <w:rPr>
          <w:rFonts w:cs="Arial"/>
          <w:szCs w:val="20"/>
        </w:rPr>
        <w:t>2 569 Kč. Za kurzy/</w:t>
      </w:r>
      <w:r w:rsidR="009A0D37" w:rsidRPr="009A0D37">
        <w:rPr>
          <w:rFonts w:cs="Arial"/>
          <w:szCs w:val="20"/>
        </w:rPr>
        <w:t xml:space="preserve">školení </w:t>
      </w:r>
      <w:r w:rsidR="00A81553">
        <w:rPr>
          <w:rFonts w:cs="Arial"/>
          <w:szCs w:val="20"/>
        </w:rPr>
        <w:t>vydaly podniky</w:t>
      </w:r>
      <w:r w:rsidR="009A0D37" w:rsidRPr="009A0D37">
        <w:rPr>
          <w:rFonts w:cs="Arial"/>
          <w:szCs w:val="20"/>
        </w:rPr>
        <w:t xml:space="preserve"> na jednoho účastníka náklady ve výši 2 874 Kč a podíl nákladů vzdělávání k celkovým </w:t>
      </w:r>
      <w:r>
        <w:rPr>
          <w:rFonts w:cs="Arial"/>
          <w:szCs w:val="20"/>
        </w:rPr>
        <w:t>nákladům práce byl 0,4 </w:t>
      </w:r>
      <w:r w:rsidR="009A0D37" w:rsidRPr="009A0D37">
        <w:rPr>
          <w:rFonts w:cs="Arial"/>
          <w:szCs w:val="20"/>
        </w:rPr>
        <w:t xml:space="preserve">%.  </w:t>
      </w:r>
    </w:p>
    <w:p w14:paraId="5338D280" w14:textId="5F2BD278" w:rsidR="00623B24" w:rsidRDefault="002E6D27" w:rsidP="00A67C12">
      <w:pPr>
        <w:spacing w:after="120"/>
        <w:jc w:val="both"/>
        <w:rPr>
          <w:rFonts w:cs="Arial"/>
          <w:szCs w:val="20"/>
        </w:rPr>
      </w:pPr>
      <w:r>
        <w:rPr>
          <w:rFonts w:cs="Arial"/>
          <w:szCs w:val="20"/>
        </w:rPr>
        <w:t xml:space="preserve">Kromě </w:t>
      </w:r>
      <w:r w:rsidR="00BF1F88">
        <w:rPr>
          <w:rFonts w:cs="Arial"/>
          <w:szCs w:val="20"/>
        </w:rPr>
        <w:t xml:space="preserve">toho </w:t>
      </w:r>
      <w:r w:rsidR="009A0D37">
        <w:rPr>
          <w:rFonts w:cs="Arial"/>
          <w:szCs w:val="20"/>
        </w:rPr>
        <w:t>lze z tabulky 1.2 vyčíst</w:t>
      </w:r>
      <w:r w:rsidR="002A4F7B">
        <w:rPr>
          <w:rFonts w:cs="Arial"/>
          <w:szCs w:val="20"/>
        </w:rPr>
        <w:t xml:space="preserve">, </w:t>
      </w:r>
      <w:r w:rsidR="009A0D37">
        <w:rPr>
          <w:rFonts w:cs="Arial"/>
          <w:szCs w:val="20"/>
        </w:rPr>
        <w:t xml:space="preserve">že </w:t>
      </w:r>
      <w:r w:rsidR="002A4F7B">
        <w:rPr>
          <w:rFonts w:cs="Arial"/>
          <w:szCs w:val="20"/>
        </w:rPr>
        <w:t xml:space="preserve">podniky s méně </w:t>
      </w:r>
      <w:r w:rsidR="003A0DBA">
        <w:rPr>
          <w:rFonts w:cs="Arial"/>
          <w:szCs w:val="20"/>
        </w:rPr>
        <w:t>než 50 zaměstnanci vynaložily</w:t>
      </w:r>
      <w:r w:rsidR="002A4F7B">
        <w:rPr>
          <w:rFonts w:cs="Arial"/>
          <w:szCs w:val="20"/>
        </w:rPr>
        <w:t xml:space="preserve"> v roce 2020 na jednoho zaměstnance </w:t>
      </w:r>
      <w:r w:rsidR="003A0DBA">
        <w:rPr>
          <w:rFonts w:cs="Arial"/>
          <w:szCs w:val="20"/>
        </w:rPr>
        <w:t xml:space="preserve">i na jednoho účastníka kurzů/školení méně peněz </w:t>
      </w:r>
      <w:r w:rsidR="00577F43">
        <w:rPr>
          <w:rFonts w:cs="Arial"/>
          <w:szCs w:val="20"/>
        </w:rPr>
        <w:t>než firmy větší, a to zejména s </w:t>
      </w:r>
      <w:r w:rsidR="003A0DBA">
        <w:rPr>
          <w:rFonts w:cs="Arial"/>
          <w:szCs w:val="20"/>
        </w:rPr>
        <w:t xml:space="preserve">250 </w:t>
      </w:r>
      <w:r w:rsidR="00577F43">
        <w:rPr>
          <w:rFonts w:cs="Arial"/>
          <w:szCs w:val="20"/>
        </w:rPr>
        <w:t xml:space="preserve">a více </w:t>
      </w:r>
      <w:r w:rsidR="003A0DBA">
        <w:rPr>
          <w:rFonts w:cs="Arial"/>
          <w:szCs w:val="20"/>
        </w:rPr>
        <w:t xml:space="preserve">zaměstnanci. </w:t>
      </w:r>
      <w:r w:rsidR="00623B24">
        <w:rPr>
          <w:rFonts w:cs="Arial"/>
          <w:szCs w:val="20"/>
        </w:rPr>
        <w:t xml:space="preserve">Pokud se podíváme na podíl nákladů na vzdělávání k celkovým nákladům práce, činí 0,4 %, a to jak </w:t>
      </w:r>
      <w:r w:rsidR="00597D35">
        <w:rPr>
          <w:rFonts w:cs="Arial"/>
          <w:szCs w:val="20"/>
        </w:rPr>
        <w:t>u velkých, tak i malých podniků. V bližším pohledu však p</w:t>
      </w:r>
      <w:r w:rsidR="00623B24">
        <w:rPr>
          <w:rFonts w:cs="Arial"/>
          <w:szCs w:val="20"/>
        </w:rPr>
        <w:t>odniky</w:t>
      </w:r>
      <w:r w:rsidR="00323EF3">
        <w:rPr>
          <w:rFonts w:cs="Arial"/>
          <w:szCs w:val="20"/>
        </w:rPr>
        <w:t xml:space="preserve"> s 250 a více zaměstnanci vydaly</w:t>
      </w:r>
      <w:r w:rsidR="00623B24">
        <w:rPr>
          <w:rFonts w:cs="Arial"/>
          <w:szCs w:val="20"/>
        </w:rPr>
        <w:t xml:space="preserve"> přeci jen na vzdělávání o něco vyšší podíl financí věnovaných nákladům práce (0,45 %) než podniky s nižším počtem zaměstnanců (v jednotlivých kategoriích činí </w:t>
      </w:r>
      <w:r w:rsidR="00577F43">
        <w:rPr>
          <w:rFonts w:cs="Arial"/>
          <w:szCs w:val="20"/>
        </w:rPr>
        <w:t>0,3</w:t>
      </w:r>
      <w:r w:rsidR="00623B24">
        <w:rPr>
          <w:rFonts w:cs="Arial"/>
          <w:szCs w:val="20"/>
        </w:rPr>
        <w:t xml:space="preserve">7 až </w:t>
      </w:r>
      <w:r w:rsidR="00577F43">
        <w:rPr>
          <w:rFonts w:cs="Arial"/>
          <w:szCs w:val="20"/>
        </w:rPr>
        <w:t>0,3</w:t>
      </w:r>
      <w:r w:rsidR="00623B24">
        <w:rPr>
          <w:rFonts w:cs="Arial"/>
          <w:szCs w:val="20"/>
        </w:rPr>
        <w:t>9 %).</w:t>
      </w:r>
      <w:r w:rsidR="008B2876">
        <w:rPr>
          <w:rFonts w:cs="Arial"/>
          <w:szCs w:val="20"/>
        </w:rPr>
        <w:t xml:space="preserve"> </w:t>
      </w:r>
    </w:p>
    <w:p w14:paraId="6D214F11" w14:textId="1547AA23" w:rsidR="00883D79" w:rsidRPr="00883D79" w:rsidRDefault="00623B24" w:rsidP="003D1467">
      <w:pPr>
        <w:keepNext/>
        <w:spacing w:after="120" w:line="240" w:lineRule="auto"/>
        <w:jc w:val="both"/>
        <w:rPr>
          <w:rFonts w:cs="Arial"/>
          <w:b/>
          <w:szCs w:val="20"/>
        </w:rPr>
      </w:pPr>
      <w:r>
        <w:rPr>
          <w:rFonts w:cs="Arial"/>
          <w:b/>
          <w:szCs w:val="20"/>
        </w:rPr>
        <w:t>Ta</w:t>
      </w:r>
      <w:r w:rsidR="00672A9B">
        <w:rPr>
          <w:rFonts w:cs="Arial"/>
          <w:b/>
          <w:szCs w:val="20"/>
        </w:rPr>
        <w:t>b.</w:t>
      </w:r>
      <w:r>
        <w:rPr>
          <w:rFonts w:cs="Arial"/>
          <w:b/>
          <w:szCs w:val="20"/>
        </w:rPr>
        <w:t xml:space="preserve"> </w:t>
      </w:r>
      <w:r w:rsidR="00614C13">
        <w:rPr>
          <w:rFonts w:cs="Arial"/>
          <w:b/>
          <w:szCs w:val="20"/>
        </w:rPr>
        <w:t>1.</w:t>
      </w:r>
      <w:r>
        <w:rPr>
          <w:rFonts w:cs="Arial"/>
          <w:b/>
          <w:szCs w:val="20"/>
        </w:rPr>
        <w:t>2</w:t>
      </w:r>
      <w:r w:rsidRPr="00E97E4E">
        <w:rPr>
          <w:rFonts w:cs="Arial"/>
          <w:b/>
          <w:szCs w:val="20"/>
        </w:rPr>
        <w:t xml:space="preserve">. </w:t>
      </w:r>
      <w:r>
        <w:rPr>
          <w:rFonts w:cs="Arial"/>
          <w:b/>
          <w:szCs w:val="20"/>
        </w:rPr>
        <w:t>Výdaje na</w:t>
      </w:r>
      <w:r w:rsidR="005912E7">
        <w:rPr>
          <w:rFonts w:cs="Arial"/>
          <w:b/>
          <w:szCs w:val="20"/>
        </w:rPr>
        <w:t xml:space="preserve"> vzdělávání, 2020 (</w:t>
      </w:r>
      <w:r w:rsidRPr="00E97E4E">
        <w:rPr>
          <w:rFonts w:cs="Arial"/>
          <w:b/>
          <w:szCs w:val="20"/>
        </w:rPr>
        <w:t>v</w:t>
      </w:r>
      <w:r>
        <w:rPr>
          <w:rFonts w:cs="Arial"/>
          <w:b/>
          <w:szCs w:val="20"/>
        </w:rPr>
        <w:t xml:space="preserve"> Kč a v </w:t>
      </w:r>
      <w:r w:rsidRPr="00E97E4E">
        <w:rPr>
          <w:rFonts w:cs="Arial"/>
          <w:b/>
          <w:szCs w:val="20"/>
        </w:rPr>
        <w:t>%)</w:t>
      </w:r>
      <w:r w:rsidR="00883D79">
        <w:fldChar w:fldCharType="begin"/>
      </w:r>
      <w:r w:rsidR="00883D79">
        <w:instrText xml:space="preserve"> LINK Excel.Sheet.12 "Sešit2" "List1!R2C2:R22C6" \a \f 4 \h  \* MERGEFORMAT </w:instrText>
      </w:r>
      <w:r w:rsidR="00883D79">
        <w:fldChar w:fldCharType="separate"/>
      </w:r>
    </w:p>
    <w:tbl>
      <w:tblPr>
        <w:tblW w:w="9776" w:type="dxa"/>
        <w:tblCellMar>
          <w:left w:w="70" w:type="dxa"/>
          <w:right w:w="70" w:type="dxa"/>
        </w:tblCellMar>
        <w:tblLook w:val="04A0" w:firstRow="1" w:lastRow="0" w:firstColumn="1" w:lastColumn="0" w:noHBand="0" w:noVBand="1"/>
      </w:tblPr>
      <w:tblGrid>
        <w:gridCol w:w="3536"/>
        <w:gridCol w:w="1417"/>
        <w:gridCol w:w="1983"/>
        <w:gridCol w:w="1281"/>
        <w:gridCol w:w="1559"/>
      </w:tblGrid>
      <w:tr w:rsidR="00883D79" w:rsidRPr="00883D79" w14:paraId="15731D2A" w14:textId="77777777" w:rsidTr="003D1467">
        <w:trPr>
          <w:trHeight w:val="992"/>
        </w:trPr>
        <w:tc>
          <w:tcPr>
            <w:tcW w:w="3536" w:type="dxa"/>
            <w:tcBorders>
              <w:top w:val="single" w:sz="4" w:space="0" w:color="auto"/>
              <w:left w:val="single" w:sz="4" w:space="0" w:color="auto"/>
              <w:bottom w:val="single" w:sz="4" w:space="0" w:color="auto"/>
              <w:right w:val="single" w:sz="4" w:space="0" w:color="auto"/>
            </w:tcBorders>
            <w:shd w:val="clear" w:color="auto" w:fill="A1BBDB"/>
            <w:noWrap/>
            <w:vAlign w:val="center"/>
            <w:hideMark/>
          </w:tcPr>
          <w:p w14:paraId="2386C434" w14:textId="7457F365" w:rsidR="00883D79" w:rsidRPr="00883D79" w:rsidRDefault="00883D79" w:rsidP="00883D79">
            <w:pPr>
              <w:spacing w:after="0" w:line="240" w:lineRule="auto"/>
              <w:jc w:val="center"/>
              <w:rPr>
                <w:rFonts w:cs="Arial"/>
                <w:b/>
                <w:bCs/>
                <w:color w:val="000000"/>
                <w:sz w:val="16"/>
                <w:szCs w:val="16"/>
              </w:rPr>
            </w:pPr>
            <w:r w:rsidRPr="00883D79">
              <w:rPr>
                <w:rFonts w:cs="Arial"/>
                <w:b/>
                <w:bCs/>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1BBDB"/>
            <w:vAlign w:val="center"/>
            <w:hideMark/>
          </w:tcPr>
          <w:p w14:paraId="0421B764" w14:textId="63C82EC0" w:rsidR="00883D79" w:rsidRPr="00883D79" w:rsidRDefault="00883D79" w:rsidP="00982385">
            <w:pPr>
              <w:spacing w:after="0" w:line="240" w:lineRule="auto"/>
              <w:jc w:val="center"/>
              <w:rPr>
                <w:rFonts w:cs="Arial"/>
                <w:b/>
                <w:bCs/>
                <w:color w:val="000000"/>
                <w:sz w:val="16"/>
                <w:szCs w:val="16"/>
              </w:rPr>
            </w:pPr>
            <w:r w:rsidRPr="00883D79">
              <w:rPr>
                <w:rFonts w:cs="Arial"/>
                <w:b/>
                <w:bCs/>
                <w:color w:val="000000"/>
                <w:sz w:val="16"/>
                <w:szCs w:val="16"/>
              </w:rPr>
              <w:t xml:space="preserve">Celkové výdaje na vzdělávání na </w:t>
            </w:r>
            <w:r w:rsidR="00982385">
              <w:rPr>
                <w:rFonts w:cs="Arial"/>
                <w:b/>
                <w:bCs/>
                <w:color w:val="000000"/>
                <w:sz w:val="16"/>
                <w:szCs w:val="16"/>
              </w:rPr>
              <w:t>1</w:t>
            </w:r>
            <w:r w:rsidRPr="00883D79">
              <w:rPr>
                <w:rFonts w:cs="Arial"/>
                <w:b/>
                <w:bCs/>
                <w:color w:val="000000"/>
                <w:sz w:val="16"/>
                <w:szCs w:val="16"/>
              </w:rPr>
              <w:t xml:space="preserve"> zaměstnance (všechny </w:t>
            </w:r>
            <w:r w:rsidR="00C06CCA">
              <w:rPr>
                <w:rFonts w:cs="Arial"/>
                <w:b/>
                <w:bCs/>
                <w:color w:val="000000"/>
                <w:sz w:val="16"/>
                <w:szCs w:val="16"/>
              </w:rPr>
              <w:t>podniky</w:t>
            </w:r>
            <w:r w:rsidRPr="00883D79">
              <w:rPr>
                <w:rFonts w:cs="Arial"/>
                <w:b/>
                <w:bCs/>
                <w:color w:val="000000"/>
                <w:sz w:val="16"/>
                <w:szCs w:val="16"/>
              </w:rPr>
              <w:t xml:space="preserve">; </w:t>
            </w:r>
            <w:r w:rsidR="00C06CCA">
              <w:rPr>
                <w:rFonts w:cs="Arial"/>
                <w:b/>
                <w:bCs/>
                <w:color w:val="000000"/>
                <w:sz w:val="16"/>
                <w:szCs w:val="16"/>
              </w:rPr>
              <w:t xml:space="preserve">v </w:t>
            </w:r>
            <w:r w:rsidRPr="00883D79">
              <w:rPr>
                <w:rFonts w:cs="Arial"/>
                <w:b/>
                <w:bCs/>
                <w:color w:val="000000"/>
                <w:sz w:val="16"/>
                <w:szCs w:val="16"/>
              </w:rPr>
              <w:t>Kč)</w:t>
            </w:r>
          </w:p>
        </w:tc>
        <w:tc>
          <w:tcPr>
            <w:tcW w:w="1983" w:type="dxa"/>
            <w:tcBorders>
              <w:top w:val="single" w:sz="4" w:space="0" w:color="auto"/>
              <w:left w:val="nil"/>
              <w:bottom w:val="single" w:sz="4" w:space="0" w:color="auto"/>
              <w:right w:val="single" w:sz="4" w:space="0" w:color="auto"/>
            </w:tcBorders>
            <w:shd w:val="clear" w:color="auto" w:fill="A1BBDB"/>
            <w:vAlign w:val="center"/>
            <w:hideMark/>
          </w:tcPr>
          <w:p w14:paraId="51007B76" w14:textId="2A8C2782" w:rsidR="00C06CCA" w:rsidRDefault="00883D79" w:rsidP="00883D79">
            <w:pPr>
              <w:spacing w:after="0" w:line="240" w:lineRule="auto"/>
              <w:jc w:val="center"/>
              <w:rPr>
                <w:rFonts w:cs="Arial"/>
                <w:b/>
                <w:bCs/>
                <w:color w:val="000000"/>
                <w:sz w:val="16"/>
                <w:szCs w:val="16"/>
              </w:rPr>
            </w:pPr>
            <w:r w:rsidRPr="00883D79">
              <w:rPr>
                <w:rFonts w:cs="Arial"/>
                <w:b/>
                <w:bCs/>
                <w:color w:val="000000"/>
                <w:sz w:val="16"/>
                <w:szCs w:val="16"/>
              </w:rPr>
              <w:t xml:space="preserve">Celkové výdaje na vzdělávání na </w:t>
            </w:r>
            <w:r w:rsidR="00982385">
              <w:rPr>
                <w:rFonts w:cs="Arial"/>
                <w:b/>
                <w:bCs/>
                <w:color w:val="000000"/>
                <w:sz w:val="16"/>
                <w:szCs w:val="16"/>
              </w:rPr>
              <w:t>1 </w:t>
            </w:r>
            <w:r w:rsidRPr="00883D79">
              <w:rPr>
                <w:rFonts w:cs="Arial"/>
                <w:b/>
                <w:bCs/>
                <w:color w:val="000000"/>
                <w:sz w:val="16"/>
                <w:szCs w:val="16"/>
              </w:rPr>
              <w:t xml:space="preserve">zaměstnance </w:t>
            </w:r>
          </w:p>
          <w:p w14:paraId="1C852928" w14:textId="679C9CF1" w:rsidR="00883D79" w:rsidRPr="00883D79" w:rsidRDefault="00883D79" w:rsidP="00C06CCA">
            <w:pPr>
              <w:spacing w:after="0" w:line="240" w:lineRule="auto"/>
              <w:jc w:val="center"/>
              <w:rPr>
                <w:rFonts w:cs="Arial"/>
                <w:b/>
                <w:bCs/>
                <w:color w:val="000000"/>
                <w:sz w:val="16"/>
                <w:szCs w:val="16"/>
              </w:rPr>
            </w:pPr>
            <w:r w:rsidRPr="00883D79">
              <w:rPr>
                <w:rFonts w:cs="Arial"/>
                <w:b/>
                <w:bCs/>
                <w:color w:val="000000"/>
                <w:sz w:val="16"/>
                <w:szCs w:val="16"/>
              </w:rPr>
              <w:t>(</w:t>
            </w:r>
            <w:r w:rsidR="00C06CCA">
              <w:rPr>
                <w:rFonts w:cs="Arial"/>
                <w:b/>
                <w:bCs/>
                <w:color w:val="000000"/>
                <w:sz w:val="16"/>
                <w:szCs w:val="16"/>
              </w:rPr>
              <w:t>podniky</w:t>
            </w:r>
            <w:r w:rsidRPr="00883D79">
              <w:rPr>
                <w:rFonts w:cs="Arial"/>
                <w:b/>
                <w:bCs/>
                <w:color w:val="000000"/>
                <w:sz w:val="16"/>
                <w:szCs w:val="16"/>
              </w:rPr>
              <w:t xml:space="preserve"> </w:t>
            </w:r>
            <w:r w:rsidR="00C06CCA">
              <w:rPr>
                <w:rFonts w:cs="Arial"/>
                <w:b/>
                <w:bCs/>
                <w:color w:val="000000"/>
                <w:sz w:val="16"/>
                <w:szCs w:val="16"/>
              </w:rPr>
              <w:t>zajišť</w:t>
            </w:r>
            <w:r w:rsidRPr="00883D79">
              <w:rPr>
                <w:rFonts w:cs="Arial"/>
                <w:b/>
                <w:bCs/>
                <w:color w:val="000000"/>
                <w:sz w:val="16"/>
                <w:szCs w:val="16"/>
              </w:rPr>
              <w:t xml:space="preserve">ující vzdělávání; </w:t>
            </w:r>
            <w:r w:rsidR="00C06CCA">
              <w:rPr>
                <w:rFonts w:cs="Arial"/>
                <w:b/>
                <w:bCs/>
                <w:color w:val="000000"/>
                <w:sz w:val="16"/>
                <w:szCs w:val="16"/>
              </w:rPr>
              <w:t xml:space="preserve">v </w:t>
            </w:r>
            <w:r w:rsidRPr="00883D79">
              <w:rPr>
                <w:rFonts w:cs="Arial"/>
                <w:b/>
                <w:bCs/>
                <w:color w:val="000000"/>
                <w:sz w:val="16"/>
                <w:szCs w:val="16"/>
              </w:rPr>
              <w:t>Kč)</w:t>
            </w:r>
          </w:p>
        </w:tc>
        <w:tc>
          <w:tcPr>
            <w:tcW w:w="1281" w:type="dxa"/>
            <w:tcBorders>
              <w:top w:val="single" w:sz="4" w:space="0" w:color="auto"/>
              <w:left w:val="nil"/>
              <w:bottom w:val="single" w:sz="4" w:space="0" w:color="auto"/>
              <w:right w:val="single" w:sz="4" w:space="0" w:color="auto"/>
            </w:tcBorders>
            <w:shd w:val="clear" w:color="auto" w:fill="A1BBDB"/>
            <w:vAlign w:val="center"/>
            <w:hideMark/>
          </w:tcPr>
          <w:p w14:paraId="4C2C0EA5" w14:textId="77777777" w:rsidR="00C06CCA" w:rsidRDefault="00883D79" w:rsidP="00883D79">
            <w:pPr>
              <w:spacing w:after="0" w:line="240" w:lineRule="auto"/>
              <w:jc w:val="center"/>
              <w:rPr>
                <w:rFonts w:cs="Arial"/>
                <w:b/>
                <w:bCs/>
                <w:color w:val="000000"/>
                <w:sz w:val="16"/>
                <w:szCs w:val="16"/>
              </w:rPr>
            </w:pPr>
            <w:r w:rsidRPr="00883D79">
              <w:rPr>
                <w:rFonts w:cs="Arial"/>
                <w:b/>
                <w:bCs/>
                <w:color w:val="000000"/>
                <w:sz w:val="16"/>
                <w:szCs w:val="16"/>
              </w:rPr>
              <w:t xml:space="preserve">Výdaje za kurzy/školení na jednoho účastníka </w:t>
            </w:r>
          </w:p>
          <w:p w14:paraId="3B88B55B" w14:textId="4EE8986B" w:rsidR="00883D79" w:rsidRPr="00883D79" w:rsidRDefault="00883D79" w:rsidP="00883D79">
            <w:pPr>
              <w:spacing w:after="0" w:line="240" w:lineRule="auto"/>
              <w:jc w:val="center"/>
              <w:rPr>
                <w:rFonts w:cs="Arial"/>
                <w:b/>
                <w:bCs/>
                <w:color w:val="000000"/>
                <w:sz w:val="16"/>
                <w:szCs w:val="16"/>
              </w:rPr>
            </w:pPr>
            <w:r w:rsidRPr="00883D79">
              <w:rPr>
                <w:rFonts w:cs="Arial"/>
                <w:b/>
                <w:bCs/>
                <w:color w:val="000000"/>
                <w:sz w:val="16"/>
                <w:szCs w:val="16"/>
              </w:rPr>
              <w:t>(</w:t>
            </w:r>
            <w:r w:rsidR="00C06CCA">
              <w:rPr>
                <w:rFonts w:cs="Arial"/>
                <w:b/>
                <w:bCs/>
                <w:color w:val="000000"/>
                <w:sz w:val="16"/>
                <w:szCs w:val="16"/>
              </w:rPr>
              <w:t xml:space="preserve">v </w:t>
            </w:r>
            <w:r w:rsidRPr="00883D79">
              <w:rPr>
                <w:rFonts w:cs="Arial"/>
                <w:b/>
                <w:bCs/>
                <w:color w:val="000000"/>
                <w:sz w:val="16"/>
                <w:szCs w:val="16"/>
              </w:rPr>
              <w:t>Kč)</w:t>
            </w:r>
          </w:p>
        </w:tc>
        <w:tc>
          <w:tcPr>
            <w:tcW w:w="1559" w:type="dxa"/>
            <w:tcBorders>
              <w:top w:val="single" w:sz="4" w:space="0" w:color="auto"/>
              <w:left w:val="nil"/>
              <w:bottom w:val="single" w:sz="4" w:space="0" w:color="auto"/>
              <w:right w:val="single" w:sz="4" w:space="0" w:color="auto"/>
            </w:tcBorders>
            <w:shd w:val="clear" w:color="auto" w:fill="A1BBDB"/>
            <w:vAlign w:val="center"/>
            <w:hideMark/>
          </w:tcPr>
          <w:p w14:paraId="7D4007EF" w14:textId="77777777" w:rsidR="00C06CCA" w:rsidRDefault="00883D79" w:rsidP="00883D79">
            <w:pPr>
              <w:spacing w:after="0" w:line="240" w:lineRule="auto"/>
              <w:jc w:val="center"/>
              <w:rPr>
                <w:rFonts w:cs="Arial"/>
                <w:b/>
                <w:bCs/>
                <w:color w:val="000000"/>
                <w:sz w:val="16"/>
                <w:szCs w:val="16"/>
              </w:rPr>
            </w:pPr>
            <w:r w:rsidRPr="00883D79">
              <w:rPr>
                <w:rFonts w:cs="Arial"/>
                <w:b/>
                <w:bCs/>
                <w:color w:val="000000"/>
                <w:sz w:val="16"/>
                <w:szCs w:val="16"/>
              </w:rPr>
              <w:t>Podíl nákladů na vzdělávání</w:t>
            </w:r>
            <w:r>
              <w:rPr>
                <w:rFonts w:cs="Arial"/>
                <w:b/>
                <w:bCs/>
                <w:color w:val="000000"/>
                <w:sz w:val="16"/>
                <w:szCs w:val="16"/>
              </w:rPr>
              <w:t xml:space="preserve"> k </w:t>
            </w:r>
            <w:r w:rsidRPr="00883D79">
              <w:rPr>
                <w:rFonts w:cs="Arial"/>
                <w:b/>
                <w:bCs/>
                <w:color w:val="000000"/>
                <w:sz w:val="16"/>
                <w:szCs w:val="16"/>
              </w:rPr>
              <w:t>celkovým nákladům práce</w:t>
            </w:r>
          </w:p>
          <w:p w14:paraId="06A22506" w14:textId="71B30E7F" w:rsidR="00883D79" w:rsidRPr="00883D79" w:rsidRDefault="00883D79" w:rsidP="00883D79">
            <w:pPr>
              <w:spacing w:after="0" w:line="240" w:lineRule="auto"/>
              <w:jc w:val="center"/>
              <w:rPr>
                <w:rFonts w:cs="Arial"/>
                <w:b/>
                <w:bCs/>
                <w:color w:val="000000"/>
                <w:sz w:val="16"/>
                <w:szCs w:val="16"/>
              </w:rPr>
            </w:pPr>
            <w:r w:rsidRPr="00883D79">
              <w:rPr>
                <w:rFonts w:cs="Arial"/>
                <w:b/>
                <w:bCs/>
                <w:color w:val="000000"/>
                <w:sz w:val="16"/>
                <w:szCs w:val="16"/>
              </w:rPr>
              <w:t xml:space="preserve"> (</w:t>
            </w:r>
            <w:r w:rsidR="00C06CCA">
              <w:rPr>
                <w:rFonts w:cs="Arial"/>
                <w:b/>
                <w:bCs/>
                <w:color w:val="000000"/>
                <w:sz w:val="16"/>
                <w:szCs w:val="16"/>
              </w:rPr>
              <w:t xml:space="preserve">v </w:t>
            </w:r>
            <w:r w:rsidRPr="00883D79">
              <w:rPr>
                <w:rFonts w:cs="Arial"/>
                <w:b/>
                <w:bCs/>
                <w:color w:val="000000"/>
                <w:sz w:val="16"/>
                <w:szCs w:val="16"/>
              </w:rPr>
              <w:t>%)</w:t>
            </w:r>
          </w:p>
        </w:tc>
      </w:tr>
      <w:tr w:rsidR="00883D79" w:rsidRPr="00883D79" w14:paraId="670AB88B" w14:textId="77777777" w:rsidTr="00883D79">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7C32A0C2" w14:textId="77777777" w:rsidR="00883D79" w:rsidRPr="00883D79" w:rsidRDefault="00883D79" w:rsidP="00883D79">
            <w:pPr>
              <w:spacing w:after="0" w:line="240" w:lineRule="auto"/>
              <w:rPr>
                <w:rFonts w:cs="Arial"/>
                <w:b/>
                <w:bCs/>
                <w:color w:val="000000"/>
                <w:sz w:val="16"/>
                <w:szCs w:val="16"/>
              </w:rPr>
            </w:pPr>
            <w:r w:rsidRPr="00883D79">
              <w:rPr>
                <w:rFonts w:cs="Arial"/>
                <w:b/>
                <w:bCs/>
                <w:color w:val="000000"/>
                <w:sz w:val="16"/>
                <w:szCs w:val="16"/>
              </w:rPr>
              <w:t>Celkem</w:t>
            </w:r>
          </w:p>
        </w:tc>
        <w:tc>
          <w:tcPr>
            <w:tcW w:w="1417" w:type="dxa"/>
            <w:tcBorders>
              <w:top w:val="nil"/>
              <w:left w:val="nil"/>
              <w:bottom w:val="single" w:sz="4" w:space="0" w:color="auto"/>
              <w:right w:val="single" w:sz="4" w:space="0" w:color="auto"/>
            </w:tcBorders>
            <w:shd w:val="clear" w:color="auto" w:fill="auto"/>
            <w:noWrap/>
            <w:vAlign w:val="center"/>
            <w:hideMark/>
          </w:tcPr>
          <w:p w14:paraId="3D4E1DC6" w14:textId="77777777" w:rsidR="00883D79" w:rsidRPr="00323EF3" w:rsidRDefault="00883D79" w:rsidP="00883D79">
            <w:pPr>
              <w:spacing w:after="0" w:line="240" w:lineRule="auto"/>
              <w:jc w:val="right"/>
              <w:rPr>
                <w:rFonts w:cs="Arial"/>
                <w:b/>
                <w:color w:val="000000"/>
                <w:sz w:val="16"/>
                <w:szCs w:val="16"/>
              </w:rPr>
            </w:pPr>
            <w:r w:rsidRPr="00323EF3">
              <w:rPr>
                <w:rFonts w:cs="Arial"/>
                <w:b/>
                <w:color w:val="000000"/>
                <w:sz w:val="16"/>
                <w:szCs w:val="16"/>
              </w:rPr>
              <w:t>2 431</w:t>
            </w:r>
          </w:p>
        </w:tc>
        <w:tc>
          <w:tcPr>
            <w:tcW w:w="1983" w:type="dxa"/>
            <w:tcBorders>
              <w:top w:val="nil"/>
              <w:left w:val="nil"/>
              <w:bottom w:val="single" w:sz="4" w:space="0" w:color="auto"/>
              <w:right w:val="single" w:sz="4" w:space="0" w:color="auto"/>
            </w:tcBorders>
            <w:shd w:val="clear" w:color="auto" w:fill="auto"/>
            <w:noWrap/>
            <w:vAlign w:val="center"/>
            <w:hideMark/>
          </w:tcPr>
          <w:p w14:paraId="78D912F6" w14:textId="77777777" w:rsidR="00883D79" w:rsidRPr="00323EF3" w:rsidRDefault="00883D79" w:rsidP="00883D79">
            <w:pPr>
              <w:spacing w:after="0" w:line="240" w:lineRule="auto"/>
              <w:jc w:val="right"/>
              <w:rPr>
                <w:rFonts w:cs="Arial"/>
                <w:b/>
                <w:color w:val="000000"/>
                <w:sz w:val="16"/>
                <w:szCs w:val="16"/>
              </w:rPr>
            </w:pPr>
            <w:r w:rsidRPr="00323EF3">
              <w:rPr>
                <w:rFonts w:cs="Arial"/>
                <w:b/>
                <w:color w:val="000000"/>
                <w:sz w:val="16"/>
                <w:szCs w:val="16"/>
              </w:rPr>
              <w:t>2 569</w:t>
            </w:r>
          </w:p>
        </w:tc>
        <w:tc>
          <w:tcPr>
            <w:tcW w:w="1281" w:type="dxa"/>
            <w:tcBorders>
              <w:top w:val="nil"/>
              <w:left w:val="nil"/>
              <w:bottom w:val="single" w:sz="4" w:space="0" w:color="auto"/>
              <w:right w:val="single" w:sz="4" w:space="0" w:color="auto"/>
            </w:tcBorders>
            <w:shd w:val="clear" w:color="auto" w:fill="auto"/>
            <w:noWrap/>
            <w:vAlign w:val="center"/>
            <w:hideMark/>
          </w:tcPr>
          <w:p w14:paraId="3AB965FF" w14:textId="77777777" w:rsidR="00883D79" w:rsidRPr="00323EF3" w:rsidRDefault="00883D79" w:rsidP="00883D79">
            <w:pPr>
              <w:spacing w:after="0" w:line="240" w:lineRule="auto"/>
              <w:jc w:val="right"/>
              <w:rPr>
                <w:rFonts w:cs="Arial"/>
                <w:b/>
                <w:color w:val="000000"/>
                <w:sz w:val="16"/>
                <w:szCs w:val="16"/>
              </w:rPr>
            </w:pPr>
            <w:r w:rsidRPr="00323EF3">
              <w:rPr>
                <w:rFonts w:cs="Arial"/>
                <w:b/>
                <w:color w:val="000000"/>
                <w:sz w:val="16"/>
                <w:szCs w:val="16"/>
              </w:rPr>
              <w:t>2 874</w:t>
            </w:r>
          </w:p>
        </w:tc>
        <w:tc>
          <w:tcPr>
            <w:tcW w:w="1559" w:type="dxa"/>
            <w:tcBorders>
              <w:top w:val="nil"/>
              <w:left w:val="nil"/>
              <w:bottom w:val="single" w:sz="4" w:space="0" w:color="auto"/>
              <w:right w:val="single" w:sz="4" w:space="0" w:color="auto"/>
            </w:tcBorders>
            <w:shd w:val="clear" w:color="auto" w:fill="auto"/>
            <w:noWrap/>
            <w:vAlign w:val="center"/>
            <w:hideMark/>
          </w:tcPr>
          <w:p w14:paraId="758AC093" w14:textId="17BFACFC" w:rsidR="00883D79" w:rsidRPr="000E34EE" w:rsidRDefault="000E34EE" w:rsidP="000E34EE">
            <w:pPr>
              <w:spacing w:after="0" w:line="240" w:lineRule="auto"/>
              <w:jc w:val="right"/>
              <w:rPr>
                <w:rFonts w:cs="Arial"/>
                <w:color w:val="000000"/>
                <w:sz w:val="16"/>
                <w:szCs w:val="16"/>
              </w:rPr>
            </w:pPr>
            <w:r>
              <w:rPr>
                <w:rFonts w:cs="Arial"/>
                <w:color w:val="000000"/>
                <w:sz w:val="16"/>
                <w:szCs w:val="16"/>
              </w:rPr>
              <w:t>0,42</w:t>
            </w:r>
          </w:p>
        </w:tc>
      </w:tr>
      <w:tr w:rsidR="00883D79" w:rsidRPr="00883D79" w14:paraId="110A504B" w14:textId="77777777" w:rsidTr="00883D79">
        <w:trPr>
          <w:trHeight w:val="300"/>
        </w:trPr>
        <w:tc>
          <w:tcPr>
            <w:tcW w:w="9776"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21569121" w14:textId="47CB7511" w:rsidR="00883D79" w:rsidRPr="00883D79" w:rsidRDefault="00A31802" w:rsidP="00883D79">
            <w:pPr>
              <w:spacing w:after="0" w:line="240" w:lineRule="auto"/>
              <w:rPr>
                <w:rFonts w:cs="Arial"/>
                <w:b/>
                <w:bCs/>
                <w:color w:val="000000"/>
                <w:sz w:val="16"/>
                <w:szCs w:val="16"/>
              </w:rPr>
            </w:pPr>
            <w:r>
              <w:rPr>
                <w:rFonts w:cs="Arial"/>
                <w:b/>
                <w:bCs/>
                <w:color w:val="000000"/>
                <w:sz w:val="16"/>
                <w:szCs w:val="16"/>
              </w:rPr>
              <w:t xml:space="preserve"> </w:t>
            </w:r>
            <w:r w:rsidR="00883D79" w:rsidRPr="00883D79">
              <w:rPr>
                <w:rFonts w:cs="Arial"/>
                <w:b/>
                <w:bCs/>
                <w:color w:val="000000"/>
                <w:sz w:val="16"/>
                <w:szCs w:val="16"/>
              </w:rPr>
              <w:t xml:space="preserve">podle počtu zaměstnanců </w:t>
            </w:r>
          </w:p>
        </w:tc>
      </w:tr>
      <w:tr w:rsidR="000E34EE" w:rsidRPr="00883D79" w14:paraId="734F0162" w14:textId="77777777" w:rsidTr="00A50557">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53B714A7" w14:textId="77777777" w:rsidR="000E34EE" w:rsidRPr="00883D79" w:rsidRDefault="000E34EE" w:rsidP="000E34EE">
            <w:pPr>
              <w:spacing w:after="0" w:line="240" w:lineRule="auto"/>
              <w:rPr>
                <w:rFonts w:cs="Arial"/>
                <w:color w:val="000000"/>
                <w:sz w:val="16"/>
                <w:szCs w:val="16"/>
              </w:rPr>
            </w:pPr>
            <w:r w:rsidRPr="00883D79">
              <w:rPr>
                <w:rFonts w:cs="Arial"/>
                <w:color w:val="000000"/>
                <w:sz w:val="16"/>
                <w:szCs w:val="16"/>
              </w:rPr>
              <w:t>10–19 zaměstnanců</w:t>
            </w:r>
          </w:p>
        </w:tc>
        <w:tc>
          <w:tcPr>
            <w:tcW w:w="1417" w:type="dxa"/>
            <w:tcBorders>
              <w:top w:val="nil"/>
              <w:left w:val="nil"/>
              <w:bottom w:val="single" w:sz="4" w:space="0" w:color="auto"/>
              <w:right w:val="single" w:sz="4" w:space="0" w:color="auto"/>
            </w:tcBorders>
            <w:shd w:val="clear" w:color="auto" w:fill="auto"/>
            <w:noWrap/>
            <w:vAlign w:val="center"/>
            <w:hideMark/>
          </w:tcPr>
          <w:p w14:paraId="31A0287B"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1 687</w:t>
            </w:r>
          </w:p>
        </w:tc>
        <w:tc>
          <w:tcPr>
            <w:tcW w:w="1983" w:type="dxa"/>
            <w:tcBorders>
              <w:top w:val="nil"/>
              <w:left w:val="nil"/>
              <w:bottom w:val="single" w:sz="4" w:space="0" w:color="auto"/>
              <w:right w:val="single" w:sz="4" w:space="0" w:color="auto"/>
            </w:tcBorders>
            <w:shd w:val="clear" w:color="auto" w:fill="auto"/>
            <w:noWrap/>
            <w:vAlign w:val="center"/>
            <w:hideMark/>
          </w:tcPr>
          <w:p w14:paraId="683DBA0B"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2 075</w:t>
            </w:r>
          </w:p>
        </w:tc>
        <w:tc>
          <w:tcPr>
            <w:tcW w:w="1281" w:type="dxa"/>
            <w:tcBorders>
              <w:top w:val="nil"/>
              <w:left w:val="nil"/>
              <w:bottom w:val="single" w:sz="4" w:space="0" w:color="auto"/>
              <w:right w:val="single" w:sz="4" w:space="0" w:color="auto"/>
            </w:tcBorders>
            <w:shd w:val="clear" w:color="auto" w:fill="auto"/>
            <w:noWrap/>
            <w:vAlign w:val="center"/>
            <w:hideMark/>
          </w:tcPr>
          <w:p w14:paraId="23171D27"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2 180</w:t>
            </w:r>
          </w:p>
        </w:tc>
        <w:tc>
          <w:tcPr>
            <w:tcW w:w="1559" w:type="dxa"/>
            <w:tcBorders>
              <w:top w:val="nil"/>
              <w:left w:val="nil"/>
              <w:bottom w:val="single" w:sz="4" w:space="0" w:color="auto"/>
              <w:right w:val="single" w:sz="4" w:space="0" w:color="auto"/>
            </w:tcBorders>
            <w:shd w:val="clear" w:color="auto" w:fill="auto"/>
            <w:noWrap/>
            <w:vAlign w:val="center"/>
            <w:hideMark/>
          </w:tcPr>
          <w:p w14:paraId="48C61CE3" w14:textId="419D0A42" w:rsidR="000E34EE" w:rsidRPr="00A50557" w:rsidRDefault="000E34EE" w:rsidP="000E34EE">
            <w:pPr>
              <w:spacing w:after="0" w:line="240" w:lineRule="auto"/>
              <w:jc w:val="right"/>
              <w:rPr>
                <w:rFonts w:cs="Arial"/>
                <w:color w:val="000000"/>
                <w:sz w:val="16"/>
                <w:szCs w:val="16"/>
              </w:rPr>
            </w:pPr>
            <w:r w:rsidRPr="00A50557">
              <w:rPr>
                <w:sz w:val="16"/>
                <w:szCs w:val="16"/>
              </w:rPr>
              <w:t>0,39</w:t>
            </w:r>
          </w:p>
        </w:tc>
      </w:tr>
      <w:tr w:rsidR="000E34EE" w:rsidRPr="00883D79" w14:paraId="796ECEB8" w14:textId="77777777" w:rsidTr="00A50557">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38F51366" w14:textId="77777777" w:rsidR="000E34EE" w:rsidRPr="00883D79" w:rsidRDefault="000E34EE" w:rsidP="000E34EE">
            <w:pPr>
              <w:spacing w:after="0" w:line="240" w:lineRule="auto"/>
              <w:rPr>
                <w:rFonts w:cs="Arial"/>
                <w:color w:val="000000"/>
                <w:sz w:val="16"/>
                <w:szCs w:val="16"/>
              </w:rPr>
            </w:pPr>
            <w:r w:rsidRPr="00883D79">
              <w:rPr>
                <w:rFonts w:cs="Arial"/>
                <w:color w:val="000000"/>
                <w:sz w:val="16"/>
                <w:szCs w:val="16"/>
              </w:rPr>
              <w:t>20–49 zaměstnanců</w:t>
            </w:r>
          </w:p>
        </w:tc>
        <w:tc>
          <w:tcPr>
            <w:tcW w:w="1417" w:type="dxa"/>
            <w:tcBorders>
              <w:top w:val="nil"/>
              <w:left w:val="nil"/>
              <w:bottom w:val="single" w:sz="4" w:space="0" w:color="auto"/>
              <w:right w:val="single" w:sz="4" w:space="0" w:color="auto"/>
            </w:tcBorders>
            <w:shd w:val="clear" w:color="auto" w:fill="auto"/>
            <w:noWrap/>
            <w:vAlign w:val="center"/>
            <w:hideMark/>
          </w:tcPr>
          <w:p w14:paraId="2CF60134"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1 790</w:t>
            </w:r>
          </w:p>
        </w:tc>
        <w:tc>
          <w:tcPr>
            <w:tcW w:w="1983" w:type="dxa"/>
            <w:tcBorders>
              <w:top w:val="nil"/>
              <w:left w:val="nil"/>
              <w:bottom w:val="single" w:sz="4" w:space="0" w:color="auto"/>
              <w:right w:val="single" w:sz="4" w:space="0" w:color="auto"/>
            </w:tcBorders>
            <w:shd w:val="clear" w:color="auto" w:fill="auto"/>
            <w:noWrap/>
            <w:vAlign w:val="center"/>
            <w:hideMark/>
          </w:tcPr>
          <w:p w14:paraId="7498F6DD"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2 020</w:t>
            </w:r>
          </w:p>
        </w:tc>
        <w:tc>
          <w:tcPr>
            <w:tcW w:w="1281" w:type="dxa"/>
            <w:tcBorders>
              <w:top w:val="nil"/>
              <w:left w:val="nil"/>
              <w:bottom w:val="single" w:sz="4" w:space="0" w:color="auto"/>
              <w:right w:val="single" w:sz="4" w:space="0" w:color="auto"/>
            </w:tcBorders>
            <w:shd w:val="clear" w:color="auto" w:fill="auto"/>
            <w:noWrap/>
            <w:vAlign w:val="center"/>
            <w:hideMark/>
          </w:tcPr>
          <w:p w14:paraId="2B43675C"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2 059</w:t>
            </w:r>
          </w:p>
        </w:tc>
        <w:tc>
          <w:tcPr>
            <w:tcW w:w="1559" w:type="dxa"/>
            <w:tcBorders>
              <w:top w:val="nil"/>
              <w:left w:val="nil"/>
              <w:bottom w:val="single" w:sz="4" w:space="0" w:color="auto"/>
              <w:right w:val="single" w:sz="4" w:space="0" w:color="auto"/>
            </w:tcBorders>
            <w:shd w:val="clear" w:color="auto" w:fill="auto"/>
            <w:noWrap/>
            <w:vAlign w:val="center"/>
            <w:hideMark/>
          </w:tcPr>
          <w:p w14:paraId="53E0FDA0" w14:textId="3A9C4416" w:rsidR="000E34EE" w:rsidRPr="00A50557" w:rsidRDefault="000E34EE" w:rsidP="000E34EE">
            <w:pPr>
              <w:spacing w:after="0" w:line="240" w:lineRule="auto"/>
              <w:jc w:val="right"/>
              <w:rPr>
                <w:rFonts w:cs="Arial"/>
                <w:color w:val="000000"/>
                <w:sz w:val="16"/>
                <w:szCs w:val="16"/>
              </w:rPr>
            </w:pPr>
            <w:r w:rsidRPr="00A50557">
              <w:rPr>
                <w:sz w:val="16"/>
                <w:szCs w:val="16"/>
              </w:rPr>
              <w:t>0,37</w:t>
            </w:r>
          </w:p>
        </w:tc>
      </w:tr>
      <w:tr w:rsidR="000E34EE" w:rsidRPr="00883D79" w14:paraId="7A55E857" w14:textId="77777777" w:rsidTr="00A50557">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2AFD62C1" w14:textId="77777777" w:rsidR="000E34EE" w:rsidRPr="00883D79" w:rsidRDefault="000E34EE" w:rsidP="000E34EE">
            <w:pPr>
              <w:spacing w:after="0" w:line="240" w:lineRule="auto"/>
              <w:rPr>
                <w:rFonts w:cs="Arial"/>
                <w:color w:val="000000"/>
                <w:sz w:val="16"/>
                <w:szCs w:val="16"/>
              </w:rPr>
            </w:pPr>
            <w:r w:rsidRPr="00883D79">
              <w:rPr>
                <w:rFonts w:cs="Arial"/>
                <w:color w:val="000000"/>
                <w:sz w:val="16"/>
                <w:szCs w:val="16"/>
              </w:rPr>
              <w:t>50–249 zaměstnanců</w:t>
            </w:r>
          </w:p>
        </w:tc>
        <w:tc>
          <w:tcPr>
            <w:tcW w:w="1417" w:type="dxa"/>
            <w:tcBorders>
              <w:top w:val="nil"/>
              <w:left w:val="nil"/>
              <w:bottom w:val="single" w:sz="4" w:space="0" w:color="auto"/>
              <w:right w:val="single" w:sz="4" w:space="0" w:color="auto"/>
            </w:tcBorders>
            <w:shd w:val="clear" w:color="auto" w:fill="auto"/>
            <w:noWrap/>
            <w:vAlign w:val="center"/>
            <w:hideMark/>
          </w:tcPr>
          <w:p w14:paraId="55C24DF8"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2 117</w:t>
            </w:r>
          </w:p>
        </w:tc>
        <w:tc>
          <w:tcPr>
            <w:tcW w:w="1983" w:type="dxa"/>
            <w:tcBorders>
              <w:top w:val="nil"/>
              <w:left w:val="nil"/>
              <w:bottom w:val="single" w:sz="4" w:space="0" w:color="auto"/>
              <w:right w:val="single" w:sz="4" w:space="0" w:color="auto"/>
            </w:tcBorders>
            <w:shd w:val="clear" w:color="auto" w:fill="auto"/>
            <w:noWrap/>
            <w:vAlign w:val="center"/>
            <w:hideMark/>
          </w:tcPr>
          <w:p w14:paraId="1A36045A"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2 249</w:t>
            </w:r>
          </w:p>
        </w:tc>
        <w:tc>
          <w:tcPr>
            <w:tcW w:w="1281" w:type="dxa"/>
            <w:tcBorders>
              <w:top w:val="nil"/>
              <w:left w:val="nil"/>
              <w:bottom w:val="single" w:sz="4" w:space="0" w:color="auto"/>
              <w:right w:val="single" w:sz="4" w:space="0" w:color="auto"/>
            </w:tcBorders>
            <w:shd w:val="clear" w:color="auto" w:fill="auto"/>
            <w:noWrap/>
            <w:vAlign w:val="center"/>
            <w:hideMark/>
          </w:tcPr>
          <w:p w14:paraId="2551C1B2"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2 595</w:t>
            </w:r>
          </w:p>
        </w:tc>
        <w:tc>
          <w:tcPr>
            <w:tcW w:w="1559" w:type="dxa"/>
            <w:tcBorders>
              <w:top w:val="nil"/>
              <w:left w:val="nil"/>
              <w:bottom w:val="single" w:sz="4" w:space="0" w:color="auto"/>
              <w:right w:val="single" w:sz="4" w:space="0" w:color="auto"/>
            </w:tcBorders>
            <w:shd w:val="clear" w:color="auto" w:fill="auto"/>
            <w:noWrap/>
            <w:vAlign w:val="center"/>
            <w:hideMark/>
          </w:tcPr>
          <w:p w14:paraId="4C808AB4" w14:textId="7170F473" w:rsidR="000E34EE" w:rsidRPr="00A50557" w:rsidRDefault="000E34EE" w:rsidP="000E34EE">
            <w:pPr>
              <w:spacing w:after="0" w:line="240" w:lineRule="auto"/>
              <w:jc w:val="right"/>
              <w:rPr>
                <w:rFonts w:cs="Arial"/>
                <w:color w:val="000000"/>
                <w:sz w:val="16"/>
                <w:szCs w:val="16"/>
              </w:rPr>
            </w:pPr>
            <w:r w:rsidRPr="00A50557">
              <w:rPr>
                <w:sz w:val="16"/>
                <w:szCs w:val="16"/>
              </w:rPr>
              <w:t>0,38</w:t>
            </w:r>
          </w:p>
        </w:tc>
      </w:tr>
      <w:tr w:rsidR="000E34EE" w:rsidRPr="00883D79" w14:paraId="3C6F7F2E" w14:textId="77777777" w:rsidTr="00A50557">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4CBF4059" w14:textId="77777777" w:rsidR="000E34EE" w:rsidRPr="00883D79" w:rsidRDefault="000E34EE" w:rsidP="000E34EE">
            <w:pPr>
              <w:spacing w:after="0" w:line="240" w:lineRule="auto"/>
              <w:rPr>
                <w:rFonts w:cs="Arial"/>
                <w:color w:val="000000"/>
                <w:sz w:val="16"/>
                <w:szCs w:val="16"/>
              </w:rPr>
            </w:pPr>
            <w:r w:rsidRPr="00883D79">
              <w:rPr>
                <w:rFonts w:cs="Arial"/>
                <w:color w:val="000000"/>
                <w:sz w:val="16"/>
                <w:szCs w:val="16"/>
              </w:rPr>
              <w:t>250 a více zaměstnanců</w:t>
            </w:r>
          </w:p>
        </w:tc>
        <w:tc>
          <w:tcPr>
            <w:tcW w:w="1417" w:type="dxa"/>
            <w:tcBorders>
              <w:top w:val="nil"/>
              <w:left w:val="nil"/>
              <w:bottom w:val="single" w:sz="4" w:space="0" w:color="auto"/>
              <w:right w:val="single" w:sz="4" w:space="0" w:color="auto"/>
            </w:tcBorders>
            <w:shd w:val="clear" w:color="auto" w:fill="auto"/>
            <w:noWrap/>
            <w:vAlign w:val="center"/>
            <w:hideMark/>
          </w:tcPr>
          <w:p w14:paraId="60148227"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2 944</w:t>
            </w:r>
          </w:p>
        </w:tc>
        <w:tc>
          <w:tcPr>
            <w:tcW w:w="1983" w:type="dxa"/>
            <w:tcBorders>
              <w:top w:val="nil"/>
              <w:left w:val="nil"/>
              <w:bottom w:val="single" w:sz="4" w:space="0" w:color="auto"/>
              <w:right w:val="single" w:sz="4" w:space="0" w:color="auto"/>
            </w:tcBorders>
            <w:shd w:val="clear" w:color="auto" w:fill="auto"/>
            <w:noWrap/>
            <w:vAlign w:val="center"/>
            <w:hideMark/>
          </w:tcPr>
          <w:p w14:paraId="0DD1FA9F"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2 967</w:t>
            </w:r>
          </w:p>
        </w:tc>
        <w:tc>
          <w:tcPr>
            <w:tcW w:w="1281" w:type="dxa"/>
            <w:tcBorders>
              <w:top w:val="nil"/>
              <w:left w:val="nil"/>
              <w:bottom w:val="single" w:sz="4" w:space="0" w:color="auto"/>
              <w:right w:val="single" w:sz="4" w:space="0" w:color="auto"/>
            </w:tcBorders>
            <w:shd w:val="clear" w:color="auto" w:fill="auto"/>
            <w:noWrap/>
            <w:vAlign w:val="center"/>
            <w:hideMark/>
          </w:tcPr>
          <w:p w14:paraId="4B88612E" w14:textId="77777777" w:rsidR="000E34EE" w:rsidRPr="00883D79" w:rsidRDefault="000E34EE" w:rsidP="000E34EE">
            <w:pPr>
              <w:spacing w:after="0" w:line="240" w:lineRule="auto"/>
              <w:jc w:val="right"/>
              <w:rPr>
                <w:rFonts w:cs="Arial"/>
                <w:color w:val="000000"/>
                <w:sz w:val="16"/>
                <w:szCs w:val="16"/>
              </w:rPr>
            </w:pPr>
            <w:r w:rsidRPr="00883D79">
              <w:rPr>
                <w:rFonts w:cs="Arial"/>
                <w:color w:val="000000"/>
                <w:sz w:val="16"/>
                <w:szCs w:val="16"/>
              </w:rPr>
              <w:t>3 373</w:t>
            </w:r>
          </w:p>
        </w:tc>
        <w:tc>
          <w:tcPr>
            <w:tcW w:w="1559" w:type="dxa"/>
            <w:tcBorders>
              <w:top w:val="nil"/>
              <w:left w:val="nil"/>
              <w:bottom w:val="single" w:sz="4" w:space="0" w:color="auto"/>
              <w:right w:val="single" w:sz="4" w:space="0" w:color="auto"/>
            </w:tcBorders>
            <w:shd w:val="clear" w:color="auto" w:fill="auto"/>
            <w:noWrap/>
            <w:vAlign w:val="center"/>
            <w:hideMark/>
          </w:tcPr>
          <w:p w14:paraId="4A04FD20" w14:textId="713F8EE6" w:rsidR="000E34EE" w:rsidRPr="00A50557" w:rsidRDefault="000E34EE" w:rsidP="000E34EE">
            <w:pPr>
              <w:spacing w:after="0" w:line="240" w:lineRule="auto"/>
              <w:jc w:val="right"/>
              <w:rPr>
                <w:rFonts w:cs="Arial"/>
                <w:color w:val="000000"/>
                <w:sz w:val="16"/>
                <w:szCs w:val="16"/>
              </w:rPr>
            </w:pPr>
            <w:r w:rsidRPr="00A50557">
              <w:rPr>
                <w:sz w:val="16"/>
                <w:szCs w:val="16"/>
              </w:rPr>
              <w:t>0,45</w:t>
            </w:r>
          </w:p>
        </w:tc>
      </w:tr>
      <w:tr w:rsidR="00883D79" w:rsidRPr="00883D79" w14:paraId="6345E19C" w14:textId="77777777" w:rsidTr="00883D79">
        <w:trPr>
          <w:trHeight w:val="300"/>
        </w:trPr>
        <w:tc>
          <w:tcPr>
            <w:tcW w:w="9776"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1C6ED74A" w14:textId="5D531B5A" w:rsidR="00883D79" w:rsidRPr="00883D79" w:rsidRDefault="00A31802" w:rsidP="00552396">
            <w:pPr>
              <w:spacing w:after="0" w:line="240" w:lineRule="auto"/>
              <w:rPr>
                <w:rFonts w:cs="Arial"/>
                <w:b/>
                <w:bCs/>
                <w:color w:val="000000"/>
                <w:sz w:val="16"/>
                <w:szCs w:val="16"/>
              </w:rPr>
            </w:pPr>
            <w:r>
              <w:rPr>
                <w:rFonts w:cs="Arial"/>
                <w:b/>
                <w:bCs/>
                <w:color w:val="000000"/>
                <w:sz w:val="16"/>
                <w:szCs w:val="16"/>
              </w:rPr>
              <w:t xml:space="preserve"> </w:t>
            </w:r>
            <w:r w:rsidR="00552396">
              <w:rPr>
                <w:rFonts w:cs="Arial"/>
                <w:b/>
                <w:bCs/>
                <w:color w:val="000000"/>
                <w:sz w:val="16"/>
                <w:szCs w:val="16"/>
              </w:rPr>
              <w:t>podle vlastnictví</w:t>
            </w:r>
          </w:p>
        </w:tc>
      </w:tr>
      <w:tr w:rsidR="00883D79" w:rsidRPr="00883D79" w14:paraId="16BFA683" w14:textId="77777777" w:rsidTr="00883D79">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0AED1290" w14:textId="0F86D7A9" w:rsidR="00883D79" w:rsidRPr="00883D79" w:rsidRDefault="00552396" w:rsidP="00883D79">
            <w:pPr>
              <w:spacing w:after="0" w:line="240" w:lineRule="auto"/>
              <w:rPr>
                <w:rFonts w:cs="Arial"/>
                <w:color w:val="000000"/>
                <w:sz w:val="16"/>
                <w:szCs w:val="16"/>
              </w:rPr>
            </w:pPr>
            <w:r>
              <w:rPr>
                <w:rFonts w:cs="Arial"/>
                <w:color w:val="000000"/>
                <w:sz w:val="16"/>
                <w:szCs w:val="16"/>
              </w:rPr>
              <w:t>domácí podniky</w:t>
            </w:r>
          </w:p>
        </w:tc>
        <w:tc>
          <w:tcPr>
            <w:tcW w:w="1417" w:type="dxa"/>
            <w:tcBorders>
              <w:top w:val="nil"/>
              <w:left w:val="nil"/>
              <w:bottom w:val="single" w:sz="4" w:space="0" w:color="auto"/>
              <w:right w:val="single" w:sz="4" w:space="0" w:color="auto"/>
            </w:tcBorders>
            <w:shd w:val="clear" w:color="auto" w:fill="auto"/>
            <w:noWrap/>
            <w:vAlign w:val="center"/>
            <w:hideMark/>
          </w:tcPr>
          <w:p w14:paraId="43EDDF93"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1 798</w:t>
            </w:r>
          </w:p>
        </w:tc>
        <w:tc>
          <w:tcPr>
            <w:tcW w:w="1983" w:type="dxa"/>
            <w:tcBorders>
              <w:top w:val="nil"/>
              <w:left w:val="nil"/>
              <w:bottom w:val="single" w:sz="4" w:space="0" w:color="auto"/>
              <w:right w:val="single" w:sz="4" w:space="0" w:color="auto"/>
            </w:tcBorders>
            <w:shd w:val="clear" w:color="auto" w:fill="auto"/>
            <w:noWrap/>
            <w:vAlign w:val="center"/>
            <w:hideMark/>
          </w:tcPr>
          <w:p w14:paraId="17A6EC43"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1 960</w:t>
            </w:r>
          </w:p>
        </w:tc>
        <w:tc>
          <w:tcPr>
            <w:tcW w:w="1281" w:type="dxa"/>
            <w:tcBorders>
              <w:top w:val="nil"/>
              <w:left w:val="nil"/>
              <w:bottom w:val="single" w:sz="4" w:space="0" w:color="auto"/>
              <w:right w:val="single" w:sz="4" w:space="0" w:color="auto"/>
            </w:tcBorders>
            <w:shd w:val="clear" w:color="auto" w:fill="auto"/>
            <w:noWrap/>
            <w:vAlign w:val="center"/>
            <w:hideMark/>
          </w:tcPr>
          <w:p w14:paraId="79C2825B"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2 229</w:t>
            </w:r>
          </w:p>
        </w:tc>
        <w:tc>
          <w:tcPr>
            <w:tcW w:w="1559" w:type="dxa"/>
            <w:tcBorders>
              <w:top w:val="nil"/>
              <w:left w:val="nil"/>
              <w:bottom w:val="single" w:sz="4" w:space="0" w:color="auto"/>
              <w:right w:val="single" w:sz="4" w:space="0" w:color="auto"/>
            </w:tcBorders>
            <w:shd w:val="clear" w:color="auto" w:fill="auto"/>
            <w:noWrap/>
            <w:vAlign w:val="center"/>
            <w:hideMark/>
          </w:tcPr>
          <w:p w14:paraId="360FC9DB" w14:textId="6FA6B9FB" w:rsidR="00883D79" w:rsidRPr="00883D79" w:rsidRDefault="00883D79" w:rsidP="000E34EE">
            <w:pPr>
              <w:spacing w:after="0" w:line="240" w:lineRule="auto"/>
              <w:jc w:val="right"/>
              <w:rPr>
                <w:rFonts w:cs="Arial"/>
                <w:color w:val="000000"/>
                <w:sz w:val="16"/>
                <w:szCs w:val="16"/>
              </w:rPr>
            </w:pPr>
            <w:r w:rsidRPr="00883D79">
              <w:rPr>
                <w:rFonts w:cs="Arial"/>
                <w:color w:val="000000"/>
                <w:sz w:val="16"/>
                <w:szCs w:val="16"/>
              </w:rPr>
              <w:t>0,</w:t>
            </w:r>
            <w:r w:rsidR="000E34EE">
              <w:rPr>
                <w:rFonts w:cs="Arial"/>
                <w:color w:val="000000"/>
                <w:sz w:val="16"/>
                <w:szCs w:val="16"/>
              </w:rPr>
              <w:t>37</w:t>
            </w:r>
          </w:p>
        </w:tc>
      </w:tr>
      <w:tr w:rsidR="00883D79" w:rsidRPr="00883D79" w14:paraId="1A2924D3" w14:textId="77777777" w:rsidTr="00883D79">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51639BCC" w14:textId="7712E9F2" w:rsidR="00883D79" w:rsidRPr="00883D79" w:rsidRDefault="00552396" w:rsidP="00883D79">
            <w:pPr>
              <w:spacing w:after="0" w:line="240" w:lineRule="auto"/>
              <w:rPr>
                <w:rFonts w:cs="Arial"/>
                <w:color w:val="000000"/>
                <w:sz w:val="16"/>
                <w:szCs w:val="16"/>
              </w:rPr>
            </w:pPr>
            <w:r>
              <w:rPr>
                <w:rFonts w:cs="Arial"/>
                <w:color w:val="000000"/>
                <w:sz w:val="16"/>
                <w:szCs w:val="16"/>
              </w:rPr>
              <w:t>podniky pod zahraniční kontrolou</w:t>
            </w:r>
          </w:p>
        </w:tc>
        <w:tc>
          <w:tcPr>
            <w:tcW w:w="1417" w:type="dxa"/>
            <w:tcBorders>
              <w:top w:val="nil"/>
              <w:left w:val="nil"/>
              <w:bottom w:val="single" w:sz="4" w:space="0" w:color="auto"/>
              <w:right w:val="single" w:sz="4" w:space="0" w:color="auto"/>
            </w:tcBorders>
            <w:shd w:val="clear" w:color="auto" w:fill="auto"/>
            <w:noWrap/>
            <w:vAlign w:val="center"/>
            <w:hideMark/>
          </w:tcPr>
          <w:p w14:paraId="755CC164"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3 317</w:t>
            </w:r>
          </w:p>
        </w:tc>
        <w:tc>
          <w:tcPr>
            <w:tcW w:w="1983" w:type="dxa"/>
            <w:tcBorders>
              <w:top w:val="nil"/>
              <w:left w:val="nil"/>
              <w:bottom w:val="single" w:sz="4" w:space="0" w:color="auto"/>
              <w:right w:val="single" w:sz="4" w:space="0" w:color="auto"/>
            </w:tcBorders>
            <w:shd w:val="clear" w:color="auto" w:fill="auto"/>
            <w:noWrap/>
            <w:vAlign w:val="center"/>
            <w:hideMark/>
          </w:tcPr>
          <w:p w14:paraId="027402D5"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3 363</w:t>
            </w:r>
          </w:p>
        </w:tc>
        <w:tc>
          <w:tcPr>
            <w:tcW w:w="1281" w:type="dxa"/>
            <w:tcBorders>
              <w:top w:val="nil"/>
              <w:left w:val="nil"/>
              <w:bottom w:val="single" w:sz="4" w:space="0" w:color="auto"/>
              <w:right w:val="single" w:sz="4" w:space="0" w:color="auto"/>
            </w:tcBorders>
            <w:shd w:val="clear" w:color="auto" w:fill="auto"/>
            <w:noWrap/>
            <w:vAlign w:val="center"/>
            <w:hideMark/>
          </w:tcPr>
          <w:p w14:paraId="379D4F44" w14:textId="77777777" w:rsidR="00883D79" w:rsidRPr="00883D79" w:rsidRDefault="00883D79" w:rsidP="00883D79">
            <w:pPr>
              <w:spacing w:after="0" w:line="240" w:lineRule="auto"/>
              <w:jc w:val="right"/>
              <w:rPr>
                <w:rFonts w:cs="Arial"/>
                <w:color w:val="000000"/>
                <w:sz w:val="16"/>
                <w:szCs w:val="16"/>
              </w:rPr>
            </w:pPr>
            <w:r w:rsidRPr="00883D79">
              <w:rPr>
                <w:rFonts w:cs="Arial"/>
                <w:color w:val="000000"/>
                <w:sz w:val="16"/>
                <w:szCs w:val="16"/>
              </w:rPr>
              <w:t>3 685</w:t>
            </w:r>
          </w:p>
        </w:tc>
        <w:tc>
          <w:tcPr>
            <w:tcW w:w="1559" w:type="dxa"/>
            <w:tcBorders>
              <w:top w:val="nil"/>
              <w:left w:val="nil"/>
              <w:bottom w:val="single" w:sz="4" w:space="0" w:color="auto"/>
              <w:right w:val="single" w:sz="4" w:space="0" w:color="auto"/>
            </w:tcBorders>
            <w:shd w:val="clear" w:color="auto" w:fill="auto"/>
            <w:noWrap/>
            <w:vAlign w:val="center"/>
            <w:hideMark/>
          </w:tcPr>
          <w:p w14:paraId="28F6ABCA" w14:textId="3BC23491" w:rsidR="00883D79" w:rsidRPr="00883D79" w:rsidRDefault="00883D79" w:rsidP="000E34EE">
            <w:pPr>
              <w:spacing w:after="0" w:line="240" w:lineRule="auto"/>
              <w:jc w:val="right"/>
              <w:rPr>
                <w:rFonts w:cs="Arial"/>
                <w:color w:val="000000"/>
                <w:sz w:val="16"/>
                <w:szCs w:val="16"/>
              </w:rPr>
            </w:pPr>
            <w:r w:rsidRPr="00883D79">
              <w:rPr>
                <w:rFonts w:cs="Arial"/>
                <w:color w:val="000000"/>
                <w:sz w:val="16"/>
                <w:szCs w:val="16"/>
              </w:rPr>
              <w:t>0,</w:t>
            </w:r>
            <w:r w:rsidR="000E34EE">
              <w:rPr>
                <w:rFonts w:cs="Arial"/>
                <w:color w:val="000000"/>
                <w:sz w:val="16"/>
                <w:szCs w:val="16"/>
              </w:rPr>
              <w:t>47</w:t>
            </w:r>
          </w:p>
        </w:tc>
      </w:tr>
      <w:tr w:rsidR="00883D79" w:rsidRPr="00883D79" w14:paraId="556F43B1" w14:textId="77777777" w:rsidTr="00883D79">
        <w:trPr>
          <w:trHeight w:val="300"/>
        </w:trPr>
        <w:tc>
          <w:tcPr>
            <w:tcW w:w="9776"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37766E39" w14:textId="3945E9A1" w:rsidR="00883D79" w:rsidRPr="00883D79" w:rsidRDefault="00F476A4" w:rsidP="00883D79">
            <w:pPr>
              <w:spacing w:after="0" w:line="240" w:lineRule="auto"/>
              <w:rPr>
                <w:rFonts w:cs="Arial"/>
                <w:b/>
                <w:bCs/>
                <w:color w:val="000000"/>
                <w:sz w:val="16"/>
                <w:szCs w:val="16"/>
              </w:rPr>
            </w:pPr>
            <w:r w:rsidRPr="00F476A4">
              <w:rPr>
                <w:rFonts w:cs="Arial"/>
                <w:b/>
                <w:bCs/>
                <w:color w:val="000000"/>
                <w:sz w:val="16"/>
                <w:szCs w:val="16"/>
              </w:rPr>
              <w:t>podle odvětvové sekce (CZ-NACE)</w:t>
            </w:r>
          </w:p>
        </w:tc>
      </w:tr>
      <w:tr w:rsidR="008614E3" w:rsidRPr="008614E3" w14:paraId="7447B0E1"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2884C5FA" w14:textId="5EF8847F" w:rsidR="008614E3" w:rsidRPr="008614E3" w:rsidRDefault="008614E3" w:rsidP="008614E3">
            <w:pPr>
              <w:spacing w:after="0" w:line="240" w:lineRule="auto"/>
              <w:rPr>
                <w:rFonts w:cs="Arial"/>
                <w:color w:val="000000"/>
                <w:sz w:val="16"/>
                <w:szCs w:val="16"/>
              </w:rPr>
            </w:pPr>
            <w:r w:rsidRPr="008614E3">
              <w:rPr>
                <w:rFonts w:cs="Arial"/>
                <w:sz w:val="16"/>
                <w:szCs w:val="16"/>
              </w:rPr>
              <w:t>Peněžnictví a pojišťovnictví</w:t>
            </w:r>
          </w:p>
        </w:tc>
        <w:tc>
          <w:tcPr>
            <w:tcW w:w="1417" w:type="dxa"/>
            <w:tcBorders>
              <w:top w:val="nil"/>
              <w:left w:val="nil"/>
              <w:bottom w:val="single" w:sz="4" w:space="0" w:color="auto"/>
              <w:right w:val="single" w:sz="4" w:space="0" w:color="auto"/>
            </w:tcBorders>
            <w:shd w:val="clear" w:color="auto" w:fill="auto"/>
            <w:noWrap/>
            <w:vAlign w:val="center"/>
            <w:hideMark/>
          </w:tcPr>
          <w:p w14:paraId="08ABD826" w14:textId="3861A240" w:rsidR="008614E3" w:rsidRPr="008614E3" w:rsidRDefault="008614E3" w:rsidP="008614E3">
            <w:pPr>
              <w:spacing w:after="0" w:line="240" w:lineRule="auto"/>
              <w:jc w:val="right"/>
              <w:rPr>
                <w:rFonts w:cs="Arial"/>
                <w:b/>
                <w:color w:val="00B050"/>
                <w:sz w:val="16"/>
                <w:szCs w:val="16"/>
              </w:rPr>
            </w:pPr>
            <w:r w:rsidRPr="008614E3">
              <w:rPr>
                <w:rFonts w:cs="Arial"/>
                <w:b/>
                <w:color w:val="00B050"/>
                <w:sz w:val="16"/>
                <w:szCs w:val="16"/>
              </w:rPr>
              <w:t>8296</w:t>
            </w:r>
          </w:p>
        </w:tc>
        <w:tc>
          <w:tcPr>
            <w:tcW w:w="1983" w:type="dxa"/>
            <w:tcBorders>
              <w:top w:val="nil"/>
              <w:left w:val="nil"/>
              <w:bottom w:val="single" w:sz="4" w:space="0" w:color="auto"/>
              <w:right w:val="single" w:sz="4" w:space="0" w:color="auto"/>
            </w:tcBorders>
            <w:shd w:val="clear" w:color="auto" w:fill="auto"/>
            <w:noWrap/>
            <w:vAlign w:val="center"/>
            <w:hideMark/>
          </w:tcPr>
          <w:p w14:paraId="438FD27E" w14:textId="7E1D0493" w:rsidR="008614E3" w:rsidRPr="008614E3" w:rsidRDefault="008614E3" w:rsidP="008614E3">
            <w:pPr>
              <w:spacing w:after="0" w:line="240" w:lineRule="auto"/>
              <w:jc w:val="right"/>
              <w:rPr>
                <w:rFonts w:cs="Arial"/>
                <w:b/>
                <w:color w:val="00B050"/>
                <w:sz w:val="16"/>
                <w:szCs w:val="16"/>
              </w:rPr>
            </w:pPr>
            <w:r w:rsidRPr="008614E3">
              <w:rPr>
                <w:rFonts w:cs="Arial"/>
                <w:b/>
                <w:color w:val="00B050"/>
                <w:sz w:val="16"/>
                <w:szCs w:val="16"/>
              </w:rPr>
              <w:t>8328</w:t>
            </w:r>
          </w:p>
        </w:tc>
        <w:tc>
          <w:tcPr>
            <w:tcW w:w="1281" w:type="dxa"/>
            <w:tcBorders>
              <w:top w:val="nil"/>
              <w:left w:val="nil"/>
              <w:bottom w:val="single" w:sz="4" w:space="0" w:color="auto"/>
              <w:right w:val="single" w:sz="4" w:space="0" w:color="auto"/>
            </w:tcBorders>
            <w:shd w:val="clear" w:color="auto" w:fill="auto"/>
            <w:noWrap/>
            <w:vAlign w:val="center"/>
            <w:hideMark/>
          </w:tcPr>
          <w:p w14:paraId="7F8AF773" w14:textId="183BE8B2" w:rsidR="008614E3" w:rsidRPr="008614E3" w:rsidRDefault="008614E3" w:rsidP="008614E3">
            <w:pPr>
              <w:spacing w:after="0" w:line="240" w:lineRule="auto"/>
              <w:jc w:val="right"/>
              <w:rPr>
                <w:rFonts w:cs="Arial"/>
                <w:b/>
                <w:color w:val="00B050"/>
                <w:sz w:val="16"/>
                <w:szCs w:val="16"/>
              </w:rPr>
            </w:pPr>
            <w:r w:rsidRPr="008614E3">
              <w:rPr>
                <w:rFonts w:cs="Arial"/>
                <w:b/>
                <w:color w:val="00B050"/>
                <w:sz w:val="16"/>
                <w:szCs w:val="16"/>
              </w:rPr>
              <w:t>8768</w:t>
            </w:r>
          </w:p>
        </w:tc>
        <w:tc>
          <w:tcPr>
            <w:tcW w:w="1559" w:type="dxa"/>
            <w:tcBorders>
              <w:top w:val="nil"/>
              <w:left w:val="nil"/>
              <w:bottom w:val="single" w:sz="4" w:space="0" w:color="auto"/>
              <w:right w:val="single" w:sz="4" w:space="0" w:color="auto"/>
            </w:tcBorders>
            <w:shd w:val="clear" w:color="auto" w:fill="auto"/>
            <w:noWrap/>
            <w:vAlign w:val="center"/>
            <w:hideMark/>
          </w:tcPr>
          <w:p w14:paraId="1143E227" w14:textId="2975A450" w:rsidR="008614E3" w:rsidRPr="008614E3" w:rsidRDefault="008614E3" w:rsidP="008614E3">
            <w:pPr>
              <w:spacing w:after="0" w:line="240" w:lineRule="auto"/>
              <w:jc w:val="right"/>
              <w:rPr>
                <w:rFonts w:cs="Arial"/>
                <w:b/>
                <w:color w:val="00B050"/>
                <w:sz w:val="16"/>
                <w:szCs w:val="16"/>
              </w:rPr>
            </w:pPr>
            <w:r w:rsidRPr="008614E3">
              <w:rPr>
                <w:rFonts w:cs="Arial"/>
                <w:b/>
                <w:color w:val="00B050"/>
                <w:sz w:val="16"/>
                <w:szCs w:val="16"/>
              </w:rPr>
              <w:t>0,85</w:t>
            </w:r>
          </w:p>
        </w:tc>
      </w:tr>
      <w:tr w:rsidR="008614E3" w:rsidRPr="008614E3" w14:paraId="57DC969F"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7D59A936" w14:textId="64292B95" w:rsidR="008614E3" w:rsidRPr="008614E3" w:rsidRDefault="008614E3" w:rsidP="008614E3">
            <w:pPr>
              <w:spacing w:after="0" w:line="240" w:lineRule="auto"/>
              <w:rPr>
                <w:rFonts w:cs="Arial"/>
                <w:color w:val="000000"/>
                <w:sz w:val="16"/>
                <w:szCs w:val="16"/>
              </w:rPr>
            </w:pPr>
            <w:r w:rsidRPr="008614E3">
              <w:rPr>
                <w:rFonts w:cs="Arial"/>
                <w:sz w:val="16"/>
                <w:szCs w:val="16"/>
              </w:rPr>
              <w:t>Informační a komunikační činnosti</w:t>
            </w:r>
          </w:p>
        </w:tc>
        <w:tc>
          <w:tcPr>
            <w:tcW w:w="1417" w:type="dxa"/>
            <w:tcBorders>
              <w:top w:val="nil"/>
              <w:left w:val="nil"/>
              <w:bottom w:val="single" w:sz="4" w:space="0" w:color="auto"/>
              <w:right w:val="single" w:sz="4" w:space="0" w:color="auto"/>
            </w:tcBorders>
            <w:shd w:val="clear" w:color="auto" w:fill="auto"/>
            <w:noWrap/>
            <w:vAlign w:val="center"/>
            <w:hideMark/>
          </w:tcPr>
          <w:p w14:paraId="73BD7805" w14:textId="510ED15B" w:rsidR="008614E3" w:rsidRPr="008614E3" w:rsidRDefault="008614E3" w:rsidP="008614E3">
            <w:pPr>
              <w:spacing w:after="0" w:line="240" w:lineRule="auto"/>
              <w:jc w:val="right"/>
              <w:rPr>
                <w:rFonts w:cs="Arial"/>
                <w:color w:val="000000"/>
                <w:sz w:val="16"/>
                <w:szCs w:val="16"/>
              </w:rPr>
            </w:pPr>
            <w:r w:rsidRPr="008614E3">
              <w:rPr>
                <w:rFonts w:cs="Arial"/>
                <w:sz w:val="16"/>
                <w:szCs w:val="16"/>
              </w:rPr>
              <w:t>6440</w:t>
            </w:r>
          </w:p>
        </w:tc>
        <w:tc>
          <w:tcPr>
            <w:tcW w:w="1983" w:type="dxa"/>
            <w:tcBorders>
              <w:top w:val="nil"/>
              <w:left w:val="nil"/>
              <w:bottom w:val="single" w:sz="4" w:space="0" w:color="auto"/>
              <w:right w:val="single" w:sz="4" w:space="0" w:color="auto"/>
            </w:tcBorders>
            <w:shd w:val="clear" w:color="auto" w:fill="auto"/>
            <w:noWrap/>
            <w:vAlign w:val="center"/>
            <w:hideMark/>
          </w:tcPr>
          <w:p w14:paraId="46B25E50" w14:textId="66A108AA" w:rsidR="008614E3" w:rsidRPr="008614E3" w:rsidRDefault="008614E3" w:rsidP="008614E3">
            <w:pPr>
              <w:spacing w:after="0" w:line="240" w:lineRule="auto"/>
              <w:jc w:val="right"/>
              <w:rPr>
                <w:rFonts w:cs="Arial"/>
                <w:color w:val="000000"/>
                <w:sz w:val="16"/>
                <w:szCs w:val="16"/>
              </w:rPr>
            </w:pPr>
            <w:r w:rsidRPr="008614E3">
              <w:rPr>
                <w:rFonts w:cs="Arial"/>
                <w:sz w:val="16"/>
                <w:szCs w:val="16"/>
              </w:rPr>
              <w:t>6574</w:t>
            </w:r>
          </w:p>
        </w:tc>
        <w:tc>
          <w:tcPr>
            <w:tcW w:w="1281" w:type="dxa"/>
            <w:tcBorders>
              <w:top w:val="nil"/>
              <w:left w:val="nil"/>
              <w:bottom w:val="single" w:sz="4" w:space="0" w:color="auto"/>
              <w:right w:val="single" w:sz="4" w:space="0" w:color="auto"/>
            </w:tcBorders>
            <w:shd w:val="clear" w:color="auto" w:fill="auto"/>
            <w:noWrap/>
            <w:vAlign w:val="center"/>
            <w:hideMark/>
          </w:tcPr>
          <w:p w14:paraId="43D8FEB3" w14:textId="19D875D0" w:rsidR="008614E3" w:rsidRPr="008614E3" w:rsidRDefault="008614E3" w:rsidP="008614E3">
            <w:pPr>
              <w:spacing w:after="0" w:line="240" w:lineRule="auto"/>
              <w:jc w:val="right"/>
              <w:rPr>
                <w:rFonts w:cs="Arial"/>
                <w:color w:val="000000"/>
                <w:sz w:val="16"/>
                <w:szCs w:val="16"/>
              </w:rPr>
            </w:pPr>
            <w:r w:rsidRPr="008614E3">
              <w:rPr>
                <w:rFonts w:cs="Arial"/>
                <w:sz w:val="16"/>
                <w:szCs w:val="16"/>
              </w:rPr>
              <w:t>7490</w:t>
            </w:r>
          </w:p>
        </w:tc>
        <w:tc>
          <w:tcPr>
            <w:tcW w:w="1559" w:type="dxa"/>
            <w:tcBorders>
              <w:top w:val="nil"/>
              <w:left w:val="nil"/>
              <w:bottom w:val="single" w:sz="4" w:space="0" w:color="auto"/>
              <w:right w:val="single" w:sz="4" w:space="0" w:color="auto"/>
            </w:tcBorders>
            <w:shd w:val="clear" w:color="auto" w:fill="auto"/>
            <w:noWrap/>
            <w:vAlign w:val="center"/>
            <w:hideMark/>
          </w:tcPr>
          <w:p w14:paraId="76AFF87C" w14:textId="655E23E9" w:rsidR="008614E3" w:rsidRPr="008614E3" w:rsidRDefault="008614E3" w:rsidP="008614E3">
            <w:pPr>
              <w:spacing w:after="0" w:line="240" w:lineRule="auto"/>
              <w:jc w:val="right"/>
              <w:rPr>
                <w:rFonts w:cs="Arial"/>
                <w:color w:val="000000"/>
                <w:sz w:val="16"/>
                <w:szCs w:val="16"/>
              </w:rPr>
            </w:pPr>
            <w:r w:rsidRPr="008614E3">
              <w:rPr>
                <w:rFonts w:cs="Arial"/>
                <w:sz w:val="16"/>
                <w:szCs w:val="16"/>
              </w:rPr>
              <w:t>0,62</w:t>
            </w:r>
          </w:p>
        </w:tc>
      </w:tr>
      <w:tr w:rsidR="008614E3" w:rsidRPr="008614E3" w14:paraId="254F87C2"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448B290E" w14:textId="47F2E2F7" w:rsidR="008614E3" w:rsidRPr="008614E3" w:rsidRDefault="008614E3" w:rsidP="008614E3">
            <w:pPr>
              <w:spacing w:after="0" w:line="240" w:lineRule="auto"/>
              <w:rPr>
                <w:rFonts w:cs="Arial"/>
                <w:color w:val="000000"/>
                <w:sz w:val="16"/>
                <w:szCs w:val="16"/>
              </w:rPr>
            </w:pPr>
            <w:r w:rsidRPr="008614E3">
              <w:rPr>
                <w:rFonts w:cs="Arial"/>
                <w:sz w:val="16"/>
                <w:szCs w:val="16"/>
              </w:rPr>
              <w:t>Profesní, vědecké a technické činnosti</w:t>
            </w:r>
          </w:p>
        </w:tc>
        <w:tc>
          <w:tcPr>
            <w:tcW w:w="1417" w:type="dxa"/>
            <w:tcBorders>
              <w:top w:val="nil"/>
              <w:left w:val="nil"/>
              <w:bottom w:val="single" w:sz="4" w:space="0" w:color="auto"/>
              <w:right w:val="single" w:sz="4" w:space="0" w:color="auto"/>
            </w:tcBorders>
            <w:shd w:val="clear" w:color="auto" w:fill="auto"/>
            <w:noWrap/>
            <w:vAlign w:val="center"/>
            <w:hideMark/>
          </w:tcPr>
          <w:p w14:paraId="29B2C904" w14:textId="51F9F26C" w:rsidR="008614E3" w:rsidRPr="008614E3" w:rsidRDefault="008614E3" w:rsidP="008614E3">
            <w:pPr>
              <w:spacing w:after="0" w:line="240" w:lineRule="auto"/>
              <w:jc w:val="right"/>
              <w:rPr>
                <w:rFonts w:cs="Arial"/>
                <w:color w:val="000000"/>
                <w:sz w:val="16"/>
                <w:szCs w:val="16"/>
              </w:rPr>
            </w:pPr>
            <w:r w:rsidRPr="008614E3">
              <w:rPr>
                <w:rFonts w:cs="Arial"/>
                <w:sz w:val="16"/>
                <w:szCs w:val="16"/>
              </w:rPr>
              <w:t>4697</w:t>
            </w:r>
          </w:p>
        </w:tc>
        <w:tc>
          <w:tcPr>
            <w:tcW w:w="1983" w:type="dxa"/>
            <w:tcBorders>
              <w:top w:val="nil"/>
              <w:left w:val="nil"/>
              <w:bottom w:val="single" w:sz="4" w:space="0" w:color="auto"/>
              <w:right w:val="single" w:sz="4" w:space="0" w:color="auto"/>
            </w:tcBorders>
            <w:shd w:val="clear" w:color="auto" w:fill="auto"/>
            <w:noWrap/>
            <w:vAlign w:val="center"/>
            <w:hideMark/>
          </w:tcPr>
          <w:p w14:paraId="4AD66A81" w14:textId="38B53C3C" w:rsidR="008614E3" w:rsidRPr="008614E3" w:rsidRDefault="008614E3" w:rsidP="008614E3">
            <w:pPr>
              <w:spacing w:after="0" w:line="240" w:lineRule="auto"/>
              <w:jc w:val="right"/>
              <w:rPr>
                <w:rFonts w:cs="Arial"/>
                <w:color w:val="000000"/>
                <w:sz w:val="16"/>
                <w:szCs w:val="16"/>
              </w:rPr>
            </w:pPr>
            <w:r w:rsidRPr="008614E3">
              <w:rPr>
                <w:rFonts w:cs="Arial"/>
                <w:sz w:val="16"/>
                <w:szCs w:val="16"/>
              </w:rPr>
              <w:t>4950</w:t>
            </w:r>
          </w:p>
        </w:tc>
        <w:tc>
          <w:tcPr>
            <w:tcW w:w="1281" w:type="dxa"/>
            <w:tcBorders>
              <w:top w:val="nil"/>
              <w:left w:val="nil"/>
              <w:bottom w:val="single" w:sz="4" w:space="0" w:color="auto"/>
              <w:right w:val="single" w:sz="4" w:space="0" w:color="auto"/>
            </w:tcBorders>
            <w:shd w:val="clear" w:color="auto" w:fill="auto"/>
            <w:noWrap/>
            <w:vAlign w:val="center"/>
            <w:hideMark/>
          </w:tcPr>
          <w:p w14:paraId="1EC0BEB7" w14:textId="491D644C" w:rsidR="008614E3" w:rsidRPr="008614E3" w:rsidRDefault="008614E3" w:rsidP="008614E3">
            <w:pPr>
              <w:spacing w:after="0" w:line="240" w:lineRule="auto"/>
              <w:jc w:val="right"/>
              <w:rPr>
                <w:rFonts w:cs="Arial"/>
                <w:color w:val="000000"/>
                <w:sz w:val="16"/>
                <w:szCs w:val="16"/>
              </w:rPr>
            </w:pPr>
            <w:r w:rsidRPr="008614E3">
              <w:rPr>
                <w:rFonts w:cs="Arial"/>
                <w:sz w:val="16"/>
                <w:szCs w:val="16"/>
              </w:rPr>
              <w:t>5143</w:t>
            </w:r>
          </w:p>
        </w:tc>
        <w:tc>
          <w:tcPr>
            <w:tcW w:w="1559" w:type="dxa"/>
            <w:tcBorders>
              <w:top w:val="nil"/>
              <w:left w:val="nil"/>
              <w:bottom w:val="single" w:sz="4" w:space="0" w:color="auto"/>
              <w:right w:val="single" w:sz="4" w:space="0" w:color="auto"/>
            </w:tcBorders>
            <w:shd w:val="clear" w:color="auto" w:fill="auto"/>
            <w:noWrap/>
            <w:vAlign w:val="center"/>
            <w:hideMark/>
          </w:tcPr>
          <w:p w14:paraId="636142E0" w14:textId="450F615C" w:rsidR="008614E3" w:rsidRPr="008614E3" w:rsidRDefault="008614E3" w:rsidP="008614E3">
            <w:pPr>
              <w:spacing w:after="0" w:line="240" w:lineRule="auto"/>
              <w:jc w:val="right"/>
              <w:rPr>
                <w:rFonts w:cs="Arial"/>
                <w:color w:val="000000"/>
                <w:sz w:val="16"/>
                <w:szCs w:val="16"/>
              </w:rPr>
            </w:pPr>
            <w:r w:rsidRPr="008614E3">
              <w:rPr>
                <w:rFonts w:cs="Arial"/>
                <w:sz w:val="16"/>
                <w:szCs w:val="16"/>
              </w:rPr>
              <w:t>0,60</w:t>
            </w:r>
          </w:p>
        </w:tc>
      </w:tr>
      <w:tr w:rsidR="008614E3" w:rsidRPr="008614E3" w14:paraId="675A423A"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14:paraId="7717E508" w14:textId="5B80B22E" w:rsidR="008614E3" w:rsidRPr="008614E3" w:rsidRDefault="008614E3" w:rsidP="008614E3">
            <w:pPr>
              <w:spacing w:after="0" w:line="240" w:lineRule="auto"/>
              <w:rPr>
                <w:rFonts w:cs="Arial"/>
                <w:color w:val="000000"/>
                <w:sz w:val="16"/>
                <w:szCs w:val="16"/>
              </w:rPr>
            </w:pPr>
            <w:r w:rsidRPr="008614E3">
              <w:rPr>
                <w:rFonts w:cs="Arial"/>
                <w:sz w:val="16"/>
                <w:szCs w:val="16"/>
              </w:rPr>
              <w:t>Stavebnictví</w:t>
            </w:r>
          </w:p>
        </w:tc>
        <w:tc>
          <w:tcPr>
            <w:tcW w:w="1417" w:type="dxa"/>
            <w:tcBorders>
              <w:top w:val="nil"/>
              <w:left w:val="nil"/>
              <w:bottom w:val="single" w:sz="4" w:space="0" w:color="auto"/>
              <w:right w:val="single" w:sz="4" w:space="0" w:color="auto"/>
            </w:tcBorders>
            <w:shd w:val="clear" w:color="auto" w:fill="auto"/>
            <w:noWrap/>
            <w:vAlign w:val="center"/>
            <w:hideMark/>
          </w:tcPr>
          <w:p w14:paraId="6ABA4FA7" w14:textId="0DBA8410" w:rsidR="008614E3" w:rsidRPr="008614E3" w:rsidRDefault="008614E3" w:rsidP="008614E3">
            <w:pPr>
              <w:spacing w:after="0" w:line="240" w:lineRule="auto"/>
              <w:jc w:val="right"/>
              <w:rPr>
                <w:rFonts w:cs="Arial"/>
                <w:color w:val="000000"/>
                <w:sz w:val="16"/>
                <w:szCs w:val="16"/>
              </w:rPr>
            </w:pPr>
            <w:r w:rsidRPr="008614E3">
              <w:rPr>
                <w:rFonts w:cs="Arial"/>
                <w:sz w:val="16"/>
                <w:szCs w:val="16"/>
              </w:rPr>
              <w:t>2209</w:t>
            </w:r>
          </w:p>
        </w:tc>
        <w:tc>
          <w:tcPr>
            <w:tcW w:w="1983" w:type="dxa"/>
            <w:tcBorders>
              <w:top w:val="nil"/>
              <w:left w:val="nil"/>
              <w:bottom w:val="single" w:sz="4" w:space="0" w:color="auto"/>
              <w:right w:val="single" w:sz="4" w:space="0" w:color="auto"/>
            </w:tcBorders>
            <w:shd w:val="clear" w:color="auto" w:fill="auto"/>
            <w:noWrap/>
            <w:vAlign w:val="center"/>
            <w:hideMark/>
          </w:tcPr>
          <w:p w14:paraId="088E9B4E" w14:textId="26BF0412" w:rsidR="008614E3" w:rsidRPr="008614E3" w:rsidRDefault="008614E3" w:rsidP="008614E3">
            <w:pPr>
              <w:spacing w:after="0" w:line="240" w:lineRule="auto"/>
              <w:jc w:val="right"/>
              <w:rPr>
                <w:rFonts w:cs="Arial"/>
                <w:color w:val="000000"/>
                <w:sz w:val="16"/>
                <w:szCs w:val="16"/>
              </w:rPr>
            </w:pPr>
            <w:r w:rsidRPr="008614E3">
              <w:rPr>
                <w:rFonts w:cs="Arial"/>
                <w:sz w:val="16"/>
                <w:szCs w:val="16"/>
              </w:rPr>
              <w:t>2325</w:t>
            </w:r>
          </w:p>
        </w:tc>
        <w:tc>
          <w:tcPr>
            <w:tcW w:w="1281" w:type="dxa"/>
            <w:tcBorders>
              <w:top w:val="nil"/>
              <w:left w:val="nil"/>
              <w:bottom w:val="single" w:sz="4" w:space="0" w:color="auto"/>
              <w:right w:val="single" w:sz="4" w:space="0" w:color="auto"/>
            </w:tcBorders>
            <w:shd w:val="clear" w:color="auto" w:fill="auto"/>
            <w:noWrap/>
            <w:vAlign w:val="center"/>
            <w:hideMark/>
          </w:tcPr>
          <w:p w14:paraId="61E8A672" w14:textId="2991BC47" w:rsidR="008614E3" w:rsidRPr="008614E3" w:rsidRDefault="008614E3" w:rsidP="008614E3">
            <w:pPr>
              <w:spacing w:after="0" w:line="240" w:lineRule="auto"/>
              <w:jc w:val="right"/>
              <w:rPr>
                <w:rFonts w:cs="Arial"/>
                <w:color w:val="000000"/>
                <w:sz w:val="16"/>
                <w:szCs w:val="16"/>
              </w:rPr>
            </w:pPr>
            <w:r w:rsidRPr="008614E3">
              <w:rPr>
                <w:rFonts w:cs="Arial"/>
                <w:sz w:val="16"/>
                <w:szCs w:val="16"/>
              </w:rPr>
              <w:t>2475</w:t>
            </w:r>
          </w:p>
        </w:tc>
        <w:tc>
          <w:tcPr>
            <w:tcW w:w="1559" w:type="dxa"/>
            <w:tcBorders>
              <w:top w:val="nil"/>
              <w:left w:val="nil"/>
              <w:bottom w:val="single" w:sz="4" w:space="0" w:color="auto"/>
              <w:right w:val="single" w:sz="4" w:space="0" w:color="auto"/>
            </w:tcBorders>
            <w:shd w:val="clear" w:color="auto" w:fill="auto"/>
            <w:noWrap/>
            <w:vAlign w:val="center"/>
            <w:hideMark/>
          </w:tcPr>
          <w:p w14:paraId="35465C93" w14:textId="6CBF312E" w:rsidR="008614E3" w:rsidRPr="008614E3" w:rsidRDefault="008614E3" w:rsidP="008614E3">
            <w:pPr>
              <w:spacing w:after="0" w:line="240" w:lineRule="auto"/>
              <w:jc w:val="right"/>
              <w:rPr>
                <w:rFonts w:cs="Arial"/>
                <w:color w:val="000000"/>
                <w:sz w:val="16"/>
                <w:szCs w:val="16"/>
              </w:rPr>
            </w:pPr>
            <w:r w:rsidRPr="008614E3">
              <w:rPr>
                <w:rFonts w:cs="Arial"/>
                <w:sz w:val="16"/>
                <w:szCs w:val="16"/>
              </w:rPr>
              <w:t>0,41</w:t>
            </w:r>
          </w:p>
        </w:tc>
      </w:tr>
      <w:tr w:rsidR="008614E3" w:rsidRPr="008614E3" w14:paraId="7EB29C97"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0CAB8836" w14:textId="799E1D04" w:rsidR="008614E3" w:rsidRPr="008614E3" w:rsidRDefault="008614E3" w:rsidP="008614E3">
            <w:pPr>
              <w:spacing w:after="0" w:line="240" w:lineRule="auto"/>
              <w:rPr>
                <w:rFonts w:cs="Arial"/>
                <w:color w:val="000000"/>
                <w:sz w:val="16"/>
                <w:szCs w:val="16"/>
              </w:rPr>
            </w:pPr>
            <w:r w:rsidRPr="008614E3">
              <w:rPr>
                <w:rFonts w:cs="Arial"/>
                <w:sz w:val="16"/>
                <w:szCs w:val="16"/>
              </w:rPr>
              <w:t xml:space="preserve">Doprava a skladování        </w:t>
            </w:r>
          </w:p>
        </w:tc>
        <w:tc>
          <w:tcPr>
            <w:tcW w:w="1417" w:type="dxa"/>
            <w:tcBorders>
              <w:top w:val="nil"/>
              <w:left w:val="nil"/>
              <w:bottom w:val="single" w:sz="4" w:space="0" w:color="auto"/>
              <w:right w:val="single" w:sz="4" w:space="0" w:color="auto"/>
            </w:tcBorders>
            <w:shd w:val="clear" w:color="auto" w:fill="auto"/>
            <w:noWrap/>
            <w:vAlign w:val="center"/>
            <w:hideMark/>
          </w:tcPr>
          <w:p w14:paraId="2B952AA1" w14:textId="4E07280A" w:rsidR="008614E3" w:rsidRPr="008614E3" w:rsidRDefault="008614E3" w:rsidP="008614E3">
            <w:pPr>
              <w:spacing w:after="0" w:line="240" w:lineRule="auto"/>
              <w:jc w:val="right"/>
              <w:rPr>
                <w:rFonts w:cs="Arial"/>
                <w:color w:val="000000"/>
                <w:sz w:val="16"/>
                <w:szCs w:val="16"/>
              </w:rPr>
            </w:pPr>
            <w:r w:rsidRPr="008614E3">
              <w:rPr>
                <w:rFonts w:cs="Arial"/>
                <w:sz w:val="16"/>
                <w:szCs w:val="16"/>
              </w:rPr>
              <w:t>2112</w:t>
            </w:r>
          </w:p>
        </w:tc>
        <w:tc>
          <w:tcPr>
            <w:tcW w:w="1983" w:type="dxa"/>
            <w:tcBorders>
              <w:top w:val="nil"/>
              <w:left w:val="nil"/>
              <w:bottom w:val="single" w:sz="4" w:space="0" w:color="auto"/>
              <w:right w:val="single" w:sz="4" w:space="0" w:color="auto"/>
            </w:tcBorders>
            <w:shd w:val="clear" w:color="auto" w:fill="auto"/>
            <w:noWrap/>
            <w:vAlign w:val="center"/>
            <w:hideMark/>
          </w:tcPr>
          <w:p w14:paraId="14912002" w14:textId="73CE9AD8" w:rsidR="008614E3" w:rsidRPr="008614E3" w:rsidRDefault="008614E3" w:rsidP="008614E3">
            <w:pPr>
              <w:spacing w:after="0" w:line="240" w:lineRule="auto"/>
              <w:jc w:val="right"/>
              <w:rPr>
                <w:rFonts w:cs="Arial"/>
                <w:color w:val="000000"/>
                <w:sz w:val="16"/>
                <w:szCs w:val="16"/>
              </w:rPr>
            </w:pPr>
            <w:r w:rsidRPr="008614E3">
              <w:rPr>
                <w:rFonts w:cs="Arial"/>
                <w:sz w:val="16"/>
                <w:szCs w:val="16"/>
              </w:rPr>
              <w:t>2193</w:t>
            </w:r>
          </w:p>
        </w:tc>
        <w:tc>
          <w:tcPr>
            <w:tcW w:w="1281" w:type="dxa"/>
            <w:tcBorders>
              <w:top w:val="nil"/>
              <w:left w:val="nil"/>
              <w:bottom w:val="single" w:sz="4" w:space="0" w:color="auto"/>
              <w:right w:val="single" w:sz="4" w:space="0" w:color="auto"/>
            </w:tcBorders>
            <w:shd w:val="clear" w:color="auto" w:fill="auto"/>
            <w:noWrap/>
            <w:vAlign w:val="center"/>
            <w:hideMark/>
          </w:tcPr>
          <w:p w14:paraId="1E85A513" w14:textId="0E796B19" w:rsidR="008614E3" w:rsidRPr="008614E3" w:rsidRDefault="008614E3" w:rsidP="008614E3">
            <w:pPr>
              <w:spacing w:after="0" w:line="240" w:lineRule="auto"/>
              <w:jc w:val="right"/>
              <w:rPr>
                <w:rFonts w:cs="Arial"/>
                <w:color w:val="000000"/>
                <w:sz w:val="16"/>
                <w:szCs w:val="16"/>
              </w:rPr>
            </w:pPr>
            <w:r w:rsidRPr="008614E3">
              <w:rPr>
                <w:rFonts w:cs="Arial"/>
                <w:sz w:val="16"/>
                <w:szCs w:val="16"/>
              </w:rPr>
              <w:t>2631</w:t>
            </w:r>
          </w:p>
        </w:tc>
        <w:tc>
          <w:tcPr>
            <w:tcW w:w="1559" w:type="dxa"/>
            <w:tcBorders>
              <w:top w:val="nil"/>
              <w:left w:val="nil"/>
              <w:bottom w:val="single" w:sz="4" w:space="0" w:color="auto"/>
              <w:right w:val="single" w:sz="4" w:space="0" w:color="auto"/>
            </w:tcBorders>
            <w:shd w:val="clear" w:color="auto" w:fill="auto"/>
            <w:noWrap/>
            <w:vAlign w:val="center"/>
            <w:hideMark/>
          </w:tcPr>
          <w:p w14:paraId="081A9429" w14:textId="38C8BC33" w:rsidR="008614E3" w:rsidRPr="008614E3" w:rsidRDefault="008614E3" w:rsidP="008614E3">
            <w:pPr>
              <w:spacing w:after="0" w:line="240" w:lineRule="auto"/>
              <w:jc w:val="right"/>
              <w:rPr>
                <w:rFonts w:cs="Arial"/>
                <w:color w:val="000000"/>
                <w:sz w:val="16"/>
                <w:szCs w:val="16"/>
              </w:rPr>
            </w:pPr>
            <w:r w:rsidRPr="008614E3">
              <w:rPr>
                <w:rFonts w:cs="Arial"/>
                <w:sz w:val="16"/>
                <w:szCs w:val="16"/>
              </w:rPr>
              <w:t>0,40</w:t>
            </w:r>
          </w:p>
        </w:tc>
      </w:tr>
      <w:tr w:rsidR="008614E3" w:rsidRPr="008614E3" w14:paraId="138B955C" w14:textId="77777777" w:rsidTr="008614E3">
        <w:trPr>
          <w:trHeight w:val="301"/>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252E59CC" w14:textId="04E55526" w:rsidR="008614E3" w:rsidRPr="008614E3" w:rsidRDefault="008614E3" w:rsidP="008614E3">
            <w:pPr>
              <w:spacing w:after="0" w:line="240" w:lineRule="auto"/>
              <w:rPr>
                <w:rFonts w:cs="Arial"/>
                <w:color w:val="000000"/>
                <w:sz w:val="16"/>
                <w:szCs w:val="16"/>
              </w:rPr>
            </w:pPr>
            <w:r w:rsidRPr="008614E3">
              <w:rPr>
                <w:rFonts w:cs="Arial"/>
                <w:sz w:val="16"/>
                <w:szCs w:val="16"/>
              </w:rPr>
              <w:t>Průmysl</w:t>
            </w:r>
          </w:p>
        </w:tc>
        <w:tc>
          <w:tcPr>
            <w:tcW w:w="1417" w:type="dxa"/>
            <w:tcBorders>
              <w:top w:val="nil"/>
              <w:left w:val="nil"/>
              <w:bottom w:val="single" w:sz="4" w:space="0" w:color="auto"/>
              <w:right w:val="single" w:sz="4" w:space="0" w:color="auto"/>
            </w:tcBorders>
            <w:shd w:val="clear" w:color="auto" w:fill="auto"/>
            <w:noWrap/>
            <w:vAlign w:val="center"/>
            <w:hideMark/>
          </w:tcPr>
          <w:p w14:paraId="7E37B435" w14:textId="3E6FAB82" w:rsidR="008614E3" w:rsidRPr="008614E3" w:rsidRDefault="008614E3" w:rsidP="008614E3">
            <w:pPr>
              <w:spacing w:after="0" w:line="240" w:lineRule="auto"/>
              <w:jc w:val="right"/>
              <w:rPr>
                <w:rFonts w:cs="Arial"/>
                <w:color w:val="000000"/>
                <w:sz w:val="16"/>
                <w:szCs w:val="16"/>
              </w:rPr>
            </w:pPr>
            <w:r w:rsidRPr="008614E3">
              <w:rPr>
                <w:rFonts w:cs="Arial"/>
                <w:sz w:val="16"/>
                <w:szCs w:val="16"/>
              </w:rPr>
              <w:t>2123</w:t>
            </w:r>
          </w:p>
        </w:tc>
        <w:tc>
          <w:tcPr>
            <w:tcW w:w="1983" w:type="dxa"/>
            <w:tcBorders>
              <w:top w:val="nil"/>
              <w:left w:val="nil"/>
              <w:bottom w:val="single" w:sz="4" w:space="0" w:color="auto"/>
              <w:right w:val="single" w:sz="4" w:space="0" w:color="auto"/>
            </w:tcBorders>
            <w:shd w:val="clear" w:color="auto" w:fill="auto"/>
            <w:noWrap/>
            <w:vAlign w:val="center"/>
            <w:hideMark/>
          </w:tcPr>
          <w:p w14:paraId="3A0951EF" w14:textId="5091A83E" w:rsidR="008614E3" w:rsidRPr="008614E3" w:rsidRDefault="008614E3" w:rsidP="008614E3">
            <w:pPr>
              <w:spacing w:after="0" w:line="240" w:lineRule="auto"/>
              <w:jc w:val="right"/>
              <w:rPr>
                <w:rFonts w:cs="Arial"/>
                <w:color w:val="000000"/>
                <w:sz w:val="16"/>
                <w:szCs w:val="16"/>
              </w:rPr>
            </w:pPr>
            <w:r w:rsidRPr="008614E3">
              <w:rPr>
                <w:rFonts w:cs="Arial"/>
                <w:sz w:val="16"/>
                <w:szCs w:val="16"/>
              </w:rPr>
              <w:t>2193</w:t>
            </w:r>
          </w:p>
        </w:tc>
        <w:tc>
          <w:tcPr>
            <w:tcW w:w="1281" w:type="dxa"/>
            <w:tcBorders>
              <w:top w:val="nil"/>
              <w:left w:val="nil"/>
              <w:bottom w:val="single" w:sz="4" w:space="0" w:color="auto"/>
              <w:right w:val="single" w:sz="4" w:space="0" w:color="auto"/>
            </w:tcBorders>
            <w:shd w:val="clear" w:color="auto" w:fill="auto"/>
            <w:noWrap/>
            <w:vAlign w:val="center"/>
            <w:hideMark/>
          </w:tcPr>
          <w:p w14:paraId="12992142" w14:textId="5D44D014" w:rsidR="008614E3" w:rsidRPr="008614E3" w:rsidRDefault="008614E3" w:rsidP="008614E3">
            <w:pPr>
              <w:spacing w:after="0" w:line="240" w:lineRule="auto"/>
              <w:jc w:val="right"/>
              <w:rPr>
                <w:rFonts w:cs="Arial"/>
                <w:color w:val="000000"/>
                <w:sz w:val="16"/>
                <w:szCs w:val="16"/>
              </w:rPr>
            </w:pPr>
            <w:r w:rsidRPr="008614E3">
              <w:rPr>
                <w:rFonts w:cs="Arial"/>
                <w:sz w:val="16"/>
                <w:szCs w:val="16"/>
              </w:rPr>
              <w:t>2480</w:t>
            </w:r>
          </w:p>
        </w:tc>
        <w:tc>
          <w:tcPr>
            <w:tcW w:w="1559" w:type="dxa"/>
            <w:tcBorders>
              <w:top w:val="nil"/>
              <w:left w:val="nil"/>
              <w:bottom w:val="single" w:sz="4" w:space="0" w:color="auto"/>
              <w:right w:val="single" w:sz="4" w:space="0" w:color="auto"/>
            </w:tcBorders>
            <w:shd w:val="clear" w:color="auto" w:fill="auto"/>
            <w:noWrap/>
            <w:vAlign w:val="center"/>
            <w:hideMark/>
          </w:tcPr>
          <w:p w14:paraId="179D95E1" w14:textId="054663F7" w:rsidR="008614E3" w:rsidRPr="008614E3" w:rsidRDefault="008614E3" w:rsidP="008614E3">
            <w:pPr>
              <w:spacing w:after="0" w:line="240" w:lineRule="auto"/>
              <w:jc w:val="right"/>
              <w:rPr>
                <w:rFonts w:cs="Arial"/>
                <w:color w:val="000000"/>
                <w:sz w:val="16"/>
                <w:szCs w:val="16"/>
              </w:rPr>
            </w:pPr>
            <w:r w:rsidRPr="008614E3">
              <w:rPr>
                <w:rFonts w:cs="Arial"/>
                <w:sz w:val="16"/>
                <w:szCs w:val="16"/>
              </w:rPr>
              <w:t>0,37</w:t>
            </w:r>
          </w:p>
        </w:tc>
      </w:tr>
      <w:tr w:rsidR="008614E3" w:rsidRPr="008614E3" w14:paraId="3C6C966D"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6CED9BDF" w14:textId="539250FB" w:rsidR="008614E3" w:rsidRPr="008614E3" w:rsidRDefault="008614E3" w:rsidP="008614E3">
            <w:pPr>
              <w:spacing w:after="0" w:line="240" w:lineRule="auto"/>
              <w:rPr>
                <w:rFonts w:cs="Arial"/>
                <w:color w:val="000000"/>
                <w:sz w:val="16"/>
                <w:szCs w:val="16"/>
              </w:rPr>
            </w:pPr>
            <w:r w:rsidRPr="008614E3">
              <w:rPr>
                <w:rFonts w:cs="Arial"/>
                <w:sz w:val="16"/>
                <w:szCs w:val="16"/>
              </w:rPr>
              <w:t>Obchod; opravy motorových vozidel</w:t>
            </w:r>
          </w:p>
        </w:tc>
        <w:tc>
          <w:tcPr>
            <w:tcW w:w="1417" w:type="dxa"/>
            <w:tcBorders>
              <w:top w:val="nil"/>
              <w:left w:val="nil"/>
              <w:bottom w:val="single" w:sz="4" w:space="0" w:color="auto"/>
              <w:right w:val="single" w:sz="4" w:space="0" w:color="auto"/>
            </w:tcBorders>
            <w:shd w:val="clear" w:color="auto" w:fill="auto"/>
            <w:noWrap/>
            <w:vAlign w:val="center"/>
            <w:hideMark/>
          </w:tcPr>
          <w:p w14:paraId="7281B5B7" w14:textId="4CCFC4EC" w:rsidR="008614E3" w:rsidRPr="008614E3" w:rsidRDefault="008614E3" w:rsidP="008614E3">
            <w:pPr>
              <w:spacing w:after="0" w:line="240" w:lineRule="auto"/>
              <w:jc w:val="right"/>
              <w:rPr>
                <w:rFonts w:cs="Arial"/>
                <w:color w:val="000000"/>
                <w:sz w:val="16"/>
                <w:szCs w:val="16"/>
              </w:rPr>
            </w:pPr>
            <w:r w:rsidRPr="008614E3">
              <w:rPr>
                <w:rFonts w:cs="Arial"/>
                <w:sz w:val="16"/>
                <w:szCs w:val="16"/>
              </w:rPr>
              <w:t>1890</w:t>
            </w:r>
          </w:p>
        </w:tc>
        <w:tc>
          <w:tcPr>
            <w:tcW w:w="1983" w:type="dxa"/>
            <w:tcBorders>
              <w:top w:val="nil"/>
              <w:left w:val="nil"/>
              <w:bottom w:val="single" w:sz="4" w:space="0" w:color="auto"/>
              <w:right w:val="single" w:sz="4" w:space="0" w:color="auto"/>
            </w:tcBorders>
            <w:shd w:val="clear" w:color="auto" w:fill="auto"/>
            <w:noWrap/>
            <w:vAlign w:val="center"/>
            <w:hideMark/>
          </w:tcPr>
          <w:p w14:paraId="7525297C" w14:textId="10F68B7A" w:rsidR="008614E3" w:rsidRPr="008614E3" w:rsidRDefault="008614E3" w:rsidP="008614E3">
            <w:pPr>
              <w:spacing w:after="0" w:line="240" w:lineRule="auto"/>
              <w:jc w:val="right"/>
              <w:rPr>
                <w:rFonts w:cs="Arial"/>
                <w:color w:val="000000"/>
                <w:sz w:val="16"/>
                <w:szCs w:val="16"/>
              </w:rPr>
            </w:pPr>
            <w:r w:rsidRPr="008614E3">
              <w:rPr>
                <w:rFonts w:cs="Arial"/>
                <w:sz w:val="16"/>
                <w:szCs w:val="16"/>
              </w:rPr>
              <w:t>2017</w:t>
            </w:r>
          </w:p>
        </w:tc>
        <w:tc>
          <w:tcPr>
            <w:tcW w:w="1281" w:type="dxa"/>
            <w:tcBorders>
              <w:top w:val="nil"/>
              <w:left w:val="nil"/>
              <w:bottom w:val="single" w:sz="4" w:space="0" w:color="auto"/>
              <w:right w:val="single" w:sz="4" w:space="0" w:color="auto"/>
            </w:tcBorders>
            <w:shd w:val="clear" w:color="auto" w:fill="auto"/>
            <w:noWrap/>
            <w:vAlign w:val="center"/>
            <w:hideMark/>
          </w:tcPr>
          <w:p w14:paraId="2DB56B91" w14:textId="1A762F0F" w:rsidR="008614E3" w:rsidRPr="008614E3" w:rsidRDefault="008614E3" w:rsidP="008614E3">
            <w:pPr>
              <w:spacing w:after="0" w:line="240" w:lineRule="auto"/>
              <w:jc w:val="right"/>
              <w:rPr>
                <w:rFonts w:cs="Arial"/>
                <w:color w:val="000000"/>
                <w:sz w:val="16"/>
                <w:szCs w:val="16"/>
              </w:rPr>
            </w:pPr>
            <w:r w:rsidRPr="008614E3">
              <w:rPr>
                <w:rFonts w:cs="Arial"/>
                <w:sz w:val="16"/>
                <w:szCs w:val="16"/>
              </w:rPr>
              <w:t>2237</w:t>
            </w:r>
          </w:p>
        </w:tc>
        <w:tc>
          <w:tcPr>
            <w:tcW w:w="1559" w:type="dxa"/>
            <w:tcBorders>
              <w:top w:val="nil"/>
              <w:left w:val="nil"/>
              <w:bottom w:val="single" w:sz="4" w:space="0" w:color="auto"/>
              <w:right w:val="single" w:sz="4" w:space="0" w:color="auto"/>
            </w:tcBorders>
            <w:shd w:val="clear" w:color="auto" w:fill="auto"/>
            <w:noWrap/>
            <w:vAlign w:val="center"/>
            <w:hideMark/>
          </w:tcPr>
          <w:p w14:paraId="23EC5459" w14:textId="42584C21" w:rsidR="008614E3" w:rsidRPr="008614E3" w:rsidRDefault="008614E3" w:rsidP="008614E3">
            <w:pPr>
              <w:spacing w:after="0" w:line="240" w:lineRule="auto"/>
              <w:jc w:val="right"/>
              <w:rPr>
                <w:rFonts w:cs="Arial"/>
                <w:color w:val="000000"/>
                <w:sz w:val="16"/>
                <w:szCs w:val="16"/>
              </w:rPr>
            </w:pPr>
            <w:r w:rsidRPr="008614E3">
              <w:rPr>
                <w:rFonts w:cs="Arial"/>
                <w:sz w:val="16"/>
                <w:szCs w:val="16"/>
              </w:rPr>
              <w:t>0,36</w:t>
            </w:r>
          </w:p>
        </w:tc>
      </w:tr>
      <w:tr w:rsidR="008614E3" w:rsidRPr="008614E3" w14:paraId="30826339" w14:textId="77777777" w:rsidTr="008614E3">
        <w:trPr>
          <w:trHeight w:val="45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2CD3A100" w14:textId="0F660B01" w:rsidR="008614E3" w:rsidRPr="008614E3" w:rsidRDefault="008614E3" w:rsidP="008614E3">
            <w:pPr>
              <w:spacing w:after="0" w:line="240" w:lineRule="auto"/>
              <w:rPr>
                <w:rFonts w:cs="Arial"/>
                <w:color w:val="000000"/>
                <w:sz w:val="16"/>
                <w:szCs w:val="16"/>
              </w:rPr>
            </w:pPr>
            <w:r w:rsidRPr="008614E3">
              <w:rPr>
                <w:rFonts w:cs="Arial"/>
                <w:sz w:val="16"/>
                <w:szCs w:val="16"/>
              </w:rPr>
              <w:t xml:space="preserve">Činnosti v oblasti nemovitostí a administrativní a podpůrné činnosti </w:t>
            </w:r>
          </w:p>
        </w:tc>
        <w:tc>
          <w:tcPr>
            <w:tcW w:w="1417" w:type="dxa"/>
            <w:tcBorders>
              <w:top w:val="nil"/>
              <w:left w:val="nil"/>
              <w:bottom w:val="single" w:sz="4" w:space="0" w:color="auto"/>
              <w:right w:val="single" w:sz="4" w:space="0" w:color="auto"/>
            </w:tcBorders>
            <w:shd w:val="clear" w:color="auto" w:fill="auto"/>
            <w:noWrap/>
            <w:vAlign w:val="center"/>
            <w:hideMark/>
          </w:tcPr>
          <w:p w14:paraId="4DD448D4" w14:textId="77B35423" w:rsidR="008614E3" w:rsidRPr="008614E3" w:rsidRDefault="008614E3" w:rsidP="008614E3">
            <w:pPr>
              <w:spacing w:after="0" w:line="240" w:lineRule="auto"/>
              <w:jc w:val="right"/>
              <w:rPr>
                <w:rFonts w:cs="Arial"/>
                <w:color w:val="000000"/>
                <w:sz w:val="16"/>
                <w:szCs w:val="16"/>
              </w:rPr>
            </w:pPr>
            <w:r w:rsidRPr="008614E3">
              <w:rPr>
                <w:rFonts w:cs="Arial"/>
                <w:sz w:val="16"/>
                <w:szCs w:val="16"/>
              </w:rPr>
              <w:t>1001</w:t>
            </w:r>
          </w:p>
        </w:tc>
        <w:tc>
          <w:tcPr>
            <w:tcW w:w="1983" w:type="dxa"/>
            <w:tcBorders>
              <w:top w:val="nil"/>
              <w:left w:val="nil"/>
              <w:bottom w:val="single" w:sz="4" w:space="0" w:color="auto"/>
              <w:right w:val="single" w:sz="4" w:space="0" w:color="auto"/>
            </w:tcBorders>
            <w:shd w:val="clear" w:color="auto" w:fill="auto"/>
            <w:noWrap/>
            <w:vAlign w:val="center"/>
            <w:hideMark/>
          </w:tcPr>
          <w:p w14:paraId="63FABFF6" w14:textId="3439F315" w:rsidR="008614E3" w:rsidRPr="008614E3" w:rsidRDefault="008614E3" w:rsidP="008614E3">
            <w:pPr>
              <w:spacing w:after="0" w:line="240" w:lineRule="auto"/>
              <w:jc w:val="right"/>
              <w:rPr>
                <w:rFonts w:cs="Arial"/>
                <w:color w:val="000000"/>
                <w:sz w:val="16"/>
                <w:szCs w:val="16"/>
              </w:rPr>
            </w:pPr>
            <w:r w:rsidRPr="008614E3">
              <w:rPr>
                <w:rFonts w:cs="Arial"/>
                <w:sz w:val="16"/>
                <w:szCs w:val="16"/>
              </w:rPr>
              <w:t>1186</w:t>
            </w:r>
          </w:p>
        </w:tc>
        <w:tc>
          <w:tcPr>
            <w:tcW w:w="1281" w:type="dxa"/>
            <w:tcBorders>
              <w:top w:val="nil"/>
              <w:left w:val="nil"/>
              <w:bottom w:val="single" w:sz="4" w:space="0" w:color="auto"/>
              <w:right w:val="single" w:sz="4" w:space="0" w:color="auto"/>
            </w:tcBorders>
            <w:shd w:val="clear" w:color="auto" w:fill="auto"/>
            <w:noWrap/>
            <w:vAlign w:val="center"/>
            <w:hideMark/>
          </w:tcPr>
          <w:p w14:paraId="25A31D21" w14:textId="65D1E539" w:rsidR="008614E3" w:rsidRPr="008614E3" w:rsidRDefault="008614E3" w:rsidP="008614E3">
            <w:pPr>
              <w:spacing w:after="0" w:line="240" w:lineRule="auto"/>
              <w:jc w:val="right"/>
              <w:rPr>
                <w:rFonts w:cs="Arial"/>
                <w:color w:val="000000"/>
                <w:sz w:val="16"/>
                <w:szCs w:val="16"/>
              </w:rPr>
            </w:pPr>
            <w:r w:rsidRPr="008614E3">
              <w:rPr>
                <w:rFonts w:cs="Arial"/>
                <w:sz w:val="16"/>
                <w:szCs w:val="16"/>
              </w:rPr>
              <w:t>1318</w:t>
            </w:r>
          </w:p>
        </w:tc>
        <w:tc>
          <w:tcPr>
            <w:tcW w:w="1559" w:type="dxa"/>
            <w:tcBorders>
              <w:top w:val="nil"/>
              <w:left w:val="nil"/>
              <w:bottom w:val="single" w:sz="4" w:space="0" w:color="auto"/>
              <w:right w:val="single" w:sz="4" w:space="0" w:color="auto"/>
            </w:tcBorders>
            <w:shd w:val="clear" w:color="auto" w:fill="auto"/>
            <w:noWrap/>
            <w:vAlign w:val="center"/>
            <w:hideMark/>
          </w:tcPr>
          <w:p w14:paraId="7DA14FE1" w14:textId="631B3C54" w:rsidR="008614E3" w:rsidRPr="008614E3" w:rsidRDefault="008614E3" w:rsidP="008614E3">
            <w:pPr>
              <w:spacing w:after="0" w:line="240" w:lineRule="auto"/>
              <w:jc w:val="right"/>
              <w:rPr>
                <w:rFonts w:cs="Arial"/>
                <w:color w:val="000000"/>
                <w:sz w:val="16"/>
                <w:szCs w:val="16"/>
              </w:rPr>
            </w:pPr>
            <w:r w:rsidRPr="008614E3">
              <w:rPr>
                <w:rFonts w:cs="Arial"/>
                <w:sz w:val="16"/>
                <w:szCs w:val="16"/>
              </w:rPr>
              <w:t>0,25</w:t>
            </w:r>
          </w:p>
        </w:tc>
      </w:tr>
      <w:tr w:rsidR="008614E3" w:rsidRPr="008614E3" w14:paraId="754EF9F2" w14:textId="77777777" w:rsidTr="008614E3">
        <w:trPr>
          <w:trHeight w:val="45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15255E8C" w14:textId="6DAE324D" w:rsidR="008614E3" w:rsidRPr="008614E3" w:rsidRDefault="008614E3" w:rsidP="008614E3">
            <w:pPr>
              <w:spacing w:after="0" w:line="240" w:lineRule="auto"/>
              <w:rPr>
                <w:rFonts w:cs="Arial"/>
                <w:color w:val="000000"/>
                <w:sz w:val="16"/>
                <w:szCs w:val="16"/>
              </w:rPr>
            </w:pPr>
            <w:r w:rsidRPr="008614E3">
              <w:rPr>
                <w:rFonts w:cs="Arial"/>
                <w:sz w:val="16"/>
                <w:szCs w:val="16"/>
              </w:rPr>
              <w:t>Kulturní, zábavní a rekreační činnosti a ostatní činnosti</w:t>
            </w:r>
          </w:p>
        </w:tc>
        <w:tc>
          <w:tcPr>
            <w:tcW w:w="1417" w:type="dxa"/>
            <w:tcBorders>
              <w:top w:val="nil"/>
              <w:left w:val="nil"/>
              <w:bottom w:val="single" w:sz="4" w:space="0" w:color="auto"/>
              <w:right w:val="single" w:sz="4" w:space="0" w:color="auto"/>
            </w:tcBorders>
            <w:shd w:val="clear" w:color="auto" w:fill="auto"/>
            <w:noWrap/>
            <w:vAlign w:val="center"/>
            <w:hideMark/>
          </w:tcPr>
          <w:p w14:paraId="55A8D65B" w14:textId="1AD8FA2C" w:rsidR="008614E3" w:rsidRPr="008614E3" w:rsidRDefault="008614E3" w:rsidP="008614E3">
            <w:pPr>
              <w:spacing w:after="0" w:line="240" w:lineRule="auto"/>
              <w:jc w:val="right"/>
              <w:rPr>
                <w:rFonts w:cs="Arial"/>
                <w:color w:val="000000"/>
                <w:sz w:val="16"/>
                <w:szCs w:val="16"/>
              </w:rPr>
            </w:pPr>
            <w:r w:rsidRPr="008614E3">
              <w:rPr>
                <w:rFonts w:cs="Arial"/>
                <w:sz w:val="16"/>
                <w:szCs w:val="16"/>
              </w:rPr>
              <w:t>1009</w:t>
            </w:r>
          </w:p>
        </w:tc>
        <w:tc>
          <w:tcPr>
            <w:tcW w:w="1983" w:type="dxa"/>
            <w:tcBorders>
              <w:top w:val="nil"/>
              <w:left w:val="nil"/>
              <w:bottom w:val="single" w:sz="4" w:space="0" w:color="auto"/>
              <w:right w:val="single" w:sz="4" w:space="0" w:color="auto"/>
            </w:tcBorders>
            <w:shd w:val="clear" w:color="auto" w:fill="auto"/>
            <w:noWrap/>
            <w:vAlign w:val="center"/>
            <w:hideMark/>
          </w:tcPr>
          <w:p w14:paraId="4934556C" w14:textId="1D167CAA" w:rsidR="008614E3" w:rsidRPr="008614E3" w:rsidRDefault="008614E3" w:rsidP="008614E3">
            <w:pPr>
              <w:spacing w:after="0" w:line="240" w:lineRule="auto"/>
              <w:jc w:val="right"/>
              <w:rPr>
                <w:rFonts w:cs="Arial"/>
                <w:color w:val="000000"/>
                <w:sz w:val="16"/>
                <w:szCs w:val="16"/>
              </w:rPr>
            </w:pPr>
            <w:r w:rsidRPr="008614E3">
              <w:rPr>
                <w:rFonts w:cs="Arial"/>
                <w:sz w:val="16"/>
                <w:szCs w:val="16"/>
              </w:rPr>
              <w:t>1132</w:t>
            </w:r>
          </w:p>
        </w:tc>
        <w:tc>
          <w:tcPr>
            <w:tcW w:w="1281" w:type="dxa"/>
            <w:tcBorders>
              <w:top w:val="nil"/>
              <w:left w:val="nil"/>
              <w:bottom w:val="single" w:sz="4" w:space="0" w:color="auto"/>
              <w:right w:val="single" w:sz="4" w:space="0" w:color="auto"/>
            </w:tcBorders>
            <w:shd w:val="clear" w:color="auto" w:fill="auto"/>
            <w:noWrap/>
            <w:vAlign w:val="center"/>
            <w:hideMark/>
          </w:tcPr>
          <w:p w14:paraId="77BDED71" w14:textId="1AEEB544" w:rsidR="008614E3" w:rsidRPr="008614E3" w:rsidRDefault="008614E3" w:rsidP="008614E3">
            <w:pPr>
              <w:spacing w:after="0" w:line="240" w:lineRule="auto"/>
              <w:jc w:val="right"/>
              <w:rPr>
                <w:rFonts w:cs="Arial"/>
                <w:color w:val="000000"/>
                <w:sz w:val="16"/>
                <w:szCs w:val="16"/>
              </w:rPr>
            </w:pPr>
            <w:r w:rsidRPr="008614E3">
              <w:rPr>
                <w:rFonts w:cs="Arial"/>
                <w:sz w:val="16"/>
                <w:szCs w:val="16"/>
              </w:rPr>
              <w:t>1318</w:t>
            </w:r>
          </w:p>
        </w:tc>
        <w:tc>
          <w:tcPr>
            <w:tcW w:w="1559" w:type="dxa"/>
            <w:tcBorders>
              <w:top w:val="nil"/>
              <w:left w:val="nil"/>
              <w:bottom w:val="single" w:sz="4" w:space="0" w:color="auto"/>
              <w:right w:val="single" w:sz="4" w:space="0" w:color="auto"/>
            </w:tcBorders>
            <w:shd w:val="clear" w:color="auto" w:fill="auto"/>
            <w:noWrap/>
            <w:vAlign w:val="center"/>
            <w:hideMark/>
          </w:tcPr>
          <w:p w14:paraId="4C4B06C1" w14:textId="48C4AAC9" w:rsidR="008614E3" w:rsidRPr="008614E3" w:rsidRDefault="008614E3" w:rsidP="008614E3">
            <w:pPr>
              <w:spacing w:after="0" w:line="240" w:lineRule="auto"/>
              <w:jc w:val="right"/>
              <w:rPr>
                <w:rFonts w:cs="Arial"/>
                <w:color w:val="000000"/>
                <w:sz w:val="16"/>
                <w:szCs w:val="16"/>
              </w:rPr>
            </w:pPr>
            <w:r w:rsidRPr="008614E3">
              <w:rPr>
                <w:rFonts w:cs="Arial"/>
                <w:sz w:val="16"/>
                <w:szCs w:val="16"/>
              </w:rPr>
              <w:t>0,23</w:t>
            </w:r>
          </w:p>
        </w:tc>
      </w:tr>
      <w:tr w:rsidR="008614E3" w:rsidRPr="008614E3" w14:paraId="69D39069" w14:textId="77777777" w:rsidTr="008614E3">
        <w:trPr>
          <w:trHeight w:val="300"/>
        </w:trPr>
        <w:tc>
          <w:tcPr>
            <w:tcW w:w="3536" w:type="dxa"/>
            <w:tcBorders>
              <w:top w:val="nil"/>
              <w:left w:val="single" w:sz="4" w:space="0" w:color="auto"/>
              <w:bottom w:val="single" w:sz="4" w:space="0" w:color="auto"/>
              <w:right w:val="single" w:sz="4" w:space="0" w:color="auto"/>
            </w:tcBorders>
            <w:shd w:val="clear" w:color="auto" w:fill="auto"/>
            <w:vAlign w:val="center"/>
            <w:hideMark/>
          </w:tcPr>
          <w:p w14:paraId="71D79EF7" w14:textId="03E462D7" w:rsidR="008614E3" w:rsidRPr="008614E3" w:rsidRDefault="008614E3" w:rsidP="008614E3">
            <w:pPr>
              <w:spacing w:after="0" w:line="240" w:lineRule="auto"/>
              <w:rPr>
                <w:rFonts w:cs="Arial"/>
                <w:color w:val="000000"/>
                <w:sz w:val="16"/>
                <w:szCs w:val="16"/>
              </w:rPr>
            </w:pPr>
            <w:r w:rsidRPr="008614E3">
              <w:rPr>
                <w:rFonts w:cs="Arial"/>
                <w:sz w:val="16"/>
                <w:szCs w:val="16"/>
              </w:rPr>
              <w:t>Ubytování, stravování a pohostinství</w:t>
            </w:r>
          </w:p>
        </w:tc>
        <w:tc>
          <w:tcPr>
            <w:tcW w:w="1417" w:type="dxa"/>
            <w:tcBorders>
              <w:top w:val="nil"/>
              <w:left w:val="nil"/>
              <w:bottom w:val="single" w:sz="4" w:space="0" w:color="auto"/>
              <w:right w:val="single" w:sz="4" w:space="0" w:color="auto"/>
            </w:tcBorders>
            <w:shd w:val="clear" w:color="auto" w:fill="auto"/>
            <w:noWrap/>
            <w:vAlign w:val="center"/>
            <w:hideMark/>
          </w:tcPr>
          <w:p w14:paraId="77FA52DA" w14:textId="6E07368A" w:rsidR="008614E3" w:rsidRPr="008614E3" w:rsidRDefault="008614E3" w:rsidP="008614E3">
            <w:pPr>
              <w:spacing w:after="0" w:line="240" w:lineRule="auto"/>
              <w:jc w:val="right"/>
              <w:rPr>
                <w:rFonts w:cs="Arial"/>
                <w:b/>
                <w:color w:val="C00000"/>
                <w:sz w:val="16"/>
                <w:szCs w:val="16"/>
              </w:rPr>
            </w:pPr>
            <w:r w:rsidRPr="008614E3">
              <w:rPr>
                <w:rFonts w:cs="Arial"/>
                <w:b/>
                <w:color w:val="C00000"/>
                <w:sz w:val="16"/>
                <w:szCs w:val="16"/>
              </w:rPr>
              <w:t>357</w:t>
            </w:r>
          </w:p>
        </w:tc>
        <w:tc>
          <w:tcPr>
            <w:tcW w:w="1983" w:type="dxa"/>
            <w:tcBorders>
              <w:top w:val="nil"/>
              <w:left w:val="nil"/>
              <w:bottom w:val="single" w:sz="4" w:space="0" w:color="auto"/>
              <w:right w:val="single" w:sz="4" w:space="0" w:color="auto"/>
            </w:tcBorders>
            <w:shd w:val="clear" w:color="auto" w:fill="auto"/>
            <w:noWrap/>
            <w:vAlign w:val="center"/>
            <w:hideMark/>
          </w:tcPr>
          <w:p w14:paraId="59496F67" w14:textId="7563DFFD" w:rsidR="008614E3" w:rsidRPr="008614E3" w:rsidRDefault="008614E3" w:rsidP="008614E3">
            <w:pPr>
              <w:spacing w:after="0" w:line="240" w:lineRule="auto"/>
              <w:jc w:val="right"/>
              <w:rPr>
                <w:rFonts w:cs="Arial"/>
                <w:b/>
                <w:color w:val="C00000"/>
                <w:sz w:val="16"/>
                <w:szCs w:val="16"/>
              </w:rPr>
            </w:pPr>
            <w:r w:rsidRPr="008614E3">
              <w:rPr>
                <w:rFonts w:cs="Arial"/>
                <w:b/>
                <w:color w:val="C00000"/>
                <w:sz w:val="16"/>
                <w:szCs w:val="16"/>
              </w:rPr>
              <w:t>473</w:t>
            </w:r>
          </w:p>
        </w:tc>
        <w:tc>
          <w:tcPr>
            <w:tcW w:w="1281" w:type="dxa"/>
            <w:tcBorders>
              <w:top w:val="nil"/>
              <w:left w:val="nil"/>
              <w:bottom w:val="single" w:sz="4" w:space="0" w:color="auto"/>
              <w:right w:val="single" w:sz="4" w:space="0" w:color="auto"/>
            </w:tcBorders>
            <w:shd w:val="clear" w:color="auto" w:fill="auto"/>
            <w:noWrap/>
            <w:vAlign w:val="center"/>
            <w:hideMark/>
          </w:tcPr>
          <w:p w14:paraId="7143A625" w14:textId="5139FBCC" w:rsidR="008614E3" w:rsidRPr="008614E3" w:rsidRDefault="008614E3" w:rsidP="008614E3">
            <w:pPr>
              <w:spacing w:after="0" w:line="240" w:lineRule="auto"/>
              <w:jc w:val="right"/>
              <w:rPr>
                <w:rFonts w:cs="Arial"/>
                <w:b/>
                <w:color w:val="C00000"/>
                <w:sz w:val="16"/>
                <w:szCs w:val="16"/>
              </w:rPr>
            </w:pPr>
            <w:r w:rsidRPr="008614E3">
              <w:rPr>
                <w:rFonts w:cs="Arial"/>
                <w:b/>
                <w:color w:val="C00000"/>
                <w:sz w:val="16"/>
                <w:szCs w:val="16"/>
              </w:rPr>
              <w:t>542</w:t>
            </w:r>
          </w:p>
        </w:tc>
        <w:tc>
          <w:tcPr>
            <w:tcW w:w="1559" w:type="dxa"/>
            <w:tcBorders>
              <w:top w:val="nil"/>
              <w:left w:val="nil"/>
              <w:bottom w:val="single" w:sz="4" w:space="0" w:color="auto"/>
              <w:right w:val="single" w:sz="4" w:space="0" w:color="auto"/>
            </w:tcBorders>
            <w:shd w:val="clear" w:color="auto" w:fill="auto"/>
            <w:noWrap/>
            <w:vAlign w:val="center"/>
            <w:hideMark/>
          </w:tcPr>
          <w:p w14:paraId="4B49D094" w14:textId="497122A0" w:rsidR="008614E3" w:rsidRPr="008614E3" w:rsidRDefault="008614E3" w:rsidP="008614E3">
            <w:pPr>
              <w:spacing w:after="0" w:line="240" w:lineRule="auto"/>
              <w:jc w:val="right"/>
              <w:rPr>
                <w:rFonts w:cs="Arial"/>
                <w:b/>
                <w:color w:val="C00000"/>
                <w:sz w:val="16"/>
                <w:szCs w:val="16"/>
              </w:rPr>
            </w:pPr>
            <w:r w:rsidRPr="008614E3">
              <w:rPr>
                <w:rFonts w:cs="Arial"/>
                <w:b/>
                <w:color w:val="C00000"/>
                <w:sz w:val="16"/>
                <w:szCs w:val="16"/>
              </w:rPr>
              <w:t>0,12</w:t>
            </w:r>
          </w:p>
        </w:tc>
      </w:tr>
    </w:tbl>
    <w:p w14:paraId="3B8606AE" w14:textId="2596394A" w:rsidR="00883D79" w:rsidRPr="003D1467" w:rsidRDefault="00883D79" w:rsidP="003D1467">
      <w:pPr>
        <w:widowControl w:val="0"/>
        <w:spacing w:before="120" w:after="120"/>
        <w:jc w:val="right"/>
        <w:rPr>
          <w:rFonts w:cs="Arial"/>
          <w:szCs w:val="20"/>
        </w:rPr>
      </w:pPr>
      <w:r>
        <w:rPr>
          <w:rFonts w:cs="Arial"/>
          <w:b/>
          <w:szCs w:val="20"/>
        </w:rPr>
        <w:fldChar w:fldCharType="end"/>
      </w:r>
      <w:r w:rsidR="003D1467" w:rsidRPr="003D1467">
        <w:rPr>
          <w:rFonts w:cs="Arial"/>
          <w:szCs w:val="20"/>
        </w:rPr>
        <w:t>Zdroj: ČSÚ</w:t>
      </w:r>
    </w:p>
    <w:p w14:paraId="74C8F6F7" w14:textId="317D60B7" w:rsidR="008B2876" w:rsidRDefault="008B2876" w:rsidP="003D1467">
      <w:pPr>
        <w:spacing w:after="120"/>
        <w:jc w:val="both"/>
        <w:rPr>
          <w:rFonts w:cs="Arial"/>
          <w:szCs w:val="20"/>
        </w:rPr>
      </w:pPr>
      <w:r>
        <w:rPr>
          <w:rFonts w:cs="Arial"/>
          <w:szCs w:val="20"/>
        </w:rPr>
        <w:t xml:space="preserve">Z tabulky </w:t>
      </w:r>
      <w:r w:rsidR="00346020">
        <w:rPr>
          <w:rFonts w:cs="Arial"/>
          <w:szCs w:val="20"/>
        </w:rPr>
        <w:t>1.</w:t>
      </w:r>
      <w:r>
        <w:rPr>
          <w:rFonts w:cs="Arial"/>
          <w:szCs w:val="20"/>
        </w:rPr>
        <w:t xml:space="preserve">2 je také zřejmé, že podniky, </w:t>
      </w:r>
      <w:r w:rsidR="00B44087">
        <w:rPr>
          <w:rFonts w:cs="Arial"/>
          <w:szCs w:val="20"/>
        </w:rPr>
        <w:t>pod zahraniční kontrolou</w:t>
      </w:r>
      <w:r>
        <w:rPr>
          <w:rFonts w:cs="Arial"/>
          <w:szCs w:val="20"/>
        </w:rPr>
        <w:t xml:space="preserve"> utratily za vzdělávání </w:t>
      </w:r>
      <w:r w:rsidR="007F5CDE">
        <w:rPr>
          <w:rFonts w:cs="Arial"/>
          <w:szCs w:val="20"/>
        </w:rPr>
        <w:t xml:space="preserve">jednoho zaměstnance v průměru </w:t>
      </w:r>
      <w:r>
        <w:rPr>
          <w:rFonts w:cs="Arial"/>
          <w:szCs w:val="20"/>
        </w:rPr>
        <w:t xml:space="preserve">více peněz </w:t>
      </w:r>
      <w:r w:rsidR="00346020">
        <w:rPr>
          <w:rFonts w:cs="Arial"/>
          <w:szCs w:val="20"/>
        </w:rPr>
        <w:t xml:space="preserve">než podniky </w:t>
      </w:r>
      <w:r w:rsidR="00B44087">
        <w:rPr>
          <w:rFonts w:cs="Arial"/>
          <w:szCs w:val="20"/>
        </w:rPr>
        <w:t>domácí</w:t>
      </w:r>
      <w:r w:rsidR="00346020">
        <w:rPr>
          <w:rFonts w:cs="Arial"/>
          <w:szCs w:val="20"/>
        </w:rPr>
        <w:t xml:space="preserve"> </w:t>
      </w:r>
      <w:r>
        <w:rPr>
          <w:rFonts w:cs="Arial"/>
          <w:szCs w:val="20"/>
        </w:rPr>
        <w:t>a též podíl nákladů na vzdělávání k celkovým nákladům prác</w:t>
      </w:r>
      <w:r w:rsidR="00597D35">
        <w:rPr>
          <w:rFonts w:cs="Arial"/>
          <w:szCs w:val="20"/>
        </w:rPr>
        <w:t>e byl</w:t>
      </w:r>
      <w:r>
        <w:rPr>
          <w:rFonts w:cs="Arial"/>
          <w:szCs w:val="20"/>
        </w:rPr>
        <w:t xml:space="preserve"> u nich vyšší (0,5 % oproti 0,4 %). </w:t>
      </w:r>
    </w:p>
    <w:p w14:paraId="5CB74E4D" w14:textId="43E376F6" w:rsidR="008B2876" w:rsidRDefault="008B2876" w:rsidP="008B2876">
      <w:pPr>
        <w:spacing w:after="120"/>
        <w:jc w:val="both"/>
        <w:rPr>
          <w:rFonts w:cs="Arial"/>
          <w:szCs w:val="20"/>
        </w:rPr>
      </w:pPr>
      <w:r>
        <w:rPr>
          <w:rFonts w:cs="Arial"/>
          <w:szCs w:val="20"/>
        </w:rPr>
        <w:t>Rozdíly také najdeme mezi jednotlivými odvětvími. Relativně nejvíce za vzdělávání zaměstnanců u</w:t>
      </w:r>
      <w:r w:rsidR="00346020">
        <w:rPr>
          <w:rFonts w:cs="Arial"/>
          <w:szCs w:val="20"/>
        </w:rPr>
        <w:t>tratily v roce 2020</w:t>
      </w:r>
      <w:r>
        <w:rPr>
          <w:rFonts w:cs="Arial"/>
          <w:szCs w:val="20"/>
        </w:rPr>
        <w:t xml:space="preserve"> podniky působící v oblasti </w:t>
      </w:r>
      <w:r w:rsidRPr="00CA19A9">
        <w:rPr>
          <w:rFonts w:cs="Arial"/>
          <w:i/>
          <w:szCs w:val="20"/>
        </w:rPr>
        <w:t>peněžnictví a pojišťovnictví</w:t>
      </w:r>
      <w:r>
        <w:rPr>
          <w:rFonts w:cs="Arial"/>
          <w:szCs w:val="20"/>
        </w:rPr>
        <w:t xml:space="preserve">, dále v oblasti </w:t>
      </w:r>
      <w:r w:rsidRPr="00CA19A9">
        <w:rPr>
          <w:rFonts w:cs="Arial"/>
          <w:i/>
          <w:szCs w:val="20"/>
        </w:rPr>
        <w:t xml:space="preserve">informačních a </w:t>
      </w:r>
      <w:r w:rsidRPr="00CA19A9">
        <w:rPr>
          <w:rFonts w:cs="Arial"/>
          <w:i/>
          <w:szCs w:val="20"/>
        </w:rPr>
        <w:lastRenderedPageBreak/>
        <w:t xml:space="preserve">komunikačních technologií </w:t>
      </w:r>
      <w:r>
        <w:rPr>
          <w:rFonts w:cs="Arial"/>
          <w:szCs w:val="20"/>
        </w:rPr>
        <w:t xml:space="preserve">a v oblasti </w:t>
      </w:r>
      <w:r w:rsidRPr="00CA19A9">
        <w:rPr>
          <w:rFonts w:cs="Arial"/>
          <w:i/>
          <w:szCs w:val="20"/>
        </w:rPr>
        <w:t>profesní, vědecké a technické činnosti</w:t>
      </w:r>
      <w:r>
        <w:rPr>
          <w:rFonts w:cs="Arial"/>
          <w:szCs w:val="20"/>
        </w:rPr>
        <w:t xml:space="preserve"> (</w:t>
      </w:r>
      <w:r w:rsidR="000C3637">
        <w:rPr>
          <w:rFonts w:cs="Arial"/>
          <w:szCs w:val="20"/>
        </w:rPr>
        <w:t xml:space="preserve">uveďme </w:t>
      </w:r>
      <w:r w:rsidR="00B159AB">
        <w:rPr>
          <w:rFonts w:cs="Arial"/>
          <w:szCs w:val="20"/>
        </w:rPr>
        <w:t>např.</w:t>
      </w:r>
      <w:r w:rsidR="000C3637">
        <w:rPr>
          <w:rFonts w:cs="Arial"/>
          <w:szCs w:val="20"/>
        </w:rPr>
        <w:t>, že to bylo</w:t>
      </w:r>
      <w:r w:rsidR="00B159AB">
        <w:rPr>
          <w:rFonts w:cs="Arial"/>
          <w:szCs w:val="20"/>
        </w:rPr>
        <w:t xml:space="preserve"> </w:t>
      </w:r>
      <w:r>
        <w:rPr>
          <w:rFonts w:cs="Arial"/>
          <w:szCs w:val="20"/>
        </w:rPr>
        <w:t xml:space="preserve">0,6 % až 0,8 % z celkových nákladů práce). Naopak podniky z oblasti </w:t>
      </w:r>
      <w:r w:rsidRPr="00CA19A9">
        <w:rPr>
          <w:rFonts w:cs="Arial"/>
          <w:i/>
          <w:szCs w:val="20"/>
        </w:rPr>
        <w:t>ubytování, stravování a pohostinství</w:t>
      </w:r>
      <w:r>
        <w:rPr>
          <w:rFonts w:cs="Arial"/>
          <w:szCs w:val="20"/>
        </w:rPr>
        <w:t xml:space="preserve"> a z oblasti </w:t>
      </w:r>
      <w:r w:rsidRPr="00CA19A9">
        <w:rPr>
          <w:rFonts w:cs="Arial"/>
          <w:i/>
          <w:szCs w:val="20"/>
        </w:rPr>
        <w:t>kulturní, zábavní a rekreační činnosti</w:t>
      </w:r>
      <w:r>
        <w:rPr>
          <w:rFonts w:cs="Arial"/>
          <w:szCs w:val="20"/>
        </w:rPr>
        <w:t xml:space="preserve"> vydaly za vzdělávání nejmenší podíl nákladů práce (0,1 %, resp. 0,2 %). Do toho se mohla promítnout i pande</w:t>
      </w:r>
      <w:r w:rsidR="00B159AB">
        <w:rPr>
          <w:rFonts w:cs="Arial"/>
          <w:szCs w:val="20"/>
        </w:rPr>
        <w:t>mie onemocnění covid-19. P</w:t>
      </w:r>
      <w:r>
        <w:rPr>
          <w:rFonts w:cs="Arial"/>
          <w:szCs w:val="20"/>
        </w:rPr>
        <w:t xml:space="preserve">okud se jedná o oblast </w:t>
      </w:r>
      <w:r w:rsidRPr="00CA19A9">
        <w:rPr>
          <w:rFonts w:cs="Arial"/>
          <w:i/>
          <w:szCs w:val="20"/>
        </w:rPr>
        <w:t>ubytování a stravování</w:t>
      </w:r>
      <w:r>
        <w:rPr>
          <w:rFonts w:cs="Arial"/>
          <w:szCs w:val="20"/>
        </w:rPr>
        <w:t>,</w:t>
      </w:r>
      <w:r w:rsidR="00B159AB">
        <w:rPr>
          <w:rFonts w:cs="Arial"/>
          <w:szCs w:val="20"/>
        </w:rPr>
        <w:t xml:space="preserve"> resp. </w:t>
      </w:r>
      <w:r w:rsidR="00B159AB" w:rsidRPr="00CA19A9">
        <w:rPr>
          <w:rFonts w:cs="Arial"/>
          <w:i/>
          <w:szCs w:val="20"/>
        </w:rPr>
        <w:t>kultury</w:t>
      </w:r>
      <w:r w:rsidR="00AF699B">
        <w:rPr>
          <w:rFonts w:cs="Arial"/>
          <w:i/>
          <w:szCs w:val="20"/>
        </w:rPr>
        <w:t>, zábavy</w:t>
      </w:r>
      <w:r w:rsidR="00C66933" w:rsidRPr="00CA19A9">
        <w:rPr>
          <w:rFonts w:cs="Arial"/>
          <w:i/>
          <w:szCs w:val="20"/>
        </w:rPr>
        <w:t xml:space="preserve"> a rekreace</w:t>
      </w:r>
      <w:r w:rsidR="00C66933">
        <w:rPr>
          <w:rFonts w:cs="Arial"/>
          <w:szCs w:val="20"/>
        </w:rPr>
        <w:t>,</w:t>
      </w:r>
      <w:r>
        <w:rPr>
          <w:rFonts w:cs="Arial"/>
          <w:szCs w:val="20"/>
        </w:rPr>
        <w:t xml:space="preserve"> řada podniků mohla být v roce 2020 na dlouhou dobu uzavřena, nebo s omezen</w:t>
      </w:r>
      <w:r w:rsidR="00C66933">
        <w:rPr>
          <w:rFonts w:cs="Arial"/>
          <w:szCs w:val="20"/>
        </w:rPr>
        <w:t>ým provozem</w:t>
      </w:r>
      <w:r w:rsidR="00AF699B">
        <w:rPr>
          <w:rFonts w:cs="Arial"/>
          <w:szCs w:val="20"/>
        </w:rPr>
        <w:t xml:space="preserve"> a přístupem </w:t>
      </w:r>
      <w:r w:rsidR="00323EF3">
        <w:rPr>
          <w:rFonts w:cs="Arial"/>
          <w:szCs w:val="20"/>
        </w:rPr>
        <w:t>ke vzdělávání</w:t>
      </w:r>
      <w:r w:rsidR="00687BFD">
        <w:rPr>
          <w:rFonts w:cs="Arial"/>
          <w:szCs w:val="20"/>
        </w:rPr>
        <w:t>,</w:t>
      </w:r>
      <w:r w:rsidR="00323EF3">
        <w:rPr>
          <w:rFonts w:cs="Arial"/>
          <w:szCs w:val="20"/>
        </w:rPr>
        <w:t xml:space="preserve"> potýkat se</w:t>
      </w:r>
      <w:r w:rsidR="00687BFD">
        <w:rPr>
          <w:rFonts w:cs="Arial"/>
          <w:szCs w:val="20"/>
        </w:rPr>
        <w:t xml:space="preserve"> </w:t>
      </w:r>
      <w:r w:rsidR="00AF699B">
        <w:rPr>
          <w:rFonts w:cs="Arial"/>
          <w:szCs w:val="20"/>
        </w:rPr>
        <w:t xml:space="preserve">s </w:t>
      </w:r>
      <w:r w:rsidR="00A912FB">
        <w:rPr>
          <w:rFonts w:cs="Arial"/>
          <w:szCs w:val="20"/>
        </w:rPr>
        <w:t>finančními ztrátami</w:t>
      </w:r>
      <w:r w:rsidR="00AF699B">
        <w:rPr>
          <w:rFonts w:cs="Arial"/>
          <w:szCs w:val="20"/>
        </w:rPr>
        <w:t xml:space="preserve"> apod</w:t>
      </w:r>
      <w:r>
        <w:rPr>
          <w:rFonts w:cs="Arial"/>
          <w:szCs w:val="20"/>
        </w:rPr>
        <w:t>.</w:t>
      </w:r>
      <w:r w:rsidR="00BA65AB">
        <w:rPr>
          <w:rFonts w:cs="Arial"/>
          <w:szCs w:val="20"/>
        </w:rPr>
        <w:t xml:space="preserve"> Oproti tomu podniky působící v </w:t>
      </w:r>
      <w:r>
        <w:rPr>
          <w:rFonts w:cs="Arial"/>
          <w:szCs w:val="20"/>
        </w:rPr>
        <w:t xml:space="preserve">oblasti </w:t>
      </w:r>
      <w:r w:rsidRPr="00CA19A9">
        <w:rPr>
          <w:rFonts w:cs="Arial"/>
          <w:i/>
          <w:szCs w:val="20"/>
        </w:rPr>
        <w:t>peněžnictví</w:t>
      </w:r>
      <w:r w:rsidR="00B159AB" w:rsidRPr="00CA19A9">
        <w:rPr>
          <w:rFonts w:cs="Arial"/>
          <w:i/>
          <w:szCs w:val="20"/>
        </w:rPr>
        <w:t>, pojišťovnictví</w:t>
      </w:r>
      <w:r>
        <w:rPr>
          <w:rFonts w:cs="Arial"/>
          <w:szCs w:val="20"/>
        </w:rPr>
        <w:t xml:space="preserve"> a </w:t>
      </w:r>
      <w:r w:rsidR="00B159AB">
        <w:rPr>
          <w:rFonts w:cs="Arial"/>
          <w:szCs w:val="20"/>
        </w:rPr>
        <w:t xml:space="preserve">v oblasti </w:t>
      </w:r>
      <w:r w:rsidR="00B159AB" w:rsidRPr="00CA19A9">
        <w:rPr>
          <w:rFonts w:cs="Arial"/>
          <w:i/>
          <w:szCs w:val="20"/>
        </w:rPr>
        <w:t>informačních a komunikačních činností</w:t>
      </w:r>
      <w:r w:rsidR="00B159AB">
        <w:rPr>
          <w:rFonts w:cs="Arial"/>
          <w:szCs w:val="20"/>
        </w:rPr>
        <w:t xml:space="preserve"> </w:t>
      </w:r>
      <w:r>
        <w:rPr>
          <w:rFonts w:cs="Arial"/>
          <w:szCs w:val="20"/>
        </w:rPr>
        <w:t xml:space="preserve">byly pandemií covid-19 a omezeními s ní spojenými dotčeny podstatně méně.     </w:t>
      </w:r>
    </w:p>
    <w:p w14:paraId="381314AA" w14:textId="0987D95A" w:rsidR="00883D79" w:rsidRDefault="008C39DE" w:rsidP="00623B24">
      <w:pPr>
        <w:keepNext/>
        <w:spacing w:after="120"/>
        <w:jc w:val="both"/>
        <w:rPr>
          <w:rFonts w:cs="Arial"/>
          <w:szCs w:val="20"/>
        </w:rPr>
      </w:pPr>
      <w:r>
        <w:rPr>
          <w:rFonts w:cs="Arial"/>
          <w:szCs w:val="20"/>
        </w:rPr>
        <w:t>J</w:t>
      </w:r>
      <w:r w:rsidR="00CD2729">
        <w:rPr>
          <w:rFonts w:cs="Arial"/>
          <w:szCs w:val="20"/>
        </w:rPr>
        <w:t>ak již bylo uvedeno</w:t>
      </w:r>
      <w:r>
        <w:rPr>
          <w:rFonts w:cs="Arial"/>
          <w:szCs w:val="20"/>
        </w:rPr>
        <w:t xml:space="preserve">, některé podniky mohou realizovat vzdělávání, </w:t>
      </w:r>
      <w:r w:rsidR="00CD2729">
        <w:rPr>
          <w:rFonts w:cs="Arial"/>
          <w:szCs w:val="20"/>
        </w:rPr>
        <w:t>za které nevydají žádné finanční prostředky</w:t>
      </w:r>
      <w:r w:rsidR="00C40296">
        <w:rPr>
          <w:rFonts w:cs="Arial"/>
          <w:szCs w:val="20"/>
        </w:rPr>
        <w:t xml:space="preserve">, případně </w:t>
      </w:r>
      <w:r w:rsidR="00A037C7">
        <w:rPr>
          <w:rFonts w:cs="Arial"/>
          <w:szCs w:val="20"/>
        </w:rPr>
        <w:t xml:space="preserve">takové vzdělávání, </w:t>
      </w:r>
      <w:r w:rsidR="00C40296">
        <w:rPr>
          <w:rFonts w:cs="Arial"/>
          <w:szCs w:val="20"/>
        </w:rPr>
        <w:t>které již uhradily v předchozím roce</w:t>
      </w:r>
      <w:r w:rsidR="00C8397F">
        <w:rPr>
          <w:rFonts w:cs="Arial"/>
          <w:szCs w:val="20"/>
        </w:rPr>
        <w:t xml:space="preserve"> (např. jazykové kurzy zaplacené v září na celý školní rok)</w:t>
      </w:r>
      <w:r w:rsidR="00C40296">
        <w:rPr>
          <w:rFonts w:cs="Arial"/>
          <w:szCs w:val="20"/>
        </w:rPr>
        <w:t>, nebo je budou hradit v roce následujícím</w:t>
      </w:r>
      <w:r w:rsidR="00C8397F">
        <w:rPr>
          <w:rFonts w:cs="Arial"/>
          <w:szCs w:val="20"/>
        </w:rPr>
        <w:t xml:space="preserve"> (</w:t>
      </w:r>
      <w:r w:rsidR="00D42CCA">
        <w:rPr>
          <w:rFonts w:cs="Arial"/>
          <w:szCs w:val="20"/>
        </w:rPr>
        <w:t xml:space="preserve">např. </w:t>
      </w:r>
      <w:r w:rsidR="00C8397F">
        <w:rPr>
          <w:rFonts w:cs="Arial"/>
          <w:szCs w:val="20"/>
        </w:rPr>
        <w:t>fakturované služby)</w:t>
      </w:r>
      <w:r w:rsidR="00CD2729">
        <w:rPr>
          <w:rFonts w:cs="Arial"/>
          <w:szCs w:val="20"/>
        </w:rPr>
        <w:t xml:space="preserve">. </w:t>
      </w:r>
      <w:r w:rsidR="00D42CCA">
        <w:rPr>
          <w:rFonts w:cs="Arial"/>
          <w:szCs w:val="20"/>
        </w:rPr>
        <w:t>Přehled o </w:t>
      </w:r>
      <w:r w:rsidR="00C8397F" w:rsidRPr="00C8397F">
        <w:rPr>
          <w:rFonts w:cs="Arial"/>
          <w:szCs w:val="20"/>
        </w:rPr>
        <w:t xml:space="preserve">podnicích, které </w:t>
      </w:r>
      <w:r w:rsidR="00094075">
        <w:rPr>
          <w:rFonts w:cs="Arial"/>
          <w:szCs w:val="20"/>
        </w:rPr>
        <w:t xml:space="preserve">v roce 2020 </w:t>
      </w:r>
      <w:r w:rsidR="00C8397F" w:rsidRPr="00C8397F">
        <w:rPr>
          <w:rFonts w:cs="Arial"/>
          <w:szCs w:val="20"/>
        </w:rPr>
        <w:t>hradily náklady na vzdělávání, dokumentuje graf 1.2. Ten kromě toho ukazuje podíl podniků zajišťujících (jakékoliv) vzdělávání</w:t>
      </w:r>
      <w:r w:rsidR="00C8397F">
        <w:rPr>
          <w:rFonts w:cs="Arial"/>
          <w:szCs w:val="20"/>
        </w:rPr>
        <w:t>.</w:t>
      </w:r>
    </w:p>
    <w:p w14:paraId="7DA3BD6C" w14:textId="3F4518AF" w:rsidR="00CD2729" w:rsidRDefault="00CD2729" w:rsidP="00623B24">
      <w:pPr>
        <w:keepNext/>
        <w:spacing w:after="120"/>
        <w:jc w:val="both"/>
        <w:rPr>
          <w:rFonts w:cs="Arial"/>
          <w:b/>
          <w:szCs w:val="20"/>
        </w:rPr>
      </w:pPr>
      <w:r w:rsidRPr="00CD2729">
        <w:rPr>
          <w:rFonts w:cs="Arial"/>
          <w:b/>
          <w:szCs w:val="20"/>
        </w:rPr>
        <w:t xml:space="preserve">Graf </w:t>
      </w:r>
      <w:r w:rsidR="00614C13">
        <w:rPr>
          <w:rFonts w:cs="Arial"/>
          <w:b/>
          <w:szCs w:val="20"/>
        </w:rPr>
        <w:t>1.</w:t>
      </w:r>
      <w:r w:rsidRPr="00CD2729">
        <w:rPr>
          <w:rFonts w:cs="Arial"/>
          <w:b/>
          <w:szCs w:val="20"/>
        </w:rPr>
        <w:t xml:space="preserve">2 </w:t>
      </w:r>
      <w:r w:rsidR="00F76DF1">
        <w:rPr>
          <w:rFonts w:cs="Arial"/>
          <w:b/>
          <w:szCs w:val="20"/>
        </w:rPr>
        <w:t>Podniky s výdaji</w:t>
      </w:r>
      <w:r>
        <w:rPr>
          <w:rFonts w:cs="Arial"/>
          <w:b/>
          <w:szCs w:val="20"/>
        </w:rPr>
        <w:t xml:space="preserve"> </w:t>
      </w:r>
      <w:r w:rsidR="00F76DF1">
        <w:rPr>
          <w:rFonts w:cs="Arial"/>
          <w:b/>
          <w:szCs w:val="20"/>
        </w:rPr>
        <w:t>na vzdělávání, resp. zajišťující vzdělávání v roce</w:t>
      </w:r>
      <w:r w:rsidR="00315A97">
        <w:rPr>
          <w:rFonts w:cs="Arial"/>
          <w:b/>
          <w:szCs w:val="20"/>
        </w:rPr>
        <w:t xml:space="preserve"> 2020</w:t>
      </w:r>
      <w:r w:rsidR="00F76DF1">
        <w:rPr>
          <w:rFonts w:cs="Arial"/>
          <w:b/>
          <w:szCs w:val="20"/>
        </w:rPr>
        <w:t xml:space="preserve"> (v % ze všech podniků)</w:t>
      </w:r>
    </w:p>
    <w:p w14:paraId="2C9383ED" w14:textId="607B1FB9" w:rsidR="00CD2729" w:rsidRDefault="002523E9" w:rsidP="00623B24">
      <w:pPr>
        <w:keepNext/>
        <w:spacing w:after="120"/>
        <w:jc w:val="both"/>
        <w:rPr>
          <w:rFonts w:cs="Arial"/>
          <w:b/>
          <w:szCs w:val="20"/>
        </w:rPr>
      </w:pPr>
      <w:r>
        <w:rPr>
          <w:noProof/>
        </w:rPr>
        <w:drawing>
          <wp:inline distT="0" distB="0" distL="0" distR="0" wp14:anchorId="282120B0" wp14:editId="6F0D8AEA">
            <wp:extent cx="6200775" cy="4210050"/>
            <wp:effectExtent l="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18C4F6" w14:textId="76F0C0C6" w:rsidR="00E66D13" w:rsidRPr="00E66D13" w:rsidRDefault="00E66D13" w:rsidP="00E66D13">
      <w:pPr>
        <w:spacing w:after="120"/>
        <w:jc w:val="right"/>
        <w:rPr>
          <w:szCs w:val="20"/>
        </w:rPr>
      </w:pPr>
      <w:r w:rsidRPr="003D1467">
        <w:rPr>
          <w:szCs w:val="20"/>
        </w:rPr>
        <w:t>Zdroj: ČSÚ</w:t>
      </w:r>
    </w:p>
    <w:p w14:paraId="08BA8501" w14:textId="133814B9" w:rsidR="00883D79" w:rsidRDefault="00A037C7" w:rsidP="00623B24">
      <w:pPr>
        <w:keepNext/>
        <w:spacing w:after="120"/>
        <w:jc w:val="both"/>
        <w:rPr>
          <w:rFonts w:cs="Arial"/>
          <w:szCs w:val="20"/>
        </w:rPr>
      </w:pPr>
      <w:r>
        <w:rPr>
          <w:rFonts w:cs="Arial"/>
          <w:szCs w:val="20"/>
        </w:rPr>
        <w:t>Z</w:t>
      </w:r>
      <w:r w:rsidR="00C40296">
        <w:rPr>
          <w:rFonts w:cs="Arial"/>
          <w:szCs w:val="20"/>
        </w:rPr>
        <w:t>ejména mezi podniky působícími</w:t>
      </w:r>
      <w:r w:rsidR="00CD2729">
        <w:rPr>
          <w:rFonts w:cs="Arial"/>
          <w:szCs w:val="20"/>
        </w:rPr>
        <w:t xml:space="preserve"> v oblasti </w:t>
      </w:r>
      <w:r w:rsidR="00CD2729" w:rsidRPr="00CA19A9">
        <w:rPr>
          <w:rFonts w:cs="Arial"/>
          <w:i/>
          <w:szCs w:val="20"/>
        </w:rPr>
        <w:t>ubytování a stravování</w:t>
      </w:r>
      <w:r w:rsidR="00CD2729">
        <w:rPr>
          <w:rFonts w:cs="Arial"/>
          <w:szCs w:val="20"/>
        </w:rPr>
        <w:t xml:space="preserve"> a mezi podniky s činností v oblasti </w:t>
      </w:r>
      <w:r>
        <w:rPr>
          <w:rFonts w:cs="Arial"/>
          <w:i/>
          <w:szCs w:val="20"/>
        </w:rPr>
        <w:t>nemovitostí,</w:t>
      </w:r>
      <w:r w:rsidR="00CD2729" w:rsidRPr="00CA19A9">
        <w:rPr>
          <w:rFonts w:cs="Arial"/>
          <w:i/>
          <w:szCs w:val="20"/>
        </w:rPr>
        <w:t xml:space="preserve"> administrativy</w:t>
      </w:r>
      <w:r>
        <w:rPr>
          <w:rFonts w:cs="Arial"/>
          <w:i/>
          <w:szCs w:val="20"/>
        </w:rPr>
        <w:t xml:space="preserve"> a podpůrných činností</w:t>
      </w:r>
      <w:r w:rsidR="00CD2729">
        <w:rPr>
          <w:rFonts w:cs="Arial"/>
          <w:szCs w:val="20"/>
        </w:rPr>
        <w:t xml:space="preserve"> se najde řada těch, které </w:t>
      </w:r>
      <w:r w:rsidR="000F22D6">
        <w:rPr>
          <w:rFonts w:cs="Arial"/>
          <w:szCs w:val="20"/>
        </w:rPr>
        <w:t xml:space="preserve">v roce 2020 zajišťovaly vzdělávání, avšak nevydaly </w:t>
      </w:r>
      <w:r w:rsidR="009A6A3A">
        <w:rPr>
          <w:rFonts w:cs="Arial"/>
          <w:szCs w:val="20"/>
        </w:rPr>
        <w:t>za vzdělávání</w:t>
      </w:r>
      <w:r w:rsidR="001549EC">
        <w:rPr>
          <w:rFonts w:cs="Arial"/>
          <w:szCs w:val="20"/>
        </w:rPr>
        <w:t xml:space="preserve"> </w:t>
      </w:r>
      <w:r w:rsidR="000F22D6">
        <w:rPr>
          <w:rFonts w:cs="Arial"/>
          <w:szCs w:val="20"/>
        </w:rPr>
        <w:t>žádné finanční prostředky</w:t>
      </w:r>
      <w:r w:rsidR="00CD2729">
        <w:rPr>
          <w:rFonts w:cs="Arial"/>
          <w:szCs w:val="20"/>
        </w:rPr>
        <w:t xml:space="preserve">. Naopak </w:t>
      </w:r>
      <w:r w:rsidR="00D356DB">
        <w:rPr>
          <w:rFonts w:cs="Arial"/>
          <w:szCs w:val="20"/>
        </w:rPr>
        <w:t>mezi</w:t>
      </w:r>
      <w:r w:rsidR="00CD2729">
        <w:rPr>
          <w:rFonts w:cs="Arial"/>
          <w:szCs w:val="20"/>
        </w:rPr>
        <w:t xml:space="preserve"> podniky z oblasti </w:t>
      </w:r>
      <w:r w:rsidR="00CD2729" w:rsidRPr="00CA19A9">
        <w:rPr>
          <w:rFonts w:cs="Arial"/>
          <w:i/>
          <w:szCs w:val="20"/>
        </w:rPr>
        <w:t>peněžnictví a pojišťovnictví</w:t>
      </w:r>
      <w:r w:rsidR="00CD2729">
        <w:rPr>
          <w:rFonts w:cs="Arial"/>
          <w:szCs w:val="20"/>
        </w:rPr>
        <w:t xml:space="preserve"> a z oblasti </w:t>
      </w:r>
      <w:r w:rsidR="00CD2729" w:rsidRPr="00CA19A9">
        <w:rPr>
          <w:rFonts w:cs="Arial"/>
          <w:i/>
          <w:szCs w:val="20"/>
        </w:rPr>
        <w:t>profesní, věde</w:t>
      </w:r>
      <w:r w:rsidR="00D356DB" w:rsidRPr="00CA19A9">
        <w:rPr>
          <w:rFonts w:cs="Arial"/>
          <w:i/>
          <w:szCs w:val="20"/>
        </w:rPr>
        <w:t>cké a technické činnosti</w:t>
      </w:r>
      <w:r>
        <w:rPr>
          <w:rFonts w:cs="Arial"/>
          <w:szCs w:val="20"/>
        </w:rPr>
        <w:t xml:space="preserve"> je jen nepatrný podíl</w:t>
      </w:r>
      <w:r w:rsidR="00D356DB">
        <w:rPr>
          <w:rFonts w:cs="Arial"/>
          <w:szCs w:val="20"/>
        </w:rPr>
        <w:t xml:space="preserve"> těch, pro které vzdělávání zaměstnanců nepředstavovalo </w:t>
      </w:r>
      <w:r w:rsidR="000F22D6">
        <w:rPr>
          <w:rFonts w:cs="Arial"/>
          <w:szCs w:val="20"/>
        </w:rPr>
        <w:t xml:space="preserve">v roce 2020 finanční náklady. </w:t>
      </w:r>
      <w:r w:rsidR="00D356DB">
        <w:rPr>
          <w:rFonts w:cs="Arial"/>
          <w:szCs w:val="20"/>
        </w:rPr>
        <w:t xml:space="preserve">Lze si také všimnout, že čím větší podnik, tím je pravděpodobnější, že pro realizaci vzdělávání vynaložil </w:t>
      </w:r>
      <w:r w:rsidR="000F22D6">
        <w:rPr>
          <w:rFonts w:cs="Arial"/>
          <w:szCs w:val="20"/>
        </w:rPr>
        <w:t xml:space="preserve">v daném roce </w:t>
      </w:r>
      <w:r w:rsidR="00D356DB">
        <w:rPr>
          <w:rFonts w:cs="Arial"/>
          <w:szCs w:val="20"/>
        </w:rPr>
        <w:t xml:space="preserve">nějaké finanční prostředky. Též </w:t>
      </w:r>
      <w:r w:rsidR="009A6A3A">
        <w:rPr>
          <w:rFonts w:cs="Arial"/>
          <w:szCs w:val="20"/>
        </w:rPr>
        <w:t>podniky</w:t>
      </w:r>
      <w:r w:rsidR="00D356DB">
        <w:rPr>
          <w:rFonts w:cs="Arial"/>
          <w:szCs w:val="20"/>
        </w:rPr>
        <w:t xml:space="preserve"> </w:t>
      </w:r>
      <w:r w:rsidR="00B44087">
        <w:rPr>
          <w:rFonts w:cs="Arial"/>
          <w:szCs w:val="20"/>
        </w:rPr>
        <w:t>pod zahraniční kontrolou</w:t>
      </w:r>
      <w:r w:rsidR="000F22D6">
        <w:rPr>
          <w:rFonts w:cs="Arial"/>
          <w:szCs w:val="20"/>
        </w:rPr>
        <w:t xml:space="preserve"> častěji realizovaly</w:t>
      </w:r>
      <w:r w:rsidR="00D356DB">
        <w:rPr>
          <w:rFonts w:cs="Arial"/>
          <w:szCs w:val="20"/>
        </w:rPr>
        <w:t xml:space="preserve"> takové vzdělávání, </w:t>
      </w:r>
      <w:r w:rsidR="000F22D6">
        <w:rPr>
          <w:rFonts w:cs="Arial"/>
          <w:szCs w:val="20"/>
        </w:rPr>
        <w:t>za které v daném roce zaplatily</w:t>
      </w:r>
      <w:r w:rsidR="00D356DB">
        <w:rPr>
          <w:rFonts w:cs="Arial"/>
          <w:szCs w:val="20"/>
        </w:rPr>
        <w:t>.</w:t>
      </w:r>
    </w:p>
    <w:p w14:paraId="7309D09E" w14:textId="4669740F" w:rsidR="004A39E5" w:rsidRDefault="004A39E5" w:rsidP="00623B24">
      <w:pPr>
        <w:keepNext/>
        <w:spacing w:after="120"/>
        <w:jc w:val="both"/>
        <w:rPr>
          <w:rFonts w:cs="Arial"/>
          <w:szCs w:val="20"/>
        </w:rPr>
      </w:pPr>
      <w:r>
        <w:rPr>
          <w:rFonts w:cs="Arial"/>
          <w:szCs w:val="20"/>
        </w:rPr>
        <w:t xml:space="preserve">Doplňme, že v dotazníku bylo také zjišťováno, zda podniky </w:t>
      </w:r>
      <w:r w:rsidRPr="004A39E5">
        <w:rPr>
          <w:rFonts w:cs="Arial"/>
          <w:szCs w:val="20"/>
        </w:rPr>
        <w:t xml:space="preserve">v posledních třech letech </w:t>
      </w:r>
      <w:r w:rsidRPr="004A39E5">
        <w:rPr>
          <w:rFonts w:cs="Arial"/>
          <w:b/>
          <w:szCs w:val="20"/>
        </w:rPr>
        <w:t>přispívaly do fondu sdružujícího příspěvky na vzdělávání a sloužícího více subjektům</w:t>
      </w:r>
      <w:r w:rsidR="0097126A">
        <w:rPr>
          <w:rFonts w:cs="Arial"/>
          <w:szCs w:val="20"/>
        </w:rPr>
        <w:t>, uvedlo tak však</w:t>
      </w:r>
      <w:r>
        <w:rPr>
          <w:rFonts w:cs="Arial"/>
          <w:szCs w:val="20"/>
        </w:rPr>
        <w:t xml:space="preserve"> jen necelé procento podniků. Již vyšší podíl </w:t>
      </w:r>
      <w:r w:rsidR="00C8397F">
        <w:rPr>
          <w:rFonts w:cs="Arial"/>
          <w:szCs w:val="20"/>
        </w:rPr>
        <w:t>podniků</w:t>
      </w:r>
      <w:r>
        <w:rPr>
          <w:rFonts w:cs="Arial"/>
          <w:szCs w:val="20"/>
        </w:rPr>
        <w:t xml:space="preserve"> naopak přijal nějaké pří</w:t>
      </w:r>
      <w:r w:rsidR="00890637">
        <w:rPr>
          <w:rFonts w:cs="Arial"/>
          <w:szCs w:val="20"/>
        </w:rPr>
        <w:t>spěvky na vzdělávání, a sice 5</w:t>
      </w:r>
      <w:r>
        <w:rPr>
          <w:rFonts w:cs="Arial"/>
          <w:szCs w:val="20"/>
        </w:rPr>
        <w:t xml:space="preserve"> % podniků. </w:t>
      </w:r>
      <w:r w:rsidR="00F72A45">
        <w:rPr>
          <w:rFonts w:cs="Arial"/>
          <w:szCs w:val="20"/>
        </w:rPr>
        <w:t xml:space="preserve">Jednalo se </w:t>
      </w:r>
      <w:r w:rsidR="00F72A45">
        <w:rPr>
          <w:rFonts w:cs="Arial"/>
          <w:szCs w:val="20"/>
        </w:rPr>
        <w:lastRenderedPageBreak/>
        <w:t>o dotace z Evropské unie</w:t>
      </w:r>
      <w:r w:rsidR="00890637">
        <w:rPr>
          <w:rFonts w:cs="Arial"/>
          <w:szCs w:val="20"/>
        </w:rPr>
        <w:t xml:space="preserve"> (uvedlo tak 4</w:t>
      </w:r>
      <w:r w:rsidR="00F72A45">
        <w:rPr>
          <w:rFonts w:cs="Arial"/>
          <w:szCs w:val="20"/>
        </w:rPr>
        <w:t xml:space="preserve"> % podniků), dotace ze státního rozpočtu (0,7 %), daňové pobídky (0,4 %), příspěvky od kolektivních fondů (0,1 %) a 0,1% </w:t>
      </w:r>
      <w:r w:rsidR="001549EC">
        <w:rPr>
          <w:rFonts w:cs="Arial"/>
          <w:szCs w:val="20"/>
        </w:rPr>
        <w:t>podniků přijal</w:t>
      </w:r>
      <w:r w:rsidR="00C8397F">
        <w:rPr>
          <w:rFonts w:cs="Arial"/>
          <w:szCs w:val="20"/>
        </w:rPr>
        <w:t>a</w:t>
      </w:r>
      <w:r w:rsidR="00F72A45">
        <w:rPr>
          <w:rFonts w:cs="Arial"/>
          <w:szCs w:val="20"/>
        </w:rPr>
        <w:t xml:space="preserve"> jiné zdroje.</w:t>
      </w:r>
      <w:r>
        <w:rPr>
          <w:rFonts w:cs="Arial"/>
          <w:szCs w:val="20"/>
        </w:rPr>
        <w:t xml:space="preserve"> </w:t>
      </w:r>
    </w:p>
    <w:p w14:paraId="61B4EBFC" w14:textId="699F81A4" w:rsidR="00D356DB" w:rsidRDefault="00D356DB" w:rsidP="008A233B">
      <w:pPr>
        <w:keepNext/>
        <w:spacing w:after="120"/>
        <w:jc w:val="both"/>
        <w:rPr>
          <w:rFonts w:cs="Arial"/>
          <w:szCs w:val="20"/>
        </w:rPr>
      </w:pPr>
      <w:r>
        <w:rPr>
          <w:rFonts w:cs="Arial"/>
          <w:szCs w:val="20"/>
        </w:rPr>
        <w:t xml:space="preserve">Výši </w:t>
      </w:r>
      <w:r w:rsidR="00F72A45">
        <w:rPr>
          <w:rFonts w:cs="Arial"/>
          <w:szCs w:val="20"/>
        </w:rPr>
        <w:t>vynaložených finančních prostředků na vzdělávání</w:t>
      </w:r>
      <w:r>
        <w:rPr>
          <w:rFonts w:cs="Arial"/>
          <w:szCs w:val="20"/>
        </w:rPr>
        <w:t xml:space="preserve"> může také ovlivňovat, zda podnik</w:t>
      </w:r>
      <w:r w:rsidR="003F79F8">
        <w:rPr>
          <w:rFonts w:cs="Arial"/>
          <w:szCs w:val="20"/>
        </w:rPr>
        <w:t xml:space="preserve">, který zajišťuje </w:t>
      </w:r>
      <w:r w:rsidR="003F79F8" w:rsidRPr="00F72A45">
        <w:rPr>
          <w:rFonts w:cs="Arial"/>
          <w:b/>
          <w:szCs w:val="20"/>
        </w:rPr>
        <w:t>kurzy/školení,</w:t>
      </w:r>
      <w:r w:rsidRPr="00F72A45">
        <w:rPr>
          <w:rFonts w:cs="Arial"/>
          <w:b/>
          <w:szCs w:val="20"/>
        </w:rPr>
        <w:t xml:space="preserve"> </w:t>
      </w:r>
      <w:r w:rsidR="003F79F8" w:rsidRPr="00F72A45">
        <w:rPr>
          <w:rFonts w:cs="Arial"/>
          <w:b/>
          <w:szCs w:val="20"/>
        </w:rPr>
        <w:t>volí</w:t>
      </w:r>
      <w:r w:rsidR="003F79F8">
        <w:rPr>
          <w:rFonts w:cs="Arial"/>
          <w:szCs w:val="20"/>
        </w:rPr>
        <w:t xml:space="preserve"> </w:t>
      </w:r>
      <w:r w:rsidRPr="001F2164">
        <w:rPr>
          <w:rFonts w:cs="Arial"/>
          <w:b/>
          <w:szCs w:val="20"/>
        </w:rPr>
        <w:t>interní, nebo externí</w:t>
      </w:r>
      <w:r w:rsidR="003F79F8" w:rsidRPr="001F2164">
        <w:rPr>
          <w:rFonts w:cs="Arial"/>
          <w:b/>
          <w:szCs w:val="20"/>
        </w:rPr>
        <w:t xml:space="preserve"> </w:t>
      </w:r>
      <w:r w:rsidR="00F72A45">
        <w:rPr>
          <w:rFonts w:cs="Arial"/>
          <w:b/>
          <w:szCs w:val="20"/>
        </w:rPr>
        <w:t>formu</w:t>
      </w:r>
      <w:r>
        <w:rPr>
          <w:rFonts w:cs="Arial"/>
          <w:szCs w:val="20"/>
        </w:rPr>
        <w:t xml:space="preserve">. </w:t>
      </w:r>
      <w:r w:rsidR="003F79F8">
        <w:rPr>
          <w:rFonts w:cs="Arial"/>
          <w:szCs w:val="20"/>
        </w:rPr>
        <w:t>Při rozlišování</w:t>
      </w:r>
      <w:r w:rsidR="008A233B" w:rsidRPr="008A233B">
        <w:rPr>
          <w:rFonts w:cs="Arial"/>
          <w:szCs w:val="20"/>
        </w:rPr>
        <w:t xml:space="preserve"> mezi interním</w:t>
      </w:r>
      <w:r w:rsidR="003F79F8">
        <w:rPr>
          <w:rFonts w:cs="Arial"/>
          <w:szCs w:val="20"/>
        </w:rPr>
        <w:t>i a externími kurzy/školeními není</w:t>
      </w:r>
      <w:r w:rsidR="008A233B" w:rsidRPr="008A233B">
        <w:rPr>
          <w:rFonts w:cs="Arial"/>
          <w:szCs w:val="20"/>
        </w:rPr>
        <w:t xml:space="preserve"> </w:t>
      </w:r>
      <w:r w:rsidR="003F79F8">
        <w:rPr>
          <w:rFonts w:cs="Arial"/>
          <w:szCs w:val="20"/>
        </w:rPr>
        <w:t xml:space="preserve">rozhodující místo konání kurzu, ale to, zda kurz/školení </w:t>
      </w:r>
      <w:r w:rsidR="008A233B" w:rsidRPr="008A233B">
        <w:rPr>
          <w:rFonts w:cs="Arial"/>
          <w:szCs w:val="20"/>
        </w:rPr>
        <w:t>z podstatné části plánuje a řídí sám podnik, který má též odpovědnost za jeho obsah</w:t>
      </w:r>
      <w:r w:rsidR="003F79F8">
        <w:rPr>
          <w:rFonts w:cs="Arial"/>
          <w:szCs w:val="20"/>
        </w:rPr>
        <w:t xml:space="preserve"> (pak je označován jako „interní“), nebo jej </w:t>
      </w:r>
      <w:r w:rsidR="008A233B" w:rsidRPr="008A233B">
        <w:rPr>
          <w:rFonts w:cs="Arial"/>
          <w:szCs w:val="20"/>
        </w:rPr>
        <w:t xml:space="preserve">z podstatné části plánuje a řídí "třetí strana" neboli organizace, která není součástí daného podniku. V tomto případě podnik nemá přímou odpovědnost za jeho obsah </w:t>
      </w:r>
      <w:r w:rsidR="00C8397F">
        <w:rPr>
          <w:rFonts w:cs="Arial"/>
          <w:szCs w:val="20"/>
        </w:rPr>
        <w:t>–</w:t>
      </w:r>
      <w:r w:rsidR="008A233B" w:rsidRPr="008A233B">
        <w:rPr>
          <w:rFonts w:cs="Arial"/>
          <w:szCs w:val="20"/>
        </w:rPr>
        <w:t xml:space="preserve"> podnik si pouze dané vzdělávání pro zaměstnance vybere a objedná/zaplatí.</w:t>
      </w:r>
      <w:r w:rsidR="003F79F8">
        <w:rPr>
          <w:rFonts w:cs="Arial"/>
          <w:szCs w:val="20"/>
        </w:rPr>
        <w:t xml:space="preserve"> Takové vzdělávání pak může být nákladnější. Graf </w:t>
      </w:r>
      <w:r w:rsidR="0097126A">
        <w:rPr>
          <w:rFonts w:cs="Arial"/>
          <w:szCs w:val="20"/>
        </w:rPr>
        <w:t>1.</w:t>
      </w:r>
      <w:r w:rsidR="00D322CC">
        <w:rPr>
          <w:rFonts w:cs="Arial"/>
          <w:szCs w:val="20"/>
        </w:rPr>
        <w:t xml:space="preserve">3 uvádí podíl </w:t>
      </w:r>
      <w:r w:rsidR="00F57C5F">
        <w:rPr>
          <w:rFonts w:cs="Arial"/>
          <w:szCs w:val="20"/>
        </w:rPr>
        <w:t xml:space="preserve">podniků zajišťujících externí </w:t>
      </w:r>
      <w:r w:rsidR="0036730E">
        <w:rPr>
          <w:rFonts w:cs="Arial"/>
          <w:szCs w:val="20"/>
        </w:rPr>
        <w:t>ne</w:t>
      </w:r>
      <w:r w:rsidR="00D322CC">
        <w:rPr>
          <w:rFonts w:cs="Arial"/>
          <w:szCs w:val="20"/>
        </w:rPr>
        <w:t>povinné kurzy/ školení</w:t>
      </w:r>
      <w:r w:rsidR="00890637">
        <w:rPr>
          <w:rFonts w:cs="Arial"/>
          <w:szCs w:val="20"/>
        </w:rPr>
        <w:t>, tj. 3</w:t>
      </w:r>
      <w:r w:rsidR="00F57C5F">
        <w:rPr>
          <w:rFonts w:cs="Arial"/>
          <w:szCs w:val="20"/>
        </w:rPr>
        <w:t>9 %,</w:t>
      </w:r>
      <w:r w:rsidR="00D322CC">
        <w:rPr>
          <w:rFonts w:cs="Arial"/>
          <w:szCs w:val="20"/>
        </w:rPr>
        <w:t xml:space="preserve"> a externí povinné kurzy/školení</w:t>
      </w:r>
      <w:r w:rsidR="00890637">
        <w:rPr>
          <w:rFonts w:cs="Arial"/>
          <w:szCs w:val="20"/>
        </w:rPr>
        <w:t>, tj. 58</w:t>
      </w:r>
      <w:r w:rsidR="00F57C5F">
        <w:rPr>
          <w:rFonts w:cs="Arial"/>
          <w:szCs w:val="20"/>
        </w:rPr>
        <w:t> %</w:t>
      </w:r>
      <w:r w:rsidR="00D322CC">
        <w:rPr>
          <w:rFonts w:cs="Arial"/>
          <w:szCs w:val="20"/>
        </w:rPr>
        <w:t>.</w:t>
      </w:r>
      <w:r w:rsidR="00F57C5F">
        <w:rPr>
          <w:rFonts w:cs="Arial"/>
          <w:szCs w:val="20"/>
        </w:rPr>
        <w:t xml:space="preserve"> </w:t>
      </w:r>
      <w:r w:rsidR="00F57C5F">
        <w:t xml:space="preserve">Pro srovnání, </w:t>
      </w:r>
      <w:r w:rsidR="0036730E" w:rsidRPr="0036730E">
        <w:t>nepovinné interní kurzy</w:t>
      </w:r>
      <w:r w:rsidR="00890637">
        <w:t>/školení zajišťovalo 17</w:t>
      </w:r>
      <w:r w:rsidR="0036730E" w:rsidRPr="0036730E">
        <w:t xml:space="preserve"> % podniků </w:t>
      </w:r>
      <w:r w:rsidR="0036730E">
        <w:t>a interní povinn</w:t>
      </w:r>
      <w:r w:rsidR="00890637">
        <w:t>é kurzy/školení zajišťovalo 47</w:t>
      </w:r>
      <w:r w:rsidR="0036730E">
        <w:t> % podniků</w:t>
      </w:r>
      <w:r w:rsidR="00F57C5F">
        <w:t>.</w:t>
      </w:r>
    </w:p>
    <w:p w14:paraId="48EA9181" w14:textId="77777777" w:rsidR="00983F17" w:rsidRDefault="00D322CC" w:rsidP="00BE6E22">
      <w:pPr>
        <w:keepNext/>
        <w:spacing w:after="0" w:line="240" w:lineRule="auto"/>
        <w:jc w:val="both"/>
        <w:rPr>
          <w:rFonts w:cs="Arial"/>
          <w:b/>
          <w:szCs w:val="20"/>
        </w:rPr>
      </w:pPr>
      <w:r w:rsidRPr="00D322CC">
        <w:rPr>
          <w:rFonts w:cs="Arial"/>
          <w:b/>
          <w:szCs w:val="20"/>
        </w:rPr>
        <w:t xml:space="preserve">Graf </w:t>
      </w:r>
      <w:r w:rsidR="00614C13">
        <w:rPr>
          <w:rFonts w:cs="Arial"/>
          <w:b/>
          <w:szCs w:val="20"/>
        </w:rPr>
        <w:t>1.</w:t>
      </w:r>
      <w:r w:rsidR="00672A9B">
        <w:rPr>
          <w:rFonts w:cs="Arial"/>
          <w:b/>
          <w:szCs w:val="20"/>
        </w:rPr>
        <w:t>3 Podniky</w:t>
      </w:r>
      <w:r w:rsidRPr="00D322CC">
        <w:rPr>
          <w:rFonts w:cs="Arial"/>
          <w:b/>
          <w:szCs w:val="20"/>
        </w:rPr>
        <w:t xml:space="preserve"> zajišťují</w:t>
      </w:r>
      <w:r w:rsidR="00672A9B">
        <w:rPr>
          <w:rFonts w:cs="Arial"/>
          <w:b/>
          <w:szCs w:val="20"/>
        </w:rPr>
        <w:t xml:space="preserve">cí externí </w:t>
      </w:r>
      <w:r w:rsidRPr="00D322CC">
        <w:rPr>
          <w:rFonts w:cs="Arial"/>
          <w:b/>
          <w:szCs w:val="20"/>
        </w:rPr>
        <w:t>povinné</w:t>
      </w:r>
      <w:r w:rsidR="00672A9B">
        <w:rPr>
          <w:rFonts w:cs="Arial"/>
          <w:b/>
          <w:szCs w:val="20"/>
        </w:rPr>
        <w:t xml:space="preserve"> a ne</w:t>
      </w:r>
      <w:r w:rsidR="00315A97">
        <w:rPr>
          <w:rFonts w:cs="Arial"/>
          <w:b/>
          <w:szCs w:val="20"/>
        </w:rPr>
        <w:t>povinné kurzy/školení, 2020</w:t>
      </w:r>
      <w:r w:rsidR="00983F17">
        <w:rPr>
          <w:rFonts w:cs="Arial"/>
          <w:b/>
          <w:szCs w:val="20"/>
        </w:rPr>
        <w:t xml:space="preserve"> </w:t>
      </w:r>
    </w:p>
    <w:p w14:paraId="1A7BA595" w14:textId="3DC1A52D" w:rsidR="00D322CC" w:rsidRPr="00BE6E22" w:rsidRDefault="00983F17" w:rsidP="00A166DA">
      <w:pPr>
        <w:keepNext/>
        <w:spacing w:after="120" w:line="240" w:lineRule="auto"/>
        <w:jc w:val="both"/>
        <w:rPr>
          <w:rFonts w:cs="Arial"/>
          <w:szCs w:val="20"/>
        </w:rPr>
      </w:pPr>
      <w:r w:rsidRPr="00BE6E22">
        <w:rPr>
          <w:rFonts w:cs="Arial"/>
          <w:szCs w:val="20"/>
        </w:rPr>
        <w:t>(</w:t>
      </w:r>
      <w:r w:rsidR="00672A9B" w:rsidRPr="00BE6E22">
        <w:rPr>
          <w:rFonts w:cs="Arial"/>
          <w:szCs w:val="20"/>
        </w:rPr>
        <w:t>% ze všech podniků)</w:t>
      </w:r>
    </w:p>
    <w:p w14:paraId="46C44D17" w14:textId="40CEC5B0" w:rsidR="00D322CC" w:rsidRPr="00D322CC" w:rsidRDefault="002523E9" w:rsidP="002523E9">
      <w:pPr>
        <w:keepNext/>
        <w:spacing w:after="120" w:line="240" w:lineRule="auto"/>
        <w:jc w:val="both"/>
        <w:rPr>
          <w:rFonts w:cs="Arial"/>
          <w:b/>
          <w:szCs w:val="20"/>
        </w:rPr>
      </w:pPr>
      <w:r>
        <w:rPr>
          <w:noProof/>
        </w:rPr>
        <w:drawing>
          <wp:inline distT="0" distB="0" distL="0" distR="0" wp14:anchorId="07D18C10" wp14:editId="645F5C3F">
            <wp:extent cx="6124575" cy="4038600"/>
            <wp:effectExtent l="0" t="0" r="952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F318C1" w14:textId="3277871B" w:rsidR="00E66D13" w:rsidRPr="00E66D13" w:rsidRDefault="00E66D13" w:rsidP="00E66D13">
      <w:pPr>
        <w:spacing w:after="120"/>
        <w:jc w:val="right"/>
        <w:rPr>
          <w:szCs w:val="20"/>
        </w:rPr>
      </w:pPr>
      <w:r w:rsidRPr="003D1467">
        <w:rPr>
          <w:szCs w:val="20"/>
        </w:rPr>
        <w:t>Zdroj: ČSÚ</w:t>
      </w:r>
    </w:p>
    <w:p w14:paraId="31B650B6" w14:textId="6C57366D" w:rsidR="001F2164" w:rsidRDefault="00CD3D1E" w:rsidP="00A67C12">
      <w:pPr>
        <w:spacing w:after="120"/>
        <w:jc w:val="both"/>
        <w:rPr>
          <w:rFonts w:cs="Arial"/>
          <w:szCs w:val="20"/>
        </w:rPr>
      </w:pPr>
      <w:r>
        <w:rPr>
          <w:rFonts w:cs="Arial"/>
          <w:szCs w:val="20"/>
        </w:rPr>
        <w:t>Zejména pokud jde o nepovinné externí kurzy/školení, je nápadné, že je v nejvyšší míře op</w:t>
      </w:r>
      <w:r w:rsidR="00D17170">
        <w:rPr>
          <w:rFonts w:cs="Arial"/>
          <w:szCs w:val="20"/>
        </w:rPr>
        <w:t>ět zajišťovaly podniky s činností v oblasti</w:t>
      </w:r>
      <w:r>
        <w:rPr>
          <w:rFonts w:cs="Arial"/>
          <w:szCs w:val="20"/>
        </w:rPr>
        <w:t xml:space="preserve"> </w:t>
      </w:r>
      <w:r w:rsidRPr="00CA19A9">
        <w:rPr>
          <w:rFonts w:cs="Arial"/>
          <w:i/>
          <w:szCs w:val="20"/>
        </w:rPr>
        <w:t>peněžnictví a pojišťov</w:t>
      </w:r>
      <w:r w:rsidR="0097126A" w:rsidRPr="00CA19A9">
        <w:rPr>
          <w:rFonts w:cs="Arial"/>
          <w:i/>
          <w:szCs w:val="20"/>
        </w:rPr>
        <w:t>nictví</w:t>
      </w:r>
      <w:r w:rsidR="00D17170">
        <w:rPr>
          <w:rFonts w:cs="Arial"/>
          <w:szCs w:val="20"/>
        </w:rPr>
        <w:t>,</w:t>
      </w:r>
      <w:r w:rsidR="0097126A">
        <w:rPr>
          <w:rFonts w:cs="Arial"/>
          <w:szCs w:val="20"/>
        </w:rPr>
        <w:t xml:space="preserve"> v oblasti </w:t>
      </w:r>
      <w:r w:rsidR="0097126A" w:rsidRPr="00CA19A9">
        <w:rPr>
          <w:rFonts w:cs="Arial"/>
          <w:i/>
          <w:szCs w:val="20"/>
        </w:rPr>
        <w:t>informačních a komunikačních čin</w:t>
      </w:r>
      <w:r w:rsidR="0003250A" w:rsidRPr="00CA19A9">
        <w:rPr>
          <w:rFonts w:cs="Arial"/>
          <w:i/>
          <w:szCs w:val="20"/>
        </w:rPr>
        <w:t>n</w:t>
      </w:r>
      <w:r w:rsidR="0097126A" w:rsidRPr="00CA19A9">
        <w:rPr>
          <w:rFonts w:cs="Arial"/>
          <w:i/>
          <w:szCs w:val="20"/>
        </w:rPr>
        <w:t>ostí</w:t>
      </w:r>
      <w:r>
        <w:rPr>
          <w:rFonts w:cs="Arial"/>
          <w:szCs w:val="20"/>
        </w:rPr>
        <w:t xml:space="preserve"> a v oblasti </w:t>
      </w:r>
      <w:r w:rsidRPr="00CA19A9">
        <w:rPr>
          <w:rFonts w:cs="Arial"/>
          <w:i/>
          <w:szCs w:val="20"/>
        </w:rPr>
        <w:t>profesní</w:t>
      </w:r>
      <w:r w:rsidR="0097126A" w:rsidRPr="00CA19A9">
        <w:rPr>
          <w:rFonts w:cs="Arial"/>
          <w:i/>
          <w:szCs w:val="20"/>
        </w:rPr>
        <w:t>, vědecké a technické činnosti</w:t>
      </w:r>
      <w:r>
        <w:rPr>
          <w:rFonts w:cs="Arial"/>
          <w:szCs w:val="20"/>
        </w:rPr>
        <w:t xml:space="preserve"> (56 % podniků a více)</w:t>
      </w:r>
      <w:r w:rsidR="00D17170">
        <w:rPr>
          <w:rFonts w:cs="Arial"/>
          <w:szCs w:val="20"/>
        </w:rPr>
        <w:t>. N</w:t>
      </w:r>
      <w:r>
        <w:rPr>
          <w:rFonts w:cs="Arial"/>
          <w:szCs w:val="20"/>
        </w:rPr>
        <w:t xml:space="preserve">aopak v nejmenší míře </w:t>
      </w:r>
      <w:r w:rsidR="00D17170">
        <w:rPr>
          <w:rFonts w:cs="Arial"/>
          <w:szCs w:val="20"/>
        </w:rPr>
        <w:t xml:space="preserve">tak činily </w:t>
      </w:r>
      <w:r>
        <w:rPr>
          <w:rFonts w:cs="Arial"/>
          <w:szCs w:val="20"/>
        </w:rPr>
        <w:t xml:space="preserve">podniky působící v oblasti </w:t>
      </w:r>
      <w:r w:rsidRPr="00CA19A9">
        <w:rPr>
          <w:rFonts w:cs="Arial"/>
          <w:i/>
          <w:szCs w:val="20"/>
        </w:rPr>
        <w:t>ubytování, stravování a pohostinství</w:t>
      </w:r>
      <w:r>
        <w:rPr>
          <w:rFonts w:cs="Arial"/>
          <w:szCs w:val="20"/>
        </w:rPr>
        <w:t xml:space="preserve"> a v oblasti </w:t>
      </w:r>
      <w:r w:rsidRPr="00CA19A9">
        <w:rPr>
          <w:rFonts w:cs="Arial"/>
          <w:i/>
          <w:szCs w:val="20"/>
        </w:rPr>
        <w:t xml:space="preserve">nemovitostí a administrativy či podpůrných činností </w:t>
      </w:r>
      <w:r>
        <w:rPr>
          <w:rFonts w:cs="Arial"/>
          <w:szCs w:val="20"/>
        </w:rPr>
        <w:t xml:space="preserve">(méně </w:t>
      </w:r>
      <w:r w:rsidR="00112232">
        <w:rPr>
          <w:rFonts w:cs="Arial"/>
          <w:szCs w:val="20"/>
        </w:rPr>
        <w:t>než čtvrtina), následuje oblast</w:t>
      </w:r>
      <w:r>
        <w:rPr>
          <w:rFonts w:cs="Arial"/>
          <w:szCs w:val="20"/>
        </w:rPr>
        <w:t xml:space="preserve"> </w:t>
      </w:r>
      <w:r w:rsidRPr="00CA19A9">
        <w:rPr>
          <w:rFonts w:cs="Arial"/>
          <w:i/>
          <w:szCs w:val="20"/>
        </w:rPr>
        <w:t>kulturní, zábavní a rekreační činnosti</w:t>
      </w:r>
      <w:r>
        <w:rPr>
          <w:rFonts w:cs="Arial"/>
          <w:szCs w:val="20"/>
        </w:rPr>
        <w:t>. Lze si tedy všimnout, že první tři skupiny odvětví a poslední tři skupiny odvětví v žebříčku jsou shodné napříč indikátory, které byly v kapitole dosud sledovány (</w:t>
      </w:r>
      <w:r w:rsidR="00613B69">
        <w:rPr>
          <w:rFonts w:cs="Arial"/>
          <w:szCs w:val="20"/>
        </w:rPr>
        <w:t xml:space="preserve">tj. </w:t>
      </w:r>
      <w:r>
        <w:rPr>
          <w:rFonts w:cs="Arial"/>
          <w:szCs w:val="20"/>
        </w:rPr>
        <w:t xml:space="preserve">podíl podniků zajišťujících </w:t>
      </w:r>
      <w:r w:rsidR="00874D59">
        <w:rPr>
          <w:rFonts w:cs="Arial"/>
          <w:szCs w:val="20"/>
        </w:rPr>
        <w:t xml:space="preserve">jakékoliv i </w:t>
      </w:r>
      <w:r>
        <w:rPr>
          <w:rFonts w:cs="Arial"/>
          <w:szCs w:val="20"/>
        </w:rPr>
        <w:t xml:space="preserve">nepovinné vzdělávání, </w:t>
      </w:r>
      <w:r w:rsidR="001F2164">
        <w:rPr>
          <w:rFonts w:cs="Arial"/>
          <w:szCs w:val="20"/>
        </w:rPr>
        <w:t>podíl podniků s výdaji na vzdělávání, podíl nákladů na vzdělávání k celkovým nákladům práce a podíl podnik</w:t>
      </w:r>
      <w:r w:rsidR="0003250A">
        <w:rPr>
          <w:rFonts w:cs="Arial"/>
          <w:szCs w:val="20"/>
        </w:rPr>
        <w:t>ů zajišťujících nepovinné kurzy/</w:t>
      </w:r>
      <w:r w:rsidR="001F2164">
        <w:rPr>
          <w:rFonts w:cs="Arial"/>
          <w:szCs w:val="20"/>
        </w:rPr>
        <w:t>školení přes externí firmu</w:t>
      </w:r>
      <w:r w:rsidR="00613B69">
        <w:rPr>
          <w:rFonts w:cs="Arial"/>
          <w:szCs w:val="20"/>
        </w:rPr>
        <w:t>)</w:t>
      </w:r>
      <w:r>
        <w:rPr>
          <w:rFonts w:cs="Arial"/>
          <w:szCs w:val="20"/>
        </w:rPr>
        <w:t>.</w:t>
      </w:r>
      <w:r w:rsidR="001F2164">
        <w:rPr>
          <w:rFonts w:cs="Arial"/>
          <w:szCs w:val="20"/>
        </w:rPr>
        <w:t xml:space="preserve"> </w:t>
      </w:r>
    </w:p>
    <w:p w14:paraId="7032AFFB" w14:textId="32BEBA1D" w:rsidR="006434EB" w:rsidRDefault="001F2164" w:rsidP="00A67C12">
      <w:pPr>
        <w:spacing w:after="120"/>
        <w:jc w:val="both"/>
        <w:rPr>
          <w:rFonts w:cs="Arial"/>
          <w:szCs w:val="20"/>
        </w:rPr>
      </w:pPr>
      <w:r>
        <w:rPr>
          <w:rFonts w:cs="Arial"/>
          <w:szCs w:val="20"/>
        </w:rPr>
        <w:t xml:space="preserve">Zároveň lze i zde konstatovat, že se </w:t>
      </w:r>
      <w:r w:rsidRPr="00CA19A9">
        <w:rPr>
          <w:rFonts w:cs="Arial"/>
          <w:b/>
          <w:i/>
          <w:szCs w:val="20"/>
        </w:rPr>
        <w:t>stoupa</w:t>
      </w:r>
      <w:r w:rsidR="0003250A" w:rsidRPr="00CA19A9">
        <w:rPr>
          <w:rFonts w:cs="Arial"/>
          <w:b/>
          <w:i/>
          <w:szCs w:val="20"/>
        </w:rPr>
        <w:t>jícím počtem zaměstnanců</w:t>
      </w:r>
      <w:r w:rsidR="0003250A">
        <w:rPr>
          <w:rFonts w:cs="Arial"/>
          <w:szCs w:val="20"/>
        </w:rPr>
        <w:t xml:space="preserve"> má vyšší podíl</w:t>
      </w:r>
      <w:r>
        <w:rPr>
          <w:rFonts w:cs="Arial"/>
          <w:szCs w:val="20"/>
        </w:rPr>
        <w:t xml:space="preserve"> podniků tendenci zajišťovat pro své zaměstnance externí kurzy/školení, a to zejména, pokud se jedná o ty nepovinné. </w:t>
      </w:r>
      <w:r w:rsidR="0048051B">
        <w:rPr>
          <w:rFonts w:cs="Arial"/>
          <w:szCs w:val="20"/>
        </w:rPr>
        <w:t xml:space="preserve">Též </w:t>
      </w:r>
      <w:r w:rsidR="0048051B">
        <w:rPr>
          <w:rFonts w:cs="Arial"/>
          <w:szCs w:val="20"/>
        </w:rPr>
        <w:lastRenderedPageBreak/>
        <w:t>v</w:t>
      </w:r>
      <w:r w:rsidR="00FF6885">
        <w:rPr>
          <w:rFonts w:cs="Arial"/>
          <w:szCs w:val="20"/>
        </w:rPr>
        <w:t xml:space="preserve"> dělení odpovědí </w:t>
      </w:r>
      <w:r>
        <w:rPr>
          <w:rFonts w:cs="Arial"/>
          <w:szCs w:val="20"/>
        </w:rPr>
        <w:t xml:space="preserve">dle </w:t>
      </w:r>
      <w:r w:rsidRPr="00CA19A9">
        <w:rPr>
          <w:rFonts w:cs="Arial"/>
          <w:b/>
          <w:i/>
          <w:szCs w:val="20"/>
        </w:rPr>
        <w:t>země vrcholového vlastníka</w:t>
      </w:r>
      <w:r w:rsidR="00FF6885">
        <w:rPr>
          <w:rFonts w:cs="Arial"/>
          <w:szCs w:val="20"/>
        </w:rPr>
        <w:t xml:space="preserve"> je patrné, že</w:t>
      </w:r>
      <w:r>
        <w:rPr>
          <w:rFonts w:cs="Arial"/>
          <w:szCs w:val="20"/>
        </w:rPr>
        <w:t xml:space="preserve"> podniky </w:t>
      </w:r>
      <w:r w:rsidR="00B44087">
        <w:rPr>
          <w:rFonts w:cs="Arial"/>
          <w:szCs w:val="20"/>
        </w:rPr>
        <w:t>pod zahraniční kontrolou</w:t>
      </w:r>
      <w:r>
        <w:rPr>
          <w:rFonts w:cs="Arial"/>
          <w:szCs w:val="20"/>
        </w:rPr>
        <w:t xml:space="preserve"> mají výrazně větší tendenci zajišťovat ze zákona </w:t>
      </w:r>
      <w:r w:rsidR="00002AA6">
        <w:rPr>
          <w:rFonts w:cs="Arial"/>
          <w:szCs w:val="20"/>
        </w:rPr>
        <w:t>ne</w:t>
      </w:r>
      <w:r>
        <w:rPr>
          <w:rFonts w:cs="Arial"/>
          <w:szCs w:val="20"/>
        </w:rPr>
        <w:t>povinné vzdělávání skrze externí firmu</w:t>
      </w:r>
      <w:r w:rsidR="00B44087">
        <w:rPr>
          <w:rFonts w:cs="Arial"/>
          <w:szCs w:val="20"/>
        </w:rPr>
        <w:t xml:space="preserve"> než podniky domácí</w:t>
      </w:r>
      <w:r>
        <w:rPr>
          <w:rFonts w:cs="Arial"/>
          <w:szCs w:val="20"/>
        </w:rPr>
        <w:t>.</w:t>
      </w:r>
      <w:r w:rsidR="00CD3D1E">
        <w:rPr>
          <w:rFonts w:cs="Arial"/>
          <w:szCs w:val="20"/>
        </w:rPr>
        <w:t xml:space="preserve"> </w:t>
      </w:r>
    </w:p>
    <w:p w14:paraId="5069CAA2" w14:textId="4EEA6A72" w:rsidR="00CC45FC" w:rsidRDefault="00CC45FC" w:rsidP="00A67C12">
      <w:pPr>
        <w:spacing w:after="120"/>
        <w:jc w:val="both"/>
        <w:rPr>
          <w:rFonts w:cs="Arial"/>
          <w:szCs w:val="20"/>
        </w:rPr>
      </w:pPr>
      <w:r>
        <w:rPr>
          <w:rFonts w:cs="Arial"/>
          <w:szCs w:val="20"/>
        </w:rPr>
        <w:t xml:space="preserve">Pokud podnik zajišťuje pro své zaměstnance </w:t>
      </w:r>
      <w:r w:rsidR="00703AA4">
        <w:rPr>
          <w:rFonts w:cs="Arial"/>
          <w:szCs w:val="20"/>
        </w:rPr>
        <w:t>externí kurzy/školení, má na výběr</w:t>
      </w:r>
      <w:r w:rsidR="0003250A">
        <w:rPr>
          <w:rFonts w:cs="Arial"/>
          <w:szCs w:val="20"/>
        </w:rPr>
        <w:t xml:space="preserve"> z několika druhů poskytovatelů. Škála sahá</w:t>
      </w:r>
      <w:r w:rsidR="00703AA4">
        <w:rPr>
          <w:rFonts w:cs="Arial"/>
          <w:szCs w:val="20"/>
        </w:rPr>
        <w:t xml:space="preserve"> od institucí školního vzdělávání (jde-li například o vysokoškolské studium),</w:t>
      </w:r>
      <w:r w:rsidR="00F07AA9">
        <w:rPr>
          <w:rFonts w:cs="Arial"/>
          <w:szCs w:val="20"/>
        </w:rPr>
        <w:t xml:space="preserve"> které mohou poskytovat vzdělávání i bezplatně,</w:t>
      </w:r>
      <w:r w:rsidR="00703AA4">
        <w:rPr>
          <w:rFonts w:cs="Arial"/>
          <w:szCs w:val="20"/>
        </w:rPr>
        <w:t xml:space="preserve"> příp. státních či veřejných institucí zaměřených na vzdělávání dospělých, až po komerční společnosti</w:t>
      </w:r>
      <w:r w:rsidR="00AB3F54">
        <w:rPr>
          <w:rFonts w:cs="Arial"/>
          <w:szCs w:val="20"/>
        </w:rPr>
        <w:t xml:space="preserve"> nabízející kurzy pro dospělé</w:t>
      </w:r>
      <w:r w:rsidR="0003250A">
        <w:rPr>
          <w:rFonts w:cs="Arial"/>
          <w:szCs w:val="20"/>
        </w:rPr>
        <w:t xml:space="preserve"> (viz tabulku 1.3)</w:t>
      </w:r>
      <w:r w:rsidR="00AB3F54">
        <w:rPr>
          <w:rFonts w:cs="Arial"/>
          <w:szCs w:val="20"/>
        </w:rPr>
        <w:t xml:space="preserve">. </w:t>
      </w:r>
    </w:p>
    <w:p w14:paraId="188A1EAF" w14:textId="0CFE625C" w:rsidR="00AB3F54" w:rsidRPr="00983F17" w:rsidRDefault="00672A9B" w:rsidP="00983F17">
      <w:pPr>
        <w:spacing w:after="120"/>
        <w:jc w:val="both"/>
        <w:rPr>
          <w:rFonts w:cs="Arial"/>
          <w:b/>
          <w:szCs w:val="20"/>
        </w:rPr>
      </w:pPr>
      <w:r>
        <w:rPr>
          <w:rFonts w:cs="Arial"/>
          <w:b/>
          <w:szCs w:val="20"/>
        </w:rPr>
        <w:t>Tab.</w:t>
      </w:r>
      <w:r w:rsidR="00AB3F54" w:rsidRPr="00AB3F54">
        <w:rPr>
          <w:rFonts w:cs="Arial"/>
          <w:b/>
          <w:szCs w:val="20"/>
        </w:rPr>
        <w:t xml:space="preserve"> </w:t>
      </w:r>
      <w:r w:rsidR="00614C13">
        <w:rPr>
          <w:rFonts w:cs="Arial"/>
          <w:b/>
          <w:szCs w:val="20"/>
        </w:rPr>
        <w:t>1.</w:t>
      </w:r>
      <w:r>
        <w:rPr>
          <w:rFonts w:cs="Arial"/>
          <w:b/>
          <w:szCs w:val="20"/>
        </w:rPr>
        <w:t>3 Podniky zajišťující</w:t>
      </w:r>
      <w:r w:rsidR="00AB3F54" w:rsidRPr="00AB3F54">
        <w:rPr>
          <w:rFonts w:cs="Arial"/>
          <w:b/>
          <w:szCs w:val="20"/>
        </w:rPr>
        <w:t xml:space="preserve"> externí kurzy/školení</w:t>
      </w:r>
      <w:r w:rsidR="005453EA">
        <w:rPr>
          <w:rFonts w:cs="Arial"/>
          <w:b/>
          <w:szCs w:val="20"/>
        </w:rPr>
        <w:t xml:space="preserve"> podle druhu stěžejního poskytovatele</w:t>
      </w:r>
      <w:r w:rsidR="005453EA">
        <w:rPr>
          <w:rStyle w:val="Znakapoznpodarou"/>
          <w:rFonts w:cs="Arial"/>
          <w:b/>
          <w:szCs w:val="20"/>
        </w:rPr>
        <w:footnoteReference w:id="1"/>
      </w:r>
      <w:r w:rsidR="00983F17">
        <w:rPr>
          <w:rFonts w:cs="Arial"/>
          <w:b/>
          <w:szCs w:val="20"/>
        </w:rPr>
        <w:t>, 2020 (v %)</w:t>
      </w:r>
    </w:p>
    <w:tbl>
      <w:tblPr>
        <w:tblW w:w="9781" w:type="dxa"/>
        <w:tblInd w:w="-5" w:type="dxa"/>
        <w:tblLayout w:type="fixed"/>
        <w:tblCellMar>
          <w:left w:w="70" w:type="dxa"/>
          <w:right w:w="70" w:type="dxa"/>
        </w:tblCellMar>
        <w:tblLook w:val="04A0" w:firstRow="1" w:lastRow="0" w:firstColumn="1" w:lastColumn="0" w:noHBand="0" w:noVBand="1"/>
      </w:tblPr>
      <w:tblGrid>
        <w:gridCol w:w="2268"/>
        <w:gridCol w:w="1134"/>
        <w:gridCol w:w="1134"/>
        <w:gridCol w:w="1276"/>
        <w:gridCol w:w="992"/>
        <w:gridCol w:w="993"/>
        <w:gridCol w:w="992"/>
        <w:gridCol w:w="992"/>
      </w:tblGrid>
      <w:tr w:rsidR="00C87D2F" w:rsidRPr="00C87D2F" w14:paraId="7C6589C4" w14:textId="77777777" w:rsidTr="00B763CE">
        <w:trPr>
          <w:trHeight w:val="1254"/>
        </w:trPr>
        <w:tc>
          <w:tcPr>
            <w:tcW w:w="2268" w:type="dxa"/>
            <w:tcBorders>
              <w:top w:val="single" w:sz="4" w:space="0" w:color="auto"/>
              <w:left w:val="single" w:sz="4" w:space="0" w:color="auto"/>
              <w:bottom w:val="single" w:sz="4" w:space="0" w:color="auto"/>
              <w:right w:val="single" w:sz="4" w:space="0" w:color="auto"/>
            </w:tcBorders>
            <w:shd w:val="clear" w:color="auto" w:fill="A1BBDB"/>
            <w:noWrap/>
            <w:vAlign w:val="center"/>
            <w:hideMark/>
          </w:tcPr>
          <w:p w14:paraId="11DB99C7" w14:textId="77777777" w:rsidR="00C87D2F" w:rsidRPr="00C87D2F" w:rsidRDefault="00C87D2F" w:rsidP="00C87D2F">
            <w:pPr>
              <w:spacing w:after="0" w:line="240" w:lineRule="auto"/>
              <w:jc w:val="center"/>
              <w:rPr>
                <w:rFonts w:cs="Arial"/>
                <w:b/>
                <w:bCs/>
                <w:color w:val="000000"/>
                <w:sz w:val="16"/>
                <w:szCs w:val="16"/>
              </w:rPr>
            </w:pPr>
            <w:r w:rsidRPr="00C87D2F">
              <w:rPr>
                <w:rFonts w:cs="Arial"/>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1BBDB"/>
            <w:vAlign w:val="center"/>
            <w:hideMark/>
          </w:tcPr>
          <w:p w14:paraId="45B2B816" w14:textId="06E1D2F3" w:rsidR="00C87D2F" w:rsidRDefault="00983F17" w:rsidP="00C87D2F">
            <w:pPr>
              <w:spacing w:after="0" w:line="240" w:lineRule="auto"/>
              <w:jc w:val="center"/>
              <w:rPr>
                <w:rFonts w:cs="Arial"/>
                <w:b/>
                <w:bCs/>
                <w:color w:val="000000"/>
                <w:sz w:val="16"/>
                <w:szCs w:val="16"/>
              </w:rPr>
            </w:pPr>
            <w:r>
              <w:rPr>
                <w:rFonts w:cs="Arial"/>
                <w:b/>
                <w:bCs/>
                <w:color w:val="000000"/>
                <w:sz w:val="16"/>
                <w:szCs w:val="16"/>
              </w:rPr>
              <w:t>K</w:t>
            </w:r>
            <w:r w:rsidR="00C87D2F" w:rsidRPr="00C87D2F">
              <w:rPr>
                <w:rFonts w:cs="Arial"/>
                <w:b/>
                <w:bCs/>
                <w:color w:val="000000"/>
                <w:sz w:val="16"/>
                <w:szCs w:val="16"/>
              </w:rPr>
              <w:t>omerční společnosti zaměřené</w:t>
            </w:r>
          </w:p>
          <w:p w14:paraId="30A71CDE" w14:textId="6DF051E1" w:rsidR="00C87D2F" w:rsidRPr="00C87D2F" w:rsidRDefault="00C87D2F" w:rsidP="00C87D2F">
            <w:pPr>
              <w:spacing w:after="0" w:line="240" w:lineRule="auto"/>
              <w:jc w:val="center"/>
              <w:rPr>
                <w:rFonts w:cs="Arial"/>
                <w:b/>
                <w:bCs/>
                <w:color w:val="000000"/>
                <w:sz w:val="16"/>
                <w:szCs w:val="16"/>
              </w:rPr>
            </w:pPr>
            <w:r>
              <w:rPr>
                <w:rFonts w:cs="Arial"/>
                <w:b/>
                <w:bCs/>
                <w:color w:val="000000"/>
                <w:sz w:val="16"/>
                <w:szCs w:val="16"/>
              </w:rPr>
              <w:t>na vzděl.</w:t>
            </w:r>
          </w:p>
        </w:tc>
        <w:tc>
          <w:tcPr>
            <w:tcW w:w="1134"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160B459F" w14:textId="4A70DB2E" w:rsidR="00C87D2F" w:rsidRPr="00C87D2F" w:rsidRDefault="00983F17" w:rsidP="00C87D2F">
            <w:pPr>
              <w:spacing w:after="0" w:line="240" w:lineRule="auto"/>
              <w:jc w:val="center"/>
              <w:rPr>
                <w:rFonts w:cs="Arial"/>
                <w:b/>
                <w:bCs/>
                <w:color w:val="000000"/>
                <w:sz w:val="16"/>
                <w:szCs w:val="16"/>
              </w:rPr>
            </w:pPr>
            <w:r>
              <w:rPr>
                <w:rFonts w:cs="Arial"/>
                <w:b/>
                <w:bCs/>
                <w:color w:val="000000"/>
                <w:sz w:val="16"/>
                <w:szCs w:val="16"/>
              </w:rPr>
              <w:t>K</w:t>
            </w:r>
            <w:r w:rsidR="00C87D2F" w:rsidRPr="00C87D2F">
              <w:rPr>
                <w:rFonts w:cs="Arial"/>
                <w:b/>
                <w:bCs/>
                <w:color w:val="000000"/>
                <w:sz w:val="16"/>
                <w:szCs w:val="16"/>
              </w:rPr>
              <w:t>omerční spol</w:t>
            </w:r>
            <w:r w:rsidR="00C87D2F">
              <w:rPr>
                <w:rFonts w:cs="Arial"/>
                <w:b/>
                <w:bCs/>
                <w:color w:val="000000"/>
                <w:sz w:val="16"/>
                <w:szCs w:val="16"/>
              </w:rPr>
              <w:t>ečnosti nezaměřené na vzděl.</w:t>
            </w:r>
          </w:p>
        </w:tc>
        <w:tc>
          <w:tcPr>
            <w:tcW w:w="1276"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497A977D" w14:textId="77777777" w:rsidR="00C87D2F" w:rsidRPr="00C87D2F" w:rsidRDefault="00C87D2F" w:rsidP="00C87D2F">
            <w:pPr>
              <w:spacing w:after="0" w:line="240" w:lineRule="auto"/>
              <w:jc w:val="center"/>
              <w:rPr>
                <w:rFonts w:cs="Arial"/>
                <w:b/>
                <w:bCs/>
                <w:color w:val="000000"/>
                <w:sz w:val="16"/>
                <w:szCs w:val="16"/>
              </w:rPr>
            </w:pPr>
            <w:r w:rsidRPr="00C87D2F">
              <w:rPr>
                <w:rFonts w:cs="Arial"/>
                <w:b/>
                <w:bCs/>
                <w:color w:val="000000"/>
                <w:sz w:val="16"/>
                <w:szCs w:val="16"/>
              </w:rPr>
              <w:t>Svazy zaměstna-vatelů, obchodní, hospodářské komory</w:t>
            </w:r>
          </w:p>
        </w:tc>
        <w:tc>
          <w:tcPr>
            <w:tcW w:w="992"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7F126F1F" w14:textId="7EFB85F5" w:rsidR="00C87D2F" w:rsidRPr="00C87D2F" w:rsidRDefault="00BF277F" w:rsidP="00C87D2F">
            <w:pPr>
              <w:spacing w:after="0" w:line="240" w:lineRule="auto"/>
              <w:jc w:val="center"/>
              <w:rPr>
                <w:rFonts w:cs="Arial"/>
                <w:b/>
                <w:bCs/>
                <w:color w:val="000000"/>
                <w:sz w:val="16"/>
                <w:szCs w:val="16"/>
              </w:rPr>
            </w:pPr>
            <w:r>
              <w:rPr>
                <w:rFonts w:cs="Arial"/>
                <w:b/>
                <w:bCs/>
                <w:color w:val="000000"/>
                <w:sz w:val="16"/>
                <w:szCs w:val="16"/>
              </w:rPr>
              <w:t>I</w:t>
            </w:r>
            <w:r w:rsidR="00C87D2F" w:rsidRPr="00C87D2F">
              <w:rPr>
                <w:rFonts w:cs="Arial"/>
                <w:b/>
                <w:bCs/>
                <w:color w:val="000000"/>
                <w:sz w:val="16"/>
                <w:szCs w:val="16"/>
              </w:rPr>
              <w:t>nstituce školního vzdělávání</w:t>
            </w:r>
          </w:p>
        </w:tc>
        <w:tc>
          <w:tcPr>
            <w:tcW w:w="993"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013DFADE" w14:textId="2764948D" w:rsidR="00C87D2F" w:rsidRPr="00C87D2F" w:rsidRDefault="00983F17" w:rsidP="00C87D2F">
            <w:pPr>
              <w:spacing w:after="0" w:line="240" w:lineRule="auto"/>
              <w:jc w:val="center"/>
              <w:rPr>
                <w:rFonts w:cs="Arial"/>
                <w:b/>
                <w:bCs/>
                <w:color w:val="000000"/>
                <w:sz w:val="16"/>
                <w:szCs w:val="16"/>
              </w:rPr>
            </w:pPr>
            <w:r>
              <w:rPr>
                <w:rFonts w:cs="Arial"/>
                <w:b/>
                <w:bCs/>
                <w:color w:val="000000"/>
                <w:sz w:val="16"/>
                <w:szCs w:val="16"/>
              </w:rPr>
              <w:t>V</w:t>
            </w:r>
            <w:r w:rsidR="00C87D2F" w:rsidRPr="00C87D2F">
              <w:rPr>
                <w:rFonts w:cs="Arial"/>
                <w:b/>
                <w:bCs/>
                <w:color w:val="000000"/>
                <w:sz w:val="16"/>
                <w:szCs w:val="16"/>
              </w:rPr>
              <w:t>eřejné instituce zaměřené na vzděl. dospělých</w:t>
            </w:r>
          </w:p>
        </w:tc>
        <w:tc>
          <w:tcPr>
            <w:tcW w:w="992"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41CDBAD7" w14:textId="428985CE" w:rsidR="00C87D2F" w:rsidRPr="00C87D2F" w:rsidRDefault="00BF277F" w:rsidP="00C87D2F">
            <w:pPr>
              <w:spacing w:after="0" w:line="240" w:lineRule="auto"/>
              <w:jc w:val="center"/>
              <w:rPr>
                <w:rFonts w:cs="Arial"/>
                <w:b/>
                <w:bCs/>
                <w:color w:val="000000"/>
                <w:sz w:val="16"/>
                <w:szCs w:val="16"/>
              </w:rPr>
            </w:pPr>
            <w:r>
              <w:rPr>
                <w:rFonts w:cs="Arial"/>
                <w:b/>
                <w:bCs/>
                <w:color w:val="000000"/>
                <w:sz w:val="16"/>
                <w:szCs w:val="16"/>
              </w:rPr>
              <w:t>O</w:t>
            </w:r>
            <w:r w:rsidR="00C87D2F" w:rsidRPr="00C87D2F">
              <w:rPr>
                <w:rFonts w:cs="Arial"/>
                <w:b/>
                <w:bCs/>
                <w:color w:val="000000"/>
                <w:sz w:val="16"/>
                <w:szCs w:val="16"/>
              </w:rPr>
              <w:t>dborové organi-zace</w:t>
            </w:r>
          </w:p>
        </w:tc>
        <w:tc>
          <w:tcPr>
            <w:tcW w:w="992" w:type="dxa"/>
            <w:tcBorders>
              <w:top w:val="single" w:sz="4" w:space="0" w:color="auto"/>
              <w:left w:val="single" w:sz="4" w:space="0" w:color="auto"/>
              <w:bottom w:val="single" w:sz="4" w:space="0" w:color="auto"/>
              <w:right w:val="single" w:sz="4" w:space="0" w:color="auto"/>
            </w:tcBorders>
            <w:shd w:val="clear" w:color="auto" w:fill="A1BBDB"/>
            <w:vAlign w:val="center"/>
            <w:hideMark/>
          </w:tcPr>
          <w:p w14:paraId="0C8599AF" w14:textId="77777777" w:rsidR="00C87D2F" w:rsidRPr="00C87D2F" w:rsidRDefault="00C87D2F" w:rsidP="00C87D2F">
            <w:pPr>
              <w:spacing w:after="0" w:line="240" w:lineRule="auto"/>
              <w:jc w:val="center"/>
              <w:rPr>
                <w:rFonts w:cs="Arial"/>
                <w:b/>
                <w:bCs/>
                <w:color w:val="000000"/>
                <w:sz w:val="16"/>
                <w:szCs w:val="16"/>
              </w:rPr>
            </w:pPr>
            <w:r w:rsidRPr="00C87D2F">
              <w:rPr>
                <w:rFonts w:cs="Arial"/>
                <w:b/>
                <w:bCs/>
                <w:color w:val="000000"/>
                <w:sz w:val="16"/>
                <w:szCs w:val="16"/>
              </w:rPr>
              <w:t>Jiní poskyto-vatalé vzdělávání</w:t>
            </w:r>
          </w:p>
        </w:tc>
      </w:tr>
      <w:tr w:rsidR="00C87D2F" w:rsidRPr="00C87D2F" w14:paraId="5215B72C"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D788E79" w14:textId="77777777" w:rsidR="00C87D2F" w:rsidRPr="00C87D2F" w:rsidRDefault="00C87D2F" w:rsidP="00C87D2F">
            <w:pPr>
              <w:spacing w:after="0" w:line="240" w:lineRule="auto"/>
              <w:rPr>
                <w:rFonts w:cs="Arial"/>
                <w:b/>
                <w:bCs/>
                <w:color w:val="000000"/>
                <w:sz w:val="16"/>
                <w:szCs w:val="16"/>
              </w:rPr>
            </w:pPr>
            <w:r w:rsidRPr="00C87D2F">
              <w:rPr>
                <w:rFonts w:cs="Arial"/>
                <w:b/>
                <w:bCs/>
                <w:color w:val="000000"/>
                <w:sz w:val="16"/>
                <w:szCs w:val="16"/>
              </w:rPr>
              <w:t>Celkem</w:t>
            </w:r>
          </w:p>
        </w:tc>
        <w:tc>
          <w:tcPr>
            <w:tcW w:w="1134" w:type="dxa"/>
            <w:tcBorders>
              <w:top w:val="nil"/>
              <w:left w:val="nil"/>
              <w:bottom w:val="single" w:sz="4" w:space="0" w:color="auto"/>
              <w:right w:val="single" w:sz="4" w:space="0" w:color="auto"/>
            </w:tcBorders>
            <w:shd w:val="clear" w:color="auto" w:fill="auto"/>
            <w:noWrap/>
            <w:vAlign w:val="center"/>
            <w:hideMark/>
          </w:tcPr>
          <w:p w14:paraId="34FE746D"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68,9</w:t>
            </w:r>
          </w:p>
        </w:tc>
        <w:tc>
          <w:tcPr>
            <w:tcW w:w="1134" w:type="dxa"/>
            <w:tcBorders>
              <w:top w:val="nil"/>
              <w:left w:val="nil"/>
              <w:bottom w:val="single" w:sz="4" w:space="0" w:color="auto"/>
              <w:right w:val="single" w:sz="4" w:space="0" w:color="auto"/>
            </w:tcBorders>
            <w:shd w:val="clear" w:color="auto" w:fill="auto"/>
            <w:noWrap/>
            <w:vAlign w:val="center"/>
            <w:hideMark/>
          </w:tcPr>
          <w:p w14:paraId="20C5437B"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17,8</w:t>
            </w:r>
          </w:p>
        </w:tc>
        <w:tc>
          <w:tcPr>
            <w:tcW w:w="1276" w:type="dxa"/>
            <w:tcBorders>
              <w:top w:val="nil"/>
              <w:left w:val="nil"/>
              <w:bottom w:val="single" w:sz="4" w:space="0" w:color="auto"/>
              <w:right w:val="single" w:sz="4" w:space="0" w:color="auto"/>
            </w:tcBorders>
            <w:shd w:val="clear" w:color="auto" w:fill="auto"/>
            <w:noWrap/>
            <w:vAlign w:val="center"/>
            <w:hideMark/>
          </w:tcPr>
          <w:p w14:paraId="4ABA7CE8"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5,4</w:t>
            </w:r>
          </w:p>
        </w:tc>
        <w:tc>
          <w:tcPr>
            <w:tcW w:w="992" w:type="dxa"/>
            <w:tcBorders>
              <w:top w:val="nil"/>
              <w:left w:val="nil"/>
              <w:bottom w:val="single" w:sz="4" w:space="0" w:color="auto"/>
              <w:right w:val="single" w:sz="4" w:space="0" w:color="auto"/>
            </w:tcBorders>
            <w:shd w:val="clear" w:color="auto" w:fill="auto"/>
            <w:noWrap/>
            <w:vAlign w:val="center"/>
            <w:hideMark/>
          </w:tcPr>
          <w:p w14:paraId="6F56A519"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2,4</w:t>
            </w:r>
          </w:p>
        </w:tc>
        <w:tc>
          <w:tcPr>
            <w:tcW w:w="993" w:type="dxa"/>
            <w:tcBorders>
              <w:top w:val="nil"/>
              <w:left w:val="nil"/>
              <w:bottom w:val="single" w:sz="4" w:space="0" w:color="auto"/>
              <w:right w:val="single" w:sz="4" w:space="0" w:color="auto"/>
            </w:tcBorders>
            <w:shd w:val="clear" w:color="auto" w:fill="auto"/>
            <w:noWrap/>
            <w:vAlign w:val="center"/>
            <w:hideMark/>
          </w:tcPr>
          <w:p w14:paraId="6A08A199"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14:paraId="682C4B9D"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14:paraId="065DA87F" w14:textId="77777777" w:rsidR="00C87D2F" w:rsidRPr="00112232" w:rsidRDefault="00C87D2F" w:rsidP="00C87D2F">
            <w:pPr>
              <w:spacing w:after="0" w:line="240" w:lineRule="auto"/>
              <w:jc w:val="right"/>
              <w:rPr>
                <w:rFonts w:cs="Arial"/>
                <w:b/>
                <w:color w:val="000000"/>
                <w:sz w:val="16"/>
                <w:szCs w:val="16"/>
              </w:rPr>
            </w:pPr>
            <w:r w:rsidRPr="00112232">
              <w:rPr>
                <w:rFonts w:cs="Arial"/>
                <w:b/>
                <w:color w:val="000000"/>
                <w:sz w:val="16"/>
                <w:szCs w:val="16"/>
              </w:rPr>
              <w:t>29,1</w:t>
            </w:r>
          </w:p>
        </w:tc>
      </w:tr>
      <w:tr w:rsidR="009D49E6" w:rsidRPr="00C87D2F" w14:paraId="00DC796C" w14:textId="77777777" w:rsidTr="00B763CE">
        <w:trPr>
          <w:trHeight w:val="297"/>
        </w:trPr>
        <w:tc>
          <w:tcPr>
            <w:tcW w:w="9781" w:type="dxa"/>
            <w:gridSpan w:val="8"/>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31F3FBA" w14:textId="568790AE" w:rsidR="009D49E6" w:rsidRPr="009D49E6" w:rsidRDefault="009D49E6" w:rsidP="00C87D2F">
            <w:pPr>
              <w:spacing w:after="0" w:line="240" w:lineRule="auto"/>
              <w:rPr>
                <w:rFonts w:cs="Arial"/>
                <w:b/>
                <w:color w:val="000000"/>
                <w:sz w:val="16"/>
                <w:szCs w:val="16"/>
              </w:rPr>
            </w:pPr>
            <w:r w:rsidRPr="009D49E6">
              <w:rPr>
                <w:rFonts w:cs="Arial"/>
                <w:b/>
                <w:color w:val="000000"/>
                <w:sz w:val="16"/>
                <w:szCs w:val="16"/>
              </w:rPr>
              <w:t>podle počtu zaměstnanců </w:t>
            </w:r>
          </w:p>
        </w:tc>
      </w:tr>
      <w:tr w:rsidR="00C87D2F" w:rsidRPr="00C87D2F" w14:paraId="4E8CA5FF"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52AD637" w14:textId="77777777" w:rsidR="00C87D2F" w:rsidRPr="00C87D2F" w:rsidRDefault="00C87D2F" w:rsidP="00C87D2F">
            <w:pPr>
              <w:spacing w:after="0" w:line="240" w:lineRule="auto"/>
              <w:rPr>
                <w:rFonts w:cs="Arial"/>
                <w:color w:val="000000"/>
                <w:sz w:val="16"/>
                <w:szCs w:val="16"/>
              </w:rPr>
            </w:pPr>
            <w:r w:rsidRPr="00C87D2F">
              <w:rPr>
                <w:rFonts w:cs="Arial"/>
                <w:color w:val="000000"/>
                <w:sz w:val="16"/>
                <w:szCs w:val="16"/>
              </w:rPr>
              <w:t>10–19 zaměstnanců</w:t>
            </w:r>
          </w:p>
        </w:tc>
        <w:tc>
          <w:tcPr>
            <w:tcW w:w="1134" w:type="dxa"/>
            <w:tcBorders>
              <w:top w:val="nil"/>
              <w:left w:val="nil"/>
              <w:bottom w:val="single" w:sz="4" w:space="0" w:color="auto"/>
              <w:right w:val="single" w:sz="4" w:space="0" w:color="auto"/>
            </w:tcBorders>
            <w:shd w:val="clear" w:color="auto" w:fill="auto"/>
            <w:noWrap/>
            <w:vAlign w:val="center"/>
            <w:hideMark/>
          </w:tcPr>
          <w:p w14:paraId="7768B56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61,3</w:t>
            </w:r>
          </w:p>
        </w:tc>
        <w:tc>
          <w:tcPr>
            <w:tcW w:w="1134" w:type="dxa"/>
            <w:tcBorders>
              <w:top w:val="nil"/>
              <w:left w:val="nil"/>
              <w:bottom w:val="single" w:sz="4" w:space="0" w:color="auto"/>
              <w:right w:val="single" w:sz="4" w:space="0" w:color="auto"/>
            </w:tcBorders>
            <w:shd w:val="clear" w:color="auto" w:fill="auto"/>
            <w:noWrap/>
            <w:vAlign w:val="center"/>
            <w:hideMark/>
          </w:tcPr>
          <w:p w14:paraId="07030E77"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16,9</w:t>
            </w:r>
          </w:p>
        </w:tc>
        <w:tc>
          <w:tcPr>
            <w:tcW w:w="1276" w:type="dxa"/>
            <w:tcBorders>
              <w:top w:val="nil"/>
              <w:left w:val="nil"/>
              <w:bottom w:val="single" w:sz="4" w:space="0" w:color="auto"/>
              <w:right w:val="single" w:sz="4" w:space="0" w:color="auto"/>
            </w:tcBorders>
            <w:shd w:val="clear" w:color="auto" w:fill="auto"/>
            <w:noWrap/>
            <w:vAlign w:val="center"/>
            <w:hideMark/>
          </w:tcPr>
          <w:p w14:paraId="1B4E9A5D"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3,4</w:t>
            </w:r>
          </w:p>
        </w:tc>
        <w:tc>
          <w:tcPr>
            <w:tcW w:w="992" w:type="dxa"/>
            <w:tcBorders>
              <w:top w:val="nil"/>
              <w:left w:val="nil"/>
              <w:bottom w:val="single" w:sz="4" w:space="0" w:color="auto"/>
              <w:right w:val="single" w:sz="4" w:space="0" w:color="auto"/>
            </w:tcBorders>
            <w:shd w:val="clear" w:color="auto" w:fill="auto"/>
            <w:noWrap/>
            <w:vAlign w:val="center"/>
            <w:hideMark/>
          </w:tcPr>
          <w:p w14:paraId="31849EE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center"/>
            <w:hideMark/>
          </w:tcPr>
          <w:p w14:paraId="47D1CC54" w14:textId="0B6DA3E5"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w:t>
            </w:r>
            <w:r w:rsidR="00112232">
              <w:rPr>
                <w:rFonts w:cs="Arial"/>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56989160" w14:textId="6B8C0D8F"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w:t>
            </w:r>
            <w:r w:rsidR="00112232">
              <w:rPr>
                <w:rFonts w:cs="Arial"/>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360DE811"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31,2</w:t>
            </w:r>
          </w:p>
        </w:tc>
      </w:tr>
      <w:tr w:rsidR="00C87D2F" w:rsidRPr="00C87D2F" w14:paraId="5739CDE6"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C90EF7" w14:textId="77777777" w:rsidR="00C87D2F" w:rsidRPr="00C87D2F" w:rsidRDefault="00C87D2F" w:rsidP="00C87D2F">
            <w:pPr>
              <w:spacing w:after="0" w:line="240" w:lineRule="auto"/>
              <w:rPr>
                <w:rFonts w:cs="Arial"/>
                <w:color w:val="000000"/>
                <w:sz w:val="16"/>
                <w:szCs w:val="16"/>
              </w:rPr>
            </w:pPr>
            <w:r w:rsidRPr="00C87D2F">
              <w:rPr>
                <w:rFonts w:cs="Arial"/>
                <w:color w:val="000000"/>
                <w:sz w:val="16"/>
                <w:szCs w:val="16"/>
              </w:rPr>
              <w:t>20–49 zaměstnanců</w:t>
            </w:r>
          </w:p>
        </w:tc>
        <w:tc>
          <w:tcPr>
            <w:tcW w:w="1134" w:type="dxa"/>
            <w:tcBorders>
              <w:top w:val="nil"/>
              <w:left w:val="nil"/>
              <w:bottom w:val="single" w:sz="4" w:space="0" w:color="auto"/>
              <w:right w:val="single" w:sz="4" w:space="0" w:color="auto"/>
            </w:tcBorders>
            <w:shd w:val="clear" w:color="auto" w:fill="auto"/>
            <w:noWrap/>
            <w:vAlign w:val="center"/>
            <w:hideMark/>
          </w:tcPr>
          <w:p w14:paraId="304FDFB7"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68,7</w:t>
            </w:r>
          </w:p>
        </w:tc>
        <w:tc>
          <w:tcPr>
            <w:tcW w:w="1134" w:type="dxa"/>
            <w:tcBorders>
              <w:top w:val="nil"/>
              <w:left w:val="nil"/>
              <w:bottom w:val="single" w:sz="4" w:space="0" w:color="auto"/>
              <w:right w:val="single" w:sz="4" w:space="0" w:color="auto"/>
            </w:tcBorders>
            <w:shd w:val="clear" w:color="auto" w:fill="auto"/>
            <w:noWrap/>
            <w:vAlign w:val="center"/>
            <w:hideMark/>
          </w:tcPr>
          <w:p w14:paraId="03463BF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16,7</w:t>
            </w:r>
          </w:p>
        </w:tc>
        <w:tc>
          <w:tcPr>
            <w:tcW w:w="1276" w:type="dxa"/>
            <w:tcBorders>
              <w:top w:val="nil"/>
              <w:left w:val="nil"/>
              <w:bottom w:val="single" w:sz="4" w:space="0" w:color="auto"/>
              <w:right w:val="single" w:sz="4" w:space="0" w:color="auto"/>
            </w:tcBorders>
            <w:shd w:val="clear" w:color="auto" w:fill="auto"/>
            <w:noWrap/>
            <w:vAlign w:val="center"/>
            <w:hideMark/>
          </w:tcPr>
          <w:p w14:paraId="3877F77B"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4,1</w:t>
            </w:r>
          </w:p>
        </w:tc>
        <w:tc>
          <w:tcPr>
            <w:tcW w:w="992" w:type="dxa"/>
            <w:tcBorders>
              <w:top w:val="nil"/>
              <w:left w:val="nil"/>
              <w:bottom w:val="single" w:sz="4" w:space="0" w:color="auto"/>
              <w:right w:val="single" w:sz="4" w:space="0" w:color="auto"/>
            </w:tcBorders>
            <w:shd w:val="clear" w:color="auto" w:fill="auto"/>
            <w:noWrap/>
            <w:vAlign w:val="center"/>
            <w:hideMark/>
          </w:tcPr>
          <w:p w14:paraId="6D5E07B8"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2,4</w:t>
            </w:r>
          </w:p>
        </w:tc>
        <w:tc>
          <w:tcPr>
            <w:tcW w:w="993" w:type="dxa"/>
            <w:tcBorders>
              <w:top w:val="nil"/>
              <w:left w:val="nil"/>
              <w:bottom w:val="single" w:sz="4" w:space="0" w:color="auto"/>
              <w:right w:val="single" w:sz="4" w:space="0" w:color="auto"/>
            </w:tcBorders>
            <w:shd w:val="clear" w:color="auto" w:fill="auto"/>
            <w:noWrap/>
            <w:vAlign w:val="center"/>
            <w:hideMark/>
          </w:tcPr>
          <w:p w14:paraId="4B5B0D1D"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14:paraId="7F12E155"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14:paraId="125B64E1"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29,2</w:t>
            </w:r>
          </w:p>
        </w:tc>
      </w:tr>
      <w:tr w:rsidR="00C87D2F" w:rsidRPr="00C87D2F" w14:paraId="62BEFEB7"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F9CD94E" w14:textId="77777777" w:rsidR="00C87D2F" w:rsidRPr="00C87D2F" w:rsidRDefault="00C87D2F" w:rsidP="00C87D2F">
            <w:pPr>
              <w:spacing w:after="0" w:line="240" w:lineRule="auto"/>
              <w:rPr>
                <w:rFonts w:cs="Arial"/>
                <w:color w:val="000000"/>
                <w:sz w:val="16"/>
                <w:szCs w:val="16"/>
              </w:rPr>
            </w:pPr>
            <w:r w:rsidRPr="00C87D2F">
              <w:rPr>
                <w:rFonts w:cs="Arial"/>
                <w:color w:val="000000"/>
                <w:sz w:val="16"/>
                <w:szCs w:val="16"/>
              </w:rPr>
              <w:t>50–249 zaměstnanců</w:t>
            </w:r>
          </w:p>
        </w:tc>
        <w:tc>
          <w:tcPr>
            <w:tcW w:w="1134" w:type="dxa"/>
            <w:tcBorders>
              <w:top w:val="nil"/>
              <w:left w:val="nil"/>
              <w:bottom w:val="single" w:sz="4" w:space="0" w:color="auto"/>
              <w:right w:val="single" w:sz="4" w:space="0" w:color="auto"/>
            </w:tcBorders>
            <w:shd w:val="clear" w:color="auto" w:fill="auto"/>
            <w:noWrap/>
            <w:vAlign w:val="center"/>
            <w:hideMark/>
          </w:tcPr>
          <w:p w14:paraId="1F495CA1"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78,1</w:t>
            </w:r>
          </w:p>
        </w:tc>
        <w:tc>
          <w:tcPr>
            <w:tcW w:w="1134" w:type="dxa"/>
            <w:tcBorders>
              <w:top w:val="nil"/>
              <w:left w:val="nil"/>
              <w:bottom w:val="single" w:sz="4" w:space="0" w:color="auto"/>
              <w:right w:val="single" w:sz="4" w:space="0" w:color="auto"/>
            </w:tcBorders>
            <w:shd w:val="clear" w:color="auto" w:fill="auto"/>
            <w:noWrap/>
            <w:vAlign w:val="center"/>
            <w:hideMark/>
          </w:tcPr>
          <w:p w14:paraId="5C73576A" w14:textId="15E0A802"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20</w:t>
            </w:r>
            <w:r w:rsidR="00112232">
              <w:rPr>
                <w:rFonts w:cs="Arial"/>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14:paraId="4FED6FE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9,3</w:t>
            </w:r>
          </w:p>
        </w:tc>
        <w:tc>
          <w:tcPr>
            <w:tcW w:w="992" w:type="dxa"/>
            <w:tcBorders>
              <w:top w:val="nil"/>
              <w:left w:val="nil"/>
              <w:bottom w:val="single" w:sz="4" w:space="0" w:color="auto"/>
              <w:right w:val="single" w:sz="4" w:space="0" w:color="auto"/>
            </w:tcBorders>
            <w:shd w:val="clear" w:color="auto" w:fill="auto"/>
            <w:noWrap/>
            <w:vAlign w:val="center"/>
            <w:hideMark/>
          </w:tcPr>
          <w:p w14:paraId="62EB9895" w14:textId="5703147F"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w:t>
            </w:r>
            <w:r w:rsidR="00112232">
              <w:rPr>
                <w:rFonts w:cs="Arial"/>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034982E5" w14:textId="447118B8"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w:t>
            </w:r>
            <w:r w:rsidR="00112232">
              <w:rPr>
                <w:rFonts w:cs="Arial"/>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362F3AD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14:paraId="4CF15E64"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26,7</w:t>
            </w:r>
          </w:p>
        </w:tc>
      </w:tr>
      <w:tr w:rsidR="00C87D2F" w:rsidRPr="00C87D2F" w14:paraId="1678F56A"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43E8AE5" w14:textId="2FC37326" w:rsidR="00C87D2F" w:rsidRPr="00C87D2F" w:rsidRDefault="00154DF8" w:rsidP="00C87D2F">
            <w:pPr>
              <w:spacing w:after="0" w:line="240" w:lineRule="auto"/>
              <w:rPr>
                <w:rFonts w:cs="Arial"/>
                <w:color w:val="000000"/>
                <w:sz w:val="16"/>
                <w:szCs w:val="16"/>
              </w:rPr>
            </w:pPr>
            <w:r>
              <w:rPr>
                <w:rFonts w:cs="Arial"/>
                <w:color w:val="000000"/>
                <w:sz w:val="16"/>
                <w:szCs w:val="16"/>
              </w:rPr>
              <w:t>250 a více zaměstnanců</w:t>
            </w:r>
          </w:p>
        </w:tc>
        <w:tc>
          <w:tcPr>
            <w:tcW w:w="1134" w:type="dxa"/>
            <w:tcBorders>
              <w:top w:val="nil"/>
              <w:left w:val="nil"/>
              <w:bottom w:val="single" w:sz="4" w:space="0" w:color="auto"/>
              <w:right w:val="single" w:sz="4" w:space="0" w:color="auto"/>
            </w:tcBorders>
            <w:shd w:val="clear" w:color="auto" w:fill="auto"/>
            <w:noWrap/>
            <w:vAlign w:val="center"/>
            <w:hideMark/>
          </w:tcPr>
          <w:p w14:paraId="7E6359EA"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89,7</w:t>
            </w:r>
          </w:p>
        </w:tc>
        <w:tc>
          <w:tcPr>
            <w:tcW w:w="1134" w:type="dxa"/>
            <w:tcBorders>
              <w:top w:val="nil"/>
              <w:left w:val="nil"/>
              <w:bottom w:val="single" w:sz="4" w:space="0" w:color="auto"/>
              <w:right w:val="single" w:sz="4" w:space="0" w:color="auto"/>
            </w:tcBorders>
            <w:shd w:val="clear" w:color="auto" w:fill="auto"/>
            <w:noWrap/>
            <w:vAlign w:val="center"/>
            <w:hideMark/>
          </w:tcPr>
          <w:p w14:paraId="447D6756"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22,3</w:t>
            </w:r>
          </w:p>
        </w:tc>
        <w:tc>
          <w:tcPr>
            <w:tcW w:w="1276" w:type="dxa"/>
            <w:tcBorders>
              <w:top w:val="nil"/>
              <w:left w:val="nil"/>
              <w:bottom w:val="single" w:sz="4" w:space="0" w:color="auto"/>
              <w:right w:val="single" w:sz="4" w:space="0" w:color="auto"/>
            </w:tcBorders>
            <w:shd w:val="clear" w:color="auto" w:fill="auto"/>
            <w:noWrap/>
            <w:vAlign w:val="center"/>
            <w:hideMark/>
          </w:tcPr>
          <w:p w14:paraId="19F2158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12,8</w:t>
            </w:r>
          </w:p>
        </w:tc>
        <w:tc>
          <w:tcPr>
            <w:tcW w:w="992" w:type="dxa"/>
            <w:tcBorders>
              <w:top w:val="nil"/>
              <w:left w:val="nil"/>
              <w:bottom w:val="single" w:sz="4" w:space="0" w:color="auto"/>
              <w:right w:val="single" w:sz="4" w:space="0" w:color="auto"/>
            </w:tcBorders>
            <w:shd w:val="clear" w:color="auto" w:fill="auto"/>
            <w:noWrap/>
            <w:vAlign w:val="center"/>
            <w:hideMark/>
          </w:tcPr>
          <w:p w14:paraId="772F9F5F"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6,8</w:t>
            </w:r>
          </w:p>
        </w:tc>
        <w:tc>
          <w:tcPr>
            <w:tcW w:w="993" w:type="dxa"/>
            <w:tcBorders>
              <w:top w:val="nil"/>
              <w:left w:val="nil"/>
              <w:bottom w:val="single" w:sz="4" w:space="0" w:color="auto"/>
              <w:right w:val="single" w:sz="4" w:space="0" w:color="auto"/>
            </w:tcBorders>
            <w:shd w:val="clear" w:color="auto" w:fill="auto"/>
            <w:noWrap/>
            <w:vAlign w:val="center"/>
            <w:hideMark/>
          </w:tcPr>
          <w:p w14:paraId="7901F17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4,3</w:t>
            </w:r>
          </w:p>
        </w:tc>
        <w:tc>
          <w:tcPr>
            <w:tcW w:w="992" w:type="dxa"/>
            <w:tcBorders>
              <w:top w:val="nil"/>
              <w:left w:val="nil"/>
              <w:bottom w:val="single" w:sz="4" w:space="0" w:color="auto"/>
              <w:right w:val="single" w:sz="4" w:space="0" w:color="auto"/>
            </w:tcBorders>
            <w:shd w:val="clear" w:color="auto" w:fill="auto"/>
            <w:noWrap/>
            <w:vAlign w:val="center"/>
            <w:hideMark/>
          </w:tcPr>
          <w:p w14:paraId="5A99B9C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14:paraId="5679B747" w14:textId="6126B248"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23</w:t>
            </w:r>
            <w:r w:rsidR="00112232">
              <w:rPr>
                <w:rFonts w:cs="Arial"/>
                <w:color w:val="000000"/>
                <w:sz w:val="16"/>
                <w:szCs w:val="16"/>
              </w:rPr>
              <w:t>,0</w:t>
            </w:r>
          </w:p>
        </w:tc>
      </w:tr>
      <w:tr w:rsidR="00154DF8" w:rsidRPr="00C87D2F" w14:paraId="66074021" w14:textId="77777777" w:rsidTr="00B763CE">
        <w:trPr>
          <w:trHeight w:val="300"/>
        </w:trPr>
        <w:tc>
          <w:tcPr>
            <w:tcW w:w="9781" w:type="dxa"/>
            <w:gridSpan w:val="8"/>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F42F03E" w14:textId="09916D59" w:rsidR="00154DF8" w:rsidRPr="00C87D2F" w:rsidRDefault="00154DF8" w:rsidP="00C87D2F">
            <w:pPr>
              <w:spacing w:after="0" w:line="240" w:lineRule="auto"/>
              <w:rPr>
                <w:rFonts w:cs="Arial"/>
                <w:color w:val="000000"/>
                <w:sz w:val="16"/>
                <w:szCs w:val="16"/>
              </w:rPr>
            </w:pPr>
            <w:r w:rsidRPr="00C87D2F">
              <w:rPr>
                <w:rFonts w:cs="Arial"/>
                <w:b/>
                <w:bCs/>
                <w:color w:val="000000"/>
                <w:sz w:val="16"/>
                <w:szCs w:val="16"/>
              </w:rPr>
              <w:t> </w:t>
            </w:r>
            <w:r w:rsidR="00A241ED" w:rsidRPr="00A241ED">
              <w:rPr>
                <w:rFonts w:cs="Arial"/>
                <w:b/>
                <w:bCs/>
                <w:color w:val="000000"/>
                <w:sz w:val="16"/>
                <w:szCs w:val="16"/>
              </w:rPr>
              <w:t>podle vlastnictví</w:t>
            </w:r>
          </w:p>
        </w:tc>
      </w:tr>
      <w:tr w:rsidR="00552396" w:rsidRPr="00C87D2F" w14:paraId="2957ED19" w14:textId="77777777" w:rsidTr="00B763CE">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3F342860" w14:textId="7DD5367E" w:rsidR="00552396" w:rsidRPr="00552396" w:rsidRDefault="00552396" w:rsidP="00552396">
            <w:pPr>
              <w:spacing w:after="0" w:line="240" w:lineRule="auto"/>
              <w:rPr>
                <w:rFonts w:cs="Arial"/>
                <w:b/>
                <w:bCs/>
                <w:color w:val="000000"/>
                <w:sz w:val="16"/>
                <w:szCs w:val="16"/>
              </w:rPr>
            </w:pPr>
            <w:r w:rsidRPr="00552396">
              <w:rPr>
                <w:sz w:val="16"/>
                <w:szCs w:val="16"/>
              </w:rPr>
              <w:t>domácí podniky</w:t>
            </w:r>
          </w:p>
        </w:tc>
        <w:tc>
          <w:tcPr>
            <w:tcW w:w="1134" w:type="dxa"/>
            <w:tcBorders>
              <w:top w:val="nil"/>
              <w:left w:val="nil"/>
              <w:bottom w:val="single" w:sz="4" w:space="0" w:color="auto"/>
              <w:right w:val="single" w:sz="4" w:space="0" w:color="auto"/>
            </w:tcBorders>
            <w:shd w:val="clear" w:color="auto" w:fill="auto"/>
            <w:noWrap/>
            <w:vAlign w:val="center"/>
            <w:hideMark/>
          </w:tcPr>
          <w:p w14:paraId="4EFDC46A"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7864F2AB"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17,3</w:t>
            </w:r>
          </w:p>
        </w:tc>
        <w:tc>
          <w:tcPr>
            <w:tcW w:w="1276" w:type="dxa"/>
            <w:tcBorders>
              <w:top w:val="nil"/>
              <w:left w:val="nil"/>
              <w:bottom w:val="single" w:sz="4" w:space="0" w:color="auto"/>
              <w:right w:val="single" w:sz="4" w:space="0" w:color="auto"/>
            </w:tcBorders>
            <w:shd w:val="clear" w:color="auto" w:fill="auto"/>
            <w:noWrap/>
            <w:vAlign w:val="center"/>
            <w:hideMark/>
          </w:tcPr>
          <w:p w14:paraId="53BE73FE"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4,9</w:t>
            </w:r>
          </w:p>
        </w:tc>
        <w:tc>
          <w:tcPr>
            <w:tcW w:w="992" w:type="dxa"/>
            <w:tcBorders>
              <w:top w:val="nil"/>
              <w:left w:val="nil"/>
              <w:bottom w:val="single" w:sz="4" w:space="0" w:color="auto"/>
              <w:right w:val="single" w:sz="4" w:space="0" w:color="auto"/>
            </w:tcBorders>
            <w:shd w:val="clear" w:color="auto" w:fill="auto"/>
            <w:noWrap/>
            <w:vAlign w:val="center"/>
            <w:hideMark/>
          </w:tcPr>
          <w:p w14:paraId="4C74CA70"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2,2</w:t>
            </w:r>
          </w:p>
        </w:tc>
        <w:tc>
          <w:tcPr>
            <w:tcW w:w="993" w:type="dxa"/>
            <w:tcBorders>
              <w:top w:val="nil"/>
              <w:left w:val="nil"/>
              <w:bottom w:val="single" w:sz="4" w:space="0" w:color="auto"/>
              <w:right w:val="single" w:sz="4" w:space="0" w:color="auto"/>
            </w:tcBorders>
            <w:shd w:val="clear" w:color="auto" w:fill="auto"/>
            <w:noWrap/>
            <w:vAlign w:val="center"/>
            <w:hideMark/>
          </w:tcPr>
          <w:p w14:paraId="37870B7F"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14:paraId="52D0D4B0"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14:paraId="307C3DB4"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30,4</w:t>
            </w:r>
          </w:p>
        </w:tc>
      </w:tr>
      <w:tr w:rsidR="00552396" w:rsidRPr="00C87D2F" w14:paraId="7CD204D1" w14:textId="77777777" w:rsidTr="00B763CE">
        <w:trPr>
          <w:trHeight w:val="300"/>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D2F8F3B" w14:textId="2FBA73D8" w:rsidR="00552396" w:rsidRPr="00552396" w:rsidRDefault="00552396" w:rsidP="00552396">
            <w:pPr>
              <w:spacing w:after="0" w:line="240" w:lineRule="auto"/>
              <w:rPr>
                <w:rFonts w:cs="Arial"/>
                <w:b/>
                <w:bCs/>
                <w:color w:val="000000"/>
                <w:sz w:val="16"/>
                <w:szCs w:val="16"/>
              </w:rPr>
            </w:pPr>
            <w:r w:rsidRPr="00552396">
              <w:rPr>
                <w:sz w:val="16"/>
                <w:szCs w:val="16"/>
              </w:rPr>
              <w:t>podniky pod zahraniční kontrolou</w:t>
            </w:r>
          </w:p>
        </w:tc>
        <w:tc>
          <w:tcPr>
            <w:tcW w:w="1134" w:type="dxa"/>
            <w:tcBorders>
              <w:top w:val="nil"/>
              <w:left w:val="nil"/>
              <w:bottom w:val="single" w:sz="4" w:space="0" w:color="auto"/>
              <w:right w:val="single" w:sz="4" w:space="0" w:color="auto"/>
            </w:tcBorders>
            <w:shd w:val="clear" w:color="auto" w:fill="auto"/>
            <w:noWrap/>
            <w:vAlign w:val="center"/>
            <w:hideMark/>
          </w:tcPr>
          <w:p w14:paraId="14969849"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81,5</w:t>
            </w:r>
          </w:p>
        </w:tc>
        <w:tc>
          <w:tcPr>
            <w:tcW w:w="1134" w:type="dxa"/>
            <w:tcBorders>
              <w:top w:val="nil"/>
              <w:left w:val="nil"/>
              <w:bottom w:val="single" w:sz="4" w:space="0" w:color="auto"/>
              <w:right w:val="single" w:sz="4" w:space="0" w:color="auto"/>
            </w:tcBorders>
            <w:shd w:val="clear" w:color="auto" w:fill="auto"/>
            <w:noWrap/>
            <w:vAlign w:val="center"/>
            <w:hideMark/>
          </w:tcPr>
          <w:p w14:paraId="705CF7CB"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19,9</w:t>
            </w:r>
          </w:p>
        </w:tc>
        <w:tc>
          <w:tcPr>
            <w:tcW w:w="1276" w:type="dxa"/>
            <w:tcBorders>
              <w:top w:val="nil"/>
              <w:left w:val="nil"/>
              <w:bottom w:val="single" w:sz="4" w:space="0" w:color="auto"/>
              <w:right w:val="single" w:sz="4" w:space="0" w:color="auto"/>
            </w:tcBorders>
            <w:shd w:val="clear" w:color="auto" w:fill="auto"/>
            <w:noWrap/>
            <w:vAlign w:val="center"/>
            <w:hideMark/>
          </w:tcPr>
          <w:p w14:paraId="399B0754"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7,6</w:t>
            </w:r>
          </w:p>
        </w:tc>
        <w:tc>
          <w:tcPr>
            <w:tcW w:w="992" w:type="dxa"/>
            <w:tcBorders>
              <w:top w:val="nil"/>
              <w:left w:val="nil"/>
              <w:bottom w:val="single" w:sz="4" w:space="0" w:color="auto"/>
              <w:right w:val="single" w:sz="4" w:space="0" w:color="auto"/>
            </w:tcBorders>
            <w:shd w:val="clear" w:color="auto" w:fill="auto"/>
            <w:noWrap/>
            <w:vAlign w:val="center"/>
            <w:hideMark/>
          </w:tcPr>
          <w:p w14:paraId="0B75009A" w14:textId="14B152F2"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3</w:t>
            </w:r>
            <w:r>
              <w:rPr>
                <w:rFonts w:cs="Arial"/>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22A4DAAE"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center"/>
            <w:hideMark/>
          </w:tcPr>
          <w:p w14:paraId="29660AAC"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14:paraId="4AB42A92" w14:textId="77777777" w:rsidR="00552396" w:rsidRPr="00C87D2F" w:rsidRDefault="00552396" w:rsidP="00552396">
            <w:pPr>
              <w:spacing w:after="0" w:line="240" w:lineRule="auto"/>
              <w:jc w:val="right"/>
              <w:rPr>
                <w:rFonts w:cs="Arial"/>
                <w:color w:val="000000"/>
                <w:sz w:val="16"/>
                <w:szCs w:val="16"/>
              </w:rPr>
            </w:pPr>
            <w:r w:rsidRPr="00C87D2F">
              <w:rPr>
                <w:rFonts w:cs="Arial"/>
                <w:color w:val="000000"/>
                <w:sz w:val="16"/>
                <w:szCs w:val="16"/>
              </w:rPr>
              <w:t>23,1</w:t>
            </w:r>
          </w:p>
        </w:tc>
      </w:tr>
      <w:tr w:rsidR="00154DF8" w:rsidRPr="00C87D2F" w14:paraId="473A1102" w14:textId="77777777" w:rsidTr="00B763CE">
        <w:trPr>
          <w:trHeight w:val="300"/>
        </w:trPr>
        <w:tc>
          <w:tcPr>
            <w:tcW w:w="9781" w:type="dxa"/>
            <w:gridSpan w:val="8"/>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B28CC7F" w14:textId="168091B8" w:rsidR="00154DF8" w:rsidRPr="00154DF8" w:rsidRDefault="00154DF8" w:rsidP="00C87D2F">
            <w:pPr>
              <w:spacing w:after="0" w:line="240" w:lineRule="auto"/>
              <w:rPr>
                <w:rFonts w:cs="Arial"/>
                <w:b/>
                <w:bCs/>
                <w:color w:val="000000"/>
                <w:sz w:val="16"/>
                <w:szCs w:val="16"/>
              </w:rPr>
            </w:pPr>
            <w:r w:rsidRPr="00C87D2F">
              <w:rPr>
                <w:rFonts w:cs="Arial"/>
                <w:b/>
                <w:bCs/>
                <w:color w:val="000000"/>
                <w:sz w:val="16"/>
                <w:szCs w:val="16"/>
              </w:rPr>
              <w:t> </w:t>
            </w:r>
            <w:r w:rsidR="00F476A4" w:rsidRPr="00F476A4">
              <w:rPr>
                <w:rFonts w:cs="Arial"/>
                <w:b/>
                <w:bCs/>
                <w:color w:val="000000"/>
                <w:sz w:val="16"/>
                <w:szCs w:val="16"/>
              </w:rPr>
              <w:t>podle odvětvové sekce (CZ-NACE)</w:t>
            </w:r>
          </w:p>
        </w:tc>
      </w:tr>
      <w:tr w:rsidR="00C87D2F" w:rsidRPr="00C87D2F" w14:paraId="078EA881" w14:textId="77777777" w:rsidTr="00B763CE">
        <w:trPr>
          <w:trHeight w:val="31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9AB50A5" w14:textId="48CCE93A" w:rsidR="00C87D2F" w:rsidRPr="00C87D2F" w:rsidRDefault="000A025C" w:rsidP="000A025C">
            <w:pPr>
              <w:spacing w:after="0" w:line="240" w:lineRule="auto"/>
              <w:rPr>
                <w:rFonts w:cs="Arial"/>
                <w:color w:val="000000"/>
                <w:sz w:val="16"/>
                <w:szCs w:val="16"/>
              </w:rPr>
            </w:pPr>
            <w:r>
              <w:rPr>
                <w:rFonts w:cs="Arial"/>
                <w:color w:val="000000"/>
                <w:sz w:val="16"/>
                <w:szCs w:val="16"/>
              </w:rPr>
              <w:t>Peněžnictví a pojišťovnictví</w:t>
            </w:r>
          </w:p>
        </w:tc>
        <w:tc>
          <w:tcPr>
            <w:tcW w:w="1134" w:type="dxa"/>
            <w:tcBorders>
              <w:top w:val="nil"/>
              <w:left w:val="nil"/>
              <w:bottom w:val="single" w:sz="4" w:space="0" w:color="auto"/>
              <w:right w:val="single" w:sz="4" w:space="0" w:color="auto"/>
            </w:tcBorders>
            <w:shd w:val="clear" w:color="auto" w:fill="auto"/>
            <w:noWrap/>
            <w:vAlign w:val="center"/>
            <w:hideMark/>
          </w:tcPr>
          <w:p w14:paraId="5C419864" w14:textId="77777777" w:rsidR="00C87D2F" w:rsidRPr="00473099" w:rsidRDefault="00C87D2F" w:rsidP="00C87D2F">
            <w:pPr>
              <w:spacing w:after="0" w:line="240" w:lineRule="auto"/>
              <w:jc w:val="right"/>
              <w:rPr>
                <w:rFonts w:cs="Arial"/>
                <w:b/>
                <w:color w:val="000000"/>
                <w:sz w:val="16"/>
                <w:szCs w:val="16"/>
              </w:rPr>
            </w:pPr>
            <w:r w:rsidRPr="00473099">
              <w:rPr>
                <w:rFonts w:cs="Arial"/>
                <w:b/>
                <w:color w:val="00B050"/>
                <w:sz w:val="16"/>
                <w:szCs w:val="16"/>
              </w:rPr>
              <w:t>85,9</w:t>
            </w:r>
          </w:p>
        </w:tc>
        <w:tc>
          <w:tcPr>
            <w:tcW w:w="1134" w:type="dxa"/>
            <w:tcBorders>
              <w:top w:val="nil"/>
              <w:left w:val="nil"/>
              <w:bottom w:val="single" w:sz="4" w:space="0" w:color="auto"/>
              <w:right w:val="single" w:sz="4" w:space="0" w:color="auto"/>
            </w:tcBorders>
            <w:shd w:val="clear" w:color="auto" w:fill="auto"/>
            <w:noWrap/>
            <w:vAlign w:val="center"/>
            <w:hideMark/>
          </w:tcPr>
          <w:p w14:paraId="5B8014F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16,3</w:t>
            </w:r>
          </w:p>
        </w:tc>
        <w:tc>
          <w:tcPr>
            <w:tcW w:w="1276" w:type="dxa"/>
            <w:tcBorders>
              <w:top w:val="nil"/>
              <w:left w:val="nil"/>
              <w:bottom w:val="single" w:sz="4" w:space="0" w:color="auto"/>
              <w:right w:val="single" w:sz="4" w:space="0" w:color="auto"/>
            </w:tcBorders>
            <w:shd w:val="clear" w:color="auto" w:fill="auto"/>
            <w:noWrap/>
            <w:vAlign w:val="center"/>
            <w:hideMark/>
          </w:tcPr>
          <w:p w14:paraId="5BB1ED86"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9,2</w:t>
            </w:r>
          </w:p>
        </w:tc>
        <w:tc>
          <w:tcPr>
            <w:tcW w:w="992" w:type="dxa"/>
            <w:tcBorders>
              <w:top w:val="nil"/>
              <w:left w:val="nil"/>
              <w:bottom w:val="single" w:sz="4" w:space="0" w:color="auto"/>
              <w:right w:val="single" w:sz="4" w:space="0" w:color="auto"/>
            </w:tcBorders>
            <w:shd w:val="clear" w:color="auto" w:fill="auto"/>
            <w:noWrap/>
            <w:vAlign w:val="center"/>
            <w:hideMark/>
          </w:tcPr>
          <w:p w14:paraId="53F20FAF" w14:textId="2BEDD4A6"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w:t>
            </w:r>
            <w:r w:rsidR="00112232">
              <w:rPr>
                <w:rFonts w:cs="Arial"/>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08509CE5"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2,6</w:t>
            </w:r>
          </w:p>
        </w:tc>
        <w:tc>
          <w:tcPr>
            <w:tcW w:w="992" w:type="dxa"/>
            <w:tcBorders>
              <w:top w:val="nil"/>
              <w:left w:val="nil"/>
              <w:bottom w:val="single" w:sz="4" w:space="0" w:color="auto"/>
              <w:right w:val="single" w:sz="4" w:space="0" w:color="auto"/>
            </w:tcBorders>
            <w:shd w:val="clear" w:color="auto" w:fill="auto"/>
            <w:noWrap/>
            <w:vAlign w:val="center"/>
            <w:hideMark/>
          </w:tcPr>
          <w:p w14:paraId="179FBB62" w14:textId="77777777" w:rsidR="00C87D2F" w:rsidRPr="00473099" w:rsidRDefault="00C87D2F" w:rsidP="00C87D2F">
            <w:pPr>
              <w:spacing w:after="0" w:line="240" w:lineRule="auto"/>
              <w:jc w:val="right"/>
              <w:rPr>
                <w:rFonts w:cs="Arial"/>
                <w:b/>
                <w:color w:val="00B050"/>
                <w:sz w:val="16"/>
                <w:szCs w:val="16"/>
              </w:rPr>
            </w:pPr>
            <w:r w:rsidRPr="00473099">
              <w:rPr>
                <w:rFonts w:cs="Arial"/>
                <w:b/>
                <w:color w:val="00B050"/>
                <w:sz w:val="16"/>
                <w:szCs w:val="16"/>
              </w:rPr>
              <w:t>2,6</w:t>
            </w:r>
          </w:p>
        </w:tc>
        <w:tc>
          <w:tcPr>
            <w:tcW w:w="992" w:type="dxa"/>
            <w:tcBorders>
              <w:top w:val="nil"/>
              <w:left w:val="nil"/>
              <w:bottom w:val="single" w:sz="4" w:space="0" w:color="auto"/>
              <w:right w:val="single" w:sz="4" w:space="0" w:color="auto"/>
            </w:tcBorders>
            <w:shd w:val="clear" w:color="auto" w:fill="auto"/>
            <w:noWrap/>
            <w:vAlign w:val="center"/>
            <w:hideMark/>
          </w:tcPr>
          <w:p w14:paraId="65E46F4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26,6</w:t>
            </w:r>
          </w:p>
        </w:tc>
      </w:tr>
      <w:tr w:rsidR="00C87D2F" w:rsidRPr="00C87D2F" w14:paraId="214B8970" w14:textId="77777777" w:rsidTr="00B763CE">
        <w:trPr>
          <w:trHeight w:val="34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6E313F0" w14:textId="11F45012" w:rsidR="00C87D2F" w:rsidRPr="00C87D2F" w:rsidRDefault="00AB3F54" w:rsidP="000A025C">
            <w:pPr>
              <w:spacing w:after="0" w:line="240" w:lineRule="auto"/>
              <w:rPr>
                <w:rFonts w:cs="Arial"/>
                <w:color w:val="000000"/>
                <w:sz w:val="16"/>
                <w:szCs w:val="16"/>
              </w:rPr>
            </w:pPr>
            <w:r>
              <w:rPr>
                <w:rFonts w:cs="Arial"/>
                <w:color w:val="000000"/>
                <w:sz w:val="16"/>
                <w:szCs w:val="16"/>
              </w:rPr>
              <w:t xml:space="preserve">Informační </w:t>
            </w:r>
            <w:r w:rsidR="00983F17">
              <w:rPr>
                <w:rFonts w:cs="Arial"/>
                <w:color w:val="000000"/>
                <w:sz w:val="16"/>
                <w:szCs w:val="16"/>
              </w:rPr>
              <w:t>a komuni</w:t>
            </w:r>
            <w:r>
              <w:rPr>
                <w:rFonts w:cs="Arial"/>
                <w:color w:val="000000"/>
                <w:sz w:val="16"/>
                <w:szCs w:val="16"/>
              </w:rPr>
              <w:t xml:space="preserve">kační </w:t>
            </w:r>
            <w:r w:rsidR="000A025C">
              <w:rPr>
                <w:rFonts w:cs="Arial"/>
                <w:color w:val="000000"/>
                <w:sz w:val="16"/>
                <w:szCs w:val="16"/>
              </w:rPr>
              <w:t>činnosti</w:t>
            </w:r>
          </w:p>
        </w:tc>
        <w:tc>
          <w:tcPr>
            <w:tcW w:w="1134" w:type="dxa"/>
            <w:tcBorders>
              <w:top w:val="nil"/>
              <w:left w:val="nil"/>
              <w:bottom w:val="single" w:sz="4" w:space="0" w:color="auto"/>
              <w:right w:val="single" w:sz="4" w:space="0" w:color="auto"/>
            </w:tcBorders>
            <w:shd w:val="clear" w:color="auto" w:fill="auto"/>
            <w:noWrap/>
            <w:vAlign w:val="center"/>
            <w:hideMark/>
          </w:tcPr>
          <w:p w14:paraId="5080A512"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83,8</w:t>
            </w:r>
          </w:p>
        </w:tc>
        <w:tc>
          <w:tcPr>
            <w:tcW w:w="1134" w:type="dxa"/>
            <w:tcBorders>
              <w:top w:val="nil"/>
              <w:left w:val="nil"/>
              <w:bottom w:val="single" w:sz="4" w:space="0" w:color="auto"/>
              <w:right w:val="single" w:sz="4" w:space="0" w:color="auto"/>
            </w:tcBorders>
            <w:shd w:val="clear" w:color="auto" w:fill="auto"/>
            <w:noWrap/>
            <w:vAlign w:val="center"/>
            <w:hideMark/>
          </w:tcPr>
          <w:p w14:paraId="724976E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15,8</w:t>
            </w:r>
          </w:p>
        </w:tc>
        <w:tc>
          <w:tcPr>
            <w:tcW w:w="1276" w:type="dxa"/>
            <w:tcBorders>
              <w:top w:val="nil"/>
              <w:left w:val="nil"/>
              <w:bottom w:val="single" w:sz="4" w:space="0" w:color="auto"/>
              <w:right w:val="single" w:sz="4" w:space="0" w:color="auto"/>
            </w:tcBorders>
            <w:shd w:val="clear" w:color="auto" w:fill="auto"/>
            <w:noWrap/>
            <w:vAlign w:val="center"/>
            <w:hideMark/>
          </w:tcPr>
          <w:p w14:paraId="07648F0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2,7</w:t>
            </w:r>
          </w:p>
        </w:tc>
        <w:tc>
          <w:tcPr>
            <w:tcW w:w="992" w:type="dxa"/>
            <w:tcBorders>
              <w:top w:val="nil"/>
              <w:left w:val="nil"/>
              <w:bottom w:val="single" w:sz="4" w:space="0" w:color="auto"/>
              <w:right w:val="single" w:sz="4" w:space="0" w:color="auto"/>
            </w:tcBorders>
            <w:shd w:val="clear" w:color="auto" w:fill="auto"/>
            <w:noWrap/>
            <w:vAlign w:val="center"/>
            <w:hideMark/>
          </w:tcPr>
          <w:p w14:paraId="37D0087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center"/>
            <w:hideMark/>
          </w:tcPr>
          <w:p w14:paraId="42E0850F"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1,6</w:t>
            </w:r>
          </w:p>
        </w:tc>
        <w:tc>
          <w:tcPr>
            <w:tcW w:w="992" w:type="dxa"/>
            <w:tcBorders>
              <w:top w:val="nil"/>
              <w:left w:val="nil"/>
              <w:bottom w:val="single" w:sz="4" w:space="0" w:color="auto"/>
              <w:right w:val="single" w:sz="4" w:space="0" w:color="auto"/>
            </w:tcBorders>
            <w:shd w:val="clear" w:color="auto" w:fill="auto"/>
            <w:noWrap/>
            <w:vAlign w:val="center"/>
            <w:hideMark/>
          </w:tcPr>
          <w:p w14:paraId="3A5D5828"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14:paraId="2A0BC9DA"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21,5</w:t>
            </w:r>
          </w:p>
        </w:tc>
      </w:tr>
      <w:tr w:rsidR="00C87D2F" w:rsidRPr="00C87D2F" w14:paraId="22F27B7C" w14:textId="77777777" w:rsidTr="00B763CE">
        <w:trPr>
          <w:trHeight w:val="39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9E44DF9" w14:textId="54609397" w:rsidR="00C87D2F" w:rsidRPr="00C87D2F" w:rsidRDefault="00C87D2F" w:rsidP="000A025C">
            <w:pPr>
              <w:spacing w:after="0" w:line="240" w:lineRule="auto"/>
              <w:rPr>
                <w:rFonts w:cs="Arial"/>
                <w:color w:val="000000"/>
                <w:sz w:val="16"/>
                <w:szCs w:val="16"/>
              </w:rPr>
            </w:pPr>
            <w:r w:rsidRPr="00C87D2F">
              <w:rPr>
                <w:rFonts w:cs="Arial"/>
                <w:color w:val="000000"/>
                <w:sz w:val="16"/>
                <w:szCs w:val="16"/>
              </w:rPr>
              <w:t>Profesn</w:t>
            </w:r>
            <w:r w:rsidR="000A025C">
              <w:rPr>
                <w:rFonts w:cs="Arial"/>
                <w:color w:val="000000"/>
                <w:sz w:val="16"/>
                <w:szCs w:val="16"/>
              </w:rPr>
              <w:t>í, vědecké a technické činnosti</w:t>
            </w:r>
          </w:p>
        </w:tc>
        <w:tc>
          <w:tcPr>
            <w:tcW w:w="1134" w:type="dxa"/>
            <w:tcBorders>
              <w:top w:val="nil"/>
              <w:left w:val="nil"/>
              <w:bottom w:val="single" w:sz="4" w:space="0" w:color="auto"/>
              <w:right w:val="single" w:sz="4" w:space="0" w:color="auto"/>
            </w:tcBorders>
            <w:shd w:val="clear" w:color="auto" w:fill="auto"/>
            <w:noWrap/>
            <w:vAlign w:val="center"/>
            <w:hideMark/>
          </w:tcPr>
          <w:p w14:paraId="769043D0" w14:textId="10577876"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77</w:t>
            </w:r>
            <w:r w:rsidR="00112232">
              <w:rPr>
                <w:rFonts w:cs="Arial"/>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17867428"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24,1</w:t>
            </w:r>
          </w:p>
        </w:tc>
        <w:tc>
          <w:tcPr>
            <w:tcW w:w="1276" w:type="dxa"/>
            <w:tcBorders>
              <w:top w:val="nil"/>
              <w:left w:val="nil"/>
              <w:bottom w:val="single" w:sz="4" w:space="0" w:color="auto"/>
              <w:right w:val="single" w:sz="4" w:space="0" w:color="auto"/>
            </w:tcBorders>
            <w:shd w:val="clear" w:color="auto" w:fill="auto"/>
            <w:noWrap/>
            <w:vAlign w:val="center"/>
            <w:hideMark/>
          </w:tcPr>
          <w:p w14:paraId="1C22E41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9,6</w:t>
            </w:r>
          </w:p>
        </w:tc>
        <w:tc>
          <w:tcPr>
            <w:tcW w:w="992" w:type="dxa"/>
            <w:tcBorders>
              <w:top w:val="nil"/>
              <w:left w:val="nil"/>
              <w:bottom w:val="single" w:sz="4" w:space="0" w:color="auto"/>
              <w:right w:val="single" w:sz="4" w:space="0" w:color="auto"/>
            </w:tcBorders>
            <w:shd w:val="clear" w:color="auto" w:fill="auto"/>
            <w:noWrap/>
            <w:vAlign w:val="center"/>
            <w:hideMark/>
          </w:tcPr>
          <w:p w14:paraId="01954417"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3,2</w:t>
            </w:r>
          </w:p>
        </w:tc>
        <w:tc>
          <w:tcPr>
            <w:tcW w:w="993" w:type="dxa"/>
            <w:tcBorders>
              <w:top w:val="nil"/>
              <w:left w:val="nil"/>
              <w:bottom w:val="single" w:sz="4" w:space="0" w:color="auto"/>
              <w:right w:val="single" w:sz="4" w:space="0" w:color="auto"/>
            </w:tcBorders>
            <w:shd w:val="clear" w:color="auto" w:fill="auto"/>
            <w:noWrap/>
            <w:vAlign w:val="center"/>
            <w:hideMark/>
          </w:tcPr>
          <w:p w14:paraId="5661D1E3"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2,3</w:t>
            </w:r>
          </w:p>
        </w:tc>
        <w:tc>
          <w:tcPr>
            <w:tcW w:w="992" w:type="dxa"/>
            <w:tcBorders>
              <w:top w:val="nil"/>
              <w:left w:val="nil"/>
              <w:bottom w:val="single" w:sz="4" w:space="0" w:color="auto"/>
              <w:right w:val="single" w:sz="4" w:space="0" w:color="auto"/>
            </w:tcBorders>
            <w:shd w:val="clear" w:color="auto" w:fill="auto"/>
            <w:noWrap/>
            <w:vAlign w:val="center"/>
            <w:hideMark/>
          </w:tcPr>
          <w:p w14:paraId="01BDDFC4"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14:paraId="6C3E092A"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21,1</w:t>
            </w:r>
          </w:p>
        </w:tc>
      </w:tr>
      <w:tr w:rsidR="00C87D2F" w:rsidRPr="00C87D2F" w14:paraId="16E9BCFC" w14:textId="77777777" w:rsidTr="00B763CE">
        <w:trPr>
          <w:trHeight w:val="27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B780BC1" w14:textId="3B959C37" w:rsidR="00C87D2F" w:rsidRPr="00C87D2F" w:rsidRDefault="00C87D2F" w:rsidP="000A025C">
            <w:pPr>
              <w:spacing w:after="0" w:line="240" w:lineRule="auto"/>
              <w:rPr>
                <w:rFonts w:cs="Arial"/>
                <w:color w:val="000000"/>
                <w:sz w:val="16"/>
                <w:szCs w:val="16"/>
              </w:rPr>
            </w:pPr>
            <w:r w:rsidRPr="00C87D2F">
              <w:rPr>
                <w:rFonts w:cs="Arial"/>
                <w:color w:val="000000"/>
                <w:sz w:val="16"/>
                <w:szCs w:val="16"/>
              </w:rPr>
              <w:t>Kulturn</w:t>
            </w:r>
            <w:r w:rsidR="000A025C">
              <w:rPr>
                <w:rFonts w:cs="Arial"/>
                <w:color w:val="000000"/>
                <w:sz w:val="16"/>
                <w:szCs w:val="16"/>
              </w:rPr>
              <w:t>í, zábavní a rekreační činnosti</w:t>
            </w:r>
          </w:p>
        </w:tc>
        <w:tc>
          <w:tcPr>
            <w:tcW w:w="1134" w:type="dxa"/>
            <w:tcBorders>
              <w:top w:val="nil"/>
              <w:left w:val="nil"/>
              <w:bottom w:val="single" w:sz="4" w:space="0" w:color="auto"/>
              <w:right w:val="single" w:sz="4" w:space="0" w:color="auto"/>
            </w:tcBorders>
            <w:shd w:val="clear" w:color="auto" w:fill="auto"/>
            <w:noWrap/>
            <w:vAlign w:val="center"/>
            <w:hideMark/>
          </w:tcPr>
          <w:p w14:paraId="5767BE6F"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76,7</w:t>
            </w:r>
          </w:p>
        </w:tc>
        <w:tc>
          <w:tcPr>
            <w:tcW w:w="1134" w:type="dxa"/>
            <w:tcBorders>
              <w:top w:val="nil"/>
              <w:left w:val="nil"/>
              <w:bottom w:val="single" w:sz="4" w:space="0" w:color="auto"/>
              <w:right w:val="single" w:sz="4" w:space="0" w:color="auto"/>
            </w:tcBorders>
            <w:shd w:val="clear" w:color="auto" w:fill="auto"/>
            <w:noWrap/>
            <w:vAlign w:val="center"/>
            <w:hideMark/>
          </w:tcPr>
          <w:p w14:paraId="4201819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10,8</w:t>
            </w:r>
          </w:p>
        </w:tc>
        <w:tc>
          <w:tcPr>
            <w:tcW w:w="1276" w:type="dxa"/>
            <w:tcBorders>
              <w:top w:val="nil"/>
              <w:left w:val="nil"/>
              <w:bottom w:val="single" w:sz="4" w:space="0" w:color="auto"/>
              <w:right w:val="single" w:sz="4" w:space="0" w:color="auto"/>
            </w:tcBorders>
            <w:shd w:val="clear" w:color="auto" w:fill="auto"/>
            <w:noWrap/>
            <w:vAlign w:val="center"/>
            <w:hideMark/>
          </w:tcPr>
          <w:p w14:paraId="4ED457F7" w14:textId="77777777" w:rsidR="00C87D2F" w:rsidRPr="00473099" w:rsidRDefault="00C87D2F" w:rsidP="00C87D2F">
            <w:pPr>
              <w:spacing w:after="0" w:line="240" w:lineRule="auto"/>
              <w:jc w:val="right"/>
              <w:rPr>
                <w:rFonts w:cs="Arial"/>
                <w:b/>
                <w:color w:val="00B050"/>
                <w:sz w:val="16"/>
                <w:szCs w:val="16"/>
              </w:rPr>
            </w:pPr>
            <w:r w:rsidRPr="00473099">
              <w:rPr>
                <w:rFonts w:cs="Arial"/>
                <w:b/>
                <w:color w:val="00B050"/>
                <w:sz w:val="16"/>
                <w:szCs w:val="16"/>
              </w:rPr>
              <w:t>14,9</w:t>
            </w:r>
          </w:p>
        </w:tc>
        <w:tc>
          <w:tcPr>
            <w:tcW w:w="992" w:type="dxa"/>
            <w:tcBorders>
              <w:top w:val="nil"/>
              <w:left w:val="nil"/>
              <w:bottom w:val="single" w:sz="4" w:space="0" w:color="auto"/>
              <w:right w:val="single" w:sz="4" w:space="0" w:color="auto"/>
            </w:tcBorders>
            <w:shd w:val="clear" w:color="auto" w:fill="auto"/>
            <w:noWrap/>
            <w:vAlign w:val="center"/>
            <w:hideMark/>
          </w:tcPr>
          <w:p w14:paraId="433F72BA" w14:textId="5623B55C" w:rsidR="00C87D2F" w:rsidRPr="00473099" w:rsidRDefault="00C87D2F" w:rsidP="00C87D2F">
            <w:pPr>
              <w:spacing w:after="0" w:line="240" w:lineRule="auto"/>
              <w:jc w:val="right"/>
              <w:rPr>
                <w:rFonts w:cs="Arial"/>
                <w:b/>
                <w:color w:val="000000"/>
                <w:sz w:val="16"/>
                <w:szCs w:val="16"/>
              </w:rPr>
            </w:pPr>
            <w:r w:rsidRPr="00473099">
              <w:rPr>
                <w:rFonts w:cs="Arial"/>
                <w:b/>
                <w:color w:val="C00000"/>
                <w:sz w:val="16"/>
                <w:szCs w:val="16"/>
              </w:rPr>
              <w:t>0</w:t>
            </w:r>
            <w:r w:rsidR="00112232">
              <w:rPr>
                <w:rFonts w:cs="Arial"/>
                <w:b/>
                <w:color w:val="C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742114CC" w14:textId="77777777" w:rsidR="00C87D2F" w:rsidRPr="00473099" w:rsidRDefault="00C87D2F" w:rsidP="00C87D2F">
            <w:pPr>
              <w:spacing w:after="0" w:line="240" w:lineRule="auto"/>
              <w:jc w:val="right"/>
              <w:rPr>
                <w:rFonts w:cs="Arial"/>
                <w:b/>
                <w:color w:val="000000"/>
                <w:sz w:val="16"/>
                <w:szCs w:val="16"/>
              </w:rPr>
            </w:pPr>
            <w:r w:rsidRPr="00473099">
              <w:rPr>
                <w:rFonts w:cs="Arial"/>
                <w:b/>
                <w:color w:val="00B050"/>
                <w:sz w:val="16"/>
                <w:szCs w:val="16"/>
              </w:rPr>
              <w:t>6,1</w:t>
            </w:r>
          </w:p>
        </w:tc>
        <w:tc>
          <w:tcPr>
            <w:tcW w:w="992" w:type="dxa"/>
            <w:tcBorders>
              <w:top w:val="nil"/>
              <w:left w:val="nil"/>
              <w:bottom w:val="single" w:sz="4" w:space="0" w:color="auto"/>
              <w:right w:val="single" w:sz="4" w:space="0" w:color="auto"/>
            </w:tcBorders>
            <w:shd w:val="clear" w:color="auto" w:fill="auto"/>
            <w:noWrap/>
            <w:vAlign w:val="center"/>
            <w:hideMark/>
          </w:tcPr>
          <w:p w14:paraId="3427BE09" w14:textId="4B366242" w:rsidR="00C87D2F" w:rsidRPr="00473099" w:rsidRDefault="00C87D2F" w:rsidP="00C87D2F">
            <w:pPr>
              <w:spacing w:after="0" w:line="240" w:lineRule="auto"/>
              <w:jc w:val="right"/>
              <w:rPr>
                <w:rFonts w:cs="Arial"/>
                <w:b/>
                <w:color w:val="C00000"/>
                <w:sz w:val="16"/>
                <w:szCs w:val="16"/>
              </w:rPr>
            </w:pPr>
            <w:r w:rsidRPr="00473099">
              <w:rPr>
                <w:rFonts w:cs="Arial"/>
                <w:b/>
                <w:color w:val="C00000"/>
                <w:sz w:val="16"/>
                <w:szCs w:val="16"/>
              </w:rPr>
              <w:t>0</w:t>
            </w:r>
            <w:r w:rsidR="00112232">
              <w:rPr>
                <w:rFonts w:cs="Arial"/>
                <w:b/>
                <w:color w:val="C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73B236B5" w14:textId="77777777" w:rsidR="00C87D2F" w:rsidRPr="00473099" w:rsidRDefault="00C87D2F" w:rsidP="00C87D2F">
            <w:pPr>
              <w:spacing w:after="0" w:line="240" w:lineRule="auto"/>
              <w:jc w:val="right"/>
              <w:rPr>
                <w:rFonts w:cs="Arial"/>
                <w:b/>
                <w:color w:val="C00000"/>
                <w:sz w:val="16"/>
                <w:szCs w:val="16"/>
              </w:rPr>
            </w:pPr>
            <w:r w:rsidRPr="00473099">
              <w:rPr>
                <w:rFonts w:cs="Arial"/>
                <w:b/>
                <w:color w:val="C00000"/>
                <w:sz w:val="16"/>
                <w:szCs w:val="16"/>
              </w:rPr>
              <w:t>17,6</w:t>
            </w:r>
          </w:p>
        </w:tc>
      </w:tr>
      <w:tr w:rsidR="00C87D2F" w:rsidRPr="00C87D2F" w14:paraId="106DCA81" w14:textId="77777777" w:rsidTr="00B763CE">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003D382" w14:textId="02B01E87" w:rsidR="00C87D2F" w:rsidRPr="00C87D2F" w:rsidRDefault="00C87D2F" w:rsidP="000A025C">
            <w:pPr>
              <w:spacing w:after="0" w:line="240" w:lineRule="auto"/>
              <w:rPr>
                <w:rFonts w:cs="Arial"/>
                <w:color w:val="000000"/>
                <w:sz w:val="16"/>
                <w:szCs w:val="16"/>
              </w:rPr>
            </w:pPr>
            <w:r w:rsidRPr="00C87D2F">
              <w:rPr>
                <w:rFonts w:cs="Arial"/>
                <w:color w:val="000000"/>
                <w:sz w:val="16"/>
                <w:szCs w:val="16"/>
              </w:rPr>
              <w:t xml:space="preserve">Průmysl </w:t>
            </w:r>
          </w:p>
        </w:tc>
        <w:tc>
          <w:tcPr>
            <w:tcW w:w="1134" w:type="dxa"/>
            <w:tcBorders>
              <w:top w:val="nil"/>
              <w:left w:val="nil"/>
              <w:bottom w:val="single" w:sz="4" w:space="0" w:color="auto"/>
              <w:right w:val="single" w:sz="4" w:space="0" w:color="auto"/>
            </w:tcBorders>
            <w:shd w:val="clear" w:color="auto" w:fill="auto"/>
            <w:noWrap/>
            <w:vAlign w:val="center"/>
            <w:hideMark/>
          </w:tcPr>
          <w:p w14:paraId="4DD5F266"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69,6</w:t>
            </w:r>
          </w:p>
        </w:tc>
        <w:tc>
          <w:tcPr>
            <w:tcW w:w="1134" w:type="dxa"/>
            <w:tcBorders>
              <w:top w:val="nil"/>
              <w:left w:val="nil"/>
              <w:bottom w:val="single" w:sz="4" w:space="0" w:color="auto"/>
              <w:right w:val="single" w:sz="4" w:space="0" w:color="auto"/>
            </w:tcBorders>
            <w:shd w:val="clear" w:color="auto" w:fill="auto"/>
            <w:noWrap/>
            <w:vAlign w:val="center"/>
            <w:hideMark/>
          </w:tcPr>
          <w:p w14:paraId="23C11A88"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4223A753"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5,9</w:t>
            </w:r>
          </w:p>
        </w:tc>
        <w:tc>
          <w:tcPr>
            <w:tcW w:w="992" w:type="dxa"/>
            <w:tcBorders>
              <w:top w:val="nil"/>
              <w:left w:val="nil"/>
              <w:bottom w:val="single" w:sz="4" w:space="0" w:color="auto"/>
              <w:right w:val="single" w:sz="4" w:space="0" w:color="auto"/>
            </w:tcBorders>
            <w:shd w:val="clear" w:color="auto" w:fill="auto"/>
            <w:noWrap/>
            <w:vAlign w:val="center"/>
            <w:hideMark/>
          </w:tcPr>
          <w:p w14:paraId="6CD705C6" w14:textId="0C4B5A5A"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w:t>
            </w:r>
            <w:r w:rsidR="00112232">
              <w:rPr>
                <w:rFonts w:cs="Arial"/>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100568FB"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2,3</w:t>
            </w:r>
          </w:p>
        </w:tc>
        <w:tc>
          <w:tcPr>
            <w:tcW w:w="992" w:type="dxa"/>
            <w:tcBorders>
              <w:top w:val="nil"/>
              <w:left w:val="nil"/>
              <w:bottom w:val="single" w:sz="4" w:space="0" w:color="auto"/>
              <w:right w:val="single" w:sz="4" w:space="0" w:color="auto"/>
            </w:tcBorders>
            <w:shd w:val="clear" w:color="auto" w:fill="auto"/>
            <w:noWrap/>
            <w:vAlign w:val="center"/>
            <w:hideMark/>
          </w:tcPr>
          <w:p w14:paraId="3A9915F6"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14:paraId="1DEC61B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31,2</w:t>
            </w:r>
          </w:p>
        </w:tc>
      </w:tr>
      <w:tr w:rsidR="00C87D2F" w:rsidRPr="00C87D2F" w14:paraId="2F3EEF5B" w14:textId="77777777" w:rsidTr="00B763CE">
        <w:trPr>
          <w:trHeight w:val="39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EFE779A" w14:textId="6EC2E697" w:rsidR="00C87D2F" w:rsidRPr="00C87D2F" w:rsidRDefault="00983F17" w:rsidP="000A025C">
            <w:pPr>
              <w:spacing w:after="0" w:line="240" w:lineRule="auto"/>
              <w:rPr>
                <w:rFonts w:cs="Arial"/>
                <w:color w:val="000000"/>
                <w:sz w:val="16"/>
                <w:szCs w:val="16"/>
              </w:rPr>
            </w:pPr>
            <w:r>
              <w:rPr>
                <w:rFonts w:cs="Arial"/>
                <w:color w:val="000000"/>
                <w:sz w:val="16"/>
                <w:szCs w:val="16"/>
              </w:rPr>
              <w:t>Čin.</w:t>
            </w:r>
            <w:r w:rsidR="00C87D2F" w:rsidRPr="00C87D2F">
              <w:rPr>
                <w:rFonts w:cs="Arial"/>
                <w:color w:val="000000"/>
                <w:sz w:val="16"/>
                <w:szCs w:val="16"/>
              </w:rPr>
              <w:t xml:space="preserve"> v oblas</w:t>
            </w:r>
            <w:r w:rsidR="000A025C">
              <w:rPr>
                <w:rFonts w:cs="Arial"/>
                <w:color w:val="000000"/>
                <w:sz w:val="16"/>
                <w:szCs w:val="16"/>
              </w:rPr>
              <w:t>ti nemovitostí a administrativy</w:t>
            </w:r>
          </w:p>
        </w:tc>
        <w:tc>
          <w:tcPr>
            <w:tcW w:w="1134" w:type="dxa"/>
            <w:tcBorders>
              <w:top w:val="nil"/>
              <w:left w:val="nil"/>
              <w:bottom w:val="single" w:sz="4" w:space="0" w:color="auto"/>
              <w:right w:val="single" w:sz="4" w:space="0" w:color="auto"/>
            </w:tcBorders>
            <w:shd w:val="clear" w:color="auto" w:fill="auto"/>
            <w:noWrap/>
            <w:vAlign w:val="center"/>
            <w:hideMark/>
          </w:tcPr>
          <w:p w14:paraId="633F2663"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68,9</w:t>
            </w:r>
          </w:p>
        </w:tc>
        <w:tc>
          <w:tcPr>
            <w:tcW w:w="1134" w:type="dxa"/>
            <w:tcBorders>
              <w:top w:val="nil"/>
              <w:left w:val="nil"/>
              <w:bottom w:val="single" w:sz="4" w:space="0" w:color="auto"/>
              <w:right w:val="single" w:sz="4" w:space="0" w:color="auto"/>
            </w:tcBorders>
            <w:shd w:val="clear" w:color="auto" w:fill="auto"/>
            <w:noWrap/>
            <w:vAlign w:val="center"/>
            <w:hideMark/>
          </w:tcPr>
          <w:p w14:paraId="08B07CD5"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19,2</w:t>
            </w:r>
          </w:p>
        </w:tc>
        <w:tc>
          <w:tcPr>
            <w:tcW w:w="1276" w:type="dxa"/>
            <w:tcBorders>
              <w:top w:val="nil"/>
              <w:left w:val="nil"/>
              <w:bottom w:val="single" w:sz="4" w:space="0" w:color="auto"/>
              <w:right w:val="single" w:sz="4" w:space="0" w:color="auto"/>
            </w:tcBorders>
            <w:shd w:val="clear" w:color="auto" w:fill="auto"/>
            <w:noWrap/>
            <w:vAlign w:val="center"/>
            <w:hideMark/>
          </w:tcPr>
          <w:p w14:paraId="75B1BB3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11,9</w:t>
            </w:r>
          </w:p>
        </w:tc>
        <w:tc>
          <w:tcPr>
            <w:tcW w:w="992" w:type="dxa"/>
            <w:tcBorders>
              <w:top w:val="nil"/>
              <w:left w:val="nil"/>
              <w:bottom w:val="single" w:sz="4" w:space="0" w:color="auto"/>
              <w:right w:val="single" w:sz="4" w:space="0" w:color="auto"/>
            </w:tcBorders>
            <w:shd w:val="clear" w:color="auto" w:fill="auto"/>
            <w:noWrap/>
            <w:vAlign w:val="center"/>
            <w:hideMark/>
          </w:tcPr>
          <w:p w14:paraId="3E67090A"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1,7</w:t>
            </w:r>
          </w:p>
        </w:tc>
        <w:tc>
          <w:tcPr>
            <w:tcW w:w="993" w:type="dxa"/>
            <w:tcBorders>
              <w:top w:val="nil"/>
              <w:left w:val="nil"/>
              <w:bottom w:val="single" w:sz="4" w:space="0" w:color="auto"/>
              <w:right w:val="single" w:sz="4" w:space="0" w:color="auto"/>
            </w:tcBorders>
            <w:shd w:val="clear" w:color="auto" w:fill="auto"/>
            <w:noWrap/>
            <w:vAlign w:val="center"/>
            <w:hideMark/>
          </w:tcPr>
          <w:p w14:paraId="11D28DF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center"/>
            <w:hideMark/>
          </w:tcPr>
          <w:p w14:paraId="559DF614"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14:paraId="27F64EEF"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30,8</w:t>
            </w:r>
          </w:p>
        </w:tc>
      </w:tr>
      <w:tr w:rsidR="00C87D2F" w:rsidRPr="00C87D2F" w14:paraId="310B6625" w14:textId="77777777" w:rsidTr="00B763CE">
        <w:trPr>
          <w:trHeight w:val="27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71494E" w14:textId="1A3AA386" w:rsidR="00C87D2F" w:rsidRPr="00C87D2F" w:rsidRDefault="000A025C" w:rsidP="00C87D2F">
            <w:pPr>
              <w:spacing w:after="0" w:line="240" w:lineRule="auto"/>
              <w:rPr>
                <w:rFonts w:cs="Arial"/>
                <w:color w:val="000000"/>
                <w:sz w:val="16"/>
                <w:szCs w:val="16"/>
              </w:rPr>
            </w:pPr>
            <w:r>
              <w:rPr>
                <w:rFonts w:cs="Arial"/>
                <w:color w:val="000000"/>
                <w:sz w:val="16"/>
                <w:szCs w:val="16"/>
              </w:rPr>
              <w:t>Stavebnictví</w:t>
            </w:r>
          </w:p>
        </w:tc>
        <w:tc>
          <w:tcPr>
            <w:tcW w:w="1134" w:type="dxa"/>
            <w:tcBorders>
              <w:top w:val="nil"/>
              <w:left w:val="nil"/>
              <w:bottom w:val="single" w:sz="4" w:space="0" w:color="auto"/>
              <w:right w:val="single" w:sz="4" w:space="0" w:color="auto"/>
            </w:tcBorders>
            <w:shd w:val="clear" w:color="auto" w:fill="auto"/>
            <w:noWrap/>
            <w:vAlign w:val="center"/>
            <w:hideMark/>
          </w:tcPr>
          <w:p w14:paraId="4116079C"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67,1</w:t>
            </w:r>
          </w:p>
        </w:tc>
        <w:tc>
          <w:tcPr>
            <w:tcW w:w="1134" w:type="dxa"/>
            <w:tcBorders>
              <w:top w:val="nil"/>
              <w:left w:val="nil"/>
              <w:bottom w:val="single" w:sz="4" w:space="0" w:color="auto"/>
              <w:right w:val="single" w:sz="4" w:space="0" w:color="auto"/>
            </w:tcBorders>
            <w:shd w:val="clear" w:color="auto" w:fill="auto"/>
            <w:noWrap/>
            <w:vAlign w:val="center"/>
            <w:hideMark/>
          </w:tcPr>
          <w:p w14:paraId="052EB016" w14:textId="77777777" w:rsidR="00C87D2F" w:rsidRPr="00473099" w:rsidRDefault="00C87D2F" w:rsidP="00C87D2F">
            <w:pPr>
              <w:spacing w:after="0" w:line="240" w:lineRule="auto"/>
              <w:jc w:val="right"/>
              <w:rPr>
                <w:rFonts w:cs="Arial"/>
                <w:b/>
                <w:color w:val="C00000"/>
                <w:sz w:val="16"/>
                <w:szCs w:val="16"/>
              </w:rPr>
            </w:pPr>
            <w:r w:rsidRPr="00473099">
              <w:rPr>
                <w:rFonts w:cs="Arial"/>
                <w:b/>
                <w:color w:val="C00000"/>
                <w:sz w:val="16"/>
                <w:szCs w:val="16"/>
              </w:rPr>
              <w:t>8,5</w:t>
            </w:r>
          </w:p>
        </w:tc>
        <w:tc>
          <w:tcPr>
            <w:tcW w:w="1276" w:type="dxa"/>
            <w:tcBorders>
              <w:top w:val="nil"/>
              <w:left w:val="nil"/>
              <w:bottom w:val="single" w:sz="4" w:space="0" w:color="auto"/>
              <w:right w:val="single" w:sz="4" w:space="0" w:color="auto"/>
            </w:tcBorders>
            <w:shd w:val="clear" w:color="auto" w:fill="auto"/>
            <w:noWrap/>
            <w:vAlign w:val="center"/>
            <w:hideMark/>
          </w:tcPr>
          <w:p w14:paraId="6B25E93F"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4,5</w:t>
            </w:r>
          </w:p>
        </w:tc>
        <w:tc>
          <w:tcPr>
            <w:tcW w:w="992" w:type="dxa"/>
            <w:tcBorders>
              <w:top w:val="nil"/>
              <w:left w:val="nil"/>
              <w:bottom w:val="single" w:sz="4" w:space="0" w:color="auto"/>
              <w:right w:val="single" w:sz="4" w:space="0" w:color="auto"/>
            </w:tcBorders>
            <w:shd w:val="clear" w:color="auto" w:fill="auto"/>
            <w:noWrap/>
            <w:vAlign w:val="center"/>
            <w:hideMark/>
          </w:tcPr>
          <w:p w14:paraId="28720B00" w14:textId="77777777" w:rsidR="00C87D2F" w:rsidRPr="00473099" w:rsidRDefault="00C87D2F" w:rsidP="00C87D2F">
            <w:pPr>
              <w:spacing w:after="0" w:line="240" w:lineRule="auto"/>
              <w:jc w:val="right"/>
              <w:rPr>
                <w:rFonts w:cs="Arial"/>
                <w:b/>
                <w:color w:val="00B050"/>
                <w:sz w:val="16"/>
                <w:szCs w:val="16"/>
              </w:rPr>
            </w:pPr>
            <w:r w:rsidRPr="00473099">
              <w:rPr>
                <w:rFonts w:cs="Arial"/>
                <w:b/>
                <w:color w:val="00B050"/>
                <w:sz w:val="16"/>
                <w:szCs w:val="16"/>
              </w:rPr>
              <w:t>4,7</w:t>
            </w:r>
          </w:p>
        </w:tc>
        <w:tc>
          <w:tcPr>
            <w:tcW w:w="993" w:type="dxa"/>
            <w:tcBorders>
              <w:top w:val="nil"/>
              <w:left w:val="nil"/>
              <w:bottom w:val="single" w:sz="4" w:space="0" w:color="auto"/>
              <w:right w:val="single" w:sz="4" w:space="0" w:color="auto"/>
            </w:tcBorders>
            <w:shd w:val="clear" w:color="auto" w:fill="auto"/>
            <w:noWrap/>
            <w:vAlign w:val="center"/>
            <w:hideMark/>
          </w:tcPr>
          <w:p w14:paraId="3A1CD53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14:paraId="7F2D87FB"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14:paraId="10C6ADEF" w14:textId="24C7A5BC" w:rsidR="00C87D2F" w:rsidRPr="00473099" w:rsidRDefault="00C87D2F" w:rsidP="00C87D2F">
            <w:pPr>
              <w:spacing w:after="0" w:line="240" w:lineRule="auto"/>
              <w:jc w:val="right"/>
              <w:rPr>
                <w:rFonts w:cs="Arial"/>
                <w:b/>
                <w:color w:val="00B050"/>
                <w:sz w:val="16"/>
                <w:szCs w:val="16"/>
              </w:rPr>
            </w:pPr>
            <w:r w:rsidRPr="00473099">
              <w:rPr>
                <w:rFonts w:cs="Arial"/>
                <w:b/>
                <w:color w:val="00B050"/>
                <w:sz w:val="16"/>
                <w:szCs w:val="16"/>
              </w:rPr>
              <w:t>33</w:t>
            </w:r>
            <w:r w:rsidR="00473099">
              <w:rPr>
                <w:rFonts w:cs="Arial"/>
                <w:b/>
                <w:color w:val="00B050"/>
                <w:sz w:val="16"/>
                <w:szCs w:val="16"/>
              </w:rPr>
              <w:t>,0</w:t>
            </w:r>
          </w:p>
        </w:tc>
      </w:tr>
      <w:tr w:rsidR="00C87D2F" w:rsidRPr="00C87D2F" w14:paraId="76B64569" w14:textId="77777777" w:rsidTr="00B763CE">
        <w:trPr>
          <w:trHeight w:val="42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D5A5563" w14:textId="440413CB" w:rsidR="00C87D2F" w:rsidRPr="00C87D2F" w:rsidRDefault="00C87D2F" w:rsidP="00C87D2F">
            <w:pPr>
              <w:spacing w:after="0" w:line="240" w:lineRule="auto"/>
              <w:rPr>
                <w:rFonts w:cs="Arial"/>
                <w:color w:val="000000"/>
                <w:sz w:val="16"/>
                <w:szCs w:val="16"/>
              </w:rPr>
            </w:pPr>
            <w:r w:rsidRPr="00C87D2F">
              <w:rPr>
                <w:rFonts w:cs="Arial"/>
                <w:color w:val="000000"/>
                <w:sz w:val="16"/>
                <w:szCs w:val="16"/>
              </w:rPr>
              <w:t>Ubytování</w:t>
            </w:r>
            <w:r w:rsidR="000A025C">
              <w:rPr>
                <w:rFonts w:cs="Arial"/>
                <w:color w:val="000000"/>
                <w:sz w:val="16"/>
                <w:szCs w:val="16"/>
              </w:rPr>
              <w:t>, stravování a pohostinství</w:t>
            </w:r>
          </w:p>
        </w:tc>
        <w:tc>
          <w:tcPr>
            <w:tcW w:w="1134" w:type="dxa"/>
            <w:tcBorders>
              <w:top w:val="nil"/>
              <w:left w:val="nil"/>
              <w:bottom w:val="single" w:sz="4" w:space="0" w:color="auto"/>
              <w:right w:val="single" w:sz="4" w:space="0" w:color="auto"/>
            </w:tcBorders>
            <w:shd w:val="clear" w:color="auto" w:fill="auto"/>
            <w:noWrap/>
            <w:vAlign w:val="center"/>
            <w:hideMark/>
          </w:tcPr>
          <w:p w14:paraId="2D8A766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64,1</w:t>
            </w:r>
          </w:p>
        </w:tc>
        <w:tc>
          <w:tcPr>
            <w:tcW w:w="1134" w:type="dxa"/>
            <w:tcBorders>
              <w:top w:val="nil"/>
              <w:left w:val="nil"/>
              <w:bottom w:val="single" w:sz="4" w:space="0" w:color="auto"/>
              <w:right w:val="single" w:sz="4" w:space="0" w:color="auto"/>
            </w:tcBorders>
            <w:shd w:val="clear" w:color="auto" w:fill="auto"/>
            <w:noWrap/>
            <w:vAlign w:val="center"/>
            <w:hideMark/>
          </w:tcPr>
          <w:p w14:paraId="33EE2E08" w14:textId="77777777" w:rsidR="00C87D2F" w:rsidRPr="00473099" w:rsidRDefault="00C87D2F" w:rsidP="00C87D2F">
            <w:pPr>
              <w:spacing w:after="0" w:line="240" w:lineRule="auto"/>
              <w:jc w:val="right"/>
              <w:rPr>
                <w:rFonts w:cs="Arial"/>
                <w:b/>
                <w:color w:val="00B050"/>
                <w:sz w:val="16"/>
                <w:szCs w:val="16"/>
              </w:rPr>
            </w:pPr>
            <w:r w:rsidRPr="00473099">
              <w:rPr>
                <w:rFonts w:cs="Arial"/>
                <w:b/>
                <w:color w:val="00B050"/>
                <w:sz w:val="16"/>
                <w:szCs w:val="16"/>
              </w:rPr>
              <w:t>25,2</w:t>
            </w:r>
          </w:p>
        </w:tc>
        <w:tc>
          <w:tcPr>
            <w:tcW w:w="1276" w:type="dxa"/>
            <w:tcBorders>
              <w:top w:val="nil"/>
              <w:left w:val="nil"/>
              <w:bottom w:val="single" w:sz="4" w:space="0" w:color="auto"/>
              <w:right w:val="single" w:sz="4" w:space="0" w:color="auto"/>
            </w:tcBorders>
            <w:shd w:val="clear" w:color="auto" w:fill="auto"/>
            <w:noWrap/>
            <w:vAlign w:val="center"/>
            <w:hideMark/>
          </w:tcPr>
          <w:p w14:paraId="5368BB1A" w14:textId="77777777" w:rsidR="00C87D2F" w:rsidRPr="00473099" w:rsidRDefault="00C87D2F" w:rsidP="00C87D2F">
            <w:pPr>
              <w:spacing w:after="0" w:line="240" w:lineRule="auto"/>
              <w:jc w:val="right"/>
              <w:rPr>
                <w:rFonts w:cs="Arial"/>
                <w:b/>
                <w:color w:val="C00000"/>
                <w:sz w:val="16"/>
                <w:szCs w:val="16"/>
              </w:rPr>
            </w:pPr>
            <w:r w:rsidRPr="00473099">
              <w:rPr>
                <w:rFonts w:cs="Arial"/>
                <w:b/>
                <w:color w:val="C00000"/>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14:paraId="73DEB83F" w14:textId="0EE48BD3"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w:t>
            </w:r>
            <w:r w:rsidR="00112232">
              <w:rPr>
                <w:rFonts w:cs="Arial"/>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424F46F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14:paraId="76634CB8"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14:paraId="5A8335DD"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27,1</w:t>
            </w:r>
          </w:p>
        </w:tc>
      </w:tr>
      <w:tr w:rsidR="00C87D2F" w:rsidRPr="00C87D2F" w14:paraId="516480D1" w14:textId="77777777" w:rsidTr="00B763CE">
        <w:trPr>
          <w:trHeight w:val="30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991BD16" w14:textId="63C37337" w:rsidR="00C87D2F" w:rsidRPr="00C87D2F" w:rsidRDefault="000A025C" w:rsidP="000A025C">
            <w:pPr>
              <w:spacing w:after="0" w:line="240" w:lineRule="auto"/>
              <w:rPr>
                <w:rFonts w:cs="Arial"/>
                <w:color w:val="000000"/>
                <w:sz w:val="16"/>
                <w:szCs w:val="16"/>
              </w:rPr>
            </w:pPr>
            <w:r>
              <w:rPr>
                <w:rFonts w:cs="Arial"/>
                <w:color w:val="000000"/>
                <w:sz w:val="16"/>
                <w:szCs w:val="16"/>
              </w:rPr>
              <w:t>Doprava a skladování</w:t>
            </w:r>
          </w:p>
        </w:tc>
        <w:tc>
          <w:tcPr>
            <w:tcW w:w="1134" w:type="dxa"/>
            <w:tcBorders>
              <w:top w:val="nil"/>
              <w:left w:val="nil"/>
              <w:bottom w:val="single" w:sz="4" w:space="0" w:color="auto"/>
              <w:right w:val="single" w:sz="4" w:space="0" w:color="auto"/>
            </w:tcBorders>
            <w:shd w:val="clear" w:color="auto" w:fill="auto"/>
            <w:noWrap/>
            <w:vAlign w:val="center"/>
            <w:hideMark/>
          </w:tcPr>
          <w:p w14:paraId="770FDD37" w14:textId="62B9D3CD"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64</w:t>
            </w:r>
            <w:r w:rsidR="00112232">
              <w:rPr>
                <w:rFonts w:cs="Arial"/>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A67A3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9,2</w:t>
            </w:r>
          </w:p>
        </w:tc>
        <w:tc>
          <w:tcPr>
            <w:tcW w:w="1276" w:type="dxa"/>
            <w:tcBorders>
              <w:top w:val="nil"/>
              <w:left w:val="nil"/>
              <w:bottom w:val="single" w:sz="4" w:space="0" w:color="auto"/>
              <w:right w:val="single" w:sz="4" w:space="0" w:color="auto"/>
            </w:tcBorders>
            <w:shd w:val="clear" w:color="auto" w:fill="auto"/>
            <w:noWrap/>
            <w:vAlign w:val="center"/>
            <w:hideMark/>
          </w:tcPr>
          <w:p w14:paraId="2BAB9E45"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14:paraId="71E3946E"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center"/>
            <w:hideMark/>
          </w:tcPr>
          <w:p w14:paraId="42C23839"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14:paraId="2FF3AAB7"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2,3</w:t>
            </w:r>
          </w:p>
        </w:tc>
        <w:tc>
          <w:tcPr>
            <w:tcW w:w="992" w:type="dxa"/>
            <w:tcBorders>
              <w:top w:val="nil"/>
              <w:left w:val="nil"/>
              <w:bottom w:val="single" w:sz="4" w:space="0" w:color="auto"/>
              <w:right w:val="single" w:sz="4" w:space="0" w:color="auto"/>
            </w:tcBorders>
            <w:shd w:val="clear" w:color="auto" w:fill="auto"/>
            <w:noWrap/>
            <w:vAlign w:val="center"/>
            <w:hideMark/>
          </w:tcPr>
          <w:p w14:paraId="31E8F75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29,1</w:t>
            </w:r>
          </w:p>
        </w:tc>
      </w:tr>
      <w:tr w:rsidR="00C87D2F" w:rsidRPr="00C87D2F" w14:paraId="5ADE3E7B" w14:textId="77777777" w:rsidTr="00B763CE">
        <w:trPr>
          <w:trHeight w:val="38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7AEBA14" w14:textId="7F67A1D7" w:rsidR="00C87D2F" w:rsidRPr="00C87D2F" w:rsidRDefault="00B84CA7" w:rsidP="000A025C">
            <w:pPr>
              <w:spacing w:after="0" w:line="240" w:lineRule="auto"/>
              <w:rPr>
                <w:rFonts w:cs="Arial"/>
                <w:color w:val="000000"/>
                <w:sz w:val="16"/>
                <w:szCs w:val="16"/>
              </w:rPr>
            </w:pPr>
            <w:r w:rsidRPr="00B84CA7">
              <w:rPr>
                <w:rFonts w:cs="Arial"/>
                <w:color w:val="000000"/>
                <w:sz w:val="16"/>
                <w:szCs w:val="16"/>
              </w:rPr>
              <w:t>Obchod; opravy motorových vozidel</w:t>
            </w:r>
          </w:p>
        </w:tc>
        <w:tc>
          <w:tcPr>
            <w:tcW w:w="1134" w:type="dxa"/>
            <w:tcBorders>
              <w:top w:val="nil"/>
              <w:left w:val="nil"/>
              <w:bottom w:val="single" w:sz="4" w:space="0" w:color="auto"/>
              <w:right w:val="single" w:sz="4" w:space="0" w:color="auto"/>
            </w:tcBorders>
            <w:shd w:val="clear" w:color="auto" w:fill="auto"/>
            <w:noWrap/>
            <w:vAlign w:val="center"/>
            <w:hideMark/>
          </w:tcPr>
          <w:p w14:paraId="2525572D" w14:textId="77777777" w:rsidR="00C87D2F" w:rsidRPr="00473099" w:rsidRDefault="00C87D2F" w:rsidP="00C87D2F">
            <w:pPr>
              <w:spacing w:after="0" w:line="240" w:lineRule="auto"/>
              <w:jc w:val="right"/>
              <w:rPr>
                <w:rFonts w:cs="Arial"/>
                <w:b/>
                <w:color w:val="000000"/>
                <w:sz w:val="16"/>
                <w:szCs w:val="16"/>
              </w:rPr>
            </w:pPr>
            <w:r w:rsidRPr="00473099">
              <w:rPr>
                <w:rFonts w:cs="Arial"/>
                <w:b/>
                <w:color w:val="C00000"/>
                <w:sz w:val="16"/>
                <w:szCs w:val="16"/>
              </w:rPr>
              <w:t>62,8</w:t>
            </w:r>
          </w:p>
        </w:tc>
        <w:tc>
          <w:tcPr>
            <w:tcW w:w="1134" w:type="dxa"/>
            <w:tcBorders>
              <w:top w:val="nil"/>
              <w:left w:val="nil"/>
              <w:bottom w:val="single" w:sz="4" w:space="0" w:color="auto"/>
              <w:right w:val="single" w:sz="4" w:space="0" w:color="auto"/>
            </w:tcBorders>
            <w:shd w:val="clear" w:color="auto" w:fill="auto"/>
            <w:noWrap/>
            <w:vAlign w:val="center"/>
            <w:hideMark/>
          </w:tcPr>
          <w:p w14:paraId="248E1EE2"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21,9</w:t>
            </w:r>
          </w:p>
        </w:tc>
        <w:tc>
          <w:tcPr>
            <w:tcW w:w="1276" w:type="dxa"/>
            <w:tcBorders>
              <w:top w:val="nil"/>
              <w:left w:val="nil"/>
              <w:bottom w:val="single" w:sz="4" w:space="0" w:color="auto"/>
              <w:right w:val="single" w:sz="4" w:space="0" w:color="auto"/>
            </w:tcBorders>
            <w:shd w:val="clear" w:color="auto" w:fill="auto"/>
            <w:noWrap/>
            <w:vAlign w:val="center"/>
            <w:hideMark/>
          </w:tcPr>
          <w:p w14:paraId="7B438D27"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2,1</w:t>
            </w:r>
          </w:p>
        </w:tc>
        <w:tc>
          <w:tcPr>
            <w:tcW w:w="992" w:type="dxa"/>
            <w:tcBorders>
              <w:top w:val="nil"/>
              <w:left w:val="nil"/>
              <w:bottom w:val="single" w:sz="4" w:space="0" w:color="auto"/>
              <w:right w:val="single" w:sz="4" w:space="0" w:color="auto"/>
            </w:tcBorders>
            <w:shd w:val="clear" w:color="auto" w:fill="auto"/>
            <w:noWrap/>
            <w:vAlign w:val="center"/>
            <w:hideMark/>
          </w:tcPr>
          <w:p w14:paraId="698B1530"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0,7</w:t>
            </w:r>
          </w:p>
        </w:tc>
        <w:tc>
          <w:tcPr>
            <w:tcW w:w="993" w:type="dxa"/>
            <w:tcBorders>
              <w:top w:val="nil"/>
              <w:left w:val="nil"/>
              <w:bottom w:val="single" w:sz="4" w:space="0" w:color="auto"/>
              <w:right w:val="single" w:sz="4" w:space="0" w:color="auto"/>
            </w:tcBorders>
            <w:shd w:val="clear" w:color="auto" w:fill="auto"/>
            <w:noWrap/>
            <w:vAlign w:val="center"/>
            <w:hideMark/>
          </w:tcPr>
          <w:p w14:paraId="17B8D4BE" w14:textId="77777777" w:rsidR="00C87D2F" w:rsidRPr="00473099" w:rsidRDefault="00C87D2F" w:rsidP="00C87D2F">
            <w:pPr>
              <w:spacing w:after="0" w:line="240" w:lineRule="auto"/>
              <w:jc w:val="right"/>
              <w:rPr>
                <w:rFonts w:cs="Arial"/>
                <w:b/>
                <w:color w:val="C00000"/>
                <w:sz w:val="16"/>
                <w:szCs w:val="16"/>
              </w:rPr>
            </w:pPr>
            <w:r w:rsidRPr="00473099">
              <w:rPr>
                <w:rFonts w:cs="Arial"/>
                <w:b/>
                <w:color w:val="C00000"/>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14:paraId="28C62BA1"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14:paraId="55849894" w14:textId="77777777" w:rsidR="00C87D2F" w:rsidRPr="00C87D2F" w:rsidRDefault="00C87D2F" w:rsidP="00C87D2F">
            <w:pPr>
              <w:spacing w:after="0" w:line="240" w:lineRule="auto"/>
              <w:jc w:val="right"/>
              <w:rPr>
                <w:rFonts w:cs="Arial"/>
                <w:color w:val="000000"/>
                <w:sz w:val="16"/>
                <w:szCs w:val="16"/>
              </w:rPr>
            </w:pPr>
            <w:r w:rsidRPr="00C87D2F">
              <w:rPr>
                <w:rFonts w:cs="Arial"/>
                <w:color w:val="000000"/>
                <w:sz w:val="16"/>
                <w:szCs w:val="16"/>
              </w:rPr>
              <w:t>29,2</w:t>
            </w:r>
          </w:p>
        </w:tc>
      </w:tr>
    </w:tbl>
    <w:p w14:paraId="6569F891" w14:textId="3429C471" w:rsidR="00C87D2F" w:rsidRPr="00E66D13" w:rsidRDefault="00E66D13" w:rsidP="00E66D13">
      <w:pPr>
        <w:spacing w:before="120" w:after="120"/>
        <w:jc w:val="right"/>
        <w:rPr>
          <w:szCs w:val="20"/>
        </w:rPr>
      </w:pPr>
      <w:r w:rsidRPr="003D1467">
        <w:rPr>
          <w:szCs w:val="20"/>
        </w:rPr>
        <w:t>Zdroj: ČSÚ</w:t>
      </w:r>
    </w:p>
    <w:p w14:paraId="40158896" w14:textId="29F79FDB" w:rsidR="005964FA" w:rsidRDefault="00473099" w:rsidP="00A67C12">
      <w:pPr>
        <w:spacing w:after="120"/>
        <w:jc w:val="both"/>
        <w:rPr>
          <w:rFonts w:cs="Arial"/>
          <w:szCs w:val="20"/>
        </w:rPr>
      </w:pPr>
      <w:r>
        <w:rPr>
          <w:rFonts w:cs="Arial"/>
          <w:szCs w:val="20"/>
        </w:rPr>
        <w:t>M</w:t>
      </w:r>
      <w:r w:rsidR="00A73264">
        <w:rPr>
          <w:rFonts w:cs="Arial"/>
          <w:szCs w:val="20"/>
        </w:rPr>
        <w:t xml:space="preserve">ezi </w:t>
      </w:r>
      <w:r w:rsidR="00695C83">
        <w:rPr>
          <w:rFonts w:cs="Arial"/>
          <w:szCs w:val="20"/>
        </w:rPr>
        <w:t>klíčový</w:t>
      </w:r>
      <w:r w:rsidR="00A73264">
        <w:rPr>
          <w:rFonts w:cs="Arial"/>
          <w:szCs w:val="20"/>
        </w:rPr>
        <w:t>mi</w:t>
      </w:r>
      <w:r w:rsidR="00AB3F54">
        <w:rPr>
          <w:rFonts w:cs="Arial"/>
          <w:szCs w:val="20"/>
        </w:rPr>
        <w:t xml:space="preserve"> poskytovateli externích kurzů/školení byly v roce 2020 </w:t>
      </w:r>
      <w:r w:rsidR="00A73264">
        <w:rPr>
          <w:rFonts w:cs="Arial"/>
          <w:szCs w:val="20"/>
        </w:rPr>
        <w:t xml:space="preserve">především </w:t>
      </w:r>
      <w:r w:rsidR="00A73264" w:rsidRPr="001115F3">
        <w:rPr>
          <w:rFonts w:cs="Arial"/>
          <w:b/>
          <w:i/>
          <w:szCs w:val="20"/>
        </w:rPr>
        <w:t>soukromé</w:t>
      </w:r>
      <w:r w:rsidR="00AB3F54" w:rsidRPr="001115F3">
        <w:rPr>
          <w:rFonts w:cs="Arial"/>
          <w:b/>
          <w:i/>
          <w:szCs w:val="20"/>
        </w:rPr>
        <w:t xml:space="preserve"> komerční společnosti zaměřené na vzdělávání</w:t>
      </w:r>
      <w:r w:rsidR="00AB3F54">
        <w:rPr>
          <w:rFonts w:cs="Arial"/>
          <w:szCs w:val="20"/>
        </w:rPr>
        <w:t xml:space="preserve">. </w:t>
      </w:r>
      <w:r w:rsidR="00A73264">
        <w:rPr>
          <w:rFonts w:cs="Arial"/>
          <w:szCs w:val="20"/>
        </w:rPr>
        <w:t>Jako stěžejní je označilo</w:t>
      </w:r>
      <w:r w:rsidR="00890637">
        <w:rPr>
          <w:rFonts w:cs="Arial"/>
          <w:szCs w:val="20"/>
        </w:rPr>
        <w:t xml:space="preserve"> 6</w:t>
      </w:r>
      <w:r w:rsidR="00AB3F54">
        <w:rPr>
          <w:rFonts w:cs="Arial"/>
          <w:szCs w:val="20"/>
        </w:rPr>
        <w:t>9 % podniků zajišť</w:t>
      </w:r>
      <w:r w:rsidR="00695C83">
        <w:rPr>
          <w:rFonts w:cs="Arial"/>
          <w:szCs w:val="20"/>
        </w:rPr>
        <w:t xml:space="preserve">ujících externí kurzy/školení. </w:t>
      </w:r>
      <w:r w:rsidR="00AB3F54">
        <w:rPr>
          <w:rFonts w:cs="Arial"/>
          <w:szCs w:val="20"/>
        </w:rPr>
        <w:t xml:space="preserve">Přitom </w:t>
      </w:r>
      <w:r w:rsidR="00AB3F54" w:rsidRPr="001115F3">
        <w:rPr>
          <w:rFonts w:cs="Arial"/>
          <w:szCs w:val="20"/>
        </w:rPr>
        <w:t>čím více zaměstnanců podnik měl</w:t>
      </w:r>
      <w:r w:rsidR="00AB3F54">
        <w:rPr>
          <w:rFonts w:cs="Arial"/>
          <w:szCs w:val="20"/>
        </w:rPr>
        <w:t xml:space="preserve">, tím pravděpodobněji si zvolil právě tento druh </w:t>
      </w:r>
      <w:r w:rsidR="00A73264">
        <w:rPr>
          <w:rFonts w:cs="Arial"/>
          <w:szCs w:val="20"/>
        </w:rPr>
        <w:t xml:space="preserve">hlavního </w:t>
      </w:r>
      <w:r w:rsidR="00AB3F54">
        <w:rPr>
          <w:rFonts w:cs="Arial"/>
          <w:szCs w:val="20"/>
        </w:rPr>
        <w:t xml:space="preserve">poskytovatele. Také lze zmínit, že jej častěji využívaly podniky </w:t>
      </w:r>
      <w:r w:rsidR="009C0C6B">
        <w:rPr>
          <w:rFonts w:cs="Arial"/>
          <w:szCs w:val="20"/>
        </w:rPr>
        <w:t>pod zahraniční kontrolou</w:t>
      </w:r>
      <w:r w:rsidR="00AB3F54">
        <w:rPr>
          <w:rFonts w:cs="Arial"/>
          <w:szCs w:val="20"/>
        </w:rPr>
        <w:t xml:space="preserve"> než podniky </w:t>
      </w:r>
      <w:r w:rsidR="009C0C6B">
        <w:rPr>
          <w:rFonts w:cs="Arial"/>
          <w:szCs w:val="20"/>
        </w:rPr>
        <w:t>domácí</w:t>
      </w:r>
      <w:r w:rsidR="00AB3F54">
        <w:rPr>
          <w:rFonts w:cs="Arial"/>
          <w:szCs w:val="20"/>
        </w:rPr>
        <w:t xml:space="preserve">. Využívanější byly i mezi podniky působícími v oblasti </w:t>
      </w:r>
      <w:r w:rsidR="00F07AA9" w:rsidRPr="00CA19A9">
        <w:rPr>
          <w:rFonts w:cs="Arial"/>
          <w:i/>
          <w:szCs w:val="20"/>
        </w:rPr>
        <w:t>peněžnic</w:t>
      </w:r>
      <w:r w:rsidRPr="00CA19A9">
        <w:rPr>
          <w:rFonts w:cs="Arial"/>
          <w:i/>
          <w:szCs w:val="20"/>
        </w:rPr>
        <w:t>tví a pojišťovnictví</w:t>
      </w:r>
      <w:r>
        <w:rPr>
          <w:rFonts w:cs="Arial"/>
          <w:szCs w:val="20"/>
        </w:rPr>
        <w:t xml:space="preserve">, </w:t>
      </w:r>
      <w:r w:rsidRPr="00CA19A9">
        <w:rPr>
          <w:rFonts w:cs="Arial"/>
          <w:i/>
          <w:szCs w:val="20"/>
        </w:rPr>
        <w:t>informačních a komunikačních činností</w:t>
      </w:r>
      <w:r w:rsidR="00AB3F54">
        <w:rPr>
          <w:rFonts w:cs="Arial"/>
          <w:szCs w:val="20"/>
        </w:rPr>
        <w:t xml:space="preserve"> a </w:t>
      </w:r>
      <w:r w:rsidR="00AB3F54" w:rsidRPr="00CA19A9">
        <w:rPr>
          <w:rFonts w:cs="Arial"/>
          <w:i/>
          <w:szCs w:val="20"/>
        </w:rPr>
        <w:t>profesní, vědecké a technické činnosti</w:t>
      </w:r>
      <w:r w:rsidR="00AB3F54">
        <w:rPr>
          <w:rFonts w:cs="Arial"/>
          <w:szCs w:val="20"/>
        </w:rPr>
        <w:t>, tedy těmi podniky, které byly v oblasti vzdělávání zaměstnanců aktivnějšími.</w:t>
      </w:r>
      <w:r w:rsidR="00F07AA9">
        <w:rPr>
          <w:rFonts w:cs="Arial"/>
          <w:szCs w:val="20"/>
        </w:rPr>
        <w:t xml:space="preserve"> Relativně častými poskytovateli byly též </w:t>
      </w:r>
      <w:r w:rsidR="00F07AA9" w:rsidRPr="001115F3">
        <w:rPr>
          <w:rFonts w:cs="Arial"/>
          <w:b/>
          <w:i/>
          <w:szCs w:val="20"/>
        </w:rPr>
        <w:t>soukromé společnosti, které se na vzdělávání primárně nezamě</w:t>
      </w:r>
      <w:r w:rsidRPr="001115F3">
        <w:rPr>
          <w:rFonts w:cs="Arial"/>
          <w:b/>
          <w:i/>
          <w:szCs w:val="20"/>
        </w:rPr>
        <w:t>řovaly</w:t>
      </w:r>
      <w:r w:rsidR="00890637">
        <w:rPr>
          <w:rFonts w:cs="Arial"/>
          <w:szCs w:val="20"/>
        </w:rPr>
        <w:t xml:space="preserve"> (uvedlo je 1</w:t>
      </w:r>
      <w:r w:rsidR="00F07AA9">
        <w:rPr>
          <w:rFonts w:cs="Arial"/>
          <w:szCs w:val="20"/>
        </w:rPr>
        <w:t xml:space="preserve">8 % podniků). </w:t>
      </w:r>
      <w:r w:rsidR="00BF277F">
        <w:rPr>
          <w:rFonts w:cs="Arial"/>
          <w:szCs w:val="20"/>
        </w:rPr>
        <w:t>J</w:t>
      </w:r>
      <w:r w:rsidR="00EF0488">
        <w:rPr>
          <w:rFonts w:cs="Arial"/>
          <w:szCs w:val="20"/>
        </w:rPr>
        <w:t>iž o </w:t>
      </w:r>
      <w:r w:rsidR="00BF277F">
        <w:rPr>
          <w:rFonts w:cs="Arial"/>
          <w:szCs w:val="20"/>
        </w:rPr>
        <w:t>poz</w:t>
      </w:r>
      <w:r w:rsidR="00EF0488">
        <w:rPr>
          <w:rFonts w:cs="Arial"/>
          <w:szCs w:val="20"/>
        </w:rPr>
        <w:t>n</w:t>
      </w:r>
      <w:r w:rsidR="00BF277F">
        <w:rPr>
          <w:rFonts w:cs="Arial"/>
          <w:szCs w:val="20"/>
        </w:rPr>
        <w:t xml:space="preserve">ání menší podíl podniků </w:t>
      </w:r>
      <w:r w:rsidR="00BF277F">
        <w:rPr>
          <w:rFonts w:cs="Arial"/>
          <w:szCs w:val="20"/>
        </w:rPr>
        <w:lastRenderedPageBreak/>
        <w:t xml:space="preserve">využíval </w:t>
      </w:r>
      <w:r w:rsidR="00BF277F" w:rsidRPr="001115F3">
        <w:rPr>
          <w:rFonts w:cs="Arial"/>
          <w:b/>
          <w:i/>
          <w:szCs w:val="20"/>
        </w:rPr>
        <w:t>svazy zaměstnavatelů či obchodní a hospodářské komory</w:t>
      </w:r>
      <w:r w:rsidR="00890637">
        <w:rPr>
          <w:rFonts w:cs="Arial"/>
          <w:szCs w:val="20"/>
        </w:rPr>
        <w:t xml:space="preserve"> (5</w:t>
      </w:r>
      <w:r w:rsidR="00BF277F">
        <w:rPr>
          <w:rFonts w:cs="Arial"/>
          <w:szCs w:val="20"/>
        </w:rPr>
        <w:t xml:space="preserve"> %), přičemž čím více zaměstnanců podnik měl, tím se tak stávalo častěji. </w:t>
      </w:r>
      <w:r w:rsidR="00F07AA9">
        <w:rPr>
          <w:rFonts w:cs="Arial"/>
          <w:szCs w:val="20"/>
        </w:rPr>
        <w:t xml:space="preserve">Ostatní vyjmenované druhy poskytovatele již </w:t>
      </w:r>
      <w:r w:rsidR="00A73264">
        <w:rPr>
          <w:rFonts w:cs="Arial"/>
          <w:szCs w:val="20"/>
        </w:rPr>
        <w:t xml:space="preserve">za hlavní </w:t>
      </w:r>
      <w:r w:rsidR="00F07AA9">
        <w:rPr>
          <w:rFonts w:cs="Arial"/>
          <w:szCs w:val="20"/>
        </w:rPr>
        <w:t xml:space="preserve">volilo jen méně </w:t>
      </w:r>
      <w:r w:rsidR="00BF277F">
        <w:rPr>
          <w:rFonts w:cs="Arial"/>
          <w:szCs w:val="20"/>
        </w:rPr>
        <w:t xml:space="preserve">než 3 % </w:t>
      </w:r>
      <w:r w:rsidR="00F07AA9">
        <w:rPr>
          <w:rFonts w:cs="Arial"/>
          <w:szCs w:val="20"/>
        </w:rPr>
        <w:t>podniků zajišťujících e</w:t>
      </w:r>
      <w:r>
        <w:rPr>
          <w:rFonts w:cs="Arial"/>
          <w:szCs w:val="20"/>
        </w:rPr>
        <w:t>xterní kurzy/školení a 29 % jich</w:t>
      </w:r>
      <w:r w:rsidR="00F07AA9">
        <w:rPr>
          <w:rFonts w:cs="Arial"/>
          <w:szCs w:val="20"/>
        </w:rPr>
        <w:t xml:space="preserve"> uvedlo jiného </w:t>
      </w:r>
      <w:r w:rsidR="00A73264">
        <w:rPr>
          <w:rFonts w:cs="Arial"/>
          <w:szCs w:val="20"/>
        </w:rPr>
        <w:t xml:space="preserve">hlavního </w:t>
      </w:r>
      <w:r w:rsidR="00F07AA9">
        <w:rPr>
          <w:rFonts w:cs="Arial"/>
          <w:szCs w:val="20"/>
        </w:rPr>
        <w:t xml:space="preserve">poskytovatele, než bylo uvedeno v nabídce. </w:t>
      </w:r>
    </w:p>
    <w:p w14:paraId="4976812A" w14:textId="736108B1" w:rsidR="00C87D2F" w:rsidRDefault="00F07AA9" w:rsidP="00A67C12">
      <w:pPr>
        <w:spacing w:after="120"/>
        <w:jc w:val="both"/>
        <w:rPr>
          <w:rFonts w:cs="Arial"/>
          <w:szCs w:val="20"/>
        </w:rPr>
      </w:pPr>
      <w:r>
        <w:rPr>
          <w:rFonts w:cs="Arial"/>
          <w:szCs w:val="20"/>
        </w:rPr>
        <w:t xml:space="preserve">Pokud jde o </w:t>
      </w:r>
      <w:r w:rsidRPr="00CA19A9">
        <w:rPr>
          <w:rFonts w:cs="Arial"/>
          <w:b/>
          <w:i/>
          <w:szCs w:val="20"/>
        </w:rPr>
        <w:t>veřejné poskytovatele</w:t>
      </w:r>
      <w:r>
        <w:rPr>
          <w:rFonts w:cs="Arial"/>
          <w:szCs w:val="20"/>
        </w:rPr>
        <w:t xml:space="preserve">, pak instituce školního vzdělávání nejvíce využívaly podniky z oblasti </w:t>
      </w:r>
      <w:r w:rsidRPr="00CA19A9">
        <w:rPr>
          <w:rFonts w:cs="Arial"/>
          <w:i/>
          <w:szCs w:val="20"/>
        </w:rPr>
        <w:t xml:space="preserve">stavebnictví </w:t>
      </w:r>
      <w:r w:rsidR="00890637">
        <w:rPr>
          <w:rFonts w:cs="Arial"/>
          <w:szCs w:val="20"/>
        </w:rPr>
        <w:t>(5</w:t>
      </w:r>
      <w:r>
        <w:rPr>
          <w:rFonts w:cs="Arial"/>
          <w:szCs w:val="20"/>
        </w:rPr>
        <w:t xml:space="preserve"> %) a </w:t>
      </w:r>
      <w:r w:rsidRPr="00676CC8">
        <w:rPr>
          <w:rFonts w:cs="Arial"/>
          <w:i/>
          <w:szCs w:val="20"/>
        </w:rPr>
        <w:t>profesní, vědecké a technické činnosti</w:t>
      </w:r>
      <w:r>
        <w:rPr>
          <w:rFonts w:cs="Arial"/>
          <w:szCs w:val="20"/>
        </w:rPr>
        <w:t xml:space="preserve"> (3</w:t>
      </w:r>
      <w:r w:rsidR="00890637">
        <w:rPr>
          <w:rFonts w:cs="Arial"/>
          <w:szCs w:val="20"/>
        </w:rPr>
        <w:t xml:space="preserve"> </w:t>
      </w:r>
      <w:r>
        <w:rPr>
          <w:rFonts w:cs="Arial"/>
          <w:szCs w:val="20"/>
        </w:rPr>
        <w:t>%)</w:t>
      </w:r>
      <w:r w:rsidR="00FE6B6F">
        <w:rPr>
          <w:rFonts w:cs="Arial"/>
          <w:szCs w:val="20"/>
        </w:rPr>
        <w:t xml:space="preserve"> a </w:t>
      </w:r>
      <w:r w:rsidR="00FE6B6F" w:rsidRPr="00FE6B6F">
        <w:rPr>
          <w:rFonts w:cs="Arial"/>
          <w:i/>
          <w:szCs w:val="20"/>
        </w:rPr>
        <w:t>průmyslu</w:t>
      </w:r>
      <w:r w:rsidR="00FE6B6F">
        <w:rPr>
          <w:rFonts w:cs="Arial"/>
          <w:szCs w:val="20"/>
        </w:rPr>
        <w:t xml:space="preserve"> (3 %)</w:t>
      </w:r>
      <w:r>
        <w:rPr>
          <w:rFonts w:cs="Arial"/>
          <w:szCs w:val="20"/>
        </w:rPr>
        <w:t xml:space="preserve">, naopak mezi podniky v oblasti </w:t>
      </w:r>
      <w:r w:rsidRPr="00CA19A9">
        <w:rPr>
          <w:rFonts w:cs="Arial"/>
          <w:i/>
          <w:szCs w:val="20"/>
        </w:rPr>
        <w:t xml:space="preserve">kulturní, zábavní a rekreační činnosti </w:t>
      </w:r>
      <w:r w:rsidR="00A73264">
        <w:rPr>
          <w:rFonts w:cs="Arial"/>
          <w:szCs w:val="20"/>
        </w:rPr>
        <w:t>si je jako hlavního poskytovatele</w:t>
      </w:r>
      <w:r>
        <w:rPr>
          <w:rFonts w:cs="Arial"/>
          <w:szCs w:val="20"/>
        </w:rPr>
        <w:t xml:space="preserve"> nezvolil ani jeden </w:t>
      </w:r>
      <w:r w:rsidR="00890637">
        <w:rPr>
          <w:rFonts w:cs="Arial"/>
          <w:szCs w:val="20"/>
        </w:rPr>
        <w:t>podnik. Bylo zde však nevíce (6</w:t>
      </w:r>
      <w:r>
        <w:rPr>
          <w:rFonts w:cs="Arial"/>
          <w:szCs w:val="20"/>
        </w:rPr>
        <w:t xml:space="preserve"> %) podniků, které pro své zaměstnance zajišťovaly externí kurzy/školení ve státních či veřejných institucích zaměřených na vzdělávání dospělých. </w:t>
      </w:r>
    </w:p>
    <w:p w14:paraId="068501C1" w14:textId="7B23007E" w:rsidR="00C87D2F" w:rsidRDefault="00457EC5" w:rsidP="00457EC5">
      <w:pPr>
        <w:pStyle w:val="Nadpis2"/>
        <w:numPr>
          <w:ilvl w:val="1"/>
          <w:numId w:val="18"/>
        </w:numPr>
        <w:spacing w:after="120"/>
      </w:pPr>
      <w:bookmarkStart w:id="5" w:name="_Toc126664213"/>
      <w:r>
        <w:t xml:space="preserve">Plánování </w:t>
      </w:r>
      <w:r w:rsidR="00161CF1">
        <w:t xml:space="preserve">a vyhodnocování </w:t>
      </w:r>
      <w:r>
        <w:t xml:space="preserve">vzdělávání </w:t>
      </w:r>
      <w:r w:rsidR="00161CF1">
        <w:t xml:space="preserve">zaměstnanců </w:t>
      </w:r>
      <w:r>
        <w:t>v podnicích</w:t>
      </w:r>
      <w:bookmarkEnd w:id="5"/>
    </w:p>
    <w:p w14:paraId="08368414" w14:textId="798318C6" w:rsidR="00703AA4" w:rsidRPr="00AB775E" w:rsidRDefault="00161CF1" w:rsidP="00A67C12">
      <w:pPr>
        <w:spacing w:after="120"/>
        <w:jc w:val="both"/>
      </w:pPr>
      <w:r>
        <w:t>Kromě samotného</w:t>
      </w:r>
      <w:r w:rsidR="007F7251">
        <w:t xml:space="preserve"> zajišťování vzdělávání v roce 2020 lze přístup podniků ke vzdělávání sledovat skrze </w:t>
      </w:r>
      <w:r w:rsidR="00D83116">
        <w:t xml:space="preserve">organizaci práce či </w:t>
      </w:r>
      <w:r w:rsidR="007F7251">
        <w:t>mechanismy, které si podnik nastavuje.</w:t>
      </w:r>
      <w:r w:rsidR="00D83116">
        <w:t xml:space="preserve"> Podnik jednak může do různé míry a různými způsoby vzdělávání </w:t>
      </w:r>
      <w:r w:rsidR="00D83116" w:rsidRPr="00D40515">
        <w:rPr>
          <w:b/>
        </w:rPr>
        <w:t>plánovat</w:t>
      </w:r>
      <w:r w:rsidR="00D83116">
        <w:t>.</w:t>
      </w:r>
      <w:r w:rsidR="007F7251">
        <w:t xml:space="preserve"> </w:t>
      </w:r>
      <w:r w:rsidR="00D83116">
        <w:t>V šetření CVTS</w:t>
      </w:r>
      <w:r w:rsidR="00D63CB4">
        <w:t xml:space="preserve"> </w:t>
      </w:r>
      <w:r w:rsidR="00D83116">
        <w:t xml:space="preserve">podniky </w:t>
      </w:r>
      <w:r w:rsidR="0069309F">
        <w:t>odpovídaly</w:t>
      </w:r>
      <w:r w:rsidR="00D83116">
        <w:t xml:space="preserve"> na otázku, zda se vzdělávání v</w:t>
      </w:r>
      <w:r w:rsidR="0069309F">
        <w:t> podniku předem plánuje a zda byl</w:t>
      </w:r>
      <w:r w:rsidR="00D83116">
        <w:t xml:space="preserve"> příp. součástí plánování písemný vzděl</w:t>
      </w:r>
      <w:r w:rsidR="0069309F">
        <w:t>ávací plán či projekt. Dále byly</w:t>
      </w:r>
      <w:r w:rsidR="00D83116">
        <w:t xml:space="preserve"> podniky tázány, zda </w:t>
      </w:r>
      <w:r w:rsidR="00D83116" w:rsidRPr="00D83116">
        <w:t>má podnik osobu či útvar zodpovědný za zajišťování vzdělávání</w:t>
      </w:r>
      <w:r w:rsidR="00D83116">
        <w:t xml:space="preserve"> a zda</w:t>
      </w:r>
      <w:r w:rsidR="00D83116" w:rsidRPr="00D83116">
        <w:t xml:space="preserve"> </w:t>
      </w:r>
      <w:r w:rsidR="00D83116">
        <w:t>je téma poskytování vzdělávání součástí dohody s profesními či sociálními pa</w:t>
      </w:r>
      <w:r w:rsidR="0069309F">
        <w:t>rtnery. Co se plánování týče, bylo</w:t>
      </w:r>
      <w:r w:rsidR="00D83116">
        <w:t xml:space="preserve"> také zjišťováno, zda je při plánování rozpočtu v podnicích počítáno s financemi na vzdělávání. Podniky také mohou </w:t>
      </w:r>
      <w:r w:rsidR="00D83116" w:rsidRPr="00D40515">
        <w:rPr>
          <w:b/>
        </w:rPr>
        <w:t>vyhodnocovat</w:t>
      </w:r>
      <w:r w:rsidR="00D83116">
        <w:t xml:space="preserve">, zda a jaké potřeby vzdělávání zaměstnanci mají, následně různým způsobem přistoupit k řešení tohoto deficitu a </w:t>
      </w:r>
      <w:r w:rsidR="007F7251">
        <w:t xml:space="preserve"> </w:t>
      </w:r>
      <w:r w:rsidR="00D83116">
        <w:t xml:space="preserve">vyhodnocovat efektivitu vzdělávání, kterého se zaměstnanci účastnili. </w:t>
      </w:r>
      <w:r w:rsidR="00D40515">
        <w:t>Přitom jak do rozhodovacího, tak i hodnotícího procesu se mohou do různé míry zapojovat zástupci zaměstnanců.</w:t>
      </w:r>
      <w:r w:rsidR="00703AA4">
        <w:fldChar w:fldCharType="begin"/>
      </w:r>
      <w:r w:rsidR="00703AA4">
        <w:instrText xml:space="preserve"> LINK </w:instrText>
      </w:r>
      <w:r w:rsidR="00A73264">
        <w:instrText xml:space="preserve">Excel.Sheet.12 "D:\\kasparova3676\\Desktop\\CVTS_kontroly\\VZ_výstupní tabulky_vyplněné_grafy.xlsx" List2!R1C1:R21C8 </w:instrText>
      </w:r>
      <w:r w:rsidR="00703AA4">
        <w:instrText xml:space="preserve">\a \f 4 \h  \* MERGEFORMAT </w:instrText>
      </w:r>
      <w:r w:rsidR="00703AA4">
        <w:fldChar w:fldCharType="separate"/>
      </w:r>
    </w:p>
    <w:p w14:paraId="0257873E" w14:textId="44F9E9E4" w:rsidR="00703AA4" w:rsidRPr="00D63CB4" w:rsidRDefault="00703AA4" w:rsidP="0083509A">
      <w:pPr>
        <w:pStyle w:val="Nadpis3"/>
        <w:spacing w:after="120"/>
        <w:rPr>
          <w:rFonts w:cs="Arial"/>
          <w:szCs w:val="20"/>
        </w:rPr>
      </w:pPr>
      <w:r>
        <w:rPr>
          <w:rFonts w:cs="Arial"/>
          <w:szCs w:val="20"/>
        </w:rPr>
        <w:fldChar w:fldCharType="end"/>
      </w:r>
      <w:bookmarkStart w:id="6" w:name="_Toc126664214"/>
      <w:r w:rsidR="00D63CB4" w:rsidRPr="009B0ADC">
        <w:t xml:space="preserve">Systém plánování </w:t>
      </w:r>
      <w:r w:rsidR="00EB67EF">
        <w:t xml:space="preserve"> a rozhodování o </w:t>
      </w:r>
      <w:r w:rsidR="00D63CB4" w:rsidRPr="009B0ADC">
        <w:t>vzdělávání v podnicích</w:t>
      </w:r>
      <w:bookmarkEnd w:id="6"/>
      <w:r>
        <w:fldChar w:fldCharType="begin"/>
      </w:r>
      <w:r>
        <w:instrText xml:space="preserve"> LINK </w:instrText>
      </w:r>
      <w:r w:rsidR="00A73264">
        <w:instrText xml:space="preserve">Excel.Sheet.12 "D:\\kasparova3676\\Desktop\\CVTS_kontroly\\VZ_výstupní tabulky_vyplněné_grafy.xlsx" List2!R1C1:R21C8 </w:instrText>
      </w:r>
      <w:r>
        <w:instrText xml:space="preserve">\a \f 4 \h  \* MERGEFORMAT </w:instrText>
      </w:r>
      <w:r>
        <w:fldChar w:fldCharType="separate"/>
      </w:r>
    </w:p>
    <w:p w14:paraId="6F38AD4F" w14:textId="54841302" w:rsidR="00FA2FCB" w:rsidRDefault="00703AA4" w:rsidP="00A67C12">
      <w:pPr>
        <w:spacing w:after="120"/>
        <w:jc w:val="both"/>
        <w:rPr>
          <w:rFonts w:cs="Arial"/>
          <w:szCs w:val="20"/>
        </w:rPr>
      </w:pPr>
      <w:r>
        <w:rPr>
          <w:rFonts w:cs="Arial"/>
          <w:szCs w:val="20"/>
        </w:rPr>
        <w:fldChar w:fldCharType="end"/>
      </w:r>
      <w:r w:rsidR="00AB775E">
        <w:rPr>
          <w:rFonts w:cs="Arial"/>
          <w:szCs w:val="20"/>
        </w:rPr>
        <w:t xml:space="preserve">Celkem polovina </w:t>
      </w:r>
      <w:r w:rsidR="00983F17">
        <w:rPr>
          <w:rFonts w:cs="Arial"/>
          <w:szCs w:val="20"/>
        </w:rPr>
        <w:t xml:space="preserve">všech </w:t>
      </w:r>
      <w:r w:rsidR="00AB775E">
        <w:rPr>
          <w:rFonts w:cs="Arial"/>
          <w:szCs w:val="20"/>
        </w:rPr>
        <w:t>podniků v roce 2</w:t>
      </w:r>
      <w:r w:rsidR="00965E09">
        <w:rPr>
          <w:rFonts w:cs="Arial"/>
          <w:szCs w:val="20"/>
        </w:rPr>
        <w:t xml:space="preserve">020 uvedla, že </w:t>
      </w:r>
      <w:r w:rsidR="00965E09" w:rsidRPr="00965E09">
        <w:rPr>
          <w:rFonts w:cs="Arial"/>
          <w:b/>
          <w:szCs w:val="20"/>
        </w:rPr>
        <w:t xml:space="preserve">se u </w:t>
      </w:r>
      <w:r w:rsidR="00AB775E" w:rsidRPr="00965E09">
        <w:rPr>
          <w:rFonts w:cs="Arial"/>
          <w:b/>
          <w:szCs w:val="20"/>
        </w:rPr>
        <w:t xml:space="preserve">nich </w:t>
      </w:r>
      <w:r w:rsidR="00695C83">
        <w:rPr>
          <w:rFonts w:cs="Arial"/>
          <w:b/>
          <w:szCs w:val="20"/>
        </w:rPr>
        <w:t xml:space="preserve">vzdělávání </w:t>
      </w:r>
      <w:r w:rsidR="00AB775E" w:rsidRPr="00965E09">
        <w:rPr>
          <w:rFonts w:cs="Arial"/>
          <w:b/>
          <w:szCs w:val="20"/>
        </w:rPr>
        <w:t>plánuje předem</w:t>
      </w:r>
      <w:r w:rsidR="00983F17">
        <w:rPr>
          <w:rFonts w:cs="Arial"/>
          <w:b/>
          <w:szCs w:val="20"/>
        </w:rPr>
        <w:t>,</w:t>
      </w:r>
      <w:r w:rsidR="00AB775E">
        <w:rPr>
          <w:rFonts w:cs="Arial"/>
          <w:szCs w:val="20"/>
        </w:rPr>
        <w:t xml:space="preserve"> a jen pětina </w:t>
      </w:r>
      <w:r w:rsidR="00B206E0">
        <w:rPr>
          <w:rFonts w:cs="Arial"/>
          <w:szCs w:val="20"/>
        </w:rPr>
        <w:t>všech podniků</w:t>
      </w:r>
      <w:r w:rsidR="00AB775E">
        <w:rPr>
          <w:rFonts w:cs="Arial"/>
          <w:szCs w:val="20"/>
        </w:rPr>
        <w:t xml:space="preserve"> </w:t>
      </w:r>
      <w:r w:rsidR="00695C83">
        <w:rPr>
          <w:rFonts w:cs="Arial"/>
          <w:szCs w:val="20"/>
        </w:rPr>
        <w:t>sdělila</w:t>
      </w:r>
      <w:r w:rsidR="00AB775E">
        <w:rPr>
          <w:rFonts w:cs="Arial"/>
          <w:szCs w:val="20"/>
        </w:rPr>
        <w:t>, že předem plánované vzdělávání zahrnuje písemný vzdělávací plán či projekt.</w:t>
      </w:r>
    </w:p>
    <w:p w14:paraId="1DF6E83F" w14:textId="3BEF2FFE" w:rsidR="00AB775E" w:rsidRPr="00983F17" w:rsidRDefault="00AB775E" w:rsidP="0015028C">
      <w:pPr>
        <w:spacing w:after="0"/>
        <w:jc w:val="both"/>
        <w:rPr>
          <w:rFonts w:cs="Arial"/>
          <w:szCs w:val="20"/>
        </w:rPr>
      </w:pPr>
      <w:r w:rsidRPr="00AB775E">
        <w:rPr>
          <w:rFonts w:cs="Arial"/>
          <w:b/>
          <w:szCs w:val="20"/>
        </w:rPr>
        <w:t>G</w:t>
      </w:r>
      <w:r>
        <w:rPr>
          <w:rFonts w:cs="Arial"/>
          <w:b/>
          <w:szCs w:val="20"/>
        </w:rPr>
        <w:t xml:space="preserve">raf </w:t>
      </w:r>
      <w:r w:rsidR="00614C13">
        <w:rPr>
          <w:rFonts w:cs="Arial"/>
          <w:b/>
          <w:szCs w:val="20"/>
        </w:rPr>
        <w:t>1.</w:t>
      </w:r>
      <w:r>
        <w:rPr>
          <w:rFonts w:cs="Arial"/>
          <w:b/>
          <w:szCs w:val="20"/>
        </w:rPr>
        <w:t>4</w:t>
      </w:r>
      <w:r w:rsidRPr="00AB775E">
        <w:rPr>
          <w:rFonts w:cs="Arial"/>
          <w:b/>
          <w:szCs w:val="20"/>
        </w:rPr>
        <w:t xml:space="preserve"> </w:t>
      </w:r>
      <w:r w:rsidR="0015028C" w:rsidRPr="0015028C">
        <w:rPr>
          <w:rFonts w:cs="Arial"/>
          <w:b/>
          <w:szCs w:val="20"/>
        </w:rPr>
        <w:t>Podniky plánující předem vzdělávání pro své zaměstnance, 2020</w:t>
      </w:r>
      <w:r w:rsidR="00983F17">
        <w:rPr>
          <w:rFonts w:cs="Arial"/>
          <w:b/>
          <w:szCs w:val="20"/>
        </w:rPr>
        <w:t xml:space="preserve"> </w:t>
      </w:r>
      <w:r w:rsidR="00983F17" w:rsidRPr="00983F17">
        <w:rPr>
          <w:rFonts w:cs="Arial"/>
          <w:szCs w:val="20"/>
        </w:rPr>
        <w:t>(v % ze všech podniků)</w:t>
      </w:r>
    </w:p>
    <w:p w14:paraId="51966150" w14:textId="0B4AD5FE" w:rsidR="00AB775E" w:rsidRPr="0015028C" w:rsidRDefault="005A53F8" w:rsidP="00983F17">
      <w:pPr>
        <w:spacing w:after="0"/>
        <w:jc w:val="both"/>
        <w:rPr>
          <w:rFonts w:cs="Arial"/>
          <w:b/>
          <w:szCs w:val="20"/>
        </w:rPr>
      </w:pPr>
      <w:r>
        <w:rPr>
          <w:noProof/>
        </w:rPr>
        <mc:AlternateContent>
          <mc:Choice Requires="wps">
            <w:drawing>
              <wp:anchor distT="0" distB="0" distL="114300" distR="114300" simplePos="0" relativeHeight="251661312" behindDoc="0" locked="0" layoutInCell="1" allowOverlap="1" wp14:anchorId="6C80DCFC" wp14:editId="1B558925">
                <wp:simplePos x="0" y="0"/>
                <wp:positionH relativeFrom="column">
                  <wp:posOffset>1537335</wp:posOffset>
                </wp:positionH>
                <wp:positionV relativeFrom="paragraph">
                  <wp:posOffset>1278255</wp:posOffset>
                </wp:positionV>
                <wp:extent cx="593710" cy="152400"/>
                <wp:effectExtent l="57150" t="19050" r="54610" b="95250"/>
                <wp:wrapNone/>
                <wp:docPr id="31" name="Zaoblený obdélník 5"/>
                <wp:cNvGraphicFramePr/>
                <a:graphic xmlns:a="http://schemas.openxmlformats.org/drawingml/2006/main">
                  <a:graphicData uri="http://schemas.microsoft.com/office/word/2010/wordprocessingShape">
                    <wps:wsp>
                      <wps:cNvSpPr/>
                      <wps:spPr>
                        <a:xfrm>
                          <a:off x="0" y="0"/>
                          <a:ext cx="593710" cy="152400"/>
                        </a:xfrm>
                        <a:prstGeom prst="roundRect">
                          <a:avLst/>
                        </a:prstGeom>
                        <a:solidFill>
                          <a:schemeClr val="bg1">
                            <a:lumMod val="50000"/>
                            <a:alpha val="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5C919" id="Zaoblený obdélník 5" o:spid="_x0000_s1026" style="position:absolute;margin-left:121.05pt;margin-top:100.65pt;width:46.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LogIAAMMFAAAOAAAAZHJzL2Uyb0RvYy54bWysVNtOGzEQfa/Uf7D83mw2JKVEbFAESlWJ&#10;UgRUSH1zvHZ2Vdvj2s6NP+pDP6FP/FjH3guU3iTUPGw8nsuZOZ6Z45OdVmQjnK/BFDQfDCkRhkNZ&#10;m1VBP94sXr2hxAdmSqbAiILuhacns5cvjrd2KkZQgSqFIxjE+OnWFrQKwU6zzPNKaOYHYIVBpQSn&#10;WUDRrbLSsS1G1yobDYevsy240jrgwnu8PWuUdJbiSyl4+CClF4GogmJuIX1d+i7jN5sds+nKMVvV&#10;vE2DPSMLzWqDoH2oMxYYWbv6l1C65g48yDDgoDOQsuYi1YDV5MMn1VxXzIpUC5LjbU+T/39h+cXm&#10;0pG6LOhBTolhGt/oE4OlEub+O4Flef9Vmftvn8kkUrW1fooe1/bStZLHY6x7J52O/1gR2SV69z29&#10;YhcIx8vJ0cFhjo/AUZVPRuNhoj97cLbOh7cCNImHgjpYm/IKnzAxyzbnPiAq2nd2EdCDqstFrVQS&#10;YtuIU+XIhuGDL1d5clVr/R7K5m4yxF/z7EzZijW3XSap72KAhPNTbGWeA3cY8SIcpv3H4KiL0bNI&#10;b0NoOoW9EhFTmSsh8Y2QwqaePlCTPONcmJC3KMk6ukkkpXc8SET81bG1j64iTU7vPPq3c++RkMGE&#10;3lnXBtzvAqg+ZdnYdww0dUcKllDusT0dNHPrLV/U2BrnzIdL5nBQsZtw+aC2AndHyRYHuaD+y5o5&#10;QYl6Z3BSjvLxOE5+EsaTwxEK7rFm+Vhj1voUsHVwGBAtHaN9UN1ROtC3uHPmERVVzHDELigPrhNO&#10;Q7NgcGtxMZ8nM5x2y8K5uba8e8XYxTe7W+Zs2+8BB+UCuqFn0ycd39hGfg3M1wFkncbhgaeWP9wU&#10;qd3arRZX0WM5WT3s3tkPAAAA//8DAFBLAwQUAAYACAAAACEAVixZ6eAAAAALAQAADwAAAGRycy9k&#10;b3ducmV2LnhtbEyPy07DMBBF90j8gzVIbBB1Hn0pxKkQUheFRaHtBzjxkITE4yh22/D3DCvYzePo&#10;zpl8M9leXHD0rSMF8SwCgVQ501Kt4HTcPq5B+KDJ6N4RKvhGD5vi9ibXmXFX+sDLIdSCQ8hnWkET&#10;wpBJ6asGrfYzNyDx7tONVgdux1qaUV853PYyiaKltLolvtDoAV8arLrD2Sp4IJq/76tu+Fptd687&#10;35WreP2m1P3d9PwEIuAU/mD41Wd1KNipdGcyXvQKknkSM8pFFKcgmEjTxRJEyZNkkYIscvn/h+IH&#10;AAD//wMAUEsBAi0AFAAGAAgAAAAhALaDOJL+AAAA4QEAABMAAAAAAAAAAAAAAAAAAAAAAFtDb250&#10;ZW50X1R5cGVzXS54bWxQSwECLQAUAAYACAAAACEAOP0h/9YAAACUAQAACwAAAAAAAAAAAAAAAAAv&#10;AQAAX3JlbHMvLnJlbHNQSwECLQAUAAYACAAAACEAkvz/C6ICAADDBQAADgAAAAAAAAAAAAAAAAAu&#10;AgAAZHJzL2Uyb0RvYy54bWxQSwECLQAUAAYACAAAACEAVixZ6eAAAAALAQAADwAAAAAAAAAAAAAA&#10;AAD8BAAAZHJzL2Rvd25yZXYueG1sUEsFBgAAAAAEAAQA8wAAAAkGAAAAAA==&#10;" fillcolor="#7f7f7f [1612]" strokecolor="#bfbfbf [2412]">
                <v:fill opacity="0"/>
                <v:shadow on="t" color="black" opacity="22937f" origin=",.5" offset="0,.63889mm"/>
              </v:roundrect>
            </w:pict>
          </mc:Fallback>
        </mc:AlternateContent>
      </w:r>
      <w:r>
        <w:rPr>
          <w:noProof/>
        </w:rPr>
        <w:drawing>
          <wp:inline distT="0" distB="0" distL="0" distR="0" wp14:anchorId="08781082" wp14:editId="6FDE3832">
            <wp:extent cx="6153150" cy="4048125"/>
            <wp:effectExtent l="0" t="0" r="0" b="952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3842A7" w14:textId="02D141B8" w:rsidR="00665701" w:rsidRPr="00E66D13" w:rsidRDefault="00E66D13" w:rsidP="00E66D13">
      <w:pPr>
        <w:spacing w:before="120" w:after="120"/>
        <w:jc w:val="right"/>
        <w:rPr>
          <w:szCs w:val="20"/>
        </w:rPr>
      </w:pPr>
      <w:r w:rsidRPr="003D1467">
        <w:rPr>
          <w:szCs w:val="20"/>
        </w:rPr>
        <w:lastRenderedPageBreak/>
        <w:t>Zdroj: ČSÚ</w:t>
      </w:r>
    </w:p>
    <w:bookmarkEnd w:id="0"/>
    <w:p w14:paraId="276130FA" w14:textId="5D92D287" w:rsidR="000779B9" w:rsidRDefault="00FA74C5" w:rsidP="00D8357D">
      <w:pPr>
        <w:spacing w:after="120"/>
        <w:jc w:val="both"/>
        <w:rPr>
          <w:rFonts w:cs="Arial"/>
          <w:szCs w:val="20"/>
        </w:rPr>
      </w:pPr>
      <w:r>
        <w:rPr>
          <w:rFonts w:cs="Arial"/>
          <w:szCs w:val="20"/>
        </w:rPr>
        <w:t>Značné</w:t>
      </w:r>
      <w:r w:rsidR="00653FB4">
        <w:rPr>
          <w:rFonts w:cs="Arial"/>
          <w:szCs w:val="20"/>
        </w:rPr>
        <w:t xml:space="preserve"> rozdíly najdeme </w:t>
      </w:r>
      <w:r w:rsidR="00653FB4" w:rsidRPr="00514267">
        <w:rPr>
          <w:rFonts w:cs="Arial"/>
          <w:b/>
          <w:i/>
          <w:szCs w:val="20"/>
        </w:rPr>
        <w:t>mezi velkými a malými podniky</w:t>
      </w:r>
      <w:r w:rsidR="00653FB4">
        <w:rPr>
          <w:rFonts w:cs="Arial"/>
          <w:szCs w:val="20"/>
        </w:rPr>
        <w:t>. Vzdělávání v roce 2020 plánovaly jen dvě pětiny podniků s 10</w:t>
      </w:r>
      <w:r w:rsidR="00695C83">
        <w:rPr>
          <w:rFonts w:cs="Arial"/>
          <w:szCs w:val="20"/>
        </w:rPr>
        <w:t>–</w:t>
      </w:r>
      <w:r w:rsidR="00653FB4">
        <w:rPr>
          <w:rFonts w:cs="Arial"/>
          <w:szCs w:val="20"/>
        </w:rPr>
        <w:t>19 zaměstnanci a jen desetina jich vytvářela vzdělávací plán či projekt. Oproti tomu mezi podniky s 250 a více zaměstnanci byl</w:t>
      </w:r>
      <w:r w:rsidR="00F82643">
        <w:rPr>
          <w:rFonts w:cs="Arial"/>
          <w:szCs w:val="20"/>
        </w:rPr>
        <w:t>o vzdělávání plánujících 91 %</w:t>
      </w:r>
      <w:r w:rsidR="00653FB4">
        <w:rPr>
          <w:rFonts w:cs="Arial"/>
          <w:szCs w:val="20"/>
        </w:rPr>
        <w:t xml:space="preserve"> a tři čtvrtiny jich dokonce vytvářely vzdělávací plán či projekt. Poměrně výrazné jsou také rozdíly mezi </w:t>
      </w:r>
      <w:r w:rsidR="0005201B">
        <w:rPr>
          <w:rFonts w:cs="Arial"/>
          <w:szCs w:val="20"/>
        </w:rPr>
        <w:t xml:space="preserve">podniky </w:t>
      </w:r>
      <w:r w:rsidR="00EE720E">
        <w:rPr>
          <w:rFonts w:cs="Arial"/>
          <w:b/>
          <w:i/>
          <w:szCs w:val="20"/>
        </w:rPr>
        <w:t>domácími</w:t>
      </w:r>
      <w:r w:rsidR="0005201B" w:rsidRPr="00514267">
        <w:rPr>
          <w:rFonts w:cs="Arial"/>
          <w:b/>
          <w:i/>
          <w:szCs w:val="20"/>
        </w:rPr>
        <w:t xml:space="preserve"> a podniky</w:t>
      </w:r>
      <w:r w:rsidR="00EE720E">
        <w:rPr>
          <w:rFonts w:cs="Arial"/>
          <w:b/>
          <w:i/>
          <w:szCs w:val="20"/>
        </w:rPr>
        <w:t xml:space="preserve"> pod</w:t>
      </w:r>
      <w:r w:rsidR="0005201B" w:rsidRPr="00514267">
        <w:rPr>
          <w:rFonts w:cs="Arial"/>
          <w:b/>
          <w:i/>
          <w:szCs w:val="20"/>
        </w:rPr>
        <w:t xml:space="preserve"> zahraniční</w:t>
      </w:r>
      <w:r w:rsidR="00EE720E">
        <w:rPr>
          <w:rFonts w:cs="Arial"/>
          <w:b/>
          <w:i/>
          <w:szCs w:val="20"/>
        </w:rPr>
        <w:t xml:space="preserve"> kontrolou</w:t>
      </w:r>
      <w:r w:rsidR="0005201B">
        <w:rPr>
          <w:rFonts w:cs="Arial"/>
          <w:szCs w:val="20"/>
        </w:rPr>
        <w:t>. Zahraniční podniky m</w:t>
      </w:r>
      <w:r w:rsidR="007F43D7">
        <w:rPr>
          <w:rFonts w:cs="Arial"/>
          <w:szCs w:val="20"/>
        </w:rPr>
        <w:t>nohem častěji vzdělávání plánovaly</w:t>
      </w:r>
      <w:r w:rsidR="0005201B">
        <w:rPr>
          <w:rFonts w:cs="Arial"/>
          <w:szCs w:val="20"/>
        </w:rPr>
        <w:t xml:space="preserve"> (74 % o</w:t>
      </w:r>
      <w:r w:rsidR="00890637">
        <w:rPr>
          <w:rFonts w:cs="Arial"/>
          <w:szCs w:val="20"/>
        </w:rPr>
        <w:t>proti 4</w:t>
      </w:r>
      <w:r w:rsidR="007F43D7">
        <w:rPr>
          <w:rFonts w:cs="Arial"/>
          <w:szCs w:val="20"/>
        </w:rPr>
        <w:t>6 %), jakož i vytvářely</w:t>
      </w:r>
      <w:r w:rsidR="0005201B">
        <w:rPr>
          <w:rFonts w:cs="Arial"/>
          <w:szCs w:val="20"/>
        </w:rPr>
        <w:t xml:space="preserve"> písemný </w:t>
      </w:r>
      <w:r w:rsidR="00890637">
        <w:rPr>
          <w:rFonts w:cs="Arial"/>
          <w:szCs w:val="20"/>
        </w:rPr>
        <w:t>vzdělávací plán či projekt (45 % oproti 1</w:t>
      </w:r>
      <w:r w:rsidR="0005201B">
        <w:rPr>
          <w:rFonts w:cs="Arial"/>
          <w:szCs w:val="20"/>
        </w:rPr>
        <w:t xml:space="preserve">7 %). Pokud jde o dělení dle </w:t>
      </w:r>
      <w:r w:rsidR="0005201B" w:rsidRPr="00514267">
        <w:rPr>
          <w:rFonts w:cs="Arial"/>
          <w:b/>
          <w:i/>
          <w:szCs w:val="20"/>
        </w:rPr>
        <w:t>převažující ekonomické činnosti</w:t>
      </w:r>
      <w:r w:rsidR="0005201B">
        <w:rPr>
          <w:rFonts w:cs="Arial"/>
          <w:szCs w:val="20"/>
        </w:rPr>
        <w:t>, pak vzdělávání plánovala nadpoloviční většina podniků působících v</w:t>
      </w:r>
      <w:r w:rsidR="004B7046">
        <w:rPr>
          <w:rFonts w:cs="Arial"/>
          <w:szCs w:val="20"/>
        </w:rPr>
        <w:t> </w:t>
      </w:r>
      <w:r w:rsidR="0005201B">
        <w:rPr>
          <w:rFonts w:cs="Arial"/>
          <w:szCs w:val="20"/>
        </w:rPr>
        <w:t>oblasti</w:t>
      </w:r>
      <w:r w:rsidR="00890637">
        <w:rPr>
          <w:rFonts w:cs="Arial"/>
          <w:szCs w:val="20"/>
        </w:rPr>
        <w:t xml:space="preserve"> obchodu (51</w:t>
      </w:r>
      <w:r w:rsidR="004B7046">
        <w:rPr>
          <w:rFonts w:cs="Arial"/>
          <w:szCs w:val="20"/>
        </w:rPr>
        <w:t> %),</w:t>
      </w:r>
      <w:r w:rsidR="0005201B">
        <w:rPr>
          <w:rFonts w:cs="Arial"/>
          <w:szCs w:val="20"/>
        </w:rPr>
        <w:t xml:space="preserve"> </w:t>
      </w:r>
      <w:r w:rsidR="0005201B" w:rsidRPr="00514267">
        <w:rPr>
          <w:rFonts w:cs="Arial"/>
          <w:i/>
          <w:szCs w:val="20"/>
        </w:rPr>
        <w:t>profesní, vědecké a technické činnosti</w:t>
      </w:r>
      <w:r w:rsidR="00890637">
        <w:rPr>
          <w:rFonts w:cs="Arial"/>
          <w:szCs w:val="20"/>
        </w:rPr>
        <w:t xml:space="preserve"> (53</w:t>
      </w:r>
      <w:r w:rsidR="0005201B">
        <w:rPr>
          <w:rFonts w:cs="Arial"/>
          <w:szCs w:val="20"/>
        </w:rPr>
        <w:t xml:space="preserve"> %), </w:t>
      </w:r>
      <w:r w:rsidR="0005201B" w:rsidRPr="00514267">
        <w:rPr>
          <w:rFonts w:cs="Arial"/>
          <w:i/>
          <w:szCs w:val="20"/>
        </w:rPr>
        <w:t>průmyslu</w:t>
      </w:r>
      <w:r w:rsidR="00890637">
        <w:rPr>
          <w:rFonts w:cs="Arial"/>
          <w:szCs w:val="20"/>
        </w:rPr>
        <w:t xml:space="preserve"> (54</w:t>
      </w:r>
      <w:r w:rsidR="0005201B">
        <w:rPr>
          <w:rFonts w:cs="Arial"/>
          <w:szCs w:val="20"/>
        </w:rPr>
        <w:t xml:space="preserve"> %), </w:t>
      </w:r>
      <w:r w:rsidR="007F43D7" w:rsidRPr="00514267">
        <w:rPr>
          <w:rFonts w:cs="Arial"/>
          <w:i/>
          <w:szCs w:val="20"/>
        </w:rPr>
        <w:t>informačních a komunikačních činností</w:t>
      </w:r>
      <w:r w:rsidR="00890637">
        <w:rPr>
          <w:rFonts w:cs="Arial"/>
          <w:szCs w:val="20"/>
        </w:rPr>
        <w:t xml:space="preserve"> (64</w:t>
      </w:r>
      <w:r w:rsidR="0005201B">
        <w:rPr>
          <w:rFonts w:cs="Arial"/>
          <w:szCs w:val="20"/>
        </w:rPr>
        <w:t> %</w:t>
      </w:r>
      <w:r w:rsidR="007F43D7">
        <w:rPr>
          <w:rFonts w:cs="Arial"/>
          <w:szCs w:val="20"/>
        </w:rPr>
        <w:t>)</w:t>
      </w:r>
      <w:r w:rsidR="0005201B">
        <w:rPr>
          <w:rFonts w:cs="Arial"/>
          <w:szCs w:val="20"/>
        </w:rPr>
        <w:t xml:space="preserve"> a </w:t>
      </w:r>
      <w:r w:rsidR="0005201B" w:rsidRPr="00514267">
        <w:rPr>
          <w:rFonts w:cs="Arial"/>
          <w:i/>
          <w:szCs w:val="20"/>
        </w:rPr>
        <w:t>peněžnictví a pojišťovnictví</w:t>
      </w:r>
      <w:r w:rsidR="00890637">
        <w:rPr>
          <w:rFonts w:cs="Arial"/>
          <w:szCs w:val="20"/>
        </w:rPr>
        <w:t xml:space="preserve"> (73</w:t>
      </w:r>
      <w:r w:rsidR="0005201B">
        <w:rPr>
          <w:rFonts w:cs="Arial"/>
          <w:szCs w:val="20"/>
        </w:rPr>
        <w:t xml:space="preserve"> %) a naopak méně než dvoupětinová skupina takových podniků byla mezi těmi působícími v oblasti </w:t>
      </w:r>
      <w:r w:rsidR="0005201B" w:rsidRPr="00514267">
        <w:rPr>
          <w:rFonts w:cs="Arial"/>
          <w:i/>
          <w:szCs w:val="20"/>
        </w:rPr>
        <w:t>nemovitostí a administrativy, podpůrných činností</w:t>
      </w:r>
      <w:r w:rsidR="00890637">
        <w:rPr>
          <w:rFonts w:cs="Arial"/>
          <w:szCs w:val="20"/>
        </w:rPr>
        <w:t xml:space="preserve"> (37</w:t>
      </w:r>
      <w:r w:rsidR="0005201B">
        <w:rPr>
          <w:rFonts w:cs="Arial"/>
          <w:szCs w:val="20"/>
        </w:rPr>
        <w:t xml:space="preserve"> %) a v oblasti </w:t>
      </w:r>
      <w:r w:rsidR="0005201B" w:rsidRPr="00514267">
        <w:rPr>
          <w:rFonts w:cs="Arial"/>
          <w:i/>
          <w:szCs w:val="20"/>
        </w:rPr>
        <w:t>ubytování, stravování a pohostinství</w:t>
      </w:r>
      <w:r w:rsidR="00890637">
        <w:rPr>
          <w:rFonts w:cs="Arial"/>
          <w:szCs w:val="20"/>
        </w:rPr>
        <w:t xml:space="preserve"> (39</w:t>
      </w:r>
      <w:r w:rsidR="0005201B">
        <w:rPr>
          <w:rFonts w:cs="Arial"/>
          <w:szCs w:val="20"/>
        </w:rPr>
        <w:t> %).</w:t>
      </w:r>
      <w:r w:rsidR="007F43D7">
        <w:rPr>
          <w:rFonts w:cs="Arial"/>
          <w:szCs w:val="20"/>
        </w:rPr>
        <w:t xml:space="preserve"> Písemný vzdělávací </w:t>
      </w:r>
      <w:r w:rsidR="004A7323">
        <w:rPr>
          <w:rFonts w:cs="Arial"/>
          <w:szCs w:val="20"/>
        </w:rPr>
        <w:t xml:space="preserve">plán či </w:t>
      </w:r>
      <w:r w:rsidR="007F43D7">
        <w:rPr>
          <w:rFonts w:cs="Arial"/>
          <w:szCs w:val="20"/>
        </w:rPr>
        <w:t xml:space="preserve">projekt zdaleka nejčastěji připravovaly podniky z odvětví </w:t>
      </w:r>
      <w:r w:rsidR="007F43D7" w:rsidRPr="00514267">
        <w:rPr>
          <w:rFonts w:cs="Arial"/>
          <w:i/>
          <w:szCs w:val="20"/>
        </w:rPr>
        <w:t>peněžnictví a pojišťovnictví</w:t>
      </w:r>
      <w:r w:rsidR="00890637">
        <w:rPr>
          <w:rFonts w:cs="Arial"/>
          <w:szCs w:val="20"/>
        </w:rPr>
        <w:t xml:space="preserve"> (39</w:t>
      </w:r>
      <w:r w:rsidR="007F43D7">
        <w:rPr>
          <w:rFonts w:cs="Arial"/>
          <w:szCs w:val="20"/>
        </w:rPr>
        <w:t xml:space="preserve"> %) a naopak jednoznačně nejméně často podniky z oblasti </w:t>
      </w:r>
      <w:r w:rsidR="007F43D7" w:rsidRPr="00514267">
        <w:rPr>
          <w:rFonts w:cs="Arial"/>
          <w:i/>
          <w:szCs w:val="20"/>
        </w:rPr>
        <w:t>kultury, zábavy a rekreace</w:t>
      </w:r>
      <w:r w:rsidR="00890637">
        <w:rPr>
          <w:rFonts w:cs="Arial"/>
          <w:szCs w:val="20"/>
        </w:rPr>
        <w:t xml:space="preserve"> (5</w:t>
      </w:r>
      <w:r w:rsidR="007F43D7">
        <w:rPr>
          <w:rFonts w:cs="Arial"/>
          <w:szCs w:val="20"/>
        </w:rPr>
        <w:t> % z nich).</w:t>
      </w:r>
    </w:p>
    <w:p w14:paraId="7DF417D2" w14:textId="493936DF" w:rsidR="00965E09" w:rsidRDefault="00965E09" w:rsidP="00D8357D">
      <w:pPr>
        <w:spacing w:after="120"/>
        <w:jc w:val="both"/>
        <w:rPr>
          <w:rFonts w:cs="Arial"/>
          <w:szCs w:val="20"/>
        </w:rPr>
      </w:pPr>
      <w:r w:rsidRPr="00F335F0">
        <w:rPr>
          <w:rFonts w:cs="Arial"/>
          <w:szCs w:val="20"/>
        </w:rPr>
        <w:t xml:space="preserve">Pro plánování vzdělávání, jakož i jeho zařizování, vyhodnocování apod., může mít podnik </w:t>
      </w:r>
      <w:r w:rsidRPr="00F335F0">
        <w:rPr>
          <w:rFonts w:cs="Arial"/>
          <w:b/>
          <w:szCs w:val="20"/>
        </w:rPr>
        <w:t>určený útvar či</w:t>
      </w:r>
      <w:r w:rsidRPr="00FD72FB">
        <w:rPr>
          <w:rFonts w:cs="Arial"/>
          <w:b/>
          <w:szCs w:val="20"/>
        </w:rPr>
        <w:t xml:space="preserve"> odpovědnou osobu</w:t>
      </w:r>
      <w:r>
        <w:rPr>
          <w:rFonts w:cs="Arial"/>
          <w:szCs w:val="20"/>
        </w:rPr>
        <w:t xml:space="preserve">. To platí zejména u </w:t>
      </w:r>
      <w:r w:rsidRPr="00514267">
        <w:rPr>
          <w:rFonts w:cs="Arial"/>
          <w:b/>
          <w:i/>
          <w:szCs w:val="20"/>
        </w:rPr>
        <w:t>velkých podniků</w:t>
      </w:r>
      <w:r>
        <w:rPr>
          <w:rFonts w:cs="Arial"/>
          <w:szCs w:val="20"/>
        </w:rPr>
        <w:t xml:space="preserve">, ve kterých je nutné dohlížet minimálně na plnění povinnosti </w:t>
      </w:r>
      <w:r w:rsidR="00FD72FB">
        <w:rPr>
          <w:rFonts w:cs="Arial"/>
          <w:szCs w:val="20"/>
        </w:rPr>
        <w:t xml:space="preserve">pravidelného </w:t>
      </w:r>
      <w:r>
        <w:rPr>
          <w:rFonts w:cs="Arial"/>
          <w:szCs w:val="20"/>
        </w:rPr>
        <w:t xml:space="preserve">vzdělávání </w:t>
      </w:r>
      <w:r w:rsidR="00FD72FB">
        <w:rPr>
          <w:rFonts w:cs="Arial"/>
          <w:szCs w:val="20"/>
        </w:rPr>
        <w:t xml:space="preserve">zaměstnanců </w:t>
      </w:r>
      <w:r>
        <w:rPr>
          <w:rFonts w:cs="Arial"/>
          <w:szCs w:val="20"/>
        </w:rPr>
        <w:t xml:space="preserve">v oblasti </w:t>
      </w:r>
      <w:r w:rsidR="00FD72FB">
        <w:rPr>
          <w:rFonts w:cs="Arial"/>
          <w:szCs w:val="20"/>
        </w:rPr>
        <w:t>o</w:t>
      </w:r>
      <w:r>
        <w:rPr>
          <w:rFonts w:cs="Arial"/>
          <w:szCs w:val="20"/>
        </w:rPr>
        <w:t xml:space="preserve">chrany </w:t>
      </w:r>
      <w:r w:rsidR="00FD72FB">
        <w:rPr>
          <w:rFonts w:cs="Arial"/>
          <w:szCs w:val="20"/>
        </w:rPr>
        <w:t xml:space="preserve">zdraví </w:t>
      </w:r>
      <w:r>
        <w:rPr>
          <w:rFonts w:cs="Arial"/>
          <w:szCs w:val="20"/>
        </w:rPr>
        <w:t xml:space="preserve">a </w:t>
      </w:r>
      <w:r w:rsidR="003A151B">
        <w:rPr>
          <w:rFonts w:cs="Arial"/>
          <w:szCs w:val="20"/>
        </w:rPr>
        <w:t>zajištění</w:t>
      </w:r>
      <w:r w:rsidR="00FD72FB">
        <w:rPr>
          <w:rFonts w:cs="Arial"/>
          <w:szCs w:val="20"/>
        </w:rPr>
        <w:t xml:space="preserve"> </w:t>
      </w:r>
      <w:r>
        <w:rPr>
          <w:rFonts w:cs="Arial"/>
          <w:szCs w:val="20"/>
        </w:rPr>
        <w:t>bezpečnosti při práci.</w:t>
      </w:r>
      <w:r w:rsidR="00FD72FB">
        <w:rPr>
          <w:rFonts w:cs="Arial"/>
          <w:szCs w:val="20"/>
        </w:rPr>
        <w:t xml:space="preserve"> Ve velkých podnicích </w:t>
      </w:r>
      <w:r w:rsidR="00597CB4">
        <w:rPr>
          <w:rFonts w:cs="Arial"/>
          <w:szCs w:val="20"/>
        </w:rPr>
        <w:t>navíc může být</w:t>
      </w:r>
      <w:r w:rsidR="00FD72FB">
        <w:rPr>
          <w:rFonts w:cs="Arial"/>
          <w:szCs w:val="20"/>
        </w:rPr>
        <w:t xml:space="preserve"> obtížnější identifikovat vzdělávací </w:t>
      </w:r>
      <w:r w:rsidR="00890637">
        <w:rPr>
          <w:rFonts w:cs="Arial"/>
          <w:szCs w:val="20"/>
        </w:rPr>
        <w:t>potřeby zaměstnanců. Celkem 38</w:t>
      </w:r>
      <w:r w:rsidR="00FD72FB">
        <w:rPr>
          <w:rFonts w:cs="Arial"/>
          <w:szCs w:val="20"/>
        </w:rPr>
        <w:t> % podniků mělo v roce 2020 určenou osobu či útvar odpovědný za organizaci vzdělávání zaměstnanců, přičemž u podniků s 10</w:t>
      </w:r>
      <w:r w:rsidR="00695C83" w:rsidRPr="00695C83">
        <w:rPr>
          <w:rFonts w:cs="Arial"/>
          <w:szCs w:val="20"/>
        </w:rPr>
        <w:t>–</w:t>
      </w:r>
      <w:r w:rsidR="00FD72FB">
        <w:rPr>
          <w:rFonts w:cs="Arial"/>
          <w:szCs w:val="20"/>
        </w:rPr>
        <w:t>19 zaměstnanci byl tento podíl jen 27 %, naopak u podn</w:t>
      </w:r>
      <w:r w:rsidR="003C43C9">
        <w:rPr>
          <w:rFonts w:cs="Arial"/>
          <w:szCs w:val="20"/>
        </w:rPr>
        <w:t>iků s 250 a více zaměstnanci 88</w:t>
      </w:r>
      <w:r w:rsidR="00FD72FB">
        <w:rPr>
          <w:rFonts w:cs="Arial"/>
          <w:szCs w:val="20"/>
        </w:rPr>
        <w:t> %.</w:t>
      </w:r>
      <w:r w:rsidR="00E5585A">
        <w:rPr>
          <w:rFonts w:cs="Arial"/>
          <w:szCs w:val="20"/>
        </w:rPr>
        <w:t xml:space="preserve"> Ve více než čtvrtině podniků s 250 a více zaměstnanci byl </w:t>
      </w:r>
      <w:r w:rsidR="0088296A">
        <w:rPr>
          <w:rFonts w:cs="Arial"/>
          <w:szCs w:val="20"/>
        </w:rPr>
        <w:t xml:space="preserve">zřízený </w:t>
      </w:r>
      <w:r w:rsidR="00E5585A">
        <w:rPr>
          <w:rFonts w:cs="Arial"/>
          <w:szCs w:val="20"/>
        </w:rPr>
        <w:t>útvar zabývajíc</w:t>
      </w:r>
      <w:r w:rsidR="003C43C9">
        <w:rPr>
          <w:rFonts w:cs="Arial"/>
          <w:szCs w:val="20"/>
        </w:rPr>
        <w:t>í se organizací vzdělávání (27</w:t>
      </w:r>
      <w:r w:rsidR="00E5585A">
        <w:rPr>
          <w:rFonts w:cs="Arial"/>
          <w:szCs w:val="20"/>
        </w:rPr>
        <w:t xml:space="preserve"> %), v méně než čtvrtině </w:t>
      </w:r>
      <w:r w:rsidR="00534355">
        <w:rPr>
          <w:rFonts w:cs="Arial"/>
          <w:szCs w:val="20"/>
        </w:rPr>
        <w:t xml:space="preserve">z těchto podniků </w:t>
      </w:r>
      <w:r w:rsidR="008D7892">
        <w:rPr>
          <w:rFonts w:cs="Arial"/>
          <w:szCs w:val="20"/>
        </w:rPr>
        <w:t>se tomu věnovala osoba</w:t>
      </w:r>
      <w:r w:rsidR="002B4ECE">
        <w:rPr>
          <w:rFonts w:cs="Arial"/>
          <w:szCs w:val="20"/>
        </w:rPr>
        <w:t>, jejíž</w:t>
      </w:r>
      <w:r w:rsidR="00E5585A">
        <w:rPr>
          <w:rFonts w:cs="Arial"/>
          <w:szCs w:val="20"/>
        </w:rPr>
        <w:t xml:space="preserve"> hlavní činnosti je zajišťování vzdělávání (23 %) a v téměř dvou pětinách pak </w:t>
      </w:r>
      <w:r w:rsidR="002B4ECE">
        <w:rPr>
          <w:rFonts w:cs="Arial"/>
          <w:szCs w:val="20"/>
        </w:rPr>
        <w:t>o</w:t>
      </w:r>
      <w:r w:rsidR="00E5585A">
        <w:rPr>
          <w:rFonts w:cs="Arial"/>
          <w:szCs w:val="20"/>
        </w:rPr>
        <w:t>soba, jejíž hla</w:t>
      </w:r>
      <w:r w:rsidR="003C43C9">
        <w:rPr>
          <w:rFonts w:cs="Arial"/>
          <w:szCs w:val="20"/>
        </w:rPr>
        <w:t>vní náplní je jiná činnost (38</w:t>
      </w:r>
      <w:r w:rsidR="00E5585A">
        <w:rPr>
          <w:rFonts w:cs="Arial"/>
          <w:szCs w:val="20"/>
        </w:rPr>
        <w:t> %).</w:t>
      </w:r>
    </w:p>
    <w:p w14:paraId="3F78F868" w14:textId="403D783F" w:rsidR="009340FD" w:rsidRPr="00983F17" w:rsidRDefault="00E5585A" w:rsidP="00D8357D">
      <w:pPr>
        <w:spacing w:after="120"/>
        <w:jc w:val="both"/>
        <w:rPr>
          <w:rFonts w:cs="Arial"/>
          <w:szCs w:val="20"/>
        </w:rPr>
      </w:pPr>
      <w:r w:rsidRPr="00E5585A">
        <w:rPr>
          <w:rFonts w:cs="Arial"/>
          <w:b/>
          <w:szCs w:val="20"/>
        </w:rPr>
        <w:t xml:space="preserve">Graf </w:t>
      </w:r>
      <w:r w:rsidR="00614C13">
        <w:rPr>
          <w:rFonts w:cs="Arial"/>
          <w:b/>
          <w:szCs w:val="20"/>
        </w:rPr>
        <w:t>1.</w:t>
      </w:r>
      <w:r w:rsidR="00983F17">
        <w:rPr>
          <w:rFonts w:cs="Arial"/>
          <w:b/>
          <w:szCs w:val="20"/>
        </w:rPr>
        <w:t>5 Podniky dle nositele zodpovědnosti za vzdělávání zaměstnanců</w:t>
      </w:r>
      <w:r w:rsidR="008C0D63">
        <w:rPr>
          <w:rFonts w:cs="Arial"/>
          <w:b/>
          <w:szCs w:val="20"/>
        </w:rPr>
        <w:t>, 2020</w:t>
      </w:r>
      <w:r w:rsidR="00983F17">
        <w:rPr>
          <w:rFonts w:cs="Arial"/>
          <w:b/>
          <w:szCs w:val="20"/>
        </w:rPr>
        <w:t xml:space="preserve"> </w:t>
      </w:r>
      <w:r w:rsidR="00983F17" w:rsidRPr="00983F17">
        <w:rPr>
          <w:rFonts w:cs="Arial"/>
          <w:szCs w:val="20"/>
        </w:rPr>
        <w:t>(v % ze všech podniků)</w:t>
      </w:r>
    </w:p>
    <w:p w14:paraId="60EC4E69" w14:textId="2A6CF054" w:rsidR="000D12AB" w:rsidRPr="00E5585A" w:rsidRDefault="000D12AB" w:rsidP="00D8357D">
      <w:pPr>
        <w:spacing w:after="120"/>
        <w:jc w:val="both"/>
        <w:rPr>
          <w:rFonts w:cs="Arial"/>
          <w:b/>
          <w:szCs w:val="20"/>
        </w:rPr>
      </w:pPr>
      <w:r>
        <w:rPr>
          <w:noProof/>
        </w:rPr>
        <w:drawing>
          <wp:inline distT="0" distB="0" distL="0" distR="0" wp14:anchorId="5717CFA9" wp14:editId="7171221B">
            <wp:extent cx="6120130" cy="4276725"/>
            <wp:effectExtent l="0" t="0" r="13970" b="952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5F5EC0" w14:textId="0DE4D7C6" w:rsidR="00E66D13" w:rsidRPr="00E66D13" w:rsidRDefault="00E66D13" w:rsidP="00E66D13">
      <w:pPr>
        <w:spacing w:before="120" w:after="120"/>
        <w:jc w:val="right"/>
        <w:rPr>
          <w:szCs w:val="20"/>
        </w:rPr>
      </w:pPr>
      <w:r w:rsidRPr="003D1467">
        <w:rPr>
          <w:szCs w:val="20"/>
        </w:rPr>
        <w:t>Zdroj: ČSÚ</w:t>
      </w:r>
    </w:p>
    <w:p w14:paraId="44B0F9C1" w14:textId="5C387F11" w:rsidR="00E5585A" w:rsidRDefault="00864945" w:rsidP="00D8357D">
      <w:pPr>
        <w:spacing w:after="120"/>
        <w:jc w:val="both"/>
        <w:rPr>
          <w:rFonts w:cs="Arial"/>
          <w:szCs w:val="20"/>
        </w:rPr>
      </w:pPr>
      <w:r>
        <w:rPr>
          <w:rFonts w:cs="Arial"/>
          <w:szCs w:val="20"/>
        </w:rPr>
        <w:lastRenderedPageBreak/>
        <w:t>Při zohlednění výsledků</w:t>
      </w:r>
      <w:r w:rsidR="00E5585A">
        <w:rPr>
          <w:rFonts w:cs="Arial"/>
          <w:szCs w:val="20"/>
        </w:rPr>
        <w:t xml:space="preserve"> </w:t>
      </w:r>
      <w:r>
        <w:rPr>
          <w:rFonts w:cs="Arial"/>
          <w:szCs w:val="20"/>
        </w:rPr>
        <w:t>v</w:t>
      </w:r>
      <w:r w:rsidR="00E5585A">
        <w:rPr>
          <w:rFonts w:cs="Arial"/>
          <w:szCs w:val="20"/>
        </w:rPr>
        <w:t xml:space="preserve"> kapitole 1.1 lze dále říci, že kategorie podniků, která </w:t>
      </w:r>
      <w:r w:rsidR="0001598A">
        <w:rPr>
          <w:rFonts w:cs="Arial"/>
          <w:szCs w:val="20"/>
        </w:rPr>
        <w:t>ve větší míře než jiná organizovala</w:t>
      </w:r>
      <w:r w:rsidR="00E5585A">
        <w:rPr>
          <w:rFonts w:cs="Arial"/>
          <w:szCs w:val="20"/>
        </w:rPr>
        <w:t xml:space="preserve"> vzdělávání pro své zaměstnan</w:t>
      </w:r>
      <w:r w:rsidR="0001598A">
        <w:rPr>
          <w:rFonts w:cs="Arial"/>
          <w:szCs w:val="20"/>
        </w:rPr>
        <w:t>ce, resp. vynakládala</w:t>
      </w:r>
      <w:r w:rsidR="00E5585A">
        <w:rPr>
          <w:rFonts w:cs="Arial"/>
          <w:szCs w:val="20"/>
        </w:rPr>
        <w:t xml:space="preserve"> na ně vyšší částky,</w:t>
      </w:r>
      <w:r w:rsidR="0001598A">
        <w:rPr>
          <w:rFonts w:cs="Arial"/>
          <w:szCs w:val="20"/>
        </w:rPr>
        <w:t xml:space="preserve"> mívala častěji odpovědný útvar či osobu za vzdělávání zaměstnanců. Jsou jimi jednak podniky </w:t>
      </w:r>
      <w:r w:rsidR="00DF3DE7" w:rsidRPr="00DF3DE7">
        <w:rPr>
          <w:rFonts w:cs="Arial"/>
          <w:b/>
          <w:i/>
          <w:szCs w:val="20"/>
        </w:rPr>
        <w:t>pod zahraniční kontrolou</w:t>
      </w:r>
      <w:r w:rsidR="0001598A">
        <w:rPr>
          <w:rFonts w:cs="Arial"/>
          <w:szCs w:val="20"/>
        </w:rPr>
        <w:t xml:space="preserve"> – dvě třetiny jich nějakou osobu či útvar pověřený zajišťováním vzdělávání měly oproti pouhé třetině </w:t>
      </w:r>
      <w:r w:rsidR="009C0C6B">
        <w:rPr>
          <w:rFonts w:cs="Arial"/>
          <w:szCs w:val="20"/>
        </w:rPr>
        <w:t>domácích</w:t>
      </w:r>
      <w:r w:rsidR="0001598A">
        <w:rPr>
          <w:rFonts w:cs="Arial"/>
          <w:szCs w:val="20"/>
        </w:rPr>
        <w:t xml:space="preserve"> podniků. Dále jsou jimi podniky </w:t>
      </w:r>
      <w:r w:rsidR="0001598A" w:rsidRPr="00514267">
        <w:rPr>
          <w:rFonts w:cs="Arial"/>
          <w:b/>
          <w:i/>
          <w:szCs w:val="20"/>
        </w:rPr>
        <w:t>s hlavní ekonomickou činností</w:t>
      </w:r>
      <w:r w:rsidR="008A75BC">
        <w:rPr>
          <w:rFonts w:cs="Arial"/>
          <w:szCs w:val="20"/>
        </w:rPr>
        <w:t xml:space="preserve"> </w:t>
      </w:r>
      <w:r w:rsidR="0001598A">
        <w:rPr>
          <w:rFonts w:cs="Arial"/>
          <w:szCs w:val="20"/>
        </w:rPr>
        <w:t xml:space="preserve">v oblasti </w:t>
      </w:r>
      <w:r w:rsidR="0001598A" w:rsidRPr="00514267">
        <w:rPr>
          <w:rFonts w:cs="Arial"/>
          <w:i/>
          <w:szCs w:val="20"/>
        </w:rPr>
        <w:t>peněžnictví a pojišťovnictví</w:t>
      </w:r>
      <w:r w:rsidR="0001598A">
        <w:rPr>
          <w:rFonts w:cs="Arial"/>
          <w:szCs w:val="20"/>
        </w:rPr>
        <w:t xml:space="preserve">, v oblasti </w:t>
      </w:r>
      <w:r w:rsidR="0001598A" w:rsidRPr="00514267">
        <w:rPr>
          <w:rFonts w:cs="Arial"/>
          <w:i/>
          <w:szCs w:val="20"/>
        </w:rPr>
        <w:t>informačních a komunikačních technologií</w:t>
      </w:r>
      <w:r w:rsidR="0001598A">
        <w:rPr>
          <w:rFonts w:cs="Arial"/>
          <w:szCs w:val="20"/>
        </w:rPr>
        <w:t xml:space="preserve"> a v oblasti </w:t>
      </w:r>
      <w:r w:rsidR="0001598A" w:rsidRPr="00514267">
        <w:rPr>
          <w:rFonts w:cs="Arial"/>
          <w:i/>
          <w:szCs w:val="20"/>
        </w:rPr>
        <w:t>profesních, vědeckých a technických činností</w:t>
      </w:r>
      <w:r w:rsidR="007539A9">
        <w:rPr>
          <w:rFonts w:cs="Arial"/>
          <w:szCs w:val="20"/>
        </w:rPr>
        <w:t xml:space="preserve"> </w:t>
      </w:r>
      <w:r w:rsidR="00C75C10">
        <w:rPr>
          <w:rFonts w:cs="Arial"/>
          <w:szCs w:val="20"/>
        </w:rPr>
        <w:t>–</w:t>
      </w:r>
      <w:r w:rsidR="007539A9">
        <w:rPr>
          <w:rFonts w:cs="Arial"/>
          <w:szCs w:val="20"/>
        </w:rPr>
        <w:t xml:space="preserve"> přibližně</w:t>
      </w:r>
      <w:r w:rsidR="0001598A">
        <w:rPr>
          <w:rFonts w:cs="Arial"/>
          <w:szCs w:val="20"/>
        </w:rPr>
        <w:t xml:space="preserve"> polovina až tři p</w:t>
      </w:r>
      <w:r w:rsidR="00FE6BA1">
        <w:rPr>
          <w:rFonts w:cs="Arial"/>
          <w:szCs w:val="20"/>
        </w:rPr>
        <w:t>ětiny podniků těchto tří oblastí</w:t>
      </w:r>
      <w:r w:rsidR="0001598A">
        <w:rPr>
          <w:rFonts w:cs="Arial"/>
          <w:szCs w:val="20"/>
        </w:rPr>
        <w:t xml:space="preserve"> osobou či útvarem pověřeným organizací vzdělávání zaměstnanců disponovala. Naopak mezi podniky zaměřenými na </w:t>
      </w:r>
      <w:r w:rsidR="0001598A" w:rsidRPr="00514267">
        <w:rPr>
          <w:rFonts w:cs="Arial"/>
          <w:i/>
          <w:szCs w:val="20"/>
        </w:rPr>
        <w:t>ubytování, stravování a pohostinství</w:t>
      </w:r>
      <w:r w:rsidR="0001598A">
        <w:rPr>
          <w:rFonts w:cs="Arial"/>
          <w:szCs w:val="20"/>
        </w:rPr>
        <w:t xml:space="preserve"> a na </w:t>
      </w:r>
      <w:r w:rsidR="0001598A" w:rsidRPr="00514267">
        <w:rPr>
          <w:rFonts w:cs="Arial"/>
          <w:i/>
          <w:szCs w:val="20"/>
        </w:rPr>
        <w:t>kulturní, zábavní a rekreační činnost</w:t>
      </w:r>
      <w:r w:rsidR="0001598A">
        <w:rPr>
          <w:rFonts w:cs="Arial"/>
          <w:szCs w:val="20"/>
        </w:rPr>
        <w:t xml:space="preserve"> byla </w:t>
      </w:r>
      <w:r w:rsidR="0088296A">
        <w:rPr>
          <w:rFonts w:cs="Arial"/>
          <w:szCs w:val="20"/>
        </w:rPr>
        <w:t xml:space="preserve">jen </w:t>
      </w:r>
      <w:r w:rsidR="0001598A">
        <w:rPr>
          <w:rFonts w:cs="Arial"/>
          <w:szCs w:val="20"/>
        </w:rPr>
        <w:t xml:space="preserve">cca čtvrtina těch, které </w:t>
      </w:r>
      <w:r w:rsidR="0088296A">
        <w:rPr>
          <w:rFonts w:cs="Arial"/>
          <w:szCs w:val="20"/>
        </w:rPr>
        <w:t>měly útvar či</w:t>
      </w:r>
      <w:r w:rsidR="0001598A">
        <w:rPr>
          <w:rFonts w:cs="Arial"/>
          <w:szCs w:val="20"/>
        </w:rPr>
        <w:t xml:space="preserve"> osobu odpovědnou za vzdělávání zaměstnanců.</w:t>
      </w:r>
    </w:p>
    <w:p w14:paraId="26D5FF29" w14:textId="552A2256" w:rsidR="00527B11" w:rsidRDefault="00527B11" w:rsidP="00D8357D">
      <w:pPr>
        <w:spacing w:after="120"/>
        <w:jc w:val="both"/>
        <w:rPr>
          <w:rFonts w:cs="Arial"/>
          <w:szCs w:val="20"/>
        </w:rPr>
      </w:pPr>
      <w:r>
        <w:rPr>
          <w:rFonts w:cs="Arial"/>
          <w:szCs w:val="20"/>
        </w:rPr>
        <w:t xml:space="preserve">Podnik také může </w:t>
      </w:r>
      <w:r w:rsidRPr="00731FBB">
        <w:rPr>
          <w:rFonts w:cs="Arial"/>
          <w:b/>
          <w:szCs w:val="20"/>
        </w:rPr>
        <w:t xml:space="preserve">do rozhodování o vzdělávání v podnicích </w:t>
      </w:r>
      <w:r w:rsidR="00C75C10" w:rsidRPr="00731FBB">
        <w:rPr>
          <w:rFonts w:cs="Arial"/>
          <w:b/>
          <w:szCs w:val="20"/>
        </w:rPr>
        <w:t xml:space="preserve">zapojovat </w:t>
      </w:r>
      <w:r w:rsidRPr="00731FBB">
        <w:rPr>
          <w:rFonts w:cs="Arial"/>
          <w:b/>
          <w:szCs w:val="20"/>
        </w:rPr>
        <w:t>zástupce zaměstnanců</w:t>
      </w:r>
      <w:r w:rsidR="003C43C9">
        <w:rPr>
          <w:rFonts w:cs="Arial"/>
          <w:szCs w:val="20"/>
        </w:rPr>
        <w:t xml:space="preserve">. K tomu přistoupilo jen </w:t>
      </w:r>
      <w:r>
        <w:rPr>
          <w:rFonts w:cs="Arial"/>
          <w:szCs w:val="20"/>
        </w:rPr>
        <w:t>6 % podniků. V těchto podnicích zástupci zaměstnanců nejčastěji spolurozhodovali o ob</w:t>
      </w:r>
      <w:r w:rsidR="003C43C9">
        <w:rPr>
          <w:rFonts w:cs="Arial"/>
          <w:szCs w:val="20"/>
        </w:rPr>
        <w:t>sahu vzdělávání (uvedlo tak 54</w:t>
      </w:r>
      <w:r>
        <w:rPr>
          <w:rFonts w:cs="Arial"/>
          <w:szCs w:val="20"/>
        </w:rPr>
        <w:t> % z těchto pod</w:t>
      </w:r>
      <w:r w:rsidR="003C43C9">
        <w:rPr>
          <w:rFonts w:cs="Arial"/>
          <w:szCs w:val="20"/>
        </w:rPr>
        <w:t>niků), o cílech vzdělávání (52</w:t>
      </w:r>
      <w:r>
        <w:rPr>
          <w:rFonts w:cs="Arial"/>
          <w:szCs w:val="20"/>
        </w:rPr>
        <w:t> %) a o</w:t>
      </w:r>
      <w:r w:rsidR="003C43C9">
        <w:rPr>
          <w:rFonts w:cs="Arial"/>
          <w:szCs w:val="20"/>
        </w:rPr>
        <w:t xml:space="preserve"> formě či druhu vzdělávání (50</w:t>
      </w:r>
      <w:r>
        <w:rPr>
          <w:rFonts w:cs="Arial"/>
          <w:szCs w:val="20"/>
        </w:rPr>
        <w:t> %), již v menší míře o výběru externíc</w:t>
      </w:r>
      <w:r w:rsidR="003C43C9">
        <w:rPr>
          <w:rFonts w:cs="Arial"/>
          <w:szCs w:val="20"/>
        </w:rPr>
        <w:t>h poskytovatelů vzdělávání (32</w:t>
      </w:r>
      <w:r>
        <w:rPr>
          <w:rFonts w:cs="Arial"/>
          <w:szCs w:val="20"/>
        </w:rPr>
        <w:t xml:space="preserve"> %) </w:t>
      </w:r>
      <w:r w:rsidR="00731FBB">
        <w:rPr>
          <w:rFonts w:cs="Arial"/>
          <w:szCs w:val="20"/>
        </w:rPr>
        <w:t>o hod</w:t>
      </w:r>
      <w:r w:rsidR="003C43C9">
        <w:rPr>
          <w:rFonts w:cs="Arial"/>
          <w:szCs w:val="20"/>
        </w:rPr>
        <w:t>nocení výsledků vzdělávání (25</w:t>
      </w:r>
      <w:r w:rsidR="00731FBB">
        <w:rPr>
          <w:rFonts w:cs="Arial"/>
          <w:szCs w:val="20"/>
        </w:rPr>
        <w:t xml:space="preserve"> %) a o kritériích pro výběr účastníků </w:t>
      </w:r>
      <w:r w:rsidR="003C43C9">
        <w:rPr>
          <w:rFonts w:cs="Arial"/>
          <w:szCs w:val="20"/>
        </w:rPr>
        <w:t>vzdělávání (25 %). V celkem 14</w:t>
      </w:r>
      <w:r w:rsidR="00731FBB">
        <w:rPr>
          <w:rFonts w:cs="Arial"/>
          <w:szCs w:val="20"/>
        </w:rPr>
        <w:t> % z těchto podniků také zástupci zaměstnanců spolurozhodovali o sestavování rozpočtu pro vzdělávání.</w:t>
      </w:r>
    </w:p>
    <w:p w14:paraId="1EA75B97" w14:textId="5A286EFA" w:rsidR="000779B9" w:rsidRDefault="000779B9" w:rsidP="00D8357D">
      <w:pPr>
        <w:spacing w:after="120"/>
        <w:jc w:val="both"/>
        <w:rPr>
          <w:rFonts w:cs="Arial"/>
          <w:szCs w:val="20"/>
        </w:rPr>
      </w:pPr>
      <w:r>
        <w:rPr>
          <w:rFonts w:cs="Arial"/>
          <w:szCs w:val="20"/>
        </w:rPr>
        <w:t xml:space="preserve">Plánuje-li podnik vzdělávání, dalo by se očekávat, že bude již </w:t>
      </w:r>
      <w:r w:rsidRPr="004A39E5">
        <w:rPr>
          <w:rFonts w:cs="Arial"/>
          <w:b/>
          <w:szCs w:val="20"/>
        </w:rPr>
        <w:t>v rozpočtu počítat s útratou za vzdělávání</w:t>
      </w:r>
      <w:r>
        <w:rPr>
          <w:rFonts w:cs="Arial"/>
          <w:szCs w:val="20"/>
        </w:rPr>
        <w:t xml:space="preserve"> zaměstnanců.</w:t>
      </w:r>
      <w:r w:rsidR="00D95AEA">
        <w:rPr>
          <w:rFonts w:cs="Arial"/>
          <w:szCs w:val="20"/>
        </w:rPr>
        <w:t xml:space="preserve"> Graf </w:t>
      </w:r>
      <w:r w:rsidR="007C06B7">
        <w:rPr>
          <w:rFonts w:cs="Arial"/>
          <w:szCs w:val="20"/>
        </w:rPr>
        <w:t>1.</w:t>
      </w:r>
      <w:r w:rsidR="00D95AEA">
        <w:rPr>
          <w:rFonts w:cs="Arial"/>
          <w:szCs w:val="20"/>
        </w:rPr>
        <w:t>2 však ukázal, že některé podniky zajišťovaly v roce 2020 vzdělávání, aniž by s ní</w:t>
      </w:r>
      <w:r w:rsidR="00B41B8A">
        <w:rPr>
          <w:rFonts w:cs="Arial"/>
          <w:szCs w:val="20"/>
        </w:rPr>
        <w:t>m měly</w:t>
      </w:r>
      <w:r w:rsidR="00D95AEA">
        <w:rPr>
          <w:rFonts w:cs="Arial"/>
          <w:szCs w:val="20"/>
        </w:rPr>
        <w:t xml:space="preserve"> výdaje. Podobně lze říci, že ne všechny p</w:t>
      </w:r>
      <w:r w:rsidR="007C06B7">
        <w:rPr>
          <w:rFonts w:cs="Arial"/>
          <w:szCs w:val="20"/>
        </w:rPr>
        <w:t>odniky, které vzdělávání plánovaly</w:t>
      </w:r>
      <w:r w:rsidR="00D95AEA">
        <w:rPr>
          <w:rFonts w:cs="Arial"/>
          <w:szCs w:val="20"/>
        </w:rPr>
        <w:t xml:space="preserve"> dopředu, si na</w:t>
      </w:r>
      <w:r w:rsidR="007C06B7">
        <w:rPr>
          <w:rFonts w:cs="Arial"/>
          <w:szCs w:val="20"/>
        </w:rPr>
        <w:t xml:space="preserve"> něj v rozpočtu předem vyhrazovaly</w:t>
      </w:r>
      <w:r w:rsidR="00D95AEA">
        <w:rPr>
          <w:rFonts w:cs="Arial"/>
          <w:szCs w:val="20"/>
        </w:rPr>
        <w:t xml:space="preserve"> finanční prostředky. Celkově tak v roce 2020 činily jen dvě pětiny podniků, přičemž vzdělávání předem plánovala polovina podniků.</w:t>
      </w:r>
    </w:p>
    <w:p w14:paraId="32BA82A7" w14:textId="306E2D23" w:rsidR="00D95AEA" w:rsidRDefault="00D95AEA" w:rsidP="00D8357D">
      <w:pPr>
        <w:spacing w:after="120"/>
        <w:jc w:val="both"/>
        <w:rPr>
          <w:rFonts w:cs="Arial"/>
          <w:b/>
          <w:szCs w:val="20"/>
        </w:rPr>
      </w:pPr>
      <w:r w:rsidRPr="00D95AEA">
        <w:rPr>
          <w:rFonts w:cs="Arial"/>
          <w:b/>
          <w:szCs w:val="20"/>
        </w:rPr>
        <w:t xml:space="preserve">Graf </w:t>
      </w:r>
      <w:r w:rsidR="00614C13">
        <w:rPr>
          <w:rFonts w:cs="Arial"/>
          <w:b/>
          <w:szCs w:val="20"/>
        </w:rPr>
        <w:t>1.</w:t>
      </w:r>
      <w:r w:rsidRPr="00D95AEA">
        <w:rPr>
          <w:rFonts w:cs="Arial"/>
          <w:b/>
          <w:szCs w:val="20"/>
        </w:rPr>
        <w:t xml:space="preserve">6 </w:t>
      </w:r>
      <w:r w:rsidR="00B8726E">
        <w:rPr>
          <w:rFonts w:cs="Arial"/>
          <w:b/>
          <w:szCs w:val="20"/>
        </w:rPr>
        <w:t>Podniky</w:t>
      </w:r>
      <w:r w:rsidR="00E757AE">
        <w:rPr>
          <w:rFonts w:cs="Arial"/>
          <w:b/>
          <w:szCs w:val="20"/>
        </w:rPr>
        <w:t xml:space="preserve"> s plánováním vzdělávání a výdajů na vzdělávání</w:t>
      </w:r>
      <w:r w:rsidR="006F0537">
        <w:rPr>
          <w:rFonts w:cs="Arial"/>
          <w:b/>
          <w:szCs w:val="20"/>
        </w:rPr>
        <w:t>, 2020</w:t>
      </w:r>
      <w:r w:rsidR="00E757AE">
        <w:rPr>
          <w:rFonts w:cs="Arial"/>
          <w:b/>
          <w:szCs w:val="20"/>
        </w:rPr>
        <w:t xml:space="preserve"> </w:t>
      </w:r>
      <w:r w:rsidR="00E757AE" w:rsidRPr="00E757AE">
        <w:rPr>
          <w:rFonts w:cs="Arial"/>
          <w:szCs w:val="20"/>
        </w:rPr>
        <w:t>(v % ze všech podniků)</w:t>
      </w:r>
      <w:r w:rsidR="00E757AE">
        <w:rPr>
          <w:rFonts w:cs="Arial"/>
          <w:b/>
          <w:szCs w:val="20"/>
        </w:rPr>
        <w:t xml:space="preserve"> </w:t>
      </w:r>
    </w:p>
    <w:p w14:paraId="60FCFF9F" w14:textId="5A575DE9" w:rsidR="000779B9" w:rsidRPr="006F0537" w:rsidRDefault="00E02346" w:rsidP="00D8357D">
      <w:pPr>
        <w:spacing w:after="120"/>
        <w:jc w:val="both"/>
        <w:rPr>
          <w:rFonts w:cs="Arial"/>
          <w:b/>
          <w:szCs w:val="20"/>
        </w:rPr>
      </w:pPr>
      <w:r>
        <w:rPr>
          <w:noProof/>
        </w:rPr>
        <w:drawing>
          <wp:inline distT="0" distB="0" distL="0" distR="0" wp14:anchorId="5EC577FE" wp14:editId="2A8B61E7">
            <wp:extent cx="6143625" cy="4333875"/>
            <wp:effectExtent l="0" t="0" r="9525" b="9525"/>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B7944" w14:textId="279CFEAF" w:rsidR="00E66D13" w:rsidRPr="00E66D13" w:rsidRDefault="00E66D13" w:rsidP="00E66D13">
      <w:pPr>
        <w:spacing w:before="120" w:after="120"/>
        <w:jc w:val="right"/>
        <w:rPr>
          <w:szCs w:val="20"/>
        </w:rPr>
      </w:pPr>
      <w:r w:rsidRPr="003D1467">
        <w:rPr>
          <w:szCs w:val="20"/>
        </w:rPr>
        <w:t>Zdroj: ČSÚ</w:t>
      </w:r>
    </w:p>
    <w:p w14:paraId="45BC1CAF" w14:textId="630F89B1" w:rsidR="000779B9" w:rsidRDefault="004A39E5" w:rsidP="00D8357D">
      <w:pPr>
        <w:spacing w:after="120"/>
        <w:jc w:val="both"/>
        <w:rPr>
          <w:rFonts w:cs="Arial"/>
          <w:szCs w:val="20"/>
        </w:rPr>
      </w:pPr>
      <w:r>
        <w:rPr>
          <w:rFonts w:cs="Arial"/>
          <w:szCs w:val="20"/>
        </w:rPr>
        <w:lastRenderedPageBreak/>
        <w:t xml:space="preserve">Opět lze říci, že častěji finance na vzdělávání předem vyhrazovaly podniky </w:t>
      </w:r>
      <w:r w:rsidR="00DF3DE7">
        <w:rPr>
          <w:rFonts w:cs="Arial"/>
          <w:b/>
          <w:i/>
          <w:szCs w:val="20"/>
        </w:rPr>
        <w:t>pod zahraniční kontrolou</w:t>
      </w:r>
      <w:r w:rsidR="003C43C9">
        <w:rPr>
          <w:rFonts w:cs="Arial"/>
          <w:szCs w:val="20"/>
        </w:rPr>
        <w:t xml:space="preserve"> (73</w:t>
      </w:r>
      <w:r>
        <w:rPr>
          <w:rFonts w:cs="Arial"/>
          <w:szCs w:val="20"/>
        </w:rPr>
        <w:t xml:space="preserve"> %), </w:t>
      </w:r>
      <w:r w:rsidRPr="00514267">
        <w:rPr>
          <w:rFonts w:cs="Arial"/>
          <w:b/>
          <w:i/>
          <w:szCs w:val="20"/>
        </w:rPr>
        <w:t>velké podniky</w:t>
      </w:r>
      <w:r>
        <w:rPr>
          <w:rFonts w:cs="Arial"/>
          <w:szCs w:val="20"/>
        </w:rPr>
        <w:t xml:space="preserve"> (mezi podniky s 250 a více za</w:t>
      </w:r>
      <w:r w:rsidR="003C43C9">
        <w:rPr>
          <w:rFonts w:cs="Arial"/>
          <w:szCs w:val="20"/>
        </w:rPr>
        <w:t>městnanci jich bylo dokonce 89</w:t>
      </w:r>
      <w:r>
        <w:rPr>
          <w:rFonts w:cs="Arial"/>
          <w:szCs w:val="20"/>
        </w:rPr>
        <w:t xml:space="preserve"> %) a podniky působící </w:t>
      </w:r>
      <w:r w:rsidRPr="00514267">
        <w:rPr>
          <w:rFonts w:cs="Arial"/>
          <w:b/>
          <w:i/>
          <w:szCs w:val="20"/>
        </w:rPr>
        <w:t>v oblasti</w:t>
      </w:r>
      <w:r>
        <w:rPr>
          <w:rFonts w:cs="Arial"/>
          <w:szCs w:val="20"/>
        </w:rPr>
        <w:t xml:space="preserve"> </w:t>
      </w:r>
      <w:r w:rsidRPr="00514267">
        <w:rPr>
          <w:rFonts w:cs="Arial"/>
          <w:i/>
          <w:szCs w:val="20"/>
        </w:rPr>
        <w:t>peněžnictv</w:t>
      </w:r>
      <w:r w:rsidR="0070253C" w:rsidRPr="00514267">
        <w:rPr>
          <w:rFonts w:cs="Arial"/>
          <w:i/>
          <w:szCs w:val="20"/>
        </w:rPr>
        <w:t>í a pojišťovnictví</w:t>
      </w:r>
      <w:r w:rsidR="003C43C9">
        <w:rPr>
          <w:rFonts w:cs="Arial"/>
          <w:szCs w:val="20"/>
        </w:rPr>
        <w:t xml:space="preserve"> (72</w:t>
      </w:r>
      <w:r w:rsidR="0070253C">
        <w:rPr>
          <w:rFonts w:cs="Arial"/>
          <w:szCs w:val="20"/>
        </w:rPr>
        <w:t xml:space="preserve"> %), </w:t>
      </w:r>
      <w:r w:rsidR="0070253C" w:rsidRPr="00514267">
        <w:rPr>
          <w:rFonts w:cs="Arial"/>
          <w:i/>
          <w:szCs w:val="20"/>
        </w:rPr>
        <w:t>informačních a komunikačních činností</w:t>
      </w:r>
      <w:r w:rsidR="005D5054">
        <w:rPr>
          <w:rStyle w:val="Znakapoznpodarou"/>
          <w:rFonts w:cs="Arial"/>
          <w:i/>
          <w:szCs w:val="20"/>
        </w:rPr>
        <w:footnoteReference w:id="2"/>
      </w:r>
      <w:r w:rsidR="003C43C9">
        <w:rPr>
          <w:rFonts w:cs="Arial"/>
          <w:szCs w:val="20"/>
        </w:rPr>
        <w:t xml:space="preserve"> (65</w:t>
      </w:r>
      <w:r>
        <w:rPr>
          <w:rFonts w:cs="Arial"/>
          <w:szCs w:val="20"/>
        </w:rPr>
        <w:t> %</w:t>
      </w:r>
      <w:r w:rsidR="0070253C">
        <w:rPr>
          <w:rFonts w:cs="Arial"/>
          <w:szCs w:val="20"/>
        </w:rPr>
        <w:t>)</w:t>
      </w:r>
      <w:r>
        <w:rPr>
          <w:rFonts w:cs="Arial"/>
          <w:szCs w:val="20"/>
        </w:rPr>
        <w:t xml:space="preserve"> a </w:t>
      </w:r>
      <w:r w:rsidRPr="00514267">
        <w:rPr>
          <w:rFonts w:cs="Arial"/>
          <w:i/>
          <w:szCs w:val="20"/>
        </w:rPr>
        <w:t>profesní, vědecké a technické činnosti</w:t>
      </w:r>
      <w:r w:rsidR="003C43C9">
        <w:rPr>
          <w:rFonts w:cs="Arial"/>
          <w:szCs w:val="20"/>
        </w:rPr>
        <w:t xml:space="preserve"> (53</w:t>
      </w:r>
      <w:r>
        <w:rPr>
          <w:rFonts w:cs="Arial"/>
          <w:szCs w:val="20"/>
        </w:rPr>
        <w:t xml:space="preserve"> %). Naopak jednoznačně nejmenší podíl takových podniků byl mezi těmi působícími v oblasti </w:t>
      </w:r>
      <w:r w:rsidRPr="00514267">
        <w:rPr>
          <w:rFonts w:cs="Arial"/>
          <w:i/>
          <w:szCs w:val="20"/>
        </w:rPr>
        <w:t>ubytování, stravování a pohostinství</w:t>
      </w:r>
      <w:r>
        <w:rPr>
          <w:rFonts w:cs="Arial"/>
          <w:szCs w:val="20"/>
        </w:rPr>
        <w:t xml:space="preserve"> (necelá pětina).</w:t>
      </w:r>
    </w:p>
    <w:p w14:paraId="2B3255E9" w14:textId="4556365C" w:rsidR="00FE6BA1" w:rsidRDefault="004A39E5" w:rsidP="00FE6BA1">
      <w:pPr>
        <w:spacing w:after="120"/>
        <w:jc w:val="both"/>
        <w:rPr>
          <w:rFonts w:cs="Arial"/>
          <w:szCs w:val="20"/>
        </w:rPr>
      </w:pPr>
      <w:r w:rsidRPr="0070253C">
        <w:rPr>
          <w:rFonts w:cs="Arial"/>
          <w:szCs w:val="20"/>
        </w:rPr>
        <w:t>Kromě organizace zajišťování</w:t>
      </w:r>
      <w:r w:rsidR="00FE6BA1" w:rsidRPr="0070253C">
        <w:rPr>
          <w:rFonts w:cs="Arial"/>
          <w:szCs w:val="20"/>
        </w:rPr>
        <w:t xml:space="preserve"> vzdělávání uvnitř podniku mohou podniky také na vzdělávání zaměstnanců myslet při styku s dalšími subjekty. V</w:t>
      </w:r>
      <w:r w:rsidR="00FE6BA1">
        <w:rPr>
          <w:rFonts w:cs="Arial"/>
          <w:szCs w:val="20"/>
        </w:rPr>
        <w:t> dotazníku byla podnikům položena otázka, zda je obvyklé, že</w:t>
      </w:r>
      <w:r w:rsidR="00FE6BA1" w:rsidRPr="00FE6BA1">
        <w:rPr>
          <w:rFonts w:cs="Arial"/>
          <w:szCs w:val="20"/>
        </w:rPr>
        <w:t xml:space="preserve"> </w:t>
      </w:r>
      <w:r w:rsidR="00FE6BA1" w:rsidRPr="00FE6BA1">
        <w:rPr>
          <w:rFonts w:cs="Arial"/>
          <w:b/>
          <w:szCs w:val="20"/>
        </w:rPr>
        <w:t>písemné dohody mezi podnikem a jeho profesními či sociálními partnery zahrnují téma poskytování vzdělávání</w:t>
      </w:r>
      <w:r w:rsidR="00FE6BA1">
        <w:rPr>
          <w:rFonts w:cs="Arial"/>
          <w:szCs w:val="20"/>
        </w:rPr>
        <w:t xml:space="preserve">. </w:t>
      </w:r>
      <w:r w:rsidR="00FE6BA1" w:rsidRPr="00FE6BA1">
        <w:rPr>
          <w:rFonts w:cs="Arial"/>
          <w:szCs w:val="20"/>
        </w:rPr>
        <w:t xml:space="preserve">Profesní či sociální partneři jsou organizace reprezentující zaměstnavatele a zaměstnance (asociace zaměstnavatelů, odvětvové svazy a odborové organizace, jako je například Svaz průmyslu a obchodu, Hospodářská komora či Českomoravský odborový svaz apod.). Tito profesní a sociální partneři pravidelně vyjednávají na celostátní, regionální nebo odvětvové úrovni a schvalují dohody. Smlouvy mezi zaměstnavatelem a odborovými orgány či výbory na podnikové úrovni </w:t>
      </w:r>
      <w:r w:rsidR="00FE6BA1">
        <w:rPr>
          <w:rFonts w:cs="Arial"/>
          <w:szCs w:val="20"/>
        </w:rPr>
        <w:t xml:space="preserve">se do této definice nezahrnují. </w:t>
      </w:r>
      <w:r w:rsidR="00FE6BA1" w:rsidRPr="00FE6BA1">
        <w:rPr>
          <w:rFonts w:cs="Arial"/>
          <w:szCs w:val="20"/>
        </w:rPr>
        <w:t>Ve společných smlouvách jsou obvykle zakotveny mzdy a pracovní podmínky, mohou však také regulovat opatření pro poskytování praxe či vzdělávání zaměstnanců, jako je např. spravování celostátních, regionálních nebo odvětvových fondů určených na vzdělávání zaměstnanců, realizac</w:t>
      </w:r>
      <w:r w:rsidR="00FE6BA1">
        <w:rPr>
          <w:rFonts w:cs="Arial"/>
          <w:szCs w:val="20"/>
        </w:rPr>
        <w:t>e opatření vedoucích k </w:t>
      </w:r>
      <w:r w:rsidR="00FE6BA1" w:rsidRPr="00FE6BA1">
        <w:rPr>
          <w:rFonts w:cs="Arial"/>
          <w:szCs w:val="20"/>
        </w:rPr>
        <w:t>zaměstnanosti, opatření pro vzdělávání zaměstnanců ve vyšší věkové kategorii atd.</w:t>
      </w:r>
    </w:p>
    <w:p w14:paraId="079F7B78" w14:textId="79983AAE" w:rsidR="00E519E4" w:rsidRPr="00E757AE" w:rsidRDefault="009417D9" w:rsidP="00FE6BA1">
      <w:pPr>
        <w:spacing w:after="120"/>
        <w:jc w:val="both"/>
        <w:rPr>
          <w:rFonts w:cs="Arial"/>
          <w:szCs w:val="20"/>
        </w:rPr>
      </w:pPr>
      <w:r>
        <w:rPr>
          <w:rFonts w:cs="Arial"/>
          <w:b/>
          <w:szCs w:val="20"/>
        </w:rPr>
        <w:t xml:space="preserve">Graf </w:t>
      </w:r>
      <w:r w:rsidR="00614C13">
        <w:rPr>
          <w:rFonts w:cs="Arial"/>
          <w:b/>
          <w:szCs w:val="20"/>
        </w:rPr>
        <w:t>1.</w:t>
      </w:r>
      <w:r>
        <w:rPr>
          <w:rFonts w:cs="Arial"/>
          <w:b/>
          <w:szCs w:val="20"/>
        </w:rPr>
        <w:t>7</w:t>
      </w:r>
      <w:r w:rsidR="0049134D">
        <w:rPr>
          <w:rFonts w:cs="Arial"/>
          <w:b/>
          <w:szCs w:val="20"/>
        </w:rPr>
        <w:t xml:space="preserve"> </w:t>
      </w:r>
      <w:r w:rsidR="00E757AE">
        <w:rPr>
          <w:rFonts w:cs="Arial"/>
          <w:b/>
          <w:szCs w:val="20"/>
        </w:rPr>
        <w:t>Podniky s p</w:t>
      </w:r>
      <w:r w:rsidR="0049134D">
        <w:rPr>
          <w:rFonts w:cs="Arial"/>
          <w:b/>
          <w:szCs w:val="20"/>
        </w:rPr>
        <w:t>ísemnými dohodami</w:t>
      </w:r>
      <w:r w:rsidR="00E519E4" w:rsidRPr="00E519E4">
        <w:rPr>
          <w:rFonts w:cs="Arial"/>
          <w:b/>
          <w:szCs w:val="20"/>
        </w:rPr>
        <w:t xml:space="preserve"> mezi podnikem a jeho profesními či sociálními partnery zahrnují</w:t>
      </w:r>
      <w:r w:rsidR="00A22B84">
        <w:rPr>
          <w:rFonts w:cs="Arial"/>
          <w:b/>
          <w:szCs w:val="20"/>
        </w:rPr>
        <w:t>cí</w:t>
      </w:r>
      <w:r w:rsidR="0049134D">
        <w:rPr>
          <w:rFonts w:cs="Arial"/>
          <w:b/>
          <w:szCs w:val="20"/>
        </w:rPr>
        <w:t>mi</w:t>
      </w:r>
      <w:r w:rsidR="00E519E4" w:rsidRPr="00E519E4">
        <w:rPr>
          <w:rFonts w:cs="Arial"/>
          <w:b/>
          <w:szCs w:val="20"/>
        </w:rPr>
        <w:t xml:space="preserve"> téma poskytování</w:t>
      </w:r>
      <w:r w:rsidR="00E519E4" w:rsidRPr="00FE6BA1">
        <w:rPr>
          <w:rFonts w:cs="Arial"/>
          <w:b/>
          <w:szCs w:val="20"/>
        </w:rPr>
        <w:t xml:space="preserve"> vzdělávání</w:t>
      </w:r>
      <w:r w:rsidR="008F7BB3">
        <w:rPr>
          <w:rFonts w:cs="Arial"/>
          <w:b/>
          <w:szCs w:val="20"/>
        </w:rPr>
        <w:t>, 2020</w:t>
      </w:r>
      <w:r w:rsidR="00E757AE">
        <w:rPr>
          <w:rFonts w:cs="Arial"/>
          <w:b/>
          <w:szCs w:val="20"/>
        </w:rPr>
        <w:t xml:space="preserve"> </w:t>
      </w:r>
      <w:r w:rsidR="00E757AE" w:rsidRPr="00E757AE">
        <w:rPr>
          <w:rFonts w:cs="Arial"/>
          <w:szCs w:val="20"/>
        </w:rPr>
        <w:t>(v % ze všech podniků)</w:t>
      </w:r>
    </w:p>
    <w:p w14:paraId="38153624" w14:textId="39B38E90" w:rsidR="00E519E4" w:rsidRPr="008F7BB3" w:rsidRDefault="008F7BB3" w:rsidP="00FE6BA1">
      <w:pPr>
        <w:spacing w:after="120"/>
        <w:jc w:val="both"/>
        <w:rPr>
          <w:rFonts w:cs="Arial"/>
          <w:b/>
          <w:szCs w:val="20"/>
        </w:rPr>
      </w:pPr>
      <w:r>
        <w:rPr>
          <w:noProof/>
        </w:rPr>
        <w:drawing>
          <wp:inline distT="0" distB="0" distL="0" distR="0" wp14:anchorId="2C1B1700" wp14:editId="0642B302">
            <wp:extent cx="6086475" cy="3657600"/>
            <wp:effectExtent l="0" t="0" r="952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C37E01" w14:textId="602D57E9" w:rsidR="00E66D13" w:rsidRPr="00E66D13" w:rsidRDefault="00E66D13" w:rsidP="00E66D13">
      <w:pPr>
        <w:spacing w:before="120" w:after="120"/>
        <w:jc w:val="right"/>
        <w:rPr>
          <w:szCs w:val="20"/>
        </w:rPr>
      </w:pPr>
      <w:r w:rsidRPr="003D1467">
        <w:rPr>
          <w:szCs w:val="20"/>
        </w:rPr>
        <w:t>Zdroj: ČSÚ</w:t>
      </w:r>
      <w:r w:rsidR="00FE6BA1">
        <w:rPr>
          <w:rFonts w:cs="Arial"/>
          <w:szCs w:val="20"/>
        </w:rPr>
        <w:t xml:space="preserve"> </w:t>
      </w:r>
    </w:p>
    <w:p w14:paraId="0D5CA361" w14:textId="6073B3D1" w:rsidR="009340FD" w:rsidRDefault="003C43C9" w:rsidP="00D8357D">
      <w:pPr>
        <w:spacing w:after="120"/>
        <w:jc w:val="both"/>
        <w:rPr>
          <w:rFonts w:cs="Arial"/>
          <w:szCs w:val="20"/>
        </w:rPr>
      </w:pPr>
      <w:r>
        <w:rPr>
          <w:rFonts w:cs="Arial"/>
          <w:szCs w:val="20"/>
        </w:rPr>
        <w:t>Jen 8</w:t>
      </w:r>
      <w:r w:rsidR="00305D31">
        <w:rPr>
          <w:rFonts w:cs="Arial"/>
          <w:szCs w:val="20"/>
        </w:rPr>
        <w:t xml:space="preserve"> % všech podniků v roce 2020 uvedlo jako </w:t>
      </w:r>
      <w:r w:rsidR="00305D31" w:rsidRPr="00305D31">
        <w:rPr>
          <w:rFonts w:cs="Arial"/>
          <w:szCs w:val="20"/>
        </w:rPr>
        <w:t xml:space="preserve">obvyklé, že </w:t>
      </w:r>
      <w:r w:rsidR="00CB6B48">
        <w:rPr>
          <w:rFonts w:cs="Arial"/>
          <w:szCs w:val="20"/>
        </w:rPr>
        <w:t>disponuje písemnými dohodami</w:t>
      </w:r>
      <w:r w:rsidR="00305D31" w:rsidRPr="00305D31">
        <w:rPr>
          <w:rFonts w:cs="Arial"/>
          <w:szCs w:val="20"/>
        </w:rPr>
        <w:t xml:space="preserve"> mezi podnikem a jeho profesními či sociálními partnery zahrnují</w:t>
      </w:r>
      <w:r w:rsidR="00CB6B48">
        <w:rPr>
          <w:rFonts w:cs="Arial"/>
          <w:szCs w:val="20"/>
        </w:rPr>
        <w:t>cími</w:t>
      </w:r>
      <w:r w:rsidR="00305D31" w:rsidRPr="00305D31">
        <w:rPr>
          <w:rFonts w:cs="Arial"/>
          <w:szCs w:val="20"/>
        </w:rPr>
        <w:t xml:space="preserve"> téma poskytování vzdělávání</w:t>
      </w:r>
      <w:r w:rsidR="00305D31">
        <w:rPr>
          <w:rFonts w:cs="Arial"/>
          <w:szCs w:val="20"/>
        </w:rPr>
        <w:t xml:space="preserve">. Podstatně častěji </w:t>
      </w:r>
      <w:r w:rsidR="003377AF">
        <w:rPr>
          <w:rFonts w:cs="Arial"/>
          <w:szCs w:val="20"/>
        </w:rPr>
        <w:t>se tak vyjadřovaly podnik</w:t>
      </w:r>
      <w:r>
        <w:rPr>
          <w:rFonts w:cs="Arial"/>
          <w:szCs w:val="20"/>
        </w:rPr>
        <w:t>y s 250 a více zaměstnanci (24</w:t>
      </w:r>
      <w:r w:rsidR="003377AF">
        <w:rPr>
          <w:rFonts w:cs="Arial"/>
          <w:szCs w:val="20"/>
        </w:rPr>
        <w:t> % z</w:t>
      </w:r>
      <w:r w:rsidR="00A22B84">
        <w:rPr>
          <w:rFonts w:cs="Arial"/>
          <w:szCs w:val="20"/>
        </w:rPr>
        <w:t> </w:t>
      </w:r>
      <w:r w:rsidR="003377AF">
        <w:rPr>
          <w:rFonts w:cs="Arial"/>
          <w:szCs w:val="20"/>
        </w:rPr>
        <w:t>nich</w:t>
      </w:r>
      <w:r>
        <w:rPr>
          <w:rFonts w:cs="Arial"/>
          <w:szCs w:val="20"/>
        </w:rPr>
        <w:t xml:space="preserve"> oproti 5</w:t>
      </w:r>
      <w:r w:rsidR="00A22B84">
        <w:rPr>
          <w:rFonts w:cs="Arial"/>
          <w:szCs w:val="20"/>
        </w:rPr>
        <w:t> % podniků s 10</w:t>
      </w:r>
      <w:r w:rsidR="00497F1C" w:rsidRPr="00497F1C">
        <w:rPr>
          <w:rFonts w:cs="Arial"/>
          <w:szCs w:val="20"/>
        </w:rPr>
        <w:t>–</w:t>
      </w:r>
      <w:r w:rsidR="00A22B84">
        <w:rPr>
          <w:rFonts w:cs="Arial"/>
          <w:szCs w:val="20"/>
        </w:rPr>
        <w:t>19 zaměstnanci</w:t>
      </w:r>
      <w:r w:rsidR="003377AF">
        <w:rPr>
          <w:rFonts w:cs="Arial"/>
          <w:szCs w:val="20"/>
        </w:rPr>
        <w:t>), častější vša</w:t>
      </w:r>
      <w:r w:rsidR="00E51E41">
        <w:rPr>
          <w:rFonts w:cs="Arial"/>
          <w:szCs w:val="20"/>
        </w:rPr>
        <w:t>k tato situace byla i u podniků</w:t>
      </w:r>
      <w:r w:rsidR="009C0C6B">
        <w:rPr>
          <w:rFonts w:cs="Arial"/>
          <w:b/>
          <w:i/>
          <w:szCs w:val="20"/>
        </w:rPr>
        <w:t> pod zahraniční kontrolou</w:t>
      </w:r>
      <w:r>
        <w:rPr>
          <w:rFonts w:cs="Arial"/>
          <w:szCs w:val="20"/>
        </w:rPr>
        <w:t xml:space="preserve"> (13</w:t>
      </w:r>
      <w:r w:rsidR="003377AF">
        <w:rPr>
          <w:rFonts w:cs="Arial"/>
          <w:szCs w:val="20"/>
        </w:rPr>
        <w:t> %</w:t>
      </w:r>
      <w:r w:rsidR="0070253C">
        <w:rPr>
          <w:rFonts w:cs="Arial"/>
          <w:szCs w:val="20"/>
        </w:rPr>
        <w:t xml:space="preserve"> oproti 7 % </w:t>
      </w:r>
      <w:r w:rsidR="000D648E">
        <w:rPr>
          <w:rFonts w:cs="Arial"/>
          <w:szCs w:val="20"/>
        </w:rPr>
        <w:t xml:space="preserve">u </w:t>
      </w:r>
      <w:r w:rsidR="009C0C6B">
        <w:rPr>
          <w:rFonts w:cs="Arial"/>
          <w:szCs w:val="20"/>
        </w:rPr>
        <w:t>domácích</w:t>
      </w:r>
      <w:r w:rsidR="0070253C">
        <w:rPr>
          <w:rFonts w:cs="Arial"/>
          <w:szCs w:val="20"/>
        </w:rPr>
        <w:t xml:space="preserve"> podniků</w:t>
      </w:r>
      <w:r>
        <w:rPr>
          <w:rFonts w:cs="Arial"/>
          <w:szCs w:val="20"/>
        </w:rPr>
        <w:t>) a u </w:t>
      </w:r>
      <w:r w:rsidR="003377AF">
        <w:rPr>
          <w:rFonts w:cs="Arial"/>
          <w:szCs w:val="20"/>
        </w:rPr>
        <w:t xml:space="preserve">podniků </w:t>
      </w:r>
      <w:r w:rsidR="003377AF" w:rsidRPr="00514267">
        <w:rPr>
          <w:rFonts w:cs="Arial"/>
          <w:b/>
          <w:i/>
          <w:szCs w:val="20"/>
        </w:rPr>
        <w:t>z oblasti</w:t>
      </w:r>
      <w:r w:rsidR="003377AF">
        <w:rPr>
          <w:rFonts w:cs="Arial"/>
          <w:szCs w:val="20"/>
        </w:rPr>
        <w:t xml:space="preserve"> </w:t>
      </w:r>
      <w:r w:rsidR="003377AF" w:rsidRPr="00514267">
        <w:rPr>
          <w:rFonts w:cs="Arial"/>
          <w:i/>
          <w:szCs w:val="20"/>
        </w:rPr>
        <w:t>peněžnictví a pojišťovnictví</w:t>
      </w:r>
      <w:r>
        <w:rPr>
          <w:rFonts w:cs="Arial"/>
          <w:szCs w:val="20"/>
        </w:rPr>
        <w:t xml:space="preserve"> (14</w:t>
      </w:r>
      <w:r w:rsidR="003377AF">
        <w:rPr>
          <w:rFonts w:cs="Arial"/>
          <w:szCs w:val="20"/>
        </w:rPr>
        <w:t xml:space="preserve"> %</w:t>
      </w:r>
      <w:r w:rsidR="0070253C">
        <w:rPr>
          <w:rFonts w:cs="Arial"/>
          <w:szCs w:val="20"/>
        </w:rPr>
        <w:t xml:space="preserve"> oproti 10 %</w:t>
      </w:r>
      <w:r w:rsidR="00E51E41">
        <w:rPr>
          <w:rFonts w:cs="Arial"/>
          <w:szCs w:val="20"/>
        </w:rPr>
        <w:t xml:space="preserve"> a méně</w:t>
      </w:r>
      <w:r w:rsidR="0070253C">
        <w:rPr>
          <w:rFonts w:cs="Arial"/>
          <w:szCs w:val="20"/>
        </w:rPr>
        <w:t xml:space="preserve"> podniků v ostatních odvětvích). </w:t>
      </w:r>
      <w:r w:rsidR="0070253C">
        <w:rPr>
          <w:rFonts w:cs="Arial"/>
          <w:szCs w:val="20"/>
        </w:rPr>
        <w:lastRenderedPageBreak/>
        <w:t>Nejmenší podíl takových podniků byl</w:t>
      </w:r>
      <w:r w:rsidR="003377AF">
        <w:rPr>
          <w:rFonts w:cs="Arial"/>
          <w:szCs w:val="20"/>
        </w:rPr>
        <w:t xml:space="preserve"> mezi </w:t>
      </w:r>
      <w:r w:rsidR="0070253C">
        <w:rPr>
          <w:rFonts w:cs="Arial"/>
          <w:szCs w:val="20"/>
        </w:rPr>
        <w:t xml:space="preserve">těmi </w:t>
      </w:r>
      <w:r w:rsidR="003377AF">
        <w:rPr>
          <w:rFonts w:cs="Arial"/>
          <w:szCs w:val="20"/>
        </w:rPr>
        <w:t>zaměřenými na</w:t>
      </w:r>
      <w:r w:rsidR="00876733" w:rsidRPr="00876733">
        <w:rPr>
          <w:rFonts w:cs="Arial"/>
          <w:i/>
          <w:szCs w:val="20"/>
        </w:rPr>
        <w:t xml:space="preserve"> </w:t>
      </w:r>
      <w:r w:rsidR="00876733" w:rsidRPr="00514267">
        <w:rPr>
          <w:rFonts w:cs="Arial"/>
          <w:i/>
          <w:szCs w:val="20"/>
        </w:rPr>
        <w:t>kulturu, zábavu a rekreaci</w:t>
      </w:r>
      <w:r w:rsidR="003377AF">
        <w:rPr>
          <w:rFonts w:cs="Arial"/>
          <w:szCs w:val="20"/>
        </w:rPr>
        <w:t xml:space="preserve"> </w:t>
      </w:r>
      <w:r w:rsidR="0070253C">
        <w:rPr>
          <w:rFonts w:cs="Arial"/>
          <w:szCs w:val="20"/>
        </w:rPr>
        <w:t>(</w:t>
      </w:r>
      <w:r>
        <w:rPr>
          <w:rFonts w:cs="Arial"/>
          <w:szCs w:val="20"/>
        </w:rPr>
        <w:t>4</w:t>
      </w:r>
      <w:r w:rsidR="0070253C">
        <w:rPr>
          <w:rFonts w:cs="Arial"/>
          <w:szCs w:val="20"/>
        </w:rPr>
        <w:t> %) a</w:t>
      </w:r>
      <w:r w:rsidR="003377AF">
        <w:rPr>
          <w:rFonts w:cs="Arial"/>
          <w:szCs w:val="20"/>
        </w:rPr>
        <w:t xml:space="preserve"> </w:t>
      </w:r>
      <w:r w:rsidR="0070253C">
        <w:rPr>
          <w:rFonts w:cs="Arial"/>
          <w:szCs w:val="20"/>
        </w:rPr>
        <w:t>podniky</w:t>
      </w:r>
      <w:r w:rsidR="003377AF">
        <w:rPr>
          <w:rFonts w:cs="Arial"/>
          <w:szCs w:val="20"/>
        </w:rPr>
        <w:t xml:space="preserve"> se specializací na </w:t>
      </w:r>
      <w:r w:rsidR="00876733" w:rsidRPr="00876733">
        <w:rPr>
          <w:rFonts w:cs="Arial"/>
          <w:i/>
          <w:szCs w:val="20"/>
        </w:rPr>
        <w:t xml:space="preserve">ubytování, stravování a pohostinství </w:t>
      </w:r>
      <w:r>
        <w:rPr>
          <w:rFonts w:cs="Arial"/>
          <w:szCs w:val="20"/>
        </w:rPr>
        <w:t>(5</w:t>
      </w:r>
      <w:r w:rsidR="0070253C">
        <w:rPr>
          <w:rFonts w:cs="Arial"/>
          <w:szCs w:val="20"/>
        </w:rPr>
        <w:t> %).</w:t>
      </w:r>
      <w:r w:rsidR="003377AF">
        <w:rPr>
          <w:rFonts w:cs="Arial"/>
          <w:szCs w:val="20"/>
        </w:rPr>
        <w:t xml:space="preserve">   </w:t>
      </w:r>
    </w:p>
    <w:p w14:paraId="0F56E33A" w14:textId="49F9A5C4" w:rsidR="004A39E5" w:rsidRDefault="00B803C9" w:rsidP="0083509A">
      <w:pPr>
        <w:pStyle w:val="Nadpis3"/>
        <w:spacing w:after="120"/>
        <w:rPr>
          <w:rFonts w:cs="Arial"/>
          <w:szCs w:val="20"/>
        </w:rPr>
      </w:pPr>
      <w:bookmarkStart w:id="7" w:name="_Toc126664215"/>
      <w:r w:rsidRPr="009B0ADC">
        <w:t xml:space="preserve">Systém vyhodnocování </w:t>
      </w:r>
      <w:r w:rsidR="00A86EE0" w:rsidRPr="009B0ADC">
        <w:t xml:space="preserve">potřeby a kvality </w:t>
      </w:r>
      <w:r w:rsidRPr="009B0ADC">
        <w:t>vzdělávání v podnicích</w:t>
      </w:r>
      <w:bookmarkEnd w:id="7"/>
    </w:p>
    <w:p w14:paraId="446793A5" w14:textId="1E6E2C88" w:rsidR="00A86EE0" w:rsidRDefault="00A86EE0" w:rsidP="00B803C9">
      <w:pPr>
        <w:spacing w:after="120"/>
        <w:jc w:val="both"/>
        <w:rPr>
          <w:rFonts w:cs="Arial"/>
          <w:szCs w:val="20"/>
        </w:rPr>
      </w:pPr>
      <w:r>
        <w:rPr>
          <w:rFonts w:cs="Arial"/>
          <w:szCs w:val="20"/>
        </w:rPr>
        <w:t>V procesu zajišťování vzdělávání se může v podnicích k vyhodnocování přistoupit ve dvou odlišných fázích. Jednak souvisí s </w:t>
      </w:r>
      <w:r w:rsidR="00987CB8">
        <w:rPr>
          <w:rFonts w:cs="Arial"/>
          <w:szCs w:val="20"/>
        </w:rPr>
        <w:t>posouzením</w:t>
      </w:r>
      <w:r>
        <w:rPr>
          <w:rFonts w:cs="Arial"/>
          <w:szCs w:val="20"/>
        </w:rPr>
        <w:t>, jaké dovednosti zaměstnanců bude podnik potřebovat</w:t>
      </w:r>
      <w:r w:rsidR="00B67229">
        <w:rPr>
          <w:rFonts w:cs="Arial"/>
          <w:szCs w:val="20"/>
        </w:rPr>
        <w:t>,</w:t>
      </w:r>
      <w:r>
        <w:rPr>
          <w:rFonts w:cs="Arial"/>
          <w:szCs w:val="20"/>
        </w:rPr>
        <w:t xml:space="preserve"> a </w:t>
      </w:r>
      <w:r w:rsidR="00B67229">
        <w:rPr>
          <w:rFonts w:cs="Arial"/>
          <w:szCs w:val="20"/>
        </w:rPr>
        <w:t xml:space="preserve">s </w:t>
      </w:r>
      <w:r>
        <w:rPr>
          <w:rFonts w:cs="Arial"/>
          <w:szCs w:val="20"/>
        </w:rPr>
        <w:t xml:space="preserve">posouzením, zda jsou stávající dovednosti zaměstnanců dostatečné. Pakliže nejsou, může podnik reagovat různými způsoby, nemusí nutně přistoupit </w:t>
      </w:r>
      <w:r w:rsidR="00393B15">
        <w:rPr>
          <w:rFonts w:cs="Arial"/>
          <w:szCs w:val="20"/>
        </w:rPr>
        <w:t>ke vzdělávání zaměstnanců. Pakliže však podnik ke vzdělávání přistoupí, může dále vyhodnocovat efektivitu vzdělávání, které zaměstnancům zajistil, a sice různými metodami. Tomuto tématu se dále budeme věnovat.</w:t>
      </w:r>
    </w:p>
    <w:p w14:paraId="31634BF4" w14:textId="10F90BFA" w:rsidR="009417D9" w:rsidRDefault="009417D9" w:rsidP="00B803C9">
      <w:pPr>
        <w:spacing w:after="120"/>
        <w:jc w:val="both"/>
        <w:rPr>
          <w:rFonts w:cs="Arial"/>
          <w:szCs w:val="20"/>
        </w:rPr>
      </w:pPr>
      <w:r>
        <w:rPr>
          <w:rFonts w:cs="Arial"/>
          <w:szCs w:val="20"/>
        </w:rPr>
        <w:t xml:space="preserve">Více než dvě třetiny podniků v roce 2020 uvedly, že hodnotí, jaké dovednosti zaměstnanců budou v budoucnu potřebovat. Přitom mezi podniky </w:t>
      </w:r>
      <w:r w:rsidRPr="00346648">
        <w:rPr>
          <w:rFonts w:cs="Arial"/>
          <w:b/>
          <w:szCs w:val="20"/>
        </w:rPr>
        <w:t xml:space="preserve">s 250 a více </w:t>
      </w:r>
      <w:r w:rsidR="004846AB">
        <w:rPr>
          <w:rFonts w:cs="Arial"/>
          <w:b/>
          <w:szCs w:val="20"/>
        </w:rPr>
        <w:t>zaměstnanci</w:t>
      </w:r>
      <w:r w:rsidR="004846AB">
        <w:rPr>
          <w:rFonts w:cs="Arial"/>
          <w:szCs w:val="20"/>
        </w:rPr>
        <w:t xml:space="preserve"> b</w:t>
      </w:r>
      <w:r>
        <w:rPr>
          <w:rFonts w:cs="Arial"/>
          <w:szCs w:val="20"/>
        </w:rPr>
        <w:t>yl tento podíl více než 90%</w:t>
      </w:r>
      <w:r w:rsidR="00B67229">
        <w:rPr>
          <w:rFonts w:cs="Arial"/>
          <w:szCs w:val="20"/>
        </w:rPr>
        <w:t xml:space="preserve"> (zejména oproti 62,8 % takových podniků v kategorii s 10</w:t>
      </w:r>
      <w:r w:rsidR="00A23EBA" w:rsidRPr="00A23EBA">
        <w:rPr>
          <w:rFonts w:cs="Arial"/>
          <w:szCs w:val="20"/>
        </w:rPr>
        <w:t>–</w:t>
      </w:r>
      <w:r w:rsidR="00B67229">
        <w:rPr>
          <w:rFonts w:cs="Arial"/>
          <w:szCs w:val="20"/>
        </w:rPr>
        <w:t>19 zaměstnanci)</w:t>
      </w:r>
      <w:r>
        <w:rPr>
          <w:rFonts w:cs="Arial"/>
          <w:szCs w:val="20"/>
        </w:rPr>
        <w:t xml:space="preserve"> a mezi podniky </w:t>
      </w:r>
      <w:r w:rsidR="00DF3DE7">
        <w:rPr>
          <w:rFonts w:cs="Arial"/>
          <w:b/>
          <w:i/>
          <w:szCs w:val="20"/>
        </w:rPr>
        <w:t>pod zahraniční kontrolou</w:t>
      </w:r>
      <w:r>
        <w:rPr>
          <w:rFonts w:cs="Arial"/>
          <w:szCs w:val="20"/>
        </w:rPr>
        <w:t xml:space="preserve"> 85%</w:t>
      </w:r>
      <w:r w:rsidR="00DF3DE7">
        <w:rPr>
          <w:rFonts w:cs="Arial"/>
          <w:szCs w:val="20"/>
        </w:rPr>
        <w:t xml:space="preserve"> </w:t>
      </w:r>
      <w:r w:rsidR="00EB736D">
        <w:rPr>
          <w:rFonts w:cs="Arial"/>
          <w:szCs w:val="20"/>
        </w:rPr>
        <w:t>ve srovnání s dvoutřetinovým</w:t>
      </w:r>
      <w:r w:rsidR="00B67229">
        <w:rPr>
          <w:rFonts w:cs="Arial"/>
          <w:szCs w:val="20"/>
        </w:rPr>
        <w:t xml:space="preserve"> podílem mezi </w:t>
      </w:r>
      <w:r w:rsidR="009C0C6B">
        <w:rPr>
          <w:rFonts w:cs="Arial"/>
          <w:szCs w:val="20"/>
        </w:rPr>
        <w:t>domácí</w:t>
      </w:r>
      <w:r w:rsidR="000D648E">
        <w:rPr>
          <w:rFonts w:cs="Arial"/>
          <w:szCs w:val="20"/>
        </w:rPr>
        <w:t>mi podniky</w:t>
      </w:r>
      <w:r>
        <w:rPr>
          <w:rFonts w:cs="Arial"/>
          <w:szCs w:val="20"/>
        </w:rPr>
        <w:t xml:space="preserve">. Čtyřpětinový a vyšší podíl uvedly také podniky, jejichž </w:t>
      </w:r>
      <w:r w:rsidRPr="00346648">
        <w:rPr>
          <w:rFonts w:cs="Arial"/>
          <w:b/>
          <w:i/>
          <w:szCs w:val="20"/>
        </w:rPr>
        <w:t>hlavní ekonomickou činností</w:t>
      </w:r>
      <w:r>
        <w:rPr>
          <w:rFonts w:cs="Arial"/>
          <w:szCs w:val="20"/>
        </w:rPr>
        <w:t xml:space="preserve"> </w:t>
      </w:r>
      <w:r w:rsidR="00EB736D">
        <w:rPr>
          <w:rFonts w:cs="Arial"/>
          <w:szCs w:val="20"/>
        </w:rPr>
        <w:t>byly</w:t>
      </w:r>
      <w:r>
        <w:rPr>
          <w:rFonts w:cs="Arial"/>
          <w:szCs w:val="20"/>
        </w:rPr>
        <w:t xml:space="preserve"> </w:t>
      </w:r>
      <w:r w:rsidRPr="00346648">
        <w:rPr>
          <w:rFonts w:cs="Arial"/>
          <w:i/>
          <w:szCs w:val="20"/>
        </w:rPr>
        <w:t>peněžnictví a pojišťovnictví</w:t>
      </w:r>
      <w:r>
        <w:rPr>
          <w:rFonts w:cs="Arial"/>
          <w:szCs w:val="20"/>
        </w:rPr>
        <w:t xml:space="preserve"> (87 %</w:t>
      </w:r>
      <w:r w:rsidR="00B67229">
        <w:rPr>
          <w:rFonts w:cs="Arial"/>
          <w:szCs w:val="20"/>
        </w:rPr>
        <w:t xml:space="preserve">), </w:t>
      </w:r>
      <w:r w:rsidR="00B67229" w:rsidRPr="00346648">
        <w:rPr>
          <w:rFonts w:cs="Arial"/>
          <w:i/>
          <w:szCs w:val="20"/>
        </w:rPr>
        <w:t>informační a komunikační činnosti</w:t>
      </w:r>
      <w:r>
        <w:rPr>
          <w:rFonts w:cs="Arial"/>
          <w:szCs w:val="20"/>
        </w:rPr>
        <w:t xml:space="preserve"> (86 %) a </w:t>
      </w:r>
      <w:r w:rsidRPr="00346648">
        <w:rPr>
          <w:rFonts w:cs="Arial"/>
          <w:i/>
          <w:szCs w:val="20"/>
        </w:rPr>
        <w:t>profesní, vědecké a technické činnosti</w:t>
      </w:r>
      <w:r>
        <w:rPr>
          <w:rFonts w:cs="Arial"/>
          <w:szCs w:val="20"/>
        </w:rPr>
        <w:t xml:space="preserve"> (80 %). Naopak méně než třípětinový podíl podniků hodnotících vzdělávací potřeby zaměstnanců </w:t>
      </w:r>
      <w:r w:rsidR="003C43C9">
        <w:rPr>
          <w:rFonts w:cs="Arial"/>
          <w:szCs w:val="20"/>
        </w:rPr>
        <w:t xml:space="preserve">(konkrétně 58 %) </w:t>
      </w:r>
      <w:r>
        <w:rPr>
          <w:rFonts w:cs="Arial"/>
          <w:szCs w:val="20"/>
        </w:rPr>
        <w:t xml:space="preserve">vykázaly podniky z oblasti </w:t>
      </w:r>
      <w:r w:rsidRPr="00346648">
        <w:rPr>
          <w:rFonts w:cs="Arial"/>
          <w:i/>
          <w:szCs w:val="20"/>
        </w:rPr>
        <w:t>uby</w:t>
      </w:r>
      <w:r w:rsidR="002814F4">
        <w:rPr>
          <w:rFonts w:cs="Arial"/>
          <w:i/>
          <w:szCs w:val="20"/>
        </w:rPr>
        <w:t>tování,</w:t>
      </w:r>
      <w:r w:rsidRPr="00346648">
        <w:rPr>
          <w:rFonts w:cs="Arial"/>
          <w:i/>
          <w:szCs w:val="20"/>
        </w:rPr>
        <w:t xml:space="preserve"> stravování a pohostinství</w:t>
      </w:r>
      <w:r w:rsidR="003C43C9">
        <w:rPr>
          <w:rFonts w:cs="Arial"/>
          <w:szCs w:val="20"/>
        </w:rPr>
        <w:t>,</w:t>
      </w:r>
      <w:r>
        <w:rPr>
          <w:rFonts w:cs="Arial"/>
          <w:szCs w:val="20"/>
        </w:rPr>
        <w:t xml:space="preserve"> </w:t>
      </w:r>
      <w:r w:rsidRPr="00346648">
        <w:rPr>
          <w:rFonts w:cs="Arial"/>
          <w:i/>
          <w:szCs w:val="20"/>
        </w:rPr>
        <w:t>dopravy a skladování</w:t>
      </w:r>
      <w:r w:rsidR="002814F4">
        <w:rPr>
          <w:rFonts w:cs="Arial"/>
          <w:szCs w:val="20"/>
        </w:rPr>
        <w:t xml:space="preserve"> </w:t>
      </w:r>
      <w:r>
        <w:rPr>
          <w:rFonts w:cs="Arial"/>
          <w:szCs w:val="20"/>
        </w:rPr>
        <w:t xml:space="preserve">a </w:t>
      </w:r>
      <w:r w:rsidR="002814F4">
        <w:rPr>
          <w:rFonts w:cs="Arial"/>
          <w:szCs w:val="20"/>
        </w:rPr>
        <w:t>z</w:t>
      </w:r>
      <w:r>
        <w:rPr>
          <w:rFonts w:cs="Arial"/>
          <w:szCs w:val="20"/>
        </w:rPr>
        <w:t xml:space="preserve"> oblasti </w:t>
      </w:r>
      <w:r w:rsidRPr="00346648">
        <w:rPr>
          <w:rFonts w:cs="Arial"/>
          <w:i/>
          <w:szCs w:val="20"/>
        </w:rPr>
        <w:t>nemovitostí a administrativy</w:t>
      </w:r>
      <w:r w:rsidRPr="002814F4">
        <w:rPr>
          <w:rFonts w:cs="Arial"/>
          <w:szCs w:val="20"/>
        </w:rPr>
        <w:t>.</w:t>
      </w:r>
      <w:r>
        <w:rPr>
          <w:rFonts w:cs="Arial"/>
          <w:szCs w:val="20"/>
        </w:rPr>
        <w:t xml:space="preserve"> </w:t>
      </w:r>
    </w:p>
    <w:p w14:paraId="7DD5B410" w14:textId="3FF1D754" w:rsidR="00756665" w:rsidRDefault="009417D9" w:rsidP="00756665">
      <w:pPr>
        <w:spacing w:after="0"/>
        <w:jc w:val="both"/>
        <w:rPr>
          <w:rFonts w:cs="Arial"/>
          <w:b/>
          <w:szCs w:val="20"/>
        </w:rPr>
      </w:pPr>
      <w:r w:rsidRPr="009417D9">
        <w:rPr>
          <w:rFonts w:cs="Arial"/>
          <w:b/>
          <w:szCs w:val="20"/>
        </w:rPr>
        <w:t xml:space="preserve">Graf </w:t>
      </w:r>
      <w:r w:rsidR="00614C13">
        <w:rPr>
          <w:rFonts w:cs="Arial"/>
          <w:b/>
          <w:szCs w:val="20"/>
        </w:rPr>
        <w:t>1.</w:t>
      </w:r>
      <w:r w:rsidR="00756665">
        <w:rPr>
          <w:rFonts w:cs="Arial"/>
          <w:b/>
          <w:szCs w:val="20"/>
        </w:rPr>
        <w:t>8 Podniky</w:t>
      </w:r>
      <w:r w:rsidRPr="009417D9">
        <w:rPr>
          <w:rFonts w:cs="Arial"/>
          <w:b/>
          <w:szCs w:val="20"/>
        </w:rPr>
        <w:t xml:space="preserve"> </w:t>
      </w:r>
      <w:r w:rsidR="00756665">
        <w:rPr>
          <w:rFonts w:cs="Arial"/>
          <w:b/>
          <w:szCs w:val="20"/>
        </w:rPr>
        <w:t>dle vyhodnocování</w:t>
      </w:r>
      <w:r w:rsidRPr="009417D9">
        <w:rPr>
          <w:rFonts w:cs="Arial"/>
          <w:b/>
          <w:szCs w:val="20"/>
        </w:rPr>
        <w:t>, jaké dovednosti zaměstnan</w:t>
      </w:r>
      <w:r w:rsidR="00E26CC7">
        <w:rPr>
          <w:rFonts w:cs="Arial"/>
          <w:b/>
          <w:szCs w:val="20"/>
        </w:rPr>
        <w:t>ců budou potřebovat, 2020</w:t>
      </w:r>
      <w:r w:rsidR="00756665">
        <w:rPr>
          <w:rFonts w:cs="Arial"/>
          <w:b/>
          <w:szCs w:val="20"/>
        </w:rPr>
        <w:t xml:space="preserve"> </w:t>
      </w:r>
    </w:p>
    <w:p w14:paraId="2FA73C7D" w14:textId="4BD9CE8C" w:rsidR="00393B15" w:rsidRPr="00756665" w:rsidRDefault="00756665" w:rsidP="00B803C9">
      <w:pPr>
        <w:spacing w:after="120"/>
        <w:jc w:val="both"/>
        <w:rPr>
          <w:rFonts w:cs="Arial"/>
          <w:szCs w:val="20"/>
        </w:rPr>
      </w:pPr>
      <w:r w:rsidRPr="00756665">
        <w:rPr>
          <w:rFonts w:cs="Arial"/>
          <w:szCs w:val="20"/>
        </w:rPr>
        <w:t>(v % ze všech podniků)</w:t>
      </w:r>
    </w:p>
    <w:p w14:paraId="2788B2C3" w14:textId="0535A301" w:rsidR="009417D9" w:rsidRPr="00A23EBA" w:rsidRDefault="00975EB3" w:rsidP="00B803C9">
      <w:pPr>
        <w:spacing w:after="120"/>
        <w:jc w:val="both"/>
        <w:rPr>
          <w:rFonts w:cs="Arial"/>
          <w:b/>
          <w:szCs w:val="20"/>
        </w:rPr>
      </w:pPr>
      <w:r>
        <w:rPr>
          <w:noProof/>
        </w:rPr>
        <w:drawing>
          <wp:inline distT="0" distB="0" distL="0" distR="0" wp14:anchorId="4038558D" wp14:editId="13783DD6">
            <wp:extent cx="6048375" cy="4133850"/>
            <wp:effectExtent l="0" t="0" r="9525"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50836B" w14:textId="5F88344B" w:rsidR="00E66D13" w:rsidRPr="00E66D13" w:rsidRDefault="00E66D13" w:rsidP="00E66D13">
      <w:pPr>
        <w:spacing w:before="120" w:after="120"/>
        <w:jc w:val="right"/>
        <w:rPr>
          <w:szCs w:val="20"/>
        </w:rPr>
      </w:pPr>
      <w:r w:rsidRPr="003D1467">
        <w:rPr>
          <w:szCs w:val="20"/>
        </w:rPr>
        <w:t>Zdroj: ČSÚ</w:t>
      </w:r>
    </w:p>
    <w:p w14:paraId="36DC3814" w14:textId="6DF1CD22" w:rsidR="00195221" w:rsidRDefault="00195221" w:rsidP="00B803C9">
      <w:pPr>
        <w:spacing w:after="120"/>
        <w:jc w:val="both"/>
        <w:rPr>
          <w:rFonts w:cs="Arial"/>
          <w:szCs w:val="20"/>
        </w:rPr>
      </w:pPr>
      <w:r>
        <w:rPr>
          <w:rFonts w:cs="Arial"/>
          <w:szCs w:val="20"/>
        </w:rPr>
        <w:t xml:space="preserve">Pokud podnik zjistí, že dovednosti zaměstnanců neodpovídají plně tomu, co bude podnik v budoucnu potřebovat, má více možností, jak danou situaci řešit. Mírně nadpoloviční většina </w:t>
      </w:r>
      <w:r w:rsidR="006C7E08">
        <w:rPr>
          <w:rFonts w:cs="Arial"/>
          <w:szCs w:val="20"/>
        </w:rPr>
        <w:t xml:space="preserve">všech </w:t>
      </w:r>
      <w:r>
        <w:rPr>
          <w:rFonts w:cs="Arial"/>
          <w:szCs w:val="20"/>
        </w:rPr>
        <w:t xml:space="preserve">podniků </w:t>
      </w:r>
      <w:r w:rsidR="0023453F">
        <w:rPr>
          <w:rFonts w:cs="Arial"/>
          <w:szCs w:val="20"/>
        </w:rPr>
        <w:t xml:space="preserve">uvedla, že </w:t>
      </w:r>
      <w:r>
        <w:rPr>
          <w:rFonts w:cs="Arial"/>
          <w:szCs w:val="20"/>
        </w:rPr>
        <w:t>v dané situaci přistupuje k zajištění vzdělávání zaměstnanců</w:t>
      </w:r>
      <w:r w:rsidR="003C43C9">
        <w:rPr>
          <w:rFonts w:cs="Arial"/>
          <w:szCs w:val="20"/>
        </w:rPr>
        <w:t xml:space="preserve"> (52</w:t>
      </w:r>
      <w:r w:rsidR="0061011B">
        <w:rPr>
          <w:rFonts w:cs="Arial"/>
          <w:szCs w:val="20"/>
        </w:rPr>
        <w:t xml:space="preserve">%). Více než pětina podniků </w:t>
      </w:r>
      <w:r w:rsidR="0023453F">
        <w:rPr>
          <w:rFonts w:cs="Arial"/>
          <w:szCs w:val="20"/>
        </w:rPr>
        <w:t>dále sdělila, že nabírá</w:t>
      </w:r>
      <w:r>
        <w:rPr>
          <w:rFonts w:cs="Arial"/>
          <w:szCs w:val="20"/>
        </w:rPr>
        <w:t xml:space="preserve"> nové pracovníky s odpovídající kvalifikací, dovednostmi a schopnostmi</w:t>
      </w:r>
      <w:r w:rsidR="003C43C9">
        <w:rPr>
          <w:rFonts w:cs="Arial"/>
          <w:szCs w:val="20"/>
        </w:rPr>
        <w:t xml:space="preserve"> (22</w:t>
      </w:r>
      <w:r w:rsidR="0023453F">
        <w:rPr>
          <w:rFonts w:cs="Arial"/>
          <w:szCs w:val="20"/>
        </w:rPr>
        <w:t> %) a také že přistupuje</w:t>
      </w:r>
      <w:r w:rsidR="00254ED2">
        <w:rPr>
          <w:rFonts w:cs="Arial"/>
          <w:szCs w:val="20"/>
        </w:rPr>
        <w:t xml:space="preserve"> </w:t>
      </w:r>
      <w:r w:rsidR="00254ED2">
        <w:rPr>
          <w:rFonts w:cs="Arial"/>
          <w:szCs w:val="20"/>
        </w:rPr>
        <w:lastRenderedPageBreak/>
        <w:t>k</w:t>
      </w:r>
      <w:r w:rsidR="0023453F">
        <w:rPr>
          <w:rFonts w:cs="Arial"/>
          <w:szCs w:val="20"/>
        </w:rPr>
        <w:t> </w:t>
      </w:r>
      <w:r>
        <w:rPr>
          <w:rFonts w:cs="Arial"/>
          <w:szCs w:val="20"/>
        </w:rPr>
        <w:t xml:space="preserve">vnitřní reorganizaci, aby </w:t>
      </w:r>
      <w:r w:rsidR="0023453F">
        <w:rPr>
          <w:rFonts w:cs="Arial"/>
          <w:szCs w:val="20"/>
        </w:rPr>
        <w:t xml:space="preserve">se </w:t>
      </w:r>
      <w:r>
        <w:rPr>
          <w:rFonts w:cs="Arial"/>
          <w:szCs w:val="20"/>
        </w:rPr>
        <w:t>lépe využily dovednosti a schopnosti stávaj</w:t>
      </w:r>
      <w:r w:rsidR="003C43C9">
        <w:rPr>
          <w:rFonts w:cs="Arial"/>
          <w:szCs w:val="20"/>
        </w:rPr>
        <w:t>ících pracovníků (22 %). Pouhé 4</w:t>
      </w:r>
      <w:r>
        <w:rPr>
          <w:rFonts w:cs="Arial"/>
          <w:szCs w:val="20"/>
        </w:rPr>
        <w:t xml:space="preserve"> % podniků </w:t>
      </w:r>
      <w:r w:rsidR="0023453F">
        <w:rPr>
          <w:rFonts w:cs="Arial"/>
          <w:szCs w:val="20"/>
        </w:rPr>
        <w:t>v šetření sdělily, že nabírají</w:t>
      </w:r>
      <w:r>
        <w:rPr>
          <w:rFonts w:cs="Arial"/>
          <w:szCs w:val="20"/>
        </w:rPr>
        <w:t xml:space="preserve"> nové pracovníky, kterým následně zajistí potřebné vzdělání. Podniky přitom mohly </w:t>
      </w:r>
      <w:r w:rsidR="00F9139D">
        <w:rPr>
          <w:rFonts w:cs="Arial"/>
          <w:szCs w:val="20"/>
        </w:rPr>
        <w:t>zvolit</w:t>
      </w:r>
      <w:r>
        <w:rPr>
          <w:rFonts w:cs="Arial"/>
          <w:szCs w:val="20"/>
        </w:rPr>
        <w:t xml:space="preserve"> více možností. Např. </w:t>
      </w:r>
      <w:r w:rsidR="0061011B">
        <w:rPr>
          <w:rFonts w:cs="Arial"/>
          <w:szCs w:val="20"/>
        </w:rPr>
        <w:t xml:space="preserve">pokud </w:t>
      </w:r>
      <w:r>
        <w:rPr>
          <w:rFonts w:cs="Arial"/>
          <w:szCs w:val="20"/>
        </w:rPr>
        <w:t xml:space="preserve">se potřeba nových dovedností pojí s inovacemi v podniku a rozšiřováním výroby, je možné, že je potřeba jak proškolit stávající zaměstnance, tak i nabrat nové zaměstnance na druhy práce, které podnik </w:t>
      </w:r>
      <w:r w:rsidR="003C43C9">
        <w:rPr>
          <w:rFonts w:cs="Arial"/>
          <w:szCs w:val="20"/>
        </w:rPr>
        <w:t>dosud nezahrnoval. Nakonec, 30</w:t>
      </w:r>
      <w:r>
        <w:rPr>
          <w:rFonts w:cs="Arial"/>
          <w:szCs w:val="20"/>
        </w:rPr>
        <w:t> % podniků neuvedlo ani jednu ze zmíněných možností. Buď k dané situaci v podniku nedochází, nebo podnik reaguje jiným způsobem.</w:t>
      </w:r>
    </w:p>
    <w:p w14:paraId="50B680CA" w14:textId="3B23C1F3" w:rsidR="00527B11" w:rsidRDefault="00195221" w:rsidP="006C7E08">
      <w:pPr>
        <w:keepNext/>
        <w:spacing w:after="0"/>
        <w:jc w:val="both"/>
        <w:rPr>
          <w:rFonts w:cs="Arial"/>
          <w:b/>
          <w:szCs w:val="20"/>
        </w:rPr>
      </w:pPr>
      <w:r w:rsidRPr="00195221">
        <w:rPr>
          <w:rFonts w:cs="Arial"/>
          <w:b/>
          <w:szCs w:val="20"/>
        </w:rPr>
        <w:t xml:space="preserve">Graf </w:t>
      </w:r>
      <w:r w:rsidR="00614C13">
        <w:rPr>
          <w:rFonts w:cs="Arial"/>
          <w:b/>
          <w:szCs w:val="20"/>
        </w:rPr>
        <w:t>1.</w:t>
      </w:r>
      <w:r w:rsidR="00E26CC7">
        <w:rPr>
          <w:rFonts w:cs="Arial"/>
          <w:b/>
          <w:szCs w:val="20"/>
        </w:rPr>
        <w:t xml:space="preserve">9 </w:t>
      </w:r>
      <w:r w:rsidR="006C7E08">
        <w:rPr>
          <w:rFonts w:cs="Arial"/>
          <w:b/>
          <w:szCs w:val="20"/>
        </w:rPr>
        <w:t xml:space="preserve">Reakce </w:t>
      </w:r>
      <w:r w:rsidRPr="00195221">
        <w:rPr>
          <w:rFonts w:cs="Arial"/>
          <w:b/>
          <w:szCs w:val="20"/>
        </w:rPr>
        <w:t>podnik</w:t>
      </w:r>
      <w:r w:rsidR="006C7E08">
        <w:rPr>
          <w:rFonts w:cs="Arial"/>
          <w:b/>
          <w:szCs w:val="20"/>
        </w:rPr>
        <w:t>u,</w:t>
      </w:r>
      <w:r w:rsidRPr="00195221">
        <w:rPr>
          <w:rFonts w:cs="Arial"/>
          <w:b/>
          <w:szCs w:val="20"/>
        </w:rPr>
        <w:t xml:space="preserve"> </w:t>
      </w:r>
      <w:r w:rsidR="006C7E08">
        <w:rPr>
          <w:rFonts w:cs="Arial"/>
          <w:b/>
          <w:szCs w:val="20"/>
        </w:rPr>
        <w:t xml:space="preserve">nepovažuje-li </w:t>
      </w:r>
      <w:r w:rsidRPr="00195221">
        <w:rPr>
          <w:rFonts w:cs="Arial"/>
          <w:b/>
          <w:szCs w:val="20"/>
        </w:rPr>
        <w:t xml:space="preserve">stávající </w:t>
      </w:r>
      <w:r w:rsidR="006C7E08">
        <w:rPr>
          <w:rFonts w:cs="Arial"/>
          <w:b/>
          <w:szCs w:val="20"/>
        </w:rPr>
        <w:t>dovednosti zaměstnanců za dostatečné, 2020</w:t>
      </w:r>
    </w:p>
    <w:p w14:paraId="65D469F5" w14:textId="27FB7CC2" w:rsidR="006C7E08" w:rsidRPr="006C7E08" w:rsidRDefault="006C7E08" w:rsidP="00195221">
      <w:pPr>
        <w:keepNext/>
        <w:spacing w:after="120"/>
        <w:jc w:val="both"/>
        <w:rPr>
          <w:rFonts w:cs="Arial"/>
          <w:szCs w:val="20"/>
        </w:rPr>
      </w:pPr>
      <w:r w:rsidRPr="006C7E08">
        <w:rPr>
          <w:rFonts w:cs="Arial"/>
          <w:szCs w:val="20"/>
        </w:rPr>
        <w:t>(v % ze všech podniků)</w:t>
      </w:r>
    </w:p>
    <w:p w14:paraId="1A3CCC1E" w14:textId="33793739" w:rsidR="00195221" w:rsidRPr="00E26CC7" w:rsidRDefault="00E26CC7" w:rsidP="00E26CC7">
      <w:pPr>
        <w:keepNext/>
        <w:spacing w:after="120"/>
        <w:jc w:val="both"/>
        <w:rPr>
          <w:rFonts w:cs="Arial"/>
          <w:b/>
          <w:szCs w:val="20"/>
        </w:rPr>
      </w:pPr>
      <w:r>
        <w:rPr>
          <w:noProof/>
        </w:rPr>
        <w:drawing>
          <wp:inline distT="0" distB="0" distL="0" distR="0" wp14:anchorId="1C87E290" wp14:editId="7F4BC731">
            <wp:extent cx="6086475" cy="1866900"/>
            <wp:effectExtent l="0" t="0" r="9525"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07B3F8" w14:textId="7DDBCE2C" w:rsidR="00E66D13" w:rsidRPr="00E66D13" w:rsidRDefault="00E66D13" w:rsidP="00E66D13">
      <w:pPr>
        <w:spacing w:before="120" w:after="120"/>
        <w:jc w:val="right"/>
        <w:rPr>
          <w:szCs w:val="20"/>
        </w:rPr>
      </w:pPr>
      <w:r w:rsidRPr="003D1467">
        <w:rPr>
          <w:szCs w:val="20"/>
        </w:rPr>
        <w:t>Zdroj: ČSÚ</w:t>
      </w:r>
    </w:p>
    <w:p w14:paraId="43E5C6A6" w14:textId="39C4B88C" w:rsidR="00195221" w:rsidRDefault="00491C63" w:rsidP="00B803C9">
      <w:pPr>
        <w:spacing w:after="120"/>
        <w:jc w:val="both"/>
        <w:rPr>
          <w:rFonts w:cs="Arial"/>
          <w:szCs w:val="20"/>
        </w:rPr>
      </w:pPr>
      <w:r>
        <w:rPr>
          <w:rFonts w:cs="Arial"/>
          <w:szCs w:val="20"/>
        </w:rPr>
        <w:t xml:space="preserve">Podívejme se ještě podrobněji na první zmíněnou možnost reakce, která byla mezi podniky také nejčastěji </w:t>
      </w:r>
      <w:r w:rsidR="000774BB">
        <w:rPr>
          <w:rFonts w:cs="Arial"/>
          <w:szCs w:val="20"/>
        </w:rPr>
        <w:t>uvádě</w:t>
      </w:r>
      <w:r>
        <w:rPr>
          <w:rFonts w:cs="Arial"/>
          <w:szCs w:val="20"/>
        </w:rPr>
        <w:t xml:space="preserve">ná, a tedy zajišťování vzdělávání stávajícím zaměstnancům. </w:t>
      </w:r>
    </w:p>
    <w:p w14:paraId="5928E984" w14:textId="77777777" w:rsidR="00807051" w:rsidRDefault="005E682A" w:rsidP="00807051">
      <w:pPr>
        <w:spacing w:after="0"/>
        <w:jc w:val="both"/>
        <w:rPr>
          <w:rFonts w:cs="Arial"/>
          <w:b/>
          <w:szCs w:val="20"/>
        </w:rPr>
      </w:pPr>
      <w:r w:rsidRPr="005E682A">
        <w:rPr>
          <w:rFonts w:cs="Arial"/>
          <w:b/>
          <w:szCs w:val="20"/>
        </w:rPr>
        <w:t xml:space="preserve">Graf </w:t>
      </w:r>
      <w:r w:rsidR="00614C13">
        <w:rPr>
          <w:rFonts w:cs="Arial"/>
          <w:b/>
          <w:szCs w:val="20"/>
        </w:rPr>
        <w:t>1.</w:t>
      </w:r>
      <w:r w:rsidRPr="005E682A">
        <w:rPr>
          <w:rFonts w:cs="Arial"/>
          <w:b/>
          <w:szCs w:val="20"/>
        </w:rPr>
        <w:t>10</w:t>
      </w:r>
      <w:r w:rsidRPr="005E682A">
        <w:rPr>
          <w:b/>
        </w:rPr>
        <w:t xml:space="preserve"> </w:t>
      </w:r>
      <w:r w:rsidR="00807051">
        <w:rPr>
          <w:rFonts w:cs="Arial"/>
          <w:b/>
          <w:szCs w:val="20"/>
        </w:rPr>
        <w:t>Podniky řešící deficit dovedností zpravidla</w:t>
      </w:r>
      <w:r w:rsidR="00F9139D" w:rsidRPr="00F9139D">
        <w:rPr>
          <w:rFonts w:cs="Arial"/>
          <w:b/>
          <w:szCs w:val="20"/>
        </w:rPr>
        <w:t xml:space="preserve"> vzděláváním stávajících zaměstnanců</w:t>
      </w:r>
      <w:r w:rsidR="00807051">
        <w:rPr>
          <w:rFonts w:cs="Arial"/>
          <w:b/>
          <w:szCs w:val="20"/>
        </w:rPr>
        <w:t>, 2020</w:t>
      </w:r>
      <w:r w:rsidR="00F9139D" w:rsidRPr="00F9139D">
        <w:rPr>
          <w:rFonts w:cs="Arial"/>
          <w:b/>
          <w:szCs w:val="20"/>
        </w:rPr>
        <w:t xml:space="preserve"> </w:t>
      </w:r>
    </w:p>
    <w:p w14:paraId="58B1F2D2" w14:textId="33BC4828" w:rsidR="005E682A" w:rsidRPr="00807051" w:rsidRDefault="005E682A" w:rsidP="00B803C9">
      <w:pPr>
        <w:spacing w:after="120"/>
        <w:jc w:val="both"/>
        <w:rPr>
          <w:rFonts w:cs="Arial"/>
          <w:szCs w:val="20"/>
        </w:rPr>
      </w:pPr>
      <w:r w:rsidRPr="00807051">
        <w:rPr>
          <w:rFonts w:cs="Arial"/>
          <w:szCs w:val="20"/>
        </w:rPr>
        <w:t>(</w:t>
      </w:r>
      <w:r w:rsidR="00807051" w:rsidRPr="00807051">
        <w:rPr>
          <w:rFonts w:cs="Arial"/>
          <w:szCs w:val="20"/>
        </w:rPr>
        <w:t xml:space="preserve">v </w:t>
      </w:r>
      <w:r w:rsidR="00D7596C" w:rsidRPr="00807051">
        <w:rPr>
          <w:rFonts w:cs="Arial"/>
          <w:szCs w:val="20"/>
        </w:rPr>
        <w:t>%</w:t>
      </w:r>
      <w:r w:rsidR="0027160F" w:rsidRPr="00807051">
        <w:rPr>
          <w:rFonts w:cs="Arial"/>
          <w:szCs w:val="20"/>
        </w:rPr>
        <w:t xml:space="preserve"> </w:t>
      </w:r>
      <w:r w:rsidR="00807051" w:rsidRPr="00807051">
        <w:rPr>
          <w:rFonts w:cs="Arial"/>
          <w:szCs w:val="20"/>
        </w:rPr>
        <w:t xml:space="preserve">ze </w:t>
      </w:r>
      <w:r w:rsidR="0027160F" w:rsidRPr="00807051">
        <w:rPr>
          <w:rFonts w:cs="Arial"/>
          <w:szCs w:val="20"/>
        </w:rPr>
        <w:t>všech podniků</w:t>
      </w:r>
      <w:r w:rsidRPr="00807051">
        <w:rPr>
          <w:rFonts w:cs="Arial"/>
          <w:szCs w:val="20"/>
        </w:rPr>
        <w:t>)</w:t>
      </w:r>
    </w:p>
    <w:p w14:paraId="6C62E704" w14:textId="0AD979CA" w:rsidR="005E682A" w:rsidRPr="00F9139D" w:rsidRDefault="00040875" w:rsidP="00B803C9">
      <w:pPr>
        <w:spacing w:after="120"/>
        <w:jc w:val="both"/>
        <w:rPr>
          <w:rFonts w:cs="Arial"/>
          <w:b/>
          <w:szCs w:val="20"/>
        </w:rPr>
      </w:pPr>
      <w:r>
        <w:rPr>
          <w:noProof/>
        </w:rPr>
        <w:drawing>
          <wp:inline distT="0" distB="0" distL="0" distR="0" wp14:anchorId="4ACFA231" wp14:editId="796AAE0C">
            <wp:extent cx="6067425" cy="4152900"/>
            <wp:effectExtent l="0" t="0" r="9525"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973579" w14:textId="2A5E3D57" w:rsidR="00E66D13" w:rsidRPr="00E66D13" w:rsidRDefault="00E66D13" w:rsidP="00E66D13">
      <w:pPr>
        <w:spacing w:before="120" w:after="120"/>
        <w:jc w:val="right"/>
        <w:rPr>
          <w:szCs w:val="20"/>
        </w:rPr>
      </w:pPr>
      <w:r w:rsidRPr="003D1467">
        <w:rPr>
          <w:szCs w:val="20"/>
        </w:rPr>
        <w:t>Zdroj: ČSÚ</w:t>
      </w:r>
    </w:p>
    <w:p w14:paraId="37C8544A" w14:textId="11179331" w:rsidR="00195221" w:rsidRDefault="005E682A" w:rsidP="00B803C9">
      <w:pPr>
        <w:spacing w:after="120"/>
        <w:jc w:val="both"/>
        <w:rPr>
          <w:rFonts w:cs="Arial"/>
          <w:szCs w:val="20"/>
        </w:rPr>
      </w:pPr>
      <w:r>
        <w:rPr>
          <w:rFonts w:cs="Arial"/>
          <w:szCs w:val="20"/>
        </w:rPr>
        <w:lastRenderedPageBreak/>
        <w:t xml:space="preserve">Jak je z grafu </w:t>
      </w:r>
      <w:r w:rsidR="0005014B">
        <w:rPr>
          <w:rFonts w:cs="Arial"/>
          <w:szCs w:val="20"/>
        </w:rPr>
        <w:t xml:space="preserve">1.10 </w:t>
      </w:r>
      <w:r>
        <w:rPr>
          <w:rFonts w:cs="Arial"/>
          <w:szCs w:val="20"/>
        </w:rPr>
        <w:t xml:space="preserve">patrné, situace, kdy podnik řeší deficit znalostí či dovedností zaměstnanců jejich vzděláváním, nastává spíše ve </w:t>
      </w:r>
      <w:r w:rsidRPr="00254ED2">
        <w:rPr>
          <w:rFonts w:cs="Arial"/>
          <w:b/>
          <w:i/>
          <w:szCs w:val="20"/>
        </w:rPr>
        <w:t>velkých podnicích</w:t>
      </w:r>
      <w:r>
        <w:rPr>
          <w:rFonts w:cs="Arial"/>
          <w:szCs w:val="20"/>
        </w:rPr>
        <w:t xml:space="preserve"> než malých a v podnicích </w:t>
      </w:r>
      <w:r w:rsidR="00DF3DE7">
        <w:rPr>
          <w:rFonts w:cs="Arial"/>
          <w:b/>
          <w:i/>
          <w:szCs w:val="20"/>
        </w:rPr>
        <w:t>pod zahraniční kontrolou</w:t>
      </w:r>
      <w:r w:rsidR="007F0F44">
        <w:rPr>
          <w:rFonts w:cs="Arial"/>
          <w:szCs w:val="20"/>
        </w:rPr>
        <w:t>. Vzhledem k výstupům u</w:t>
      </w:r>
      <w:r w:rsidR="00343373">
        <w:rPr>
          <w:rFonts w:cs="Arial"/>
          <w:szCs w:val="20"/>
        </w:rPr>
        <w:t> ostatních indikátorů n</w:t>
      </w:r>
      <w:r>
        <w:rPr>
          <w:rFonts w:cs="Arial"/>
          <w:szCs w:val="20"/>
        </w:rPr>
        <w:t>ení překvapivé, že se v největší míře týká podniků s </w:t>
      </w:r>
      <w:r w:rsidRPr="00254ED2">
        <w:rPr>
          <w:rFonts w:cs="Arial"/>
          <w:b/>
          <w:i/>
          <w:szCs w:val="20"/>
        </w:rPr>
        <w:t>hlavní ekonomickou činností</w:t>
      </w:r>
      <w:r>
        <w:rPr>
          <w:rFonts w:cs="Arial"/>
          <w:szCs w:val="20"/>
        </w:rPr>
        <w:t xml:space="preserve"> v oblasti </w:t>
      </w:r>
      <w:r w:rsidRPr="00254ED2">
        <w:rPr>
          <w:rFonts w:cs="Arial"/>
          <w:i/>
          <w:szCs w:val="20"/>
        </w:rPr>
        <w:t>peněžnictví a pojišťovnictví</w:t>
      </w:r>
      <w:r w:rsidR="003C43C9">
        <w:rPr>
          <w:rFonts w:cs="Arial"/>
          <w:szCs w:val="20"/>
        </w:rPr>
        <w:t xml:space="preserve"> (81</w:t>
      </w:r>
      <w:r>
        <w:rPr>
          <w:rFonts w:cs="Arial"/>
          <w:szCs w:val="20"/>
        </w:rPr>
        <w:t xml:space="preserve"> %), </w:t>
      </w:r>
      <w:r w:rsidR="0061011B">
        <w:rPr>
          <w:rFonts w:cs="Arial"/>
          <w:szCs w:val="20"/>
        </w:rPr>
        <w:t xml:space="preserve">v oblasti </w:t>
      </w:r>
      <w:r w:rsidR="0061011B" w:rsidRPr="00254ED2">
        <w:rPr>
          <w:rFonts w:cs="Arial"/>
          <w:i/>
          <w:szCs w:val="20"/>
        </w:rPr>
        <w:t>informa</w:t>
      </w:r>
      <w:r w:rsidR="00254ED2">
        <w:rPr>
          <w:rFonts w:cs="Arial"/>
          <w:i/>
          <w:szCs w:val="20"/>
        </w:rPr>
        <w:t>čních a komunikačních činností</w:t>
      </w:r>
      <w:r w:rsidR="003C43C9">
        <w:rPr>
          <w:rFonts w:cs="Arial"/>
          <w:szCs w:val="20"/>
        </w:rPr>
        <w:t xml:space="preserve"> (77</w:t>
      </w:r>
      <w:r>
        <w:rPr>
          <w:rFonts w:cs="Arial"/>
          <w:szCs w:val="20"/>
        </w:rPr>
        <w:t xml:space="preserve"> %) a v oblasti </w:t>
      </w:r>
      <w:r w:rsidRPr="00254ED2">
        <w:rPr>
          <w:rFonts w:cs="Arial"/>
          <w:i/>
          <w:szCs w:val="20"/>
        </w:rPr>
        <w:t>profesní, vědecké a technické činnosti</w:t>
      </w:r>
      <w:r w:rsidR="003C43C9">
        <w:rPr>
          <w:rFonts w:cs="Arial"/>
          <w:szCs w:val="20"/>
        </w:rPr>
        <w:t xml:space="preserve"> (68</w:t>
      </w:r>
      <w:r>
        <w:rPr>
          <w:rFonts w:cs="Arial"/>
          <w:szCs w:val="20"/>
        </w:rPr>
        <w:t xml:space="preserve"> %) a naopak v nejmenší míře podniků zabývajících se </w:t>
      </w:r>
      <w:r w:rsidRPr="00254ED2">
        <w:rPr>
          <w:rFonts w:cs="Arial"/>
          <w:i/>
          <w:szCs w:val="20"/>
        </w:rPr>
        <w:t>ubytováním, stravováním a pohostinstvím</w:t>
      </w:r>
      <w:r w:rsidR="003C43C9">
        <w:rPr>
          <w:rFonts w:cs="Arial"/>
          <w:szCs w:val="20"/>
        </w:rPr>
        <w:t xml:space="preserve"> (26</w:t>
      </w:r>
      <w:r>
        <w:rPr>
          <w:rFonts w:cs="Arial"/>
          <w:szCs w:val="20"/>
        </w:rPr>
        <w:t xml:space="preserve"> %). </w:t>
      </w:r>
    </w:p>
    <w:p w14:paraId="7715FC7A" w14:textId="17F33901" w:rsidR="005E682A" w:rsidRDefault="005E682A" w:rsidP="00B803C9">
      <w:pPr>
        <w:spacing w:after="120"/>
        <w:jc w:val="both"/>
        <w:rPr>
          <w:rFonts w:cs="Arial"/>
          <w:szCs w:val="20"/>
        </w:rPr>
      </w:pPr>
      <w:r>
        <w:rPr>
          <w:rFonts w:cs="Arial"/>
          <w:szCs w:val="20"/>
        </w:rPr>
        <w:t xml:space="preserve">Kromě hodnocení vzdělávacích potřeb zaměstnanců je důležité vědět, jaký mělo vzdělávání na zaměstnance dopad. </w:t>
      </w:r>
      <w:r w:rsidR="00B40548">
        <w:rPr>
          <w:rFonts w:cs="Arial"/>
          <w:szCs w:val="20"/>
        </w:rPr>
        <w:t xml:space="preserve">Podnikům, které uvedly, že pro zaměstnance v roce 2020 </w:t>
      </w:r>
      <w:r w:rsidR="003C43C9">
        <w:rPr>
          <w:rFonts w:cs="Arial"/>
          <w:szCs w:val="20"/>
        </w:rPr>
        <w:t>zajišťovaly vzdělávání, tj. 86</w:t>
      </w:r>
      <w:r w:rsidR="00B40548">
        <w:rPr>
          <w:rFonts w:cs="Arial"/>
          <w:szCs w:val="20"/>
        </w:rPr>
        <w:t> % všech podniků, byla tedy položena otázka, zda obvykle vyhodnocují efektivitu poskytovaného vzdělávání. Kladně odpověděla necelá</w:t>
      </w:r>
      <w:r w:rsidR="003C43C9">
        <w:rPr>
          <w:rFonts w:cs="Arial"/>
          <w:szCs w:val="20"/>
        </w:rPr>
        <w:t xml:space="preserve"> polovina takových podniků (46</w:t>
      </w:r>
      <w:r w:rsidR="00B40548">
        <w:rPr>
          <w:rFonts w:cs="Arial"/>
          <w:szCs w:val="20"/>
        </w:rPr>
        <w:t> %). Přit</w:t>
      </w:r>
      <w:r w:rsidR="00737881">
        <w:rPr>
          <w:rFonts w:cs="Arial"/>
          <w:szCs w:val="20"/>
        </w:rPr>
        <w:t>om i vyhodnocování vzdělávání bylo</w:t>
      </w:r>
      <w:r w:rsidR="00B40548">
        <w:rPr>
          <w:rFonts w:cs="Arial"/>
          <w:szCs w:val="20"/>
        </w:rPr>
        <w:t xml:space="preserve"> obvyklejší mezi </w:t>
      </w:r>
      <w:r w:rsidR="00B40548" w:rsidRPr="00254ED2">
        <w:rPr>
          <w:rFonts w:cs="Arial"/>
          <w:b/>
          <w:i/>
          <w:szCs w:val="20"/>
        </w:rPr>
        <w:t>podniky většími než menšími</w:t>
      </w:r>
      <w:r w:rsidR="00B40548">
        <w:rPr>
          <w:rFonts w:cs="Arial"/>
          <w:szCs w:val="20"/>
        </w:rPr>
        <w:t xml:space="preserve">, podniky </w:t>
      </w:r>
      <w:r w:rsidR="00DF3DE7">
        <w:rPr>
          <w:rFonts w:cs="Arial"/>
          <w:b/>
          <w:i/>
          <w:szCs w:val="20"/>
        </w:rPr>
        <w:t>pod zahraniční kontrolou</w:t>
      </w:r>
      <w:r w:rsidR="00737881">
        <w:rPr>
          <w:rFonts w:cs="Arial"/>
          <w:szCs w:val="20"/>
        </w:rPr>
        <w:t xml:space="preserve"> (z těchto podniků vyhodnocovalo</w:t>
      </w:r>
      <w:r w:rsidR="003C43C9">
        <w:rPr>
          <w:rFonts w:cs="Arial"/>
          <w:szCs w:val="20"/>
        </w:rPr>
        <w:t xml:space="preserve"> vzdělávání 71</w:t>
      </w:r>
      <w:r w:rsidR="00B40548">
        <w:rPr>
          <w:rFonts w:cs="Arial"/>
          <w:szCs w:val="20"/>
        </w:rPr>
        <w:t xml:space="preserve"> %) a mezi podniky </w:t>
      </w:r>
      <w:r w:rsidR="00B40548" w:rsidRPr="00254ED2">
        <w:rPr>
          <w:rFonts w:cs="Arial"/>
          <w:b/>
          <w:i/>
          <w:szCs w:val="20"/>
        </w:rPr>
        <w:t>s hlavní ekonomickou činností</w:t>
      </w:r>
      <w:r w:rsidR="00B40548" w:rsidRPr="00B40548">
        <w:rPr>
          <w:rFonts w:cs="Arial"/>
          <w:szCs w:val="20"/>
        </w:rPr>
        <w:t xml:space="preserve"> v oblasti </w:t>
      </w:r>
      <w:r w:rsidR="00B40548" w:rsidRPr="00254ED2">
        <w:rPr>
          <w:rFonts w:cs="Arial"/>
          <w:i/>
          <w:szCs w:val="20"/>
        </w:rPr>
        <w:t>peněžnictví a pojišťovnictví</w:t>
      </w:r>
      <w:r w:rsidR="00B40548" w:rsidRPr="00B40548">
        <w:rPr>
          <w:rFonts w:cs="Arial"/>
          <w:szCs w:val="20"/>
        </w:rPr>
        <w:t xml:space="preserve"> (</w:t>
      </w:r>
      <w:r w:rsidR="003C43C9">
        <w:rPr>
          <w:rFonts w:cs="Arial"/>
          <w:szCs w:val="20"/>
        </w:rPr>
        <w:t>70 </w:t>
      </w:r>
      <w:r w:rsidR="00B40548">
        <w:rPr>
          <w:rFonts w:cs="Arial"/>
          <w:szCs w:val="20"/>
        </w:rPr>
        <w:t>%),</w:t>
      </w:r>
      <w:r w:rsidR="0061011B">
        <w:rPr>
          <w:rFonts w:cs="Arial"/>
          <w:szCs w:val="20"/>
        </w:rPr>
        <w:t xml:space="preserve"> </w:t>
      </w:r>
      <w:r w:rsidR="0061011B" w:rsidRPr="00254ED2">
        <w:rPr>
          <w:rFonts w:cs="Arial"/>
          <w:i/>
          <w:szCs w:val="20"/>
        </w:rPr>
        <w:t>informačních a komunikačních činností</w:t>
      </w:r>
      <w:r w:rsidR="00B40548" w:rsidRPr="00B40548">
        <w:rPr>
          <w:rFonts w:cs="Arial"/>
          <w:szCs w:val="20"/>
        </w:rPr>
        <w:t xml:space="preserve"> (</w:t>
      </w:r>
      <w:r w:rsidR="003C43C9">
        <w:rPr>
          <w:rFonts w:cs="Arial"/>
          <w:szCs w:val="20"/>
        </w:rPr>
        <w:t>65</w:t>
      </w:r>
      <w:r w:rsidR="00B40548" w:rsidRPr="00B40548">
        <w:rPr>
          <w:rFonts w:cs="Arial"/>
          <w:szCs w:val="20"/>
        </w:rPr>
        <w:t xml:space="preserve"> %) a v oblasti </w:t>
      </w:r>
      <w:r w:rsidR="00B40548" w:rsidRPr="00254ED2">
        <w:rPr>
          <w:rFonts w:cs="Arial"/>
          <w:i/>
          <w:szCs w:val="20"/>
        </w:rPr>
        <w:t>profesní, vědecké a technické činnosti</w:t>
      </w:r>
      <w:r w:rsidR="003C43C9">
        <w:rPr>
          <w:rFonts w:cs="Arial"/>
          <w:szCs w:val="20"/>
        </w:rPr>
        <w:t xml:space="preserve"> (58</w:t>
      </w:r>
      <w:r w:rsidR="00B40548" w:rsidRPr="00B40548">
        <w:rPr>
          <w:rFonts w:cs="Arial"/>
          <w:szCs w:val="20"/>
        </w:rPr>
        <w:t xml:space="preserve"> %)</w:t>
      </w:r>
      <w:r w:rsidR="00B40548">
        <w:rPr>
          <w:rFonts w:cs="Arial"/>
          <w:szCs w:val="20"/>
        </w:rPr>
        <w:t>. N</w:t>
      </w:r>
      <w:r w:rsidR="00B40548" w:rsidRPr="00B40548">
        <w:rPr>
          <w:rFonts w:cs="Arial"/>
          <w:szCs w:val="20"/>
        </w:rPr>
        <w:t xml:space="preserve">aopak </w:t>
      </w:r>
      <w:r w:rsidR="00B40548">
        <w:rPr>
          <w:rFonts w:cs="Arial"/>
          <w:szCs w:val="20"/>
        </w:rPr>
        <w:t>nejmenší podíl vy</w:t>
      </w:r>
      <w:r w:rsidR="00254ED2">
        <w:rPr>
          <w:rFonts w:cs="Arial"/>
          <w:szCs w:val="20"/>
        </w:rPr>
        <w:t>hodnocujících podniků najdeme v </w:t>
      </w:r>
      <w:r w:rsidR="00B40548">
        <w:rPr>
          <w:rFonts w:cs="Arial"/>
          <w:szCs w:val="20"/>
        </w:rPr>
        <w:t xml:space="preserve">oblasti </w:t>
      </w:r>
      <w:r w:rsidR="00B40548" w:rsidRPr="00254ED2">
        <w:rPr>
          <w:rFonts w:cs="Arial"/>
          <w:i/>
          <w:szCs w:val="20"/>
        </w:rPr>
        <w:t>ubytování, stravování a pohostinství</w:t>
      </w:r>
      <w:r w:rsidR="003C43C9">
        <w:rPr>
          <w:rFonts w:cs="Arial"/>
          <w:szCs w:val="20"/>
        </w:rPr>
        <w:t xml:space="preserve"> (31</w:t>
      </w:r>
      <w:r w:rsidR="00B40548">
        <w:rPr>
          <w:rFonts w:cs="Arial"/>
          <w:szCs w:val="20"/>
        </w:rPr>
        <w:t> </w:t>
      </w:r>
      <w:r w:rsidR="00B40548" w:rsidRPr="00B40548">
        <w:rPr>
          <w:rFonts w:cs="Arial"/>
          <w:szCs w:val="20"/>
        </w:rPr>
        <w:t>%)</w:t>
      </w:r>
      <w:r w:rsidR="00B40548">
        <w:rPr>
          <w:rFonts w:cs="Arial"/>
          <w:szCs w:val="20"/>
        </w:rPr>
        <w:t xml:space="preserve"> a </w:t>
      </w:r>
      <w:r w:rsidR="00B40548" w:rsidRPr="00254ED2">
        <w:rPr>
          <w:rFonts w:cs="Arial"/>
          <w:i/>
          <w:szCs w:val="20"/>
        </w:rPr>
        <w:t>dopravy a skladování</w:t>
      </w:r>
      <w:r w:rsidR="003C43C9">
        <w:rPr>
          <w:rFonts w:cs="Arial"/>
          <w:szCs w:val="20"/>
        </w:rPr>
        <w:t xml:space="preserve"> (33</w:t>
      </w:r>
      <w:r w:rsidR="00B40548">
        <w:rPr>
          <w:rFonts w:cs="Arial"/>
          <w:szCs w:val="20"/>
        </w:rPr>
        <w:t> %)</w:t>
      </w:r>
      <w:r w:rsidR="0020091B">
        <w:rPr>
          <w:rFonts w:cs="Arial"/>
          <w:szCs w:val="20"/>
        </w:rPr>
        <w:t xml:space="preserve"> – viz graf 1.11</w:t>
      </w:r>
      <w:r w:rsidR="00B40548" w:rsidRPr="00B40548">
        <w:rPr>
          <w:rFonts w:cs="Arial"/>
          <w:szCs w:val="20"/>
        </w:rPr>
        <w:t>.</w:t>
      </w:r>
    </w:p>
    <w:p w14:paraId="49BB0BFB" w14:textId="46A3A6B7" w:rsidR="00807051" w:rsidRDefault="0002202D" w:rsidP="00807051">
      <w:pPr>
        <w:spacing w:after="0"/>
        <w:jc w:val="both"/>
        <w:rPr>
          <w:rFonts w:cs="Arial"/>
          <w:b/>
          <w:szCs w:val="20"/>
        </w:rPr>
      </w:pPr>
      <w:r w:rsidRPr="007B5184">
        <w:rPr>
          <w:rFonts w:cs="Arial"/>
          <w:b/>
          <w:szCs w:val="20"/>
        </w:rPr>
        <w:t xml:space="preserve">Graf </w:t>
      </w:r>
      <w:r w:rsidR="00614C13" w:rsidRPr="007B5184">
        <w:rPr>
          <w:rFonts w:cs="Arial"/>
          <w:b/>
          <w:szCs w:val="20"/>
        </w:rPr>
        <w:t>1.</w:t>
      </w:r>
      <w:r w:rsidRPr="007B5184">
        <w:rPr>
          <w:rFonts w:cs="Arial"/>
          <w:b/>
          <w:szCs w:val="20"/>
        </w:rPr>
        <w:t xml:space="preserve">11 </w:t>
      </w:r>
      <w:r w:rsidR="00807051">
        <w:rPr>
          <w:rFonts w:cs="Arial"/>
          <w:b/>
          <w:szCs w:val="20"/>
        </w:rPr>
        <w:t>Podniky</w:t>
      </w:r>
      <w:r w:rsidRPr="007B5184">
        <w:rPr>
          <w:rFonts w:cs="Arial"/>
          <w:b/>
          <w:szCs w:val="20"/>
        </w:rPr>
        <w:t xml:space="preserve"> obvykle vyhodnocují</w:t>
      </w:r>
      <w:r w:rsidR="00807051">
        <w:rPr>
          <w:rFonts w:cs="Arial"/>
          <w:b/>
          <w:szCs w:val="20"/>
        </w:rPr>
        <w:t>cí</w:t>
      </w:r>
      <w:r w:rsidRPr="007B5184">
        <w:rPr>
          <w:rFonts w:cs="Arial"/>
          <w:b/>
          <w:szCs w:val="20"/>
        </w:rPr>
        <w:t xml:space="preserve"> </w:t>
      </w:r>
      <w:r w:rsidR="00461452">
        <w:rPr>
          <w:rFonts w:cs="Arial"/>
          <w:b/>
          <w:szCs w:val="20"/>
        </w:rPr>
        <w:t>efektivitu</w:t>
      </w:r>
      <w:r w:rsidR="00807051">
        <w:rPr>
          <w:rFonts w:cs="Arial"/>
          <w:b/>
          <w:szCs w:val="20"/>
        </w:rPr>
        <w:t xml:space="preserve"> poskytovaného vzdělávání</w:t>
      </w:r>
      <w:r w:rsidR="00461452">
        <w:rPr>
          <w:rFonts w:cs="Arial"/>
          <w:b/>
          <w:szCs w:val="20"/>
        </w:rPr>
        <w:t>, 2020</w:t>
      </w:r>
      <w:r w:rsidR="00807051">
        <w:rPr>
          <w:rFonts w:cs="Arial"/>
          <w:b/>
          <w:szCs w:val="20"/>
        </w:rPr>
        <w:t xml:space="preserve"> </w:t>
      </w:r>
    </w:p>
    <w:p w14:paraId="52C69A0D" w14:textId="11C83C39" w:rsidR="00CB4434" w:rsidRPr="00807051" w:rsidRDefault="00807051" w:rsidP="00B803C9">
      <w:pPr>
        <w:spacing w:after="120"/>
        <w:jc w:val="both"/>
        <w:rPr>
          <w:rFonts w:cs="Arial"/>
          <w:szCs w:val="20"/>
        </w:rPr>
      </w:pPr>
      <w:r w:rsidRPr="00807051">
        <w:rPr>
          <w:rFonts w:cs="Arial"/>
          <w:szCs w:val="20"/>
        </w:rPr>
        <w:t>(v % z podniků zajišťujících vzdělávání)</w:t>
      </w:r>
    </w:p>
    <w:p w14:paraId="1E2DE392" w14:textId="5D8D873F" w:rsidR="005009C9" w:rsidRPr="00BF6539" w:rsidRDefault="00BF6539" w:rsidP="00B803C9">
      <w:pPr>
        <w:spacing w:after="120"/>
        <w:jc w:val="both"/>
        <w:rPr>
          <w:rFonts w:cs="Arial"/>
          <w:b/>
          <w:szCs w:val="20"/>
        </w:rPr>
      </w:pPr>
      <w:r>
        <w:rPr>
          <w:noProof/>
        </w:rPr>
        <w:drawing>
          <wp:inline distT="0" distB="0" distL="0" distR="0" wp14:anchorId="2F8F44C6" wp14:editId="21BF3419">
            <wp:extent cx="6120130" cy="3971925"/>
            <wp:effectExtent l="0" t="0" r="13970" b="952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1F39E6" w14:textId="5260498E" w:rsidR="00E66D13" w:rsidRPr="00E66D13" w:rsidRDefault="00E66D13" w:rsidP="00E66D13">
      <w:pPr>
        <w:spacing w:before="120" w:after="120"/>
        <w:jc w:val="right"/>
        <w:rPr>
          <w:szCs w:val="20"/>
        </w:rPr>
      </w:pPr>
      <w:r w:rsidRPr="003D1467">
        <w:rPr>
          <w:szCs w:val="20"/>
        </w:rPr>
        <w:t>Zdroj: ČSÚ</w:t>
      </w:r>
    </w:p>
    <w:p w14:paraId="090DA734" w14:textId="10116E2F" w:rsidR="005014D1" w:rsidRDefault="000369C3" w:rsidP="00B803C9">
      <w:pPr>
        <w:spacing w:after="120"/>
        <w:jc w:val="both"/>
        <w:rPr>
          <w:rFonts w:cs="Arial"/>
          <w:szCs w:val="20"/>
        </w:rPr>
      </w:pPr>
      <w:r>
        <w:rPr>
          <w:rFonts w:cs="Arial"/>
          <w:szCs w:val="20"/>
        </w:rPr>
        <w:t>Při vyhodnocování</w:t>
      </w:r>
      <w:r w:rsidR="00737881">
        <w:rPr>
          <w:rFonts w:cs="Arial"/>
          <w:szCs w:val="20"/>
        </w:rPr>
        <w:t xml:space="preserve"> pak podniky nejčastěji zjišťovaly</w:t>
      </w:r>
      <w:r>
        <w:rPr>
          <w:rFonts w:cs="Arial"/>
          <w:szCs w:val="20"/>
        </w:rPr>
        <w:t>, jak byli účastníci se vzděl</w:t>
      </w:r>
      <w:r w:rsidR="003C43C9">
        <w:rPr>
          <w:rFonts w:cs="Arial"/>
          <w:szCs w:val="20"/>
        </w:rPr>
        <w:t>áváním spokojeni, uvedlo tak 5</w:t>
      </w:r>
      <w:r w:rsidR="008E0C87">
        <w:rPr>
          <w:rFonts w:cs="Arial"/>
          <w:szCs w:val="20"/>
        </w:rPr>
        <w:t>2</w:t>
      </w:r>
      <w:r>
        <w:rPr>
          <w:rFonts w:cs="Arial"/>
          <w:szCs w:val="20"/>
        </w:rPr>
        <w:t> % z podniků vyhodnocujících vzdělávání</w:t>
      </w:r>
      <w:r w:rsidR="00737881">
        <w:rPr>
          <w:rFonts w:cs="Arial"/>
          <w:szCs w:val="20"/>
        </w:rPr>
        <w:t>. Téměř dvě pětiny také posuzovaly</w:t>
      </w:r>
      <w:r>
        <w:rPr>
          <w:rFonts w:cs="Arial"/>
          <w:szCs w:val="20"/>
        </w:rPr>
        <w:t xml:space="preserve"> jednání či výkon zaměstnanců vzhledem ke stanoven</w:t>
      </w:r>
      <w:r w:rsidR="003C43C9">
        <w:rPr>
          <w:rFonts w:cs="Arial"/>
          <w:szCs w:val="20"/>
        </w:rPr>
        <w:t>ým cílům tohoto vzdělávání (37</w:t>
      </w:r>
      <w:r w:rsidR="00737881">
        <w:rPr>
          <w:rFonts w:cs="Arial"/>
          <w:szCs w:val="20"/>
        </w:rPr>
        <w:t> %) a třetina si prověřovala</w:t>
      </w:r>
      <w:r>
        <w:rPr>
          <w:rFonts w:cs="Arial"/>
          <w:szCs w:val="20"/>
        </w:rPr>
        <w:t xml:space="preserve"> míru nabytých znalostí či dovedností přezkoušení</w:t>
      </w:r>
      <w:r w:rsidR="003C43C9">
        <w:rPr>
          <w:rFonts w:cs="Arial"/>
          <w:szCs w:val="20"/>
        </w:rPr>
        <w:t>m (34</w:t>
      </w:r>
      <w:r w:rsidR="00136A68">
        <w:rPr>
          <w:rFonts w:cs="Arial"/>
          <w:szCs w:val="20"/>
        </w:rPr>
        <w:t xml:space="preserve"> %). </w:t>
      </w:r>
      <w:r w:rsidR="00417A74">
        <w:rPr>
          <w:rFonts w:cs="Arial"/>
          <w:szCs w:val="20"/>
        </w:rPr>
        <w:t>Téměř čtvrtina</w:t>
      </w:r>
      <w:r w:rsidR="00136A68">
        <w:rPr>
          <w:rFonts w:cs="Arial"/>
          <w:szCs w:val="20"/>
        </w:rPr>
        <w:t xml:space="preserve"> podniků</w:t>
      </w:r>
      <w:r w:rsidR="00737881">
        <w:rPr>
          <w:rFonts w:cs="Arial"/>
          <w:szCs w:val="20"/>
        </w:rPr>
        <w:t xml:space="preserve"> vyhodnocovala</w:t>
      </w:r>
      <w:r>
        <w:rPr>
          <w:rFonts w:cs="Arial"/>
          <w:szCs w:val="20"/>
        </w:rPr>
        <w:t xml:space="preserve"> vliv poskytnutého vzdělávání na práci příslušného útvaru či ce</w:t>
      </w:r>
      <w:r w:rsidR="00136A68">
        <w:rPr>
          <w:rFonts w:cs="Arial"/>
          <w:szCs w:val="20"/>
        </w:rPr>
        <w:t xml:space="preserve">lý </w:t>
      </w:r>
      <w:r w:rsidR="003C43C9">
        <w:rPr>
          <w:rFonts w:cs="Arial"/>
          <w:szCs w:val="20"/>
        </w:rPr>
        <w:t>podnik (23 %) a 17</w:t>
      </w:r>
      <w:r w:rsidR="00136A68">
        <w:rPr>
          <w:rFonts w:cs="Arial"/>
          <w:szCs w:val="20"/>
        </w:rPr>
        <w:t> %</w:t>
      </w:r>
      <w:r w:rsidR="003C43C9">
        <w:rPr>
          <w:rFonts w:cs="Arial"/>
          <w:szCs w:val="20"/>
        </w:rPr>
        <w:t xml:space="preserve"> používalo</w:t>
      </w:r>
      <w:r>
        <w:rPr>
          <w:rFonts w:cs="Arial"/>
          <w:szCs w:val="20"/>
        </w:rPr>
        <w:t xml:space="preserve"> (také) jiné metody vyhodnocování. Jak je z grafu </w:t>
      </w:r>
      <w:r w:rsidR="0064700C">
        <w:rPr>
          <w:rFonts w:cs="Arial"/>
          <w:szCs w:val="20"/>
        </w:rPr>
        <w:t>1.</w:t>
      </w:r>
      <w:r>
        <w:rPr>
          <w:rFonts w:cs="Arial"/>
          <w:szCs w:val="20"/>
        </w:rPr>
        <w:t xml:space="preserve">12 </w:t>
      </w:r>
      <w:r w:rsidR="007C5117">
        <w:rPr>
          <w:rFonts w:cs="Arial"/>
          <w:szCs w:val="20"/>
        </w:rPr>
        <w:t>patrné</w:t>
      </w:r>
      <w:r>
        <w:rPr>
          <w:rFonts w:cs="Arial"/>
          <w:szCs w:val="20"/>
        </w:rPr>
        <w:t>, kromě využívání „jiných“ metod vyhodnocování</w:t>
      </w:r>
      <w:r w:rsidR="005014D1">
        <w:rPr>
          <w:rFonts w:cs="Arial"/>
          <w:szCs w:val="20"/>
        </w:rPr>
        <w:t>, se ke všem</w:t>
      </w:r>
      <w:r>
        <w:rPr>
          <w:rFonts w:cs="Arial"/>
          <w:szCs w:val="20"/>
        </w:rPr>
        <w:t xml:space="preserve"> metodám v největší míře hlásily velké podniky s více než 250 zaměstnanci, což také značí, že tyto podniky</w:t>
      </w:r>
      <w:r w:rsidR="007E3ADB">
        <w:rPr>
          <w:rFonts w:cs="Arial"/>
          <w:szCs w:val="20"/>
        </w:rPr>
        <w:t xml:space="preserve"> často</w:t>
      </w:r>
      <w:r w:rsidR="00737881">
        <w:rPr>
          <w:rFonts w:cs="Arial"/>
          <w:szCs w:val="20"/>
        </w:rPr>
        <w:t xml:space="preserve"> využívaly</w:t>
      </w:r>
      <w:r>
        <w:rPr>
          <w:rFonts w:cs="Arial"/>
          <w:szCs w:val="20"/>
        </w:rPr>
        <w:t xml:space="preserve"> kombinaci </w:t>
      </w:r>
      <w:r>
        <w:rPr>
          <w:rFonts w:cs="Arial"/>
          <w:szCs w:val="20"/>
        </w:rPr>
        <w:lastRenderedPageBreak/>
        <w:t>více uvedených způsobů hodnocení. Z</w:t>
      </w:r>
      <w:r w:rsidR="007E3ADB">
        <w:rPr>
          <w:rFonts w:cs="Arial"/>
          <w:szCs w:val="20"/>
        </w:rPr>
        <w:t>ejména je však</w:t>
      </w:r>
      <w:r w:rsidR="005014D1">
        <w:rPr>
          <w:rFonts w:cs="Arial"/>
          <w:szCs w:val="20"/>
        </w:rPr>
        <w:t xml:space="preserve"> zřejmé, že se stoupající velikostí podniku měřenou dle počtu zaměstnanců se zvyšu</w:t>
      </w:r>
      <w:r w:rsidR="00737881">
        <w:rPr>
          <w:rFonts w:cs="Arial"/>
          <w:szCs w:val="20"/>
        </w:rPr>
        <w:t>je podíl těch, které si zjišťovaly</w:t>
      </w:r>
      <w:r w:rsidR="005014D1">
        <w:rPr>
          <w:rFonts w:cs="Arial"/>
          <w:szCs w:val="20"/>
        </w:rPr>
        <w:t xml:space="preserve"> spokojenost účastníků se vzděláváním.</w:t>
      </w:r>
      <w:r w:rsidR="00756108">
        <w:rPr>
          <w:rFonts w:cs="Arial"/>
          <w:szCs w:val="20"/>
        </w:rPr>
        <w:t xml:space="preserve"> </w:t>
      </w:r>
    </w:p>
    <w:p w14:paraId="66B08DCE" w14:textId="77C2DD37" w:rsidR="005014D1" w:rsidRDefault="005014D1" w:rsidP="00577D68">
      <w:pPr>
        <w:keepNext/>
        <w:spacing w:after="0"/>
        <w:jc w:val="both"/>
        <w:rPr>
          <w:rFonts w:cs="Arial"/>
          <w:b/>
          <w:szCs w:val="20"/>
        </w:rPr>
      </w:pPr>
      <w:r w:rsidRPr="005014D1">
        <w:rPr>
          <w:rFonts w:cs="Arial"/>
          <w:b/>
          <w:szCs w:val="20"/>
        </w:rPr>
        <w:t xml:space="preserve">Graf </w:t>
      </w:r>
      <w:r w:rsidR="00614C13">
        <w:rPr>
          <w:rFonts w:cs="Arial"/>
          <w:b/>
          <w:szCs w:val="20"/>
        </w:rPr>
        <w:t>1.</w:t>
      </w:r>
      <w:r w:rsidRPr="005014D1">
        <w:rPr>
          <w:rFonts w:cs="Arial"/>
          <w:b/>
          <w:szCs w:val="20"/>
        </w:rPr>
        <w:t xml:space="preserve">12 </w:t>
      </w:r>
      <w:r w:rsidR="00577D68">
        <w:rPr>
          <w:rFonts w:cs="Arial"/>
          <w:b/>
          <w:szCs w:val="20"/>
        </w:rPr>
        <w:t>Podniky</w:t>
      </w:r>
      <w:r w:rsidRPr="005014D1">
        <w:rPr>
          <w:rFonts w:cs="Arial"/>
          <w:b/>
          <w:szCs w:val="20"/>
        </w:rPr>
        <w:t xml:space="preserve"> využ</w:t>
      </w:r>
      <w:r w:rsidR="00461452">
        <w:rPr>
          <w:rFonts w:cs="Arial"/>
          <w:b/>
          <w:szCs w:val="20"/>
        </w:rPr>
        <w:t>ívají</w:t>
      </w:r>
      <w:r w:rsidR="00577D68">
        <w:rPr>
          <w:rFonts w:cs="Arial"/>
          <w:b/>
          <w:szCs w:val="20"/>
        </w:rPr>
        <w:t>cí</w:t>
      </w:r>
      <w:r w:rsidR="00461452">
        <w:rPr>
          <w:rFonts w:cs="Arial"/>
          <w:b/>
          <w:szCs w:val="20"/>
        </w:rPr>
        <w:t xml:space="preserve"> uvedené metody hodnocení</w:t>
      </w:r>
      <w:r w:rsidR="00577D68">
        <w:rPr>
          <w:rFonts w:cs="Arial"/>
          <w:b/>
          <w:szCs w:val="20"/>
        </w:rPr>
        <w:t xml:space="preserve"> efektivity zajišťovaného vzdělávání</w:t>
      </w:r>
      <w:r w:rsidR="00461452">
        <w:rPr>
          <w:rFonts w:cs="Arial"/>
          <w:b/>
          <w:szCs w:val="20"/>
        </w:rPr>
        <w:t xml:space="preserve">, </w:t>
      </w:r>
      <w:r w:rsidRPr="005014D1">
        <w:rPr>
          <w:rFonts w:cs="Arial"/>
          <w:b/>
          <w:szCs w:val="20"/>
        </w:rPr>
        <w:t>202</w:t>
      </w:r>
      <w:r w:rsidR="00461452">
        <w:rPr>
          <w:rFonts w:cs="Arial"/>
          <w:b/>
          <w:szCs w:val="20"/>
        </w:rPr>
        <w:t>0</w:t>
      </w:r>
    </w:p>
    <w:p w14:paraId="09AD8A2F" w14:textId="6CF44B3F" w:rsidR="00577D68" w:rsidRPr="00577D68" w:rsidRDefault="00577D68" w:rsidP="005014D1">
      <w:pPr>
        <w:keepNext/>
        <w:spacing w:after="120"/>
        <w:jc w:val="both"/>
        <w:rPr>
          <w:rFonts w:cs="Arial"/>
          <w:szCs w:val="20"/>
        </w:rPr>
      </w:pPr>
      <w:r w:rsidRPr="00577D68">
        <w:rPr>
          <w:rFonts w:cs="Arial"/>
          <w:szCs w:val="20"/>
        </w:rPr>
        <w:t>(v % z podniků vyhodnocujících vzdělávání)</w:t>
      </w:r>
    </w:p>
    <w:p w14:paraId="05B6D6D5" w14:textId="3175B672" w:rsidR="000369C3" w:rsidRPr="00461452" w:rsidRDefault="00461452" w:rsidP="00461452">
      <w:pPr>
        <w:keepNext/>
        <w:spacing w:after="120"/>
        <w:jc w:val="both"/>
        <w:rPr>
          <w:rFonts w:cs="Arial"/>
          <w:b/>
          <w:szCs w:val="20"/>
        </w:rPr>
      </w:pPr>
      <w:r>
        <w:rPr>
          <w:noProof/>
        </w:rPr>
        <w:drawing>
          <wp:inline distT="0" distB="0" distL="0" distR="0" wp14:anchorId="5E833ED5" wp14:editId="31A3F0EB">
            <wp:extent cx="6120130" cy="3336290"/>
            <wp:effectExtent l="0" t="0" r="13970" b="1651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563BD6" w14:textId="50940851" w:rsidR="00E66D13" w:rsidRPr="00E66D13" w:rsidRDefault="00E66D13" w:rsidP="00E66D13">
      <w:pPr>
        <w:spacing w:before="120" w:after="120"/>
        <w:jc w:val="right"/>
        <w:rPr>
          <w:szCs w:val="20"/>
        </w:rPr>
      </w:pPr>
      <w:r w:rsidRPr="003D1467">
        <w:rPr>
          <w:szCs w:val="20"/>
        </w:rPr>
        <w:t>Zdroj: ČSÚ</w:t>
      </w:r>
    </w:p>
    <w:p w14:paraId="7C6C73AD" w14:textId="25B99BDB" w:rsidR="001C34EE" w:rsidRDefault="00520920" w:rsidP="00D8357D">
      <w:pPr>
        <w:spacing w:after="120"/>
        <w:jc w:val="both"/>
        <w:rPr>
          <w:rFonts w:cs="Arial"/>
          <w:color w:val="00B050"/>
          <w:szCs w:val="20"/>
        </w:rPr>
      </w:pPr>
      <w:r>
        <w:rPr>
          <w:rFonts w:cs="Arial"/>
          <w:szCs w:val="20"/>
        </w:rPr>
        <w:t>Z podniků vyhodnocujících vzdělávání si také spokojenost se vzděláváním zj</w:t>
      </w:r>
      <w:r w:rsidR="003C43C9">
        <w:rPr>
          <w:rFonts w:cs="Arial"/>
          <w:szCs w:val="20"/>
        </w:rPr>
        <w:t>išť</w:t>
      </w:r>
      <w:r w:rsidR="007545D1">
        <w:rPr>
          <w:rFonts w:cs="Arial"/>
          <w:szCs w:val="20"/>
        </w:rPr>
        <w:t>oval</w:t>
      </w:r>
      <w:r w:rsidR="00DF3DE7">
        <w:rPr>
          <w:rFonts w:cs="Arial"/>
          <w:szCs w:val="20"/>
        </w:rPr>
        <w:t xml:space="preserve"> výrazně větší podíl těch</w:t>
      </w:r>
      <w:r>
        <w:rPr>
          <w:rFonts w:cs="Arial"/>
          <w:szCs w:val="20"/>
        </w:rPr>
        <w:t xml:space="preserve"> </w:t>
      </w:r>
      <w:r w:rsidR="00DF3DE7" w:rsidRPr="00DF3DE7">
        <w:rPr>
          <w:rFonts w:cs="Arial"/>
          <w:b/>
          <w:i/>
          <w:szCs w:val="20"/>
        </w:rPr>
        <w:t>se zahraniční kontrolou</w:t>
      </w:r>
      <w:r w:rsidR="003C43C9">
        <w:rPr>
          <w:rFonts w:cs="Arial"/>
          <w:szCs w:val="20"/>
        </w:rPr>
        <w:t xml:space="preserve"> (70</w:t>
      </w:r>
      <w:r>
        <w:rPr>
          <w:rFonts w:cs="Arial"/>
          <w:szCs w:val="20"/>
        </w:rPr>
        <w:t xml:space="preserve"> %) než </w:t>
      </w:r>
      <w:r w:rsidR="00DF3DE7">
        <w:rPr>
          <w:rFonts w:cs="Arial"/>
          <w:szCs w:val="20"/>
        </w:rPr>
        <w:t>podniků domácích</w:t>
      </w:r>
      <w:r w:rsidR="003C43C9">
        <w:rPr>
          <w:rFonts w:cs="Arial"/>
          <w:szCs w:val="20"/>
        </w:rPr>
        <w:t xml:space="preserve"> (46</w:t>
      </w:r>
      <w:r>
        <w:rPr>
          <w:rFonts w:cs="Arial"/>
          <w:szCs w:val="20"/>
        </w:rPr>
        <w:t> %) a také těch,</w:t>
      </w:r>
      <w:r w:rsidRPr="00520920">
        <w:t xml:space="preserve"> </w:t>
      </w:r>
      <w:r w:rsidRPr="00520920">
        <w:rPr>
          <w:rFonts w:cs="Arial"/>
          <w:szCs w:val="20"/>
        </w:rPr>
        <w:t xml:space="preserve">jejichž </w:t>
      </w:r>
      <w:r w:rsidRPr="00254ED2">
        <w:rPr>
          <w:rFonts w:cs="Arial"/>
          <w:b/>
          <w:i/>
          <w:szCs w:val="20"/>
        </w:rPr>
        <w:t>hlavní ekonomickou činností</w:t>
      </w:r>
      <w:r w:rsidRPr="00520920">
        <w:rPr>
          <w:rFonts w:cs="Arial"/>
          <w:szCs w:val="20"/>
        </w:rPr>
        <w:t xml:space="preserve"> je </w:t>
      </w:r>
      <w:r w:rsidRPr="00390D6B">
        <w:rPr>
          <w:rFonts w:cs="Arial"/>
          <w:i/>
          <w:szCs w:val="20"/>
        </w:rPr>
        <w:t>peněžnictví a pojišťovnictví</w:t>
      </w:r>
      <w:r w:rsidR="003C43C9">
        <w:rPr>
          <w:rFonts w:cs="Arial"/>
          <w:szCs w:val="20"/>
        </w:rPr>
        <w:t xml:space="preserve"> (68</w:t>
      </w:r>
      <w:r w:rsidR="00DF3DE7">
        <w:rPr>
          <w:rFonts w:cs="Arial"/>
          <w:szCs w:val="20"/>
        </w:rPr>
        <w:t xml:space="preserve"> %) než</w:t>
      </w:r>
      <w:r w:rsidR="007545D1">
        <w:rPr>
          <w:rFonts w:cs="Arial"/>
          <w:szCs w:val="20"/>
        </w:rPr>
        <w:t xml:space="preserve"> zejména</w:t>
      </w:r>
      <w:r w:rsidR="00DF3DE7">
        <w:rPr>
          <w:rFonts w:cs="Arial"/>
          <w:szCs w:val="20"/>
        </w:rPr>
        <w:t xml:space="preserve"> těch s hlavní ekonomickou činností v oblasti </w:t>
      </w:r>
      <w:r w:rsidR="00DF3DE7">
        <w:rPr>
          <w:rFonts w:cs="Arial"/>
          <w:i/>
          <w:szCs w:val="20"/>
        </w:rPr>
        <w:t>dopravy</w:t>
      </w:r>
      <w:r w:rsidRPr="00390D6B">
        <w:rPr>
          <w:rFonts w:cs="Arial"/>
          <w:i/>
          <w:szCs w:val="20"/>
        </w:rPr>
        <w:t xml:space="preserve"> a skladování</w:t>
      </w:r>
      <w:r w:rsidR="003C43C9">
        <w:rPr>
          <w:rFonts w:cs="Arial"/>
          <w:szCs w:val="20"/>
        </w:rPr>
        <w:t xml:space="preserve"> (31</w:t>
      </w:r>
      <w:r w:rsidRPr="00520920">
        <w:rPr>
          <w:rFonts w:cs="Arial"/>
          <w:szCs w:val="20"/>
        </w:rPr>
        <w:t xml:space="preserve"> %)</w:t>
      </w:r>
      <w:r>
        <w:rPr>
          <w:rFonts w:cs="Arial"/>
          <w:szCs w:val="20"/>
        </w:rPr>
        <w:t>.</w:t>
      </w:r>
      <w:r w:rsidR="00E31193">
        <w:rPr>
          <w:rFonts w:cs="Arial"/>
          <w:szCs w:val="20"/>
        </w:rPr>
        <w:t xml:space="preserve"> </w:t>
      </w:r>
    </w:p>
    <w:p w14:paraId="050854EE" w14:textId="560BE0C9" w:rsidR="00187F5D" w:rsidRDefault="00187F5D" w:rsidP="00577D68">
      <w:pPr>
        <w:spacing w:after="0"/>
        <w:jc w:val="both"/>
        <w:rPr>
          <w:rFonts w:cs="Arial"/>
          <w:b/>
          <w:szCs w:val="20"/>
        </w:rPr>
      </w:pPr>
      <w:r w:rsidRPr="00187F5D">
        <w:rPr>
          <w:rFonts w:cs="Arial"/>
          <w:b/>
          <w:szCs w:val="20"/>
        </w:rPr>
        <w:t>Graf 1.13</w:t>
      </w:r>
      <w:r w:rsidRPr="00187F5D">
        <w:rPr>
          <w:rFonts w:cs="Arial"/>
          <w:szCs w:val="20"/>
        </w:rPr>
        <w:t xml:space="preserve"> </w:t>
      </w:r>
      <w:r w:rsidR="00577D68">
        <w:rPr>
          <w:rFonts w:cs="Arial"/>
          <w:b/>
          <w:szCs w:val="20"/>
        </w:rPr>
        <w:t>Podniky</w:t>
      </w:r>
      <w:r w:rsidRPr="005014D1">
        <w:rPr>
          <w:rFonts w:cs="Arial"/>
          <w:b/>
          <w:szCs w:val="20"/>
        </w:rPr>
        <w:t xml:space="preserve"> </w:t>
      </w:r>
      <w:r>
        <w:rPr>
          <w:rFonts w:cs="Arial"/>
          <w:b/>
          <w:szCs w:val="20"/>
        </w:rPr>
        <w:t>zjišťují</w:t>
      </w:r>
      <w:r w:rsidR="00577D68">
        <w:rPr>
          <w:rFonts w:cs="Arial"/>
          <w:b/>
          <w:szCs w:val="20"/>
        </w:rPr>
        <w:t>cí si</w:t>
      </w:r>
      <w:r>
        <w:rPr>
          <w:rFonts w:cs="Arial"/>
          <w:b/>
          <w:szCs w:val="20"/>
        </w:rPr>
        <w:t xml:space="preserve"> spokojenost účastn</w:t>
      </w:r>
      <w:r w:rsidR="00461452">
        <w:rPr>
          <w:rFonts w:cs="Arial"/>
          <w:b/>
          <w:szCs w:val="20"/>
        </w:rPr>
        <w:t xml:space="preserve">íka s realizovaným vzděláváním, </w:t>
      </w:r>
      <w:r>
        <w:rPr>
          <w:rFonts w:cs="Arial"/>
          <w:b/>
          <w:szCs w:val="20"/>
        </w:rPr>
        <w:t>202</w:t>
      </w:r>
      <w:r w:rsidR="00461452">
        <w:rPr>
          <w:rFonts w:cs="Arial"/>
          <w:b/>
          <w:szCs w:val="20"/>
        </w:rPr>
        <w:t>0</w:t>
      </w:r>
    </w:p>
    <w:p w14:paraId="20BB6B85" w14:textId="444EEDF8" w:rsidR="00577D68" w:rsidRPr="00577D68" w:rsidRDefault="00577D68" w:rsidP="00577D68">
      <w:pPr>
        <w:keepNext/>
        <w:spacing w:after="120"/>
        <w:jc w:val="both"/>
        <w:rPr>
          <w:rFonts w:cs="Arial"/>
          <w:szCs w:val="20"/>
        </w:rPr>
      </w:pPr>
      <w:r w:rsidRPr="00577D68">
        <w:rPr>
          <w:rFonts w:cs="Arial"/>
          <w:szCs w:val="20"/>
        </w:rPr>
        <w:t>(v % z podniků vyhodnocujících vzdělávání)</w:t>
      </w:r>
    </w:p>
    <w:p w14:paraId="44475266" w14:textId="65712743" w:rsidR="00187F5D" w:rsidRPr="00E31193" w:rsidRDefault="00461452" w:rsidP="00D8357D">
      <w:pPr>
        <w:spacing w:after="120"/>
        <w:jc w:val="both"/>
        <w:rPr>
          <w:rFonts w:cs="Arial"/>
          <w:color w:val="00B050"/>
          <w:szCs w:val="20"/>
        </w:rPr>
      </w:pPr>
      <w:r>
        <w:rPr>
          <w:noProof/>
        </w:rPr>
        <w:drawing>
          <wp:inline distT="0" distB="0" distL="0" distR="0" wp14:anchorId="3068936E" wp14:editId="1B3F7D55">
            <wp:extent cx="6086475" cy="3019425"/>
            <wp:effectExtent l="0" t="0" r="9525" b="9525"/>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3BE62C" w14:textId="5FB54908" w:rsidR="00795E5C" w:rsidRPr="004938A3" w:rsidRDefault="00E66D13" w:rsidP="004938A3">
      <w:pPr>
        <w:jc w:val="right"/>
        <w:rPr>
          <w:szCs w:val="20"/>
        </w:rPr>
      </w:pPr>
      <w:r w:rsidRPr="003D1467">
        <w:rPr>
          <w:szCs w:val="20"/>
        </w:rPr>
        <w:t>Zdroj: ČSÚ</w:t>
      </w:r>
      <w:r w:rsidR="00795E5C">
        <w:br w:type="page"/>
      </w:r>
    </w:p>
    <w:p w14:paraId="25507271" w14:textId="0DE73442" w:rsidR="00BC3D92" w:rsidRPr="002D23AB" w:rsidRDefault="00BC3D92" w:rsidP="00BC3D92">
      <w:pPr>
        <w:pStyle w:val="Nadpis1"/>
      </w:pPr>
      <w:bookmarkStart w:id="8" w:name="_Toc126664216"/>
      <w:r>
        <w:lastRenderedPageBreak/>
        <w:t>Kapitola 2</w:t>
      </w:r>
      <w:r w:rsidRPr="00665701">
        <w:t xml:space="preserve">: </w:t>
      </w:r>
      <w:r>
        <w:t>Účast zaměstnanců na vzdělávání v podnicíc</w:t>
      </w:r>
      <w:r w:rsidR="00753854">
        <w:t>h</w:t>
      </w:r>
      <w:bookmarkEnd w:id="8"/>
    </w:p>
    <w:p w14:paraId="309F7298" w14:textId="34787EFA" w:rsidR="00795E5C" w:rsidRDefault="00795E5C" w:rsidP="00795E5C">
      <w:pPr>
        <w:spacing w:after="120"/>
        <w:jc w:val="both"/>
        <w:rPr>
          <w:rFonts w:cs="Arial"/>
          <w:szCs w:val="20"/>
        </w:rPr>
      </w:pPr>
      <w:r>
        <w:rPr>
          <w:rFonts w:cs="Arial"/>
          <w:szCs w:val="20"/>
        </w:rPr>
        <w:t xml:space="preserve">První kapitola se věnovala přístupu podniků ke vzdělávání zaměstnanců. Mimo jiné ukázala, jaký podíl podniků vzdělávání </w:t>
      </w:r>
      <w:r w:rsidR="004E1C47">
        <w:rPr>
          <w:rFonts w:cs="Arial"/>
          <w:szCs w:val="20"/>
        </w:rPr>
        <w:t>v roce 2020 zajišťoval</w:t>
      </w:r>
      <w:r w:rsidR="0076171D">
        <w:rPr>
          <w:rFonts w:cs="Arial"/>
          <w:szCs w:val="20"/>
        </w:rPr>
        <w:t>, a to i v dělení dle formy vzdělávání</w:t>
      </w:r>
      <w:r w:rsidR="00084828">
        <w:rPr>
          <w:rFonts w:cs="Arial"/>
          <w:szCs w:val="20"/>
        </w:rPr>
        <w:t>. Nyní se podrobněji podíváme na účast</w:t>
      </w:r>
      <w:r w:rsidR="0076171D">
        <w:rPr>
          <w:rFonts w:cs="Arial"/>
          <w:szCs w:val="20"/>
        </w:rPr>
        <w:t xml:space="preserve"> zaměstnanců v tomto</w:t>
      </w:r>
      <w:r>
        <w:rPr>
          <w:rFonts w:cs="Arial"/>
          <w:szCs w:val="20"/>
        </w:rPr>
        <w:t xml:space="preserve"> vzdělávání.</w:t>
      </w:r>
    </w:p>
    <w:p w14:paraId="40675398" w14:textId="6D114C6A" w:rsidR="00795E5C" w:rsidRPr="00795E5C" w:rsidRDefault="00795E5C" w:rsidP="00112DCF">
      <w:pPr>
        <w:pStyle w:val="Nadpis2"/>
      </w:pPr>
      <w:bookmarkStart w:id="9" w:name="_Toc126664217"/>
      <w:r w:rsidRPr="00976EF8">
        <w:t>Hlavní zjištění</w:t>
      </w:r>
      <w:bookmarkEnd w:id="9"/>
    </w:p>
    <w:p w14:paraId="09E374C8" w14:textId="53AABDB8" w:rsidR="00FB37A0" w:rsidRPr="009123B8" w:rsidRDefault="00FB37A0"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 xml:space="preserve">Kurzů/školení vyplývajících ze zákona jako </w:t>
      </w:r>
      <w:r w:rsidRPr="001D1345">
        <w:rPr>
          <w:rFonts w:ascii="Arial" w:hAnsi="Arial" w:cs="Arial"/>
          <w:b/>
          <w:sz w:val="20"/>
          <w:szCs w:val="20"/>
        </w:rPr>
        <w:t>povinné</w:t>
      </w:r>
      <w:r w:rsidRPr="009123B8">
        <w:rPr>
          <w:rFonts w:ascii="Arial" w:hAnsi="Arial" w:cs="Arial"/>
          <w:sz w:val="20"/>
          <w:szCs w:val="20"/>
        </w:rPr>
        <w:t xml:space="preserve">, se v podnicích, které je zajišťovaly, </w:t>
      </w:r>
      <w:r w:rsidRPr="004938A3">
        <w:rPr>
          <w:rFonts w:ascii="Arial" w:hAnsi="Arial" w:cs="Arial"/>
          <w:sz w:val="20"/>
          <w:szCs w:val="20"/>
        </w:rPr>
        <w:t>účastnily čtyři pětiny všech zaměstnanců</w:t>
      </w:r>
      <w:r w:rsidR="008F1CAE">
        <w:rPr>
          <w:rFonts w:ascii="Arial" w:hAnsi="Arial" w:cs="Arial"/>
          <w:sz w:val="20"/>
          <w:szCs w:val="20"/>
        </w:rPr>
        <w:t xml:space="preserve"> (81</w:t>
      </w:r>
      <w:r w:rsidRPr="009123B8">
        <w:rPr>
          <w:rFonts w:ascii="Arial" w:hAnsi="Arial" w:cs="Arial"/>
          <w:sz w:val="20"/>
          <w:szCs w:val="20"/>
        </w:rPr>
        <w:t xml:space="preserve"> %). Podniky, které zajišťovaly kurzy/školení </w:t>
      </w:r>
      <w:r w:rsidRPr="001D1345">
        <w:rPr>
          <w:rFonts w:ascii="Arial" w:hAnsi="Arial" w:cs="Arial"/>
          <w:b/>
          <w:sz w:val="20"/>
          <w:szCs w:val="20"/>
        </w:rPr>
        <w:t>nevyplývající ze zákona jako povinné</w:t>
      </w:r>
      <w:r w:rsidRPr="009123B8">
        <w:rPr>
          <w:rFonts w:ascii="Arial" w:hAnsi="Arial" w:cs="Arial"/>
          <w:sz w:val="20"/>
          <w:szCs w:val="20"/>
        </w:rPr>
        <w:t>, zaznamenaly v takových kurzech úč</w:t>
      </w:r>
      <w:r w:rsidR="008F1CAE">
        <w:rPr>
          <w:rFonts w:ascii="Arial" w:hAnsi="Arial" w:cs="Arial"/>
          <w:sz w:val="20"/>
          <w:szCs w:val="20"/>
        </w:rPr>
        <w:t>ast dvou pětin zaměstnanců (41</w:t>
      </w:r>
      <w:r w:rsidRPr="009123B8">
        <w:rPr>
          <w:rFonts w:ascii="Arial" w:hAnsi="Arial" w:cs="Arial"/>
          <w:sz w:val="20"/>
          <w:szCs w:val="20"/>
        </w:rPr>
        <w:t> %), podobná byla účast na zaškolováních a in</w:t>
      </w:r>
      <w:r w:rsidR="008F1CAE">
        <w:rPr>
          <w:rFonts w:ascii="Arial" w:hAnsi="Arial" w:cs="Arial"/>
          <w:sz w:val="20"/>
          <w:szCs w:val="20"/>
        </w:rPr>
        <w:t>struktážích na pracovišti (38</w:t>
      </w:r>
      <w:r w:rsidRPr="009123B8">
        <w:rPr>
          <w:rFonts w:ascii="Arial" w:hAnsi="Arial" w:cs="Arial"/>
          <w:sz w:val="20"/>
          <w:szCs w:val="20"/>
        </w:rPr>
        <w:t> %) a v sam</w:t>
      </w:r>
      <w:r w:rsidR="007D654B">
        <w:rPr>
          <w:rFonts w:ascii="Arial" w:hAnsi="Arial" w:cs="Arial"/>
          <w:sz w:val="20"/>
          <w:szCs w:val="20"/>
        </w:rPr>
        <w:t xml:space="preserve">ostudiu či e-learningu (40 %). </w:t>
      </w:r>
      <w:r w:rsidRPr="009123B8">
        <w:rPr>
          <w:rFonts w:ascii="Arial" w:hAnsi="Arial" w:cs="Arial"/>
          <w:sz w:val="20"/>
          <w:szCs w:val="20"/>
        </w:rPr>
        <w:t>Rotace na</w:t>
      </w:r>
      <w:r w:rsidR="007D654B">
        <w:rPr>
          <w:rFonts w:ascii="Arial" w:hAnsi="Arial" w:cs="Arial"/>
          <w:sz w:val="20"/>
          <w:szCs w:val="20"/>
        </w:rPr>
        <w:t xml:space="preserve"> pracovních místech se </w:t>
      </w:r>
      <w:r w:rsidRPr="009123B8">
        <w:rPr>
          <w:rFonts w:ascii="Arial" w:hAnsi="Arial" w:cs="Arial"/>
          <w:sz w:val="20"/>
          <w:szCs w:val="20"/>
        </w:rPr>
        <w:t>zúčast</w:t>
      </w:r>
      <w:r w:rsidR="0057039B">
        <w:rPr>
          <w:rFonts w:ascii="Arial" w:hAnsi="Arial" w:cs="Arial"/>
          <w:sz w:val="20"/>
          <w:szCs w:val="20"/>
        </w:rPr>
        <w:t>n</w:t>
      </w:r>
      <w:r w:rsidRPr="009123B8">
        <w:rPr>
          <w:rFonts w:ascii="Arial" w:hAnsi="Arial" w:cs="Arial"/>
          <w:sz w:val="20"/>
          <w:szCs w:val="20"/>
        </w:rPr>
        <w:t>ila pětina zaměstnanců podniků zajišťujících tuto formu vzdělávání (19 %) a workshopů, seminářů, konferencí, veletrhů, resp. kroužků kvality či vzdělávacích kroužků pak 15 % z nich.</w:t>
      </w:r>
    </w:p>
    <w:p w14:paraId="7ACA1602" w14:textId="276AAAC3" w:rsidR="00FB37A0" w:rsidRPr="009123B8" w:rsidRDefault="00976EF8" w:rsidP="00136A68">
      <w:pPr>
        <w:pStyle w:val="Odstavecseseznamem"/>
        <w:numPr>
          <w:ilvl w:val="0"/>
          <w:numId w:val="20"/>
        </w:numPr>
        <w:jc w:val="both"/>
        <w:rPr>
          <w:rFonts w:ascii="Arial" w:hAnsi="Arial" w:cs="Arial"/>
          <w:sz w:val="20"/>
          <w:szCs w:val="20"/>
        </w:rPr>
      </w:pPr>
      <w:r>
        <w:rPr>
          <w:rFonts w:ascii="Arial" w:hAnsi="Arial" w:cs="Arial"/>
          <w:sz w:val="20"/>
          <w:szCs w:val="20"/>
        </w:rPr>
        <w:t>Co se týče tří nejčastěji navštěvovaných</w:t>
      </w:r>
      <w:r w:rsidR="00FB37A0" w:rsidRPr="009123B8">
        <w:rPr>
          <w:rFonts w:ascii="Arial" w:hAnsi="Arial" w:cs="Arial"/>
          <w:sz w:val="20"/>
          <w:szCs w:val="20"/>
        </w:rPr>
        <w:t xml:space="preserve"> </w:t>
      </w:r>
      <w:r w:rsidR="00FB37A0" w:rsidRPr="001D1345">
        <w:rPr>
          <w:rFonts w:ascii="Arial" w:hAnsi="Arial" w:cs="Arial"/>
          <w:b/>
          <w:sz w:val="20"/>
          <w:szCs w:val="20"/>
        </w:rPr>
        <w:t>for</w:t>
      </w:r>
      <w:r w:rsidRPr="001D1345">
        <w:rPr>
          <w:rFonts w:ascii="Arial" w:hAnsi="Arial" w:cs="Arial"/>
          <w:b/>
          <w:sz w:val="20"/>
          <w:szCs w:val="20"/>
        </w:rPr>
        <w:t>em</w:t>
      </w:r>
      <w:r w:rsidR="00FB37A0" w:rsidRPr="001D1345">
        <w:rPr>
          <w:rFonts w:ascii="Arial" w:hAnsi="Arial" w:cs="Arial"/>
          <w:b/>
          <w:sz w:val="20"/>
          <w:szCs w:val="20"/>
        </w:rPr>
        <w:t xml:space="preserve"> nepovinného vzdělávání</w:t>
      </w:r>
      <w:r w:rsidR="00FB37A0" w:rsidRPr="009123B8">
        <w:rPr>
          <w:rFonts w:ascii="Arial" w:hAnsi="Arial" w:cs="Arial"/>
          <w:sz w:val="20"/>
          <w:szCs w:val="20"/>
        </w:rPr>
        <w:t xml:space="preserve"> (tj. nepovinné kurzy/školení, zaškolování či instruktáž a samostudium/e-learning), byly častěji navštěvované v</w:t>
      </w:r>
      <w:r w:rsidR="00BC3EB2">
        <w:rPr>
          <w:rFonts w:ascii="Arial" w:hAnsi="Arial" w:cs="Arial"/>
          <w:sz w:val="20"/>
          <w:szCs w:val="20"/>
        </w:rPr>
        <w:t> </w:t>
      </w:r>
      <w:r w:rsidR="00FB37A0" w:rsidRPr="009123B8">
        <w:rPr>
          <w:rFonts w:ascii="Arial" w:hAnsi="Arial" w:cs="Arial"/>
          <w:sz w:val="20"/>
          <w:szCs w:val="20"/>
        </w:rPr>
        <w:t>podnicích</w:t>
      </w:r>
      <w:r w:rsidR="00BC3EB2">
        <w:rPr>
          <w:rFonts w:ascii="Arial" w:hAnsi="Arial" w:cs="Arial"/>
          <w:sz w:val="20"/>
          <w:szCs w:val="20"/>
        </w:rPr>
        <w:t xml:space="preserve"> pod zahraniční kontrolou</w:t>
      </w:r>
      <w:r w:rsidR="00FB37A0" w:rsidRPr="009123B8">
        <w:rPr>
          <w:rFonts w:ascii="Arial" w:hAnsi="Arial" w:cs="Arial"/>
          <w:sz w:val="20"/>
          <w:szCs w:val="20"/>
        </w:rPr>
        <w:t>.</w:t>
      </w:r>
    </w:p>
    <w:p w14:paraId="7A23258C" w14:textId="5523F904" w:rsidR="00FB37A0" w:rsidRPr="009123B8" w:rsidRDefault="00FB37A0"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 xml:space="preserve">Mezi podniky zajišťujícími </w:t>
      </w:r>
      <w:r w:rsidRPr="004938A3">
        <w:rPr>
          <w:rFonts w:ascii="Arial" w:hAnsi="Arial" w:cs="Arial"/>
          <w:b/>
          <w:sz w:val="20"/>
          <w:szCs w:val="20"/>
        </w:rPr>
        <w:t>nepovinné kurzy/školení</w:t>
      </w:r>
      <w:r w:rsidRPr="009123B8">
        <w:rPr>
          <w:rFonts w:ascii="Arial" w:hAnsi="Arial" w:cs="Arial"/>
          <w:sz w:val="20"/>
          <w:szCs w:val="20"/>
        </w:rPr>
        <w:t xml:space="preserve"> a </w:t>
      </w:r>
      <w:r w:rsidRPr="004938A3">
        <w:rPr>
          <w:rFonts w:ascii="Arial" w:hAnsi="Arial" w:cs="Arial"/>
          <w:b/>
          <w:sz w:val="20"/>
          <w:szCs w:val="20"/>
        </w:rPr>
        <w:t>samostudium/e-learning</w:t>
      </w:r>
      <w:r w:rsidRPr="009123B8">
        <w:rPr>
          <w:rFonts w:ascii="Arial" w:hAnsi="Arial" w:cs="Arial"/>
          <w:sz w:val="20"/>
          <w:szCs w:val="20"/>
        </w:rPr>
        <w:t xml:space="preserve"> dosáhly vyšší účasti ty zaměřené na </w:t>
      </w:r>
      <w:r w:rsidRPr="004938A3">
        <w:rPr>
          <w:rFonts w:ascii="Arial" w:hAnsi="Arial" w:cs="Arial"/>
          <w:i/>
          <w:sz w:val="20"/>
          <w:szCs w:val="20"/>
        </w:rPr>
        <w:t>peněžnictví a pojišťovnictví</w:t>
      </w:r>
      <w:r w:rsidRPr="009123B8">
        <w:rPr>
          <w:rFonts w:ascii="Arial" w:hAnsi="Arial" w:cs="Arial"/>
          <w:sz w:val="20"/>
          <w:szCs w:val="20"/>
        </w:rPr>
        <w:t xml:space="preserve">, </w:t>
      </w:r>
      <w:r w:rsidRPr="004938A3">
        <w:rPr>
          <w:rFonts w:ascii="Arial" w:hAnsi="Arial" w:cs="Arial"/>
          <w:i/>
          <w:sz w:val="20"/>
          <w:szCs w:val="20"/>
        </w:rPr>
        <w:t>profesní, vědecké a technické činnosti</w:t>
      </w:r>
      <w:r w:rsidRPr="009123B8">
        <w:rPr>
          <w:rFonts w:ascii="Arial" w:hAnsi="Arial" w:cs="Arial"/>
          <w:sz w:val="20"/>
          <w:szCs w:val="20"/>
        </w:rPr>
        <w:t xml:space="preserve"> a </w:t>
      </w:r>
      <w:r w:rsidRPr="004938A3">
        <w:rPr>
          <w:rFonts w:ascii="Arial" w:hAnsi="Arial" w:cs="Arial"/>
          <w:i/>
          <w:sz w:val="20"/>
          <w:szCs w:val="20"/>
        </w:rPr>
        <w:t>informační a komunikační činnosti</w:t>
      </w:r>
      <w:r w:rsidRPr="009123B8">
        <w:rPr>
          <w:rFonts w:ascii="Arial" w:hAnsi="Arial" w:cs="Arial"/>
          <w:sz w:val="20"/>
          <w:szCs w:val="20"/>
        </w:rPr>
        <w:t xml:space="preserve">. Podniky z oblasti </w:t>
      </w:r>
      <w:r w:rsidRPr="001D1345">
        <w:rPr>
          <w:rFonts w:ascii="Arial" w:hAnsi="Arial" w:cs="Arial"/>
          <w:i/>
          <w:sz w:val="20"/>
          <w:szCs w:val="20"/>
        </w:rPr>
        <w:t>peněžnictví a pojišťovnictví</w:t>
      </w:r>
      <w:r w:rsidRPr="009123B8">
        <w:rPr>
          <w:rFonts w:ascii="Arial" w:hAnsi="Arial" w:cs="Arial"/>
          <w:sz w:val="20"/>
          <w:szCs w:val="20"/>
        </w:rPr>
        <w:t xml:space="preserve">, </w:t>
      </w:r>
      <w:r w:rsidRPr="001D1345">
        <w:rPr>
          <w:rFonts w:ascii="Arial" w:hAnsi="Arial" w:cs="Arial"/>
          <w:i/>
          <w:sz w:val="20"/>
          <w:szCs w:val="20"/>
        </w:rPr>
        <w:t>informační a komunikační činnosti</w:t>
      </w:r>
      <w:r w:rsidRPr="009123B8">
        <w:rPr>
          <w:rFonts w:ascii="Arial" w:hAnsi="Arial" w:cs="Arial"/>
          <w:sz w:val="20"/>
          <w:szCs w:val="20"/>
        </w:rPr>
        <w:t xml:space="preserve"> a z oblasti </w:t>
      </w:r>
      <w:r w:rsidRPr="001D1345">
        <w:rPr>
          <w:rFonts w:ascii="Arial" w:hAnsi="Arial" w:cs="Arial"/>
          <w:i/>
          <w:sz w:val="20"/>
          <w:szCs w:val="20"/>
        </w:rPr>
        <w:t xml:space="preserve">kulturní, zábavní a rekreační činnosti </w:t>
      </w:r>
      <w:r w:rsidR="009123B8" w:rsidRPr="009123B8">
        <w:rPr>
          <w:rFonts w:ascii="Arial" w:hAnsi="Arial" w:cs="Arial"/>
          <w:sz w:val="20"/>
          <w:szCs w:val="20"/>
        </w:rPr>
        <w:t xml:space="preserve">naopak zaznamenaly nejnižší účast </w:t>
      </w:r>
      <w:r w:rsidR="009123B8" w:rsidRPr="004938A3">
        <w:rPr>
          <w:rFonts w:ascii="Arial" w:hAnsi="Arial" w:cs="Arial"/>
          <w:b/>
          <w:sz w:val="20"/>
          <w:szCs w:val="20"/>
        </w:rPr>
        <w:t>v zaškolování a instruktážích</w:t>
      </w:r>
      <w:r w:rsidR="00976EF8">
        <w:rPr>
          <w:rFonts w:ascii="Arial" w:hAnsi="Arial" w:cs="Arial"/>
          <w:sz w:val="20"/>
          <w:szCs w:val="20"/>
        </w:rPr>
        <w:t>. N</w:t>
      </w:r>
      <w:r w:rsidR="009123B8" w:rsidRPr="009123B8">
        <w:rPr>
          <w:rFonts w:ascii="Arial" w:hAnsi="Arial" w:cs="Arial"/>
          <w:sz w:val="20"/>
          <w:szCs w:val="20"/>
        </w:rPr>
        <w:t xml:space="preserve">ejvyšší účast </w:t>
      </w:r>
      <w:r w:rsidR="00976EF8">
        <w:rPr>
          <w:rFonts w:ascii="Arial" w:hAnsi="Arial" w:cs="Arial"/>
          <w:sz w:val="20"/>
          <w:szCs w:val="20"/>
        </w:rPr>
        <w:t xml:space="preserve">v tomto vzdělávání byla </w:t>
      </w:r>
      <w:r w:rsidR="009123B8" w:rsidRPr="009123B8">
        <w:rPr>
          <w:rFonts w:ascii="Arial" w:hAnsi="Arial" w:cs="Arial"/>
          <w:sz w:val="20"/>
          <w:szCs w:val="20"/>
        </w:rPr>
        <w:t xml:space="preserve">v podnicích zaměřených na </w:t>
      </w:r>
      <w:r w:rsidR="009123B8" w:rsidRPr="004938A3">
        <w:rPr>
          <w:rFonts w:ascii="Arial" w:hAnsi="Arial" w:cs="Arial"/>
          <w:i/>
          <w:sz w:val="20"/>
          <w:szCs w:val="20"/>
        </w:rPr>
        <w:t>velkoobchod, maloobchod a opravy motorových vozidel</w:t>
      </w:r>
      <w:r w:rsidR="009123B8" w:rsidRPr="009123B8">
        <w:rPr>
          <w:rFonts w:ascii="Arial" w:hAnsi="Arial" w:cs="Arial"/>
          <w:sz w:val="20"/>
          <w:szCs w:val="20"/>
        </w:rPr>
        <w:t xml:space="preserve">, </w:t>
      </w:r>
      <w:r w:rsidR="004938A3">
        <w:rPr>
          <w:rFonts w:ascii="Arial" w:hAnsi="Arial" w:cs="Arial"/>
          <w:sz w:val="20"/>
          <w:szCs w:val="20"/>
        </w:rPr>
        <w:t xml:space="preserve">na </w:t>
      </w:r>
      <w:r w:rsidR="004938A3">
        <w:rPr>
          <w:rFonts w:ascii="Arial" w:hAnsi="Arial" w:cs="Arial"/>
          <w:i/>
          <w:sz w:val="20"/>
          <w:szCs w:val="20"/>
        </w:rPr>
        <w:t>ubytování</w:t>
      </w:r>
      <w:r w:rsidR="009123B8" w:rsidRPr="004938A3">
        <w:rPr>
          <w:rFonts w:ascii="Arial" w:hAnsi="Arial" w:cs="Arial"/>
          <w:i/>
          <w:sz w:val="20"/>
          <w:szCs w:val="20"/>
        </w:rPr>
        <w:t xml:space="preserve"> stravování a pohostinství</w:t>
      </w:r>
      <w:r w:rsidR="009123B8" w:rsidRPr="009123B8">
        <w:rPr>
          <w:rFonts w:ascii="Arial" w:hAnsi="Arial" w:cs="Arial"/>
          <w:sz w:val="20"/>
          <w:szCs w:val="20"/>
        </w:rPr>
        <w:t xml:space="preserve"> a na </w:t>
      </w:r>
      <w:r w:rsidR="009123B8" w:rsidRPr="004938A3">
        <w:rPr>
          <w:rFonts w:ascii="Arial" w:hAnsi="Arial" w:cs="Arial"/>
          <w:i/>
          <w:sz w:val="20"/>
          <w:szCs w:val="20"/>
        </w:rPr>
        <w:t>nemovitosti, administrativu a podpůrné činnosti</w:t>
      </w:r>
      <w:r w:rsidR="009123B8" w:rsidRPr="009123B8">
        <w:rPr>
          <w:rFonts w:ascii="Arial" w:hAnsi="Arial" w:cs="Arial"/>
          <w:sz w:val="20"/>
          <w:szCs w:val="20"/>
        </w:rPr>
        <w:t>.</w:t>
      </w:r>
    </w:p>
    <w:p w14:paraId="7673EE2B" w14:textId="1BE1EE13" w:rsidR="009123B8" w:rsidRPr="009123B8" w:rsidRDefault="004938A3" w:rsidP="00136A68">
      <w:pPr>
        <w:pStyle w:val="Odstavecseseznamem"/>
        <w:numPr>
          <w:ilvl w:val="0"/>
          <w:numId w:val="20"/>
        </w:numPr>
        <w:jc w:val="both"/>
        <w:rPr>
          <w:rFonts w:ascii="Arial" w:hAnsi="Arial" w:cs="Arial"/>
          <w:sz w:val="20"/>
          <w:szCs w:val="20"/>
        </w:rPr>
      </w:pPr>
      <w:r>
        <w:rPr>
          <w:rFonts w:ascii="Arial" w:hAnsi="Arial" w:cs="Arial"/>
          <w:sz w:val="20"/>
          <w:szCs w:val="20"/>
        </w:rPr>
        <w:t>K</w:t>
      </w:r>
      <w:r w:rsidR="009123B8" w:rsidRPr="009123B8">
        <w:rPr>
          <w:rFonts w:ascii="Arial" w:hAnsi="Arial" w:cs="Arial"/>
          <w:sz w:val="20"/>
          <w:szCs w:val="20"/>
        </w:rPr>
        <w:t xml:space="preserve">urzů/školení, které nevyplývají ze zákona, se </w:t>
      </w:r>
      <w:r w:rsidR="00F405ED">
        <w:rPr>
          <w:rFonts w:ascii="Arial" w:hAnsi="Arial" w:cs="Arial"/>
          <w:sz w:val="20"/>
          <w:szCs w:val="20"/>
        </w:rPr>
        <w:t>v podnicích, které je zajišťovaly</w:t>
      </w:r>
      <w:r w:rsidR="00976EF8">
        <w:rPr>
          <w:rFonts w:ascii="Arial" w:hAnsi="Arial" w:cs="Arial"/>
          <w:sz w:val="20"/>
          <w:szCs w:val="20"/>
        </w:rPr>
        <w:t xml:space="preserve">, </w:t>
      </w:r>
      <w:r w:rsidR="001D1345">
        <w:rPr>
          <w:rFonts w:ascii="Arial" w:hAnsi="Arial" w:cs="Arial"/>
          <w:sz w:val="20"/>
          <w:szCs w:val="20"/>
        </w:rPr>
        <w:t>zúčastnil srovnatelný podíl mužů</w:t>
      </w:r>
      <w:r w:rsidR="009123B8" w:rsidRPr="009123B8">
        <w:rPr>
          <w:rFonts w:ascii="Arial" w:hAnsi="Arial" w:cs="Arial"/>
          <w:sz w:val="20"/>
          <w:szCs w:val="20"/>
        </w:rPr>
        <w:t xml:space="preserve"> </w:t>
      </w:r>
      <w:r w:rsidR="001D1345">
        <w:rPr>
          <w:rFonts w:ascii="Arial" w:hAnsi="Arial" w:cs="Arial"/>
          <w:sz w:val="20"/>
          <w:szCs w:val="20"/>
        </w:rPr>
        <w:t>(</w:t>
      </w:r>
      <w:r w:rsidR="008F1CAE">
        <w:rPr>
          <w:rFonts w:ascii="Arial" w:hAnsi="Arial" w:cs="Arial"/>
          <w:sz w:val="20"/>
          <w:szCs w:val="20"/>
        </w:rPr>
        <w:t>40</w:t>
      </w:r>
      <w:r w:rsidR="009123B8" w:rsidRPr="009123B8">
        <w:rPr>
          <w:rFonts w:ascii="Arial" w:hAnsi="Arial" w:cs="Arial"/>
          <w:sz w:val="20"/>
          <w:szCs w:val="20"/>
        </w:rPr>
        <w:t> %</w:t>
      </w:r>
      <w:r w:rsidR="001D1345">
        <w:rPr>
          <w:rFonts w:ascii="Arial" w:hAnsi="Arial" w:cs="Arial"/>
          <w:sz w:val="20"/>
          <w:szCs w:val="20"/>
        </w:rPr>
        <w:t xml:space="preserve">) </w:t>
      </w:r>
      <w:r w:rsidR="009123B8" w:rsidRPr="009123B8">
        <w:rPr>
          <w:rFonts w:ascii="Arial" w:hAnsi="Arial" w:cs="Arial"/>
          <w:sz w:val="20"/>
          <w:szCs w:val="20"/>
        </w:rPr>
        <w:t xml:space="preserve">a </w:t>
      </w:r>
      <w:r w:rsidR="001D1345">
        <w:rPr>
          <w:rFonts w:ascii="Arial" w:hAnsi="Arial" w:cs="Arial"/>
          <w:sz w:val="20"/>
          <w:szCs w:val="20"/>
        </w:rPr>
        <w:t>žen (</w:t>
      </w:r>
      <w:r w:rsidR="008F1CAE">
        <w:rPr>
          <w:rFonts w:ascii="Arial" w:hAnsi="Arial" w:cs="Arial"/>
          <w:sz w:val="20"/>
          <w:szCs w:val="20"/>
        </w:rPr>
        <w:t>41</w:t>
      </w:r>
      <w:r w:rsidR="009123B8" w:rsidRPr="009123B8">
        <w:rPr>
          <w:rFonts w:ascii="Arial" w:hAnsi="Arial" w:cs="Arial"/>
          <w:sz w:val="20"/>
          <w:szCs w:val="20"/>
        </w:rPr>
        <w:t> %</w:t>
      </w:r>
      <w:r w:rsidR="001D1345">
        <w:rPr>
          <w:rFonts w:ascii="Arial" w:hAnsi="Arial" w:cs="Arial"/>
          <w:sz w:val="20"/>
          <w:szCs w:val="20"/>
        </w:rPr>
        <w:t>)</w:t>
      </w:r>
      <w:r w:rsidR="009123B8" w:rsidRPr="009123B8">
        <w:rPr>
          <w:rFonts w:ascii="Arial" w:hAnsi="Arial" w:cs="Arial"/>
          <w:sz w:val="20"/>
          <w:szCs w:val="20"/>
        </w:rPr>
        <w:t xml:space="preserve">. </w:t>
      </w:r>
    </w:p>
    <w:p w14:paraId="64E27EB9" w14:textId="2A794503" w:rsidR="009123B8" w:rsidRPr="009123B8" w:rsidRDefault="009123B8"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 xml:space="preserve">Celkově připadalo na jednoho zaměstnance </w:t>
      </w:r>
      <w:r w:rsidRPr="009123B8">
        <w:rPr>
          <w:rFonts w:ascii="Arial" w:hAnsi="Arial" w:cs="Arial"/>
          <w:b/>
          <w:sz w:val="20"/>
          <w:szCs w:val="20"/>
        </w:rPr>
        <w:t>všech podniků</w:t>
      </w:r>
      <w:r w:rsidRPr="009123B8">
        <w:rPr>
          <w:rFonts w:ascii="Arial" w:hAnsi="Arial" w:cs="Arial"/>
          <w:sz w:val="20"/>
          <w:szCs w:val="20"/>
        </w:rPr>
        <w:t xml:space="preserve"> 8,2 hodiny pracovní doby strávené v kurzech/školeních. Hodin strávených v povinných kurzech/školeních bylo přitom o něco méně (3,7) než v těch nepovinných (4,5).</w:t>
      </w:r>
    </w:p>
    <w:p w14:paraId="219F5C76" w14:textId="7E0ADC10" w:rsidR="009123B8" w:rsidRPr="009123B8" w:rsidRDefault="00976EF8" w:rsidP="00136A68">
      <w:pPr>
        <w:pStyle w:val="Odstavecseseznamem"/>
        <w:numPr>
          <w:ilvl w:val="0"/>
          <w:numId w:val="20"/>
        </w:numPr>
        <w:jc w:val="both"/>
        <w:rPr>
          <w:rFonts w:ascii="Arial" w:hAnsi="Arial" w:cs="Arial"/>
          <w:sz w:val="20"/>
          <w:szCs w:val="20"/>
        </w:rPr>
      </w:pPr>
      <w:r>
        <w:rPr>
          <w:rFonts w:ascii="Arial" w:hAnsi="Arial" w:cs="Arial"/>
          <w:sz w:val="20"/>
          <w:szCs w:val="20"/>
        </w:rPr>
        <w:t xml:space="preserve">Mnohem </w:t>
      </w:r>
      <w:r w:rsidR="009123B8" w:rsidRPr="009123B8">
        <w:rPr>
          <w:rFonts w:ascii="Arial" w:hAnsi="Arial" w:cs="Arial"/>
          <w:sz w:val="20"/>
          <w:szCs w:val="20"/>
        </w:rPr>
        <w:t xml:space="preserve">větší rozdíl lze shledat v počtu hodin </w:t>
      </w:r>
      <w:r w:rsidR="007D654B">
        <w:rPr>
          <w:rFonts w:ascii="Arial" w:hAnsi="Arial" w:cs="Arial"/>
          <w:b/>
          <w:sz w:val="20"/>
          <w:szCs w:val="20"/>
        </w:rPr>
        <w:t>na jednoho</w:t>
      </w:r>
      <w:r w:rsidR="009123B8" w:rsidRPr="009123B8">
        <w:rPr>
          <w:rFonts w:ascii="Arial" w:hAnsi="Arial" w:cs="Arial"/>
          <w:b/>
          <w:sz w:val="20"/>
          <w:szCs w:val="20"/>
        </w:rPr>
        <w:t xml:space="preserve"> účastníka dané formy vzdělávání</w:t>
      </w:r>
      <w:r w:rsidR="007D654B">
        <w:rPr>
          <w:rFonts w:ascii="Arial" w:hAnsi="Arial" w:cs="Arial"/>
          <w:sz w:val="20"/>
          <w:szCs w:val="20"/>
        </w:rPr>
        <w:t>. Zatímco na jednoho</w:t>
      </w:r>
      <w:r w:rsidR="009123B8" w:rsidRPr="009123B8">
        <w:rPr>
          <w:rFonts w:ascii="Arial" w:hAnsi="Arial" w:cs="Arial"/>
          <w:sz w:val="20"/>
          <w:szCs w:val="20"/>
        </w:rPr>
        <w:t xml:space="preserve"> účastníka povinných kurzů/školení připadlo 4,9 hodiny pracovní doby </w:t>
      </w:r>
      <w:r w:rsidR="007D654B">
        <w:rPr>
          <w:rFonts w:ascii="Arial" w:hAnsi="Arial" w:cs="Arial"/>
          <w:sz w:val="20"/>
          <w:szCs w:val="20"/>
        </w:rPr>
        <w:t>věnované tomuto vzdělávání, na jednoho</w:t>
      </w:r>
      <w:r w:rsidR="009123B8" w:rsidRPr="009123B8">
        <w:rPr>
          <w:rFonts w:ascii="Arial" w:hAnsi="Arial" w:cs="Arial"/>
          <w:sz w:val="20"/>
          <w:szCs w:val="20"/>
        </w:rPr>
        <w:t xml:space="preserve"> účastníka nepovinných kurzů/školení je to 15 hodin.</w:t>
      </w:r>
    </w:p>
    <w:p w14:paraId="6F1326A1" w14:textId="3C4280BA" w:rsidR="009123B8" w:rsidRPr="009123B8" w:rsidRDefault="009123B8"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 xml:space="preserve">Co se týče dělení dle hlavní ekonomické činnosti podniku, pro účast </w:t>
      </w:r>
      <w:r w:rsidRPr="00976EF8">
        <w:rPr>
          <w:rFonts w:ascii="Arial" w:hAnsi="Arial" w:cs="Arial"/>
          <w:b/>
          <w:sz w:val="20"/>
          <w:szCs w:val="20"/>
        </w:rPr>
        <w:t xml:space="preserve">v nepovinných </w:t>
      </w:r>
      <w:r w:rsidR="00976EF8" w:rsidRPr="00976EF8">
        <w:rPr>
          <w:rFonts w:ascii="Arial" w:hAnsi="Arial" w:cs="Arial"/>
          <w:b/>
          <w:sz w:val="20"/>
          <w:szCs w:val="20"/>
        </w:rPr>
        <w:t xml:space="preserve">kurzech či </w:t>
      </w:r>
      <w:r w:rsidRPr="00976EF8">
        <w:rPr>
          <w:rFonts w:ascii="Arial" w:hAnsi="Arial" w:cs="Arial"/>
          <w:b/>
          <w:sz w:val="20"/>
          <w:szCs w:val="20"/>
        </w:rPr>
        <w:t>školeních</w:t>
      </w:r>
      <w:r w:rsidRPr="009123B8">
        <w:rPr>
          <w:rFonts w:ascii="Arial" w:hAnsi="Arial" w:cs="Arial"/>
          <w:sz w:val="20"/>
          <w:szCs w:val="20"/>
        </w:rPr>
        <w:t xml:space="preserve"> své zaměstnance nejvíce uvolňovaly podniky z oblasti </w:t>
      </w:r>
      <w:r w:rsidRPr="009123B8">
        <w:rPr>
          <w:rFonts w:ascii="Arial" w:hAnsi="Arial" w:cs="Arial"/>
          <w:i/>
          <w:sz w:val="20"/>
          <w:szCs w:val="20"/>
        </w:rPr>
        <w:t>peněžnictví a pojišťovnictví</w:t>
      </w:r>
      <w:r w:rsidRPr="009123B8">
        <w:rPr>
          <w:rFonts w:ascii="Arial" w:hAnsi="Arial" w:cs="Arial"/>
          <w:sz w:val="20"/>
          <w:szCs w:val="20"/>
        </w:rPr>
        <w:t xml:space="preserve"> (</w:t>
      </w:r>
      <w:r w:rsidR="00976EF8">
        <w:rPr>
          <w:rFonts w:ascii="Arial" w:hAnsi="Arial" w:cs="Arial"/>
          <w:sz w:val="20"/>
          <w:szCs w:val="20"/>
        </w:rPr>
        <w:t>v </w:t>
      </w:r>
      <w:r w:rsidRPr="009123B8">
        <w:rPr>
          <w:rFonts w:ascii="Arial" w:hAnsi="Arial" w:cs="Arial"/>
          <w:sz w:val="20"/>
          <w:szCs w:val="20"/>
        </w:rPr>
        <w:t xml:space="preserve">průměru na 24,1 hodiny na osobu), následovaly podniky z oblasti </w:t>
      </w:r>
      <w:r w:rsidRPr="009123B8">
        <w:rPr>
          <w:rFonts w:ascii="Arial" w:hAnsi="Arial" w:cs="Arial"/>
          <w:i/>
          <w:sz w:val="20"/>
          <w:szCs w:val="20"/>
        </w:rPr>
        <w:t>profesní, vědecké a technické činnosti</w:t>
      </w:r>
      <w:r w:rsidRPr="009123B8">
        <w:rPr>
          <w:rFonts w:ascii="Arial" w:hAnsi="Arial" w:cs="Arial"/>
          <w:sz w:val="20"/>
          <w:szCs w:val="20"/>
        </w:rPr>
        <w:t xml:space="preserve"> (20,1) </w:t>
      </w:r>
      <w:r w:rsidRPr="009123B8">
        <w:rPr>
          <w:rFonts w:ascii="Arial" w:hAnsi="Arial" w:cs="Arial"/>
          <w:i/>
          <w:sz w:val="20"/>
          <w:szCs w:val="20"/>
        </w:rPr>
        <w:t>a informační a komunikační činnosti</w:t>
      </w:r>
      <w:r w:rsidRPr="009123B8">
        <w:rPr>
          <w:rFonts w:ascii="Arial" w:hAnsi="Arial" w:cs="Arial"/>
          <w:sz w:val="20"/>
          <w:szCs w:val="20"/>
        </w:rPr>
        <w:t xml:space="preserve"> (19,4). Naopak nejméně hodin placené pracovní doby na účastníka připadlo v podnicích věnujících se </w:t>
      </w:r>
      <w:r w:rsidRPr="009123B8">
        <w:rPr>
          <w:rFonts w:ascii="Arial" w:hAnsi="Arial" w:cs="Arial"/>
          <w:i/>
          <w:sz w:val="20"/>
          <w:szCs w:val="20"/>
        </w:rPr>
        <w:t>kulturním, zábavním a rekreačním činnostem</w:t>
      </w:r>
      <w:r w:rsidRPr="009123B8">
        <w:rPr>
          <w:rFonts w:ascii="Arial" w:hAnsi="Arial" w:cs="Arial"/>
          <w:sz w:val="20"/>
          <w:szCs w:val="20"/>
        </w:rPr>
        <w:t xml:space="preserve"> (11,2) a </w:t>
      </w:r>
      <w:r w:rsidRPr="009123B8">
        <w:rPr>
          <w:rFonts w:ascii="Arial" w:hAnsi="Arial" w:cs="Arial"/>
          <w:i/>
          <w:sz w:val="20"/>
          <w:szCs w:val="20"/>
        </w:rPr>
        <w:t>velkoobchodu, maloobchodu a opravě vozidel</w:t>
      </w:r>
      <w:r w:rsidRPr="009123B8">
        <w:rPr>
          <w:rFonts w:ascii="Arial" w:hAnsi="Arial" w:cs="Arial"/>
          <w:sz w:val="20"/>
          <w:szCs w:val="20"/>
        </w:rPr>
        <w:t xml:space="preserve"> (11,5).</w:t>
      </w:r>
    </w:p>
    <w:p w14:paraId="2D3D0173" w14:textId="78ACF752" w:rsidR="009123B8" w:rsidRPr="009123B8" w:rsidRDefault="00136A68" w:rsidP="00136A68">
      <w:pPr>
        <w:pStyle w:val="Odstavecseseznamem"/>
        <w:numPr>
          <w:ilvl w:val="0"/>
          <w:numId w:val="20"/>
        </w:numPr>
        <w:jc w:val="both"/>
        <w:rPr>
          <w:rFonts w:ascii="Arial" w:hAnsi="Arial" w:cs="Arial"/>
          <w:sz w:val="20"/>
          <w:szCs w:val="20"/>
        </w:rPr>
      </w:pPr>
      <w:r>
        <w:rPr>
          <w:rFonts w:ascii="Arial" w:hAnsi="Arial" w:cs="Arial"/>
          <w:sz w:val="20"/>
          <w:szCs w:val="20"/>
        </w:rPr>
        <w:t>Celkově bylo kurzům/</w:t>
      </w:r>
      <w:r w:rsidR="009123B8" w:rsidRPr="009123B8">
        <w:rPr>
          <w:rFonts w:ascii="Arial" w:hAnsi="Arial" w:cs="Arial"/>
          <w:sz w:val="20"/>
          <w:szCs w:val="20"/>
        </w:rPr>
        <w:t xml:space="preserve">školením věnováno 0,5 % </w:t>
      </w:r>
      <w:r w:rsidR="009123B8" w:rsidRPr="00775D00">
        <w:rPr>
          <w:rFonts w:ascii="Arial" w:hAnsi="Arial" w:cs="Arial"/>
          <w:b/>
          <w:sz w:val="20"/>
          <w:szCs w:val="20"/>
        </w:rPr>
        <w:t>z odpracované doby</w:t>
      </w:r>
      <w:r w:rsidR="009123B8" w:rsidRPr="009123B8">
        <w:rPr>
          <w:rFonts w:ascii="Arial" w:hAnsi="Arial" w:cs="Arial"/>
          <w:sz w:val="20"/>
          <w:szCs w:val="20"/>
        </w:rPr>
        <w:t xml:space="preserve"> zaměstnanců ve všech podnicích.  Přitom 0,2 % připadaly</w:t>
      </w:r>
      <w:r w:rsidR="004938A3">
        <w:rPr>
          <w:rFonts w:ascii="Arial" w:hAnsi="Arial" w:cs="Arial"/>
          <w:sz w:val="20"/>
          <w:szCs w:val="20"/>
        </w:rPr>
        <w:t xml:space="preserve"> na povinné kurzy/</w:t>
      </w:r>
      <w:r w:rsidR="009123B8" w:rsidRPr="009123B8">
        <w:rPr>
          <w:rFonts w:ascii="Arial" w:hAnsi="Arial" w:cs="Arial"/>
          <w:sz w:val="20"/>
          <w:szCs w:val="20"/>
        </w:rPr>
        <w:t>školení a 0,3 % na nepovinné.</w:t>
      </w:r>
    </w:p>
    <w:p w14:paraId="106CA648" w14:textId="77777777" w:rsidR="004938A3" w:rsidRDefault="009123B8"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Nepovinným kurzům/školením byl věnován vyšší podíl odpracované doby v podnicích s 250 a více zaměstnanci (0,4 %) než v podnicích s nižším počtem zaměstnanců (ve zbylých třech sledovaných</w:t>
      </w:r>
      <w:r w:rsidR="00976EF8">
        <w:rPr>
          <w:rFonts w:ascii="Arial" w:hAnsi="Arial" w:cs="Arial"/>
          <w:sz w:val="20"/>
          <w:szCs w:val="20"/>
        </w:rPr>
        <w:t xml:space="preserve"> kategoriích shodně 0,2 %</w:t>
      </w:r>
      <w:r w:rsidRPr="009123B8">
        <w:rPr>
          <w:rFonts w:ascii="Arial" w:hAnsi="Arial" w:cs="Arial"/>
          <w:sz w:val="20"/>
          <w:szCs w:val="20"/>
        </w:rPr>
        <w:t xml:space="preserve">). </w:t>
      </w:r>
    </w:p>
    <w:p w14:paraId="421BC63A" w14:textId="4CF32538" w:rsidR="00976EF8" w:rsidRDefault="00775D00" w:rsidP="00136A68">
      <w:pPr>
        <w:pStyle w:val="Odstavecseseznamem"/>
        <w:numPr>
          <w:ilvl w:val="0"/>
          <w:numId w:val="20"/>
        </w:numPr>
        <w:jc w:val="both"/>
        <w:rPr>
          <w:rFonts w:ascii="Arial" w:hAnsi="Arial" w:cs="Arial"/>
          <w:sz w:val="20"/>
          <w:szCs w:val="20"/>
        </w:rPr>
      </w:pPr>
      <w:r>
        <w:rPr>
          <w:rFonts w:ascii="Arial" w:hAnsi="Arial" w:cs="Arial"/>
          <w:sz w:val="20"/>
          <w:szCs w:val="20"/>
        </w:rPr>
        <w:t>Obdobně byl nepovinným kurzům</w:t>
      </w:r>
      <w:r w:rsidR="009123B8" w:rsidRPr="009123B8">
        <w:rPr>
          <w:rFonts w:ascii="Arial" w:hAnsi="Arial" w:cs="Arial"/>
          <w:sz w:val="20"/>
          <w:szCs w:val="20"/>
        </w:rPr>
        <w:t xml:space="preserve">/školením věnován vyšší podíl odpracované doby v podnicích </w:t>
      </w:r>
      <w:r w:rsidR="00BC3EB2">
        <w:rPr>
          <w:rFonts w:ascii="Arial" w:hAnsi="Arial" w:cs="Arial"/>
          <w:sz w:val="20"/>
          <w:szCs w:val="20"/>
        </w:rPr>
        <w:t>pod zahraniční kontrolou</w:t>
      </w:r>
      <w:r w:rsidR="009123B8" w:rsidRPr="009123B8">
        <w:rPr>
          <w:rFonts w:ascii="Arial" w:hAnsi="Arial" w:cs="Arial"/>
          <w:sz w:val="20"/>
          <w:szCs w:val="20"/>
        </w:rPr>
        <w:t xml:space="preserve"> (0,4 %) než v podnicích </w:t>
      </w:r>
      <w:r w:rsidR="00BC3EB2">
        <w:rPr>
          <w:rFonts w:ascii="Arial" w:hAnsi="Arial" w:cs="Arial"/>
          <w:sz w:val="20"/>
          <w:szCs w:val="20"/>
        </w:rPr>
        <w:t>domácích</w:t>
      </w:r>
      <w:r w:rsidR="009123B8" w:rsidRPr="009123B8">
        <w:rPr>
          <w:rFonts w:ascii="Arial" w:hAnsi="Arial" w:cs="Arial"/>
          <w:sz w:val="20"/>
          <w:szCs w:val="20"/>
        </w:rPr>
        <w:t xml:space="preserve"> (0,2 %). </w:t>
      </w:r>
    </w:p>
    <w:p w14:paraId="2AF4F2C1" w14:textId="1A60B2AB" w:rsidR="009123B8" w:rsidRPr="009123B8" w:rsidRDefault="009123B8" w:rsidP="00136A68">
      <w:pPr>
        <w:pStyle w:val="Odstavecseseznamem"/>
        <w:numPr>
          <w:ilvl w:val="0"/>
          <w:numId w:val="20"/>
        </w:numPr>
        <w:jc w:val="both"/>
        <w:rPr>
          <w:rFonts w:ascii="Arial" w:hAnsi="Arial" w:cs="Arial"/>
          <w:sz w:val="20"/>
          <w:szCs w:val="20"/>
        </w:rPr>
      </w:pPr>
      <w:r w:rsidRPr="009123B8">
        <w:rPr>
          <w:rFonts w:ascii="Arial" w:hAnsi="Arial" w:cs="Arial"/>
          <w:sz w:val="20"/>
          <w:szCs w:val="20"/>
        </w:rPr>
        <w:t xml:space="preserve">Co se týče dělení dle převažující ekonomické činnosti, zdaleka nejvyšší podíl placené pracovní doby byl </w:t>
      </w:r>
      <w:r w:rsidRPr="004938A3">
        <w:rPr>
          <w:rFonts w:ascii="Arial" w:hAnsi="Arial" w:cs="Arial"/>
          <w:sz w:val="20"/>
          <w:szCs w:val="20"/>
        </w:rPr>
        <w:t>nepovinným kurzům/školením</w:t>
      </w:r>
      <w:r w:rsidRPr="009123B8">
        <w:rPr>
          <w:rFonts w:ascii="Arial" w:hAnsi="Arial" w:cs="Arial"/>
          <w:sz w:val="20"/>
          <w:szCs w:val="20"/>
        </w:rPr>
        <w:t xml:space="preserve"> </w:t>
      </w:r>
      <w:r w:rsidR="00976EF8">
        <w:rPr>
          <w:rFonts w:ascii="Arial" w:hAnsi="Arial" w:cs="Arial"/>
          <w:sz w:val="20"/>
          <w:szCs w:val="20"/>
        </w:rPr>
        <w:t xml:space="preserve">v roce 2020 </w:t>
      </w:r>
      <w:r w:rsidRPr="009123B8">
        <w:rPr>
          <w:rFonts w:ascii="Arial" w:hAnsi="Arial" w:cs="Arial"/>
          <w:sz w:val="20"/>
          <w:szCs w:val="20"/>
        </w:rPr>
        <w:t xml:space="preserve">věnován v podnicích zaměřených na </w:t>
      </w:r>
      <w:r w:rsidRPr="009123B8">
        <w:rPr>
          <w:rFonts w:ascii="Arial" w:hAnsi="Arial" w:cs="Arial"/>
          <w:i/>
          <w:sz w:val="20"/>
          <w:szCs w:val="20"/>
        </w:rPr>
        <w:t>peněžnictví a pojišťovnictví</w:t>
      </w:r>
      <w:r w:rsidRPr="009123B8">
        <w:rPr>
          <w:rFonts w:ascii="Arial" w:hAnsi="Arial" w:cs="Arial"/>
          <w:sz w:val="20"/>
          <w:szCs w:val="20"/>
        </w:rPr>
        <w:t xml:space="preserve"> (1,2 %), se značným propadem následují podniky věnované </w:t>
      </w:r>
      <w:r w:rsidRPr="009123B8">
        <w:rPr>
          <w:rFonts w:ascii="Arial" w:hAnsi="Arial" w:cs="Arial"/>
          <w:i/>
          <w:sz w:val="20"/>
          <w:szCs w:val="20"/>
        </w:rPr>
        <w:t>profesní, vědecké a technické činnosti</w:t>
      </w:r>
      <w:r w:rsidRPr="009123B8">
        <w:rPr>
          <w:rFonts w:ascii="Arial" w:hAnsi="Arial" w:cs="Arial"/>
          <w:sz w:val="20"/>
          <w:szCs w:val="20"/>
        </w:rPr>
        <w:t xml:space="preserve"> (0,6 %) a </w:t>
      </w:r>
      <w:r w:rsidRPr="009123B8">
        <w:rPr>
          <w:rFonts w:ascii="Arial" w:hAnsi="Arial" w:cs="Arial"/>
          <w:i/>
          <w:sz w:val="20"/>
          <w:szCs w:val="20"/>
        </w:rPr>
        <w:t>informační a komunikační činnosti</w:t>
      </w:r>
      <w:r w:rsidRPr="009123B8">
        <w:rPr>
          <w:rFonts w:ascii="Arial" w:hAnsi="Arial" w:cs="Arial"/>
          <w:sz w:val="20"/>
          <w:szCs w:val="20"/>
        </w:rPr>
        <w:t xml:space="preserve"> (0,6 %).</w:t>
      </w:r>
    </w:p>
    <w:p w14:paraId="0CC4ED49" w14:textId="03B8F8F6" w:rsidR="003750D3" w:rsidRDefault="003750D3" w:rsidP="00076D6E">
      <w:pPr>
        <w:pStyle w:val="Nadpis2"/>
        <w:spacing w:after="120"/>
      </w:pPr>
      <w:bookmarkStart w:id="10" w:name="_Toc126664218"/>
      <w:r>
        <w:lastRenderedPageBreak/>
        <w:t>2.1 Podíl účastníků vzdělávání v podnicích</w:t>
      </w:r>
      <w:bookmarkEnd w:id="10"/>
    </w:p>
    <w:p w14:paraId="52D806DA" w14:textId="72EFD05E" w:rsidR="00076D6E" w:rsidRDefault="00076D6E" w:rsidP="00076D6E">
      <w:pPr>
        <w:keepNext/>
        <w:spacing w:after="120"/>
        <w:jc w:val="both"/>
        <w:rPr>
          <w:rFonts w:cs="Arial"/>
          <w:szCs w:val="20"/>
        </w:rPr>
      </w:pPr>
      <w:r>
        <w:rPr>
          <w:rFonts w:cs="Arial"/>
          <w:szCs w:val="20"/>
        </w:rPr>
        <w:t xml:space="preserve">Jak již bylo v první kapitole zmíněno, do vzdělávání zajišťovaného podniky patří jednak povinné vzdělávání (BOZP, PO) a dále několik druhů vzdělávání nepovinného. Přitom nejvyšší účast byla zaznamenána v povinném vzdělávání.  </w:t>
      </w:r>
      <w:r w:rsidR="0003587B">
        <w:rPr>
          <w:rFonts w:cs="Arial"/>
          <w:szCs w:val="20"/>
        </w:rPr>
        <w:t>Ze zákona povinných kurzů/školení se v podnicích, které je zajišťovaly, účastnily čtyři pětiny všech zaměstnanců (8</w:t>
      </w:r>
      <w:r w:rsidR="008F1CAE">
        <w:rPr>
          <w:rFonts w:cs="Arial"/>
          <w:szCs w:val="20"/>
        </w:rPr>
        <w:t>1</w:t>
      </w:r>
      <w:r w:rsidR="0003587B">
        <w:rPr>
          <w:rFonts w:cs="Arial"/>
          <w:szCs w:val="20"/>
        </w:rPr>
        <w:t xml:space="preserve">%). </w:t>
      </w:r>
    </w:p>
    <w:p w14:paraId="3CE3CD39" w14:textId="068785DD" w:rsidR="0003587B" w:rsidRDefault="0003587B" w:rsidP="00076D6E">
      <w:pPr>
        <w:keepNext/>
        <w:spacing w:after="120"/>
        <w:jc w:val="both"/>
        <w:rPr>
          <w:rFonts w:cs="Arial"/>
          <w:szCs w:val="20"/>
        </w:rPr>
      </w:pPr>
      <w:r>
        <w:rPr>
          <w:rFonts w:cs="Arial"/>
          <w:szCs w:val="20"/>
        </w:rPr>
        <w:t>Ostatní formy již pochopitelně ani zdaleka nedosahovaly takové účasti. Podniky, které zajišťovaly kurzy/školení nevyplývající ze zákona jako povinné, zaznamenaly v takových kurzech</w:t>
      </w:r>
      <w:r w:rsidR="007809C2">
        <w:rPr>
          <w:rFonts w:cs="Arial"/>
          <w:szCs w:val="20"/>
        </w:rPr>
        <w:t>/školeních</w:t>
      </w:r>
      <w:r>
        <w:rPr>
          <w:rFonts w:cs="Arial"/>
          <w:szCs w:val="20"/>
        </w:rPr>
        <w:t xml:space="preserve"> úč</w:t>
      </w:r>
      <w:r w:rsidR="008F1CAE">
        <w:rPr>
          <w:rFonts w:cs="Arial"/>
          <w:szCs w:val="20"/>
        </w:rPr>
        <w:t>ast dvou pětin zaměstnanců (41</w:t>
      </w:r>
      <w:r>
        <w:rPr>
          <w:rFonts w:cs="Arial"/>
          <w:szCs w:val="20"/>
        </w:rPr>
        <w:t> %), podobná byla účast na zaškolováních a i</w:t>
      </w:r>
      <w:r w:rsidR="008F1CAE">
        <w:rPr>
          <w:rFonts w:cs="Arial"/>
          <w:szCs w:val="20"/>
        </w:rPr>
        <w:t>nstruktážích na pracovišti (38</w:t>
      </w:r>
      <w:r>
        <w:rPr>
          <w:rFonts w:cs="Arial"/>
          <w:szCs w:val="20"/>
        </w:rPr>
        <w:t xml:space="preserve"> % zaměstnanců </w:t>
      </w:r>
      <w:r w:rsidR="007638BC">
        <w:rPr>
          <w:rFonts w:cs="Arial"/>
          <w:szCs w:val="20"/>
        </w:rPr>
        <w:t>podniků</w:t>
      </w:r>
      <w:r>
        <w:rPr>
          <w:rFonts w:cs="Arial"/>
          <w:szCs w:val="20"/>
        </w:rPr>
        <w:t xml:space="preserve"> zajišťujících tuto formu vzdělávání) a v samostudiu či e-learningu (40 %</w:t>
      </w:r>
      <w:r w:rsidRPr="001432ED">
        <w:rPr>
          <w:rFonts w:cs="Arial"/>
          <w:szCs w:val="20"/>
        </w:rPr>
        <w:t xml:space="preserve"> </w:t>
      </w:r>
      <w:r>
        <w:rPr>
          <w:rFonts w:cs="Arial"/>
          <w:szCs w:val="20"/>
        </w:rPr>
        <w:t xml:space="preserve">zaměstnanců </w:t>
      </w:r>
      <w:r w:rsidR="007638BC">
        <w:rPr>
          <w:rFonts w:cs="Arial"/>
          <w:szCs w:val="20"/>
        </w:rPr>
        <w:t>podniků</w:t>
      </w:r>
      <w:r>
        <w:rPr>
          <w:rFonts w:cs="Arial"/>
          <w:szCs w:val="20"/>
        </w:rPr>
        <w:t xml:space="preserve"> zajišťujících tuto formu vzdělávání).  Rotace na pracovních místech se zúčast</w:t>
      </w:r>
      <w:r w:rsidR="00005702">
        <w:rPr>
          <w:rFonts w:cs="Arial"/>
          <w:szCs w:val="20"/>
        </w:rPr>
        <w:t>n</w:t>
      </w:r>
      <w:r>
        <w:rPr>
          <w:rFonts w:cs="Arial"/>
          <w:szCs w:val="20"/>
        </w:rPr>
        <w:t>ila pětina zaměstnanců podniků zajišťujících tuto formu vzdělávání (19 %) a workshopů, seminářů, konferencí, veletrhů, resp. kroužků kvality či vzdělávacích kroužků pak 15 % z nich.</w:t>
      </w:r>
    </w:p>
    <w:p w14:paraId="7B72437C" w14:textId="51FF2B17" w:rsidR="00614C13" w:rsidRPr="00790F40" w:rsidRDefault="00614C13" w:rsidP="00187F5D">
      <w:pPr>
        <w:keepNext/>
        <w:spacing w:after="120"/>
        <w:jc w:val="both"/>
        <w:rPr>
          <w:rFonts w:cs="Arial"/>
          <w:szCs w:val="20"/>
        </w:rPr>
      </w:pPr>
      <w:r w:rsidRPr="00614C13">
        <w:rPr>
          <w:rFonts w:cs="Arial"/>
          <w:b/>
          <w:szCs w:val="20"/>
        </w:rPr>
        <w:t xml:space="preserve">Graf 2.1 </w:t>
      </w:r>
      <w:r w:rsidR="00A9454D">
        <w:rPr>
          <w:rFonts w:cs="Arial"/>
          <w:b/>
          <w:szCs w:val="20"/>
        </w:rPr>
        <w:t>Zaměstnanci účastnící</w:t>
      </w:r>
      <w:r w:rsidRPr="00614C13">
        <w:rPr>
          <w:rFonts w:cs="Arial"/>
          <w:b/>
          <w:szCs w:val="20"/>
        </w:rPr>
        <w:t xml:space="preserve"> se</w:t>
      </w:r>
      <w:r w:rsidR="00BE6E22">
        <w:rPr>
          <w:rFonts w:cs="Arial"/>
          <w:b/>
          <w:szCs w:val="20"/>
        </w:rPr>
        <w:t xml:space="preserve"> jednotlivých forem vzdělávání, 2020</w:t>
      </w:r>
      <w:r w:rsidR="00790F40">
        <w:rPr>
          <w:rFonts w:cs="Arial"/>
          <w:b/>
          <w:szCs w:val="20"/>
        </w:rPr>
        <w:t xml:space="preserve"> </w:t>
      </w:r>
      <w:r w:rsidR="00790F40" w:rsidRPr="00790F40">
        <w:rPr>
          <w:rFonts w:cs="Arial"/>
          <w:szCs w:val="20"/>
        </w:rPr>
        <w:t>(v %</w:t>
      </w:r>
      <w:r w:rsidR="00790F40">
        <w:rPr>
          <w:rFonts w:cs="Arial"/>
          <w:szCs w:val="20"/>
        </w:rPr>
        <w:t xml:space="preserve"> ze všech zaměstnanců</w:t>
      </w:r>
      <w:r w:rsidR="00790F40" w:rsidRPr="00790F40">
        <w:rPr>
          <w:rFonts w:cs="Arial"/>
          <w:szCs w:val="20"/>
        </w:rPr>
        <w:t>)</w:t>
      </w:r>
    </w:p>
    <w:p w14:paraId="472A5557" w14:textId="088263F1" w:rsidR="00520920" w:rsidRPr="00996D65" w:rsidRDefault="00C16E95" w:rsidP="00996D65">
      <w:pPr>
        <w:keepNext/>
        <w:spacing w:after="120"/>
        <w:jc w:val="both"/>
        <w:rPr>
          <w:rFonts w:cs="Arial"/>
          <w:b/>
          <w:szCs w:val="20"/>
        </w:rPr>
      </w:pPr>
      <w:r>
        <w:rPr>
          <w:noProof/>
        </w:rPr>
        <w:drawing>
          <wp:inline distT="0" distB="0" distL="0" distR="0" wp14:anchorId="4603379D" wp14:editId="75CF4CA4">
            <wp:extent cx="6120130" cy="3848100"/>
            <wp:effectExtent l="0" t="0" r="1397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2D9663" w14:textId="74B65A5B" w:rsidR="001C34EE" w:rsidRPr="0003587B" w:rsidRDefault="00E66D13" w:rsidP="0003587B">
      <w:pPr>
        <w:spacing w:before="120" w:after="120"/>
        <w:jc w:val="right"/>
        <w:rPr>
          <w:szCs w:val="20"/>
        </w:rPr>
      </w:pPr>
      <w:r w:rsidRPr="003D1467">
        <w:rPr>
          <w:szCs w:val="20"/>
        </w:rPr>
        <w:t>Zdroj: ČSÚ</w:t>
      </w:r>
    </w:p>
    <w:p w14:paraId="64F053C8" w14:textId="22B13C61" w:rsidR="00340705" w:rsidRDefault="00A128EE" w:rsidP="00D8357D">
      <w:pPr>
        <w:spacing w:after="120"/>
        <w:jc w:val="both"/>
        <w:rPr>
          <w:rFonts w:cs="Arial"/>
          <w:szCs w:val="20"/>
        </w:rPr>
      </w:pPr>
      <w:r>
        <w:rPr>
          <w:rFonts w:cs="Arial"/>
          <w:szCs w:val="20"/>
        </w:rPr>
        <w:t xml:space="preserve">Zaměříme-li se na </w:t>
      </w:r>
      <w:r w:rsidRPr="00F405ED">
        <w:rPr>
          <w:rFonts w:cs="Arial"/>
          <w:b/>
          <w:i/>
          <w:szCs w:val="20"/>
        </w:rPr>
        <w:t xml:space="preserve">tři nejčastěji navštěvované formy </w:t>
      </w:r>
      <w:r w:rsidR="004C62E1" w:rsidRPr="00F405ED">
        <w:rPr>
          <w:rFonts w:cs="Arial"/>
          <w:b/>
          <w:i/>
          <w:szCs w:val="20"/>
        </w:rPr>
        <w:t xml:space="preserve">nepovinného </w:t>
      </w:r>
      <w:r w:rsidRPr="00F405ED">
        <w:rPr>
          <w:rFonts w:cs="Arial"/>
          <w:b/>
          <w:i/>
          <w:szCs w:val="20"/>
        </w:rPr>
        <w:t>vzdělávání</w:t>
      </w:r>
      <w:r>
        <w:rPr>
          <w:rFonts w:cs="Arial"/>
          <w:szCs w:val="20"/>
        </w:rPr>
        <w:t xml:space="preserve"> (</w:t>
      </w:r>
      <w:r w:rsidR="00DB00A9">
        <w:rPr>
          <w:rFonts w:cs="Arial"/>
          <w:szCs w:val="20"/>
        </w:rPr>
        <w:t xml:space="preserve">tj. nepovinné kurzy/školení, zaškolování či instruktáž a samostudium/e-learning), lze říci, že se jich účastnil vyšší podíl zaměstnanců </w:t>
      </w:r>
      <w:r w:rsidR="00DB00A9" w:rsidRPr="00B049C2">
        <w:rPr>
          <w:rFonts w:cs="Arial"/>
          <w:b/>
          <w:szCs w:val="20"/>
        </w:rPr>
        <w:t>v</w:t>
      </w:r>
      <w:r w:rsidR="00165A63" w:rsidRPr="00B049C2">
        <w:rPr>
          <w:rFonts w:cs="Arial"/>
          <w:b/>
          <w:szCs w:val="20"/>
        </w:rPr>
        <w:t> podnicích s 10</w:t>
      </w:r>
      <w:r w:rsidR="00136A68" w:rsidRPr="00136A68">
        <w:rPr>
          <w:rFonts w:cs="Arial"/>
          <w:b/>
          <w:szCs w:val="20"/>
        </w:rPr>
        <w:t>–</w:t>
      </w:r>
      <w:r w:rsidR="00165A63" w:rsidRPr="00B049C2">
        <w:rPr>
          <w:rFonts w:cs="Arial"/>
          <w:b/>
          <w:szCs w:val="20"/>
        </w:rPr>
        <w:t>19 zaměstnanci</w:t>
      </w:r>
      <w:r w:rsidR="00165A63">
        <w:rPr>
          <w:rFonts w:cs="Arial"/>
          <w:szCs w:val="20"/>
        </w:rPr>
        <w:t xml:space="preserve"> než v podnicích s 20-49 zaměstnanci a</w:t>
      </w:r>
      <w:r w:rsidR="006631E4">
        <w:rPr>
          <w:rFonts w:cs="Arial"/>
          <w:szCs w:val="20"/>
        </w:rPr>
        <w:t xml:space="preserve"> ještě s větším rozdílem to platí ve srovnání s podniky</w:t>
      </w:r>
      <w:r w:rsidR="00165A63">
        <w:rPr>
          <w:rFonts w:cs="Arial"/>
          <w:szCs w:val="20"/>
        </w:rPr>
        <w:t xml:space="preserve"> s 50</w:t>
      </w:r>
      <w:r w:rsidR="00136A68" w:rsidRPr="00136A68">
        <w:rPr>
          <w:rFonts w:cs="Arial"/>
          <w:szCs w:val="20"/>
        </w:rPr>
        <w:t>–</w:t>
      </w:r>
      <w:r w:rsidR="00165A63">
        <w:rPr>
          <w:rFonts w:cs="Arial"/>
          <w:szCs w:val="20"/>
        </w:rPr>
        <w:t xml:space="preserve">249 zaměstnanci. </w:t>
      </w:r>
      <w:r w:rsidR="006631E4">
        <w:rPr>
          <w:rFonts w:cs="Arial"/>
          <w:szCs w:val="20"/>
        </w:rPr>
        <w:t>V podnicích s 250 a více zaměstnanci, které uv</w:t>
      </w:r>
      <w:r w:rsidR="004C62E1">
        <w:rPr>
          <w:rFonts w:cs="Arial"/>
          <w:szCs w:val="20"/>
        </w:rPr>
        <w:t>edené formy vzdělávání zajišťovaly</w:t>
      </w:r>
      <w:r w:rsidR="006631E4">
        <w:rPr>
          <w:rFonts w:cs="Arial"/>
          <w:szCs w:val="20"/>
        </w:rPr>
        <w:t xml:space="preserve">, se jich však účastnil vyšší podíl než </w:t>
      </w:r>
      <w:r w:rsidR="00340705">
        <w:rPr>
          <w:rFonts w:cs="Arial"/>
          <w:szCs w:val="20"/>
        </w:rPr>
        <w:t xml:space="preserve">v </w:t>
      </w:r>
      <w:r w:rsidR="006631E4">
        <w:rPr>
          <w:rFonts w:cs="Arial"/>
          <w:szCs w:val="20"/>
        </w:rPr>
        <w:t>podnicích s 50</w:t>
      </w:r>
      <w:r w:rsidR="00136A68" w:rsidRPr="00136A68">
        <w:rPr>
          <w:rFonts w:cs="Arial"/>
          <w:szCs w:val="20"/>
        </w:rPr>
        <w:t>–</w:t>
      </w:r>
      <w:r w:rsidR="006631E4">
        <w:rPr>
          <w:rFonts w:cs="Arial"/>
          <w:szCs w:val="20"/>
        </w:rPr>
        <w:t xml:space="preserve">249 zaměstnanci a pokud se jedná o samostudium a e-learning, pak dokonce nejvyšší podíl z uvedených čtyř kategorií podniků dle počtu zaměstnanců. </w:t>
      </w:r>
    </w:p>
    <w:p w14:paraId="500C563D" w14:textId="13737EE6" w:rsidR="00230D5A" w:rsidRDefault="00340705" w:rsidP="00230D5A">
      <w:pPr>
        <w:keepNext/>
        <w:spacing w:after="0"/>
        <w:jc w:val="both"/>
        <w:rPr>
          <w:rFonts w:cs="Arial"/>
          <w:b/>
          <w:szCs w:val="20"/>
        </w:rPr>
      </w:pPr>
      <w:r w:rsidRPr="00E21C8F">
        <w:rPr>
          <w:rFonts w:cs="Arial"/>
          <w:b/>
          <w:szCs w:val="20"/>
        </w:rPr>
        <w:lastRenderedPageBreak/>
        <w:t xml:space="preserve">Graf 2.2 </w:t>
      </w:r>
      <w:r w:rsidR="00A9454D">
        <w:rPr>
          <w:rFonts w:cs="Arial"/>
          <w:b/>
          <w:szCs w:val="20"/>
        </w:rPr>
        <w:t>Zaměstnanci účastnící se</w:t>
      </w:r>
      <w:r w:rsidRPr="00E21C8F">
        <w:rPr>
          <w:rFonts w:cs="Arial"/>
          <w:b/>
          <w:szCs w:val="20"/>
        </w:rPr>
        <w:t xml:space="preserve"> </w:t>
      </w:r>
      <w:r>
        <w:rPr>
          <w:rFonts w:cs="Arial"/>
          <w:b/>
          <w:szCs w:val="20"/>
        </w:rPr>
        <w:t xml:space="preserve">vybraných forem vzdělávání </w:t>
      </w:r>
      <w:r w:rsidR="00230D5A">
        <w:rPr>
          <w:rFonts w:cs="Arial"/>
          <w:b/>
          <w:szCs w:val="20"/>
        </w:rPr>
        <w:t>dle velikosti podniku (2020)</w:t>
      </w:r>
    </w:p>
    <w:p w14:paraId="284711EF" w14:textId="3A143563" w:rsidR="00A128EE" w:rsidRPr="00230D5A" w:rsidRDefault="00230D5A" w:rsidP="00976EF8">
      <w:pPr>
        <w:keepNext/>
        <w:spacing w:after="120"/>
        <w:jc w:val="both"/>
        <w:rPr>
          <w:rFonts w:cs="Arial"/>
          <w:szCs w:val="20"/>
        </w:rPr>
      </w:pPr>
      <w:r w:rsidRPr="00230D5A">
        <w:rPr>
          <w:rFonts w:cs="Arial"/>
          <w:szCs w:val="20"/>
        </w:rPr>
        <w:t>(v % ze zaměstnanců v podnicích, které jednotlivé</w:t>
      </w:r>
      <w:r w:rsidR="00340705" w:rsidRPr="00230D5A">
        <w:rPr>
          <w:rFonts w:cs="Arial"/>
          <w:szCs w:val="20"/>
        </w:rPr>
        <w:t xml:space="preserve"> fo</w:t>
      </w:r>
      <w:r w:rsidRPr="00230D5A">
        <w:rPr>
          <w:rFonts w:cs="Arial"/>
          <w:szCs w:val="20"/>
        </w:rPr>
        <w:t>rmy</w:t>
      </w:r>
      <w:r w:rsidR="005A5B2B" w:rsidRPr="00230D5A">
        <w:rPr>
          <w:rFonts w:cs="Arial"/>
          <w:szCs w:val="20"/>
        </w:rPr>
        <w:t xml:space="preserve"> vzdělávání zajišťovaly</w:t>
      </w:r>
      <w:r w:rsidR="00340705" w:rsidRPr="00230D5A">
        <w:rPr>
          <w:rFonts w:cs="Arial"/>
          <w:szCs w:val="20"/>
        </w:rPr>
        <w:t>)</w:t>
      </w:r>
      <w:r w:rsidR="00DB00A9" w:rsidRPr="00230D5A">
        <w:rPr>
          <w:rFonts w:cs="Arial"/>
          <w:szCs w:val="20"/>
        </w:rPr>
        <w:t xml:space="preserve">  </w:t>
      </w:r>
    </w:p>
    <w:p w14:paraId="3238C128" w14:textId="2DE9C28F" w:rsidR="00DB00A9" w:rsidRPr="00AD4794" w:rsidRDefault="00AD4794" w:rsidP="00AD4794">
      <w:pPr>
        <w:keepNext/>
        <w:spacing w:after="120"/>
        <w:jc w:val="both"/>
        <w:rPr>
          <w:rFonts w:cs="Arial"/>
          <w:b/>
          <w:szCs w:val="20"/>
        </w:rPr>
      </w:pPr>
      <w:r>
        <w:rPr>
          <w:noProof/>
        </w:rPr>
        <w:drawing>
          <wp:inline distT="0" distB="0" distL="0" distR="0" wp14:anchorId="71F283F5" wp14:editId="401523A1">
            <wp:extent cx="6120130" cy="4152900"/>
            <wp:effectExtent l="0" t="0" r="1397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9A36DB" w14:textId="3AD9803B" w:rsidR="00E66D13" w:rsidRPr="00E66D13" w:rsidRDefault="00E66D13" w:rsidP="00E66D13">
      <w:pPr>
        <w:spacing w:before="120" w:after="120"/>
        <w:jc w:val="right"/>
        <w:rPr>
          <w:szCs w:val="20"/>
        </w:rPr>
      </w:pPr>
      <w:r w:rsidRPr="003D1467">
        <w:rPr>
          <w:szCs w:val="20"/>
        </w:rPr>
        <w:t>Zdroj: ČSÚ</w:t>
      </w:r>
    </w:p>
    <w:p w14:paraId="194C79CC" w14:textId="045385B9" w:rsidR="003F1933" w:rsidRDefault="00340705" w:rsidP="00D8357D">
      <w:pPr>
        <w:spacing w:after="120"/>
        <w:jc w:val="both"/>
        <w:rPr>
          <w:rFonts w:cs="Arial"/>
          <w:szCs w:val="20"/>
        </w:rPr>
      </w:pPr>
      <w:r>
        <w:rPr>
          <w:rFonts w:cs="Arial"/>
          <w:szCs w:val="20"/>
        </w:rPr>
        <w:t xml:space="preserve">Všechny tři uvedené formy vzdělávání </w:t>
      </w:r>
      <w:r w:rsidR="006E15B3">
        <w:rPr>
          <w:rFonts w:cs="Arial"/>
          <w:szCs w:val="20"/>
        </w:rPr>
        <w:t>byly</w:t>
      </w:r>
      <w:r>
        <w:rPr>
          <w:rFonts w:cs="Arial"/>
          <w:szCs w:val="20"/>
        </w:rPr>
        <w:t xml:space="preserve"> také častěji navštěvované v</w:t>
      </w:r>
      <w:r w:rsidR="000F27F7">
        <w:rPr>
          <w:rFonts w:cs="Arial"/>
          <w:szCs w:val="20"/>
        </w:rPr>
        <w:t> </w:t>
      </w:r>
      <w:r>
        <w:rPr>
          <w:rFonts w:cs="Arial"/>
          <w:szCs w:val="20"/>
        </w:rPr>
        <w:t>podnicích</w:t>
      </w:r>
      <w:r w:rsidR="000F27F7">
        <w:rPr>
          <w:rFonts w:cs="Arial"/>
          <w:szCs w:val="20"/>
        </w:rPr>
        <w:t xml:space="preserve"> pod zahraniční kontrolou než v podnicích domácích (u </w:t>
      </w:r>
      <w:r w:rsidR="003F1933">
        <w:rPr>
          <w:rFonts w:cs="Arial"/>
          <w:szCs w:val="20"/>
        </w:rPr>
        <w:t>nepovinných kurzů</w:t>
      </w:r>
      <w:r w:rsidR="00EA0255">
        <w:rPr>
          <w:rFonts w:cs="Arial"/>
          <w:szCs w:val="20"/>
        </w:rPr>
        <w:t>/školení</w:t>
      </w:r>
      <w:r w:rsidR="008F1CAE">
        <w:rPr>
          <w:rFonts w:cs="Arial"/>
          <w:szCs w:val="20"/>
        </w:rPr>
        <w:t xml:space="preserve"> se jedná o účast 48 % zaměstnanců oproti 33 %, u </w:t>
      </w:r>
      <w:r w:rsidR="003F1933">
        <w:rPr>
          <w:rFonts w:cs="Arial"/>
          <w:szCs w:val="20"/>
        </w:rPr>
        <w:t xml:space="preserve">zaškolování a instruktáží </w:t>
      </w:r>
      <w:r w:rsidR="00EA0255">
        <w:rPr>
          <w:rFonts w:cs="Arial"/>
          <w:szCs w:val="20"/>
        </w:rPr>
        <w:t>o</w:t>
      </w:r>
      <w:r w:rsidR="008F1CAE">
        <w:rPr>
          <w:rFonts w:cs="Arial"/>
          <w:szCs w:val="20"/>
        </w:rPr>
        <w:t xml:space="preserve"> 44</w:t>
      </w:r>
      <w:r w:rsidR="003F1933">
        <w:rPr>
          <w:rFonts w:cs="Arial"/>
          <w:szCs w:val="20"/>
        </w:rPr>
        <w:t>%</w:t>
      </w:r>
      <w:r w:rsidR="004C62E1">
        <w:rPr>
          <w:rFonts w:cs="Arial"/>
          <w:szCs w:val="20"/>
        </w:rPr>
        <w:t xml:space="preserve"> účast</w:t>
      </w:r>
      <w:r w:rsidR="008F1CAE">
        <w:rPr>
          <w:rFonts w:cs="Arial"/>
          <w:szCs w:val="20"/>
        </w:rPr>
        <w:t xml:space="preserve"> oproti 30</w:t>
      </w:r>
      <w:r w:rsidR="003F1933">
        <w:rPr>
          <w:rFonts w:cs="Arial"/>
          <w:szCs w:val="20"/>
        </w:rPr>
        <w:t xml:space="preserve">% </w:t>
      </w:r>
      <w:r w:rsidR="004C62E1">
        <w:rPr>
          <w:rFonts w:cs="Arial"/>
          <w:szCs w:val="20"/>
        </w:rPr>
        <w:t xml:space="preserve">účasti </w:t>
      </w:r>
      <w:r w:rsidR="00EA0255">
        <w:rPr>
          <w:rFonts w:cs="Arial"/>
          <w:szCs w:val="20"/>
        </w:rPr>
        <w:t>a u </w:t>
      </w:r>
      <w:r w:rsidR="003F1933">
        <w:rPr>
          <w:rFonts w:cs="Arial"/>
          <w:szCs w:val="20"/>
        </w:rPr>
        <w:t xml:space="preserve">samostudia </w:t>
      </w:r>
      <w:r w:rsidR="00DB747E">
        <w:rPr>
          <w:rFonts w:cs="Arial"/>
          <w:szCs w:val="20"/>
        </w:rPr>
        <w:t xml:space="preserve">či </w:t>
      </w:r>
      <w:r w:rsidR="003F1933">
        <w:rPr>
          <w:rFonts w:cs="Arial"/>
          <w:szCs w:val="20"/>
        </w:rPr>
        <w:t xml:space="preserve">e-learningu </w:t>
      </w:r>
      <w:r w:rsidR="004C62E1">
        <w:rPr>
          <w:rFonts w:cs="Arial"/>
          <w:szCs w:val="20"/>
        </w:rPr>
        <w:t xml:space="preserve">o </w:t>
      </w:r>
      <w:r w:rsidR="008F1CAE">
        <w:rPr>
          <w:rFonts w:cs="Arial"/>
          <w:szCs w:val="20"/>
        </w:rPr>
        <w:t>43</w:t>
      </w:r>
      <w:r w:rsidR="003F1933">
        <w:rPr>
          <w:rFonts w:cs="Arial"/>
          <w:szCs w:val="20"/>
        </w:rPr>
        <w:t>%</w:t>
      </w:r>
      <w:r w:rsidR="008F1CAE">
        <w:rPr>
          <w:rFonts w:cs="Arial"/>
          <w:szCs w:val="20"/>
        </w:rPr>
        <w:t xml:space="preserve"> účast oproti 35</w:t>
      </w:r>
      <w:r w:rsidR="003F1933">
        <w:rPr>
          <w:rFonts w:cs="Arial"/>
          <w:szCs w:val="20"/>
        </w:rPr>
        <w:t>%</w:t>
      </w:r>
      <w:r w:rsidR="004C62E1">
        <w:rPr>
          <w:rFonts w:cs="Arial"/>
          <w:szCs w:val="20"/>
        </w:rPr>
        <w:t xml:space="preserve"> účasti</w:t>
      </w:r>
      <w:r w:rsidR="003F1933">
        <w:rPr>
          <w:rFonts w:cs="Arial"/>
          <w:szCs w:val="20"/>
        </w:rPr>
        <w:t>).</w:t>
      </w:r>
    </w:p>
    <w:p w14:paraId="5516F221" w14:textId="5C4A7E05" w:rsidR="00340705" w:rsidRPr="00AD479C" w:rsidRDefault="003F1933" w:rsidP="00D8357D">
      <w:pPr>
        <w:spacing w:after="120"/>
        <w:jc w:val="both"/>
        <w:rPr>
          <w:rFonts w:cs="Arial"/>
          <w:szCs w:val="20"/>
        </w:rPr>
      </w:pPr>
      <w:r>
        <w:rPr>
          <w:rFonts w:cs="Arial"/>
          <w:szCs w:val="20"/>
        </w:rPr>
        <w:t xml:space="preserve">V členění dle velikosti podniku a </w:t>
      </w:r>
      <w:r w:rsidR="00BF4E3D">
        <w:rPr>
          <w:rFonts w:cs="Arial"/>
          <w:szCs w:val="20"/>
        </w:rPr>
        <w:t>druhu vlastnictví po</w:t>
      </w:r>
      <w:r w:rsidR="000F27F7">
        <w:rPr>
          <w:rFonts w:cs="Arial"/>
          <w:szCs w:val="20"/>
        </w:rPr>
        <w:t>dniku</w:t>
      </w:r>
      <w:r>
        <w:rPr>
          <w:rFonts w:cs="Arial"/>
          <w:szCs w:val="20"/>
        </w:rPr>
        <w:t xml:space="preserve"> tak všechny tři formy vzdělávání vykazují obdobné tendence. V členění </w:t>
      </w:r>
      <w:r w:rsidRPr="00B049C2">
        <w:rPr>
          <w:rFonts w:cs="Arial"/>
          <w:b/>
          <w:szCs w:val="20"/>
        </w:rPr>
        <w:t>dle převažující ekonomické činnosti</w:t>
      </w:r>
      <w:r>
        <w:rPr>
          <w:rFonts w:cs="Arial"/>
          <w:szCs w:val="20"/>
        </w:rPr>
        <w:t xml:space="preserve"> podniku jsou však již patrné odlišné preference jednotlivých vybraných forem vzdělávání. Z podniků zajišťujících </w:t>
      </w:r>
      <w:r w:rsidRPr="00B049C2">
        <w:rPr>
          <w:rFonts w:cs="Arial"/>
          <w:b/>
          <w:i/>
          <w:szCs w:val="20"/>
        </w:rPr>
        <w:t>nepovinné kurzy/školení</w:t>
      </w:r>
      <w:r>
        <w:rPr>
          <w:rFonts w:cs="Arial"/>
          <w:szCs w:val="20"/>
        </w:rPr>
        <w:t xml:space="preserve"> byla nejvyšší účast zaznamenaná v těch s převažující ekonomickou činností v oblasti </w:t>
      </w:r>
      <w:r w:rsidRPr="001E1584">
        <w:rPr>
          <w:rFonts w:cs="Arial"/>
          <w:i/>
          <w:szCs w:val="20"/>
        </w:rPr>
        <w:t>peněžnictví a pojišťovnictví</w:t>
      </w:r>
      <w:r>
        <w:rPr>
          <w:rFonts w:cs="Arial"/>
          <w:szCs w:val="20"/>
        </w:rPr>
        <w:t xml:space="preserve"> (</w:t>
      </w:r>
      <w:r w:rsidR="008F1CAE">
        <w:rPr>
          <w:rFonts w:cs="Arial"/>
          <w:szCs w:val="20"/>
        </w:rPr>
        <w:t>80</w:t>
      </w:r>
      <w:r>
        <w:rPr>
          <w:rFonts w:cs="Arial"/>
          <w:szCs w:val="20"/>
        </w:rPr>
        <w:t xml:space="preserve"> %), </w:t>
      </w:r>
      <w:r w:rsidR="004C62E1">
        <w:rPr>
          <w:rFonts w:cs="Arial"/>
          <w:szCs w:val="20"/>
        </w:rPr>
        <w:t xml:space="preserve">s větším odstupem pak </w:t>
      </w:r>
      <w:r>
        <w:rPr>
          <w:rFonts w:cs="Arial"/>
          <w:szCs w:val="20"/>
        </w:rPr>
        <w:t xml:space="preserve">v oblasti </w:t>
      </w:r>
      <w:r w:rsidRPr="00EA0255">
        <w:rPr>
          <w:rFonts w:cs="Arial"/>
          <w:i/>
          <w:szCs w:val="20"/>
        </w:rPr>
        <w:t>profesní, vědecké a technické činnosti</w:t>
      </w:r>
      <w:r w:rsidR="005547A9">
        <w:rPr>
          <w:rFonts w:cs="Arial"/>
          <w:szCs w:val="20"/>
        </w:rPr>
        <w:t xml:space="preserve"> (56</w:t>
      </w:r>
      <w:r>
        <w:rPr>
          <w:rFonts w:cs="Arial"/>
          <w:szCs w:val="20"/>
        </w:rPr>
        <w:t xml:space="preserve"> %) a v oblasti </w:t>
      </w:r>
      <w:r w:rsidRPr="001E1584">
        <w:rPr>
          <w:rFonts w:cs="Arial"/>
          <w:i/>
          <w:szCs w:val="20"/>
        </w:rPr>
        <w:t xml:space="preserve">informační a komunikační činnosti </w:t>
      </w:r>
      <w:r w:rsidR="008F1CAE">
        <w:rPr>
          <w:rFonts w:cs="Arial"/>
          <w:szCs w:val="20"/>
        </w:rPr>
        <w:t>(53</w:t>
      </w:r>
      <w:r>
        <w:rPr>
          <w:rFonts w:cs="Arial"/>
          <w:szCs w:val="20"/>
        </w:rPr>
        <w:t xml:space="preserve"> %). </w:t>
      </w:r>
      <w:r w:rsidR="00AD479C">
        <w:rPr>
          <w:rFonts w:cs="Arial"/>
          <w:szCs w:val="20"/>
        </w:rPr>
        <w:t xml:space="preserve">Stejně tak z podniků zajišťujících </w:t>
      </w:r>
      <w:r w:rsidR="00AD479C" w:rsidRPr="00B049C2">
        <w:rPr>
          <w:rFonts w:cs="Arial"/>
          <w:b/>
          <w:i/>
          <w:szCs w:val="20"/>
        </w:rPr>
        <w:t>samostudium či e-learning</w:t>
      </w:r>
      <w:r w:rsidR="00AD479C">
        <w:rPr>
          <w:rFonts w:cs="Arial"/>
          <w:szCs w:val="20"/>
        </w:rPr>
        <w:t xml:space="preserve"> byla nejvyšší účast zaznamenaná v těch s převažující ekonomickou činností v oblasti </w:t>
      </w:r>
      <w:r w:rsidR="00AD479C" w:rsidRPr="001E1584">
        <w:rPr>
          <w:rFonts w:cs="Arial"/>
          <w:i/>
          <w:szCs w:val="20"/>
        </w:rPr>
        <w:t>peněžnictví a pojišťovnictví</w:t>
      </w:r>
      <w:r w:rsidR="008F1CAE">
        <w:rPr>
          <w:rFonts w:cs="Arial"/>
          <w:szCs w:val="20"/>
        </w:rPr>
        <w:t xml:space="preserve"> (7</w:t>
      </w:r>
      <w:r w:rsidR="00AD479C">
        <w:rPr>
          <w:rFonts w:cs="Arial"/>
          <w:szCs w:val="20"/>
        </w:rPr>
        <w:t xml:space="preserve">8 %), v oblasti </w:t>
      </w:r>
      <w:r w:rsidR="00AD479C" w:rsidRPr="001E1584">
        <w:rPr>
          <w:rFonts w:cs="Arial"/>
          <w:i/>
          <w:szCs w:val="20"/>
        </w:rPr>
        <w:t>informační a komunikační činnosti</w:t>
      </w:r>
      <w:r w:rsidR="008F1CAE">
        <w:rPr>
          <w:rFonts w:cs="Arial"/>
          <w:szCs w:val="20"/>
        </w:rPr>
        <w:t xml:space="preserve"> (61</w:t>
      </w:r>
      <w:r w:rsidR="00AD479C">
        <w:rPr>
          <w:rFonts w:cs="Arial"/>
          <w:szCs w:val="20"/>
        </w:rPr>
        <w:t xml:space="preserve"> %) a v oblasti </w:t>
      </w:r>
      <w:r w:rsidR="00AD479C" w:rsidRPr="001E1584">
        <w:rPr>
          <w:rFonts w:cs="Arial"/>
          <w:i/>
          <w:szCs w:val="20"/>
        </w:rPr>
        <w:t>profesní, vědecké a technické činnosti</w:t>
      </w:r>
      <w:r w:rsidR="00F25C27">
        <w:rPr>
          <w:rFonts w:cs="Arial"/>
          <w:szCs w:val="20"/>
        </w:rPr>
        <w:t xml:space="preserve"> (53</w:t>
      </w:r>
      <w:r w:rsidR="00AD479C">
        <w:rPr>
          <w:rFonts w:cs="Arial"/>
          <w:szCs w:val="20"/>
        </w:rPr>
        <w:t xml:space="preserve"> %). Pokud se však jedná o podniky zajišťující </w:t>
      </w:r>
      <w:r w:rsidR="00AD479C" w:rsidRPr="00B049C2">
        <w:rPr>
          <w:rFonts w:cs="Arial"/>
          <w:b/>
          <w:i/>
          <w:szCs w:val="20"/>
        </w:rPr>
        <w:t>zaškolování a instruktáže na pracovišti</w:t>
      </w:r>
      <w:r w:rsidR="00AD479C">
        <w:rPr>
          <w:rFonts w:cs="Arial"/>
          <w:szCs w:val="20"/>
        </w:rPr>
        <w:t xml:space="preserve">, zaznamenaly podniky z oblasti </w:t>
      </w:r>
      <w:r w:rsidR="00AD479C" w:rsidRPr="001E1584">
        <w:rPr>
          <w:rFonts w:cs="Arial"/>
          <w:i/>
          <w:szCs w:val="20"/>
        </w:rPr>
        <w:t>peněžnictví a pojišťovnictví</w:t>
      </w:r>
      <w:r w:rsidR="00AD479C">
        <w:rPr>
          <w:rFonts w:cs="Arial"/>
          <w:szCs w:val="20"/>
        </w:rPr>
        <w:t xml:space="preserve"> a </w:t>
      </w:r>
      <w:r w:rsidR="004C62E1">
        <w:rPr>
          <w:rFonts w:cs="Arial"/>
          <w:szCs w:val="20"/>
        </w:rPr>
        <w:t xml:space="preserve">z oblasti </w:t>
      </w:r>
      <w:r w:rsidR="00AD479C" w:rsidRPr="001E1584">
        <w:rPr>
          <w:rFonts w:cs="Arial"/>
          <w:i/>
          <w:szCs w:val="20"/>
        </w:rPr>
        <w:t>informační a komunikační</w:t>
      </w:r>
      <w:r w:rsidR="00AD479C">
        <w:rPr>
          <w:rFonts w:cs="Arial"/>
          <w:szCs w:val="20"/>
        </w:rPr>
        <w:t xml:space="preserve"> činnosti naop</w:t>
      </w:r>
      <w:r w:rsidR="00F25C27">
        <w:rPr>
          <w:rFonts w:cs="Arial"/>
          <w:szCs w:val="20"/>
        </w:rPr>
        <w:t>ak nejnižší účast ze všech (obojí 29 %</w:t>
      </w:r>
      <w:r w:rsidR="00AD479C">
        <w:rPr>
          <w:rFonts w:cs="Arial"/>
          <w:szCs w:val="20"/>
        </w:rPr>
        <w:t xml:space="preserve">). Naopak nejvyšší účast zaměstnanců pak byla zaznamenána v podnicích věnujících se </w:t>
      </w:r>
      <w:r w:rsidR="00AD479C" w:rsidRPr="001E1584">
        <w:rPr>
          <w:rFonts w:cs="Arial"/>
          <w:i/>
          <w:szCs w:val="20"/>
        </w:rPr>
        <w:t>velkoobchodu a maloobchodu</w:t>
      </w:r>
      <w:r w:rsidR="001E1584">
        <w:rPr>
          <w:rFonts w:cs="Arial"/>
          <w:i/>
          <w:szCs w:val="20"/>
        </w:rPr>
        <w:t>, opravě motorových vozidel</w:t>
      </w:r>
      <w:r w:rsidR="00F25C27">
        <w:rPr>
          <w:rFonts w:cs="Arial"/>
          <w:szCs w:val="20"/>
        </w:rPr>
        <w:t xml:space="preserve"> (47</w:t>
      </w:r>
      <w:r w:rsidR="00AD479C">
        <w:rPr>
          <w:rFonts w:cs="Arial"/>
          <w:szCs w:val="20"/>
        </w:rPr>
        <w:t xml:space="preserve"> %), </w:t>
      </w:r>
      <w:r w:rsidR="00AD479C" w:rsidRPr="001E1584">
        <w:rPr>
          <w:rFonts w:cs="Arial"/>
          <w:i/>
          <w:szCs w:val="20"/>
        </w:rPr>
        <w:t>ubytování, stravování a pohostinství</w:t>
      </w:r>
      <w:r w:rsidR="00F25C27">
        <w:rPr>
          <w:rFonts w:cs="Arial"/>
          <w:szCs w:val="20"/>
        </w:rPr>
        <w:t xml:space="preserve"> (4</w:t>
      </w:r>
      <w:r w:rsidR="00AD479C">
        <w:rPr>
          <w:rFonts w:cs="Arial"/>
          <w:szCs w:val="20"/>
        </w:rPr>
        <w:t xml:space="preserve">6 %) a činnostem v oblasti </w:t>
      </w:r>
      <w:r w:rsidR="00AD479C" w:rsidRPr="001E1584">
        <w:rPr>
          <w:rFonts w:cs="Arial"/>
          <w:i/>
          <w:szCs w:val="20"/>
        </w:rPr>
        <w:t>nemovitostí a administrativy</w:t>
      </w:r>
      <w:r w:rsidR="00F25C27">
        <w:rPr>
          <w:rFonts w:cs="Arial"/>
          <w:szCs w:val="20"/>
        </w:rPr>
        <w:t xml:space="preserve"> (45</w:t>
      </w:r>
      <w:r w:rsidR="00AD479C">
        <w:rPr>
          <w:rFonts w:cs="Arial"/>
          <w:szCs w:val="20"/>
        </w:rPr>
        <w:t> %).</w:t>
      </w:r>
    </w:p>
    <w:p w14:paraId="4EC16D84" w14:textId="6472086D" w:rsidR="008F4DF0" w:rsidRDefault="00AD479C" w:rsidP="008F4DF0">
      <w:pPr>
        <w:keepNext/>
        <w:spacing w:after="0"/>
        <w:jc w:val="both"/>
        <w:rPr>
          <w:rFonts w:cs="Arial"/>
          <w:b/>
          <w:szCs w:val="20"/>
        </w:rPr>
      </w:pPr>
      <w:r w:rsidRPr="00AD479C">
        <w:rPr>
          <w:rFonts w:cs="Arial"/>
          <w:b/>
          <w:szCs w:val="20"/>
        </w:rPr>
        <w:lastRenderedPageBreak/>
        <w:t>Graf 2.</w:t>
      </w:r>
      <w:r w:rsidR="00E9739F">
        <w:rPr>
          <w:rFonts w:cs="Arial"/>
          <w:b/>
          <w:szCs w:val="20"/>
        </w:rPr>
        <w:t>3</w:t>
      </w:r>
      <w:r w:rsidRPr="00AD479C">
        <w:rPr>
          <w:rFonts w:cs="Arial"/>
          <w:b/>
          <w:szCs w:val="20"/>
        </w:rPr>
        <w:t xml:space="preserve"> </w:t>
      </w:r>
      <w:r w:rsidR="00A9454D">
        <w:rPr>
          <w:rFonts w:cs="Arial"/>
          <w:b/>
          <w:szCs w:val="20"/>
        </w:rPr>
        <w:t>Zaměstnanci účastnící se</w:t>
      </w:r>
      <w:r w:rsidRPr="00AD479C">
        <w:rPr>
          <w:rFonts w:cs="Arial"/>
          <w:b/>
          <w:szCs w:val="20"/>
        </w:rPr>
        <w:t xml:space="preserve"> vybraných forem vzdělávání</w:t>
      </w:r>
      <w:r w:rsidR="008F4DF0">
        <w:rPr>
          <w:rFonts w:cs="Arial"/>
          <w:b/>
          <w:szCs w:val="20"/>
        </w:rPr>
        <w:t xml:space="preserve"> </w:t>
      </w:r>
      <w:r w:rsidR="008F4DF0" w:rsidRPr="00AD479C">
        <w:rPr>
          <w:rFonts w:cs="Arial"/>
          <w:b/>
          <w:szCs w:val="20"/>
        </w:rPr>
        <w:t xml:space="preserve">dle </w:t>
      </w:r>
      <w:r w:rsidR="008F4DF0">
        <w:rPr>
          <w:rFonts w:cs="Arial"/>
          <w:b/>
          <w:szCs w:val="20"/>
        </w:rPr>
        <w:t>odvětví podniku, 2020</w:t>
      </w:r>
    </w:p>
    <w:p w14:paraId="0C837AA4" w14:textId="6DBC0C7D" w:rsidR="00AD4794" w:rsidRPr="008F4DF0" w:rsidRDefault="008F4DF0" w:rsidP="00F5231E">
      <w:pPr>
        <w:keepNext/>
        <w:spacing w:after="120"/>
        <w:jc w:val="both"/>
        <w:rPr>
          <w:rFonts w:cs="Arial"/>
          <w:szCs w:val="20"/>
        </w:rPr>
      </w:pPr>
      <w:r w:rsidRPr="008F4DF0">
        <w:rPr>
          <w:rFonts w:cs="Arial"/>
          <w:szCs w:val="20"/>
        </w:rPr>
        <w:t>(v % ze zaměstnanců v podnicích, které jednotlivé formy vzdělávání zajišťovaly)</w:t>
      </w:r>
    </w:p>
    <w:p w14:paraId="7B0CD03B" w14:textId="5396519C" w:rsidR="003F1933" w:rsidRPr="00E21C8F" w:rsidRDefault="00DB747E" w:rsidP="00AD4794">
      <w:pPr>
        <w:keepNext/>
        <w:spacing w:after="120"/>
        <w:jc w:val="both"/>
        <w:rPr>
          <w:rFonts w:cs="Arial"/>
          <w:b/>
          <w:szCs w:val="20"/>
        </w:rPr>
      </w:pPr>
      <w:r>
        <w:rPr>
          <w:noProof/>
        </w:rPr>
        <w:drawing>
          <wp:inline distT="0" distB="0" distL="0" distR="0" wp14:anchorId="665EC7A7" wp14:editId="505CB8D8">
            <wp:extent cx="5943600" cy="5495925"/>
            <wp:effectExtent l="0" t="0" r="0" b="95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D479C" w:rsidRPr="00AD479C">
        <w:rPr>
          <w:rFonts w:cs="Arial"/>
          <w:b/>
          <w:szCs w:val="20"/>
        </w:rPr>
        <w:t xml:space="preserve"> </w:t>
      </w:r>
    </w:p>
    <w:p w14:paraId="691A2691" w14:textId="0FD79903" w:rsidR="00E66D13" w:rsidRPr="00E66D13" w:rsidRDefault="00E66D13" w:rsidP="00E66D13">
      <w:pPr>
        <w:spacing w:before="120" w:after="120"/>
        <w:jc w:val="right"/>
        <w:rPr>
          <w:szCs w:val="20"/>
        </w:rPr>
      </w:pPr>
      <w:r w:rsidRPr="003D1467">
        <w:rPr>
          <w:szCs w:val="20"/>
        </w:rPr>
        <w:t>Zdroj: ČSÚ</w:t>
      </w:r>
    </w:p>
    <w:p w14:paraId="2BB6EA58" w14:textId="26C6B8AC" w:rsidR="00B049C2" w:rsidRDefault="008948D7" w:rsidP="00D8357D">
      <w:pPr>
        <w:spacing w:after="120"/>
        <w:jc w:val="both"/>
        <w:rPr>
          <w:rFonts w:cs="Arial"/>
          <w:szCs w:val="20"/>
        </w:rPr>
      </w:pPr>
      <w:r>
        <w:rPr>
          <w:rFonts w:cs="Arial"/>
          <w:szCs w:val="20"/>
        </w:rPr>
        <w:t xml:space="preserve">V případě kurzů/školení byla navíc účast zaměstnanců sledována </w:t>
      </w:r>
      <w:r w:rsidRPr="00B049C2">
        <w:rPr>
          <w:rFonts w:cs="Arial"/>
          <w:b/>
          <w:szCs w:val="20"/>
        </w:rPr>
        <w:t>v dělení na muže a ženy</w:t>
      </w:r>
      <w:r>
        <w:rPr>
          <w:rFonts w:cs="Arial"/>
          <w:szCs w:val="20"/>
        </w:rPr>
        <w:t xml:space="preserve">. Ač by </w:t>
      </w:r>
      <w:r w:rsidR="004C62E1">
        <w:rPr>
          <w:rFonts w:cs="Arial"/>
          <w:szCs w:val="20"/>
        </w:rPr>
        <w:t>s</w:t>
      </w:r>
      <w:r>
        <w:rPr>
          <w:rFonts w:cs="Arial"/>
          <w:szCs w:val="20"/>
        </w:rPr>
        <w:t>e dalo předpokládat, že účast v povinném vzdělávání bude mezi muži a ženy vyrovnaná a rozdíl najdeme spíše v účasti v nepovinných kurzech/školeních,</w:t>
      </w:r>
      <w:r w:rsidR="00206724">
        <w:rPr>
          <w:rFonts w:cs="Arial"/>
          <w:szCs w:val="20"/>
        </w:rPr>
        <w:t xml:space="preserve"> je </w:t>
      </w:r>
      <w:r w:rsidR="00B049C2">
        <w:rPr>
          <w:rFonts w:cs="Arial"/>
          <w:szCs w:val="20"/>
        </w:rPr>
        <w:t xml:space="preserve">tomu spíše naopak. </w:t>
      </w:r>
      <w:r w:rsidR="00B049C2" w:rsidRPr="00B049C2">
        <w:rPr>
          <w:rFonts w:cs="Arial"/>
          <w:b/>
          <w:i/>
          <w:szCs w:val="20"/>
        </w:rPr>
        <w:t>Kurzů/</w:t>
      </w:r>
      <w:r w:rsidRPr="00B049C2">
        <w:rPr>
          <w:rFonts w:cs="Arial"/>
          <w:b/>
          <w:i/>
          <w:szCs w:val="20"/>
        </w:rPr>
        <w:t>školení, které nevyplývají ze zákona</w:t>
      </w:r>
      <w:r w:rsidR="00743B43">
        <w:rPr>
          <w:rFonts w:cs="Arial"/>
          <w:szCs w:val="20"/>
        </w:rPr>
        <w:t>, se zúčastnilo 40 % mužů a 41</w:t>
      </w:r>
      <w:r>
        <w:rPr>
          <w:rFonts w:cs="Arial"/>
          <w:szCs w:val="20"/>
        </w:rPr>
        <w:t xml:space="preserve"> % žen v podnicích, které je zajišťují. </w:t>
      </w:r>
      <w:r w:rsidR="00BF5A0C">
        <w:rPr>
          <w:rFonts w:cs="Arial"/>
          <w:szCs w:val="20"/>
        </w:rPr>
        <w:t xml:space="preserve">U ze </w:t>
      </w:r>
      <w:r w:rsidR="00BF5A0C" w:rsidRPr="00B049C2">
        <w:rPr>
          <w:rFonts w:cs="Arial"/>
          <w:b/>
          <w:i/>
          <w:szCs w:val="20"/>
        </w:rPr>
        <w:t xml:space="preserve">zákona povinných kurzů/školení </w:t>
      </w:r>
      <w:r w:rsidR="00743B43">
        <w:rPr>
          <w:rFonts w:cs="Arial"/>
          <w:szCs w:val="20"/>
        </w:rPr>
        <w:t>byla účast mužů 84 % a žen 77</w:t>
      </w:r>
      <w:r w:rsidR="00BF5A0C">
        <w:rPr>
          <w:rFonts w:cs="Arial"/>
          <w:szCs w:val="20"/>
        </w:rPr>
        <w:t> % (opět pouz</w:t>
      </w:r>
      <w:r w:rsidR="00206724">
        <w:rPr>
          <w:rFonts w:cs="Arial"/>
          <w:szCs w:val="20"/>
        </w:rPr>
        <w:t>e za podniky, které je zajišťovaly</w:t>
      </w:r>
      <w:r w:rsidR="00BF5A0C">
        <w:rPr>
          <w:rFonts w:cs="Arial"/>
          <w:szCs w:val="20"/>
        </w:rPr>
        <w:t>).</w:t>
      </w:r>
      <w:r>
        <w:rPr>
          <w:rFonts w:cs="Arial"/>
          <w:szCs w:val="20"/>
        </w:rPr>
        <w:t xml:space="preserve"> </w:t>
      </w:r>
    </w:p>
    <w:p w14:paraId="610A1197" w14:textId="03F568D5" w:rsidR="00BF5A0C" w:rsidRDefault="00BF5A0C" w:rsidP="00D8357D">
      <w:pPr>
        <w:spacing w:after="120"/>
        <w:jc w:val="both"/>
        <w:rPr>
          <w:rFonts w:cs="Arial"/>
          <w:szCs w:val="20"/>
        </w:rPr>
      </w:pPr>
      <w:r>
        <w:rPr>
          <w:rFonts w:cs="Arial"/>
          <w:szCs w:val="20"/>
        </w:rPr>
        <w:t xml:space="preserve">Přitom pokud jde o </w:t>
      </w:r>
      <w:r w:rsidRPr="00B049C2">
        <w:rPr>
          <w:rFonts w:cs="Arial"/>
          <w:b/>
          <w:i/>
          <w:szCs w:val="20"/>
        </w:rPr>
        <w:t>nepovinné kurzy/školení</w:t>
      </w:r>
      <w:r>
        <w:rPr>
          <w:rFonts w:cs="Arial"/>
          <w:szCs w:val="20"/>
        </w:rPr>
        <w:t xml:space="preserve">, je účast vyrovnaná i ve všech sledovaných kategoriích dle velikosti podniku, jakož i v podnicích s vrcholovým vlastníkem z ČR a v podnicích </w:t>
      </w:r>
      <w:r w:rsidR="00B049C2">
        <w:rPr>
          <w:rFonts w:cs="Arial"/>
          <w:szCs w:val="20"/>
        </w:rPr>
        <w:t xml:space="preserve">s jiným vrcholovým vlastníkem. </w:t>
      </w:r>
      <w:r>
        <w:rPr>
          <w:rFonts w:cs="Arial"/>
          <w:szCs w:val="20"/>
        </w:rPr>
        <w:t xml:space="preserve">Mírné odlišnosti v účasti mužů a žen však opět spatříme při pohledu na členění </w:t>
      </w:r>
      <w:r w:rsidRPr="00B049C2">
        <w:rPr>
          <w:rFonts w:cs="Arial"/>
          <w:b/>
          <w:i/>
          <w:szCs w:val="20"/>
        </w:rPr>
        <w:t>dle převažující ekonomické činnosti</w:t>
      </w:r>
      <w:r>
        <w:rPr>
          <w:rFonts w:cs="Arial"/>
          <w:szCs w:val="20"/>
        </w:rPr>
        <w:t>.</w:t>
      </w:r>
      <w:r w:rsidR="001F3983">
        <w:rPr>
          <w:rFonts w:cs="Arial"/>
          <w:szCs w:val="20"/>
        </w:rPr>
        <w:t xml:space="preserve"> V podnicích s převažující ekonomickou činností v oblasti </w:t>
      </w:r>
      <w:r w:rsidR="001F3983" w:rsidRPr="001E1584">
        <w:rPr>
          <w:rFonts w:cs="Arial"/>
          <w:i/>
          <w:szCs w:val="20"/>
        </w:rPr>
        <w:t>nemovitostí a administrativy</w:t>
      </w:r>
      <w:r w:rsidR="001F3983">
        <w:rPr>
          <w:rFonts w:cs="Arial"/>
          <w:szCs w:val="20"/>
        </w:rPr>
        <w:t>, které zajišťovaly nepovinné kurzy/školení, se v roce 2020 častěji vzdělávaly ženy (třetina ze zaměstnankyň</w:t>
      </w:r>
      <w:r w:rsidR="00B049C2">
        <w:rPr>
          <w:rFonts w:cs="Arial"/>
          <w:szCs w:val="20"/>
        </w:rPr>
        <w:t xml:space="preserve"> </w:t>
      </w:r>
      <w:r w:rsidR="00A3601F">
        <w:rPr>
          <w:rFonts w:cs="Arial"/>
          <w:szCs w:val="20"/>
        </w:rPr>
        <w:t>–</w:t>
      </w:r>
      <w:r w:rsidR="00B049C2">
        <w:rPr>
          <w:rFonts w:cs="Arial"/>
          <w:szCs w:val="20"/>
        </w:rPr>
        <w:t xml:space="preserve"> žen</w:t>
      </w:r>
      <w:r w:rsidR="00976DD8">
        <w:rPr>
          <w:rFonts w:cs="Arial"/>
          <w:szCs w:val="20"/>
        </w:rPr>
        <w:t xml:space="preserve"> těchto podniků</w:t>
      </w:r>
      <w:r w:rsidR="001F3983">
        <w:rPr>
          <w:rFonts w:cs="Arial"/>
          <w:szCs w:val="20"/>
        </w:rPr>
        <w:t>) než muži (pětina ze zaměstnanců</w:t>
      </w:r>
      <w:r w:rsidR="00B049C2">
        <w:rPr>
          <w:rFonts w:cs="Arial"/>
          <w:szCs w:val="20"/>
        </w:rPr>
        <w:t xml:space="preserve"> </w:t>
      </w:r>
      <w:r w:rsidR="00A3601F">
        <w:rPr>
          <w:rFonts w:cs="Arial"/>
          <w:szCs w:val="20"/>
        </w:rPr>
        <w:t>–</w:t>
      </w:r>
      <w:r w:rsidR="00B049C2">
        <w:rPr>
          <w:rFonts w:cs="Arial"/>
          <w:szCs w:val="20"/>
        </w:rPr>
        <w:t xml:space="preserve"> mužů</w:t>
      </w:r>
      <w:r w:rsidR="001F3983">
        <w:rPr>
          <w:rFonts w:cs="Arial"/>
          <w:szCs w:val="20"/>
        </w:rPr>
        <w:t xml:space="preserve">). Rozdíl o 3 procentní body a více mezi ženami a muži </w:t>
      </w:r>
      <w:r w:rsidR="001F3983" w:rsidRPr="001F3983">
        <w:rPr>
          <w:rFonts w:cs="Arial"/>
          <w:szCs w:val="20"/>
        </w:rPr>
        <w:t xml:space="preserve">ve prospěch žen </w:t>
      </w:r>
      <w:r w:rsidR="001F3983">
        <w:rPr>
          <w:rFonts w:cs="Arial"/>
          <w:szCs w:val="20"/>
        </w:rPr>
        <w:t xml:space="preserve">také nalezneme v podnicích zaměřených na </w:t>
      </w:r>
      <w:r w:rsidR="001F3983" w:rsidRPr="001E1584">
        <w:rPr>
          <w:rFonts w:cs="Arial"/>
          <w:i/>
          <w:szCs w:val="20"/>
        </w:rPr>
        <w:t>stavebnictví</w:t>
      </w:r>
      <w:r w:rsidR="001F3983">
        <w:rPr>
          <w:rFonts w:cs="Arial"/>
          <w:szCs w:val="20"/>
        </w:rPr>
        <w:t>,</w:t>
      </w:r>
      <w:r w:rsidR="006E3258">
        <w:rPr>
          <w:rFonts w:cs="Arial"/>
          <w:szCs w:val="20"/>
        </w:rPr>
        <w:t xml:space="preserve"> na</w:t>
      </w:r>
      <w:r w:rsidR="001F3983">
        <w:rPr>
          <w:rFonts w:cs="Arial"/>
          <w:szCs w:val="20"/>
        </w:rPr>
        <w:t xml:space="preserve"> </w:t>
      </w:r>
      <w:r w:rsidR="001F3983" w:rsidRPr="001E1584">
        <w:rPr>
          <w:rFonts w:cs="Arial"/>
          <w:i/>
          <w:szCs w:val="20"/>
        </w:rPr>
        <w:t>profesní, vědecké a technické činnosti</w:t>
      </w:r>
      <w:r w:rsidR="001F3983">
        <w:rPr>
          <w:rFonts w:cs="Arial"/>
          <w:szCs w:val="20"/>
        </w:rPr>
        <w:t xml:space="preserve"> a</w:t>
      </w:r>
      <w:r w:rsidR="006E3258">
        <w:rPr>
          <w:rFonts w:cs="Arial"/>
          <w:szCs w:val="20"/>
        </w:rPr>
        <w:t xml:space="preserve"> na</w:t>
      </w:r>
      <w:r w:rsidR="001F3983">
        <w:rPr>
          <w:rFonts w:cs="Arial"/>
          <w:szCs w:val="20"/>
        </w:rPr>
        <w:t xml:space="preserve"> </w:t>
      </w:r>
      <w:r w:rsidR="001F3983" w:rsidRPr="001E1584">
        <w:rPr>
          <w:rFonts w:cs="Arial"/>
          <w:i/>
          <w:szCs w:val="20"/>
        </w:rPr>
        <w:t>informační a komunikační činnosti</w:t>
      </w:r>
      <w:r w:rsidR="001F3983">
        <w:rPr>
          <w:rFonts w:cs="Arial"/>
          <w:szCs w:val="20"/>
        </w:rPr>
        <w:t xml:space="preserve">. Naopak v podnicích zaměřených na </w:t>
      </w:r>
      <w:r w:rsidR="001F3983" w:rsidRPr="001E1584">
        <w:rPr>
          <w:rFonts w:cs="Arial"/>
          <w:i/>
          <w:szCs w:val="20"/>
        </w:rPr>
        <w:t>dopravu a skladování</w:t>
      </w:r>
      <w:r w:rsidR="001F3983">
        <w:rPr>
          <w:rFonts w:cs="Arial"/>
          <w:szCs w:val="20"/>
        </w:rPr>
        <w:t xml:space="preserve">, které zajišťovaly nepovinné kurzy/školení, se ve vyšší </w:t>
      </w:r>
      <w:r w:rsidR="00CF3B10">
        <w:rPr>
          <w:rFonts w:cs="Arial"/>
          <w:szCs w:val="20"/>
        </w:rPr>
        <w:t>míře vzdělávali</w:t>
      </w:r>
      <w:r w:rsidR="00743B43">
        <w:rPr>
          <w:rFonts w:cs="Arial"/>
          <w:szCs w:val="20"/>
        </w:rPr>
        <w:t xml:space="preserve"> muži (41 % z nich) než ženy (34</w:t>
      </w:r>
      <w:r w:rsidR="001F3983">
        <w:rPr>
          <w:rFonts w:cs="Arial"/>
          <w:szCs w:val="20"/>
        </w:rPr>
        <w:t xml:space="preserve"> %) a rozdíl o více než 3 procentní body ve prospěch mužů najdeme též v podnicích zaměřených na </w:t>
      </w:r>
      <w:r w:rsidR="001F3983" w:rsidRPr="001E1584">
        <w:rPr>
          <w:rFonts w:cs="Arial"/>
          <w:i/>
          <w:szCs w:val="20"/>
        </w:rPr>
        <w:lastRenderedPageBreak/>
        <w:t xml:space="preserve">průmysl </w:t>
      </w:r>
      <w:r w:rsidR="001F3983">
        <w:rPr>
          <w:rFonts w:cs="Arial"/>
          <w:szCs w:val="20"/>
        </w:rPr>
        <w:t>a</w:t>
      </w:r>
      <w:r w:rsidR="006E3258">
        <w:rPr>
          <w:rFonts w:cs="Arial"/>
          <w:szCs w:val="20"/>
        </w:rPr>
        <w:t xml:space="preserve"> na</w:t>
      </w:r>
      <w:r w:rsidR="001F3983">
        <w:rPr>
          <w:rFonts w:cs="Arial"/>
          <w:szCs w:val="20"/>
        </w:rPr>
        <w:t xml:space="preserve"> </w:t>
      </w:r>
      <w:r w:rsidR="001F3983" w:rsidRPr="001E1584">
        <w:rPr>
          <w:rFonts w:cs="Arial"/>
          <w:i/>
          <w:szCs w:val="20"/>
        </w:rPr>
        <w:t>kulturní, zábavní a rekreační činnosti</w:t>
      </w:r>
      <w:r w:rsidR="001F3983">
        <w:rPr>
          <w:rFonts w:cs="Arial"/>
          <w:szCs w:val="20"/>
        </w:rPr>
        <w:t>.</w:t>
      </w:r>
      <w:r w:rsidR="00976DD8">
        <w:rPr>
          <w:rFonts w:cs="Arial"/>
          <w:szCs w:val="20"/>
        </w:rPr>
        <w:t xml:space="preserve"> Rozdíly mohou být </w:t>
      </w:r>
      <w:r w:rsidR="006E3258">
        <w:rPr>
          <w:rFonts w:cs="Arial"/>
          <w:szCs w:val="20"/>
        </w:rPr>
        <w:t>přitom dány mj.</w:t>
      </w:r>
      <w:r w:rsidR="00976DD8">
        <w:rPr>
          <w:rFonts w:cs="Arial"/>
          <w:szCs w:val="20"/>
        </w:rPr>
        <w:t xml:space="preserve"> náplní práce. Jsou </w:t>
      </w:r>
      <w:r w:rsidR="00B049C2">
        <w:rPr>
          <w:rFonts w:cs="Arial"/>
          <w:szCs w:val="20"/>
        </w:rPr>
        <w:t>podniky, ve kterých bývají</w:t>
      </w:r>
      <w:r w:rsidR="00976DD8">
        <w:rPr>
          <w:rFonts w:cs="Arial"/>
          <w:szCs w:val="20"/>
        </w:rPr>
        <w:t xml:space="preserve"> ženy typicky </w:t>
      </w:r>
      <w:r w:rsidR="00B049C2">
        <w:rPr>
          <w:rFonts w:cs="Arial"/>
          <w:szCs w:val="20"/>
        </w:rPr>
        <w:t xml:space="preserve">zaměstnané </w:t>
      </w:r>
      <w:r w:rsidR="00976DD8">
        <w:rPr>
          <w:rFonts w:cs="Arial"/>
          <w:szCs w:val="20"/>
        </w:rPr>
        <w:t xml:space="preserve">na jiné pracovní pozici než muži a potřeba se vzdělávat se může s ohledem na odlišnou náplň práce lišit. </w:t>
      </w:r>
    </w:p>
    <w:p w14:paraId="030DE6CF" w14:textId="53AA363D" w:rsidR="001F3983" w:rsidRDefault="001F3983" w:rsidP="006F1EF7">
      <w:pPr>
        <w:keepNext/>
        <w:spacing w:after="0"/>
        <w:jc w:val="both"/>
        <w:rPr>
          <w:rFonts w:cs="Arial"/>
          <w:b/>
          <w:szCs w:val="20"/>
        </w:rPr>
      </w:pPr>
      <w:r w:rsidRPr="00AD479C">
        <w:rPr>
          <w:rFonts w:cs="Arial"/>
          <w:b/>
          <w:szCs w:val="20"/>
        </w:rPr>
        <w:t>Graf 2.</w:t>
      </w:r>
      <w:r>
        <w:rPr>
          <w:rFonts w:cs="Arial"/>
          <w:b/>
          <w:szCs w:val="20"/>
        </w:rPr>
        <w:t>4</w:t>
      </w:r>
      <w:r w:rsidRPr="00AD479C">
        <w:rPr>
          <w:rFonts w:cs="Arial"/>
          <w:b/>
          <w:szCs w:val="20"/>
        </w:rPr>
        <w:t xml:space="preserve"> </w:t>
      </w:r>
      <w:r w:rsidR="006F1EF7">
        <w:rPr>
          <w:rFonts w:cs="Arial"/>
          <w:b/>
          <w:szCs w:val="20"/>
        </w:rPr>
        <w:t>Zaměstnanci účastnící se</w:t>
      </w:r>
      <w:r w:rsidRPr="00AD479C">
        <w:rPr>
          <w:rFonts w:cs="Arial"/>
          <w:b/>
          <w:szCs w:val="20"/>
        </w:rPr>
        <w:t xml:space="preserve"> </w:t>
      </w:r>
      <w:r w:rsidR="00976DD8">
        <w:rPr>
          <w:rFonts w:cs="Arial"/>
          <w:b/>
          <w:szCs w:val="20"/>
        </w:rPr>
        <w:t>nepovinných kurzů/školení</w:t>
      </w:r>
      <w:r w:rsidR="006F1EF7">
        <w:rPr>
          <w:rFonts w:cs="Arial"/>
          <w:b/>
          <w:szCs w:val="20"/>
        </w:rPr>
        <w:t xml:space="preserve"> dle pohlaví</w:t>
      </w:r>
      <w:r w:rsidR="00726AF9">
        <w:rPr>
          <w:rFonts w:cs="Arial"/>
          <w:b/>
          <w:szCs w:val="20"/>
        </w:rPr>
        <w:t xml:space="preserve"> a odvětví</w:t>
      </w:r>
      <w:r w:rsidR="006F1EF7">
        <w:rPr>
          <w:rFonts w:cs="Arial"/>
          <w:b/>
          <w:szCs w:val="20"/>
        </w:rPr>
        <w:t>, 2020</w:t>
      </w:r>
      <w:r w:rsidRPr="00AD479C">
        <w:rPr>
          <w:rFonts w:cs="Arial"/>
          <w:b/>
          <w:szCs w:val="20"/>
        </w:rPr>
        <w:t xml:space="preserve">  </w:t>
      </w:r>
    </w:p>
    <w:p w14:paraId="669046BE" w14:textId="50FD9900" w:rsidR="006F1EF7" w:rsidRPr="006F1EF7" w:rsidRDefault="006F1EF7" w:rsidP="001F3983">
      <w:pPr>
        <w:keepNext/>
        <w:spacing w:after="120"/>
        <w:jc w:val="both"/>
        <w:rPr>
          <w:rFonts w:cs="Arial"/>
          <w:szCs w:val="20"/>
        </w:rPr>
      </w:pPr>
      <w:r w:rsidRPr="006F1EF7">
        <w:rPr>
          <w:rFonts w:cs="Arial"/>
          <w:szCs w:val="20"/>
        </w:rPr>
        <w:t>(v % ze všech zaměstnaných žen, resp. mužů v podnicích zajišťujících kurzy/školení)</w:t>
      </w:r>
    </w:p>
    <w:p w14:paraId="7CC97423" w14:textId="6132F917" w:rsidR="00BF5A0C" w:rsidRDefault="00BF5A0C" w:rsidP="00D8357D">
      <w:pPr>
        <w:spacing w:after="120"/>
        <w:jc w:val="both"/>
        <w:rPr>
          <w:rFonts w:cs="Arial"/>
          <w:szCs w:val="20"/>
        </w:rPr>
      </w:pPr>
      <w:r>
        <w:rPr>
          <w:noProof/>
        </w:rPr>
        <w:drawing>
          <wp:inline distT="0" distB="0" distL="0" distR="0" wp14:anchorId="7B8ABFC4" wp14:editId="574F5E8A">
            <wp:extent cx="6124575" cy="3152775"/>
            <wp:effectExtent l="0" t="0" r="9525" b="952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AA80AA" w14:textId="2E23496C" w:rsidR="001C34EE" w:rsidRDefault="00E66D13" w:rsidP="00E66D13">
      <w:pPr>
        <w:jc w:val="right"/>
        <w:rPr>
          <w:szCs w:val="20"/>
        </w:rPr>
      </w:pPr>
      <w:r w:rsidRPr="003D1467">
        <w:rPr>
          <w:szCs w:val="20"/>
        </w:rPr>
        <w:t>Zdroj: ČSÚ</w:t>
      </w:r>
    </w:p>
    <w:p w14:paraId="1AC478DF" w14:textId="0173EF8A" w:rsidR="00036F0B" w:rsidRDefault="00036F0B" w:rsidP="00036F0B">
      <w:pPr>
        <w:spacing w:after="120"/>
        <w:jc w:val="both"/>
        <w:rPr>
          <w:szCs w:val="20"/>
        </w:rPr>
      </w:pPr>
      <w:r>
        <w:rPr>
          <w:szCs w:val="20"/>
        </w:rPr>
        <w:t xml:space="preserve">Nakonec uvedeme ještě srovnání účasti zaměstnanců v (jakýchkoliv) kurzech/školeních </w:t>
      </w:r>
      <w:r w:rsidR="004D1B6E">
        <w:rPr>
          <w:szCs w:val="20"/>
        </w:rPr>
        <w:t>v čase a mezinárodní srovnání. Připomeňme, že v</w:t>
      </w:r>
      <w:r>
        <w:rPr>
          <w:szCs w:val="20"/>
        </w:rPr>
        <w:t xml:space="preserve"> roce 2015 </w:t>
      </w:r>
      <w:r w:rsidRPr="00005702">
        <w:rPr>
          <w:szCs w:val="20"/>
        </w:rPr>
        <w:t xml:space="preserve">zajišťovalo </w:t>
      </w:r>
      <w:r w:rsidR="00743B43">
        <w:rPr>
          <w:szCs w:val="20"/>
        </w:rPr>
        <w:t>89</w:t>
      </w:r>
      <w:r w:rsidRPr="00005702">
        <w:rPr>
          <w:szCs w:val="20"/>
        </w:rPr>
        <w:t> % podniků kurzy/školení, v </w:t>
      </w:r>
      <w:r w:rsidR="00743B43">
        <w:rPr>
          <w:szCs w:val="20"/>
        </w:rPr>
        <w:t>roce 2020 pak 85</w:t>
      </w:r>
      <w:r>
        <w:rPr>
          <w:szCs w:val="20"/>
        </w:rPr>
        <w:t xml:space="preserve"> %. </w:t>
      </w:r>
      <w:r w:rsidR="004F6230">
        <w:rPr>
          <w:szCs w:val="20"/>
        </w:rPr>
        <w:t>P</w:t>
      </w:r>
      <w:r>
        <w:rPr>
          <w:szCs w:val="20"/>
        </w:rPr>
        <w:t xml:space="preserve">odíl zaměstnanců účastnících se kurzů/školení byl </w:t>
      </w:r>
      <w:r w:rsidR="004F6230">
        <w:rPr>
          <w:szCs w:val="20"/>
        </w:rPr>
        <w:t xml:space="preserve">však </w:t>
      </w:r>
      <w:r>
        <w:rPr>
          <w:szCs w:val="20"/>
        </w:rPr>
        <w:t xml:space="preserve">v roce </w:t>
      </w:r>
      <w:r w:rsidR="004D1B6E">
        <w:rPr>
          <w:szCs w:val="20"/>
        </w:rPr>
        <w:t>2020</w:t>
      </w:r>
      <w:r w:rsidR="004F6230">
        <w:rPr>
          <w:szCs w:val="20"/>
        </w:rPr>
        <w:t xml:space="preserve"> jen o procentní bod </w:t>
      </w:r>
      <w:r w:rsidR="00A659A0">
        <w:rPr>
          <w:szCs w:val="20"/>
        </w:rPr>
        <w:t>nižš</w:t>
      </w:r>
      <w:r w:rsidR="00743B43">
        <w:rPr>
          <w:szCs w:val="20"/>
        </w:rPr>
        <w:t>í (83</w:t>
      </w:r>
      <w:r w:rsidR="004F6230">
        <w:rPr>
          <w:szCs w:val="20"/>
        </w:rPr>
        <w:t> %)</w:t>
      </w:r>
      <w:r w:rsidR="00743B43">
        <w:rPr>
          <w:szCs w:val="20"/>
        </w:rPr>
        <w:t>, než jaký byl v roce 2015 (84</w:t>
      </w:r>
      <w:r w:rsidR="004F6230">
        <w:rPr>
          <w:szCs w:val="20"/>
        </w:rPr>
        <w:t xml:space="preserve"> %). Přitom pokud vezmeme v potaz pouze podniky zajišťující kurzy/školení, byla účast zaměstnanců v kurzech/školeních v roce 2020 dokonce téměř o procentní bod vyšší </w:t>
      </w:r>
      <w:r w:rsidR="00743B43">
        <w:rPr>
          <w:szCs w:val="20"/>
        </w:rPr>
        <w:t>(88 %) než v roce 2015 (87</w:t>
      </w:r>
      <w:r w:rsidR="00476D37">
        <w:rPr>
          <w:szCs w:val="20"/>
        </w:rPr>
        <w:t> %) – viz graf 2.5</w:t>
      </w:r>
      <w:r w:rsidR="004F6230">
        <w:rPr>
          <w:szCs w:val="20"/>
        </w:rPr>
        <w:t xml:space="preserve">.  </w:t>
      </w:r>
    </w:p>
    <w:p w14:paraId="6F4534D9" w14:textId="7FDE1DB2" w:rsidR="00036F0B" w:rsidRPr="00036F0B" w:rsidRDefault="0016710C" w:rsidP="00036F0B">
      <w:pPr>
        <w:spacing w:after="120"/>
        <w:jc w:val="both"/>
        <w:rPr>
          <w:b/>
          <w:szCs w:val="20"/>
        </w:rPr>
      </w:pPr>
      <w:r>
        <w:rPr>
          <w:b/>
          <w:szCs w:val="20"/>
        </w:rPr>
        <w:t xml:space="preserve">Graf 2.5 Zaměstnanci účastnící se </w:t>
      </w:r>
      <w:r w:rsidR="00036F0B">
        <w:rPr>
          <w:b/>
          <w:szCs w:val="20"/>
        </w:rPr>
        <w:t xml:space="preserve">(jakýchkoliv) </w:t>
      </w:r>
      <w:r>
        <w:rPr>
          <w:b/>
          <w:szCs w:val="20"/>
        </w:rPr>
        <w:t xml:space="preserve">kurzů/školení, </w:t>
      </w:r>
      <w:r w:rsidR="00F60049">
        <w:rPr>
          <w:b/>
          <w:szCs w:val="20"/>
        </w:rPr>
        <w:t xml:space="preserve">2005 </w:t>
      </w:r>
      <w:r w:rsidR="00F60049" w:rsidRPr="00F60049">
        <w:rPr>
          <w:b/>
          <w:szCs w:val="20"/>
        </w:rPr>
        <w:t>–</w:t>
      </w:r>
      <w:r w:rsidR="00F60049">
        <w:rPr>
          <w:b/>
          <w:szCs w:val="20"/>
        </w:rPr>
        <w:t xml:space="preserve"> </w:t>
      </w:r>
      <w:r>
        <w:rPr>
          <w:b/>
          <w:szCs w:val="20"/>
        </w:rPr>
        <w:t>2020</w:t>
      </w:r>
    </w:p>
    <w:p w14:paraId="62CE6FC0" w14:textId="01540065" w:rsidR="00036F0B" w:rsidRDefault="00036F0B" w:rsidP="00036F0B">
      <w:pPr>
        <w:spacing w:after="120"/>
        <w:jc w:val="both"/>
        <w:rPr>
          <w:szCs w:val="20"/>
        </w:rPr>
      </w:pPr>
      <w:r>
        <w:rPr>
          <w:noProof/>
        </w:rPr>
        <w:drawing>
          <wp:inline distT="0" distB="0" distL="0" distR="0" wp14:anchorId="0E9FD905" wp14:editId="71AA4BB7">
            <wp:extent cx="6172200" cy="2371725"/>
            <wp:effectExtent l="0" t="0" r="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31BCC6" w14:textId="3FA8B074" w:rsidR="00036F0B" w:rsidRDefault="004F6230" w:rsidP="008E4359">
      <w:pPr>
        <w:jc w:val="right"/>
        <w:rPr>
          <w:szCs w:val="20"/>
        </w:rPr>
      </w:pPr>
      <w:r w:rsidRPr="003D1467">
        <w:rPr>
          <w:szCs w:val="20"/>
        </w:rPr>
        <w:t>Zdroj: ČSÚ</w:t>
      </w:r>
    </w:p>
    <w:p w14:paraId="54850216" w14:textId="358E99CD" w:rsidR="004F6230" w:rsidRPr="004F6230" w:rsidRDefault="004D1B6E" w:rsidP="004F6230">
      <w:pPr>
        <w:spacing w:after="120"/>
        <w:jc w:val="both"/>
        <w:rPr>
          <w:szCs w:val="20"/>
        </w:rPr>
      </w:pPr>
      <w:r>
        <w:rPr>
          <w:szCs w:val="20"/>
        </w:rPr>
        <w:lastRenderedPageBreak/>
        <w:t>V</w:t>
      </w:r>
      <w:r w:rsidR="004F6230" w:rsidRPr="004F6230">
        <w:rPr>
          <w:szCs w:val="20"/>
        </w:rPr>
        <w:t xml:space="preserve"> mezinárodní</w:t>
      </w:r>
      <w:r>
        <w:rPr>
          <w:szCs w:val="20"/>
        </w:rPr>
        <w:t>m srovnání pak</w:t>
      </w:r>
      <w:r w:rsidR="00B10397">
        <w:rPr>
          <w:szCs w:val="20"/>
        </w:rPr>
        <w:t xml:space="preserve"> Česká republika </w:t>
      </w:r>
      <w:r>
        <w:rPr>
          <w:szCs w:val="20"/>
        </w:rPr>
        <w:t>obsadila</w:t>
      </w:r>
      <w:r w:rsidR="00B10397">
        <w:rPr>
          <w:szCs w:val="20"/>
        </w:rPr>
        <w:t xml:space="preserve"> jak v podílu vzdělávaných zaměstnanců v kurzech/školeních ze všech zaměstnanců, tak i v podílu zaměstnanců pod</w:t>
      </w:r>
      <w:r>
        <w:rPr>
          <w:szCs w:val="20"/>
        </w:rPr>
        <w:t>niků zajišťujících vzdělávání první příčku</w:t>
      </w:r>
      <w:r w:rsidR="00B10397">
        <w:rPr>
          <w:szCs w:val="20"/>
        </w:rPr>
        <w:t>, viz graf 2.6. To však může být dáno tím, že v české verzi dotazníku byly kladeny otázky zvlášť na povinné vzdělávání (BOZP, PO) a zvlášť na nepovinné, čímž bylo zajiště</w:t>
      </w:r>
      <w:r w:rsidR="00A659A0">
        <w:rPr>
          <w:szCs w:val="20"/>
        </w:rPr>
        <w:t>no, že všechny podniky započetly</w:t>
      </w:r>
      <w:r w:rsidR="00B10397">
        <w:rPr>
          <w:szCs w:val="20"/>
        </w:rPr>
        <w:t xml:space="preserve"> do kurzů/školení obojí. V mezinárodní verzi </w:t>
      </w:r>
      <w:r>
        <w:rPr>
          <w:szCs w:val="20"/>
        </w:rPr>
        <w:t xml:space="preserve">dotazníku </w:t>
      </w:r>
      <w:r w:rsidR="00B10397">
        <w:rPr>
          <w:szCs w:val="20"/>
        </w:rPr>
        <w:t xml:space="preserve">byly kladeny otázky obecně na kurzy/školení, pouze jedna doplňující otázka </w:t>
      </w:r>
      <w:r>
        <w:rPr>
          <w:szCs w:val="20"/>
        </w:rPr>
        <w:t>se týkala</w:t>
      </w:r>
      <w:r w:rsidR="00B10397">
        <w:rPr>
          <w:szCs w:val="20"/>
        </w:rPr>
        <w:t xml:space="preserve"> podíl</w:t>
      </w:r>
      <w:r>
        <w:rPr>
          <w:szCs w:val="20"/>
        </w:rPr>
        <w:t>u</w:t>
      </w:r>
      <w:r w:rsidR="00B10397">
        <w:rPr>
          <w:szCs w:val="20"/>
        </w:rPr>
        <w:t xml:space="preserve"> hodin v povinných kurzech/školeních zaměřených na ochranu zdraví a zajištění bezpečnosti práce. </w:t>
      </w:r>
      <w:r>
        <w:rPr>
          <w:szCs w:val="20"/>
        </w:rPr>
        <w:t>Tím mohlo dojít k opomenutí započtení tohoto vzdělávání respondenty.</w:t>
      </w:r>
    </w:p>
    <w:p w14:paraId="7E671334" w14:textId="369B0317" w:rsidR="004F6230" w:rsidRDefault="004F6230" w:rsidP="004F6230">
      <w:pPr>
        <w:spacing w:after="120"/>
        <w:jc w:val="both"/>
        <w:rPr>
          <w:b/>
          <w:szCs w:val="20"/>
        </w:rPr>
      </w:pPr>
      <w:r w:rsidRPr="00036F0B">
        <w:rPr>
          <w:b/>
          <w:szCs w:val="20"/>
        </w:rPr>
        <w:t>G</w:t>
      </w:r>
      <w:r>
        <w:rPr>
          <w:b/>
          <w:szCs w:val="20"/>
        </w:rPr>
        <w:t>raf 2.6</w:t>
      </w:r>
      <w:r w:rsidRPr="00036F0B">
        <w:rPr>
          <w:b/>
          <w:szCs w:val="20"/>
        </w:rPr>
        <w:t xml:space="preserve"> </w:t>
      </w:r>
      <w:r w:rsidR="0016710C">
        <w:rPr>
          <w:b/>
          <w:szCs w:val="20"/>
        </w:rPr>
        <w:t>Zaměstnanci účastnící se</w:t>
      </w:r>
      <w:r w:rsidRPr="00036F0B">
        <w:rPr>
          <w:b/>
          <w:szCs w:val="20"/>
        </w:rPr>
        <w:t xml:space="preserve"> </w:t>
      </w:r>
      <w:r>
        <w:rPr>
          <w:b/>
          <w:szCs w:val="20"/>
        </w:rPr>
        <w:t xml:space="preserve">(jakýchkoliv) </w:t>
      </w:r>
      <w:r w:rsidR="0016710C">
        <w:rPr>
          <w:b/>
          <w:szCs w:val="20"/>
        </w:rPr>
        <w:t>kurzů/školení v </w:t>
      </w:r>
      <w:r>
        <w:rPr>
          <w:b/>
          <w:szCs w:val="20"/>
        </w:rPr>
        <w:t>mezinárodní</w:t>
      </w:r>
      <w:r w:rsidR="0016710C">
        <w:rPr>
          <w:b/>
          <w:szCs w:val="20"/>
        </w:rPr>
        <w:t>m</w:t>
      </w:r>
      <w:r>
        <w:rPr>
          <w:b/>
          <w:szCs w:val="20"/>
        </w:rPr>
        <w:t xml:space="preserve"> srovnání</w:t>
      </w:r>
      <w:r w:rsidR="0016710C">
        <w:rPr>
          <w:b/>
          <w:szCs w:val="20"/>
        </w:rPr>
        <w:t>, 2020</w:t>
      </w:r>
    </w:p>
    <w:p w14:paraId="686262CE" w14:textId="5EE0F94B" w:rsidR="004F6230" w:rsidRPr="00B10397" w:rsidRDefault="004F6230" w:rsidP="00B10397">
      <w:pPr>
        <w:spacing w:after="60"/>
        <w:jc w:val="both"/>
        <w:rPr>
          <w:b/>
          <w:i/>
          <w:szCs w:val="20"/>
        </w:rPr>
      </w:pPr>
      <w:r>
        <w:rPr>
          <w:b/>
          <w:szCs w:val="20"/>
        </w:rPr>
        <w:t xml:space="preserve">       </w:t>
      </w:r>
      <w:r w:rsidRPr="00B10397">
        <w:rPr>
          <w:b/>
          <w:i/>
          <w:szCs w:val="20"/>
        </w:rPr>
        <w:t>podíl ze zaměstnanců všech podniků                    podíl ze zaměstnanců vzdělávajících podniků</w:t>
      </w:r>
    </w:p>
    <w:p w14:paraId="4AB777C7" w14:textId="54124AFF" w:rsidR="004F6230" w:rsidRPr="00036F0B" w:rsidRDefault="004F6230" w:rsidP="004F6230">
      <w:pPr>
        <w:spacing w:after="120"/>
        <w:jc w:val="both"/>
        <w:rPr>
          <w:b/>
          <w:szCs w:val="20"/>
        </w:rPr>
      </w:pPr>
      <w:r w:rsidRPr="004F6230">
        <w:rPr>
          <w:noProof/>
        </w:rPr>
        <w:t xml:space="preserve"> </w:t>
      </w:r>
      <w:r w:rsidR="001F559C" w:rsidRPr="00586CA0">
        <w:rPr>
          <w:noProof/>
          <w:color w:val="A02436"/>
        </w:rPr>
        <w:drawing>
          <wp:inline distT="0" distB="0" distL="0" distR="0" wp14:anchorId="2F0C3B70" wp14:editId="46C34BCF">
            <wp:extent cx="3162300" cy="4628515"/>
            <wp:effectExtent l="0" t="0" r="0" b="63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F559C">
        <w:rPr>
          <w:noProof/>
        </w:rPr>
        <w:drawing>
          <wp:inline distT="0" distB="0" distL="0" distR="0" wp14:anchorId="5CD400DC" wp14:editId="4B2783DD">
            <wp:extent cx="2895600" cy="4628515"/>
            <wp:effectExtent l="0" t="0" r="0" b="63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7AB05D3" w14:textId="7A617368" w:rsidR="004F6230" w:rsidRPr="00E66D13" w:rsidRDefault="00625A5B" w:rsidP="008E4359">
      <w:pPr>
        <w:jc w:val="right"/>
        <w:rPr>
          <w:szCs w:val="20"/>
        </w:rPr>
      </w:pPr>
      <w:r>
        <w:rPr>
          <w:szCs w:val="20"/>
        </w:rPr>
        <w:t>Zdroj: Eurostat</w:t>
      </w:r>
    </w:p>
    <w:p w14:paraId="131EE3B9" w14:textId="5692D536" w:rsidR="001C34EE" w:rsidRPr="000E3B6B" w:rsidRDefault="003750D3" w:rsidP="000E3B6B">
      <w:pPr>
        <w:pStyle w:val="Nadpis2"/>
        <w:spacing w:after="120"/>
      </w:pPr>
      <w:bookmarkStart w:id="11" w:name="_Toc126664219"/>
      <w:r>
        <w:t xml:space="preserve">2.2 Počet </w:t>
      </w:r>
      <w:r w:rsidR="009B0ADC">
        <w:t xml:space="preserve">a podíl </w:t>
      </w:r>
      <w:r>
        <w:t xml:space="preserve">hodin </w:t>
      </w:r>
      <w:r w:rsidR="00C054C2">
        <w:t>placené pracovní doby strávené</w:t>
      </w:r>
      <w:r>
        <w:t xml:space="preserve"> </w:t>
      </w:r>
      <w:r w:rsidR="00A16131">
        <w:t>kurzy/školeními</w:t>
      </w:r>
      <w:bookmarkEnd w:id="11"/>
    </w:p>
    <w:p w14:paraId="0D7BB91D" w14:textId="1D8645C0" w:rsidR="00651667" w:rsidRDefault="000E3B6B" w:rsidP="00D8357D">
      <w:pPr>
        <w:spacing w:after="120"/>
        <w:jc w:val="both"/>
        <w:rPr>
          <w:rFonts w:cs="Arial"/>
          <w:szCs w:val="20"/>
        </w:rPr>
      </w:pPr>
      <w:r>
        <w:rPr>
          <w:rFonts w:cs="Arial"/>
          <w:szCs w:val="20"/>
        </w:rPr>
        <w:t>Vedle podílu účastnících se osob je možné míru účasti měřit také skrze počet hodin strávených vzděláváním</w:t>
      </w:r>
      <w:r w:rsidR="00C054C2">
        <w:rPr>
          <w:rFonts w:cs="Arial"/>
          <w:szCs w:val="20"/>
        </w:rPr>
        <w:t xml:space="preserve"> v rámci placené pracovní doby</w:t>
      </w:r>
      <w:r>
        <w:rPr>
          <w:rFonts w:cs="Arial"/>
          <w:szCs w:val="20"/>
        </w:rPr>
        <w:t xml:space="preserve">. V šetření bylo zjišťováno, kolik hodin </w:t>
      </w:r>
      <w:r w:rsidR="00C054C2">
        <w:rPr>
          <w:rFonts w:cs="Arial"/>
          <w:szCs w:val="20"/>
        </w:rPr>
        <w:t xml:space="preserve">z pracovní doby </w:t>
      </w:r>
      <w:r>
        <w:rPr>
          <w:rFonts w:cs="Arial"/>
          <w:szCs w:val="20"/>
        </w:rPr>
        <w:t>zaměstnanci strávili ze zákona povinný</w:t>
      </w:r>
      <w:r w:rsidR="00484444">
        <w:rPr>
          <w:rFonts w:cs="Arial"/>
          <w:szCs w:val="20"/>
        </w:rPr>
        <w:t>m vzděláváním v kurzech/školeních</w:t>
      </w:r>
      <w:r>
        <w:rPr>
          <w:rFonts w:cs="Arial"/>
          <w:szCs w:val="20"/>
        </w:rPr>
        <w:t xml:space="preserve"> a tak</w:t>
      </w:r>
      <w:r w:rsidR="00FD52C1">
        <w:rPr>
          <w:rFonts w:cs="Arial"/>
          <w:szCs w:val="20"/>
        </w:rPr>
        <w:t xml:space="preserve">é nepovinnými kurzy/školeními. </w:t>
      </w:r>
      <w:r w:rsidR="00D07AE5" w:rsidRPr="00B50DD3">
        <w:rPr>
          <w:rFonts w:cs="Arial"/>
          <w:szCs w:val="20"/>
        </w:rPr>
        <w:t>Celkově</w:t>
      </w:r>
      <w:r w:rsidR="00D07AE5">
        <w:rPr>
          <w:rFonts w:cs="Arial"/>
          <w:szCs w:val="20"/>
        </w:rPr>
        <w:t xml:space="preserve"> připadalo na jednoho zaměstnance </w:t>
      </w:r>
      <w:r w:rsidR="00D07AE5" w:rsidRPr="00B50DD3">
        <w:rPr>
          <w:rFonts w:cs="Arial"/>
          <w:b/>
          <w:szCs w:val="20"/>
        </w:rPr>
        <w:t>všech podniků</w:t>
      </w:r>
      <w:r w:rsidR="00D07AE5">
        <w:rPr>
          <w:rFonts w:cs="Arial"/>
          <w:szCs w:val="20"/>
        </w:rPr>
        <w:t xml:space="preserve"> 8,2 hodiny</w:t>
      </w:r>
      <w:r w:rsidR="00AD362B">
        <w:rPr>
          <w:rFonts w:cs="Arial"/>
          <w:szCs w:val="20"/>
        </w:rPr>
        <w:t xml:space="preserve"> pracovní doby</w:t>
      </w:r>
      <w:r w:rsidR="00D07AE5">
        <w:rPr>
          <w:rFonts w:cs="Arial"/>
          <w:szCs w:val="20"/>
        </w:rPr>
        <w:t xml:space="preserve"> </w:t>
      </w:r>
      <w:r w:rsidR="00B50DD3">
        <w:rPr>
          <w:rFonts w:cs="Arial"/>
          <w:szCs w:val="20"/>
        </w:rPr>
        <w:t xml:space="preserve">strávené </w:t>
      </w:r>
      <w:r w:rsidR="00D07AE5">
        <w:rPr>
          <w:rFonts w:cs="Arial"/>
          <w:szCs w:val="20"/>
        </w:rPr>
        <w:t>v kurzech/školeních. Hodin strávených v povinných kurzech/školeních</w:t>
      </w:r>
      <w:r>
        <w:rPr>
          <w:rFonts w:cs="Arial"/>
          <w:szCs w:val="20"/>
        </w:rPr>
        <w:t xml:space="preserve"> </w:t>
      </w:r>
      <w:r w:rsidR="00D07AE5">
        <w:rPr>
          <w:rFonts w:cs="Arial"/>
          <w:szCs w:val="20"/>
        </w:rPr>
        <w:t>bylo přitom o něco méně (3,7) než v těch nepovinných (4,5). Větší rozdíl mezi počtem hodin v povinných a nepovinných kurzech/školeních najdem</w:t>
      </w:r>
      <w:r w:rsidR="00AD362B">
        <w:rPr>
          <w:rFonts w:cs="Arial"/>
          <w:szCs w:val="20"/>
        </w:rPr>
        <w:t>e při sledování počtu hodin na jednoho</w:t>
      </w:r>
      <w:r w:rsidR="00D07AE5">
        <w:rPr>
          <w:rFonts w:cs="Arial"/>
          <w:szCs w:val="20"/>
        </w:rPr>
        <w:t xml:space="preserve"> zaměstnance </w:t>
      </w:r>
      <w:r w:rsidR="00D07AE5" w:rsidRPr="00B50DD3">
        <w:rPr>
          <w:rFonts w:cs="Arial"/>
          <w:b/>
          <w:szCs w:val="20"/>
        </w:rPr>
        <w:t>v podnicích zajišťujících povinné, resp. nepovinné kurzy/školení</w:t>
      </w:r>
      <w:r w:rsidR="00D07AE5">
        <w:rPr>
          <w:rFonts w:cs="Arial"/>
          <w:szCs w:val="20"/>
        </w:rPr>
        <w:t>.</w:t>
      </w:r>
      <w:r w:rsidR="00C054C2">
        <w:rPr>
          <w:rFonts w:cs="Arial"/>
          <w:szCs w:val="20"/>
        </w:rPr>
        <w:t xml:space="preserve"> Povinnými kurzy </w:t>
      </w:r>
      <w:r w:rsidR="00484444">
        <w:rPr>
          <w:rFonts w:cs="Arial"/>
          <w:szCs w:val="20"/>
        </w:rPr>
        <w:t>strávili</w:t>
      </w:r>
      <w:r w:rsidR="00C054C2">
        <w:rPr>
          <w:rFonts w:cs="Arial"/>
          <w:szCs w:val="20"/>
        </w:rPr>
        <w:t xml:space="preserve"> zaměstnanci</w:t>
      </w:r>
      <w:r w:rsidR="00484444">
        <w:rPr>
          <w:rFonts w:cs="Arial"/>
          <w:szCs w:val="20"/>
        </w:rPr>
        <w:t xml:space="preserve"> podniků, které je zajišťovaly,</w:t>
      </w:r>
      <w:r w:rsidR="00C054C2">
        <w:rPr>
          <w:rFonts w:cs="Arial"/>
          <w:szCs w:val="20"/>
        </w:rPr>
        <w:t xml:space="preserve"> </w:t>
      </w:r>
      <w:r w:rsidR="00484444">
        <w:rPr>
          <w:rFonts w:cs="Arial"/>
          <w:szCs w:val="20"/>
        </w:rPr>
        <w:t xml:space="preserve">v průměru </w:t>
      </w:r>
      <w:r w:rsidR="00C054C2">
        <w:rPr>
          <w:rFonts w:cs="Arial"/>
          <w:szCs w:val="20"/>
        </w:rPr>
        <w:t>4 hodiny</w:t>
      </w:r>
      <w:r w:rsidR="00484444">
        <w:rPr>
          <w:rFonts w:cs="Arial"/>
          <w:szCs w:val="20"/>
        </w:rPr>
        <w:t xml:space="preserve"> na osobu</w:t>
      </w:r>
      <w:r w:rsidR="00C054C2">
        <w:rPr>
          <w:rFonts w:cs="Arial"/>
          <w:szCs w:val="20"/>
        </w:rPr>
        <w:t xml:space="preserve"> a nepovinnými 6,1 hodiny. Nakonec největší rozdíl lze shledat v počtu hodin </w:t>
      </w:r>
      <w:r w:rsidR="005C07E2">
        <w:rPr>
          <w:rFonts w:cs="Arial"/>
          <w:b/>
          <w:szCs w:val="20"/>
        </w:rPr>
        <w:t>na jednoho</w:t>
      </w:r>
      <w:r w:rsidR="00C054C2" w:rsidRPr="00B50DD3">
        <w:rPr>
          <w:rFonts w:cs="Arial"/>
          <w:b/>
          <w:szCs w:val="20"/>
        </w:rPr>
        <w:t xml:space="preserve"> účastníka dané formy vzdělávání</w:t>
      </w:r>
      <w:r w:rsidR="005C07E2">
        <w:rPr>
          <w:rFonts w:cs="Arial"/>
          <w:szCs w:val="20"/>
        </w:rPr>
        <w:t>. Zatímco na jednoho</w:t>
      </w:r>
      <w:r w:rsidR="00C054C2">
        <w:rPr>
          <w:rFonts w:cs="Arial"/>
          <w:szCs w:val="20"/>
        </w:rPr>
        <w:t> účastníka povinných kurzů/školení připadlo 4,9 hodiny</w:t>
      </w:r>
      <w:r w:rsidR="00AD362B">
        <w:rPr>
          <w:rFonts w:cs="Arial"/>
          <w:szCs w:val="20"/>
        </w:rPr>
        <w:t xml:space="preserve"> pracovní doby věnované tomuto vzdělávání</w:t>
      </w:r>
      <w:r w:rsidR="005C07E2">
        <w:rPr>
          <w:rFonts w:cs="Arial"/>
          <w:szCs w:val="20"/>
        </w:rPr>
        <w:t>, na jednoho</w:t>
      </w:r>
      <w:r w:rsidR="00A8381E">
        <w:rPr>
          <w:rFonts w:cs="Arial"/>
          <w:szCs w:val="20"/>
        </w:rPr>
        <w:t> </w:t>
      </w:r>
      <w:r w:rsidR="00C054C2">
        <w:rPr>
          <w:rFonts w:cs="Arial"/>
          <w:szCs w:val="20"/>
        </w:rPr>
        <w:t xml:space="preserve">účastníka nepovinných kurzů/školení je to 15 hodin. Je tedy zřejmé, </w:t>
      </w:r>
      <w:r w:rsidR="00AD362B">
        <w:rPr>
          <w:rFonts w:cs="Arial"/>
          <w:szCs w:val="20"/>
        </w:rPr>
        <w:t xml:space="preserve">že </w:t>
      </w:r>
      <w:r w:rsidR="00C054C2">
        <w:rPr>
          <w:rFonts w:cs="Arial"/>
          <w:szCs w:val="20"/>
        </w:rPr>
        <w:t xml:space="preserve">povinných </w:t>
      </w:r>
      <w:r w:rsidR="00C054C2">
        <w:rPr>
          <w:rFonts w:cs="Arial"/>
          <w:szCs w:val="20"/>
        </w:rPr>
        <w:lastRenderedPageBreak/>
        <w:t>kurzů BOZP a PO se účastní velké množství zaměstnanců, zpravidla však nebývá tak časově náročné jako</w:t>
      </w:r>
      <w:r w:rsidR="00D07AE5">
        <w:rPr>
          <w:rFonts w:cs="Arial"/>
          <w:szCs w:val="20"/>
        </w:rPr>
        <w:t xml:space="preserve"> </w:t>
      </w:r>
      <w:r w:rsidR="00C054C2">
        <w:rPr>
          <w:rFonts w:cs="Arial"/>
          <w:szCs w:val="20"/>
        </w:rPr>
        <w:t>kurzy/školení, které nevyplývají ze zákona. Je přitom možné, že uvedený rozdíl by byl ještě větší, pakliže bychom sledovali i hodiny strávené vzděláváním mimo placenou pracovní dobu.</w:t>
      </w:r>
      <w:r w:rsidR="00B50DD3">
        <w:rPr>
          <w:rFonts w:cs="Arial"/>
          <w:szCs w:val="20"/>
        </w:rPr>
        <w:t xml:space="preserve"> Lze předpokládat, že povinné vzdělávání podniky realizují výhradně v rámci placené pracovní doby</w:t>
      </w:r>
      <w:r w:rsidR="00CF70BD">
        <w:rPr>
          <w:rFonts w:cs="Arial"/>
          <w:szCs w:val="20"/>
        </w:rPr>
        <w:t>. O</w:t>
      </w:r>
      <w:r w:rsidR="00B50DD3">
        <w:rPr>
          <w:rFonts w:cs="Arial"/>
          <w:szCs w:val="20"/>
        </w:rPr>
        <w:t>proti tomu řada z nich může zaměstnancům proplácet vzdělávání</w:t>
      </w:r>
      <w:r w:rsidR="00CF70BD">
        <w:rPr>
          <w:rFonts w:cs="Arial"/>
          <w:szCs w:val="20"/>
        </w:rPr>
        <w:t xml:space="preserve"> nevyplývající ze zákona</w:t>
      </w:r>
      <w:r w:rsidR="00B50DD3">
        <w:rPr>
          <w:rFonts w:cs="Arial"/>
          <w:szCs w:val="20"/>
        </w:rPr>
        <w:t xml:space="preserve"> konané mimo pracovní dobu</w:t>
      </w:r>
      <w:r w:rsidR="00CF70BD">
        <w:rPr>
          <w:rFonts w:cs="Arial"/>
          <w:szCs w:val="20"/>
        </w:rPr>
        <w:t xml:space="preserve">, pakliže je </w:t>
      </w:r>
      <w:r w:rsidR="00484444">
        <w:rPr>
          <w:rFonts w:cs="Arial"/>
          <w:szCs w:val="20"/>
        </w:rPr>
        <w:t xml:space="preserve">to </w:t>
      </w:r>
      <w:r w:rsidR="00CF70BD">
        <w:rPr>
          <w:rFonts w:cs="Arial"/>
          <w:szCs w:val="20"/>
        </w:rPr>
        <w:t>v</w:t>
      </w:r>
      <w:r w:rsidR="00944331">
        <w:rPr>
          <w:rFonts w:cs="Arial"/>
          <w:szCs w:val="20"/>
        </w:rPr>
        <w:t> </w:t>
      </w:r>
      <w:r w:rsidR="00CF70BD">
        <w:rPr>
          <w:rFonts w:cs="Arial"/>
          <w:szCs w:val="20"/>
        </w:rPr>
        <w:t>zájmu</w:t>
      </w:r>
      <w:r w:rsidR="00944331">
        <w:rPr>
          <w:rFonts w:cs="Arial"/>
          <w:szCs w:val="20"/>
        </w:rPr>
        <w:t xml:space="preserve"> podniku</w:t>
      </w:r>
      <w:r w:rsidR="00B50DD3">
        <w:rPr>
          <w:rFonts w:cs="Arial"/>
          <w:szCs w:val="20"/>
        </w:rPr>
        <w:t>.</w:t>
      </w:r>
    </w:p>
    <w:p w14:paraId="32D5E015" w14:textId="49765753" w:rsidR="00651667" w:rsidRPr="00651667" w:rsidRDefault="00A216A0" w:rsidP="00651667">
      <w:pPr>
        <w:keepNext/>
        <w:spacing w:after="120"/>
        <w:jc w:val="both"/>
        <w:rPr>
          <w:rFonts w:cs="Arial"/>
          <w:b/>
          <w:szCs w:val="20"/>
        </w:rPr>
      </w:pPr>
      <w:r>
        <w:rPr>
          <w:rFonts w:cs="Arial"/>
          <w:b/>
          <w:szCs w:val="20"/>
        </w:rPr>
        <w:t xml:space="preserve">Graf </w:t>
      </w:r>
      <w:r w:rsidR="00560FD8">
        <w:rPr>
          <w:rFonts w:cs="Arial"/>
          <w:b/>
          <w:szCs w:val="20"/>
        </w:rPr>
        <w:t>2.7</w:t>
      </w:r>
      <w:r w:rsidR="00651667" w:rsidRPr="00651667">
        <w:rPr>
          <w:rFonts w:cs="Arial"/>
          <w:b/>
          <w:szCs w:val="20"/>
        </w:rPr>
        <w:t xml:space="preserve"> P</w:t>
      </w:r>
      <w:r w:rsidR="00B469F5">
        <w:rPr>
          <w:rFonts w:cs="Arial"/>
          <w:b/>
          <w:szCs w:val="20"/>
        </w:rPr>
        <w:t>růměrný p</w:t>
      </w:r>
      <w:r w:rsidR="00651667" w:rsidRPr="00651667">
        <w:rPr>
          <w:rFonts w:cs="Arial"/>
          <w:b/>
          <w:szCs w:val="20"/>
        </w:rPr>
        <w:t>očet hodin placené pracovní doby strávené účastí v kurzech/školeních</w:t>
      </w:r>
      <w:r w:rsidR="0016710C">
        <w:rPr>
          <w:rFonts w:cs="Arial"/>
          <w:b/>
          <w:szCs w:val="20"/>
        </w:rPr>
        <w:t>, 2020</w:t>
      </w:r>
    </w:p>
    <w:p w14:paraId="56BB7F88" w14:textId="016410E3" w:rsidR="001C34EE" w:rsidRDefault="00B2488B" w:rsidP="00D8357D">
      <w:pPr>
        <w:spacing w:after="120"/>
        <w:jc w:val="both"/>
        <w:rPr>
          <w:rFonts w:cs="Arial"/>
          <w:szCs w:val="20"/>
        </w:rPr>
      </w:pPr>
      <w:r>
        <w:rPr>
          <w:noProof/>
        </w:rPr>
        <w:drawing>
          <wp:inline distT="0" distB="0" distL="0" distR="0" wp14:anchorId="76E881CB" wp14:editId="33C89160">
            <wp:extent cx="6067425" cy="2333625"/>
            <wp:effectExtent l="0" t="0" r="9525"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C592501" w14:textId="3AA24687" w:rsidR="00E66D13" w:rsidRDefault="00E66D13" w:rsidP="00E66D13">
      <w:pPr>
        <w:spacing w:after="120"/>
        <w:jc w:val="right"/>
        <w:rPr>
          <w:szCs w:val="20"/>
        </w:rPr>
      </w:pPr>
      <w:r w:rsidRPr="003D1467">
        <w:rPr>
          <w:szCs w:val="20"/>
        </w:rPr>
        <w:t>Zdroj: ČSÚ</w:t>
      </w:r>
    </w:p>
    <w:p w14:paraId="7E788E45" w14:textId="320F37A3" w:rsidR="00C46260" w:rsidRDefault="00C46260" w:rsidP="00E65954">
      <w:pPr>
        <w:spacing w:after="120"/>
        <w:jc w:val="both"/>
        <w:rPr>
          <w:szCs w:val="20"/>
        </w:rPr>
      </w:pPr>
      <w:r>
        <w:rPr>
          <w:szCs w:val="20"/>
        </w:rPr>
        <w:t>Přitom pokud se jedná o počet hodin placené pracovní doby strávené v jakýchkoliv kurzech/školeních, byl v roce 2020 ve všech sledovaných ukazatelích</w:t>
      </w:r>
      <w:r w:rsidR="005C07E2">
        <w:rPr>
          <w:szCs w:val="20"/>
        </w:rPr>
        <w:t xml:space="preserve"> (tj. sledování počtu hodin na jednoho</w:t>
      </w:r>
      <w:r>
        <w:rPr>
          <w:szCs w:val="20"/>
        </w:rPr>
        <w:t xml:space="preserve"> zaměstnance všech podniků, podniků za</w:t>
      </w:r>
      <w:r w:rsidR="005C07E2">
        <w:rPr>
          <w:szCs w:val="20"/>
        </w:rPr>
        <w:t>jišťujících kurzy/školení a na jednoho</w:t>
      </w:r>
      <w:r>
        <w:rPr>
          <w:szCs w:val="20"/>
        </w:rPr>
        <w:t xml:space="preserve"> účastníka kurzů/školení)</w:t>
      </w:r>
      <w:r w:rsidR="00697A3A">
        <w:rPr>
          <w:szCs w:val="20"/>
        </w:rPr>
        <w:t xml:space="preserve"> nižší než v roce 2015. To </w:t>
      </w:r>
      <w:r>
        <w:rPr>
          <w:szCs w:val="20"/>
        </w:rPr>
        <w:t xml:space="preserve">může být ovlivněno specifickou pandemickou situací v roce 2020. Zajímavé však je, že počet </w:t>
      </w:r>
      <w:r w:rsidR="008C6B28">
        <w:rPr>
          <w:szCs w:val="20"/>
        </w:rPr>
        <w:t xml:space="preserve">hodin </w:t>
      </w:r>
      <w:r>
        <w:rPr>
          <w:szCs w:val="20"/>
        </w:rPr>
        <w:t xml:space="preserve">placené pracovní doby v kurzech/školeních na jednoho účastníka </w:t>
      </w:r>
      <w:r w:rsidR="00E65954">
        <w:rPr>
          <w:szCs w:val="20"/>
        </w:rPr>
        <w:t>se snížil též mezi lety 2010 a 2015.</w:t>
      </w:r>
    </w:p>
    <w:p w14:paraId="342DFAD8" w14:textId="448D1BEE" w:rsidR="00E65954" w:rsidRPr="00E65954" w:rsidRDefault="0016710C" w:rsidP="00E65954">
      <w:pPr>
        <w:spacing w:after="120"/>
        <w:jc w:val="both"/>
        <w:rPr>
          <w:b/>
          <w:szCs w:val="20"/>
        </w:rPr>
      </w:pPr>
      <w:r>
        <w:rPr>
          <w:b/>
          <w:szCs w:val="20"/>
        </w:rPr>
        <w:t>G</w:t>
      </w:r>
      <w:r w:rsidRPr="0016710C">
        <w:rPr>
          <w:b/>
          <w:szCs w:val="20"/>
        </w:rPr>
        <w:t>raf 2.8 Průmě</w:t>
      </w:r>
      <w:r>
        <w:rPr>
          <w:b/>
          <w:szCs w:val="20"/>
        </w:rPr>
        <w:t>rný počet hodin placené prac.</w:t>
      </w:r>
      <w:r w:rsidRPr="0016710C">
        <w:rPr>
          <w:b/>
          <w:szCs w:val="20"/>
        </w:rPr>
        <w:t xml:space="preserve"> doby strávené v kurzech/školeních celkem, 2010–2020</w:t>
      </w:r>
    </w:p>
    <w:p w14:paraId="34BC19B4" w14:textId="70ED4215" w:rsidR="00C46260" w:rsidRPr="00E66D13" w:rsidRDefault="00C46260" w:rsidP="00C46260">
      <w:pPr>
        <w:spacing w:after="120"/>
        <w:rPr>
          <w:szCs w:val="20"/>
        </w:rPr>
      </w:pPr>
      <w:r>
        <w:rPr>
          <w:noProof/>
        </w:rPr>
        <w:drawing>
          <wp:inline distT="0" distB="0" distL="0" distR="0" wp14:anchorId="590D24A0" wp14:editId="7F826D93">
            <wp:extent cx="6019800" cy="2390775"/>
            <wp:effectExtent l="0" t="0" r="0"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9A9956" w14:textId="6D6AD28D" w:rsidR="009E157B" w:rsidRPr="009E157B" w:rsidRDefault="009E157B" w:rsidP="009E157B">
      <w:pPr>
        <w:spacing w:after="120"/>
        <w:jc w:val="right"/>
        <w:rPr>
          <w:szCs w:val="20"/>
        </w:rPr>
      </w:pPr>
      <w:r w:rsidRPr="003D1467">
        <w:rPr>
          <w:szCs w:val="20"/>
        </w:rPr>
        <w:t>Zdroj: ČSÚ</w:t>
      </w:r>
    </w:p>
    <w:p w14:paraId="272391A9" w14:textId="77777777" w:rsidR="005F47F0" w:rsidRDefault="008E40AD" w:rsidP="00D8357D">
      <w:pPr>
        <w:spacing w:after="120"/>
        <w:jc w:val="both"/>
        <w:rPr>
          <w:rFonts w:cs="Arial"/>
          <w:szCs w:val="20"/>
        </w:rPr>
      </w:pPr>
      <w:r>
        <w:rPr>
          <w:rFonts w:cs="Arial"/>
          <w:szCs w:val="20"/>
        </w:rPr>
        <w:t>Podívejme se nyní na rozdíly v počtu hodin placené pracovní doby na jednoho účastníka povinných</w:t>
      </w:r>
      <w:r w:rsidR="00B66FC9">
        <w:rPr>
          <w:rFonts w:cs="Arial"/>
          <w:szCs w:val="20"/>
        </w:rPr>
        <w:t>, resp. nepovinných kurzů/</w:t>
      </w:r>
      <w:r>
        <w:rPr>
          <w:rFonts w:cs="Arial"/>
          <w:szCs w:val="20"/>
        </w:rPr>
        <w:t xml:space="preserve">školení mezi podniky různých charakteristik. </w:t>
      </w:r>
      <w:r w:rsidR="00E5068B">
        <w:rPr>
          <w:rFonts w:cs="Arial"/>
          <w:szCs w:val="20"/>
        </w:rPr>
        <w:t>Pokud se jedná</w:t>
      </w:r>
      <w:r w:rsidR="00B66FC9">
        <w:rPr>
          <w:rFonts w:cs="Arial"/>
          <w:szCs w:val="20"/>
        </w:rPr>
        <w:t xml:space="preserve"> o velikost podniku a skutečnost, zda jde o podnik s vrcholovým vlastníkem z České republiky, nebo odjinud, byly spatřeny v účasti v </w:t>
      </w:r>
      <w:r w:rsidR="00B66FC9" w:rsidRPr="00E5068B">
        <w:rPr>
          <w:rFonts w:cs="Arial"/>
          <w:b/>
          <w:szCs w:val="20"/>
        </w:rPr>
        <w:t>nepovinných</w:t>
      </w:r>
      <w:r w:rsidR="00B66FC9">
        <w:rPr>
          <w:rFonts w:cs="Arial"/>
          <w:szCs w:val="20"/>
        </w:rPr>
        <w:t xml:space="preserve"> kurzech jen zanedbatelné rozdíly. Co se týče </w:t>
      </w:r>
      <w:r w:rsidR="00B66FC9" w:rsidRPr="00E5068B">
        <w:rPr>
          <w:rFonts w:cs="Arial"/>
          <w:b/>
          <w:szCs w:val="20"/>
        </w:rPr>
        <w:t>povinných</w:t>
      </w:r>
      <w:r w:rsidR="00B66FC9">
        <w:rPr>
          <w:rFonts w:cs="Arial"/>
          <w:szCs w:val="20"/>
        </w:rPr>
        <w:t xml:space="preserve"> kurzů/školení, pak podniky s vrcholovým vlastníkem z České republiky uvolnily účastnící se zaměstnance z pracovní doby ke vzdělávání na 5,3 hodiny, ostatní podniky na 4,5 hodiny.</w:t>
      </w:r>
      <w:r w:rsidR="001970A5">
        <w:rPr>
          <w:rFonts w:cs="Arial"/>
          <w:szCs w:val="20"/>
        </w:rPr>
        <w:t xml:space="preserve"> </w:t>
      </w:r>
    </w:p>
    <w:p w14:paraId="3BB4D971" w14:textId="6B5B63A6" w:rsidR="001C34EE" w:rsidRPr="00866489" w:rsidRDefault="001970A5" w:rsidP="00D8357D">
      <w:pPr>
        <w:spacing w:after="120"/>
        <w:jc w:val="both"/>
        <w:rPr>
          <w:szCs w:val="20"/>
        </w:rPr>
      </w:pPr>
      <w:r>
        <w:rPr>
          <w:rFonts w:cs="Arial"/>
          <w:szCs w:val="20"/>
        </w:rPr>
        <w:lastRenderedPageBreak/>
        <w:t xml:space="preserve">Větší rozdíly najdeme mezi </w:t>
      </w:r>
      <w:r w:rsidRPr="00E5068B">
        <w:rPr>
          <w:rFonts w:cs="Arial"/>
          <w:szCs w:val="20"/>
        </w:rPr>
        <w:t xml:space="preserve">podniky s různou převažující ekonomickou činností. </w:t>
      </w:r>
      <w:r w:rsidR="005F47F0">
        <w:rPr>
          <w:rFonts w:cs="Arial"/>
          <w:szCs w:val="20"/>
        </w:rPr>
        <w:t xml:space="preserve">Nejvíce času z pracovní doby </w:t>
      </w:r>
      <w:r w:rsidR="005F47F0" w:rsidRPr="00E5068B">
        <w:rPr>
          <w:rFonts w:cs="Arial"/>
          <w:b/>
          <w:szCs w:val="20"/>
        </w:rPr>
        <w:t>povinným</w:t>
      </w:r>
      <w:r w:rsidR="005F47F0">
        <w:rPr>
          <w:rFonts w:cs="Arial"/>
          <w:szCs w:val="20"/>
        </w:rPr>
        <w:t xml:space="preserve"> kurzům/školením vyhradily podniky z oblasti </w:t>
      </w:r>
      <w:r w:rsidR="005F47F0" w:rsidRPr="001E1584">
        <w:rPr>
          <w:rFonts w:cs="Arial"/>
          <w:i/>
          <w:szCs w:val="20"/>
        </w:rPr>
        <w:t>stavebnictví</w:t>
      </w:r>
      <w:r w:rsidR="005F47F0">
        <w:rPr>
          <w:rFonts w:cs="Arial"/>
          <w:szCs w:val="20"/>
        </w:rPr>
        <w:t xml:space="preserve"> (7,6 hodiny na jednoho účastníka) a </w:t>
      </w:r>
      <w:r w:rsidR="005F47F0" w:rsidRPr="001E1584">
        <w:rPr>
          <w:rFonts w:cs="Arial"/>
          <w:i/>
          <w:szCs w:val="20"/>
        </w:rPr>
        <w:t>dopravy a skladování</w:t>
      </w:r>
      <w:r w:rsidR="005F47F0">
        <w:rPr>
          <w:rFonts w:cs="Arial"/>
          <w:szCs w:val="20"/>
        </w:rPr>
        <w:t xml:space="preserve"> (6,1), nejméně naopak podniky z oblasti </w:t>
      </w:r>
      <w:r w:rsidR="005F47F0" w:rsidRPr="001E1584">
        <w:rPr>
          <w:rFonts w:cs="Arial"/>
          <w:i/>
          <w:szCs w:val="20"/>
        </w:rPr>
        <w:t>velkoobchodu a maloobchodu</w:t>
      </w:r>
      <w:r w:rsidR="005F47F0">
        <w:rPr>
          <w:rFonts w:cs="Arial"/>
          <w:szCs w:val="20"/>
        </w:rPr>
        <w:t xml:space="preserve"> </w:t>
      </w:r>
      <w:r w:rsidR="005F47F0" w:rsidRPr="001E1584">
        <w:rPr>
          <w:rFonts w:cs="Arial"/>
          <w:i/>
          <w:szCs w:val="20"/>
        </w:rPr>
        <w:t>či opravy motorových vozidel</w:t>
      </w:r>
      <w:r w:rsidR="005F47F0">
        <w:rPr>
          <w:rFonts w:cs="Arial"/>
          <w:szCs w:val="20"/>
        </w:rPr>
        <w:t xml:space="preserve"> (3,5) a z oblasti </w:t>
      </w:r>
      <w:r w:rsidR="005F47F0" w:rsidRPr="001E1584">
        <w:rPr>
          <w:rFonts w:cs="Arial"/>
          <w:i/>
          <w:szCs w:val="20"/>
        </w:rPr>
        <w:t>peněžnictví a pojišťovnictví</w:t>
      </w:r>
      <w:r w:rsidR="005F47F0">
        <w:rPr>
          <w:rFonts w:cs="Arial"/>
          <w:szCs w:val="20"/>
        </w:rPr>
        <w:t xml:space="preserve"> (taktéž 3,5). Podniky z oblasti </w:t>
      </w:r>
      <w:r w:rsidR="005F47F0" w:rsidRPr="001E1584">
        <w:rPr>
          <w:rFonts w:cs="Arial"/>
          <w:i/>
          <w:szCs w:val="20"/>
        </w:rPr>
        <w:t>peněžnictví a pojišťovnictví</w:t>
      </w:r>
      <w:r w:rsidR="005F47F0">
        <w:rPr>
          <w:rFonts w:cs="Arial"/>
          <w:szCs w:val="20"/>
        </w:rPr>
        <w:t xml:space="preserve"> pak naopak své zaměstnance nejvíce uvolňovaly pro účast v </w:t>
      </w:r>
      <w:r w:rsidR="005F47F0" w:rsidRPr="00E5068B">
        <w:rPr>
          <w:rFonts w:cs="Arial"/>
          <w:b/>
          <w:szCs w:val="20"/>
        </w:rPr>
        <w:t>nepovinných kurzech/školeních</w:t>
      </w:r>
      <w:r w:rsidR="005F47F0">
        <w:rPr>
          <w:rFonts w:cs="Arial"/>
          <w:szCs w:val="20"/>
        </w:rPr>
        <w:t xml:space="preserve"> (v průměru na 24,1 hodiny na jednoho účastníka), následovaly podniky z oblasti </w:t>
      </w:r>
      <w:r w:rsidR="005F47F0" w:rsidRPr="001E1584">
        <w:rPr>
          <w:rFonts w:cs="Arial"/>
          <w:i/>
          <w:szCs w:val="20"/>
        </w:rPr>
        <w:t>profesní, vědecké a technické činnosti</w:t>
      </w:r>
      <w:r w:rsidR="005F47F0">
        <w:rPr>
          <w:rFonts w:cs="Arial"/>
          <w:szCs w:val="20"/>
        </w:rPr>
        <w:t xml:space="preserve"> (20,1) </w:t>
      </w:r>
      <w:r w:rsidR="005F47F0" w:rsidRPr="001E1584">
        <w:rPr>
          <w:rFonts w:cs="Arial"/>
          <w:i/>
          <w:szCs w:val="20"/>
        </w:rPr>
        <w:t>a informační a komunikační činnosti</w:t>
      </w:r>
      <w:r w:rsidR="005F47F0">
        <w:rPr>
          <w:rFonts w:cs="Arial"/>
          <w:szCs w:val="20"/>
        </w:rPr>
        <w:t xml:space="preserve"> (19,4). Naopak nejméně hodin placené pracovní doby na účastníka připadlo v podnicích věnujících se </w:t>
      </w:r>
      <w:r w:rsidR="005F47F0" w:rsidRPr="001E1584">
        <w:rPr>
          <w:rFonts w:cs="Arial"/>
          <w:i/>
          <w:szCs w:val="20"/>
        </w:rPr>
        <w:t>kulturním, zábavním a rekreačním činnostem</w:t>
      </w:r>
      <w:r w:rsidR="005F47F0">
        <w:rPr>
          <w:rFonts w:cs="Arial"/>
          <w:szCs w:val="20"/>
        </w:rPr>
        <w:t xml:space="preserve"> (11,2) a </w:t>
      </w:r>
      <w:r w:rsidR="005F47F0" w:rsidRPr="001E1584">
        <w:rPr>
          <w:rFonts w:cs="Arial"/>
          <w:i/>
          <w:szCs w:val="20"/>
        </w:rPr>
        <w:t>velkoobchodu, maloobchodu a opravě vozidel</w:t>
      </w:r>
      <w:r w:rsidR="005F47F0">
        <w:rPr>
          <w:rFonts w:cs="Arial"/>
          <w:szCs w:val="20"/>
        </w:rPr>
        <w:t xml:space="preserve"> (11,5). Následují podniky z oblasti </w:t>
      </w:r>
      <w:r w:rsidR="005F47F0" w:rsidRPr="001E1584">
        <w:rPr>
          <w:rFonts w:cs="Arial"/>
          <w:i/>
          <w:szCs w:val="20"/>
        </w:rPr>
        <w:t>dopravy a skladování</w:t>
      </w:r>
      <w:r w:rsidR="005F47F0">
        <w:rPr>
          <w:rFonts w:cs="Arial"/>
          <w:szCs w:val="20"/>
        </w:rPr>
        <w:t xml:space="preserve"> (13,2 hodiny), kde byl zjištěn naopak druhý nejvyšší počet hodin placené pracovní doby na jednoho účastníka povinných kurzů/školení.</w:t>
      </w:r>
    </w:p>
    <w:p w14:paraId="55F18F6C" w14:textId="77777777" w:rsidR="0016710C" w:rsidRDefault="00A216A0" w:rsidP="0016710C">
      <w:pPr>
        <w:keepNext/>
        <w:spacing w:after="0"/>
        <w:jc w:val="both"/>
        <w:rPr>
          <w:rFonts w:cs="Arial"/>
          <w:b/>
          <w:szCs w:val="20"/>
        </w:rPr>
      </w:pPr>
      <w:r>
        <w:rPr>
          <w:rFonts w:cs="Arial"/>
          <w:b/>
          <w:szCs w:val="20"/>
        </w:rPr>
        <w:t xml:space="preserve">Graf </w:t>
      </w:r>
      <w:r w:rsidR="00560FD8">
        <w:rPr>
          <w:rFonts w:cs="Arial"/>
          <w:b/>
          <w:szCs w:val="20"/>
        </w:rPr>
        <w:t>2.9</w:t>
      </w:r>
      <w:r w:rsidR="00400FBD" w:rsidRPr="00651667">
        <w:rPr>
          <w:rFonts w:cs="Arial"/>
          <w:b/>
          <w:szCs w:val="20"/>
        </w:rPr>
        <w:t xml:space="preserve"> P</w:t>
      </w:r>
      <w:r w:rsidR="0016710C">
        <w:rPr>
          <w:rFonts w:cs="Arial"/>
          <w:b/>
          <w:szCs w:val="20"/>
        </w:rPr>
        <w:t>rům. počet hodin placené prac.</w:t>
      </w:r>
      <w:r w:rsidR="00400FBD" w:rsidRPr="00651667">
        <w:rPr>
          <w:rFonts w:cs="Arial"/>
          <w:b/>
          <w:szCs w:val="20"/>
        </w:rPr>
        <w:t xml:space="preserve"> doby strávené v kurzech/školeních</w:t>
      </w:r>
      <w:r w:rsidR="00400FBD">
        <w:rPr>
          <w:rFonts w:cs="Arial"/>
          <w:b/>
          <w:szCs w:val="20"/>
        </w:rPr>
        <w:t xml:space="preserve"> na </w:t>
      </w:r>
      <w:r w:rsidR="0016710C">
        <w:rPr>
          <w:rFonts w:cs="Arial"/>
          <w:b/>
          <w:szCs w:val="20"/>
        </w:rPr>
        <w:t>1</w:t>
      </w:r>
      <w:r w:rsidR="00400FBD">
        <w:rPr>
          <w:rFonts w:cs="Arial"/>
          <w:b/>
          <w:szCs w:val="20"/>
        </w:rPr>
        <w:t xml:space="preserve"> účastníka</w:t>
      </w:r>
      <w:r w:rsidR="0016710C">
        <w:rPr>
          <w:rFonts w:cs="Arial"/>
          <w:b/>
          <w:szCs w:val="20"/>
        </w:rPr>
        <w:t>, 2020</w:t>
      </w:r>
      <w:r w:rsidR="0016710C" w:rsidRPr="0016710C">
        <w:rPr>
          <w:rFonts w:cs="Arial"/>
          <w:b/>
          <w:szCs w:val="20"/>
        </w:rPr>
        <w:t xml:space="preserve"> </w:t>
      </w:r>
    </w:p>
    <w:p w14:paraId="5D011FB1" w14:textId="6AF66145" w:rsidR="005547A9" w:rsidRDefault="0016710C" w:rsidP="00400FBD">
      <w:pPr>
        <w:keepNext/>
        <w:spacing w:after="120"/>
        <w:jc w:val="both"/>
        <w:rPr>
          <w:rFonts w:cs="Arial"/>
          <w:szCs w:val="20"/>
        </w:rPr>
      </w:pPr>
      <w:r>
        <w:rPr>
          <w:rFonts w:cs="Arial"/>
          <w:szCs w:val="20"/>
        </w:rPr>
        <w:t>(</w:t>
      </w:r>
      <w:r w:rsidRPr="0016710C">
        <w:rPr>
          <w:rFonts w:cs="Arial"/>
          <w:szCs w:val="20"/>
        </w:rPr>
        <w:t>dle převažující ekonomické činnosti podniku</w:t>
      </w:r>
      <w:r>
        <w:rPr>
          <w:rFonts w:cs="Arial"/>
          <w:szCs w:val="20"/>
        </w:rPr>
        <w:t>)</w:t>
      </w:r>
    </w:p>
    <w:p w14:paraId="20627ACC" w14:textId="4B3E66F1" w:rsidR="00A216A0" w:rsidRPr="007C5318" w:rsidRDefault="007C5318" w:rsidP="00400FBD">
      <w:pPr>
        <w:keepNext/>
        <w:spacing w:after="120"/>
        <w:jc w:val="both"/>
        <w:rPr>
          <w:rFonts w:cs="Arial"/>
          <w:szCs w:val="20"/>
        </w:rPr>
      </w:pPr>
      <w:r>
        <w:rPr>
          <w:noProof/>
        </w:rPr>
        <w:drawing>
          <wp:inline distT="0" distB="0" distL="0" distR="0" wp14:anchorId="31CCC5D4" wp14:editId="10B09A43">
            <wp:extent cx="5943600" cy="4181475"/>
            <wp:effectExtent l="0" t="0" r="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952226" w14:textId="009EACA4" w:rsidR="00400FBD" w:rsidRPr="006C1B5D" w:rsidRDefault="006C1B5D" w:rsidP="006C1B5D">
      <w:pPr>
        <w:spacing w:after="120"/>
        <w:jc w:val="right"/>
        <w:rPr>
          <w:szCs w:val="20"/>
        </w:rPr>
      </w:pPr>
      <w:r w:rsidRPr="003D1467">
        <w:rPr>
          <w:szCs w:val="20"/>
        </w:rPr>
        <w:t>Zdroj: ČSÚ</w:t>
      </w:r>
    </w:p>
    <w:p w14:paraId="4E384278" w14:textId="75EE940F" w:rsidR="00E65954" w:rsidRDefault="00400FBD" w:rsidP="00D8357D">
      <w:pPr>
        <w:spacing w:after="120"/>
        <w:jc w:val="both"/>
        <w:rPr>
          <w:rFonts w:cs="Arial"/>
          <w:szCs w:val="20"/>
        </w:rPr>
      </w:pPr>
      <w:r w:rsidRPr="00400FBD">
        <w:rPr>
          <w:rFonts w:cs="Arial"/>
          <w:szCs w:val="20"/>
        </w:rPr>
        <w:t>Nakonec srovnáme</w:t>
      </w:r>
      <w:r w:rsidR="00E65954" w:rsidRPr="00400FBD">
        <w:rPr>
          <w:rFonts w:cs="Arial"/>
          <w:szCs w:val="20"/>
        </w:rPr>
        <w:t xml:space="preserve"> ještě</w:t>
      </w:r>
      <w:r w:rsidR="00E65954">
        <w:rPr>
          <w:rFonts w:cs="Arial"/>
          <w:szCs w:val="20"/>
        </w:rPr>
        <w:t xml:space="preserve"> počet hodin placené pracovní doby strávené v </w:t>
      </w:r>
      <w:r w:rsidR="00A8381E">
        <w:rPr>
          <w:rFonts w:cs="Arial"/>
          <w:szCs w:val="20"/>
        </w:rPr>
        <w:t xml:space="preserve">(jakýchkoliv) </w:t>
      </w:r>
      <w:r w:rsidR="00E65954">
        <w:rPr>
          <w:rFonts w:cs="Arial"/>
          <w:szCs w:val="20"/>
        </w:rPr>
        <w:t xml:space="preserve">kurzech/školeních </w:t>
      </w:r>
      <w:r w:rsidR="005C07E2">
        <w:rPr>
          <w:rFonts w:cs="Arial"/>
          <w:b/>
          <w:szCs w:val="20"/>
        </w:rPr>
        <w:t>na jednoho</w:t>
      </w:r>
      <w:r w:rsidR="00A8381E">
        <w:rPr>
          <w:rFonts w:cs="Arial"/>
          <w:b/>
          <w:szCs w:val="20"/>
        </w:rPr>
        <w:t> </w:t>
      </w:r>
      <w:r w:rsidR="00E65954" w:rsidRPr="00400FBD">
        <w:rPr>
          <w:rFonts w:cs="Arial"/>
          <w:b/>
          <w:szCs w:val="20"/>
        </w:rPr>
        <w:t>účastníka</w:t>
      </w:r>
      <w:r w:rsidR="00E65954">
        <w:rPr>
          <w:rFonts w:cs="Arial"/>
          <w:szCs w:val="20"/>
        </w:rPr>
        <w:t xml:space="preserve"> kurzů/školení </w:t>
      </w:r>
      <w:r w:rsidR="00E65954" w:rsidRPr="00400FBD">
        <w:rPr>
          <w:rFonts w:cs="Arial"/>
          <w:b/>
          <w:szCs w:val="20"/>
        </w:rPr>
        <w:t>mezi různými zeměmi</w:t>
      </w:r>
      <w:r w:rsidR="00172F94">
        <w:rPr>
          <w:rFonts w:cs="Arial"/>
          <w:szCs w:val="20"/>
        </w:rPr>
        <w:t>. Jak ukazuje graf 2.10</w:t>
      </w:r>
      <w:r w:rsidR="00E65954">
        <w:rPr>
          <w:rFonts w:cs="Arial"/>
          <w:szCs w:val="20"/>
        </w:rPr>
        <w:t>, v tomto podílu jsme v žebříčku skončili jako druhá země s nejmenší hodnotou (9,9), hned po Španělsku (8,5). Jednoznačně nejvyšší počet těchto hodin</w:t>
      </w:r>
      <w:r>
        <w:rPr>
          <w:rFonts w:cs="Arial"/>
          <w:szCs w:val="20"/>
        </w:rPr>
        <w:t xml:space="preserve"> pracovní doby na jednoho účastníka</w:t>
      </w:r>
      <w:r w:rsidR="00E65954">
        <w:rPr>
          <w:rFonts w:cs="Arial"/>
          <w:szCs w:val="20"/>
        </w:rPr>
        <w:t xml:space="preserve"> zaznamenalo Nizozemsko (37,7), průměr za země Evropské unie byl 22,6</w:t>
      </w:r>
      <w:r w:rsidR="00E419EF">
        <w:rPr>
          <w:rFonts w:cs="Arial"/>
          <w:szCs w:val="20"/>
        </w:rPr>
        <w:t xml:space="preserve"> hodiny</w:t>
      </w:r>
      <w:r w:rsidR="00E65954">
        <w:rPr>
          <w:rFonts w:cs="Arial"/>
          <w:szCs w:val="20"/>
        </w:rPr>
        <w:t>. P</w:t>
      </w:r>
      <w:r w:rsidR="009E157B">
        <w:rPr>
          <w:rFonts w:cs="Arial"/>
          <w:szCs w:val="20"/>
        </w:rPr>
        <w:t>řitom</w:t>
      </w:r>
      <w:r w:rsidR="00321FC5">
        <w:rPr>
          <w:rFonts w:cs="Arial"/>
          <w:szCs w:val="20"/>
        </w:rPr>
        <w:t>, jak bylo výše v této zprávě uvedeno,</w:t>
      </w:r>
      <w:r w:rsidR="009E157B">
        <w:rPr>
          <w:rFonts w:cs="Arial"/>
          <w:szCs w:val="20"/>
        </w:rPr>
        <w:t xml:space="preserve"> pokud se jedná o</w:t>
      </w:r>
      <w:r w:rsidR="00E65954">
        <w:rPr>
          <w:rFonts w:cs="Arial"/>
          <w:szCs w:val="20"/>
        </w:rPr>
        <w:t> </w:t>
      </w:r>
      <w:r w:rsidR="009E157B">
        <w:rPr>
          <w:rFonts w:cs="Arial"/>
          <w:szCs w:val="20"/>
        </w:rPr>
        <w:t>podíl</w:t>
      </w:r>
      <w:r w:rsidR="00E65954">
        <w:rPr>
          <w:rFonts w:cs="Arial"/>
          <w:szCs w:val="20"/>
        </w:rPr>
        <w:t xml:space="preserve"> zaměstnanců účastnících se kurzů/školení</w:t>
      </w:r>
      <w:r>
        <w:rPr>
          <w:rFonts w:cs="Arial"/>
          <w:szCs w:val="20"/>
        </w:rPr>
        <w:t xml:space="preserve">, byla </w:t>
      </w:r>
      <w:r w:rsidR="009E157B">
        <w:rPr>
          <w:rFonts w:cs="Arial"/>
          <w:szCs w:val="20"/>
        </w:rPr>
        <w:t xml:space="preserve">naopak </w:t>
      </w:r>
      <w:r w:rsidR="00E419EF">
        <w:rPr>
          <w:rFonts w:cs="Arial"/>
          <w:szCs w:val="20"/>
        </w:rPr>
        <w:t xml:space="preserve">Česká republika </w:t>
      </w:r>
      <w:r w:rsidR="009E157B">
        <w:rPr>
          <w:rFonts w:cs="Arial"/>
          <w:szCs w:val="20"/>
        </w:rPr>
        <w:t>v roce 2020</w:t>
      </w:r>
      <w:r w:rsidR="00E65954">
        <w:rPr>
          <w:rFonts w:cs="Arial"/>
          <w:szCs w:val="20"/>
        </w:rPr>
        <w:t xml:space="preserve"> zemí s</w:t>
      </w:r>
      <w:r w:rsidR="009E157B">
        <w:rPr>
          <w:rFonts w:cs="Arial"/>
          <w:szCs w:val="20"/>
        </w:rPr>
        <w:t> </w:t>
      </w:r>
      <w:r w:rsidR="00E65954">
        <w:rPr>
          <w:rFonts w:cs="Arial"/>
          <w:szCs w:val="20"/>
        </w:rPr>
        <w:t>nejvyšší</w:t>
      </w:r>
      <w:r w:rsidR="009E157B">
        <w:rPr>
          <w:rFonts w:cs="Arial"/>
          <w:szCs w:val="20"/>
        </w:rPr>
        <w:t>m po</w:t>
      </w:r>
      <w:r>
        <w:rPr>
          <w:rFonts w:cs="Arial"/>
          <w:szCs w:val="20"/>
        </w:rPr>
        <w:t>dílem účastníků. Je možné, že čá</w:t>
      </w:r>
      <w:r w:rsidR="009E157B">
        <w:rPr>
          <w:rFonts w:cs="Arial"/>
          <w:szCs w:val="20"/>
        </w:rPr>
        <w:t xml:space="preserve">st zaměstnanců se vzdělává mimo pracovní dobu. Ještě větší vliv však bude mít skutečnost, že řada zaměstnanců absolvuje povinné kurzy/školení zaměřené na ochranu zdraví a zajištění bezpečnosti při práci. Takové vzdělávání musí v pravidelných intervalech </w:t>
      </w:r>
      <w:r w:rsidR="0010799D">
        <w:rPr>
          <w:rFonts w:cs="Arial"/>
          <w:szCs w:val="20"/>
        </w:rPr>
        <w:t>podstup</w:t>
      </w:r>
      <w:r w:rsidR="009E157B">
        <w:rPr>
          <w:rFonts w:cs="Arial"/>
          <w:szCs w:val="20"/>
        </w:rPr>
        <w:t xml:space="preserve">ovat všichni zaměstnanci a není zpravidla tak časově náročné, jako např. jazykové či počítačové kurzy. Údaje o tomto povinném vzdělávání přitom byly v české verzi dotazníku zjišťovány zvlášť od údajů o nepovinném vzdělávání, a tudíž si všechny podniky měly možnost lépe uvědomit, že mají toto vzdělávání taktéž zahrnout do </w:t>
      </w:r>
      <w:r w:rsidR="009E157B">
        <w:rPr>
          <w:rFonts w:cs="Arial"/>
          <w:szCs w:val="20"/>
        </w:rPr>
        <w:lastRenderedPageBreak/>
        <w:t>kurzů/školení.</w:t>
      </w:r>
      <w:r w:rsidR="00E65954">
        <w:rPr>
          <w:rFonts w:cs="Arial"/>
          <w:szCs w:val="20"/>
        </w:rPr>
        <w:t xml:space="preserve">  </w:t>
      </w:r>
      <w:r>
        <w:rPr>
          <w:rFonts w:cs="Arial"/>
          <w:szCs w:val="20"/>
        </w:rPr>
        <w:t>Z tohoto důvodu může účast v kurzech/školeních v České republice vycházet jako relativně vyšší a naopak průměrný počet hodin pracovní doby věnovaných tomuto vzdělávání jako relativně nižší.</w:t>
      </w:r>
    </w:p>
    <w:p w14:paraId="16212FA9" w14:textId="7EB9081A" w:rsidR="009E157B" w:rsidRDefault="00560FD8" w:rsidP="00D8357D">
      <w:pPr>
        <w:spacing w:after="120"/>
        <w:jc w:val="both"/>
        <w:rPr>
          <w:szCs w:val="20"/>
        </w:rPr>
      </w:pPr>
      <w:r>
        <w:rPr>
          <w:b/>
          <w:szCs w:val="20"/>
        </w:rPr>
        <w:t>Graf 2.10</w:t>
      </w:r>
      <w:r w:rsidR="009E157B" w:rsidRPr="00E65954">
        <w:rPr>
          <w:b/>
          <w:szCs w:val="20"/>
        </w:rPr>
        <w:t xml:space="preserve"> P</w:t>
      </w:r>
      <w:r w:rsidR="0016710C">
        <w:rPr>
          <w:b/>
          <w:szCs w:val="20"/>
        </w:rPr>
        <w:t>rům.</w:t>
      </w:r>
      <w:r w:rsidR="00B469F5">
        <w:rPr>
          <w:b/>
          <w:szCs w:val="20"/>
        </w:rPr>
        <w:t xml:space="preserve"> p</w:t>
      </w:r>
      <w:r w:rsidR="0016710C">
        <w:rPr>
          <w:b/>
          <w:szCs w:val="20"/>
        </w:rPr>
        <w:t>očet hodin placené prac.</w:t>
      </w:r>
      <w:r w:rsidR="009E157B" w:rsidRPr="00E65954">
        <w:rPr>
          <w:b/>
          <w:szCs w:val="20"/>
        </w:rPr>
        <w:t xml:space="preserve"> doby </w:t>
      </w:r>
      <w:r w:rsidR="0016710C">
        <w:rPr>
          <w:b/>
          <w:szCs w:val="20"/>
        </w:rPr>
        <w:t xml:space="preserve">strávené v kurzech/školeních </w:t>
      </w:r>
      <w:r w:rsidR="00150385">
        <w:rPr>
          <w:b/>
          <w:szCs w:val="20"/>
        </w:rPr>
        <w:t xml:space="preserve">na </w:t>
      </w:r>
      <w:r w:rsidR="0016710C">
        <w:rPr>
          <w:b/>
          <w:szCs w:val="20"/>
        </w:rPr>
        <w:t>1</w:t>
      </w:r>
      <w:r w:rsidR="00B469F5">
        <w:rPr>
          <w:b/>
          <w:szCs w:val="20"/>
        </w:rPr>
        <w:t xml:space="preserve"> účastníka</w:t>
      </w:r>
      <w:r w:rsidR="0016710C">
        <w:rPr>
          <w:b/>
          <w:szCs w:val="20"/>
        </w:rPr>
        <w:t>, 2020</w:t>
      </w:r>
      <w:r w:rsidR="00B469F5">
        <w:rPr>
          <w:b/>
          <w:szCs w:val="20"/>
        </w:rPr>
        <w:t xml:space="preserve"> </w:t>
      </w:r>
      <w:r w:rsidR="0016710C" w:rsidRPr="0016710C">
        <w:rPr>
          <w:szCs w:val="20"/>
        </w:rPr>
        <w:t>(</w:t>
      </w:r>
      <w:r w:rsidR="009E157B" w:rsidRPr="0016710C">
        <w:rPr>
          <w:szCs w:val="20"/>
        </w:rPr>
        <w:t>mezinárodní srovnání)</w:t>
      </w:r>
    </w:p>
    <w:p w14:paraId="3071E0A3" w14:textId="4FF37DF3" w:rsidR="00E65954" w:rsidRPr="00586CA0" w:rsidRDefault="000961E2" w:rsidP="00D8357D">
      <w:pPr>
        <w:spacing w:after="120"/>
        <w:jc w:val="both"/>
        <w:rPr>
          <w:szCs w:val="20"/>
        </w:rPr>
      </w:pPr>
      <w:r>
        <w:rPr>
          <w:noProof/>
        </w:rPr>
        <w:drawing>
          <wp:inline distT="0" distB="0" distL="0" distR="0" wp14:anchorId="699F11B9" wp14:editId="1A97F52F">
            <wp:extent cx="6096000" cy="5381625"/>
            <wp:effectExtent l="0" t="0" r="0"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5D0A9A" w14:textId="446844D1" w:rsidR="009E157B" w:rsidRDefault="009E157B" w:rsidP="009E157B">
      <w:pPr>
        <w:spacing w:after="120"/>
        <w:jc w:val="right"/>
        <w:rPr>
          <w:szCs w:val="20"/>
        </w:rPr>
      </w:pPr>
      <w:r w:rsidRPr="003D1467">
        <w:rPr>
          <w:szCs w:val="20"/>
        </w:rPr>
        <w:t xml:space="preserve">Zdroj: </w:t>
      </w:r>
      <w:r w:rsidR="00941617">
        <w:rPr>
          <w:szCs w:val="20"/>
        </w:rPr>
        <w:t>Eurostat</w:t>
      </w:r>
    </w:p>
    <w:p w14:paraId="205E95BF" w14:textId="56E53C2E" w:rsidR="001970A5" w:rsidRDefault="008E44D0" w:rsidP="00D8357D">
      <w:pPr>
        <w:spacing w:after="120"/>
        <w:jc w:val="both"/>
        <w:rPr>
          <w:rFonts w:cs="Arial"/>
          <w:szCs w:val="20"/>
        </w:rPr>
      </w:pPr>
      <w:r>
        <w:rPr>
          <w:rFonts w:cs="Arial"/>
          <w:szCs w:val="20"/>
        </w:rPr>
        <w:t xml:space="preserve">Účast v podnicích lze také sledovat skrze </w:t>
      </w:r>
      <w:r w:rsidRPr="00E5068B">
        <w:rPr>
          <w:rFonts w:cs="Arial"/>
          <w:b/>
          <w:szCs w:val="20"/>
        </w:rPr>
        <w:t>podíl placené pracovní doby věnované kurzům/školením z celkové odpracované doby</w:t>
      </w:r>
      <w:r>
        <w:rPr>
          <w:rFonts w:cs="Arial"/>
          <w:szCs w:val="20"/>
        </w:rPr>
        <w:t xml:space="preserve"> </w:t>
      </w:r>
      <w:r w:rsidR="00E5068B">
        <w:rPr>
          <w:rFonts w:cs="Arial"/>
          <w:szCs w:val="20"/>
        </w:rPr>
        <w:t xml:space="preserve">zaměstnanci podniků </w:t>
      </w:r>
      <w:r>
        <w:rPr>
          <w:rFonts w:cs="Arial"/>
          <w:szCs w:val="20"/>
        </w:rPr>
        <w:t xml:space="preserve">v roce 2020.  </w:t>
      </w:r>
    </w:p>
    <w:p w14:paraId="133ABD0F" w14:textId="3EAC1BE3" w:rsidR="001C34EE" w:rsidRDefault="00560FD8" w:rsidP="00B92DD7">
      <w:pPr>
        <w:keepNext/>
        <w:spacing w:after="120"/>
        <w:jc w:val="both"/>
        <w:rPr>
          <w:rFonts w:cs="Arial"/>
          <w:b/>
          <w:szCs w:val="20"/>
        </w:rPr>
      </w:pPr>
      <w:r>
        <w:rPr>
          <w:rFonts w:cs="Arial"/>
          <w:b/>
          <w:szCs w:val="20"/>
        </w:rPr>
        <w:lastRenderedPageBreak/>
        <w:t>Graf 2.11</w:t>
      </w:r>
      <w:r w:rsidR="008E44D0" w:rsidRPr="008E44D0">
        <w:rPr>
          <w:rFonts w:cs="Arial"/>
          <w:b/>
          <w:szCs w:val="20"/>
        </w:rPr>
        <w:t xml:space="preserve"> Podíl </w:t>
      </w:r>
      <w:r w:rsidR="003F56BD">
        <w:rPr>
          <w:rFonts w:cs="Arial"/>
          <w:b/>
          <w:szCs w:val="20"/>
        </w:rPr>
        <w:t>placené prac.</w:t>
      </w:r>
      <w:r w:rsidR="008E44D0" w:rsidRPr="008E44D0">
        <w:rPr>
          <w:rFonts w:cs="Arial"/>
          <w:b/>
          <w:szCs w:val="20"/>
        </w:rPr>
        <w:t xml:space="preserve"> doby věnované</w:t>
      </w:r>
      <w:r w:rsidR="008B4624">
        <w:rPr>
          <w:rFonts w:cs="Arial"/>
          <w:b/>
          <w:szCs w:val="20"/>
        </w:rPr>
        <w:t xml:space="preserve"> účasti </w:t>
      </w:r>
      <w:r w:rsidR="00327107">
        <w:rPr>
          <w:rFonts w:cs="Arial"/>
          <w:b/>
          <w:szCs w:val="20"/>
        </w:rPr>
        <w:t xml:space="preserve">v povinných/nepovinných </w:t>
      </w:r>
      <w:r w:rsidR="008B4624">
        <w:rPr>
          <w:rFonts w:cs="Arial"/>
          <w:b/>
          <w:szCs w:val="20"/>
        </w:rPr>
        <w:t>kurzech</w:t>
      </w:r>
      <w:r w:rsidR="008E44D0" w:rsidRPr="008E44D0">
        <w:rPr>
          <w:rFonts w:cs="Arial"/>
          <w:b/>
          <w:szCs w:val="20"/>
        </w:rPr>
        <w:t>/</w:t>
      </w:r>
      <w:r w:rsidR="008B4624">
        <w:rPr>
          <w:rFonts w:cs="Arial"/>
          <w:b/>
          <w:szCs w:val="20"/>
        </w:rPr>
        <w:t>školeních</w:t>
      </w:r>
      <w:r w:rsidR="00327107">
        <w:rPr>
          <w:rFonts w:cs="Arial"/>
          <w:b/>
          <w:szCs w:val="20"/>
        </w:rPr>
        <w:t xml:space="preserve">, </w:t>
      </w:r>
      <w:r w:rsidR="008E44D0" w:rsidRPr="008E44D0">
        <w:rPr>
          <w:rFonts w:cs="Arial"/>
          <w:b/>
          <w:szCs w:val="20"/>
        </w:rPr>
        <w:t>2020</w:t>
      </w:r>
      <w:r w:rsidR="00327107">
        <w:rPr>
          <w:rFonts w:cs="Arial"/>
          <w:b/>
          <w:szCs w:val="20"/>
        </w:rPr>
        <w:t xml:space="preserve"> </w:t>
      </w:r>
      <w:r w:rsidR="00327107" w:rsidRPr="00327107">
        <w:rPr>
          <w:rFonts w:cs="Arial"/>
          <w:szCs w:val="20"/>
        </w:rPr>
        <w:t>(% pracovní doby zaměstnanců ve všech podnicích</w:t>
      </w:r>
      <w:r w:rsidR="008E44D0" w:rsidRPr="00327107">
        <w:rPr>
          <w:rFonts w:cs="Arial"/>
          <w:szCs w:val="20"/>
        </w:rPr>
        <w:t>)</w:t>
      </w:r>
      <w:r w:rsidR="008E44D0" w:rsidRPr="008E44D0">
        <w:rPr>
          <w:rFonts w:cs="Arial"/>
          <w:b/>
          <w:szCs w:val="20"/>
        </w:rPr>
        <w:t xml:space="preserve"> </w:t>
      </w:r>
    </w:p>
    <w:p w14:paraId="3B17D93F" w14:textId="32D585E3" w:rsidR="001C34EE" w:rsidRPr="00E55F53" w:rsidRDefault="003F56BD" w:rsidP="00E55F53">
      <w:pPr>
        <w:keepNext/>
        <w:spacing w:after="120"/>
        <w:jc w:val="both"/>
        <w:rPr>
          <w:rFonts w:cs="Arial"/>
          <w:b/>
          <w:szCs w:val="20"/>
        </w:rPr>
      </w:pPr>
      <w:r>
        <w:rPr>
          <w:noProof/>
        </w:rPr>
        <w:drawing>
          <wp:inline distT="0" distB="0" distL="0" distR="0" wp14:anchorId="3DFCFBBF" wp14:editId="73003E1C">
            <wp:extent cx="6200775" cy="452437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23F94D2" w14:textId="4605DA85" w:rsidR="009C4714" w:rsidRPr="009C4714" w:rsidRDefault="009C4714" w:rsidP="009C4714">
      <w:pPr>
        <w:spacing w:before="120" w:after="120"/>
        <w:jc w:val="right"/>
        <w:rPr>
          <w:szCs w:val="20"/>
        </w:rPr>
      </w:pPr>
      <w:r w:rsidRPr="003D1467">
        <w:rPr>
          <w:szCs w:val="20"/>
        </w:rPr>
        <w:t>Zdroj: ČSÚ</w:t>
      </w:r>
    </w:p>
    <w:p w14:paraId="4D0F618D" w14:textId="52926120" w:rsidR="00B469F5" w:rsidRDefault="00B469F5" w:rsidP="00D8357D">
      <w:pPr>
        <w:spacing w:after="120"/>
        <w:jc w:val="both"/>
        <w:rPr>
          <w:rFonts w:cs="Arial"/>
          <w:szCs w:val="20"/>
        </w:rPr>
      </w:pPr>
      <w:r>
        <w:rPr>
          <w:rFonts w:cs="Arial"/>
          <w:szCs w:val="20"/>
        </w:rPr>
        <w:t>Celkově bylo kurzům/ školením věnováno 0,5 % z</w:t>
      </w:r>
      <w:r w:rsidR="008A41C7">
        <w:rPr>
          <w:rFonts w:cs="Arial"/>
          <w:szCs w:val="20"/>
        </w:rPr>
        <w:t> placené pracovní</w:t>
      </w:r>
      <w:r>
        <w:rPr>
          <w:rFonts w:cs="Arial"/>
          <w:szCs w:val="20"/>
        </w:rPr>
        <w:t xml:space="preserve"> doby zaměstnanců ve všech podnicích.  Přitom 0,2 % připadaly na povinné kurzy školení a 0,3 % na nepovinné. Nepovinným kurzům/školením byl věnován vyšší podíl odpracované doby v podnicích s 250 a více zaměstnanci (0,4 %) než v podnicích s nižším počtem zaměstnanců (ve zbylých třech sledovaných kategoriích shodně 0,2 %, viz gra</w:t>
      </w:r>
      <w:r w:rsidR="000E18EE">
        <w:rPr>
          <w:rFonts w:cs="Arial"/>
          <w:szCs w:val="20"/>
        </w:rPr>
        <w:t>f 2.11</w:t>
      </w:r>
      <w:r>
        <w:rPr>
          <w:rFonts w:cs="Arial"/>
          <w:szCs w:val="20"/>
        </w:rPr>
        <w:t>). Obdobně byl</w:t>
      </w:r>
      <w:r w:rsidRPr="008E44D0">
        <w:rPr>
          <w:rFonts w:cs="Arial"/>
          <w:szCs w:val="20"/>
        </w:rPr>
        <w:t xml:space="preserve"> </w:t>
      </w:r>
      <w:r w:rsidR="00C55F3E">
        <w:rPr>
          <w:rFonts w:cs="Arial"/>
          <w:szCs w:val="20"/>
        </w:rPr>
        <w:t>nepovinným kurzům</w:t>
      </w:r>
      <w:r>
        <w:rPr>
          <w:rFonts w:cs="Arial"/>
          <w:szCs w:val="20"/>
        </w:rPr>
        <w:t xml:space="preserve">/školením věnován vyšší podíl odpracované doby v podnicích </w:t>
      </w:r>
      <w:r w:rsidR="000F27F7">
        <w:rPr>
          <w:rFonts w:cs="Arial"/>
          <w:szCs w:val="20"/>
        </w:rPr>
        <w:t>pod zahraniční kontrolou</w:t>
      </w:r>
      <w:r>
        <w:rPr>
          <w:rFonts w:cs="Arial"/>
          <w:szCs w:val="20"/>
        </w:rPr>
        <w:t xml:space="preserve"> (0,4 %) než v podnicích </w:t>
      </w:r>
      <w:r w:rsidR="000F27F7">
        <w:rPr>
          <w:rFonts w:cs="Arial"/>
          <w:szCs w:val="20"/>
        </w:rPr>
        <w:t>domácích</w:t>
      </w:r>
      <w:r>
        <w:rPr>
          <w:rFonts w:cs="Arial"/>
          <w:szCs w:val="20"/>
        </w:rPr>
        <w:t xml:space="preserve"> (0,2 %). Co se týče dělení dle převažující ekonomické činnosti, zdaleka nejvyšší podíl placené pracovní doby byl nepovinným kurzům/školením věnován v podnicích zaměřených na </w:t>
      </w:r>
      <w:r w:rsidRPr="001E1584">
        <w:rPr>
          <w:rFonts w:cs="Arial"/>
          <w:i/>
          <w:szCs w:val="20"/>
        </w:rPr>
        <w:t>peněžnictví a pojišťovnictví</w:t>
      </w:r>
      <w:r>
        <w:rPr>
          <w:rFonts w:cs="Arial"/>
          <w:szCs w:val="20"/>
        </w:rPr>
        <w:t xml:space="preserve"> (1,2 %), se značným pro</w:t>
      </w:r>
      <w:r w:rsidR="007B5184">
        <w:rPr>
          <w:rFonts w:cs="Arial"/>
          <w:szCs w:val="20"/>
        </w:rPr>
        <w:t>padem následují podniky věnující se</w:t>
      </w:r>
      <w:r>
        <w:rPr>
          <w:rFonts w:cs="Arial"/>
          <w:szCs w:val="20"/>
        </w:rPr>
        <w:t xml:space="preserve"> </w:t>
      </w:r>
      <w:r w:rsidRPr="001E1584">
        <w:rPr>
          <w:rFonts w:cs="Arial"/>
          <w:i/>
          <w:szCs w:val="20"/>
        </w:rPr>
        <w:t>profesní, vědecké a technické činnosti</w:t>
      </w:r>
      <w:r w:rsidR="007B5184">
        <w:rPr>
          <w:rFonts w:cs="Arial"/>
          <w:szCs w:val="20"/>
        </w:rPr>
        <w:t>, resp.</w:t>
      </w:r>
      <w:r>
        <w:rPr>
          <w:rFonts w:cs="Arial"/>
          <w:szCs w:val="20"/>
        </w:rPr>
        <w:t xml:space="preserve"> </w:t>
      </w:r>
      <w:r w:rsidRPr="001E1584">
        <w:rPr>
          <w:rFonts w:cs="Arial"/>
          <w:i/>
          <w:szCs w:val="20"/>
        </w:rPr>
        <w:t>informační a komunikační činnosti</w:t>
      </w:r>
      <w:r w:rsidR="00C55F3E">
        <w:rPr>
          <w:rFonts w:cs="Arial"/>
          <w:szCs w:val="20"/>
        </w:rPr>
        <w:t xml:space="preserve"> (</w:t>
      </w:r>
      <w:r w:rsidR="007B5184">
        <w:rPr>
          <w:rFonts w:cs="Arial"/>
          <w:szCs w:val="20"/>
        </w:rPr>
        <w:t xml:space="preserve">obě oblasti shodně </w:t>
      </w:r>
      <w:r w:rsidR="00C55F3E">
        <w:rPr>
          <w:rFonts w:cs="Arial"/>
          <w:szCs w:val="20"/>
        </w:rPr>
        <w:t>0,6 %). U </w:t>
      </w:r>
      <w:r>
        <w:rPr>
          <w:rFonts w:cs="Arial"/>
          <w:szCs w:val="20"/>
        </w:rPr>
        <w:t xml:space="preserve">ostatních skupin podniků dle převažující ekonomické činnosti činil tento podíl 0,3 % a méně, nejméně pak u podniků zaměřených na činnosti v oblasti </w:t>
      </w:r>
      <w:r w:rsidRPr="00C55F3E">
        <w:rPr>
          <w:rFonts w:cs="Arial"/>
          <w:i/>
          <w:szCs w:val="20"/>
        </w:rPr>
        <w:t>nemovitostí a administrativy</w:t>
      </w:r>
      <w:r>
        <w:rPr>
          <w:rFonts w:cs="Arial"/>
          <w:szCs w:val="20"/>
        </w:rPr>
        <w:t xml:space="preserve"> (0,1 %).</w:t>
      </w:r>
    </w:p>
    <w:p w14:paraId="7AF6929A" w14:textId="4B7C6F4B" w:rsidR="001C34EE" w:rsidRDefault="00C55F3E" w:rsidP="00D8357D">
      <w:pPr>
        <w:spacing w:after="120"/>
        <w:jc w:val="both"/>
        <w:rPr>
          <w:rFonts w:cs="Arial"/>
          <w:szCs w:val="20"/>
        </w:rPr>
      </w:pPr>
      <w:r>
        <w:rPr>
          <w:rFonts w:cs="Arial"/>
          <w:szCs w:val="20"/>
        </w:rPr>
        <w:t>Nabízí se dále</w:t>
      </w:r>
      <w:r w:rsidR="003F5A69">
        <w:rPr>
          <w:rFonts w:cs="Arial"/>
          <w:szCs w:val="20"/>
        </w:rPr>
        <w:t xml:space="preserve"> ukázat, jaký podíl zaujímaly povinné, resp. nepovinné kurzy/školení z placené pracovní doby v podnicích, které ten který druh vzdělávání zajišťovaly. </w:t>
      </w:r>
    </w:p>
    <w:p w14:paraId="28E454D7" w14:textId="5C7570DF" w:rsidR="00B25709" w:rsidRPr="00D27347" w:rsidRDefault="00D27347" w:rsidP="00B25709">
      <w:pPr>
        <w:keepNext/>
        <w:spacing w:after="120"/>
        <w:jc w:val="both"/>
        <w:rPr>
          <w:rFonts w:cs="Arial"/>
          <w:szCs w:val="20"/>
        </w:rPr>
      </w:pPr>
      <w:r>
        <w:rPr>
          <w:rFonts w:cs="Arial"/>
          <w:b/>
          <w:szCs w:val="20"/>
        </w:rPr>
        <w:lastRenderedPageBreak/>
        <w:t>Tab.</w:t>
      </w:r>
      <w:r w:rsidR="004C7888" w:rsidRPr="004C7888">
        <w:rPr>
          <w:rFonts w:cs="Arial"/>
          <w:b/>
          <w:szCs w:val="20"/>
        </w:rPr>
        <w:t xml:space="preserve"> 2.1 </w:t>
      </w:r>
      <w:r w:rsidRPr="00D27347">
        <w:rPr>
          <w:rFonts w:cs="Arial"/>
          <w:b/>
          <w:szCs w:val="20"/>
        </w:rPr>
        <w:t xml:space="preserve">Podíl placené prac. doby věnované účasti v povinných/nepovinných kurzech/školeních, 2020 </w:t>
      </w:r>
      <w:r w:rsidR="004C7888" w:rsidRPr="004C7888">
        <w:rPr>
          <w:rFonts w:cs="Arial"/>
          <w:b/>
          <w:szCs w:val="20"/>
        </w:rPr>
        <w:t xml:space="preserve"> </w:t>
      </w:r>
      <w:r w:rsidRPr="00D27347">
        <w:rPr>
          <w:rFonts w:cs="Arial"/>
          <w:szCs w:val="20"/>
        </w:rPr>
        <w:t>(v % z podniků</w:t>
      </w:r>
      <w:r w:rsidR="004C7888" w:rsidRPr="00D27347">
        <w:rPr>
          <w:rFonts w:cs="Arial"/>
          <w:szCs w:val="20"/>
        </w:rPr>
        <w:t>, kt</w:t>
      </w:r>
      <w:r w:rsidRPr="00D27347">
        <w:rPr>
          <w:rFonts w:cs="Arial"/>
          <w:szCs w:val="20"/>
        </w:rPr>
        <w:t xml:space="preserve">eré </w:t>
      </w:r>
      <w:r>
        <w:rPr>
          <w:rFonts w:cs="Arial"/>
          <w:szCs w:val="20"/>
        </w:rPr>
        <w:t>povinné, resp. nepovinné kurzy/školení</w:t>
      </w:r>
      <w:r w:rsidRPr="00D27347">
        <w:rPr>
          <w:rFonts w:cs="Arial"/>
          <w:szCs w:val="20"/>
        </w:rPr>
        <w:t xml:space="preserve"> zajišťovaly)</w:t>
      </w:r>
    </w:p>
    <w:tbl>
      <w:tblPr>
        <w:tblW w:w="7088" w:type="dxa"/>
        <w:tblInd w:w="-5" w:type="dxa"/>
        <w:tblCellMar>
          <w:left w:w="70" w:type="dxa"/>
          <w:right w:w="70" w:type="dxa"/>
        </w:tblCellMar>
        <w:tblLook w:val="04A0" w:firstRow="1" w:lastRow="0" w:firstColumn="1" w:lastColumn="0" w:noHBand="0" w:noVBand="1"/>
      </w:tblPr>
      <w:tblGrid>
        <w:gridCol w:w="4253"/>
        <w:gridCol w:w="992"/>
        <w:gridCol w:w="851"/>
        <w:gridCol w:w="992"/>
      </w:tblGrid>
      <w:tr w:rsidR="00B25709" w:rsidRPr="00B25709" w14:paraId="7103FA46" w14:textId="77777777" w:rsidTr="00B25709">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5787C1"/>
            <w:noWrap/>
            <w:vAlign w:val="center"/>
            <w:hideMark/>
          </w:tcPr>
          <w:p w14:paraId="41EEA1DC" w14:textId="77777777" w:rsidR="00B25709" w:rsidRPr="00B25709" w:rsidRDefault="00B25709" w:rsidP="00B25709">
            <w:pPr>
              <w:keepNext/>
              <w:spacing w:after="0" w:line="240" w:lineRule="auto"/>
              <w:rPr>
                <w:rFonts w:cs="Arial"/>
                <w:b/>
                <w:bCs/>
                <w:color w:val="FFFFFF"/>
                <w:sz w:val="16"/>
                <w:szCs w:val="16"/>
              </w:rPr>
            </w:pPr>
            <w:r w:rsidRPr="00B25709">
              <w:rPr>
                <w:rFonts w:cs="Arial"/>
                <w:b/>
                <w:bCs/>
                <w:color w:val="FFFFFF"/>
                <w:sz w:val="16"/>
                <w:szCs w:val="16"/>
              </w:rPr>
              <w:t> </w:t>
            </w:r>
          </w:p>
        </w:tc>
        <w:tc>
          <w:tcPr>
            <w:tcW w:w="992" w:type="dxa"/>
            <w:tcBorders>
              <w:top w:val="single" w:sz="4" w:space="0" w:color="auto"/>
              <w:left w:val="nil"/>
              <w:bottom w:val="single" w:sz="4" w:space="0" w:color="auto"/>
              <w:right w:val="single" w:sz="4" w:space="0" w:color="auto"/>
            </w:tcBorders>
            <w:shd w:val="clear" w:color="000000" w:fill="5787C1"/>
            <w:vAlign w:val="center"/>
            <w:hideMark/>
          </w:tcPr>
          <w:p w14:paraId="7AC441DF" w14:textId="77777777" w:rsidR="00B25709" w:rsidRPr="00B25709" w:rsidRDefault="00B25709" w:rsidP="00B25709">
            <w:pPr>
              <w:keepNext/>
              <w:spacing w:after="0" w:line="240" w:lineRule="auto"/>
              <w:jc w:val="center"/>
              <w:rPr>
                <w:rFonts w:cs="Arial"/>
                <w:b/>
                <w:bCs/>
                <w:color w:val="FFFFFF"/>
                <w:sz w:val="16"/>
                <w:szCs w:val="16"/>
              </w:rPr>
            </w:pPr>
            <w:r w:rsidRPr="00B25709">
              <w:rPr>
                <w:rFonts w:cs="Arial"/>
                <w:b/>
                <w:bCs/>
                <w:color w:val="FFFFFF"/>
                <w:sz w:val="16"/>
                <w:szCs w:val="16"/>
              </w:rPr>
              <w:t>Celkem</w:t>
            </w:r>
          </w:p>
        </w:tc>
        <w:tc>
          <w:tcPr>
            <w:tcW w:w="851" w:type="dxa"/>
            <w:tcBorders>
              <w:top w:val="single" w:sz="4" w:space="0" w:color="auto"/>
              <w:left w:val="nil"/>
              <w:bottom w:val="single" w:sz="4" w:space="0" w:color="auto"/>
              <w:right w:val="single" w:sz="4" w:space="0" w:color="auto"/>
            </w:tcBorders>
            <w:shd w:val="clear" w:color="000000" w:fill="5787C1"/>
            <w:vAlign w:val="center"/>
            <w:hideMark/>
          </w:tcPr>
          <w:p w14:paraId="561FF6C1" w14:textId="77777777" w:rsidR="00B25709" w:rsidRPr="00B25709" w:rsidRDefault="00B25709" w:rsidP="00B25709">
            <w:pPr>
              <w:keepNext/>
              <w:spacing w:after="0" w:line="240" w:lineRule="auto"/>
              <w:jc w:val="center"/>
              <w:rPr>
                <w:rFonts w:cs="Arial"/>
                <w:b/>
                <w:bCs/>
                <w:color w:val="FFFFFF"/>
                <w:sz w:val="16"/>
                <w:szCs w:val="16"/>
              </w:rPr>
            </w:pPr>
            <w:r w:rsidRPr="00B25709">
              <w:rPr>
                <w:rFonts w:cs="Arial"/>
                <w:b/>
                <w:bCs/>
                <w:color w:val="FFFFFF"/>
                <w:sz w:val="16"/>
                <w:szCs w:val="16"/>
              </w:rPr>
              <w:t>Povinné</w:t>
            </w:r>
          </w:p>
        </w:tc>
        <w:tc>
          <w:tcPr>
            <w:tcW w:w="992" w:type="dxa"/>
            <w:tcBorders>
              <w:top w:val="single" w:sz="4" w:space="0" w:color="auto"/>
              <w:left w:val="nil"/>
              <w:bottom w:val="single" w:sz="4" w:space="0" w:color="auto"/>
              <w:right w:val="single" w:sz="4" w:space="0" w:color="auto"/>
            </w:tcBorders>
            <w:shd w:val="clear" w:color="000000" w:fill="5787C1"/>
            <w:vAlign w:val="center"/>
            <w:hideMark/>
          </w:tcPr>
          <w:p w14:paraId="234A35F0" w14:textId="77777777" w:rsidR="00B25709" w:rsidRPr="00B25709" w:rsidRDefault="00B25709" w:rsidP="00B25709">
            <w:pPr>
              <w:keepNext/>
              <w:spacing w:after="0" w:line="240" w:lineRule="auto"/>
              <w:jc w:val="center"/>
              <w:rPr>
                <w:rFonts w:cs="Arial"/>
                <w:b/>
                <w:bCs/>
                <w:color w:val="FFFFFF"/>
                <w:sz w:val="16"/>
                <w:szCs w:val="16"/>
              </w:rPr>
            </w:pPr>
            <w:r w:rsidRPr="00B25709">
              <w:rPr>
                <w:rFonts w:cs="Arial"/>
                <w:b/>
                <w:bCs/>
                <w:color w:val="FFFFFF"/>
                <w:sz w:val="16"/>
                <w:szCs w:val="16"/>
              </w:rPr>
              <w:t>Nepovinné</w:t>
            </w:r>
          </w:p>
        </w:tc>
      </w:tr>
      <w:tr w:rsidR="00B25709" w:rsidRPr="00B25709" w14:paraId="5FCB4058"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0A53136" w14:textId="77777777" w:rsidR="00B25709" w:rsidRPr="00B25709" w:rsidRDefault="00B25709" w:rsidP="00B25709">
            <w:pPr>
              <w:keepNext/>
              <w:spacing w:after="0" w:line="240" w:lineRule="auto"/>
              <w:rPr>
                <w:rFonts w:cs="Arial"/>
                <w:b/>
                <w:bCs/>
                <w:sz w:val="16"/>
                <w:szCs w:val="16"/>
              </w:rPr>
            </w:pPr>
            <w:r w:rsidRPr="00B25709">
              <w:rPr>
                <w:rFonts w:cs="Arial"/>
                <w:b/>
                <w:bCs/>
                <w:sz w:val="16"/>
                <w:szCs w:val="16"/>
              </w:rPr>
              <w:t>Celkem</w:t>
            </w:r>
          </w:p>
        </w:tc>
        <w:tc>
          <w:tcPr>
            <w:tcW w:w="992" w:type="dxa"/>
            <w:tcBorders>
              <w:top w:val="nil"/>
              <w:left w:val="nil"/>
              <w:bottom w:val="single" w:sz="4" w:space="0" w:color="auto"/>
              <w:right w:val="single" w:sz="4" w:space="0" w:color="auto"/>
            </w:tcBorders>
            <w:shd w:val="clear" w:color="auto" w:fill="auto"/>
            <w:noWrap/>
            <w:vAlign w:val="center"/>
            <w:hideMark/>
          </w:tcPr>
          <w:p w14:paraId="1C5DC01B" w14:textId="77777777" w:rsidR="00B25709" w:rsidRPr="00B25709" w:rsidRDefault="00B25709" w:rsidP="00B25709">
            <w:pPr>
              <w:keepNext/>
              <w:spacing w:after="0" w:line="240" w:lineRule="auto"/>
              <w:jc w:val="right"/>
              <w:rPr>
                <w:rFonts w:cs="Arial"/>
                <w:b/>
                <w:color w:val="000000"/>
                <w:sz w:val="16"/>
                <w:szCs w:val="16"/>
              </w:rPr>
            </w:pPr>
            <w:r w:rsidRPr="00B25709">
              <w:rPr>
                <w:rFonts w:cs="Arial"/>
                <w:b/>
                <w:color w:val="000000"/>
                <w:sz w:val="16"/>
                <w:szCs w:val="16"/>
              </w:rPr>
              <w:t>0,57</w:t>
            </w:r>
          </w:p>
        </w:tc>
        <w:tc>
          <w:tcPr>
            <w:tcW w:w="851" w:type="dxa"/>
            <w:tcBorders>
              <w:top w:val="nil"/>
              <w:left w:val="nil"/>
              <w:bottom w:val="single" w:sz="4" w:space="0" w:color="auto"/>
              <w:right w:val="single" w:sz="4" w:space="0" w:color="auto"/>
            </w:tcBorders>
            <w:shd w:val="clear" w:color="auto" w:fill="auto"/>
            <w:noWrap/>
            <w:vAlign w:val="center"/>
            <w:hideMark/>
          </w:tcPr>
          <w:p w14:paraId="539F9D54" w14:textId="77777777" w:rsidR="00B25709" w:rsidRPr="00B25709" w:rsidRDefault="00B25709" w:rsidP="00B25709">
            <w:pPr>
              <w:keepNext/>
              <w:spacing w:after="0" w:line="240" w:lineRule="auto"/>
              <w:jc w:val="right"/>
              <w:rPr>
                <w:rFonts w:cs="Arial"/>
                <w:b/>
                <w:color w:val="000000"/>
                <w:sz w:val="16"/>
                <w:szCs w:val="16"/>
              </w:rPr>
            </w:pPr>
            <w:r w:rsidRPr="00B25709">
              <w:rPr>
                <w:rFonts w:cs="Arial"/>
                <w:b/>
                <w:color w:val="000000"/>
                <w:sz w:val="16"/>
                <w:szCs w:val="16"/>
              </w:rPr>
              <w:t>0,26</w:t>
            </w:r>
          </w:p>
        </w:tc>
        <w:tc>
          <w:tcPr>
            <w:tcW w:w="992" w:type="dxa"/>
            <w:tcBorders>
              <w:top w:val="nil"/>
              <w:left w:val="nil"/>
              <w:bottom w:val="single" w:sz="4" w:space="0" w:color="auto"/>
              <w:right w:val="single" w:sz="4" w:space="0" w:color="auto"/>
            </w:tcBorders>
            <w:shd w:val="clear" w:color="auto" w:fill="auto"/>
            <w:noWrap/>
            <w:vAlign w:val="center"/>
            <w:hideMark/>
          </w:tcPr>
          <w:p w14:paraId="2D639155" w14:textId="77777777" w:rsidR="00B25709" w:rsidRPr="00B25709" w:rsidRDefault="00B25709" w:rsidP="00B25709">
            <w:pPr>
              <w:keepNext/>
              <w:spacing w:after="0" w:line="240" w:lineRule="auto"/>
              <w:jc w:val="right"/>
              <w:rPr>
                <w:rFonts w:cs="Arial"/>
                <w:b/>
                <w:color w:val="000000"/>
                <w:sz w:val="16"/>
                <w:szCs w:val="16"/>
              </w:rPr>
            </w:pPr>
            <w:r w:rsidRPr="00B25709">
              <w:rPr>
                <w:rFonts w:cs="Arial"/>
                <w:b/>
                <w:color w:val="000000"/>
                <w:sz w:val="16"/>
                <w:szCs w:val="16"/>
              </w:rPr>
              <w:t>0,39</w:t>
            </w:r>
          </w:p>
        </w:tc>
      </w:tr>
      <w:tr w:rsidR="00B25709" w:rsidRPr="00B25709" w14:paraId="5952F343" w14:textId="77777777" w:rsidTr="00B25709">
        <w:trPr>
          <w:trHeight w:val="300"/>
        </w:trPr>
        <w:tc>
          <w:tcPr>
            <w:tcW w:w="708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13706157" w14:textId="77777777" w:rsidR="00B25709" w:rsidRPr="00B25709" w:rsidRDefault="00B25709" w:rsidP="00B25709">
            <w:pPr>
              <w:keepNext/>
              <w:spacing w:after="0" w:line="240" w:lineRule="auto"/>
              <w:rPr>
                <w:rFonts w:cs="Arial"/>
                <w:b/>
                <w:bCs/>
                <w:color w:val="000000"/>
                <w:sz w:val="16"/>
                <w:szCs w:val="16"/>
              </w:rPr>
            </w:pPr>
            <w:r w:rsidRPr="00B25709">
              <w:rPr>
                <w:rFonts w:cs="Arial"/>
                <w:b/>
                <w:bCs/>
                <w:color w:val="000000"/>
                <w:sz w:val="16"/>
                <w:szCs w:val="16"/>
              </w:rPr>
              <w:t xml:space="preserve">podle počtu zaměstnanců </w:t>
            </w:r>
          </w:p>
        </w:tc>
      </w:tr>
      <w:tr w:rsidR="00B25709" w:rsidRPr="00B25709" w14:paraId="11C11DF7"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E4B3511" w14:textId="77777777" w:rsidR="00B25709" w:rsidRPr="00B25709" w:rsidRDefault="00B25709" w:rsidP="00B25709">
            <w:pPr>
              <w:keepNext/>
              <w:spacing w:after="0" w:line="240" w:lineRule="auto"/>
              <w:rPr>
                <w:rFonts w:cs="Arial"/>
                <w:sz w:val="16"/>
                <w:szCs w:val="16"/>
              </w:rPr>
            </w:pPr>
            <w:r w:rsidRPr="00B25709">
              <w:rPr>
                <w:rFonts w:cs="Arial"/>
                <w:sz w:val="16"/>
                <w:szCs w:val="16"/>
              </w:rPr>
              <w:t>10–19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063FC451"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0,49</w:t>
            </w:r>
          </w:p>
        </w:tc>
        <w:tc>
          <w:tcPr>
            <w:tcW w:w="851" w:type="dxa"/>
            <w:tcBorders>
              <w:top w:val="nil"/>
              <w:left w:val="nil"/>
              <w:bottom w:val="single" w:sz="4" w:space="0" w:color="auto"/>
              <w:right w:val="single" w:sz="4" w:space="0" w:color="auto"/>
            </w:tcBorders>
            <w:shd w:val="clear" w:color="auto" w:fill="auto"/>
            <w:noWrap/>
            <w:vAlign w:val="center"/>
            <w:hideMark/>
          </w:tcPr>
          <w:p w14:paraId="575B038F"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0,30</w:t>
            </w:r>
          </w:p>
        </w:tc>
        <w:tc>
          <w:tcPr>
            <w:tcW w:w="992" w:type="dxa"/>
            <w:tcBorders>
              <w:top w:val="nil"/>
              <w:left w:val="nil"/>
              <w:bottom w:val="single" w:sz="4" w:space="0" w:color="auto"/>
              <w:right w:val="single" w:sz="4" w:space="0" w:color="auto"/>
            </w:tcBorders>
            <w:shd w:val="clear" w:color="auto" w:fill="auto"/>
            <w:noWrap/>
            <w:vAlign w:val="center"/>
            <w:hideMark/>
          </w:tcPr>
          <w:p w14:paraId="59A45E43"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0,48</w:t>
            </w:r>
          </w:p>
        </w:tc>
      </w:tr>
      <w:tr w:rsidR="00B25709" w:rsidRPr="00B25709" w14:paraId="53453FE5"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8A7363E" w14:textId="77777777" w:rsidR="00B25709" w:rsidRPr="00B25709" w:rsidRDefault="00B25709" w:rsidP="00B25709">
            <w:pPr>
              <w:keepNext/>
              <w:spacing w:after="0" w:line="240" w:lineRule="auto"/>
              <w:rPr>
                <w:rFonts w:cs="Arial"/>
                <w:sz w:val="16"/>
                <w:szCs w:val="16"/>
              </w:rPr>
            </w:pPr>
            <w:r w:rsidRPr="00B25709">
              <w:rPr>
                <w:rFonts w:cs="Arial"/>
                <w:sz w:val="16"/>
                <w:szCs w:val="16"/>
              </w:rPr>
              <w:t>20–49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01D8B421"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0,49</w:t>
            </w:r>
          </w:p>
        </w:tc>
        <w:tc>
          <w:tcPr>
            <w:tcW w:w="851" w:type="dxa"/>
            <w:tcBorders>
              <w:top w:val="nil"/>
              <w:left w:val="nil"/>
              <w:bottom w:val="single" w:sz="4" w:space="0" w:color="auto"/>
              <w:right w:val="single" w:sz="4" w:space="0" w:color="auto"/>
            </w:tcBorders>
            <w:shd w:val="clear" w:color="auto" w:fill="auto"/>
            <w:noWrap/>
            <w:vAlign w:val="center"/>
            <w:hideMark/>
          </w:tcPr>
          <w:p w14:paraId="71831407"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0,30</w:t>
            </w:r>
          </w:p>
        </w:tc>
        <w:tc>
          <w:tcPr>
            <w:tcW w:w="992" w:type="dxa"/>
            <w:tcBorders>
              <w:top w:val="nil"/>
              <w:left w:val="nil"/>
              <w:bottom w:val="single" w:sz="4" w:space="0" w:color="auto"/>
              <w:right w:val="single" w:sz="4" w:space="0" w:color="auto"/>
            </w:tcBorders>
            <w:shd w:val="clear" w:color="auto" w:fill="auto"/>
            <w:noWrap/>
            <w:vAlign w:val="center"/>
            <w:hideMark/>
          </w:tcPr>
          <w:p w14:paraId="4CA439AB"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0,37</w:t>
            </w:r>
          </w:p>
        </w:tc>
      </w:tr>
      <w:tr w:rsidR="00B25709" w:rsidRPr="00B25709" w14:paraId="0E65E759"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2B107D0" w14:textId="77777777" w:rsidR="00B25709" w:rsidRPr="00B25709" w:rsidRDefault="00B25709" w:rsidP="00B25709">
            <w:pPr>
              <w:keepNext/>
              <w:spacing w:after="0" w:line="240" w:lineRule="auto"/>
              <w:rPr>
                <w:rFonts w:cs="Arial"/>
                <w:sz w:val="16"/>
                <w:szCs w:val="16"/>
              </w:rPr>
            </w:pPr>
            <w:r w:rsidRPr="00B25709">
              <w:rPr>
                <w:rFonts w:cs="Arial"/>
                <w:sz w:val="16"/>
                <w:szCs w:val="16"/>
              </w:rPr>
              <w:t>50–249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7C85854F"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0,50</w:t>
            </w:r>
          </w:p>
        </w:tc>
        <w:tc>
          <w:tcPr>
            <w:tcW w:w="851" w:type="dxa"/>
            <w:tcBorders>
              <w:top w:val="nil"/>
              <w:left w:val="nil"/>
              <w:bottom w:val="single" w:sz="4" w:space="0" w:color="auto"/>
              <w:right w:val="single" w:sz="4" w:space="0" w:color="auto"/>
            </w:tcBorders>
            <w:shd w:val="clear" w:color="auto" w:fill="auto"/>
            <w:noWrap/>
            <w:vAlign w:val="center"/>
            <w:hideMark/>
          </w:tcPr>
          <w:p w14:paraId="2958243B"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0,25</w:t>
            </w:r>
          </w:p>
        </w:tc>
        <w:tc>
          <w:tcPr>
            <w:tcW w:w="992" w:type="dxa"/>
            <w:tcBorders>
              <w:top w:val="nil"/>
              <w:left w:val="nil"/>
              <w:bottom w:val="single" w:sz="4" w:space="0" w:color="auto"/>
              <w:right w:val="single" w:sz="4" w:space="0" w:color="auto"/>
            </w:tcBorders>
            <w:shd w:val="clear" w:color="auto" w:fill="auto"/>
            <w:noWrap/>
            <w:vAlign w:val="center"/>
            <w:hideMark/>
          </w:tcPr>
          <w:p w14:paraId="3572C114"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0,32</w:t>
            </w:r>
          </w:p>
        </w:tc>
      </w:tr>
      <w:tr w:rsidR="00B25709" w:rsidRPr="00B25709" w14:paraId="7D25236E"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668F4F4" w14:textId="77777777" w:rsidR="00B25709" w:rsidRPr="00B25709" w:rsidRDefault="00B25709" w:rsidP="00B25709">
            <w:pPr>
              <w:keepNext/>
              <w:spacing w:after="0" w:line="240" w:lineRule="auto"/>
              <w:rPr>
                <w:rFonts w:cs="Arial"/>
                <w:sz w:val="16"/>
                <w:szCs w:val="16"/>
              </w:rPr>
            </w:pPr>
            <w:r w:rsidRPr="00B25709">
              <w:rPr>
                <w:rFonts w:cs="Arial"/>
                <w:sz w:val="16"/>
                <w:szCs w:val="16"/>
              </w:rPr>
              <w:t>250 a více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338A3A9D"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0,64</w:t>
            </w:r>
          </w:p>
        </w:tc>
        <w:tc>
          <w:tcPr>
            <w:tcW w:w="851" w:type="dxa"/>
            <w:tcBorders>
              <w:top w:val="nil"/>
              <w:left w:val="nil"/>
              <w:bottom w:val="single" w:sz="4" w:space="0" w:color="auto"/>
              <w:right w:val="single" w:sz="4" w:space="0" w:color="auto"/>
            </w:tcBorders>
            <w:shd w:val="clear" w:color="auto" w:fill="auto"/>
            <w:noWrap/>
            <w:vAlign w:val="center"/>
            <w:hideMark/>
          </w:tcPr>
          <w:p w14:paraId="58F76A2E"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0,25</w:t>
            </w:r>
          </w:p>
        </w:tc>
        <w:tc>
          <w:tcPr>
            <w:tcW w:w="992" w:type="dxa"/>
            <w:tcBorders>
              <w:top w:val="nil"/>
              <w:left w:val="nil"/>
              <w:bottom w:val="single" w:sz="4" w:space="0" w:color="auto"/>
              <w:right w:val="single" w:sz="4" w:space="0" w:color="auto"/>
            </w:tcBorders>
            <w:shd w:val="clear" w:color="auto" w:fill="auto"/>
            <w:noWrap/>
            <w:vAlign w:val="center"/>
            <w:hideMark/>
          </w:tcPr>
          <w:p w14:paraId="26B15C0D"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0,41</w:t>
            </w:r>
          </w:p>
        </w:tc>
      </w:tr>
      <w:tr w:rsidR="00B25709" w:rsidRPr="00B25709" w14:paraId="1CAFA0C6" w14:textId="77777777" w:rsidTr="00B25709">
        <w:trPr>
          <w:trHeight w:val="300"/>
        </w:trPr>
        <w:tc>
          <w:tcPr>
            <w:tcW w:w="708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14CD2275" w14:textId="77777777" w:rsidR="00B25709" w:rsidRPr="00B25709" w:rsidRDefault="00B25709" w:rsidP="00B25709">
            <w:pPr>
              <w:keepNext/>
              <w:spacing w:after="0" w:line="240" w:lineRule="auto"/>
              <w:rPr>
                <w:rFonts w:cs="Arial"/>
                <w:b/>
                <w:bCs/>
                <w:color w:val="000000"/>
                <w:sz w:val="16"/>
                <w:szCs w:val="16"/>
              </w:rPr>
            </w:pPr>
            <w:r w:rsidRPr="00B25709">
              <w:rPr>
                <w:rFonts w:cs="Arial"/>
                <w:b/>
                <w:bCs/>
                <w:color w:val="000000"/>
                <w:sz w:val="16"/>
                <w:szCs w:val="16"/>
              </w:rPr>
              <w:t>podle vlastnictví</w:t>
            </w:r>
          </w:p>
        </w:tc>
      </w:tr>
      <w:tr w:rsidR="00B25709" w:rsidRPr="00B25709" w14:paraId="432DC4E7" w14:textId="77777777" w:rsidTr="00B25709">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14:paraId="18B77D3C"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domácí podniky</w:t>
            </w:r>
          </w:p>
        </w:tc>
        <w:tc>
          <w:tcPr>
            <w:tcW w:w="992" w:type="dxa"/>
            <w:tcBorders>
              <w:top w:val="nil"/>
              <w:left w:val="nil"/>
              <w:bottom w:val="single" w:sz="4" w:space="0" w:color="auto"/>
              <w:right w:val="single" w:sz="4" w:space="0" w:color="auto"/>
            </w:tcBorders>
            <w:shd w:val="clear" w:color="auto" w:fill="auto"/>
            <w:noWrap/>
            <w:vAlign w:val="center"/>
            <w:hideMark/>
          </w:tcPr>
          <w:p w14:paraId="524C2E34"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0,50</w:t>
            </w:r>
          </w:p>
        </w:tc>
        <w:tc>
          <w:tcPr>
            <w:tcW w:w="851" w:type="dxa"/>
            <w:tcBorders>
              <w:top w:val="nil"/>
              <w:left w:val="nil"/>
              <w:bottom w:val="single" w:sz="4" w:space="0" w:color="auto"/>
              <w:right w:val="single" w:sz="4" w:space="0" w:color="auto"/>
            </w:tcBorders>
            <w:shd w:val="clear" w:color="auto" w:fill="auto"/>
            <w:noWrap/>
            <w:vAlign w:val="center"/>
            <w:hideMark/>
          </w:tcPr>
          <w:p w14:paraId="4F955EB3"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0,28</w:t>
            </w:r>
          </w:p>
        </w:tc>
        <w:tc>
          <w:tcPr>
            <w:tcW w:w="992" w:type="dxa"/>
            <w:tcBorders>
              <w:top w:val="nil"/>
              <w:left w:val="nil"/>
              <w:bottom w:val="single" w:sz="4" w:space="0" w:color="auto"/>
              <w:right w:val="single" w:sz="4" w:space="0" w:color="auto"/>
            </w:tcBorders>
            <w:shd w:val="clear" w:color="auto" w:fill="auto"/>
            <w:noWrap/>
            <w:vAlign w:val="center"/>
            <w:hideMark/>
          </w:tcPr>
          <w:p w14:paraId="305EE2C1"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0,32</w:t>
            </w:r>
          </w:p>
        </w:tc>
      </w:tr>
      <w:tr w:rsidR="00B25709" w:rsidRPr="00B25709" w14:paraId="52EF20AB"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DE7B400"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podniky pod zahraniční kontrolou</w:t>
            </w:r>
          </w:p>
        </w:tc>
        <w:tc>
          <w:tcPr>
            <w:tcW w:w="992" w:type="dxa"/>
            <w:tcBorders>
              <w:top w:val="nil"/>
              <w:left w:val="nil"/>
              <w:bottom w:val="single" w:sz="4" w:space="0" w:color="auto"/>
              <w:right w:val="single" w:sz="4" w:space="0" w:color="auto"/>
            </w:tcBorders>
            <w:shd w:val="clear" w:color="auto" w:fill="auto"/>
            <w:noWrap/>
            <w:vAlign w:val="center"/>
            <w:hideMark/>
          </w:tcPr>
          <w:p w14:paraId="4CF134EC"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0,65</w:t>
            </w:r>
          </w:p>
        </w:tc>
        <w:tc>
          <w:tcPr>
            <w:tcW w:w="851" w:type="dxa"/>
            <w:tcBorders>
              <w:top w:val="nil"/>
              <w:left w:val="nil"/>
              <w:bottom w:val="single" w:sz="4" w:space="0" w:color="auto"/>
              <w:right w:val="single" w:sz="4" w:space="0" w:color="auto"/>
            </w:tcBorders>
            <w:shd w:val="clear" w:color="auto" w:fill="auto"/>
            <w:noWrap/>
            <w:vAlign w:val="center"/>
            <w:hideMark/>
          </w:tcPr>
          <w:p w14:paraId="5C88222A"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0,23</w:t>
            </w:r>
          </w:p>
        </w:tc>
        <w:tc>
          <w:tcPr>
            <w:tcW w:w="992" w:type="dxa"/>
            <w:tcBorders>
              <w:top w:val="nil"/>
              <w:left w:val="nil"/>
              <w:bottom w:val="single" w:sz="4" w:space="0" w:color="auto"/>
              <w:right w:val="single" w:sz="4" w:space="0" w:color="auto"/>
            </w:tcBorders>
            <w:shd w:val="clear" w:color="auto" w:fill="auto"/>
            <w:noWrap/>
            <w:vAlign w:val="center"/>
            <w:hideMark/>
          </w:tcPr>
          <w:p w14:paraId="6D939CB1"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0,46</w:t>
            </w:r>
          </w:p>
        </w:tc>
      </w:tr>
      <w:tr w:rsidR="00B25709" w:rsidRPr="00B25709" w14:paraId="39B7DF0D" w14:textId="77777777" w:rsidTr="00B25709">
        <w:trPr>
          <w:trHeight w:val="300"/>
        </w:trPr>
        <w:tc>
          <w:tcPr>
            <w:tcW w:w="708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3AC52F64" w14:textId="7E29C795" w:rsidR="00B25709" w:rsidRPr="00B25709" w:rsidRDefault="00F476A4" w:rsidP="00B25709">
            <w:pPr>
              <w:keepNext/>
              <w:spacing w:after="0" w:line="240" w:lineRule="auto"/>
              <w:rPr>
                <w:rFonts w:cs="Arial"/>
                <w:b/>
                <w:bCs/>
                <w:color w:val="000000"/>
                <w:sz w:val="16"/>
                <w:szCs w:val="16"/>
              </w:rPr>
            </w:pPr>
            <w:r w:rsidRPr="00F476A4">
              <w:rPr>
                <w:rFonts w:cs="Arial"/>
                <w:b/>
                <w:bCs/>
                <w:color w:val="000000"/>
                <w:sz w:val="16"/>
                <w:szCs w:val="16"/>
              </w:rPr>
              <w:t>podle odvětvové sekce (CZ-NACE)</w:t>
            </w:r>
          </w:p>
        </w:tc>
      </w:tr>
      <w:tr w:rsidR="00B25709" w:rsidRPr="00B25709" w14:paraId="14271D72"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F4D9C0"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Peněžnictví a pojišťovnictví </w:t>
            </w:r>
          </w:p>
        </w:tc>
        <w:tc>
          <w:tcPr>
            <w:tcW w:w="992" w:type="dxa"/>
            <w:tcBorders>
              <w:top w:val="nil"/>
              <w:left w:val="nil"/>
              <w:bottom w:val="single" w:sz="4" w:space="0" w:color="auto"/>
              <w:right w:val="single" w:sz="4" w:space="0" w:color="auto"/>
            </w:tcBorders>
            <w:shd w:val="clear" w:color="auto" w:fill="auto"/>
            <w:noWrap/>
            <w:vAlign w:val="center"/>
            <w:hideMark/>
          </w:tcPr>
          <w:p w14:paraId="15528766" w14:textId="77777777" w:rsidR="00B25709" w:rsidRPr="00B25709" w:rsidRDefault="00B25709" w:rsidP="00B25709">
            <w:pPr>
              <w:keepNext/>
              <w:spacing w:after="0" w:line="240" w:lineRule="auto"/>
              <w:jc w:val="right"/>
              <w:rPr>
                <w:rFonts w:cs="Arial"/>
                <w:b/>
                <w:bCs/>
                <w:color w:val="00B050"/>
                <w:sz w:val="16"/>
                <w:szCs w:val="16"/>
              </w:rPr>
            </w:pPr>
            <w:r w:rsidRPr="00B25709">
              <w:rPr>
                <w:rFonts w:cs="Arial"/>
                <w:b/>
                <w:bCs/>
                <w:color w:val="00B050"/>
                <w:sz w:val="16"/>
                <w:szCs w:val="16"/>
              </w:rPr>
              <w:t>1,30</w:t>
            </w:r>
          </w:p>
        </w:tc>
        <w:tc>
          <w:tcPr>
            <w:tcW w:w="851" w:type="dxa"/>
            <w:tcBorders>
              <w:top w:val="nil"/>
              <w:left w:val="nil"/>
              <w:bottom w:val="single" w:sz="4" w:space="0" w:color="auto"/>
              <w:right w:val="single" w:sz="4" w:space="0" w:color="auto"/>
            </w:tcBorders>
            <w:shd w:val="clear" w:color="auto" w:fill="auto"/>
            <w:noWrap/>
            <w:vAlign w:val="center"/>
            <w:hideMark/>
          </w:tcPr>
          <w:p w14:paraId="1A211612" w14:textId="77777777" w:rsidR="00B25709" w:rsidRPr="00B25709" w:rsidRDefault="00B25709" w:rsidP="00B25709">
            <w:pPr>
              <w:keepNext/>
              <w:spacing w:after="0" w:line="240" w:lineRule="auto"/>
              <w:jc w:val="right"/>
              <w:rPr>
                <w:rFonts w:cs="Arial"/>
                <w:b/>
                <w:bCs/>
                <w:color w:val="C00000"/>
                <w:sz w:val="16"/>
                <w:szCs w:val="16"/>
              </w:rPr>
            </w:pPr>
            <w:r w:rsidRPr="00B25709">
              <w:rPr>
                <w:rFonts w:cs="Arial"/>
                <w:b/>
                <w:bCs/>
                <w:color w:val="C00000"/>
                <w:sz w:val="16"/>
                <w:szCs w:val="16"/>
              </w:rPr>
              <w:t>0,15</w:t>
            </w:r>
          </w:p>
        </w:tc>
        <w:tc>
          <w:tcPr>
            <w:tcW w:w="992" w:type="dxa"/>
            <w:tcBorders>
              <w:top w:val="nil"/>
              <w:left w:val="nil"/>
              <w:bottom w:val="single" w:sz="4" w:space="0" w:color="auto"/>
              <w:right w:val="single" w:sz="4" w:space="0" w:color="auto"/>
            </w:tcBorders>
            <w:shd w:val="clear" w:color="auto" w:fill="auto"/>
            <w:noWrap/>
            <w:vAlign w:val="center"/>
            <w:hideMark/>
          </w:tcPr>
          <w:p w14:paraId="025864FE" w14:textId="77777777" w:rsidR="00B25709" w:rsidRPr="00B25709" w:rsidRDefault="00B25709" w:rsidP="00B25709">
            <w:pPr>
              <w:keepNext/>
              <w:spacing w:after="0" w:line="240" w:lineRule="auto"/>
              <w:jc w:val="right"/>
              <w:rPr>
                <w:rFonts w:cs="Arial"/>
                <w:b/>
                <w:bCs/>
                <w:color w:val="00B050"/>
                <w:sz w:val="16"/>
                <w:szCs w:val="16"/>
              </w:rPr>
            </w:pPr>
            <w:r w:rsidRPr="00B25709">
              <w:rPr>
                <w:rFonts w:cs="Arial"/>
                <w:b/>
                <w:bCs/>
                <w:color w:val="00B050"/>
                <w:sz w:val="16"/>
                <w:szCs w:val="16"/>
              </w:rPr>
              <w:t>1,19</w:t>
            </w:r>
          </w:p>
        </w:tc>
      </w:tr>
      <w:tr w:rsidR="00B25709" w:rsidRPr="00B25709" w14:paraId="125DFCE6"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BA16899"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Profesní, vědecké a technické činnosti </w:t>
            </w:r>
          </w:p>
        </w:tc>
        <w:tc>
          <w:tcPr>
            <w:tcW w:w="992" w:type="dxa"/>
            <w:tcBorders>
              <w:top w:val="nil"/>
              <w:left w:val="nil"/>
              <w:bottom w:val="single" w:sz="4" w:space="0" w:color="auto"/>
              <w:right w:val="single" w:sz="4" w:space="0" w:color="auto"/>
            </w:tcBorders>
            <w:shd w:val="clear" w:color="auto" w:fill="auto"/>
            <w:noWrap/>
            <w:vAlign w:val="center"/>
            <w:hideMark/>
          </w:tcPr>
          <w:p w14:paraId="3A367951"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0,83</w:t>
            </w:r>
          </w:p>
        </w:tc>
        <w:tc>
          <w:tcPr>
            <w:tcW w:w="851" w:type="dxa"/>
            <w:tcBorders>
              <w:top w:val="nil"/>
              <w:left w:val="nil"/>
              <w:bottom w:val="single" w:sz="4" w:space="0" w:color="auto"/>
              <w:right w:val="single" w:sz="4" w:space="0" w:color="auto"/>
            </w:tcBorders>
            <w:shd w:val="clear" w:color="auto" w:fill="auto"/>
            <w:noWrap/>
            <w:vAlign w:val="center"/>
            <w:hideMark/>
          </w:tcPr>
          <w:p w14:paraId="56D8FA0E"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0,26</w:t>
            </w:r>
          </w:p>
        </w:tc>
        <w:tc>
          <w:tcPr>
            <w:tcW w:w="992" w:type="dxa"/>
            <w:tcBorders>
              <w:top w:val="nil"/>
              <w:left w:val="nil"/>
              <w:bottom w:val="single" w:sz="4" w:space="0" w:color="auto"/>
              <w:right w:val="single" w:sz="4" w:space="0" w:color="auto"/>
            </w:tcBorders>
            <w:shd w:val="clear" w:color="auto" w:fill="auto"/>
            <w:noWrap/>
            <w:vAlign w:val="center"/>
            <w:hideMark/>
          </w:tcPr>
          <w:p w14:paraId="5CFDDEEC"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0,70</w:t>
            </w:r>
          </w:p>
        </w:tc>
      </w:tr>
      <w:tr w:rsidR="00B25709" w:rsidRPr="00B25709" w14:paraId="70DD490F"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ABBAC04"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Informační a komunikační činnosti </w:t>
            </w:r>
          </w:p>
        </w:tc>
        <w:tc>
          <w:tcPr>
            <w:tcW w:w="992" w:type="dxa"/>
            <w:tcBorders>
              <w:top w:val="nil"/>
              <w:left w:val="nil"/>
              <w:bottom w:val="single" w:sz="4" w:space="0" w:color="auto"/>
              <w:right w:val="single" w:sz="4" w:space="0" w:color="auto"/>
            </w:tcBorders>
            <w:shd w:val="clear" w:color="auto" w:fill="auto"/>
            <w:noWrap/>
            <w:vAlign w:val="center"/>
            <w:hideMark/>
          </w:tcPr>
          <w:p w14:paraId="4CC2F297"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0,76</w:t>
            </w:r>
          </w:p>
        </w:tc>
        <w:tc>
          <w:tcPr>
            <w:tcW w:w="851" w:type="dxa"/>
            <w:tcBorders>
              <w:top w:val="nil"/>
              <w:left w:val="nil"/>
              <w:bottom w:val="single" w:sz="4" w:space="0" w:color="auto"/>
              <w:right w:val="single" w:sz="4" w:space="0" w:color="auto"/>
            </w:tcBorders>
            <w:shd w:val="clear" w:color="auto" w:fill="auto"/>
            <w:noWrap/>
            <w:vAlign w:val="center"/>
            <w:hideMark/>
          </w:tcPr>
          <w:p w14:paraId="6DE15C3A"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0,19</w:t>
            </w:r>
          </w:p>
        </w:tc>
        <w:tc>
          <w:tcPr>
            <w:tcW w:w="992" w:type="dxa"/>
            <w:tcBorders>
              <w:top w:val="nil"/>
              <w:left w:val="nil"/>
              <w:bottom w:val="single" w:sz="4" w:space="0" w:color="auto"/>
              <w:right w:val="single" w:sz="4" w:space="0" w:color="auto"/>
            </w:tcBorders>
            <w:shd w:val="clear" w:color="auto" w:fill="auto"/>
            <w:noWrap/>
            <w:vAlign w:val="center"/>
            <w:hideMark/>
          </w:tcPr>
          <w:p w14:paraId="799C00F2"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0,61</w:t>
            </w:r>
          </w:p>
        </w:tc>
      </w:tr>
      <w:tr w:rsidR="00B25709" w:rsidRPr="00B25709" w14:paraId="652EDE10"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448BC1B"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Stavebnictví  </w:t>
            </w:r>
          </w:p>
        </w:tc>
        <w:tc>
          <w:tcPr>
            <w:tcW w:w="992" w:type="dxa"/>
            <w:tcBorders>
              <w:top w:val="nil"/>
              <w:left w:val="nil"/>
              <w:bottom w:val="single" w:sz="4" w:space="0" w:color="auto"/>
              <w:right w:val="single" w:sz="4" w:space="0" w:color="auto"/>
            </w:tcBorders>
            <w:shd w:val="clear" w:color="auto" w:fill="auto"/>
            <w:noWrap/>
            <w:vAlign w:val="center"/>
            <w:hideMark/>
          </w:tcPr>
          <w:p w14:paraId="25655B29"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0,66</w:t>
            </w:r>
          </w:p>
        </w:tc>
        <w:tc>
          <w:tcPr>
            <w:tcW w:w="851" w:type="dxa"/>
            <w:tcBorders>
              <w:top w:val="nil"/>
              <w:left w:val="nil"/>
              <w:bottom w:val="single" w:sz="4" w:space="0" w:color="auto"/>
              <w:right w:val="single" w:sz="4" w:space="0" w:color="auto"/>
            </w:tcBorders>
            <w:shd w:val="clear" w:color="auto" w:fill="auto"/>
            <w:noWrap/>
            <w:vAlign w:val="center"/>
            <w:hideMark/>
          </w:tcPr>
          <w:p w14:paraId="3C66F768" w14:textId="77777777" w:rsidR="00B25709" w:rsidRPr="00B25709" w:rsidRDefault="00B25709" w:rsidP="00B25709">
            <w:pPr>
              <w:keepNext/>
              <w:spacing w:after="0" w:line="240" w:lineRule="auto"/>
              <w:jc w:val="right"/>
              <w:rPr>
                <w:rFonts w:cs="Arial"/>
                <w:b/>
                <w:bCs/>
                <w:color w:val="00B050"/>
                <w:sz w:val="16"/>
                <w:szCs w:val="16"/>
              </w:rPr>
            </w:pPr>
            <w:r w:rsidRPr="00B25709">
              <w:rPr>
                <w:rFonts w:cs="Arial"/>
                <w:b/>
                <w:bCs/>
                <w:color w:val="00B050"/>
                <w:sz w:val="16"/>
                <w:szCs w:val="16"/>
              </w:rPr>
              <w:t>0,42</w:t>
            </w:r>
          </w:p>
        </w:tc>
        <w:tc>
          <w:tcPr>
            <w:tcW w:w="992" w:type="dxa"/>
            <w:tcBorders>
              <w:top w:val="nil"/>
              <w:left w:val="nil"/>
              <w:bottom w:val="single" w:sz="4" w:space="0" w:color="auto"/>
              <w:right w:val="single" w:sz="4" w:space="0" w:color="auto"/>
            </w:tcBorders>
            <w:shd w:val="clear" w:color="auto" w:fill="auto"/>
            <w:noWrap/>
            <w:vAlign w:val="center"/>
            <w:hideMark/>
          </w:tcPr>
          <w:p w14:paraId="552E1D82"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0,39</w:t>
            </w:r>
          </w:p>
        </w:tc>
      </w:tr>
      <w:tr w:rsidR="00B25709" w:rsidRPr="00B25709" w14:paraId="356206BE"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20A03D9"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Ubytování, stravování a pohostinství </w:t>
            </w:r>
          </w:p>
        </w:tc>
        <w:tc>
          <w:tcPr>
            <w:tcW w:w="992" w:type="dxa"/>
            <w:tcBorders>
              <w:top w:val="nil"/>
              <w:left w:val="nil"/>
              <w:bottom w:val="single" w:sz="4" w:space="0" w:color="auto"/>
              <w:right w:val="single" w:sz="4" w:space="0" w:color="auto"/>
            </w:tcBorders>
            <w:shd w:val="clear" w:color="auto" w:fill="auto"/>
            <w:noWrap/>
            <w:vAlign w:val="center"/>
            <w:hideMark/>
          </w:tcPr>
          <w:p w14:paraId="65427538"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0,56</w:t>
            </w:r>
          </w:p>
        </w:tc>
        <w:tc>
          <w:tcPr>
            <w:tcW w:w="851" w:type="dxa"/>
            <w:tcBorders>
              <w:top w:val="nil"/>
              <w:left w:val="nil"/>
              <w:bottom w:val="single" w:sz="4" w:space="0" w:color="auto"/>
              <w:right w:val="single" w:sz="4" w:space="0" w:color="auto"/>
            </w:tcBorders>
            <w:shd w:val="clear" w:color="auto" w:fill="auto"/>
            <w:noWrap/>
            <w:vAlign w:val="center"/>
            <w:hideMark/>
          </w:tcPr>
          <w:p w14:paraId="4197D9EF"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0,27</w:t>
            </w:r>
          </w:p>
        </w:tc>
        <w:tc>
          <w:tcPr>
            <w:tcW w:w="992" w:type="dxa"/>
            <w:tcBorders>
              <w:top w:val="nil"/>
              <w:left w:val="nil"/>
              <w:bottom w:val="single" w:sz="4" w:space="0" w:color="auto"/>
              <w:right w:val="single" w:sz="4" w:space="0" w:color="auto"/>
            </w:tcBorders>
            <w:shd w:val="clear" w:color="auto" w:fill="auto"/>
            <w:noWrap/>
            <w:vAlign w:val="center"/>
            <w:hideMark/>
          </w:tcPr>
          <w:p w14:paraId="79907193"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0,56</w:t>
            </w:r>
          </w:p>
        </w:tc>
      </w:tr>
      <w:tr w:rsidR="00B25709" w:rsidRPr="00B25709" w14:paraId="6800318C"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CA9880F"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Kulturní, zábavní a rekreační činnosti a ostatní činnosti </w:t>
            </w:r>
          </w:p>
        </w:tc>
        <w:tc>
          <w:tcPr>
            <w:tcW w:w="992" w:type="dxa"/>
            <w:tcBorders>
              <w:top w:val="nil"/>
              <w:left w:val="nil"/>
              <w:bottom w:val="single" w:sz="4" w:space="0" w:color="auto"/>
              <w:right w:val="single" w:sz="4" w:space="0" w:color="auto"/>
            </w:tcBorders>
            <w:shd w:val="clear" w:color="auto" w:fill="auto"/>
            <w:noWrap/>
            <w:vAlign w:val="center"/>
            <w:hideMark/>
          </w:tcPr>
          <w:p w14:paraId="5ED5638A"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0,54</w:t>
            </w:r>
          </w:p>
        </w:tc>
        <w:tc>
          <w:tcPr>
            <w:tcW w:w="851" w:type="dxa"/>
            <w:tcBorders>
              <w:top w:val="nil"/>
              <w:left w:val="nil"/>
              <w:bottom w:val="single" w:sz="4" w:space="0" w:color="auto"/>
              <w:right w:val="single" w:sz="4" w:space="0" w:color="auto"/>
            </w:tcBorders>
            <w:shd w:val="clear" w:color="auto" w:fill="auto"/>
            <w:noWrap/>
            <w:vAlign w:val="center"/>
            <w:hideMark/>
          </w:tcPr>
          <w:p w14:paraId="3B5898E6"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14:paraId="50EE7B62"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0,37</w:t>
            </w:r>
          </w:p>
        </w:tc>
      </w:tr>
      <w:tr w:rsidR="00B25709" w:rsidRPr="00B25709" w14:paraId="58112639"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A79A49E"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Průmysl </w:t>
            </w:r>
          </w:p>
        </w:tc>
        <w:tc>
          <w:tcPr>
            <w:tcW w:w="992" w:type="dxa"/>
            <w:tcBorders>
              <w:top w:val="nil"/>
              <w:left w:val="nil"/>
              <w:bottom w:val="single" w:sz="4" w:space="0" w:color="auto"/>
              <w:right w:val="single" w:sz="4" w:space="0" w:color="auto"/>
            </w:tcBorders>
            <w:shd w:val="clear" w:color="auto" w:fill="auto"/>
            <w:noWrap/>
            <w:vAlign w:val="center"/>
            <w:hideMark/>
          </w:tcPr>
          <w:p w14:paraId="57AD3CA8"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0,54</w:t>
            </w:r>
          </w:p>
        </w:tc>
        <w:tc>
          <w:tcPr>
            <w:tcW w:w="851" w:type="dxa"/>
            <w:tcBorders>
              <w:top w:val="nil"/>
              <w:left w:val="nil"/>
              <w:bottom w:val="single" w:sz="4" w:space="0" w:color="auto"/>
              <w:right w:val="single" w:sz="4" w:space="0" w:color="auto"/>
            </w:tcBorders>
            <w:shd w:val="clear" w:color="auto" w:fill="auto"/>
            <w:noWrap/>
            <w:vAlign w:val="center"/>
            <w:hideMark/>
          </w:tcPr>
          <w:p w14:paraId="2BFCCB27"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0,27</w:t>
            </w:r>
          </w:p>
        </w:tc>
        <w:tc>
          <w:tcPr>
            <w:tcW w:w="992" w:type="dxa"/>
            <w:tcBorders>
              <w:top w:val="nil"/>
              <w:left w:val="nil"/>
              <w:bottom w:val="single" w:sz="4" w:space="0" w:color="auto"/>
              <w:right w:val="single" w:sz="4" w:space="0" w:color="auto"/>
            </w:tcBorders>
            <w:shd w:val="clear" w:color="auto" w:fill="auto"/>
            <w:noWrap/>
            <w:vAlign w:val="center"/>
            <w:hideMark/>
          </w:tcPr>
          <w:p w14:paraId="1C0A7402"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0,32</w:t>
            </w:r>
          </w:p>
        </w:tc>
      </w:tr>
      <w:tr w:rsidR="00B25709" w:rsidRPr="00B25709" w14:paraId="6DF1B79E"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4F44D13"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 xml:space="preserve">Doprava a skladování </w:t>
            </w:r>
          </w:p>
        </w:tc>
        <w:tc>
          <w:tcPr>
            <w:tcW w:w="992" w:type="dxa"/>
            <w:tcBorders>
              <w:top w:val="nil"/>
              <w:left w:val="nil"/>
              <w:bottom w:val="single" w:sz="4" w:space="0" w:color="auto"/>
              <w:right w:val="single" w:sz="4" w:space="0" w:color="auto"/>
            </w:tcBorders>
            <w:shd w:val="clear" w:color="auto" w:fill="auto"/>
            <w:noWrap/>
            <w:vAlign w:val="center"/>
            <w:hideMark/>
          </w:tcPr>
          <w:p w14:paraId="4B3D88C0"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0,53</w:t>
            </w:r>
          </w:p>
        </w:tc>
        <w:tc>
          <w:tcPr>
            <w:tcW w:w="851" w:type="dxa"/>
            <w:tcBorders>
              <w:top w:val="nil"/>
              <w:left w:val="nil"/>
              <w:bottom w:val="single" w:sz="4" w:space="0" w:color="auto"/>
              <w:right w:val="single" w:sz="4" w:space="0" w:color="auto"/>
            </w:tcBorders>
            <w:shd w:val="clear" w:color="auto" w:fill="auto"/>
            <w:noWrap/>
            <w:vAlign w:val="center"/>
            <w:hideMark/>
          </w:tcPr>
          <w:p w14:paraId="12B40618"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0,29</w:t>
            </w:r>
          </w:p>
        </w:tc>
        <w:tc>
          <w:tcPr>
            <w:tcW w:w="992" w:type="dxa"/>
            <w:tcBorders>
              <w:top w:val="nil"/>
              <w:left w:val="nil"/>
              <w:bottom w:val="single" w:sz="4" w:space="0" w:color="auto"/>
              <w:right w:val="single" w:sz="4" w:space="0" w:color="auto"/>
            </w:tcBorders>
            <w:shd w:val="clear" w:color="auto" w:fill="auto"/>
            <w:noWrap/>
            <w:vAlign w:val="center"/>
            <w:hideMark/>
          </w:tcPr>
          <w:p w14:paraId="1F5A801E"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0,33</w:t>
            </w:r>
          </w:p>
        </w:tc>
      </w:tr>
      <w:tr w:rsidR="00B25709" w:rsidRPr="00B25709" w14:paraId="7C994D38"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1E157E" w14:textId="2A43DF35" w:rsidR="00B25709" w:rsidRPr="00B25709" w:rsidRDefault="00B25709" w:rsidP="00B25709">
            <w:pPr>
              <w:keepNext/>
              <w:spacing w:after="0" w:line="240" w:lineRule="auto"/>
              <w:rPr>
                <w:rFonts w:cs="Arial"/>
                <w:color w:val="000000"/>
                <w:sz w:val="16"/>
                <w:szCs w:val="16"/>
              </w:rPr>
            </w:pPr>
            <w:r>
              <w:rPr>
                <w:rFonts w:cs="Arial"/>
                <w:color w:val="000000"/>
                <w:sz w:val="16"/>
                <w:szCs w:val="16"/>
              </w:rPr>
              <w:t>O</w:t>
            </w:r>
            <w:r w:rsidRPr="00B25709">
              <w:rPr>
                <w:rFonts w:cs="Arial"/>
                <w:color w:val="000000"/>
                <w:sz w:val="16"/>
                <w:szCs w:val="16"/>
              </w:rPr>
              <w:t xml:space="preserve">bchod; opravy motorových vozidel </w:t>
            </w:r>
          </w:p>
        </w:tc>
        <w:tc>
          <w:tcPr>
            <w:tcW w:w="992" w:type="dxa"/>
            <w:tcBorders>
              <w:top w:val="nil"/>
              <w:left w:val="nil"/>
              <w:bottom w:val="single" w:sz="4" w:space="0" w:color="auto"/>
              <w:right w:val="single" w:sz="4" w:space="0" w:color="auto"/>
            </w:tcBorders>
            <w:shd w:val="clear" w:color="auto" w:fill="auto"/>
            <w:noWrap/>
            <w:vAlign w:val="center"/>
            <w:hideMark/>
          </w:tcPr>
          <w:p w14:paraId="362B6E99" w14:textId="77777777" w:rsidR="00B25709" w:rsidRPr="00B25709" w:rsidRDefault="00B25709" w:rsidP="00B25709">
            <w:pPr>
              <w:keepNext/>
              <w:spacing w:after="0" w:line="240" w:lineRule="auto"/>
              <w:jc w:val="right"/>
              <w:rPr>
                <w:rFonts w:cs="Arial"/>
                <w:b/>
                <w:bCs/>
                <w:color w:val="C00000"/>
                <w:sz w:val="16"/>
                <w:szCs w:val="16"/>
              </w:rPr>
            </w:pPr>
            <w:r w:rsidRPr="00B25709">
              <w:rPr>
                <w:rFonts w:cs="Arial"/>
                <w:b/>
                <w:bCs/>
                <w:color w:val="C00000"/>
                <w:sz w:val="16"/>
                <w:szCs w:val="16"/>
              </w:rPr>
              <w:t>0,42</w:t>
            </w:r>
          </w:p>
        </w:tc>
        <w:tc>
          <w:tcPr>
            <w:tcW w:w="851" w:type="dxa"/>
            <w:tcBorders>
              <w:top w:val="nil"/>
              <w:left w:val="nil"/>
              <w:bottom w:val="single" w:sz="4" w:space="0" w:color="auto"/>
              <w:right w:val="single" w:sz="4" w:space="0" w:color="auto"/>
            </w:tcBorders>
            <w:shd w:val="clear" w:color="auto" w:fill="auto"/>
            <w:noWrap/>
            <w:vAlign w:val="center"/>
            <w:hideMark/>
          </w:tcPr>
          <w:p w14:paraId="3B3EA5BF"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0,19</w:t>
            </w:r>
          </w:p>
        </w:tc>
        <w:tc>
          <w:tcPr>
            <w:tcW w:w="992" w:type="dxa"/>
            <w:tcBorders>
              <w:top w:val="nil"/>
              <w:left w:val="nil"/>
              <w:bottom w:val="single" w:sz="4" w:space="0" w:color="auto"/>
              <w:right w:val="single" w:sz="4" w:space="0" w:color="auto"/>
            </w:tcBorders>
            <w:shd w:val="clear" w:color="auto" w:fill="auto"/>
            <w:noWrap/>
            <w:vAlign w:val="center"/>
            <w:hideMark/>
          </w:tcPr>
          <w:p w14:paraId="6D6952C5"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0,31</w:t>
            </w:r>
          </w:p>
        </w:tc>
      </w:tr>
      <w:tr w:rsidR="00B25709" w:rsidRPr="00B25709" w14:paraId="771DBF22" w14:textId="77777777" w:rsidTr="00B25709">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0344EB6" w14:textId="77777777" w:rsidR="00B25709" w:rsidRPr="00B25709" w:rsidRDefault="00B25709" w:rsidP="00B25709">
            <w:pPr>
              <w:keepNext/>
              <w:spacing w:after="0" w:line="240" w:lineRule="auto"/>
              <w:rPr>
                <w:rFonts w:cs="Arial"/>
                <w:color w:val="000000"/>
                <w:sz w:val="16"/>
                <w:szCs w:val="16"/>
              </w:rPr>
            </w:pPr>
            <w:r w:rsidRPr="00B25709">
              <w:rPr>
                <w:rFonts w:cs="Arial"/>
                <w:color w:val="000000"/>
                <w:sz w:val="16"/>
                <w:szCs w:val="16"/>
              </w:rPr>
              <w:t>Činnosti v oblasti nemovitostí a administrativy</w:t>
            </w:r>
          </w:p>
        </w:tc>
        <w:tc>
          <w:tcPr>
            <w:tcW w:w="992" w:type="dxa"/>
            <w:tcBorders>
              <w:top w:val="nil"/>
              <w:left w:val="nil"/>
              <w:bottom w:val="single" w:sz="4" w:space="0" w:color="auto"/>
              <w:right w:val="single" w:sz="4" w:space="0" w:color="auto"/>
            </w:tcBorders>
            <w:shd w:val="clear" w:color="auto" w:fill="auto"/>
            <w:noWrap/>
            <w:vAlign w:val="center"/>
            <w:hideMark/>
          </w:tcPr>
          <w:p w14:paraId="11BC6F37" w14:textId="77777777" w:rsidR="00B25709" w:rsidRPr="00B25709" w:rsidRDefault="00B25709" w:rsidP="00B25709">
            <w:pPr>
              <w:keepNext/>
              <w:spacing w:after="0" w:line="240" w:lineRule="auto"/>
              <w:jc w:val="right"/>
              <w:rPr>
                <w:rFonts w:cs="Arial"/>
                <w:b/>
                <w:bCs/>
                <w:color w:val="C00000"/>
                <w:sz w:val="16"/>
                <w:szCs w:val="16"/>
              </w:rPr>
            </w:pPr>
            <w:r w:rsidRPr="00B25709">
              <w:rPr>
                <w:rFonts w:cs="Arial"/>
                <w:b/>
                <w:bCs/>
                <w:color w:val="C00000"/>
                <w:sz w:val="16"/>
                <w:szCs w:val="16"/>
              </w:rPr>
              <w:t>0,36</w:t>
            </w:r>
          </w:p>
        </w:tc>
        <w:tc>
          <w:tcPr>
            <w:tcW w:w="851" w:type="dxa"/>
            <w:tcBorders>
              <w:top w:val="nil"/>
              <w:left w:val="nil"/>
              <w:bottom w:val="single" w:sz="4" w:space="0" w:color="auto"/>
              <w:right w:val="single" w:sz="4" w:space="0" w:color="auto"/>
            </w:tcBorders>
            <w:shd w:val="clear" w:color="auto" w:fill="auto"/>
            <w:noWrap/>
            <w:vAlign w:val="center"/>
            <w:hideMark/>
          </w:tcPr>
          <w:p w14:paraId="05035552" w14:textId="77777777" w:rsidR="00B25709" w:rsidRPr="00B25709" w:rsidRDefault="00B25709" w:rsidP="00B25709">
            <w:pPr>
              <w:keepNext/>
              <w:spacing w:after="0" w:line="240" w:lineRule="auto"/>
              <w:jc w:val="right"/>
              <w:rPr>
                <w:rFonts w:cs="Arial"/>
                <w:color w:val="000000"/>
                <w:sz w:val="16"/>
                <w:szCs w:val="16"/>
              </w:rPr>
            </w:pPr>
            <w:r w:rsidRPr="00B25709">
              <w:rPr>
                <w:rFonts w:cs="Arial"/>
                <w:color w:val="000000"/>
                <w:sz w:val="16"/>
                <w:szCs w:val="16"/>
              </w:rPr>
              <w:t>0,23</w:t>
            </w:r>
          </w:p>
        </w:tc>
        <w:tc>
          <w:tcPr>
            <w:tcW w:w="992" w:type="dxa"/>
            <w:tcBorders>
              <w:top w:val="nil"/>
              <w:left w:val="nil"/>
              <w:bottom w:val="single" w:sz="4" w:space="0" w:color="auto"/>
              <w:right w:val="single" w:sz="4" w:space="0" w:color="auto"/>
            </w:tcBorders>
            <w:shd w:val="clear" w:color="auto" w:fill="auto"/>
            <w:noWrap/>
            <w:vAlign w:val="center"/>
            <w:hideMark/>
          </w:tcPr>
          <w:p w14:paraId="6BECD113" w14:textId="77777777" w:rsidR="00B25709" w:rsidRPr="00B25709" w:rsidRDefault="00B25709" w:rsidP="00B25709">
            <w:pPr>
              <w:keepNext/>
              <w:spacing w:after="0" w:line="240" w:lineRule="auto"/>
              <w:jc w:val="right"/>
              <w:rPr>
                <w:rFonts w:cs="Arial"/>
                <w:b/>
                <w:bCs/>
                <w:color w:val="C00000"/>
                <w:sz w:val="16"/>
                <w:szCs w:val="16"/>
              </w:rPr>
            </w:pPr>
            <w:r w:rsidRPr="00B25709">
              <w:rPr>
                <w:rFonts w:cs="Arial"/>
                <w:b/>
                <w:bCs/>
                <w:color w:val="C00000"/>
                <w:sz w:val="16"/>
                <w:szCs w:val="16"/>
              </w:rPr>
              <w:t>0,22</w:t>
            </w:r>
          </w:p>
        </w:tc>
      </w:tr>
    </w:tbl>
    <w:p w14:paraId="32B2C4A7" w14:textId="620695AF" w:rsidR="00B469F5" w:rsidRPr="00B469F5" w:rsidRDefault="00EA3FCB" w:rsidP="00B469F5">
      <w:pPr>
        <w:spacing w:before="120" w:after="120"/>
        <w:jc w:val="center"/>
        <w:rPr>
          <w:szCs w:val="20"/>
        </w:rPr>
      </w:pPr>
      <w:r>
        <w:rPr>
          <w:szCs w:val="20"/>
        </w:rPr>
        <w:t xml:space="preserve">                                                                </w:t>
      </w:r>
      <w:r w:rsidR="009C4714" w:rsidRPr="003D1467">
        <w:rPr>
          <w:szCs w:val="20"/>
        </w:rPr>
        <w:t>Zdroj: ČSÚ</w:t>
      </w:r>
    </w:p>
    <w:p w14:paraId="1ED4A5F5" w14:textId="2E5E86C5" w:rsidR="00B469F5" w:rsidRDefault="00B469F5" w:rsidP="008A41C7">
      <w:pPr>
        <w:spacing w:after="120"/>
        <w:jc w:val="both"/>
        <w:rPr>
          <w:rFonts w:cs="Arial"/>
          <w:szCs w:val="20"/>
        </w:rPr>
      </w:pPr>
      <w:r w:rsidRPr="00727C2C">
        <w:rPr>
          <w:rFonts w:cs="Arial"/>
          <w:szCs w:val="20"/>
        </w:rPr>
        <w:t>V tomto pohledu je zejména zajímavé, že v podnicích s 10</w:t>
      </w:r>
      <w:r w:rsidR="004226B9" w:rsidRPr="004226B9">
        <w:rPr>
          <w:rFonts w:cs="Arial"/>
          <w:szCs w:val="20"/>
        </w:rPr>
        <w:t>–</w:t>
      </w:r>
      <w:r w:rsidRPr="00727C2C">
        <w:rPr>
          <w:rFonts w:cs="Arial"/>
          <w:szCs w:val="20"/>
        </w:rPr>
        <w:t>19 zaměstnanci zajišťujících nepovinné</w:t>
      </w:r>
      <w:r>
        <w:rPr>
          <w:rFonts w:cs="Arial"/>
          <w:szCs w:val="20"/>
        </w:rPr>
        <w:t xml:space="preserve"> kurzy/školení zaujímaly tyto kurzy/školení 0,5 % z celkové </w:t>
      </w:r>
      <w:r w:rsidR="008A41C7">
        <w:rPr>
          <w:rFonts w:cs="Arial"/>
          <w:szCs w:val="20"/>
        </w:rPr>
        <w:t>placené pracovní</w:t>
      </w:r>
      <w:r>
        <w:rPr>
          <w:rFonts w:cs="Arial"/>
          <w:szCs w:val="20"/>
        </w:rPr>
        <w:t xml:space="preserve"> doby, zatímco ve velkých podnicích s 250 a více zaměstnanci jen 0,4 %, viz tabulku 2.1. Zdánlivě se tento výsledek může jevit jako v rozporu se zjišt</w:t>
      </w:r>
      <w:r w:rsidR="002B73FD">
        <w:rPr>
          <w:rFonts w:cs="Arial"/>
          <w:szCs w:val="20"/>
        </w:rPr>
        <w:t>ěními prezentovanými v grafu 2.11</w:t>
      </w:r>
      <w:r>
        <w:rPr>
          <w:rFonts w:cs="Arial"/>
          <w:szCs w:val="20"/>
        </w:rPr>
        <w:t>. Je to však dáno odlišným výpočtem (vztahování podílu k celku vs. k podnikům zajišťující</w:t>
      </w:r>
      <w:r w:rsidR="003B4074">
        <w:rPr>
          <w:rFonts w:cs="Arial"/>
          <w:szCs w:val="20"/>
        </w:rPr>
        <w:t>m</w:t>
      </w:r>
      <w:r>
        <w:rPr>
          <w:rFonts w:cs="Arial"/>
          <w:szCs w:val="20"/>
        </w:rPr>
        <w:t xml:space="preserve"> nepovinné kurzy/školení) a vyšší četností zajišťování nepovinných kurzů/školení mezi podniky s 250 a více zaměstnanci (88,9 %) zejména oproti podnikům s 10</w:t>
      </w:r>
      <w:r w:rsidR="004226B9" w:rsidRPr="004226B9">
        <w:rPr>
          <w:rFonts w:cs="Arial"/>
          <w:szCs w:val="20"/>
        </w:rPr>
        <w:t>–</w:t>
      </w:r>
      <w:r>
        <w:rPr>
          <w:rFonts w:cs="Arial"/>
          <w:szCs w:val="20"/>
        </w:rPr>
        <w:t>19 zaměstnanci (32,1 %).</w:t>
      </w:r>
    </w:p>
    <w:p w14:paraId="25187BEB" w14:textId="5AEB9490" w:rsidR="004347BB" w:rsidRDefault="004347BB" w:rsidP="004347BB">
      <w:pPr>
        <w:spacing w:after="0" w:line="240" w:lineRule="auto"/>
        <w:jc w:val="both"/>
        <w:rPr>
          <w:rFonts w:cs="Arial"/>
          <w:szCs w:val="20"/>
        </w:rPr>
      </w:pPr>
      <w:r>
        <w:rPr>
          <w:rFonts w:cs="Arial"/>
          <w:szCs w:val="20"/>
        </w:rPr>
        <w:t>Graf</w:t>
      </w:r>
      <w:r w:rsidR="00FF41F8">
        <w:rPr>
          <w:rFonts w:cs="Arial"/>
          <w:szCs w:val="20"/>
        </w:rPr>
        <w:t xml:space="preserve"> </w:t>
      </w:r>
      <w:r w:rsidR="008B2117">
        <w:rPr>
          <w:rFonts w:cs="Arial"/>
          <w:szCs w:val="20"/>
        </w:rPr>
        <w:t>2.12</w:t>
      </w:r>
      <w:r>
        <w:rPr>
          <w:rFonts w:cs="Arial"/>
          <w:szCs w:val="20"/>
        </w:rPr>
        <w:t xml:space="preserve"> dále ukazuje </w:t>
      </w:r>
      <w:r w:rsidR="00D3552F">
        <w:rPr>
          <w:rFonts w:cs="Arial"/>
          <w:szCs w:val="20"/>
        </w:rPr>
        <w:t xml:space="preserve">vývoj </w:t>
      </w:r>
      <w:r w:rsidR="00D10C36">
        <w:rPr>
          <w:rFonts w:cs="Arial"/>
          <w:szCs w:val="20"/>
        </w:rPr>
        <w:t>p</w:t>
      </w:r>
      <w:r w:rsidR="00D10C36" w:rsidRPr="00D10C36">
        <w:rPr>
          <w:rFonts w:cs="Arial"/>
          <w:szCs w:val="20"/>
        </w:rPr>
        <w:t>odíl</w:t>
      </w:r>
      <w:r w:rsidR="00D10C36">
        <w:rPr>
          <w:rFonts w:cs="Arial"/>
          <w:szCs w:val="20"/>
        </w:rPr>
        <w:t>u placené pracovní</w:t>
      </w:r>
      <w:r w:rsidR="00D10C36" w:rsidRPr="00D10C36">
        <w:rPr>
          <w:rFonts w:cs="Arial"/>
          <w:szCs w:val="20"/>
        </w:rPr>
        <w:t xml:space="preserve"> doby věnované účasti (jakýchkoliv) kurzech/školeních</w:t>
      </w:r>
      <w:r w:rsidR="002879F5">
        <w:rPr>
          <w:rFonts w:cs="Arial"/>
          <w:szCs w:val="20"/>
        </w:rPr>
        <w:t xml:space="preserve"> </w:t>
      </w:r>
      <w:r w:rsidR="00FF41F8">
        <w:rPr>
          <w:rFonts w:cs="Arial"/>
          <w:szCs w:val="20"/>
        </w:rPr>
        <w:t>v</w:t>
      </w:r>
      <w:r w:rsidR="00D10C36">
        <w:rPr>
          <w:rFonts w:cs="Arial"/>
          <w:szCs w:val="20"/>
        </w:rPr>
        <w:t> </w:t>
      </w:r>
      <w:r w:rsidR="00FF41F8">
        <w:rPr>
          <w:rFonts w:cs="Arial"/>
          <w:szCs w:val="20"/>
        </w:rPr>
        <w:t>podnicí</w:t>
      </w:r>
      <w:r>
        <w:rPr>
          <w:rFonts w:cs="Arial"/>
          <w:szCs w:val="20"/>
        </w:rPr>
        <w:t>ch</w:t>
      </w:r>
      <w:r w:rsidR="00D10C36">
        <w:rPr>
          <w:rFonts w:cs="Arial"/>
          <w:szCs w:val="20"/>
        </w:rPr>
        <w:t>, které kurzy/školení zajišťují</w:t>
      </w:r>
      <w:r w:rsidR="007E6C1D">
        <w:rPr>
          <w:rFonts w:cs="Arial"/>
          <w:szCs w:val="20"/>
        </w:rPr>
        <w:t xml:space="preserve">, a sice </w:t>
      </w:r>
      <w:r w:rsidR="00D10C36">
        <w:rPr>
          <w:rFonts w:cs="Arial"/>
          <w:szCs w:val="20"/>
        </w:rPr>
        <w:t>mezi roky</w:t>
      </w:r>
      <w:r w:rsidR="007E6C1D">
        <w:rPr>
          <w:rFonts w:cs="Arial"/>
          <w:szCs w:val="20"/>
        </w:rPr>
        <w:t xml:space="preserve"> 2010, 2015 a 202</w:t>
      </w:r>
      <w:r>
        <w:rPr>
          <w:rFonts w:cs="Arial"/>
          <w:szCs w:val="20"/>
        </w:rPr>
        <w:t xml:space="preserve">0. </w:t>
      </w:r>
    </w:p>
    <w:p w14:paraId="3F8C235D" w14:textId="1FB421B9" w:rsidR="004347BB" w:rsidRDefault="004347BB">
      <w:pPr>
        <w:spacing w:after="0" w:line="240" w:lineRule="auto"/>
        <w:rPr>
          <w:rFonts w:cs="Arial"/>
          <w:szCs w:val="20"/>
        </w:rPr>
      </w:pPr>
    </w:p>
    <w:p w14:paraId="5C7E7166" w14:textId="461FD5BA" w:rsidR="004347BB" w:rsidRDefault="003B4074" w:rsidP="004347BB">
      <w:pPr>
        <w:spacing w:after="120" w:line="240" w:lineRule="auto"/>
        <w:rPr>
          <w:rFonts w:cs="Arial"/>
          <w:szCs w:val="20"/>
        </w:rPr>
      </w:pPr>
      <w:r>
        <w:rPr>
          <w:rFonts w:cs="Arial"/>
          <w:b/>
          <w:szCs w:val="20"/>
        </w:rPr>
        <w:t xml:space="preserve">Graf </w:t>
      </w:r>
      <w:r w:rsidR="00560FD8">
        <w:rPr>
          <w:rFonts w:cs="Arial"/>
          <w:b/>
          <w:szCs w:val="20"/>
        </w:rPr>
        <w:t>2.12</w:t>
      </w:r>
      <w:r w:rsidR="004347BB" w:rsidRPr="004347BB">
        <w:rPr>
          <w:rFonts w:cs="Arial"/>
          <w:b/>
          <w:szCs w:val="20"/>
        </w:rPr>
        <w:t xml:space="preserve"> </w:t>
      </w:r>
      <w:r w:rsidR="00D3552F" w:rsidRPr="00D3552F">
        <w:rPr>
          <w:rFonts w:cs="Arial"/>
          <w:b/>
          <w:szCs w:val="20"/>
        </w:rPr>
        <w:t>Podíl place</w:t>
      </w:r>
      <w:r w:rsidR="00D3552F">
        <w:rPr>
          <w:rFonts w:cs="Arial"/>
          <w:b/>
          <w:szCs w:val="20"/>
        </w:rPr>
        <w:t xml:space="preserve">né prac. doby věnované účasti </w:t>
      </w:r>
      <w:r w:rsidR="001E6D43">
        <w:rPr>
          <w:rFonts w:cs="Arial"/>
          <w:b/>
          <w:szCs w:val="20"/>
        </w:rPr>
        <w:t xml:space="preserve">v </w:t>
      </w:r>
      <w:r w:rsidR="00D3552F">
        <w:rPr>
          <w:rFonts w:cs="Arial"/>
          <w:b/>
          <w:szCs w:val="20"/>
        </w:rPr>
        <w:t xml:space="preserve">(jakýchkoliv) </w:t>
      </w:r>
      <w:r w:rsidR="00D3552F" w:rsidRPr="00D3552F">
        <w:rPr>
          <w:rFonts w:cs="Arial"/>
          <w:b/>
          <w:szCs w:val="20"/>
        </w:rPr>
        <w:t>kurzech/školeních</w:t>
      </w:r>
      <w:r w:rsidR="00882C57">
        <w:rPr>
          <w:rFonts w:cs="Arial"/>
          <w:b/>
          <w:szCs w:val="20"/>
        </w:rPr>
        <w:t xml:space="preserve">, </w:t>
      </w:r>
      <w:r w:rsidR="00D27347">
        <w:rPr>
          <w:rFonts w:cs="Arial"/>
          <w:b/>
          <w:szCs w:val="20"/>
        </w:rPr>
        <w:t>2010–2020</w:t>
      </w:r>
      <w:r w:rsidR="002879F5">
        <w:rPr>
          <w:rFonts w:cs="Arial"/>
          <w:b/>
          <w:szCs w:val="20"/>
        </w:rPr>
        <w:t xml:space="preserve"> </w:t>
      </w:r>
      <w:r w:rsidR="00276DD2" w:rsidRPr="00276DD2">
        <w:rPr>
          <w:rFonts w:cs="Arial"/>
          <w:szCs w:val="20"/>
        </w:rPr>
        <w:t>(</w:t>
      </w:r>
      <w:r w:rsidR="004347BB" w:rsidRPr="00276DD2">
        <w:rPr>
          <w:rFonts w:cs="Arial"/>
          <w:szCs w:val="20"/>
        </w:rPr>
        <w:t>v podnicí</w:t>
      </w:r>
      <w:r w:rsidR="00276DD2" w:rsidRPr="00276DD2">
        <w:rPr>
          <w:rFonts w:cs="Arial"/>
          <w:szCs w:val="20"/>
        </w:rPr>
        <w:t>ch zajišťujících kurzy/školení)</w:t>
      </w:r>
    </w:p>
    <w:p w14:paraId="050FDD3A" w14:textId="621E6E39" w:rsidR="004347BB" w:rsidRPr="00D3552F" w:rsidRDefault="005C07E2" w:rsidP="00D3552F">
      <w:pPr>
        <w:spacing w:after="120" w:line="240" w:lineRule="auto"/>
        <w:rPr>
          <w:rFonts w:cs="Arial"/>
          <w:b/>
          <w:szCs w:val="20"/>
        </w:rPr>
      </w:pPr>
      <w:r>
        <w:rPr>
          <w:noProof/>
        </w:rPr>
        <w:drawing>
          <wp:inline distT="0" distB="0" distL="0" distR="0" wp14:anchorId="589E3633" wp14:editId="60A2F38E">
            <wp:extent cx="6162675" cy="1457325"/>
            <wp:effectExtent l="0" t="0" r="9525" b="95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10F660" w14:textId="77777777" w:rsidR="004347BB" w:rsidRPr="009C4714" w:rsidRDefault="004347BB" w:rsidP="004347BB">
      <w:pPr>
        <w:spacing w:before="120" w:after="120"/>
        <w:jc w:val="right"/>
        <w:rPr>
          <w:szCs w:val="20"/>
        </w:rPr>
      </w:pPr>
      <w:r w:rsidRPr="003D1467">
        <w:rPr>
          <w:szCs w:val="20"/>
        </w:rPr>
        <w:t>Zdroj: ČSÚ</w:t>
      </w:r>
    </w:p>
    <w:p w14:paraId="1D560595" w14:textId="77777777" w:rsidR="004347BB" w:rsidRDefault="004347BB">
      <w:pPr>
        <w:spacing w:after="0" w:line="240" w:lineRule="auto"/>
        <w:rPr>
          <w:rFonts w:cs="Arial"/>
          <w:szCs w:val="20"/>
        </w:rPr>
      </w:pPr>
    </w:p>
    <w:p w14:paraId="70D7B5B4" w14:textId="77777777" w:rsidR="00D3552F" w:rsidRDefault="004347BB" w:rsidP="00B469F5">
      <w:pPr>
        <w:spacing w:after="0"/>
        <w:jc w:val="both"/>
        <w:rPr>
          <w:rFonts w:cs="Arial"/>
          <w:szCs w:val="20"/>
        </w:rPr>
      </w:pPr>
      <w:r>
        <w:rPr>
          <w:rFonts w:cs="Arial"/>
          <w:szCs w:val="20"/>
        </w:rPr>
        <w:lastRenderedPageBreak/>
        <w:t xml:space="preserve">Jak vidíme, mezi roky 2010 a 2015 došlo k nárůstu tohoto ukazatele, naopak mezi roky 2015 a 2020 k poklesu. To však může být dáno pandemickou situací v roce 2020, kdy mnohé podniky byly zavřeny </w:t>
      </w:r>
      <w:r w:rsidR="002879F5">
        <w:rPr>
          <w:rFonts w:cs="Arial"/>
          <w:szCs w:val="20"/>
        </w:rPr>
        <w:t>a jiné musely</w:t>
      </w:r>
      <w:r w:rsidR="00E33D31">
        <w:rPr>
          <w:rFonts w:cs="Arial"/>
          <w:szCs w:val="20"/>
        </w:rPr>
        <w:t xml:space="preserve"> vzdělávání omezit (viz kapitolu 4). </w:t>
      </w:r>
    </w:p>
    <w:p w14:paraId="602D4D38" w14:textId="41BD45E0" w:rsidR="00E33D31" w:rsidRDefault="00E33D31" w:rsidP="00B469F5">
      <w:pPr>
        <w:spacing w:after="0"/>
        <w:jc w:val="both"/>
        <w:rPr>
          <w:rFonts w:cs="Arial"/>
          <w:szCs w:val="20"/>
        </w:rPr>
      </w:pPr>
      <w:r>
        <w:rPr>
          <w:rFonts w:cs="Arial"/>
          <w:szCs w:val="20"/>
        </w:rPr>
        <w:t>V mezinárodním srovnání se přitom Česká republika umístila mezi země s podprůměrným počtem hodin v kurzech/školeních připadajících na 1 000 odpracovaných hodin v podnicích zajišťují</w:t>
      </w:r>
      <w:r w:rsidR="007E6C1D">
        <w:rPr>
          <w:rFonts w:cs="Arial"/>
          <w:szCs w:val="20"/>
        </w:rPr>
        <w:t>c</w:t>
      </w:r>
      <w:r w:rsidR="0047094E">
        <w:rPr>
          <w:rFonts w:cs="Arial"/>
          <w:szCs w:val="20"/>
        </w:rPr>
        <w:t>ích kurzy/školení</w:t>
      </w:r>
      <w:r w:rsidR="000F0ABB">
        <w:rPr>
          <w:rFonts w:cs="Arial"/>
          <w:szCs w:val="20"/>
        </w:rPr>
        <w:t xml:space="preserve"> (tj. 5,7)</w:t>
      </w:r>
      <w:r w:rsidR="0047094E">
        <w:rPr>
          <w:rFonts w:cs="Arial"/>
          <w:szCs w:val="20"/>
        </w:rPr>
        <w:t>, viz graf 2.13</w:t>
      </w:r>
      <w:r>
        <w:rPr>
          <w:rFonts w:cs="Arial"/>
          <w:szCs w:val="20"/>
        </w:rPr>
        <w:t>. Průměr za země Evropské unie byl 7,7 hodin, přičemž nejvyšší počet vykázaly Nizozemsko (11,8) a Irsko (11,4), nejmenší naopak Dánsko (2,5) a Španělsko (3).</w:t>
      </w:r>
      <w:r w:rsidR="007E6C1D">
        <w:rPr>
          <w:rFonts w:cs="Arial"/>
          <w:szCs w:val="20"/>
        </w:rPr>
        <w:t xml:space="preserve"> </w:t>
      </w:r>
    </w:p>
    <w:p w14:paraId="500E2058" w14:textId="77777777" w:rsidR="00E33D31" w:rsidRDefault="00E33D31" w:rsidP="00E33D31">
      <w:pPr>
        <w:spacing w:after="0" w:line="240" w:lineRule="auto"/>
        <w:jc w:val="both"/>
        <w:rPr>
          <w:rFonts w:cs="Arial"/>
          <w:b/>
          <w:szCs w:val="20"/>
        </w:rPr>
      </w:pPr>
    </w:p>
    <w:p w14:paraId="2BF579A2" w14:textId="34621852" w:rsidR="00E33D31" w:rsidRDefault="003B4074" w:rsidP="00E33D31">
      <w:pPr>
        <w:spacing w:after="0" w:line="240" w:lineRule="auto"/>
        <w:jc w:val="both"/>
        <w:rPr>
          <w:rFonts w:cs="Arial"/>
          <w:b/>
          <w:szCs w:val="20"/>
        </w:rPr>
      </w:pPr>
      <w:r>
        <w:rPr>
          <w:rFonts w:cs="Arial"/>
          <w:b/>
          <w:szCs w:val="20"/>
        </w:rPr>
        <w:t xml:space="preserve">Graf </w:t>
      </w:r>
      <w:r w:rsidR="00560FD8">
        <w:rPr>
          <w:rFonts w:cs="Arial"/>
          <w:b/>
          <w:szCs w:val="20"/>
        </w:rPr>
        <w:t>2.13</w:t>
      </w:r>
      <w:r w:rsidR="00E33D31" w:rsidRPr="004347BB">
        <w:rPr>
          <w:rFonts w:cs="Arial"/>
          <w:b/>
          <w:szCs w:val="20"/>
        </w:rPr>
        <w:t xml:space="preserve"> </w:t>
      </w:r>
      <w:r w:rsidR="00276DD2" w:rsidRPr="00276DD2">
        <w:rPr>
          <w:rFonts w:cs="Arial"/>
          <w:b/>
          <w:szCs w:val="20"/>
        </w:rPr>
        <w:t>Počet hodin v kurzech</w:t>
      </w:r>
      <w:r w:rsidR="00276DD2">
        <w:rPr>
          <w:rFonts w:cs="Arial"/>
          <w:b/>
          <w:szCs w:val="20"/>
        </w:rPr>
        <w:t>/školeních na 1 000 hod. plac. prac.</w:t>
      </w:r>
      <w:r w:rsidR="00276DD2" w:rsidRPr="00276DD2">
        <w:rPr>
          <w:rFonts w:cs="Arial"/>
          <w:b/>
          <w:szCs w:val="20"/>
        </w:rPr>
        <w:t xml:space="preserve"> doby</w:t>
      </w:r>
      <w:r w:rsidR="00276DD2">
        <w:rPr>
          <w:rFonts w:cs="Arial"/>
          <w:b/>
          <w:szCs w:val="20"/>
        </w:rPr>
        <w:t xml:space="preserve"> </w:t>
      </w:r>
      <w:r w:rsidRPr="003B4074">
        <w:rPr>
          <w:rFonts w:cs="Arial"/>
          <w:b/>
          <w:szCs w:val="20"/>
        </w:rPr>
        <w:t>–</w:t>
      </w:r>
      <w:r w:rsidR="00E33D31">
        <w:rPr>
          <w:rFonts w:cs="Arial"/>
          <w:b/>
          <w:szCs w:val="20"/>
        </w:rPr>
        <w:t xml:space="preserve"> mezinárodní srovnání</w:t>
      </w:r>
      <w:r w:rsidR="00882C57">
        <w:rPr>
          <w:rFonts w:cs="Arial"/>
          <w:b/>
          <w:szCs w:val="20"/>
        </w:rPr>
        <w:t>, 2020</w:t>
      </w:r>
    </w:p>
    <w:p w14:paraId="467F7D5D" w14:textId="49F2286F" w:rsidR="00E33D31" w:rsidRDefault="00882C57" w:rsidP="00536E61">
      <w:pPr>
        <w:spacing w:after="120" w:line="240" w:lineRule="auto"/>
        <w:rPr>
          <w:rFonts w:cs="Arial"/>
          <w:szCs w:val="20"/>
        </w:rPr>
      </w:pPr>
      <w:r w:rsidRPr="00882C57">
        <w:rPr>
          <w:rFonts w:cs="Arial"/>
          <w:szCs w:val="20"/>
        </w:rPr>
        <w:t>(v podnicích zajišťujících kurzy/školení)</w:t>
      </w:r>
    </w:p>
    <w:p w14:paraId="424CED9B" w14:textId="36876398" w:rsidR="00E33D31" w:rsidRDefault="00586CA0">
      <w:pPr>
        <w:spacing w:after="0" w:line="240" w:lineRule="auto"/>
        <w:rPr>
          <w:rFonts w:cs="Arial"/>
          <w:szCs w:val="20"/>
        </w:rPr>
      </w:pPr>
      <w:r>
        <w:rPr>
          <w:noProof/>
        </w:rPr>
        <w:drawing>
          <wp:inline distT="0" distB="0" distL="0" distR="0" wp14:anchorId="33048923" wp14:editId="3D287973">
            <wp:extent cx="6153150" cy="5705475"/>
            <wp:effectExtent l="0" t="0" r="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3F39C5F" w14:textId="770F98A9" w:rsidR="00E33D31" w:rsidRPr="009C4714" w:rsidRDefault="00E33D31" w:rsidP="00E33D31">
      <w:pPr>
        <w:spacing w:before="120" w:after="120"/>
        <w:jc w:val="right"/>
        <w:rPr>
          <w:szCs w:val="20"/>
        </w:rPr>
      </w:pPr>
      <w:r w:rsidRPr="003D1467">
        <w:rPr>
          <w:szCs w:val="20"/>
        </w:rPr>
        <w:t xml:space="preserve">Zdroj: </w:t>
      </w:r>
      <w:r w:rsidR="008B1D5C">
        <w:rPr>
          <w:szCs w:val="20"/>
        </w:rPr>
        <w:t>Eurostat</w:t>
      </w:r>
    </w:p>
    <w:p w14:paraId="20E75C8C" w14:textId="01F937A9" w:rsidR="007E6C1D" w:rsidRDefault="002B73FD" w:rsidP="007E6C1D">
      <w:pPr>
        <w:spacing w:after="0"/>
        <w:jc w:val="both"/>
        <w:rPr>
          <w:rFonts w:cs="Arial"/>
          <w:szCs w:val="20"/>
        </w:rPr>
      </w:pPr>
      <w:r>
        <w:rPr>
          <w:rFonts w:cs="Arial"/>
          <w:szCs w:val="20"/>
        </w:rPr>
        <w:t>Při srovnání s grafy 2.6 a 2.10</w:t>
      </w:r>
      <w:r w:rsidR="007E6C1D">
        <w:rPr>
          <w:rFonts w:cs="Arial"/>
          <w:szCs w:val="20"/>
        </w:rPr>
        <w:t xml:space="preserve"> je možné konstatovat, že podniky zajišťující kurzy/školení v České republice věnovaly tomuto vzdělávání </w:t>
      </w:r>
      <w:r w:rsidR="00CD1560">
        <w:rPr>
          <w:rFonts w:cs="Arial"/>
          <w:szCs w:val="20"/>
        </w:rPr>
        <w:t xml:space="preserve">ve srovnání s jinými zeměmi Evropské unie </w:t>
      </w:r>
      <w:r w:rsidR="007E6C1D">
        <w:rPr>
          <w:rFonts w:cs="Arial"/>
          <w:szCs w:val="20"/>
        </w:rPr>
        <w:t xml:space="preserve">podprůměrný podíl </w:t>
      </w:r>
      <w:r w:rsidR="002879F5">
        <w:rPr>
          <w:rFonts w:cs="Arial"/>
          <w:szCs w:val="20"/>
        </w:rPr>
        <w:t xml:space="preserve">placené </w:t>
      </w:r>
      <w:r w:rsidR="007E6C1D">
        <w:rPr>
          <w:rFonts w:cs="Arial"/>
          <w:szCs w:val="20"/>
        </w:rPr>
        <w:t xml:space="preserve">pracovní doby zaměstnanců, avšak vykázaly účast nejvyššího podílu zaměstnanců. Na </w:t>
      </w:r>
      <w:r w:rsidR="007E6C1D" w:rsidRPr="007E6C1D">
        <w:rPr>
          <w:rFonts w:cs="Arial"/>
          <w:szCs w:val="20"/>
        </w:rPr>
        <w:t>jednoho účastníka kurzů/školení</w:t>
      </w:r>
      <w:r w:rsidR="007E6C1D">
        <w:rPr>
          <w:rFonts w:cs="Arial"/>
          <w:szCs w:val="20"/>
        </w:rPr>
        <w:t xml:space="preserve"> </w:t>
      </w:r>
      <w:r w:rsidR="00A63BBF">
        <w:rPr>
          <w:rFonts w:cs="Arial"/>
          <w:szCs w:val="20"/>
        </w:rPr>
        <w:t xml:space="preserve">pak </w:t>
      </w:r>
      <w:r w:rsidR="007E6C1D">
        <w:rPr>
          <w:rFonts w:cs="Arial"/>
          <w:szCs w:val="20"/>
        </w:rPr>
        <w:t>připadal druhý nejnižší počet hodin placené pracovní doby strávený tímto vzděláváním. To může být dáno tím, že pro povinné vzdělávání (BOZP a PO) je zpravidla zapotř</w:t>
      </w:r>
      <w:r w:rsidR="00CD1560">
        <w:rPr>
          <w:rFonts w:cs="Arial"/>
          <w:szCs w:val="20"/>
        </w:rPr>
        <w:t>ebí méně času než pro nepovinné a odlišením těchto dvou druhů vzdělávání v české verzi dotazníku (viz komentář u grafu 2</w:t>
      </w:r>
      <w:r w:rsidR="00AF03D1">
        <w:rPr>
          <w:rFonts w:cs="Arial"/>
          <w:szCs w:val="20"/>
        </w:rPr>
        <w:t>.6</w:t>
      </w:r>
      <w:r w:rsidR="00CD1560">
        <w:rPr>
          <w:rFonts w:cs="Arial"/>
          <w:szCs w:val="20"/>
        </w:rPr>
        <w:t>).</w:t>
      </w:r>
    </w:p>
    <w:p w14:paraId="61F04663" w14:textId="1857D15E" w:rsidR="001C34EE" w:rsidRDefault="00EA3FCB" w:rsidP="008B1D5C">
      <w:pPr>
        <w:spacing w:after="0" w:line="240" w:lineRule="auto"/>
        <w:rPr>
          <w:rFonts w:cs="Arial"/>
          <w:szCs w:val="20"/>
        </w:rPr>
      </w:pPr>
      <w:r>
        <w:rPr>
          <w:rFonts w:cs="Arial"/>
          <w:szCs w:val="20"/>
        </w:rPr>
        <w:br w:type="page"/>
      </w:r>
    </w:p>
    <w:p w14:paraId="6340B224" w14:textId="2A84A620" w:rsidR="001B08D3" w:rsidRPr="00CF4241" w:rsidRDefault="001B08D3" w:rsidP="001B08D3">
      <w:pPr>
        <w:pStyle w:val="Nadpis1"/>
        <w:rPr>
          <w:b w:val="0"/>
          <w:color w:val="auto"/>
        </w:rPr>
      </w:pPr>
      <w:bookmarkStart w:id="12" w:name="_Toc126664220"/>
      <w:r>
        <w:lastRenderedPageBreak/>
        <w:t>Kapitola 3</w:t>
      </w:r>
      <w:r w:rsidRPr="00665701">
        <w:t xml:space="preserve">: </w:t>
      </w:r>
      <w:r>
        <w:t>Hlavní tematická zaměření kurzů/školení</w:t>
      </w:r>
      <w:bookmarkEnd w:id="12"/>
    </w:p>
    <w:p w14:paraId="20232F60" w14:textId="1FDCA3F6" w:rsidR="003466E9" w:rsidRDefault="003466E9" w:rsidP="00011E21">
      <w:pPr>
        <w:spacing w:after="120"/>
        <w:jc w:val="both"/>
      </w:pPr>
      <w:r>
        <w:t>Tematická zaměření nepovinných kurzů/školení nabízen</w:t>
      </w:r>
      <w:r w:rsidR="00011E21">
        <w:t>á v dotazníku lze rozdělit na ta, která</w:t>
      </w:r>
      <w:r>
        <w:t xml:space="preserve"> se zabývají doved</w:t>
      </w:r>
      <w:r w:rsidR="00B80485">
        <w:t>nostmi „měkkými či jemnými“ a ta, která</w:t>
      </w:r>
      <w:r>
        <w:t xml:space="preserve"> nabízejí osvojení dovedností „tvrdých“. </w:t>
      </w:r>
      <w:r w:rsidRPr="005B36EE">
        <w:rPr>
          <w:bCs/>
        </w:rPr>
        <w:t>Měkké</w:t>
      </w:r>
      <w:r w:rsidRPr="005B36EE">
        <w:t xml:space="preserve"> nebo </w:t>
      </w:r>
      <w:r w:rsidRPr="005B36EE">
        <w:rPr>
          <w:bCs/>
        </w:rPr>
        <w:t xml:space="preserve">jemné </w:t>
      </w:r>
      <w:r w:rsidRPr="007A2B7C">
        <w:rPr>
          <w:bCs/>
        </w:rPr>
        <w:t>dovednosti</w:t>
      </w:r>
      <w:r w:rsidRPr="007A2B7C">
        <w:t xml:space="preserve">, </w:t>
      </w:r>
      <w:r w:rsidRPr="007A2B7C">
        <w:rPr>
          <w:rFonts w:eastAsia="MS Gothic"/>
        </w:rPr>
        <w:t>anglicky</w:t>
      </w:r>
      <w:r w:rsidRPr="007A2B7C">
        <w:t xml:space="preserve"> „</w:t>
      </w:r>
      <w:r w:rsidRPr="007A2B7C">
        <w:rPr>
          <w:iCs/>
        </w:rPr>
        <w:t>soft skills“</w:t>
      </w:r>
      <w:r w:rsidRPr="007A2B7C">
        <w:t xml:space="preserve">, jsou kompetence v oblasti </w:t>
      </w:r>
      <w:r w:rsidRPr="007A2B7C">
        <w:rPr>
          <w:rFonts w:eastAsia="MS Gothic"/>
        </w:rPr>
        <w:t>chování</w:t>
      </w:r>
      <w:r w:rsidRPr="007A2B7C">
        <w:t xml:space="preserve"> a mezilidských vztahů</w:t>
      </w:r>
      <w:r>
        <w:t>, jsou i bez návštěvy kurzů či školení rozvíjené v každodenním životě</w:t>
      </w:r>
      <w:r w:rsidR="00011E21">
        <w:t xml:space="preserve"> a </w:t>
      </w:r>
      <w:r w:rsidRPr="007A2B7C">
        <w:t>předpokládají určitou sociální/</w:t>
      </w:r>
      <w:r w:rsidRPr="007A2B7C">
        <w:rPr>
          <w:rFonts w:eastAsia="MS Gothic"/>
        </w:rPr>
        <w:t>emoční inteligenci</w:t>
      </w:r>
      <w:r w:rsidRPr="007A2B7C">
        <w:t xml:space="preserve">. Protipól jemných dovedností tvoří tzv. tvrdé dovednosti, </w:t>
      </w:r>
      <w:r w:rsidRPr="007A2B7C">
        <w:rPr>
          <w:rFonts w:eastAsia="MS Gothic"/>
        </w:rPr>
        <w:t>anglicky</w:t>
      </w:r>
      <w:r w:rsidRPr="007A2B7C">
        <w:t xml:space="preserve"> „</w:t>
      </w:r>
      <w:r w:rsidRPr="007A2B7C">
        <w:rPr>
          <w:iCs/>
        </w:rPr>
        <w:t>hard skills</w:t>
      </w:r>
      <w:r w:rsidRPr="007A2B7C">
        <w:t>“</w:t>
      </w:r>
      <w:r>
        <w:t xml:space="preserve">, kterých člověk nabývá, když se naučí např. cizí řeč, řídit auto či si osvojí zásobu vědomostí a dovedností z jiného potřebného oboru. </w:t>
      </w:r>
    </w:p>
    <w:p w14:paraId="2607524B" w14:textId="59D9B8C3" w:rsidR="002231CC" w:rsidRDefault="00B80485" w:rsidP="002231CC">
      <w:pPr>
        <w:pStyle w:val="Nadpis2"/>
      </w:pPr>
      <w:bookmarkStart w:id="13" w:name="_Toc126664221"/>
      <w:r>
        <w:t>Hlavní</w:t>
      </w:r>
      <w:r w:rsidR="002231CC">
        <w:t xml:space="preserve"> zjištění</w:t>
      </w:r>
      <w:bookmarkEnd w:id="13"/>
    </w:p>
    <w:p w14:paraId="65517F23" w14:textId="705F8B84"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sz w:val="20"/>
          <w:szCs w:val="20"/>
        </w:rPr>
        <w:t xml:space="preserve">Ve více než polovině podniků byly </w:t>
      </w:r>
      <w:r w:rsidRPr="00887574">
        <w:rPr>
          <w:rFonts w:ascii="Arial" w:hAnsi="Arial" w:cs="Arial"/>
          <w:b/>
          <w:sz w:val="20"/>
          <w:szCs w:val="20"/>
        </w:rPr>
        <w:t>stěžejním tématem nepovinných kurzů/školení</w:t>
      </w:r>
      <w:r w:rsidRPr="00887574">
        <w:rPr>
          <w:rFonts w:ascii="Arial" w:hAnsi="Arial" w:cs="Arial"/>
          <w:sz w:val="20"/>
          <w:szCs w:val="20"/>
        </w:rPr>
        <w:t xml:space="preserve"> </w:t>
      </w:r>
      <w:r w:rsidRPr="00887574">
        <w:rPr>
          <w:rFonts w:ascii="Arial" w:hAnsi="Arial" w:cs="Arial"/>
          <w:b/>
          <w:i/>
          <w:sz w:val="20"/>
          <w:szCs w:val="20"/>
        </w:rPr>
        <w:t>specifické dovednosti související s výkonem konkrétního povolání</w:t>
      </w:r>
      <w:r w:rsidRPr="00887574">
        <w:rPr>
          <w:rFonts w:ascii="Arial" w:hAnsi="Arial" w:cs="Arial"/>
          <w:b/>
          <w:sz w:val="20"/>
          <w:szCs w:val="20"/>
        </w:rPr>
        <w:t xml:space="preserve"> v podniku, a sice </w:t>
      </w:r>
      <w:r w:rsidRPr="00887574">
        <w:rPr>
          <w:rFonts w:ascii="Arial" w:hAnsi="Arial" w:cs="Arial"/>
          <w:b/>
          <w:i/>
          <w:sz w:val="20"/>
          <w:szCs w:val="20"/>
        </w:rPr>
        <w:t>jiné než technické a inženýrské</w:t>
      </w:r>
      <w:r w:rsidR="0083216D">
        <w:rPr>
          <w:rFonts w:ascii="Arial" w:hAnsi="Arial" w:cs="Arial"/>
          <w:sz w:val="20"/>
          <w:szCs w:val="20"/>
        </w:rPr>
        <w:t xml:space="preserve"> (55</w:t>
      </w:r>
      <w:r w:rsidRPr="00887574">
        <w:rPr>
          <w:rFonts w:ascii="Arial" w:hAnsi="Arial" w:cs="Arial"/>
          <w:sz w:val="20"/>
          <w:szCs w:val="20"/>
        </w:rPr>
        <w:t xml:space="preserve"> %). Dále byly těmi nejčastěji zmiňovanými jako </w:t>
      </w:r>
      <w:r w:rsidRPr="00887574">
        <w:rPr>
          <w:rFonts w:ascii="Arial" w:hAnsi="Arial" w:cs="Arial"/>
          <w:b/>
          <w:i/>
          <w:sz w:val="20"/>
          <w:szCs w:val="20"/>
        </w:rPr>
        <w:t>specifické technické a inženýrské dovednosti</w:t>
      </w:r>
      <w:r w:rsidRPr="00887574">
        <w:rPr>
          <w:rFonts w:ascii="Arial" w:hAnsi="Arial" w:cs="Arial"/>
          <w:sz w:val="20"/>
          <w:szCs w:val="20"/>
        </w:rPr>
        <w:t xml:space="preserve"> související s výkonem konkrétního</w:t>
      </w:r>
      <w:r w:rsidR="0083216D">
        <w:rPr>
          <w:rFonts w:ascii="Arial" w:hAnsi="Arial" w:cs="Arial"/>
          <w:sz w:val="20"/>
          <w:szCs w:val="20"/>
        </w:rPr>
        <w:t xml:space="preserve"> povolání v podniku (uvedlo 27</w:t>
      </w:r>
      <w:r w:rsidRPr="00887574">
        <w:rPr>
          <w:rFonts w:ascii="Arial" w:hAnsi="Arial" w:cs="Arial"/>
          <w:sz w:val="20"/>
          <w:szCs w:val="20"/>
        </w:rPr>
        <w:t xml:space="preserve"> % podniků) a </w:t>
      </w:r>
      <w:r w:rsidRPr="00887574">
        <w:rPr>
          <w:rFonts w:ascii="Arial" w:hAnsi="Arial" w:cs="Arial"/>
          <w:b/>
          <w:i/>
          <w:sz w:val="20"/>
          <w:szCs w:val="20"/>
        </w:rPr>
        <w:t>znalost cizích jazyků</w:t>
      </w:r>
      <w:r w:rsidR="0083216D">
        <w:rPr>
          <w:rFonts w:ascii="Arial" w:hAnsi="Arial" w:cs="Arial"/>
          <w:sz w:val="20"/>
          <w:szCs w:val="20"/>
        </w:rPr>
        <w:t xml:space="preserve"> (25</w:t>
      </w:r>
      <w:r w:rsidRPr="00887574">
        <w:rPr>
          <w:rFonts w:ascii="Arial" w:hAnsi="Arial" w:cs="Arial"/>
          <w:sz w:val="20"/>
          <w:szCs w:val="20"/>
        </w:rPr>
        <w:t> %). Ostatní dovednosti byly stěžejní náplní kurzů jen pro méně než 15 % podniků.</w:t>
      </w:r>
    </w:p>
    <w:p w14:paraId="02874AC5" w14:textId="5885A477"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b/>
          <w:i/>
          <w:sz w:val="20"/>
          <w:szCs w:val="20"/>
        </w:rPr>
        <w:t>Nepovinné kurzy/školení zaměřené na „soft skills“</w:t>
      </w:r>
      <w:r w:rsidRPr="00887574">
        <w:rPr>
          <w:rFonts w:ascii="Arial" w:hAnsi="Arial" w:cs="Arial"/>
          <w:sz w:val="20"/>
          <w:szCs w:val="20"/>
        </w:rPr>
        <w:t xml:space="preserve"> sledované v šetření CVTS navštěvovali zejména zaměstnanci takových podniků zajišťujících nepovinné kurzy školení, které jsou ve větší míře orientovány na styk se zákazníkem, tedy z oblasti </w:t>
      </w:r>
      <w:r w:rsidRPr="00887574">
        <w:rPr>
          <w:rFonts w:ascii="Arial" w:hAnsi="Arial" w:cs="Arial"/>
          <w:i/>
          <w:sz w:val="20"/>
          <w:szCs w:val="20"/>
        </w:rPr>
        <w:t>ubytování, stravování a pohostinství</w:t>
      </w:r>
      <w:r w:rsidRPr="00887574">
        <w:rPr>
          <w:rFonts w:ascii="Arial" w:hAnsi="Arial" w:cs="Arial"/>
          <w:sz w:val="20"/>
          <w:szCs w:val="20"/>
        </w:rPr>
        <w:t xml:space="preserve">, dále </w:t>
      </w:r>
      <w:r w:rsidRPr="00887574">
        <w:rPr>
          <w:rFonts w:ascii="Arial" w:hAnsi="Arial" w:cs="Arial"/>
          <w:i/>
          <w:sz w:val="20"/>
          <w:szCs w:val="20"/>
        </w:rPr>
        <w:t>peněžnictví a pojišťovnictví</w:t>
      </w:r>
      <w:r w:rsidRPr="00887574">
        <w:rPr>
          <w:rFonts w:ascii="Arial" w:hAnsi="Arial" w:cs="Arial"/>
          <w:sz w:val="20"/>
          <w:szCs w:val="20"/>
        </w:rPr>
        <w:t xml:space="preserve"> a také </w:t>
      </w:r>
      <w:r w:rsidRPr="00887574">
        <w:rPr>
          <w:rFonts w:ascii="Arial" w:hAnsi="Arial" w:cs="Arial"/>
          <w:i/>
          <w:sz w:val="20"/>
          <w:szCs w:val="20"/>
        </w:rPr>
        <w:t>velkoobchodu a maloobchodu, opravy motorových vozidel</w:t>
      </w:r>
      <w:r w:rsidRPr="00887574">
        <w:rPr>
          <w:rFonts w:ascii="Arial" w:hAnsi="Arial" w:cs="Arial"/>
          <w:sz w:val="20"/>
          <w:szCs w:val="20"/>
        </w:rPr>
        <w:t xml:space="preserve">. Pro </w:t>
      </w:r>
      <w:r w:rsidRPr="00887574">
        <w:rPr>
          <w:rFonts w:ascii="Arial" w:hAnsi="Arial" w:cs="Arial"/>
          <w:b/>
          <w:i/>
          <w:sz w:val="20"/>
          <w:szCs w:val="20"/>
        </w:rPr>
        <w:t>manažerské dovednosti</w:t>
      </w:r>
      <w:r w:rsidRPr="00887574">
        <w:rPr>
          <w:rFonts w:ascii="Arial" w:hAnsi="Arial" w:cs="Arial"/>
          <w:sz w:val="20"/>
          <w:szCs w:val="20"/>
        </w:rPr>
        <w:t xml:space="preserve"> a </w:t>
      </w:r>
      <w:r w:rsidRPr="00887574">
        <w:rPr>
          <w:rFonts w:ascii="Arial" w:hAnsi="Arial" w:cs="Arial"/>
          <w:b/>
          <w:i/>
          <w:sz w:val="20"/>
          <w:szCs w:val="20"/>
        </w:rPr>
        <w:t>komunikační dovednosti</w:t>
      </w:r>
      <w:r w:rsidR="008B1D5C">
        <w:rPr>
          <w:rFonts w:ascii="Arial" w:hAnsi="Arial" w:cs="Arial"/>
          <w:sz w:val="20"/>
          <w:szCs w:val="20"/>
        </w:rPr>
        <w:t xml:space="preserve"> také </w:t>
      </w:r>
      <w:r w:rsidRPr="00887574">
        <w:rPr>
          <w:rFonts w:ascii="Arial" w:hAnsi="Arial" w:cs="Arial"/>
          <w:sz w:val="20"/>
          <w:szCs w:val="20"/>
        </w:rPr>
        <w:t xml:space="preserve">platí, že čím více bylo zaměstnanců v podniku, tím spíše se objevovaly mezi stěžejními tématy nepovinných kurzů/školení. </w:t>
      </w:r>
    </w:p>
    <w:p w14:paraId="1B4C0E02" w14:textId="22535BB0"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sz w:val="20"/>
          <w:szCs w:val="20"/>
        </w:rPr>
        <w:t xml:space="preserve">Pokud se jedná o </w:t>
      </w:r>
      <w:r w:rsidR="000D67F4">
        <w:rPr>
          <w:rFonts w:ascii="Arial" w:hAnsi="Arial" w:cs="Arial"/>
          <w:sz w:val="20"/>
          <w:szCs w:val="20"/>
        </w:rPr>
        <w:t>„</w:t>
      </w:r>
      <w:r w:rsidRPr="00887574">
        <w:rPr>
          <w:rFonts w:ascii="Arial" w:hAnsi="Arial" w:cs="Arial"/>
          <w:sz w:val="20"/>
          <w:szCs w:val="20"/>
        </w:rPr>
        <w:t>hard skills</w:t>
      </w:r>
      <w:r w:rsidR="000D67F4">
        <w:rPr>
          <w:rFonts w:ascii="Arial" w:hAnsi="Arial" w:cs="Arial"/>
          <w:sz w:val="20"/>
          <w:szCs w:val="20"/>
        </w:rPr>
        <w:t>“</w:t>
      </w:r>
      <w:r w:rsidRPr="00887574">
        <w:rPr>
          <w:rFonts w:ascii="Arial" w:hAnsi="Arial" w:cs="Arial"/>
          <w:sz w:val="20"/>
          <w:szCs w:val="20"/>
        </w:rPr>
        <w:t xml:space="preserve">, pak se žebříček návštěvnosti v podnicích dle hlavní ekonomické činnosti liší od žebříčku návštěvnosti </w:t>
      </w:r>
      <w:r w:rsidR="00C41B26">
        <w:rPr>
          <w:rFonts w:ascii="Arial" w:hAnsi="Arial" w:cs="Arial"/>
          <w:sz w:val="20"/>
          <w:szCs w:val="20"/>
        </w:rPr>
        <w:t>„</w:t>
      </w:r>
      <w:r w:rsidRPr="00887574">
        <w:rPr>
          <w:rFonts w:ascii="Arial" w:hAnsi="Arial" w:cs="Arial"/>
          <w:sz w:val="20"/>
          <w:szCs w:val="20"/>
        </w:rPr>
        <w:t>soft skills</w:t>
      </w:r>
      <w:r w:rsidR="00C41B26">
        <w:rPr>
          <w:rFonts w:ascii="Arial" w:hAnsi="Arial" w:cs="Arial"/>
          <w:sz w:val="20"/>
          <w:szCs w:val="20"/>
        </w:rPr>
        <w:t>“</w:t>
      </w:r>
      <w:r w:rsidRPr="00887574">
        <w:rPr>
          <w:rFonts w:ascii="Arial" w:hAnsi="Arial" w:cs="Arial"/>
          <w:sz w:val="20"/>
          <w:szCs w:val="20"/>
        </w:rPr>
        <w:t xml:space="preserve">. Nejvýrazněji je to vidět na podnicích s hlavní ekonomickou činností v oblasti </w:t>
      </w:r>
      <w:r w:rsidRPr="00887574">
        <w:rPr>
          <w:rFonts w:ascii="Arial" w:hAnsi="Arial" w:cs="Arial"/>
          <w:i/>
          <w:sz w:val="20"/>
          <w:szCs w:val="20"/>
        </w:rPr>
        <w:t>ubytování, stravování a pohostinství</w:t>
      </w:r>
      <w:r w:rsidRPr="00887574">
        <w:rPr>
          <w:rFonts w:ascii="Arial" w:hAnsi="Arial" w:cs="Arial"/>
          <w:sz w:val="20"/>
          <w:szCs w:val="20"/>
        </w:rPr>
        <w:t>, které z hlediska hodinové dotace nejvíc</w:t>
      </w:r>
      <w:r w:rsidR="008B1D5C">
        <w:rPr>
          <w:rFonts w:ascii="Arial" w:hAnsi="Arial" w:cs="Arial"/>
          <w:sz w:val="20"/>
          <w:szCs w:val="20"/>
        </w:rPr>
        <w:t>e upřednostňovaly „soft skills“</w:t>
      </w:r>
      <w:r w:rsidRPr="00887574">
        <w:rPr>
          <w:rFonts w:ascii="Arial" w:hAnsi="Arial" w:cs="Arial"/>
          <w:sz w:val="20"/>
          <w:szCs w:val="20"/>
        </w:rPr>
        <w:t xml:space="preserve"> a naopak nejméně „hard skills“.</w:t>
      </w:r>
    </w:p>
    <w:p w14:paraId="4FC21D2C" w14:textId="77777777"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b/>
          <w:sz w:val="20"/>
          <w:szCs w:val="20"/>
        </w:rPr>
        <w:t>Čím více zaměstnanců</w:t>
      </w:r>
      <w:r w:rsidRPr="00887574">
        <w:rPr>
          <w:rFonts w:ascii="Arial" w:hAnsi="Arial" w:cs="Arial"/>
          <w:sz w:val="20"/>
          <w:szCs w:val="20"/>
        </w:rPr>
        <w:t xml:space="preserve"> podniky zajišťující nepovinné kurzy/školení měly, tím se častěji mezi nimi objevovala odpověď, že hlavní náplní tohoto vzdělávání byly </w:t>
      </w:r>
      <w:r w:rsidRPr="00887574">
        <w:rPr>
          <w:rFonts w:ascii="Arial" w:hAnsi="Arial" w:cs="Arial"/>
          <w:b/>
          <w:i/>
          <w:sz w:val="20"/>
          <w:szCs w:val="20"/>
        </w:rPr>
        <w:t>specifické technické a inženýrské dovednosti</w:t>
      </w:r>
      <w:r w:rsidRPr="00887574">
        <w:rPr>
          <w:rFonts w:ascii="Arial" w:hAnsi="Arial" w:cs="Arial"/>
          <w:sz w:val="20"/>
          <w:szCs w:val="20"/>
        </w:rPr>
        <w:t xml:space="preserve"> související s výkonem konkrétního povolání v podniku, </w:t>
      </w:r>
      <w:r w:rsidRPr="00887574">
        <w:rPr>
          <w:rFonts w:ascii="Arial" w:hAnsi="Arial" w:cs="Arial"/>
          <w:b/>
          <w:i/>
          <w:sz w:val="20"/>
          <w:szCs w:val="20"/>
        </w:rPr>
        <w:t>znalost cizích jazyků</w:t>
      </w:r>
      <w:r w:rsidRPr="00887574">
        <w:rPr>
          <w:rFonts w:ascii="Arial" w:hAnsi="Arial" w:cs="Arial"/>
          <w:sz w:val="20"/>
          <w:szCs w:val="20"/>
        </w:rPr>
        <w:t xml:space="preserve"> a také </w:t>
      </w:r>
      <w:r w:rsidRPr="00887574">
        <w:rPr>
          <w:rFonts w:ascii="Arial" w:hAnsi="Arial" w:cs="Arial"/>
          <w:b/>
          <w:i/>
          <w:sz w:val="20"/>
          <w:szCs w:val="20"/>
        </w:rPr>
        <w:t xml:space="preserve">běžné užívání informačních technologií. </w:t>
      </w:r>
      <w:r w:rsidRPr="008B1D5C">
        <w:rPr>
          <w:rFonts w:ascii="Arial" w:hAnsi="Arial" w:cs="Arial"/>
          <w:sz w:val="20"/>
          <w:szCs w:val="20"/>
        </w:rPr>
        <w:t>Naopak,</w:t>
      </w:r>
      <w:r w:rsidRPr="00887574">
        <w:rPr>
          <w:rFonts w:ascii="Arial" w:hAnsi="Arial" w:cs="Arial"/>
          <w:b/>
          <w:sz w:val="20"/>
          <w:szCs w:val="20"/>
        </w:rPr>
        <w:t xml:space="preserve"> podniky s menším počtem zaměstnanců</w:t>
      </w:r>
      <w:r w:rsidRPr="00887574">
        <w:rPr>
          <w:rFonts w:ascii="Arial" w:hAnsi="Arial" w:cs="Arial"/>
          <w:sz w:val="20"/>
          <w:szCs w:val="20"/>
        </w:rPr>
        <w:t xml:space="preserve"> více než velké upřednostňovaly jiné </w:t>
      </w:r>
      <w:r w:rsidRPr="00887574">
        <w:rPr>
          <w:rFonts w:ascii="Arial" w:hAnsi="Arial" w:cs="Arial"/>
          <w:b/>
          <w:i/>
          <w:sz w:val="20"/>
          <w:szCs w:val="20"/>
        </w:rPr>
        <w:t xml:space="preserve">specifické dovednosti </w:t>
      </w:r>
      <w:r w:rsidRPr="00887574">
        <w:rPr>
          <w:rFonts w:ascii="Arial" w:hAnsi="Arial" w:cs="Arial"/>
          <w:sz w:val="20"/>
          <w:szCs w:val="20"/>
        </w:rPr>
        <w:t xml:space="preserve">související s výkonem konkrétního povolání v podniku, než jsou technické a inženýrské a také </w:t>
      </w:r>
      <w:r w:rsidRPr="00887574">
        <w:rPr>
          <w:rFonts w:ascii="Arial" w:hAnsi="Arial" w:cs="Arial"/>
          <w:b/>
          <w:i/>
          <w:sz w:val="20"/>
          <w:szCs w:val="20"/>
        </w:rPr>
        <w:t>vedení administrativy</w:t>
      </w:r>
      <w:r w:rsidRPr="00887574">
        <w:rPr>
          <w:rFonts w:ascii="Arial" w:hAnsi="Arial" w:cs="Arial"/>
          <w:sz w:val="20"/>
          <w:szCs w:val="20"/>
        </w:rPr>
        <w:t>.</w:t>
      </w:r>
    </w:p>
    <w:p w14:paraId="64E60589" w14:textId="1443AEC1"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sz w:val="20"/>
          <w:szCs w:val="20"/>
        </w:rPr>
        <w:t xml:space="preserve">Jako </w:t>
      </w:r>
      <w:r w:rsidRPr="00887574">
        <w:rPr>
          <w:rFonts w:ascii="Arial" w:hAnsi="Arial" w:cs="Arial"/>
          <w:b/>
          <w:sz w:val="20"/>
          <w:szCs w:val="20"/>
        </w:rPr>
        <w:t>klíčové dovednosti zaměstnanců</w:t>
      </w:r>
      <w:r w:rsidRPr="00887574">
        <w:rPr>
          <w:rFonts w:ascii="Arial" w:hAnsi="Arial" w:cs="Arial"/>
          <w:sz w:val="20"/>
          <w:szCs w:val="20"/>
        </w:rPr>
        <w:t xml:space="preserve"> potřebné pro</w:t>
      </w:r>
      <w:r w:rsidR="008B1D5C">
        <w:rPr>
          <w:rFonts w:ascii="Arial" w:hAnsi="Arial" w:cs="Arial"/>
          <w:sz w:val="20"/>
          <w:szCs w:val="20"/>
        </w:rPr>
        <w:t xml:space="preserve"> rozvoj v nejbližších letech označily </w:t>
      </w:r>
      <w:r w:rsidRPr="00887574">
        <w:rPr>
          <w:rFonts w:ascii="Arial" w:hAnsi="Arial" w:cs="Arial"/>
          <w:sz w:val="20"/>
          <w:szCs w:val="20"/>
        </w:rPr>
        <w:t xml:space="preserve">dvě pětiny podniků </w:t>
      </w:r>
      <w:r w:rsidRPr="00887574">
        <w:rPr>
          <w:rFonts w:ascii="Arial" w:hAnsi="Arial" w:cs="Arial"/>
          <w:b/>
          <w:i/>
          <w:sz w:val="20"/>
          <w:szCs w:val="20"/>
        </w:rPr>
        <w:t>schopnost týmové práce</w:t>
      </w:r>
      <w:r w:rsidR="0083216D">
        <w:rPr>
          <w:rFonts w:ascii="Arial" w:hAnsi="Arial" w:cs="Arial"/>
          <w:sz w:val="20"/>
          <w:szCs w:val="20"/>
        </w:rPr>
        <w:t xml:space="preserve"> (40</w:t>
      </w:r>
      <w:r w:rsidRPr="00887574">
        <w:rPr>
          <w:rFonts w:ascii="Arial" w:hAnsi="Arial" w:cs="Arial"/>
          <w:sz w:val="20"/>
          <w:szCs w:val="20"/>
        </w:rPr>
        <w:t xml:space="preserve"> %) a další více než třetina </w:t>
      </w:r>
      <w:r w:rsidRPr="00887574">
        <w:rPr>
          <w:rFonts w:ascii="Arial" w:hAnsi="Arial" w:cs="Arial"/>
          <w:b/>
          <w:i/>
          <w:sz w:val="20"/>
          <w:szCs w:val="20"/>
        </w:rPr>
        <w:t>jednání se zákazníky</w:t>
      </w:r>
      <w:r w:rsidR="0083216D">
        <w:rPr>
          <w:rFonts w:ascii="Arial" w:hAnsi="Arial" w:cs="Arial"/>
          <w:sz w:val="20"/>
          <w:szCs w:val="20"/>
        </w:rPr>
        <w:t xml:space="preserve"> (35</w:t>
      </w:r>
      <w:r w:rsidRPr="00887574">
        <w:rPr>
          <w:rFonts w:ascii="Arial" w:hAnsi="Arial" w:cs="Arial"/>
          <w:sz w:val="20"/>
          <w:szCs w:val="20"/>
        </w:rPr>
        <w:t xml:space="preserve"> %). Následují </w:t>
      </w:r>
      <w:r w:rsidRPr="00887574">
        <w:rPr>
          <w:rFonts w:ascii="Arial" w:hAnsi="Arial" w:cs="Arial"/>
          <w:b/>
          <w:i/>
          <w:sz w:val="20"/>
          <w:szCs w:val="20"/>
        </w:rPr>
        <w:t>jiné než specifické technické a inženýrské dovednosti</w:t>
      </w:r>
      <w:r w:rsidRPr="00887574">
        <w:rPr>
          <w:rFonts w:ascii="Arial" w:hAnsi="Arial" w:cs="Arial"/>
          <w:i/>
          <w:sz w:val="20"/>
          <w:szCs w:val="20"/>
        </w:rPr>
        <w:t xml:space="preserve"> </w:t>
      </w:r>
      <w:r w:rsidRPr="00887574">
        <w:rPr>
          <w:rFonts w:ascii="Arial" w:hAnsi="Arial" w:cs="Arial"/>
          <w:sz w:val="20"/>
          <w:szCs w:val="20"/>
        </w:rPr>
        <w:t>související s výkonem konk</w:t>
      </w:r>
      <w:r w:rsidR="0083216D">
        <w:rPr>
          <w:rFonts w:ascii="Arial" w:hAnsi="Arial" w:cs="Arial"/>
          <w:sz w:val="20"/>
          <w:szCs w:val="20"/>
        </w:rPr>
        <w:t>rétního povolání v podniku (27</w:t>
      </w:r>
      <w:r w:rsidRPr="00887574">
        <w:rPr>
          <w:rFonts w:ascii="Arial" w:hAnsi="Arial" w:cs="Arial"/>
          <w:sz w:val="20"/>
          <w:szCs w:val="20"/>
        </w:rPr>
        <w:t xml:space="preserve"> %), </w:t>
      </w:r>
      <w:r w:rsidRPr="00887574">
        <w:rPr>
          <w:rFonts w:ascii="Arial" w:hAnsi="Arial" w:cs="Arial"/>
          <w:b/>
          <w:i/>
          <w:sz w:val="20"/>
          <w:szCs w:val="20"/>
        </w:rPr>
        <w:t>běžné užívání informačních technologií</w:t>
      </w:r>
      <w:r w:rsidR="0083216D">
        <w:rPr>
          <w:rFonts w:ascii="Arial" w:hAnsi="Arial" w:cs="Arial"/>
          <w:sz w:val="20"/>
          <w:szCs w:val="20"/>
        </w:rPr>
        <w:t xml:space="preserve"> (27</w:t>
      </w:r>
      <w:r w:rsidRPr="00887574">
        <w:rPr>
          <w:rFonts w:ascii="Arial" w:hAnsi="Arial" w:cs="Arial"/>
          <w:sz w:val="20"/>
          <w:szCs w:val="20"/>
        </w:rPr>
        <w:t> %) a další „soft sklils“, kterými jsou</w:t>
      </w:r>
      <w:r w:rsidRPr="00887574">
        <w:rPr>
          <w:rFonts w:ascii="Arial" w:hAnsi="Arial" w:cs="Arial"/>
          <w:i/>
          <w:sz w:val="20"/>
          <w:szCs w:val="20"/>
        </w:rPr>
        <w:t xml:space="preserve"> </w:t>
      </w:r>
      <w:r w:rsidRPr="00887574">
        <w:rPr>
          <w:rFonts w:ascii="Arial" w:hAnsi="Arial" w:cs="Arial"/>
          <w:b/>
          <w:i/>
          <w:sz w:val="20"/>
          <w:szCs w:val="20"/>
        </w:rPr>
        <w:t>řešení problémů či obtížných úkolů</w:t>
      </w:r>
      <w:r w:rsidR="0083216D">
        <w:rPr>
          <w:rFonts w:ascii="Arial" w:hAnsi="Arial" w:cs="Arial"/>
          <w:sz w:val="20"/>
          <w:szCs w:val="20"/>
        </w:rPr>
        <w:t xml:space="preserve"> (24</w:t>
      </w:r>
      <w:r w:rsidRPr="00887574">
        <w:rPr>
          <w:rFonts w:ascii="Arial" w:hAnsi="Arial" w:cs="Arial"/>
          <w:sz w:val="20"/>
          <w:szCs w:val="20"/>
        </w:rPr>
        <w:t xml:space="preserve"> %) a </w:t>
      </w:r>
      <w:r w:rsidRPr="00887574">
        <w:rPr>
          <w:rFonts w:ascii="Arial" w:hAnsi="Arial" w:cs="Arial"/>
          <w:b/>
          <w:i/>
          <w:sz w:val="20"/>
          <w:szCs w:val="20"/>
        </w:rPr>
        <w:t>komunikační dovednosti</w:t>
      </w:r>
      <w:r w:rsidR="0083216D">
        <w:rPr>
          <w:rFonts w:ascii="Arial" w:hAnsi="Arial" w:cs="Arial"/>
          <w:sz w:val="20"/>
          <w:szCs w:val="20"/>
        </w:rPr>
        <w:t xml:space="preserve"> (22</w:t>
      </w:r>
      <w:r w:rsidRPr="00887574">
        <w:rPr>
          <w:rFonts w:ascii="Arial" w:hAnsi="Arial" w:cs="Arial"/>
          <w:sz w:val="20"/>
          <w:szCs w:val="20"/>
        </w:rPr>
        <w:t xml:space="preserve"> %). </w:t>
      </w:r>
    </w:p>
    <w:p w14:paraId="676F4FD4" w14:textId="151C4F3F" w:rsidR="00887574" w:rsidRPr="00887574" w:rsidRDefault="00EA7E4C" w:rsidP="00C92AEA">
      <w:pPr>
        <w:pStyle w:val="Odstavecseseznamem"/>
        <w:numPr>
          <w:ilvl w:val="0"/>
          <w:numId w:val="21"/>
        </w:numPr>
        <w:spacing w:after="120" w:line="288" w:lineRule="auto"/>
        <w:jc w:val="both"/>
        <w:rPr>
          <w:rFonts w:ascii="Arial" w:hAnsi="Arial" w:cs="Arial"/>
          <w:sz w:val="20"/>
          <w:szCs w:val="20"/>
        </w:rPr>
      </w:pPr>
      <w:r w:rsidRPr="00EA7E4C">
        <w:rPr>
          <w:rFonts w:ascii="Arial" w:hAnsi="Arial" w:cs="Arial"/>
          <w:b/>
          <w:sz w:val="20"/>
          <w:szCs w:val="20"/>
        </w:rPr>
        <w:t>Sc</w:t>
      </w:r>
      <w:r w:rsidRPr="00887574">
        <w:rPr>
          <w:rFonts w:ascii="Arial" w:hAnsi="Arial" w:cs="Arial"/>
          <w:b/>
          <w:sz w:val="20"/>
          <w:szCs w:val="20"/>
        </w:rPr>
        <w:t>hopnost týmové práce</w:t>
      </w:r>
      <w:r w:rsidR="00887574" w:rsidRPr="00887574">
        <w:rPr>
          <w:rFonts w:ascii="Arial" w:hAnsi="Arial" w:cs="Arial"/>
          <w:sz w:val="20"/>
          <w:szCs w:val="20"/>
        </w:rPr>
        <w:t xml:space="preserve"> byla zmiňována mezi stěžejními častěji </w:t>
      </w:r>
      <w:r w:rsidR="00887574" w:rsidRPr="00887574">
        <w:rPr>
          <w:rFonts w:ascii="Arial" w:hAnsi="Arial" w:cs="Arial"/>
          <w:i/>
          <w:sz w:val="20"/>
          <w:szCs w:val="20"/>
        </w:rPr>
        <w:t xml:space="preserve">malými podniky </w:t>
      </w:r>
      <w:r w:rsidR="00887574" w:rsidRPr="00887574">
        <w:rPr>
          <w:rFonts w:ascii="Arial" w:hAnsi="Arial" w:cs="Arial"/>
          <w:sz w:val="20"/>
          <w:szCs w:val="20"/>
        </w:rPr>
        <w:t>s 10</w:t>
      </w:r>
      <w:r w:rsidR="00C92AEA" w:rsidRPr="00C92AEA">
        <w:rPr>
          <w:rFonts w:ascii="Arial" w:hAnsi="Arial" w:cs="Arial"/>
          <w:sz w:val="20"/>
          <w:szCs w:val="20"/>
        </w:rPr>
        <w:t>–</w:t>
      </w:r>
      <w:r w:rsidR="00887574" w:rsidRPr="00887574">
        <w:rPr>
          <w:rFonts w:ascii="Arial" w:hAnsi="Arial" w:cs="Arial"/>
          <w:sz w:val="20"/>
          <w:szCs w:val="20"/>
        </w:rPr>
        <w:t xml:space="preserve">19 zaměstnanci a čím více zaměstnanců podniky měly, tím ji zmiňovaly méně často. Obdobnou tendenci vykázala dovednost </w:t>
      </w:r>
      <w:r w:rsidR="00887574" w:rsidRPr="00887574">
        <w:rPr>
          <w:rFonts w:ascii="Arial" w:hAnsi="Arial" w:cs="Arial"/>
          <w:b/>
          <w:sz w:val="20"/>
          <w:szCs w:val="20"/>
        </w:rPr>
        <w:t>jednání se zákazníky</w:t>
      </w:r>
      <w:r w:rsidR="00887574" w:rsidRPr="00887574">
        <w:rPr>
          <w:rFonts w:ascii="Arial" w:hAnsi="Arial" w:cs="Arial"/>
          <w:sz w:val="20"/>
          <w:szCs w:val="20"/>
        </w:rPr>
        <w:t xml:space="preserve">. Naopak, čím více zaměstnanců podniky měly, tím bylo častější uvádění potřeby </w:t>
      </w:r>
      <w:r w:rsidR="00887574" w:rsidRPr="00887574">
        <w:rPr>
          <w:rFonts w:ascii="Arial" w:hAnsi="Arial" w:cs="Arial"/>
          <w:b/>
          <w:sz w:val="20"/>
          <w:szCs w:val="20"/>
        </w:rPr>
        <w:t>manažerských dovedností</w:t>
      </w:r>
      <w:r w:rsidR="00887574" w:rsidRPr="00887574">
        <w:rPr>
          <w:rFonts w:ascii="Arial" w:hAnsi="Arial" w:cs="Arial"/>
          <w:sz w:val="20"/>
          <w:szCs w:val="20"/>
        </w:rPr>
        <w:t xml:space="preserve">. </w:t>
      </w:r>
    </w:p>
    <w:p w14:paraId="345669E8" w14:textId="34B3ABFA" w:rsidR="00887574" w:rsidRPr="00887574" w:rsidRDefault="00887574" w:rsidP="008B1D5C">
      <w:pPr>
        <w:pStyle w:val="Odstavecseseznamem"/>
        <w:numPr>
          <w:ilvl w:val="0"/>
          <w:numId w:val="21"/>
        </w:numPr>
        <w:spacing w:after="120" w:line="288" w:lineRule="auto"/>
        <w:ind w:left="714" w:hanging="357"/>
        <w:jc w:val="both"/>
        <w:rPr>
          <w:rFonts w:ascii="Arial" w:hAnsi="Arial" w:cs="Arial"/>
          <w:sz w:val="20"/>
          <w:szCs w:val="20"/>
        </w:rPr>
      </w:pPr>
      <w:r w:rsidRPr="00887574">
        <w:rPr>
          <w:rFonts w:ascii="Arial" w:hAnsi="Arial" w:cs="Arial"/>
          <w:b/>
          <w:i/>
          <w:sz w:val="20"/>
          <w:szCs w:val="20"/>
        </w:rPr>
        <w:t>Schopnost týmové práce</w:t>
      </w:r>
      <w:r w:rsidRPr="00887574">
        <w:rPr>
          <w:rFonts w:ascii="Arial" w:hAnsi="Arial" w:cs="Arial"/>
          <w:sz w:val="20"/>
          <w:szCs w:val="20"/>
        </w:rPr>
        <w:t xml:space="preserve"> byla také nejčastěji uváděnou v podnicích zaměřených na </w:t>
      </w:r>
      <w:r w:rsidRPr="00EA7E4C">
        <w:rPr>
          <w:rFonts w:ascii="Arial" w:hAnsi="Arial" w:cs="Arial"/>
          <w:i/>
          <w:sz w:val="20"/>
          <w:szCs w:val="20"/>
        </w:rPr>
        <w:t>ubytování, stravování a pohostinství</w:t>
      </w:r>
      <w:r w:rsidRPr="00887574">
        <w:rPr>
          <w:rFonts w:ascii="Arial" w:hAnsi="Arial" w:cs="Arial"/>
          <w:sz w:val="20"/>
          <w:szCs w:val="20"/>
        </w:rPr>
        <w:t xml:space="preserve">. Tyto podniky též v největší míře ze všech uváděly potřebu </w:t>
      </w:r>
      <w:r w:rsidRPr="00EA7E4C">
        <w:rPr>
          <w:rFonts w:ascii="Arial" w:hAnsi="Arial" w:cs="Arial"/>
          <w:i/>
          <w:sz w:val="20"/>
          <w:szCs w:val="20"/>
        </w:rPr>
        <w:t>komunikačních dovedností</w:t>
      </w:r>
      <w:r w:rsidRPr="00887574">
        <w:rPr>
          <w:rFonts w:ascii="Arial" w:hAnsi="Arial" w:cs="Arial"/>
          <w:sz w:val="20"/>
          <w:szCs w:val="20"/>
        </w:rPr>
        <w:t>, ale též celkově potřebu „soft skills“. Druhým odvětvím v pořadí celkového uváděn</w:t>
      </w:r>
      <w:r w:rsidR="00EA7E4C">
        <w:rPr>
          <w:rFonts w:ascii="Arial" w:hAnsi="Arial" w:cs="Arial"/>
          <w:sz w:val="20"/>
          <w:szCs w:val="20"/>
        </w:rPr>
        <w:t>í soft skills jako stěžejních bylo</w:t>
      </w:r>
      <w:r w:rsidRPr="00887574">
        <w:rPr>
          <w:rFonts w:ascii="Arial" w:hAnsi="Arial" w:cs="Arial"/>
          <w:sz w:val="20"/>
          <w:szCs w:val="20"/>
        </w:rPr>
        <w:t xml:space="preserve"> </w:t>
      </w:r>
      <w:r w:rsidRPr="00887574">
        <w:rPr>
          <w:rFonts w:ascii="Arial" w:hAnsi="Arial" w:cs="Arial"/>
          <w:i/>
          <w:sz w:val="20"/>
          <w:szCs w:val="20"/>
        </w:rPr>
        <w:t>peněžnictví a pojišťovnictví</w:t>
      </w:r>
      <w:r w:rsidR="00EA7E4C">
        <w:rPr>
          <w:rFonts w:ascii="Arial" w:hAnsi="Arial" w:cs="Arial"/>
          <w:sz w:val="20"/>
          <w:szCs w:val="20"/>
        </w:rPr>
        <w:t>, které zase nejvíce akcentovalo</w:t>
      </w:r>
      <w:r w:rsidRPr="00887574">
        <w:rPr>
          <w:rFonts w:ascii="Arial" w:hAnsi="Arial" w:cs="Arial"/>
          <w:sz w:val="20"/>
          <w:szCs w:val="20"/>
        </w:rPr>
        <w:t xml:space="preserve"> potřebu </w:t>
      </w:r>
      <w:r w:rsidRPr="00887574">
        <w:rPr>
          <w:rFonts w:ascii="Arial" w:hAnsi="Arial" w:cs="Arial"/>
          <w:b/>
          <w:i/>
          <w:sz w:val="20"/>
          <w:szCs w:val="20"/>
        </w:rPr>
        <w:t>manažerských dovedností</w:t>
      </w:r>
      <w:r w:rsidRPr="00887574">
        <w:rPr>
          <w:rFonts w:ascii="Arial" w:hAnsi="Arial" w:cs="Arial"/>
          <w:sz w:val="20"/>
          <w:szCs w:val="20"/>
        </w:rPr>
        <w:t xml:space="preserve"> (uvedlo tak 28 % takových podniků).</w:t>
      </w:r>
    </w:p>
    <w:p w14:paraId="48809089" w14:textId="1F30D796" w:rsidR="002231CC" w:rsidRPr="002231CC" w:rsidRDefault="00887574" w:rsidP="008B1D5C">
      <w:pPr>
        <w:pStyle w:val="Odstavecseseznamem"/>
        <w:numPr>
          <w:ilvl w:val="0"/>
          <w:numId w:val="21"/>
        </w:numPr>
        <w:spacing w:after="120" w:line="288" w:lineRule="auto"/>
        <w:ind w:left="714" w:hanging="357"/>
        <w:jc w:val="both"/>
      </w:pPr>
      <w:r w:rsidRPr="00887574">
        <w:rPr>
          <w:rFonts w:ascii="Arial" w:hAnsi="Arial" w:cs="Arial"/>
          <w:sz w:val="20"/>
          <w:szCs w:val="20"/>
        </w:rPr>
        <w:t xml:space="preserve">Pokud se jedná o „hard skills“, </w:t>
      </w:r>
      <w:r w:rsidR="00EA7E4C" w:rsidRPr="00EA7E4C">
        <w:rPr>
          <w:rFonts w:ascii="Arial" w:hAnsi="Arial" w:cs="Arial"/>
          <w:sz w:val="20"/>
          <w:szCs w:val="20"/>
        </w:rPr>
        <w:t>čím měl</w:t>
      </w:r>
      <w:r w:rsidRPr="00EA7E4C">
        <w:rPr>
          <w:rFonts w:ascii="Arial" w:hAnsi="Arial" w:cs="Arial"/>
          <w:sz w:val="20"/>
          <w:szCs w:val="20"/>
        </w:rPr>
        <w:t xml:space="preserve"> podnik více zaměstnanců</w:t>
      </w:r>
      <w:r w:rsidR="00EA7E4C">
        <w:rPr>
          <w:rFonts w:ascii="Arial" w:hAnsi="Arial" w:cs="Arial"/>
          <w:sz w:val="20"/>
          <w:szCs w:val="20"/>
        </w:rPr>
        <w:t>, tím měl větší</w:t>
      </w:r>
      <w:r w:rsidR="00125217">
        <w:rPr>
          <w:rFonts w:ascii="Arial" w:hAnsi="Arial" w:cs="Arial"/>
          <w:sz w:val="20"/>
          <w:szCs w:val="20"/>
        </w:rPr>
        <w:t xml:space="preserve"> tendenci vidět z hlediska svého budoucího rozvoje jako klíčové</w:t>
      </w:r>
      <w:r w:rsidR="00EA7E4C">
        <w:rPr>
          <w:rFonts w:ascii="Arial" w:hAnsi="Arial" w:cs="Arial"/>
          <w:sz w:val="20"/>
          <w:szCs w:val="20"/>
        </w:rPr>
        <w:t xml:space="preserve"> </w:t>
      </w:r>
      <w:r w:rsidR="00125217">
        <w:rPr>
          <w:rFonts w:ascii="Arial" w:hAnsi="Arial" w:cs="Arial"/>
          <w:b/>
          <w:i/>
          <w:sz w:val="20"/>
          <w:szCs w:val="20"/>
        </w:rPr>
        <w:t>specifické technické a inženýrské dovednost</w:t>
      </w:r>
      <w:r w:rsidRPr="00887574">
        <w:rPr>
          <w:rFonts w:ascii="Arial" w:hAnsi="Arial" w:cs="Arial"/>
          <w:b/>
          <w:i/>
          <w:sz w:val="20"/>
          <w:szCs w:val="20"/>
        </w:rPr>
        <w:t>i</w:t>
      </w:r>
      <w:r w:rsidR="00125217">
        <w:rPr>
          <w:rFonts w:ascii="Arial" w:hAnsi="Arial" w:cs="Arial"/>
          <w:sz w:val="20"/>
          <w:szCs w:val="20"/>
        </w:rPr>
        <w:t xml:space="preserve"> zaměstnanců související</w:t>
      </w:r>
      <w:r w:rsidRPr="00887574">
        <w:rPr>
          <w:rFonts w:ascii="Arial" w:hAnsi="Arial" w:cs="Arial"/>
          <w:sz w:val="20"/>
          <w:szCs w:val="20"/>
        </w:rPr>
        <w:t xml:space="preserve"> s výko</w:t>
      </w:r>
      <w:r w:rsidR="00C92AEA">
        <w:rPr>
          <w:rFonts w:ascii="Arial" w:hAnsi="Arial" w:cs="Arial"/>
          <w:sz w:val="20"/>
          <w:szCs w:val="20"/>
        </w:rPr>
        <w:t xml:space="preserve">nem konkrétního povolání </w:t>
      </w:r>
      <w:r w:rsidRPr="00887574">
        <w:rPr>
          <w:rFonts w:ascii="Arial" w:hAnsi="Arial" w:cs="Arial"/>
          <w:sz w:val="20"/>
          <w:szCs w:val="20"/>
        </w:rPr>
        <w:t xml:space="preserve">v podniku, </w:t>
      </w:r>
      <w:r w:rsidR="00C92AEA">
        <w:rPr>
          <w:rFonts w:ascii="Arial" w:hAnsi="Arial" w:cs="Arial"/>
          <w:sz w:val="20"/>
          <w:szCs w:val="20"/>
        </w:rPr>
        <w:t>ovládání</w:t>
      </w:r>
      <w:r w:rsidRPr="00887574">
        <w:rPr>
          <w:rFonts w:ascii="Arial" w:hAnsi="Arial" w:cs="Arial"/>
          <w:sz w:val="20"/>
          <w:szCs w:val="20"/>
        </w:rPr>
        <w:t xml:space="preserve"> </w:t>
      </w:r>
      <w:r w:rsidRPr="00887574">
        <w:rPr>
          <w:rFonts w:ascii="Arial" w:hAnsi="Arial" w:cs="Arial"/>
          <w:b/>
          <w:i/>
          <w:sz w:val="20"/>
          <w:szCs w:val="20"/>
        </w:rPr>
        <w:t>cizí</w:t>
      </w:r>
      <w:r w:rsidR="00125217">
        <w:rPr>
          <w:rFonts w:ascii="Arial" w:hAnsi="Arial" w:cs="Arial"/>
          <w:b/>
          <w:i/>
          <w:sz w:val="20"/>
          <w:szCs w:val="20"/>
        </w:rPr>
        <w:t>ch jazyků</w:t>
      </w:r>
      <w:r w:rsidRPr="00887574">
        <w:rPr>
          <w:rFonts w:ascii="Arial" w:hAnsi="Arial" w:cs="Arial"/>
          <w:sz w:val="20"/>
          <w:szCs w:val="20"/>
        </w:rPr>
        <w:t xml:space="preserve">, </w:t>
      </w:r>
      <w:r w:rsidR="00125217">
        <w:rPr>
          <w:rFonts w:ascii="Arial" w:hAnsi="Arial" w:cs="Arial"/>
          <w:sz w:val="20"/>
          <w:szCs w:val="20"/>
        </w:rPr>
        <w:t>schopnost</w:t>
      </w:r>
      <w:r w:rsidRPr="00887574">
        <w:rPr>
          <w:rFonts w:ascii="Arial" w:hAnsi="Arial" w:cs="Arial"/>
          <w:sz w:val="20"/>
          <w:szCs w:val="20"/>
        </w:rPr>
        <w:t xml:space="preserve"> </w:t>
      </w:r>
      <w:r w:rsidRPr="00887574">
        <w:rPr>
          <w:rFonts w:ascii="Arial" w:hAnsi="Arial" w:cs="Arial"/>
          <w:b/>
          <w:i/>
          <w:sz w:val="20"/>
          <w:szCs w:val="20"/>
        </w:rPr>
        <w:t>odborné práce s informačními technologiemi</w:t>
      </w:r>
      <w:r w:rsidR="00125217">
        <w:rPr>
          <w:rFonts w:ascii="Arial" w:hAnsi="Arial" w:cs="Arial"/>
          <w:sz w:val="20"/>
          <w:szCs w:val="20"/>
        </w:rPr>
        <w:t xml:space="preserve"> a také</w:t>
      </w:r>
      <w:r w:rsidRPr="00887574">
        <w:rPr>
          <w:rFonts w:ascii="Arial" w:hAnsi="Arial" w:cs="Arial"/>
          <w:sz w:val="20"/>
          <w:szCs w:val="20"/>
        </w:rPr>
        <w:t xml:space="preserve"> </w:t>
      </w:r>
      <w:r w:rsidRPr="00887574">
        <w:rPr>
          <w:rFonts w:ascii="Arial" w:hAnsi="Arial" w:cs="Arial"/>
          <w:b/>
          <w:i/>
          <w:sz w:val="20"/>
          <w:szCs w:val="20"/>
        </w:rPr>
        <w:t>odborné dovednosti v oblasti matematiky a statistiky</w:t>
      </w:r>
      <w:r w:rsidRPr="00887574">
        <w:rPr>
          <w:rFonts w:ascii="Arial" w:hAnsi="Arial" w:cs="Arial"/>
          <w:sz w:val="20"/>
          <w:szCs w:val="20"/>
        </w:rPr>
        <w:t xml:space="preserve">. </w:t>
      </w:r>
    </w:p>
    <w:p w14:paraId="1805BFAF" w14:textId="568DB347" w:rsidR="00112DCF" w:rsidRDefault="00112DCF" w:rsidP="00112DCF">
      <w:pPr>
        <w:pStyle w:val="Nadpis2"/>
        <w:spacing w:after="120"/>
      </w:pPr>
      <w:bookmarkStart w:id="14" w:name="_Toc126664222"/>
      <w:r>
        <w:lastRenderedPageBreak/>
        <w:t xml:space="preserve">3.1 </w:t>
      </w:r>
      <w:r w:rsidR="00742298" w:rsidRPr="00742298">
        <w:t>Porovnání stěž</w:t>
      </w:r>
      <w:r w:rsidR="00742298">
        <w:t>ejních témat pro rozvoj podniku</w:t>
      </w:r>
      <w:r w:rsidR="00742298" w:rsidRPr="00742298">
        <w:t xml:space="preserve"> s hlavním zam</w:t>
      </w:r>
      <w:r w:rsidR="00C13495">
        <w:t>ěřením proběhlých kurzů/školení</w:t>
      </w:r>
      <w:bookmarkEnd w:id="14"/>
    </w:p>
    <w:p w14:paraId="1AA0BDB8" w14:textId="6C6671CC" w:rsidR="00A93330" w:rsidRPr="00887574" w:rsidRDefault="00887574" w:rsidP="00D8357D">
      <w:pPr>
        <w:spacing w:after="120"/>
        <w:jc w:val="both"/>
      </w:pPr>
      <w:r>
        <w:t>V této kapitole nejprve uvedeme celkový žebříček témat dle podílu podniků, který je označil jako stěžejní témata nepovinných kurzů/školení.</w:t>
      </w:r>
      <w:r w:rsidR="00F262BF">
        <w:t xml:space="preserve"> </w:t>
      </w:r>
      <w:r w:rsidR="00CF4241">
        <w:rPr>
          <w:rFonts w:cs="Arial"/>
          <w:szCs w:val="20"/>
        </w:rPr>
        <w:t xml:space="preserve">V šetření byly </w:t>
      </w:r>
      <w:r w:rsidR="00C13495">
        <w:rPr>
          <w:rFonts w:cs="Arial"/>
          <w:szCs w:val="20"/>
        </w:rPr>
        <w:t>podniky požádány, aby zatrhly</w:t>
      </w:r>
      <w:r w:rsidR="00A50BC8">
        <w:rPr>
          <w:rFonts w:cs="Arial"/>
          <w:szCs w:val="20"/>
        </w:rPr>
        <w:t xml:space="preserve"> jednu až tři</w:t>
      </w:r>
      <w:r w:rsidR="00CF4241">
        <w:rPr>
          <w:rFonts w:cs="Arial"/>
          <w:szCs w:val="20"/>
        </w:rPr>
        <w:t xml:space="preserve"> hlavní znalosti či dovednosti, na které se nepovinné kurzy/školení v roce 2020 zaměřovaly, a sice z hlediska počtu hodin, které zaměstnanci s</w:t>
      </w:r>
      <w:r w:rsidR="00CF0AC8">
        <w:rPr>
          <w:rFonts w:cs="Arial"/>
          <w:szCs w:val="20"/>
        </w:rPr>
        <w:t>trávili přísluš</w:t>
      </w:r>
      <w:r w:rsidR="00C13495">
        <w:rPr>
          <w:rFonts w:cs="Arial"/>
          <w:szCs w:val="20"/>
        </w:rPr>
        <w:t>ným vzděláváním. Kromě toho měly</w:t>
      </w:r>
      <w:r w:rsidR="00CF0AC8">
        <w:rPr>
          <w:rFonts w:cs="Arial"/>
          <w:szCs w:val="20"/>
        </w:rPr>
        <w:t xml:space="preserve"> také </w:t>
      </w:r>
      <w:r w:rsidR="00A93330">
        <w:rPr>
          <w:rFonts w:cs="Arial"/>
          <w:szCs w:val="20"/>
        </w:rPr>
        <w:t xml:space="preserve">v jiné </w:t>
      </w:r>
      <w:r w:rsidR="00A50BC8">
        <w:rPr>
          <w:rFonts w:cs="Arial"/>
          <w:szCs w:val="20"/>
        </w:rPr>
        <w:t>části dotazníku zatrhnout jednu až tři</w:t>
      </w:r>
      <w:r w:rsidR="00A93330">
        <w:rPr>
          <w:rFonts w:cs="Arial"/>
          <w:szCs w:val="20"/>
        </w:rPr>
        <w:t xml:space="preserve"> hlavní znalosti či dovednosti, které považují za klíčové pro rozvoj podniku v nejbližších letech.</w:t>
      </w:r>
    </w:p>
    <w:p w14:paraId="10854BE3" w14:textId="3C4D357E" w:rsidR="00F638C1" w:rsidRDefault="00A93330" w:rsidP="00D8357D">
      <w:pPr>
        <w:spacing w:after="120"/>
        <w:jc w:val="both"/>
        <w:rPr>
          <w:rFonts w:cs="Arial"/>
          <w:szCs w:val="20"/>
        </w:rPr>
      </w:pPr>
      <w:r>
        <w:rPr>
          <w:rFonts w:cs="Arial"/>
          <w:szCs w:val="20"/>
        </w:rPr>
        <w:t xml:space="preserve">Graf 3.1 srovnává odpovědi podniků na tyto dvě otázky. Jak je zřejmé, ve více než polovině podniků </w:t>
      </w:r>
      <w:r w:rsidR="00162A90">
        <w:rPr>
          <w:rFonts w:cs="Arial"/>
          <w:szCs w:val="20"/>
        </w:rPr>
        <w:t xml:space="preserve">zajišťujících nepovinné kurzy/školení </w:t>
      </w:r>
      <w:r>
        <w:rPr>
          <w:rFonts w:cs="Arial"/>
          <w:szCs w:val="20"/>
        </w:rPr>
        <w:t xml:space="preserve">byly </w:t>
      </w:r>
      <w:r w:rsidRPr="00B82855">
        <w:rPr>
          <w:rFonts w:cs="Arial"/>
          <w:szCs w:val="20"/>
        </w:rPr>
        <w:t>stěžejním tématem</w:t>
      </w:r>
      <w:r w:rsidRPr="00F638C1">
        <w:rPr>
          <w:rFonts w:cs="Arial"/>
          <w:b/>
          <w:szCs w:val="20"/>
        </w:rPr>
        <w:t xml:space="preserve"> </w:t>
      </w:r>
      <w:r w:rsidR="0064273C" w:rsidRPr="00B82855">
        <w:rPr>
          <w:rFonts w:cs="Arial"/>
          <w:b/>
          <w:i/>
          <w:szCs w:val="20"/>
        </w:rPr>
        <w:t xml:space="preserve">specifické </w:t>
      </w:r>
      <w:r w:rsidRPr="00B82855">
        <w:rPr>
          <w:rFonts w:cs="Arial"/>
          <w:b/>
          <w:i/>
          <w:szCs w:val="20"/>
        </w:rPr>
        <w:t>dovednosti související s výkonem konkrétního povolání</w:t>
      </w:r>
      <w:r w:rsidRPr="00B82855">
        <w:rPr>
          <w:rFonts w:cs="Arial"/>
          <w:b/>
          <w:szCs w:val="20"/>
        </w:rPr>
        <w:t xml:space="preserve"> v</w:t>
      </w:r>
      <w:r w:rsidR="0064273C" w:rsidRPr="00B82855">
        <w:rPr>
          <w:rFonts w:cs="Arial"/>
          <w:b/>
          <w:szCs w:val="20"/>
        </w:rPr>
        <w:t> </w:t>
      </w:r>
      <w:r w:rsidRPr="00B82855">
        <w:rPr>
          <w:rFonts w:cs="Arial"/>
          <w:b/>
          <w:szCs w:val="20"/>
        </w:rPr>
        <w:t>podniku</w:t>
      </w:r>
      <w:r w:rsidR="0064273C" w:rsidRPr="00B82855">
        <w:rPr>
          <w:rFonts w:cs="Arial"/>
          <w:b/>
          <w:szCs w:val="20"/>
        </w:rPr>
        <w:t xml:space="preserve">, a sice </w:t>
      </w:r>
      <w:r w:rsidR="0064273C" w:rsidRPr="00B82855">
        <w:rPr>
          <w:rFonts w:cs="Arial"/>
          <w:b/>
          <w:i/>
          <w:szCs w:val="20"/>
        </w:rPr>
        <w:t>jiné než technické a inženýrské</w:t>
      </w:r>
      <w:r w:rsidR="0083216D">
        <w:rPr>
          <w:rFonts w:cs="Arial"/>
          <w:szCs w:val="20"/>
        </w:rPr>
        <w:t xml:space="preserve"> (55</w:t>
      </w:r>
      <w:r w:rsidR="00A67010">
        <w:rPr>
          <w:rFonts w:cs="Arial"/>
          <w:szCs w:val="20"/>
        </w:rPr>
        <w:t> </w:t>
      </w:r>
      <w:r>
        <w:rPr>
          <w:rFonts w:cs="Arial"/>
          <w:szCs w:val="20"/>
        </w:rPr>
        <w:t xml:space="preserve">%). </w:t>
      </w:r>
      <w:r w:rsidR="00A67010">
        <w:rPr>
          <w:rFonts w:cs="Arial"/>
          <w:szCs w:val="20"/>
        </w:rPr>
        <w:t>Dále</w:t>
      </w:r>
      <w:r>
        <w:rPr>
          <w:rFonts w:cs="Arial"/>
          <w:szCs w:val="20"/>
        </w:rPr>
        <w:t xml:space="preserve"> </w:t>
      </w:r>
      <w:r w:rsidR="00576802">
        <w:rPr>
          <w:rFonts w:cs="Arial"/>
          <w:szCs w:val="20"/>
        </w:rPr>
        <w:t xml:space="preserve">byly těmi nejčastěji zmiňovanými jako stěžejními </w:t>
      </w:r>
      <w:r w:rsidR="00162A90">
        <w:rPr>
          <w:rFonts w:cs="Arial"/>
          <w:szCs w:val="20"/>
        </w:rPr>
        <w:t xml:space="preserve">tematické oblasti spadající pod </w:t>
      </w:r>
      <w:r w:rsidR="00576802">
        <w:rPr>
          <w:rFonts w:cs="Arial"/>
          <w:szCs w:val="20"/>
        </w:rPr>
        <w:t xml:space="preserve"> </w:t>
      </w:r>
      <w:r w:rsidR="00576802" w:rsidRPr="00B82855">
        <w:rPr>
          <w:rFonts w:cs="Arial"/>
          <w:b/>
          <w:i/>
          <w:szCs w:val="20"/>
        </w:rPr>
        <w:t>specifické technické a inženýrské dovednosti</w:t>
      </w:r>
      <w:r w:rsidR="00576802">
        <w:rPr>
          <w:rFonts w:cs="Arial"/>
          <w:szCs w:val="20"/>
        </w:rPr>
        <w:t xml:space="preserve"> související s výkonem konkrétního</w:t>
      </w:r>
      <w:r w:rsidR="0083216D">
        <w:rPr>
          <w:rFonts w:cs="Arial"/>
          <w:szCs w:val="20"/>
        </w:rPr>
        <w:t xml:space="preserve"> povolání v podniku (uvedlo 27</w:t>
      </w:r>
      <w:r w:rsidR="00576802">
        <w:rPr>
          <w:rFonts w:cs="Arial"/>
          <w:szCs w:val="20"/>
        </w:rPr>
        <w:t xml:space="preserve"> % podniků) a </w:t>
      </w:r>
      <w:r w:rsidR="00576802" w:rsidRPr="00B82855">
        <w:rPr>
          <w:rFonts w:cs="Arial"/>
          <w:b/>
          <w:i/>
          <w:szCs w:val="20"/>
        </w:rPr>
        <w:t>znalost cizích jazyků</w:t>
      </w:r>
      <w:r w:rsidR="0083216D">
        <w:rPr>
          <w:rFonts w:cs="Arial"/>
          <w:szCs w:val="20"/>
        </w:rPr>
        <w:t xml:space="preserve"> (25</w:t>
      </w:r>
      <w:r w:rsidR="00576802">
        <w:rPr>
          <w:rFonts w:cs="Arial"/>
          <w:szCs w:val="20"/>
        </w:rPr>
        <w:t xml:space="preserve"> %). Ostatní dovednosti již byly stěžejní náplní kurzů jen pro méně než 15 % podniků. </w:t>
      </w:r>
    </w:p>
    <w:p w14:paraId="209BD0D6" w14:textId="347B6961" w:rsidR="001C34EE" w:rsidRPr="00162A90" w:rsidRDefault="00576802" w:rsidP="00162A90">
      <w:pPr>
        <w:pStyle w:val="Textpoznpodarou"/>
        <w:spacing w:after="120" w:line="288" w:lineRule="auto"/>
        <w:jc w:val="both"/>
        <w:rPr>
          <w:rFonts w:ascii="Arial" w:hAnsi="Arial" w:cs="Arial"/>
        </w:rPr>
      </w:pPr>
      <w:r w:rsidRPr="00162A90">
        <w:rPr>
          <w:rFonts w:ascii="Arial" w:hAnsi="Arial" w:cs="Arial"/>
        </w:rPr>
        <w:t>Ve srovnání s tím si lze všimnout, že po zvážení, jaké dovednosti zaměstnanců považuje podnik za stěžejní pro svůj rozvoj v nejbližších letech, se dvě pětiny podniků</w:t>
      </w:r>
      <w:r w:rsidR="007F1328" w:rsidRPr="00162A90">
        <w:rPr>
          <w:rFonts w:ascii="Arial" w:hAnsi="Arial" w:cs="Arial"/>
        </w:rPr>
        <w:t>, které uvedly názor</w:t>
      </w:r>
      <w:r w:rsidR="0083216D">
        <w:rPr>
          <w:rFonts w:ascii="Arial" w:hAnsi="Arial" w:cs="Arial"/>
        </w:rPr>
        <w:t xml:space="preserve"> (tj. 90</w:t>
      </w:r>
      <w:r w:rsidR="00162A90" w:rsidRPr="00162A90">
        <w:rPr>
          <w:rFonts w:ascii="Arial" w:hAnsi="Arial" w:cs="Arial"/>
        </w:rPr>
        <w:t> % ze všech podniků)</w:t>
      </w:r>
      <w:r w:rsidR="007F1328" w:rsidRPr="00162A90">
        <w:rPr>
          <w:rFonts w:ascii="Arial" w:hAnsi="Arial" w:cs="Arial"/>
        </w:rPr>
        <w:t>,</w:t>
      </w:r>
      <w:r w:rsidRPr="00162A90">
        <w:rPr>
          <w:rFonts w:ascii="Arial" w:hAnsi="Arial" w:cs="Arial"/>
        </w:rPr>
        <w:t xml:space="preserve"> rozhodly označit </w:t>
      </w:r>
      <w:r w:rsidRPr="00162A90">
        <w:rPr>
          <w:rFonts w:ascii="Arial" w:hAnsi="Arial" w:cs="Arial"/>
          <w:b/>
          <w:i/>
        </w:rPr>
        <w:t>schopnost týmové práce</w:t>
      </w:r>
      <w:r w:rsidR="0083216D">
        <w:rPr>
          <w:rFonts w:ascii="Arial" w:hAnsi="Arial" w:cs="Arial"/>
        </w:rPr>
        <w:t xml:space="preserve"> (40</w:t>
      </w:r>
      <w:r w:rsidRPr="00162A90">
        <w:rPr>
          <w:rFonts w:ascii="Arial" w:hAnsi="Arial" w:cs="Arial"/>
        </w:rPr>
        <w:t xml:space="preserve"> %) a další více než třetina </w:t>
      </w:r>
      <w:r w:rsidRPr="00162A90">
        <w:rPr>
          <w:rFonts w:ascii="Arial" w:hAnsi="Arial" w:cs="Arial"/>
          <w:b/>
          <w:i/>
        </w:rPr>
        <w:t>jednání se zákazníky</w:t>
      </w:r>
      <w:r w:rsidR="0083216D">
        <w:rPr>
          <w:rFonts w:ascii="Arial" w:hAnsi="Arial" w:cs="Arial"/>
        </w:rPr>
        <w:t xml:space="preserve"> (35</w:t>
      </w:r>
      <w:r w:rsidR="00C13495" w:rsidRPr="00162A90">
        <w:rPr>
          <w:rFonts w:ascii="Arial" w:hAnsi="Arial" w:cs="Arial"/>
        </w:rPr>
        <w:t> %).</w:t>
      </w:r>
      <w:r w:rsidRPr="00162A90">
        <w:rPr>
          <w:rFonts w:ascii="Arial" w:hAnsi="Arial" w:cs="Arial"/>
        </w:rPr>
        <w:t xml:space="preserve"> </w:t>
      </w:r>
      <w:r w:rsidR="00C13495" w:rsidRPr="00162A90">
        <w:rPr>
          <w:rFonts w:ascii="Arial" w:hAnsi="Arial" w:cs="Arial"/>
        </w:rPr>
        <w:t>Tyto dovednosti přitom patří</w:t>
      </w:r>
      <w:r w:rsidRPr="00162A90">
        <w:rPr>
          <w:rFonts w:ascii="Arial" w:hAnsi="Arial" w:cs="Arial"/>
        </w:rPr>
        <w:t xml:space="preserve"> </w:t>
      </w:r>
      <w:r w:rsidR="00C13495" w:rsidRPr="00162A90">
        <w:rPr>
          <w:rFonts w:ascii="Arial" w:hAnsi="Arial" w:cs="Arial"/>
        </w:rPr>
        <w:t>mezi</w:t>
      </w:r>
      <w:r w:rsidR="00892551" w:rsidRPr="00162A90">
        <w:rPr>
          <w:rFonts w:ascii="Arial" w:hAnsi="Arial" w:cs="Arial"/>
        </w:rPr>
        <w:t xml:space="preserve"> </w:t>
      </w:r>
      <w:r w:rsidR="00AD15F3">
        <w:rPr>
          <w:rFonts w:ascii="Arial" w:hAnsi="Arial" w:cs="Arial"/>
        </w:rPr>
        <w:t xml:space="preserve">druhy </w:t>
      </w:r>
      <w:r w:rsidRPr="00162A90">
        <w:rPr>
          <w:rFonts w:ascii="Arial" w:hAnsi="Arial" w:cs="Arial"/>
        </w:rPr>
        <w:t xml:space="preserve">„soft </w:t>
      </w:r>
      <w:r w:rsidR="00646DBE">
        <w:rPr>
          <w:rFonts w:ascii="Arial" w:hAnsi="Arial" w:cs="Arial"/>
        </w:rPr>
        <w:t>skills“, které jako hlavní náplně</w:t>
      </w:r>
      <w:r w:rsidRPr="00162A90">
        <w:rPr>
          <w:rFonts w:ascii="Arial" w:hAnsi="Arial" w:cs="Arial"/>
        </w:rPr>
        <w:t xml:space="preserve"> kurzů/školení označila </w:t>
      </w:r>
      <w:r w:rsidR="00AD15F3">
        <w:rPr>
          <w:rFonts w:ascii="Arial" w:hAnsi="Arial" w:cs="Arial"/>
        </w:rPr>
        <w:t xml:space="preserve">vždy </w:t>
      </w:r>
      <w:r w:rsidRPr="00162A90">
        <w:rPr>
          <w:rFonts w:ascii="Arial" w:hAnsi="Arial" w:cs="Arial"/>
        </w:rPr>
        <w:t xml:space="preserve">již jen </w:t>
      </w:r>
      <w:r w:rsidR="00646DBE">
        <w:rPr>
          <w:rFonts w:ascii="Arial" w:hAnsi="Arial" w:cs="Arial"/>
        </w:rPr>
        <w:t xml:space="preserve">cca </w:t>
      </w:r>
      <w:r w:rsidRPr="00162A90">
        <w:rPr>
          <w:rFonts w:ascii="Arial" w:hAnsi="Arial" w:cs="Arial"/>
        </w:rPr>
        <w:t>desetina podniků. N</w:t>
      </w:r>
      <w:r w:rsidR="00A67010" w:rsidRPr="00162A90">
        <w:rPr>
          <w:rFonts w:ascii="Arial" w:hAnsi="Arial" w:cs="Arial"/>
        </w:rPr>
        <w:t xml:space="preserve">ásledují </w:t>
      </w:r>
      <w:r w:rsidR="00A67010" w:rsidRPr="00162A90">
        <w:rPr>
          <w:rFonts w:ascii="Arial" w:hAnsi="Arial" w:cs="Arial"/>
          <w:b/>
          <w:i/>
        </w:rPr>
        <w:t>jiné než specifické technické a inženýrské dovednosti</w:t>
      </w:r>
      <w:r w:rsidR="00A67010" w:rsidRPr="00162A90">
        <w:rPr>
          <w:rFonts w:ascii="Arial" w:hAnsi="Arial" w:cs="Arial"/>
          <w:i/>
        </w:rPr>
        <w:t xml:space="preserve"> </w:t>
      </w:r>
      <w:r w:rsidR="00A67010" w:rsidRPr="00162A90">
        <w:rPr>
          <w:rFonts w:ascii="Arial" w:hAnsi="Arial" w:cs="Arial"/>
        </w:rPr>
        <w:t>související s výkonem konk</w:t>
      </w:r>
      <w:r w:rsidR="0083216D">
        <w:rPr>
          <w:rFonts w:ascii="Arial" w:hAnsi="Arial" w:cs="Arial"/>
        </w:rPr>
        <w:t>rétního povolání v podniku (27</w:t>
      </w:r>
      <w:r w:rsidR="00A67010" w:rsidRPr="00162A90">
        <w:rPr>
          <w:rFonts w:ascii="Arial" w:hAnsi="Arial" w:cs="Arial"/>
        </w:rPr>
        <w:t> %),</w:t>
      </w:r>
      <w:r w:rsidRPr="00162A90">
        <w:rPr>
          <w:rFonts w:ascii="Arial" w:hAnsi="Arial" w:cs="Arial"/>
        </w:rPr>
        <w:t xml:space="preserve"> </w:t>
      </w:r>
      <w:r w:rsidRPr="00162A90">
        <w:rPr>
          <w:rFonts w:ascii="Arial" w:hAnsi="Arial" w:cs="Arial"/>
          <w:b/>
          <w:i/>
        </w:rPr>
        <w:t>běžné užívání informačních technologií</w:t>
      </w:r>
      <w:r w:rsidR="0083216D">
        <w:rPr>
          <w:rFonts w:ascii="Arial" w:hAnsi="Arial" w:cs="Arial"/>
        </w:rPr>
        <w:t xml:space="preserve"> (27</w:t>
      </w:r>
      <w:r w:rsidRPr="00162A90">
        <w:rPr>
          <w:rFonts w:ascii="Arial" w:hAnsi="Arial" w:cs="Arial"/>
        </w:rPr>
        <w:t> %) a další „soft sklils“, kterými jsou</w:t>
      </w:r>
      <w:r w:rsidRPr="00162A90">
        <w:rPr>
          <w:rFonts w:ascii="Arial" w:hAnsi="Arial" w:cs="Arial"/>
          <w:i/>
        </w:rPr>
        <w:t xml:space="preserve"> </w:t>
      </w:r>
      <w:r w:rsidRPr="00162A90">
        <w:rPr>
          <w:rFonts w:ascii="Arial" w:hAnsi="Arial" w:cs="Arial"/>
          <w:b/>
          <w:i/>
        </w:rPr>
        <w:t>řešení problémů či obtížných úkolů</w:t>
      </w:r>
      <w:r w:rsidR="0083216D">
        <w:rPr>
          <w:rFonts w:ascii="Arial" w:hAnsi="Arial" w:cs="Arial"/>
        </w:rPr>
        <w:t xml:space="preserve"> (24</w:t>
      </w:r>
      <w:r w:rsidRPr="00162A90">
        <w:rPr>
          <w:rFonts w:ascii="Arial" w:hAnsi="Arial" w:cs="Arial"/>
        </w:rPr>
        <w:t xml:space="preserve"> %) a </w:t>
      </w:r>
      <w:r w:rsidRPr="00162A90">
        <w:rPr>
          <w:rFonts w:ascii="Arial" w:hAnsi="Arial" w:cs="Arial"/>
          <w:b/>
          <w:i/>
        </w:rPr>
        <w:t>komunikační dovednosti</w:t>
      </w:r>
      <w:r w:rsidR="0083216D">
        <w:rPr>
          <w:rFonts w:ascii="Arial" w:hAnsi="Arial" w:cs="Arial"/>
        </w:rPr>
        <w:t xml:space="preserve"> (22</w:t>
      </w:r>
      <w:r w:rsidRPr="00162A90">
        <w:rPr>
          <w:rFonts w:ascii="Arial" w:hAnsi="Arial" w:cs="Arial"/>
        </w:rPr>
        <w:t xml:space="preserve"> %). </w:t>
      </w:r>
      <w:r w:rsidR="004B1E81" w:rsidRPr="00162A90">
        <w:rPr>
          <w:rFonts w:ascii="Arial" w:hAnsi="Arial" w:cs="Arial"/>
        </w:rPr>
        <w:t xml:space="preserve">Více než pětinový podíl si také získaly </w:t>
      </w:r>
      <w:r w:rsidR="004B1E81" w:rsidRPr="00162A90">
        <w:rPr>
          <w:rFonts w:ascii="Arial" w:hAnsi="Arial" w:cs="Arial"/>
          <w:b/>
          <w:i/>
        </w:rPr>
        <w:t>specifické technické a inženýrské dovednosti</w:t>
      </w:r>
      <w:r w:rsidR="004B1E81" w:rsidRPr="00162A90">
        <w:rPr>
          <w:rFonts w:ascii="Arial" w:hAnsi="Arial" w:cs="Arial"/>
          <w:b/>
        </w:rPr>
        <w:t xml:space="preserve"> </w:t>
      </w:r>
      <w:r w:rsidR="004B1E81" w:rsidRPr="00162A90">
        <w:rPr>
          <w:rFonts w:ascii="Arial" w:hAnsi="Arial" w:cs="Arial"/>
        </w:rPr>
        <w:t>související s výkonem konk</w:t>
      </w:r>
      <w:r w:rsidR="0083216D">
        <w:rPr>
          <w:rFonts w:ascii="Arial" w:hAnsi="Arial" w:cs="Arial"/>
        </w:rPr>
        <w:t>rétního povolání v podniku (21</w:t>
      </w:r>
      <w:r w:rsidR="004B1E81" w:rsidRPr="00162A90">
        <w:rPr>
          <w:rFonts w:ascii="Arial" w:hAnsi="Arial" w:cs="Arial"/>
        </w:rPr>
        <w:t> %).</w:t>
      </w:r>
      <w:r w:rsidR="00A67010" w:rsidRPr="00162A90">
        <w:rPr>
          <w:rFonts w:ascii="Arial" w:hAnsi="Arial" w:cs="Arial"/>
        </w:rPr>
        <w:t xml:space="preserve"> Ostatní dovednosti označilo jako stěžejní již méně než 15 % podniků. </w:t>
      </w:r>
    </w:p>
    <w:p w14:paraId="35D71C98" w14:textId="2CEE6B9C" w:rsidR="001B08D3" w:rsidRDefault="00E525B7" w:rsidP="00162A90">
      <w:pPr>
        <w:keepNext/>
        <w:spacing w:after="120"/>
        <w:jc w:val="both"/>
        <w:rPr>
          <w:rFonts w:cs="Arial"/>
          <w:b/>
          <w:szCs w:val="20"/>
        </w:rPr>
      </w:pPr>
      <w:r>
        <w:rPr>
          <w:rFonts w:cs="Arial"/>
          <w:b/>
          <w:szCs w:val="20"/>
        </w:rPr>
        <w:t>Graf 3.1</w:t>
      </w:r>
      <w:r w:rsidR="00A50BC8" w:rsidRPr="00A50BC8">
        <w:rPr>
          <w:rFonts w:cs="Arial"/>
          <w:b/>
          <w:szCs w:val="20"/>
        </w:rPr>
        <w:t xml:space="preserve"> </w:t>
      </w:r>
      <w:r w:rsidR="00A50BC8">
        <w:rPr>
          <w:rFonts w:cs="Arial"/>
          <w:b/>
          <w:szCs w:val="20"/>
        </w:rPr>
        <w:t>Hlavní témata kurzů/školení</w:t>
      </w:r>
      <w:r w:rsidR="00F72976">
        <w:rPr>
          <w:rStyle w:val="Znakapoznpodarou"/>
          <w:rFonts w:cs="Arial"/>
          <w:b/>
          <w:szCs w:val="20"/>
        </w:rPr>
        <w:footnoteReference w:id="3"/>
      </w:r>
      <w:r w:rsidR="00A50BC8">
        <w:rPr>
          <w:rFonts w:cs="Arial"/>
          <w:b/>
          <w:szCs w:val="20"/>
        </w:rPr>
        <w:t xml:space="preserve"> a stěžejní dovednosti potřebné pro rozvoj podniku</w:t>
      </w:r>
      <w:r w:rsidR="00162A90">
        <w:rPr>
          <w:rStyle w:val="Znakapoznpodarou"/>
          <w:rFonts w:cs="Arial"/>
          <w:b/>
          <w:szCs w:val="20"/>
        </w:rPr>
        <w:footnoteReference w:id="4"/>
      </w:r>
      <w:r w:rsidR="00A50BC8">
        <w:rPr>
          <w:rFonts w:cs="Arial"/>
          <w:b/>
          <w:szCs w:val="20"/>
        </w:rPr>
        <w:t xml:space="preserve"> (2020)</w:t>
      </w:r>
    </w:p>
    <w:p w14:paraId="1178E9AC" w14:textId="52ABC522" w:rsidR="001B08D3" w:rsidRPr="00D34355" w:rsidRDefault="00D34355" w:rsidP="00162A90">
      <w:pPr>
        <w:spacing w:after="0"/>
        <w:jc w:val="both"/>
        <w:rPr>
          <w:rFonts w:cs="Arial"/>
          <w:b/>
          <w:szCs w:val="20"/>
        </w:rPr>
      </w:pPr>
      <w:r>
        <w:rPr>
          <w:noProof/>
        </w:rPr>
        <w:drawing>
          <wp:inline distT="0" distB="0" distL="0" distR="0" wp14:anchorId="57963937" wp14:editId="26FE2594">
            <wp:extent cx="6105525" cy="3486150"/>
            <wp:effectExtent l="0" t="0" r="9525"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EB6F91" w14:textId="21C537E5" w:rsidR="009C4714" w:rsidRPr="009C4714" w:rsidRDefault="009C4714" w:rsidP="009C4714">
      <w:pPr>
        <w:spacing w:after="120"/>
        <w:jc w:val="right"/>
        <w:rPr>
          <w:szCs w:val="20"/>
        </w:rPr>
      </w:pPr>
      <w:r w:rsidRPr="003D1467">
        <w:rPr>
          <w:szCs w:val="20"/>
        </w:rPr>
        <w:t>Zdroj: ČSÚ</w:t>
      </w:r>
    </w:p>
    <w:p w14:paraId="507684C5" w14:textId="16372DBC" w:rsidR="00013D6B" w:rsidRDefault="00B436C0" w:rsidP="00483630">
      <w:pPr>
        <w:spacing w:after="120"/>
        <w:jc w:val="both"/>
        <w:rPr>
          <w:rFonts w:cs="Arial"/>
          <w:szCs w:val="20"/>
        </w:rPr>
      </w:pPr>
      <w:r>
        <w:rPr>
          <w:rFonts w:cs="Arial"/>
          <w:szCs w:val="20"/>
        </w:rPr>
        <w:lastRenderedPageBreak/>
        <w:t xml:space="preserve">Lze tedy říci, že dovednosti považované za stěžejní pro budoucí rozvoj podniku se příliš </w:t>
      </w:r>
      <w:r w:rsidR="00D87F2E">
        <w:rPr>
          <w:rFonts w:cs="Arial"/>
          <w:szCs w:val="20"/>
        </w:rPr>
        <w:t>neshodují</w:t>
      </w:r>
      <w:r>
        <w:rPr>
          <w:rFonts w:cs="Arial"/>
          <w:szCs w:val="20"/>
        </w:rPr>
        <w:t xml:space="preserve"> s dovednostmi, na které se v roce 2020 nepovinné kurzy/školení nejvíce zaměřovaly. Při zvažování, jaké dovednosti </w:t>
      </w:r>
      <w:r w:rsidR="00931360">
        <w:rPr>
          <w:rFonts w:cs="Arial"/>
          <w:szCs w:val="20"/>
        </w:rPr>
        <w:t xml:space="preserve">zaměstnanců </w:t>
      </w:r>
      <w:r w:rsidR="008819D2">
        <w:rPr>
          <w:rFonts w:cs="Arial"/>
          <w:szCs w:val="20"/>
        </w:rPr>
        <w:t xml:space="preserve">pomohou podniku se </w:t>
      </w:r>
      <w:r w:rsidR="00931360">
        <w:rPr>
          <w:rFonts w:cs="Arial"/>
          <w:szCs w:val="20"/>
        </w:rPr>
        <w:t xml:space="preserve">v blízké budoucnosti </w:t>
      </w:r>
      <w:r w:rsidR="00F638C1">
        <w:rPr>
          <w:rFonts w:cs="Arial"/>
          <w:szCs w:val="20"/>
        </w:rPr>
        <w:t>rozvíjet, kladly</w:t>
      </w:r>
      <w:r>
        <w:rPr>
          <w:rFonts w:cs="Arial"/>
          <w:szCs w:val="20"/>
        </w:rPr>
        <w:t xml:space="preserve"> podniky větší důraz na potřebu ovládat „soft skills“</w:t>
      </w:r>
      <w:r w:rsidR="00F638C1">
        <w:rPr>
          <w:rFonts w:cs="Arial"/>
          <w:szCs w:val="20"/>
        </w:rPr>
        <w:t>, než jak se tato potřeba odrážela</w:t>
      </w:r>
      <w:r>
        <w:rPr>
          <w:rFonts w:cs="Arial"/>
          <w:szCs w:val="20"/>
        </w:rPr>
        <w:t xml:space="preserve"> v hlavní náplni kurzů/školení</w:t>
      </w:r>
      <w:r w:rsidR="00F638C1">
        <w:rPr>
          <w:rFonts w:cs="Arial"/>
          <w:szCs w:val="20"/>
        </w:rPr>
        <w:t xml:space="preserve"> konaných v roce 2020</w:t>
      </w:r>
      <w:r>
        <w:rPr>
          <w:rFonts w:cs="Arial"/>
          <w:szCs w:val="20"/>
        </w:rPr>
        <w:t xml:space="preserve">. Může to být dáno tím, že tyto „soft skills“ již zaměstnanci mnohých podniků </w:t>
      </w:r>
      <w:r w:rsidR="003B4D71">
        <w:rPr>
          <w:rFonts w:cs="Arial"/>
          <w:szCs w:val="20"/>
        </w:rPr>
        <w:t>ovládaly, a ač jsou důležité, nebylo</w:t>
      </w:r>
      <w:r>
        <w:rPr>
          <w:rFonts w:cs="Arial"/>
          <w:szCs w:val="20"/>
        </w:rPr>
        <w:t xml:space="preserve"> třeba, aby se sta</w:t>
      </w:r>
      <w:r w:rsidR="003B4D71">
        <w:rPr>
          <w:rFonts w:cs="Arial"/>
          <w:szCs w:val="20"/>
        </w:rPr>
        <w:t xml:space="preserve">ly hlavní náplní kurzů/školení. </w:t>
      </w:r>
      <w:r>
        <w:rPr>
          <w:rFonts w:cs="Arial"/>
          <w:szCs w:val="20"/>
        </w:rPr>
        <w:t>Je však také možné, že podniky nenašly vyhovující kurz/školení, který by pro zaměstnance zajistily, nebo třeba i to, že tyto kurzy jednoduše nezaberou tolik času jako např. jazykové, které jsou zpravidla vyučované po delší časové období (např. i c</w:t>
      </w:r>
      <w:r w:rsidR="007C3970">
        <w:rPr>
          <w:rFonts w:cs="Arial"/>
          <w:szCs w:val="20"/>
        </w:rPr>
        <w:t>elý rok 2020). Za stěžejní jedno až tři témata konaných kurzů/školení, které měly podniky označit, měly</w:t>
      </w:r>
      <w:r>
        <w:rPr>
          <w:rFonts w:cs="Arial"/>
          <w:szCs w:val="20"/>
        </w:rPr>
        <w:t xml:space="preserve"> být </w:t>
      </w:r>
      <w:r w:rsidR="00931360">
        <w:rPr>
          <w:rFonts w:cs="Arial"/>
          <w:szCs w:val="20"/>
        </w:rPr>
        <w:t xml:space="preserve">totiž </w:t>
      </w:r>
      <w:r w:rsidR="007C3970">
        <w:rPr>
          <w:rFonts w:cs="Arial"/>
          <w:szCs w:val="20"/>
        </w:rPr>
        <w:t>považovány ty, které zabraly</w:t>
      </w:r>
      <w:r>
        <w:rPr>
          <w:rFonts w:cs="Arial"/>
          <w:szCs w:val="20"/>
        </w:rPr>
        <w:t xml:space="preserve"> nejvíce času.  </w:t>
      </w:r>
    </w:p>
    <w:p w14:paraId="51258A0D" w14:textId="3E51DDE4" w:rsidR="00483630" w:rsidRDefault="00013D6B" w:rsidP="00124713">
      <w:pPr>
        <w:jc w:val="both"/>
        <w:rPr>
          <w:rFonts w:cs="Arial"/>
          <w:szCs w:val="20"/>
        </w:rPr>
      </w:pPr>
      <w:r>
        <w:rPr>
          <w:rFonts w:cs="Arial"/>
          <w:szCs w:val="20"/>
        </w:rPr>
        <w:t xml:space="preserve">Dále se v této kapitole podíváme podrobněji jak na hlavní tematické zaměření kurzů dle hodinové dotace, tak na dovednosti, které podnik považuje za klíčové pro rozvoj v nejbližších letech, a ukážeme, jak se od sebe liší podniky různých charakteristik. </w:t>
      </w:r>
      <w:r w:rsidR="00B436C0">
        <w:rPr>
          <w:rFonts w:cs="Arial"/>
          <w:szCs w:val="20"/>
        </w:rPr>
        <w:t xml:space="preserve"> </w:t>
      </w:r>
    </w:p>
    <w:p w14:paraId="19580B70" w14:textId="5BF8AA50" w:rsidR="00483630" w:rsidRPr="00483630" w:rsidRDefault="00112DCF" w:rsidP="00483630">
      <w:pPr>
        <w:pStyle w:val="Nadpis2"/>
        <w:spacing w:after="120"/>
      </w:pPr>
      <w:bookmarkStart w:id="15" w:name="_Toc126664223"/>
      <w:r>
        <w:t>3.2</w:t>
      </w:r>
      <w:r w:rsidR="00483630">
        <w:t xml:space="preserve"> Hlavní tematická zaměření </w:t>
      </w:r>
      <w:r w:rsidR="008A6B0C">
        <w:t xml:space="preserve">nepovinných </w:t>
      </w:r>
      <w:r w:rsidR="00483630">
        <w:t>kurzů dle hodinové dotace</w:t>
      </w:r>
      <w:bookmarkEnd w:id="15"/>
      <w:r w:rsidR="00483630">
        <w:t xml:space="preserve"> </w:t>
      </w:r>
    </w:p>
    <w:p w14:paraId="7A49A92F" w14:textId="61EF1728" w:rsidR="00F13842" w:rsidRDefault="008C26D9" w:rsidP="008A6B0C">
      <w:pPr>
        <w:spacing w:after="120"/>
        <w:jc w:val="both"/>
        <w:rPr>
          <w:rFonts w:cs="Arial"/>
          <w:szCs w:val="20"/>
        </w:rPr>
      </w:pPr>
      <w:r>
        <w:rPr>
          <w:rFonts w:cs="Arial"/>
          <w:szCs w:val="20"/>
        </w:rPr>
        <w:t>Podívejme se nej</w:t>
      </w:r>
      <w:r w:rsidR="00AC769E">
        <w:rPr>
          <w:rFonts w:cs="Arial"/>
          <w:szCs w:val="20"/>
        </w:rPr>
        <w:t>p</w:t>
      </w:r>
      <w:r>
        <w:rPr>
          <w:rFonts w:cs="Arial"/>
          <w:szCs w:val="20"/>
        </w:rPr>
        <w:t>r</w:t>
      </w:r>
      <w:r w:rsidR="00AC769E">
        <w:rPr>
          <w:rFonts w:cs="Arial"/>
          <w:szCs w:val="20"/>
        </w:rPr>
        <w:t>ve</w:t>
      </w:r>
      <w:r w:rsidR="00F13842">
        <w:rPr>
          <w:rFonts w:cs="Arial"/>
          <w:szCs w:val="20"/>
        </w:rPr>
        <w:t xml:space="preserve">, jaký podíl podniků zajišťujících nepovinné kurzy/školení uvedl, že </w:t>
      </w:r>
      <w:r w:rsidR="00AC769E">
        <w:rPr>
          <w:rFonts w:cs="Arial"/>
          <w:szCs w:val="20"/>
        </w:rPr>
        <w:t xml:space="preserve">jednotlivé druhy </w:t>
      </w:r>
      <w:r w:rsidR="00AC769E" w:rsidRPr="00A43B73">
        <w:rPr>
          <w:rFonts w:cs="Arial"/>
          <w:b/>
          <w:szCs w:val="20"/>
        </w:rPr>
        <w:t>„soft skills“</w:t>
      </w:r>
      <w:r w:rsidR="00AC769E">
        <w:rPr>
          <w:rFonts w:cs="Arial"/>
          <w:szCs w:val="20"/>
        </w:rPr>
        <w:t xml:space="preserve"> patřily mezi hlavní tematickou náplň tohoto vzdělávání</w:t>
      </w:r>
      <w:r>
        <w:rPr>
          <w:rFonts w:cs="Arial"/>
          <w:szCs w:val="20"/>
        </w:rPr>
        <w:t>, a sice z hlediska počtu hodin strávených takovým vzděláváním</w:t>
      </w:r>
      <w:r w:rsidR="00925D0A">
        <w:rPr>
          <w:rStyle w:val="Znakapoznpodarou"/>
          <w:rFonts w:cs="Arial"/>
          <w:szCs w:val="20"/>
        </w:rPr>
        <w:footnoteReference w:id="5"/>
      </w:r>
      <w:r w:rsidR="00AC769E">
        <w:rPr>
          <w:rFonts w:cs="Arial"/>
          <w:szCs w:val="20"/>
        </w:rPr>
        <w:t>. V tabulce 3.1</w:t>
      </w:r>
      <w:r w:rsidR="009F0BC4">
        <w:rPr>
          <w:rFonts w:cs="Arial"/>
          <w:szCs w:val="20"/>
        </w:rPr>
        <w:t>a</w:t>
      </w:r>
      <w:r w:rsidR="00AC769E">
        <w:rPr>
          <w:rFonts w:cs="Arial"/>
          <w:szCs w:val="20"/>
        </w:rPr>
        <w:t xml:space="preserve"> jsou odpovědi podniků v dělení dle počtu zaměstnanců ve firmách, dle země vrcholového vlastníka a odvětví dle klasifikace CZ-NACE. Jednotlivá odvětví jsou řazena od těch, které v souhrnu označovaly „soft skills“ nejčastěji, po ty, pro které tak často stěžejní náplní kurzů/školení nebyly.</w:t>
      </w:r>
    </w:p>
    <w:p w14:paraId="5F3C22D1" w14:textId="77777777" w:rsidR="00DE77E6" w:rsidRDefault="00DE77E6" w:rsidP="00DE77E6">
      <w:pPr>
        <w:spacing w:after="120"/>
        <w:jc w:val="both"/>
        <w:rPr>
          <w:rFonts w:cs="Arial"/>
          <w:szCs w:val="20"/>
        </w:rPr>
      </w:pPr>
      <w:r w:rsidRPr="00A43B73">
        <w:rPr>
          <w:rFonts w:cs="Arial"/>
          <w:b/>
          <w:i/>
          <w:szCs w:val="20"/>
        </w:rPr>
        <w:t>Kurzy zaměřené na „soft skills“</w:t>
      </w:r>
      <w:r>
        <w:rPr>
          <w:rFonts w:cs="Arial"/>
          <w:szCs w:val="20"/>
        </w:rPr>
        <w:t xml:space="preserve"> sledované v šetření CVTS navštěvovali zejména zaměstnanci takových podniků zajišťujících nepovinné kurzy školení, které jsou ve větší míře orientovány na styk se zákazníkem, tedy z oblasti </w:t>
      </w:r>
      <w:r w:rsidRPr="004D265E">
        <w:rPr>
          <w:rFonts w:cs="Arial"/>
          <w:i/>
          <w:szCs w:val="20"/>
        </w:rPr>
        <w:t>ubytování, stravování a pohostinství</w:t>
      </w:r>
      <w:r>
        <w:rPr>
          <w:rFonts w:cs="Arial"/>
          <w:szCs w:val="20"/>
        </w:rPr>
        <w:t xml:space="preserve">, dále </w:t>
      </w:r>
      <w:r w:rsidRPr="004D265E">
        <w:rPr>
          <w:rFonts w:cs="Arial"/>
          <w:i/>
          <w:szCs w:val="20"/>
        </w:rPr>
        <w:t>peněžnictví a pojišťovnictví</w:t>
      </w:r>
      <w:r>
        <w:rPr>
          <w:rFonts w:cs="Arial"/>
          <w:szCs w:val="20"/>
        </w:rPr>
        <w:t xml:space="preserve"> a také </w:t>
      </w:r>
      <w:r w:rsidRPr="004D265E">
        <w:rPr>
          <w:rFonts w:cs="Arial"/>
          <w:i/>
          <w:szCs w:val="20"/>
        </w:rPr>
        <w:t>velkoobchodu a maloobchodu, opravy motorových vozidel</w:t>
      </w:r>
      <w:r>
        <w:rPr>
          <w:rFonts w:cs="Arial"/>
          <w:szCs w:val="20"/>
        </w:rPr>
        <w:t xml:space="preserve">. Již o něco méně často označovaly tyto dovednosti jako stěžejní podniky z oblasti </w:t>
      </w:r>
      <w:r w:rsidRPr="004D265E">
        <w:rPr>
          <w:rFonts w:cs="Arial"/>
          <w:i/>
          <w:szCs w:val="20"/>
        </w:rPr>
        <w:t>informační a komunikační činnosti</w:t>
      </w:r>
      <w:r>
        <w:rPr>
          <w:rFonts w:cs="Arial"/>
          <w:szCs w:val="20"/>
        </w:rPr>
        <w:t xml:space="preserve"> a z oblasti </w:t>
      </w:r>
      <w:r w:rsidRPr="004D265E">
        <w:rPr>
          <w:rFonts w:cs="Arial"/>
          <w:i/>
          <w:szCs w:val="20"/>
        </w:rPr>
        <w:t>kultury, zábavy a rekreace</w:t>
      </w:r>
      <w:r>
        <w:rPr>
          <w:rFonts w:cs="Arial"/>
          <w:szCs w:val="20"/>
        </w:rPr>
        <w:t xml:space="preserve">. Pro ostatní podniky již soft skills mezi důležitými zdaleka </w:t>
      </w:r>
      <w:r w:rsidRPr="00FF2919">
        <w:rPr>
          <w:rFonts w:cs="Arial"/>
          <w:szCs w:val="20"/>
        </w:rPr>
        <w:t xml:space="preserve">tak často </w:t>
      </w:r>
      <w:r>
        <w:rPr>
          <w:rFonts w:cs="Arial"/>
          <w:szCs w:val="20"/>
        </w:rPr>
        <w:t xml:space="preserve">nefigurovaly, nejméně pak pro podniky z oblasti </w:t>
      </w:r>
      <w:r w:rsidRPr="004D265E">
        <w:rPr>
          <w:rFonts w:cs="Arial"/>
          <w:i/>
          <w:szCs w:val="20"/>
        </w:rPr>
        <w:t>stavebnictví</w:t>
      </w:r>
      <w:r>
        <w:rPr>
          <w:rFonts w:cs="Arial"/>
          <w:szCs w:val="20"/>
        </w:rPr>
        <w:t xml:space="preserve"> a z oblasti </w:t>
      </w:r>
      <w:r>
        <w:rPr>
          <w:rFonts w:cs="Arial"/>
          <w:i/>
          <w:szCs w:val="20"/>
        </w:rPr>
        <w:t>dopravy</w:t>
      </w:r>
      <w:r w:rsidRPr="004D265E">
        <w:rPr>
          <w:rFonts w:cs="Arial"/>
          <w:i/>
          <w:szCs w:val="20"/>
        </w:rPr>
        <w:t xml:space="preserve"> a skladování</w:t>
      </w:r>
      <w:r>
        <w:rPr>
          <w:rFonts w:cs="Arial"/>
          <w:szCs w:val="20"/>
        </w:rPr>
        <w:t xml:space="preserve">. </w:t>
      </w:r>
    </w:p>
    <w:p w14:paraId="2110A3AA" w14:textId="0BDF9DD8" w:rsidR="00DE77E6" w:rsidRDefault="00DE77E6" w:rsidP="00DE77E6">
      <w:pPr>
        <w:spacing w:after="120"/>
        <w:jc w:val="both"/>
        <w:rPr>
          <w:rFonts w:cs="Arial"/>
          <w:szCs w:val="20"/>
        </w:rPr>
      </w:pPr>
      <w:r>
        <w:rPr>
          <w:rFonts w:cs="Arial"/>
          <w:szCs w:val="20"/>
        </w:rPr>
        <w:t xml:space="preserve">Podíváme-li se na jednotlivé druhy „soft skills“, na které se kurzy/školení zaměřovaly, pak </w:t>
      </w:r>
      <w:r w:rsidRPr="00A43B73">
        <w:rPr>
          <w:rFonts w:cs="Arial"/>
          <w:b/>
          <w:i/>
          <w:szCs w:val="20"/>
        </w:rPr>
        <w:t>manažerské dovednosti</w:t>
      </w:r>
      <w:r>
        <w:rPr>
          <w:rFonts w:cs="Arial"/>
          <w:szCs w:val="20"/>
        </w:rPr>
        <w:t xml:space="preserve"> patřily mezi hlavní náplň kurzů/školení v necelé třetin</w:t>
      </w:r>
      <w:r w:rsidR="003165E0">
        <w:rPr>
          <w:rFonts w:cs="Arial"/>
          <w:szCs w:val="20"/>
        </w:rPr>
        <w:t xml:space="preserve">ě podniků působících v oblasti </w:t>
      </w:r>
      <w:r w:rsidRPr="00A43B73">
        <w:rPr>
          <w:rFonts w:cs="Arial"/>
          <w:i/>
          <w:szCs w:val="20"/>
        </w:rPr>
        <w:t>peněžnictví a pojišťovnictví</w:t>
      </w:r>
      <w:r w:rsidR="0083216D">
        <w:rPr>
          <w:rFonts w:cs="Arial"/>
          <w:szCs w:val="20"/>
        </w:rPr>
        <w:t xml:space="preserve"> (31</w:t>
      </w:r>
      <w:r>
        <w:rPr>
          <w:rFonts w:cs="Arial"/>
          <w:szCs w:val="20"/>
        </w:rPr>
        <w:t xml:space="preserve"> %) a často je mezi hlavními uváděly též podniky z oblasti </w:t>
      </w:r>
      <w:r w:rsidRPr="00A43B73">
        <w:rPr>
          <w:rFonts w:cs="Arial"/>
          <w:i/>
          <w:szCs w:val="20"/>
        </w:rPr>
        <w:t>informační a komunikační činnosti</w:t>
      </w:r>
      <w:r w:rsidR="0083216D">
        <w:rPr>
          <w:rFonts w:cs="Arial"/>
          <w:szCs w:val="20"/>
        </w:rPr>
        <w:t xml:space="preserve"> (27</w:t>
      </w:r>
      <w:r w:rsidR="003165E0">
        <w:rPr>
          <w:rFonts w:cs="Arial"/>
          <w:szCs w:val="20"/>
        </w:rPr>
        <w:t> %). Mezi ostatními podniky, tj.</w:t>
      </w:r>
      <w:r>
        <w:rPr>
          <w:rFonts w:cs="Arial"/>
          <w:szCs w:val="20"/>
        </w:rPr>
        <w:t xml:space="preserve"> </w:t>
      </w:r>
      <w:r w:rsidR="000C129E">
        <w:rPr>
          <w:rFonts w:cs="Arial"/>
          <w:szCs w:val="20"/>
        </w:rPr>
        <w:t xml:space="preserve">s hlavní ekonomickou činností </w:t>
      </w:r>
      <w:r>
        <w:rPr>
          <w:rFonts w:cs="Arial"/>
          <w:szCs w:val="20"/>
        </w:rPr>
        <w:t xml:space="preserve">v jiných odvětvích, se již najde jen 16 % a méně </w:t>
      </w:r>
      <w:r w:rsidR="00A50E7E">
        <w:rPr>
          <w:rFonts w:cs="Arial"/>
          <w:szCs w:val="20"/>
        </w:rPr>
        <w:t>podniků</w:t>
      </w:r>
      <w:r>
        <w:rPr>
          <w:rFonts w:cs="Arial"/>
          <w:szCs w:val="20"/>
        </w:rPr>
        <w:t xml:space="preserve">, které by manažerské dovednosti řadily mezi stěžejní náplň nepovinných kurzů/školení, nejméně </w:t>
      </w:r>
      <w:r w:rsidR="001B02BF">
        <w:rPr>
          <w:rFonts w:cs="Arial"/>
          <w:szCs w:val="20"/>
        </w:rPr>
        <w:t xml:space="preserve">mezi těmi působícími </w:t>
      </w:r>
      <w:r>
        <w:rPr>
          <w:rFonts w:cs="Arial"/>
          <w:szCs w:val="20"/>
        </w:rPr>
        <w:t xml:space="preserve">v oblasti </w:t>
      </w:r>
      <w:r w:rsidRPr="00A43B73">
        <w:rPr>
          <w:rFonts w:cs="Arial"/>
          <w:i/>
          <w:szCs w:val="20"/>
        </w:rPr>
        <w:t>kultury, zábavy a rekreace</w:t>
      </w:r>
      <w:r w:rsidR="0083216D">
        <w:rPr>
          <w:rFonts w:cs="Arial"/>
          <w:szCs w:val="20"/>
        </w:rPr>
        <w:t xml:space="preserve"> (5</w:t>
      </w:r>
      <w:r>
        <w:rPr>
          <w:rFonts w:cs="Arial"/>
          <w:szCs w:val="20"/>
        </w:rPr>
        <w:t xml:space="preserve"> %). </w:t>
      </w:r>
      <w:r w:rsidRPr="003165E0">
        <w:rPr>
          <w:rFonts w:cs="Arial"/>
          <w:b/>
          <w:i/>
          <w:szCs w:val="20"/>
        </w:rPr>
        <w:t>Jednání se zákazníky</w:t>
      </w:r>
      <w:r>
        <w:rPr>
          <w:rFonts w:cs="Arial"/>
          <w:szCs w:val="20"/>
        </w:rPr>
        <w:t xml:space="preserve"> a </w:t>
      </w:r>
      <w:r w:rsidRPr="003165E0">
        <w:rPr>
          <w:rFonts w:cs="Arial"/>
          <w:b/>
          <w:i/>
          <w:szCs w:val="20"/>
        </w:rPr>
        <w:t>komunikační dovednosti</w:t>
      </w:r>
      <w:r w:rsidR="00A50E7E">
        <w:rPr>
          <w:rFonts w:cs="Arial"/>
          <w:szCs w:val="20"/>
        </w:rPr>
        <w:t xml:space="preserve"> pak označily</w:t>
      </w:r>
      <w:r>
        <w:rPr>
          <w:rFonts w:cs="Arial"/>
          <w:szCs w:val="20"/>
        </w:rPr>
        <w:t xml:space="preserve"> jako stěžejní téma nepovinných kurzů/školení jen cca 3 % podniků z oblasti </w:t>
      </w:r>
      <w:r w:rsidRPr="00A43B73">
        <w:rPr>
          <w:rFonts w:cs="Arial"/>
          <w:i/>
          <w:szCs w:val="20"/>
        </w:rPr>
        <w:t>stavebnictví</w:t>
      </w:r>
      <w:r>
        <w:rPr>
          <w:rFonts w:cs="Arial"/>
          <w:szCs w:val="20"/>
        </w:rPr>
        <w:t>, které nepovinné kurzy/školení v roce 2020 zajišťovaly. Naopak, ve srovnán</w:t>
      </w:r>
      <w:r w:rsidR="001B02BF">
        <w:rPr>
          <w:rFonts w:cs="Arial"/>
          <w:szCs w:val="20"/>
        </w:rPr>
        <w:t>í s podniky z jiných odvětví se</w:t>
      </w:r>
      <w:r>
        <w:rPr>
          <w:rFonts w:cs="Arial"/>
          <w:szCs w:val="20"/>
        </w:rPr>
        <w:t xml:space="preserve"> téma komunikačních dovedností</w:t>
      </w:r>
      <w:r w:rsidRPr="000C3103">
        <w:t xml:space="preserve"> </w:t>
      </w:r>
      <w:r w:rsidRPr="000C3103">
        <w:rPr>
          <w:rFonts w:cs="Arial"/>
          <w:szCs w:val="20"/>
        </w:rPr>
        <w:t>stalo jednoznačně nejdůležit</w:t>
      </w:r>
      <w:r>
        <w:rPr>
          <w:rFonts w:cs="Arial"/>
          <w:szCs w:val="20"/>
        </w:rPr>
        <w:t>ějším pro obsah kurzů/školení v </w:t>
      </w:r>
      <w:r w:rsidRPr="000C3103">
        <w:rPr>
          <w:rFonts w:cs="Arial"/>
          <w:szCs w:val="20"/>
        </w:rPr>
        <w:t xml:space="preserve">podnicích z oblasti </w:t>
      </w:r>
      <w:r w:rsidRPr="00A43B73">
        <w:rPr>
          <w:rFonts w:cs="Arial"/>
          <w:i/>
          <w:szCs w:val="20"/>
        </w:rPr>
        <w:t>kultury, zábavy a rekreace</w:t>
      </w:r>
      <w:r w:rsidR="0083216D">
        <w:rPr>
          <w:rFonts w:cs="Arial"/>
          <w:szCs w:val="20"/>
        </w:rPr>
        <w:t xml:space="preserve"> (uvedlo tak 33</w:t>
      </w:r>
      <w:r>
        <w:rPr>
          <w:rFonts w:cs="Arial"/>
          <w:szCs w:val="20"/>
        </w:rPr>
        <w:t> %) a téma jednání se zákazníky</w:t>
      </w:r>
      <w:r w:rsidRPr="000C3103">
        <w:rPr>
          <w:rFonts w:cs="Arial"/>
          <w:szCs w:val="20"/>
        </w:rPr>
        <w:t xml:space="preserve"> </w:t>
      </w:r>
      <w:r>
        <w:rPr>
          <w:rFonts w:cs="Arial"/>
          <w:szCs w:val="20"/>
        </w:rPr>
        <w:t>zas nejčetněji uváděly podniky působící v oblasti</w:t>
      </w:r>
      <w:r w:rsidRPr="000C3103">
        <w:rPr>
          <w:rFonts w:cs="Arial"/>
          <w:szCs w:val="20"/>
        </w:rPr>
        <w:t xml:space="preserve"> </w:t>
      </w:r>
      <w:r w:rsidRPr="00A43B73">
        <w:rPr>
          <w:rFonts w:cs="Arial"/>
          <w:i/>
          <w:szCs w:val="20"/>
        </w:rPr>
        <w:t>ubytování, stravování a pohostinství</w:t>
      </w:r>
      <w:r w:rsidR="0083216D">
        <w:rPr>
          <w:rFonts w:cs="Arial"/>
          <w:szCs w:val="20"/>
        </w:rPr>
        <w:t xml:space="preserve"> (uvedlo tak 44</w:t>
      </w:r>
      <w:r>
        <w:rPr>
          <w:rFonts w:cs="Arial"/>
          <w:szCs w:val="20"/>
        </w:rPr>
        <w:t xml:space="preserve"> % podniků). Také </w:t>
      </w:r>
      <w:r w:rsidRPr="003165E0">
        <w:rPr>
          <w:rFonts w:cs="Arial"/>
          <w:b/>
          <w:i/>
          <w:szCs w:val="20"/>
        </w:rPr>
        <w:t>schopnost týmové práce</w:t>
      </w:r>
      <w:r w:rsidRPr="003165E0">
        <w:rPr>
          <w:rFonts w:cs="Arial"/>
          <w:i/>
          <w:szCs w:val="20"/>
        </w:rPr>
        <w:t xml:space="preserve"> a </w:t>
      </w:r>
      <w:r w:rsidRPr="003165E0">
        <w:rPr>
          <w:rFonts w:cs="Arial"/>
          <w:b/>
          <w:i/>
          <w:szCs w:val="20"/>
        </w:rPr>
        <w:t>řešení problémů či obtížných úkolů</w:t>
      </w:r>
      <w:r>
        <w:rPr>
          <w:rFonts w:cs="Arial"/>
          <w:szCs w:val="20"/>
        </w:rPr>
        <w:t xml:space="preserve"> se stalo stěžejní náplní kurzů v největší míře pro podniky z oblasti </w:t>
      </w:r>
      <w:r w:rsidRPr="00A43B73">
        <w:rPr>
          <w:rFonts w:cs="Arial"/>
          <w:i/>
          <w:szCs w:val="20"/>
        </w:rPr>
        <w:t>ubytování, stravování a pohostinství</w:t>
      </w:r>
      <w:r w:rsidR="0083216D">
        <w:rPr>
          <w:rFonts w:cs="Arial"/>
          <w:szCs w:val="20"/>
        </w:rPr>
        <w:t xml:space="preserve"> (22 %, resp. 17</w:t>
      </w:r>
      <w:r>
        <w:rPr>
          <w:rFonts w:cs="Arial"/>
          <w:szCs w:val="20"/>
        </w:rPr>
        <w:t> %).</w:t>
      </w:r>
    </w:p>
    <w:p w14:paraId="5BFB2372" w14:textId="123CBA19" w:rsidR="00DE77E6" w:rsidRDefault="00DE77E6" w:rsidP="00DE77E6">
      <w:pPr>
        <w:spacing w:after="120"/>
        <w:jc w:val="both"/>
        <w:rPr>
          <w:rFonts w:cs="Arial"/>
          <w:szCs w:val="20"/>
        </w:rPr>
      </w:pPr>
      <w:r>
        <w:rPr>
          <w:rFonts w:cs="Arial"/>
          <w:szCs w:val="20"/>
        </w:rPr>
        <w:t xml:space="preserve">Pokud se jedná o dělení </w:t>
      </w:r>
      <w:r w:rsidRPr="00A43B73">
        <w:rPr>
          <w:rFonts w:cs="Arial"/>
          <w:b/>
          <w:szCs w:val="20"/>
        </w:rPr>
        <w:t>dle velikosti podniku</w:t>
      </w:r>
      <w:r>
        <w:rPr>
          <w:rFonts w:cs="Arial"/>
          <w:szCs w:val="20"/>
        </w:rPr>
        <w:t xml:space="preserve">, pro </w:t>
      </w:r>
      <w:r w:rsidRPr="00A43B73">
        <w:rPr>
          <w:rFonts w:cs="Arial"/>
          <w:b/>
          <w:i/>
          <w:szCs w:val="20"/>
        </w:rPr>
        <w:t>manažerské dovednosti</w:t>
      </w:r>
      <w:r>
        <w:rPr>
          <w:rFonts w:cs="Arial"/>
          <w:szCs w:val="20"/>
        </w:rPr>
        <w:t xml:space="preserve"> a </w:t>
      </w:r>
      <w:r w:rsidRPr="00A43B73">
        <w:rPr>
          <w:rFonts w:cs="Arial"/>
          <w:b/>
          <w:i/>
          <w:szCs w:val="20"/>
        </w:rPr>
        <w:t>komunikační dovednosti</w:t>
      </w:r>
      <w:r>
        <w:rPr>
          <w:rFonts w:cs="Arial"/>
          <w:szCs w:val="20"/>
        </w:rPr>
        <w:t xml:space="preserve">  platí, že čím více bylo zaměstnanců v podniku, tím spíše se objevovaly mezi stěžejními tématy nepovinných kurzů/školení. U ostatních dovedností z oblasti soft skills jsou rozdíly mezi různě velkými podniky </w:t>
      </w:r>
      <w:r w:rsidR="00A50E7E">
        <w:rPr>
          <w:rFonts w:cs="Arial"/>
          <w:szCs w:val="20"/>
        </w:rPr>
        <w:t xml:space="preserve">již spíše </w:t>
      </w:r>
      <w:r>
        <w:rPr>
          <w:rFonts w:cs="Arial"/>
          <w:szCs w:val="20"/>
        </w:rPr>
        <w:t xml:space="preserve">zanedbatelné. </w:t>
      </w:r>
    </w:p>
    <w:p w14:paraId="04CACDBE" w14:textId="1CFAEDEE" w:rsidR="00DE77E6" w:rsidRDefault="00DE77E6" w:rsidP="00DE77E6">
      <w:pPr>
        <w:spacing w:after="120"/>
        <w:jc w:val="both"/>
        <w:rPr>
          <w:rFonts w:cs="Arial"/>
          <w:szCs w:val="20"/>
        </w:rPr>
      </w:pPr>
      <w:r>
        <w:rPr>
          <w:rFonts w:cs="Arial"/>
          <w:szCs w:val="20"/>
        </w:rPr>
        <w:lastRenderedPageBreak/>
        <w:t xml:space="preserve">Nakonec, při pohledu na dělení </w:t>
      </w:r>
      <w:r w:rsidRPr="00A43B73">
        <w:rPr>
          <w:rFonts w:cs="Arial"/>
          <w:b/>
          <w:szCs w:val="20"/>
        </w:rPr>
        <w:t xml:space="preserve">dle </w:t>
      </w:r>
      <w:r w:rsidR="000F27F7">
        <w:rPr>
          <w:rFonts w:cs="Arial"/>
          <w:b/>
          <w:szCs w:val="20"/>
        </w:rPr>
        <w:t>druhu vlastnictví podniku</w:t>
      </w:r>
      <w:r>
        <w:rPr>
          <w:rFonts w:cs="Arial"/>
          <w:szCs w:val="20"/>
        </w:rPr>
        <w:t xml:space="preserve"> je zřejmé, že všechny soft skills zaujaly častěji pozici stěžejního tématu nepovinných kurzů/školení v podnicích </w:t>
      </w:r>
      <w:r w:rsidR="000F27F7">
        <w:rPr>
          <w:rFonts w:cs="Arial"/>
          <w:szCs w:val="20"/>
        </w:rPr>
        <w:t>se zahraniční kontrolou než v domácích podnicích</w:t>
      </w:r>
      <w:r>
        <w:rPr>
          <w:rFonts w:cs="Arial"/>
          <w:szCs w:val="20"/>
        </w:rPr>
        <w:t>. Tyto podniky také logicky častěji řad</w:t>
      </w:r>
      <w:r w:rsidR="00270F4B">
        <w:rPr>
          <w:rFonts w:cs="Arial"/>
          <w:szCs w:val="20"/>
        </w:rPr>
        <w:t>ily mezi stěžejní více druhů sof</w:t>
      </w:r>
      <w:r>
        <w:rPr>
          <w:rFonts w:cs="Arial"/>
          <w:szCs w:val="20"/>
        </w:rPr>
        <w:t xml:space="preserve">t skills. </w:t>
      </w:r>
    </w:p>
    <w:p w14:paraId="6358E8A9" w14:textId="5B27A051" w:rsidR="00C74154" w:rsidRDefault="00C74154" w:rsidP="00925D0A">
      <w:pPr>
        <w:keepNext/>
        <w:spacing w:after="0"/>
        <w:jc w:val="both"/>
        <w:rPr>
          <w:rFonts w:cs="Arial"/>
          <w:b/>
          <w:szCs w:val="20"/>
        </w:rPr>
      </w:pPr>
      <w:r>
        <w:rPr>
          <w:rFonts w:cs="Arial"/>
          <w:b/>
          <w:szCs w:val="20"/>
        </w:rPr>
        <w:t>Tab.</w:t>
      </w:r>
      <w:r w:rsidR="00006993">
        <w:rPr>
          <w:rFonts w:cs="Arial"/>
          <w:b/>
          <w:szCs w:val="20"/>
        </w:rPr>
        <w:t xml:space="preserve"> </w:t>
      </w:r>
      <w:r w:rsidR="00AC769E" w:rsidRPr="00AC769E">
        <w:rPr>
          <w:rFonts w:cs="Arial"/>
          <w:b/>
          <w:szCs w:val="20"/>
        </w:rPr>
        <w:t>3.1</w:t>
      </w:r>
      <w:r w:rsidR="001719CB">
        <w:rPr>
          <w:rFonts w:cs="Arial"/>
          <w:b/>
          <w:szCs w:val="20"/>
        </w:rPr>
        <w:t>a</w:t>
      </w:r>
      <w:r w:rsidR="00AC769E" w:rsidRPr="00AC769E">
        <w:rPr>
          <w:rFonts w:cs="Arial"/>
          <w:b/>
          <w:szCs w:val="20"/>
        </w:rPr>
        <w:t xml:space="preserve"> </w:t>
      </w:r>
      <w:r>
        <w:rPr>
          <w:rFonts w:cs="Arial"/>
          <w:b/>
          <w:szCs w:val="20"/>
        </w:rPr>
        <w:t xml:space="preserve">Podniky s uvedenými druhy </w:t>
      </w:r>
      <w:r w:rsidR="00AC769E" w:rsidRPr="00AC769E">
        <w:rPr>
          <w:rFonts w:cs="Arial"/>
          <w:b/>
          <w:szCs w:val="20"/>
        </w:rPr>
        <w:t>„soft skills“</w:t>
      </w:r>
      <w:r>
        <w:rPr>
          <w:rFonts w:cs="Arial"/>
          <w:b/>
          <w:szCs w:val="20"/>
        </w:rPr>
        <w:t xml:space="preserve"> coby stěžejní náplní</w:t>
      </w:r>
      <w:r w:rsidR="00AC769E" w:rsidRPr="00AC769E">
        <w:rPr>
          <w:rFonts w:cs="Arial"/>
          <w:b/>
          <w:szCs w:val="20"/>
        </w:rPr>
        <w:t xml:space="preserve"> </w:t>
      </w:r>
      <w:r w:rsidR="00925D0A">
        <w:rPr>
          <w:rFonts w:cs="Arial"/>
          <w:b/>
          <w:szCs w:val="20"/>
        </w:rPr>
        <w:t>nepovinných</w:t>
      </w:r>
      <w:r>
        <w:rPr>
          <w:rFonts w:cs="Arial"/>
          <w:b/>
          <w:szCs w:val="20"/>
        </w:rPr>
        <w:t xml:space="preserve"> kurzů</w:t>
      </w:r>
      <w:r w:rsidR="00925D0A">
        <w:rPr>
          <w:rFonts w:cs="Arial"/>
          <w:b/>
          <w:szCs w:val="20"/>
        </w:rPr>
        <w:t>, 2020</w:t>
      </w:r>
      <w:r>
        <w:rPr>
          <w:rFonts w:cs="Arial"/>
          <w:b/>
          <w:szCs w:val="20"/>
        </w:rPr>
        <w:t xml:space="preserve"> </w:t>
      </w:r>
    </w:p>
    <w:p w14:paraId="558CD292" w14:textId="6AA96B5C" w:rsidR="00AC769E" w:rsidRPr="00925D0A" w:rsidRDefault="00C74154" w:rsidP="00DE77E6">
      <w:pPr>
        <w:keepNext/>
        <w:spacing w:after="120"/>
        <w:jc w:val="both"/>
        <w:rPr>
          <w:rFonts w:cs="Arial"/>
          <w:szCs w:val="20"/>
        </w:rPr>
      </w:pPr>
      <w:r w:rsidRPr="00925D0A">
        <w:rPr>
          <w:rFonts w:cs="Arial"/>
          <w:szCs w:val="20"/>
        </w:rPr>
        <w:t>(</w:t>
      </w:r>
      <w:r w:rsidR="00AC769E" w:rsidRPr="00925D0A">
        <w:rPr>
          <w:rFonts w:cs="Arial"/>
          <w:szCs w:val="20"/>
        </w:rPr>
        <w:t>v %</w:t>
      </w:r>
      <w:r w:rsidRPr="00925D0A">
        <w:rPr>
          <w:rFonts w:cs="Arial"/>
          <w:szCs w:val="20"/>
        </w:rPr>
        <w:t xml:space="preserve"> z</w:t>
      </w:r>
      <w:r w:rsidRPr="00925D0A">
        <w:t xml:space="preserve"> </w:t>
      </w:r>
      <w:r w:rsidRPr="00925D0A">
        <w:rPr>
          <w:rFonts w:cs="Arial"/>
          <w:szCs w:val="20"/>
        </w:rPr>
        <w:t>podniků zajišťujících nepovinné kurzy/školení</w:t>
      </w:r>
      <w:r w:rsidR="00AC769E" w:rsidRPr="00925D0A">
        <w:rPr>
          <w:rFonts w:cs="Arial"/>
          <w:szCs w:val="20"/>
        </w:rPr>
        <w:t>)</w:t>
      </w:r>
    </w:p>
    <w:tbl>
      <w:tblPr>
        <w:tblW w:w="9740" w:type="dxa"/>
        <w:tblCellMar>
          <w:left w:w="70" w:type="dxa"/>
          <w:right w:w="70" w:type="dxa"/>
        </w:tblCellMar>
        <w:tblLook w:val="04A0" w:firstRow="1" w:lastRow="0" w:firstColumn="1" w:lastColumn="0" w:noHBand="0" w:noVBand="1"/>
      </w:tblPr>
      <w:tblGrid>
        <w:gridCol w:w="3360"/>
        <w:gridCol w:w="1360"/>
        <w:gridCol w:w="1180"/>
        <w:gridCol w:w="1200"/>
        <w:gridCol w:w="1300"/>
        <w:gridCol w:w="1340"/>
      </w:tblGrid>
      <w:tr w:rsidR="00AC769E" w:rsidRPr="00AC769E" w14:paraId="09154392" w14:textId="77777777" w:rsidTr="00AC769E">
        <w:trPr>
          <w:trHeight w:val="300"/>
        </w:trPr>
        <w:tc>
          <w:tcPr>
            <w:tcW w:w="336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32971AEC" w14:textId="77777777" w:rsidR="00AC769E" w:rsidRPr="00AC769E" w:rsidRDefault="00AC769E" w:rsidP="00DE77E6">
            <w:pPr>
              <w:keepNext/>
              <w:spacing w:after="0" w:line="240" w:lineRule="auto"/>
              <w:jc w:val="center"/>
              <w:rPr>
                <w:rFonts w:cs="Arial"/>
                <w:b/>
                <w:bCs/>
                <w:color w:val="000000"/>
                <w:sz w:val="16"/>
                <w:szCs w:val="16"/>
              </w:rPr>
            </w:pPr>
            <w:r w:rsidRPr="00AC769E">
              <w:rPr>
                <w:rFonts w:cs="Arial"/>
                <w:b/>
                <w:bCs/>
                <w:color w:val="000000"/>
                <w:sz w:val="16"/>
                <w:szCs w:val="16"/>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69F09EC8" w14:textId="6D2530EA" w:rsidR="00AC769E" w:rsidRPr="00AC769E" w:rsidRDefault="006026BF" w:rsidP="00DE77E6">
            <w:pPr>
              <w:keepNext/>
              <w:spacing w:after="0" w:line="240" w:lineRule="auto"/>
              <w:jc w:val="center"/>
              <w:rPr>
                <w:rFonts w:cs="Arial"/>
                <w:b/>
                <w:bCs/>
                <w:color w:val="000000"/>
                <w:sz w:val="16"/>
                <w:szCs w:val="16"/>
              </w:rPr>
            </w:pPr>
            <w:r>
              <w:rPr>
                <w:rFonts w:cs="Arial"/>
                <w:b/>
                <w:bCs/>
                <w:color w:val="000000"/>
                <w:sz w:val="16"/>
                <w:szCs w:val="16"/>
              </w:rPr>
              <w:t>M</w:t>
            </w:r>
            <w:r w:rsidR="00AC769E" w:rsidRPr="00AC769E">
              <w:rPr>
                <w:rFonts w:cs="Arial"/>
                <w:b/>
                <w:bCs/>
                <w:color w:val="000000"/>
                <w:sz w:val="16"/>
                <w:szCs w:val="16"/>
              </w:rPr>
              <w:t xml:space="preserve">anažerské dovednosti </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4F0850B2" w14:textId="000B8D96" w:rsidR="00AC769E" w:rsidRPr="00AC769E" w:rsidRDefault="006026BF" w:rsidP="00DE77E6">
            <w:pPr>
              <w:keepNext/>
              <w:spacing w:after="0" w:line="240" w:lineRule="auto"/>
              <w:jc w:val="center"/>
              <w:rPr>
                <w:rFonts w:cs="Arial"/>
                <w:b/>
                <w:bCs/>
                <w:color w:val="000000"/>
                <w:sz w:val="16"/>
                <w:szCs w:val="16"/>
              </w:rPr>
            </w:pPr>
            <w:r>
              <w:rPr>
                <w:rFonts w:cs="Arial"/>
                <w:b/>
                <w:bCs/>
                <w:color w:val="000000"/>
                <w:sz w:val="16"/>
                <w:szCs w:val="16"/>
              </w:rPr>
              <w:t>J</w:t>
            </w:r>
            <w:r w:rsidR="00AC769E" w:rsidRPr="00AC769E">
              <w:rPr>
                <w:rFonts w:cs="Arial"/>
                <w:b/>
                <w:bCs/>
                <w:color w:val="000000"/>
                <w:sz w:val="16"/>
                <w:szCs w:val="16"/>
              </w:rPr>
              <w:t>ednání se zákazníky</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0D0CA80A" w14:textId="4BC458A8" w:rsidR="00AC769E" w:rsidRPr="00AC769E" w:rsidRDefault="006026BF" w:rsidP="00DE77E6">
            <w:pPr>
              <w:keepNext/>
              <w:spacing w:after="0" w:line="240" w:lineRule="auto"/>
              <w:jc w:val="center"/>
              <w:rPr>
                <w:rFonts w:cs="Arial"/>
                <w:b/>
                <w:bCs/>
                <w:color w:val="000000"/>
                <w:sz w:val="16"/>
                <w:szCs w:val="16"/>
              </w:rPr>
            </w:pPr>
            <w:r>
              <w:rPr>
                <w:rFonts w:cs="Arial"/>
                <w:b/>
                <w:bCs/>
                <w:color w:val="000000"/>
                <w:sz w:val="16"/>
                <w:szCs w:val="16"/>
              </w:rPr>
              <w:t>K</w:t>
            </w:r>
            <w:r w:rsidR="00AC769E" w:rsidRPr="00AC769E">
              <w:rPr>
                <w:rFonts w:cs="Arial"/>
                <w:b/>
                <w:bCs/>
                <w:color w:val="000000"/>
                <w:sz w:val="16"/>
                <w:szCs w:val="16"/>
              </w:rPr>
              <w:t xml:space="preserve">omunikační dovednosti </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39974646" w14:textId="548E0356" w:rsidR="00AC769E" w:rsidRPr="00AC769E" w:rsidRDefault="006026BF" w:rsidP="00DE77E6">
            <w:pPr>
              <w:keepNext/>
              <w:spacing w:after="0" w:line="240" w:lineRule="auto"/>
              <w:jc w:val="center"/>
              <w:rPr>
                <w:rFonts w:cs="Arial"/>
                <w:b/>
                <w:bCs/>
                <w:color w:val="000000"/>
                <w:sz w:val="16"/>
                <w:szCs w:val="16"/>
              </w:rPr>
            </w:pPr>
            <w:r>
              <w:rPr>
                <w:rFonts w:cs="Arial"/>
                <w:b/>
                <w:bCs/>
                <w:color w:val="000000"/>
                <w:sz w:val="16"/>
                <w:szCs w:val="16"/>
              </w:rPr>
              <w:t>S</w:t>
            </w:r>
            <w:r w:rsidR="00AC769E" w:rsidRPr="00AC769E">
              <w:rPr>
                <w:rFonts w:cs="Arial"/>
                <w:b/>
                <w:bCs/>
                <w:color w:val="000000"/>
                <w:sz w:val="16"/>
                <w:szCs w:val="16"/>
              </w:rPr>
              <w:t xml:space="preserve">chopnost týmové práce </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7B6FBF92" w14:textId="6B765F77" w:rsidR="00AC769E" w:rsidRPr="00AC769E" w:rsidRDefault="006026BF" w:rsidP="00DE77E6">
            <w:pPr>
              <w:keepNext/>
              <w:spacing w:after="0" w:line="240" w:lineRule="auto"/>
              <w:jc w:val="center"/>
              <w:rPr>
                <w:rFonts w:cs="Arial"/>
                <w:b/>
                <w:bCs/>
                <w:color w:val="000000"/>
                <w:sz w:val="16"/>
                <w:szCs w:val="16"/>
              </w:rPr>
            </w:pPr>
            <w:r>
              <w:rPr>
                <w:rFonts w:cs="Arial"/>
                <w:b/>
                <w:bCs/>
                <w:color w:val="000000"/>
                <w:sz w:val="16"/>
                <w:szCs w:val="16"/>
              </w:rPr>
              <w:t>Ř</w:t>
            </w:r>
            <w:r w:rsidR="00AC769E" w:rsidRPr="00AC769E">
              <w:rPr>
                <w:rFonts w:cs="Arial"/>
                <w:b/>
                <w:bCs/>
                <w:color w:val="000000"/>
                <w:sz w:val="16"/>
                <w:szCs w:val="16"/>
              </w:rPr>
              <w:t>ešení problémů či obtížných úkolů</w:t>
            </w:r>
          </w:p>
        </w:tc>
      </w:tr>
      <w:tr w:rsidR="00AC769E" w:rsidRPr="00AC769E" w14:paraId="085A547F" w14:textId="77777777" w:rsidTr="00AC769E">
        <w:trPr>
          <w:trHeight w:val="300"/>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0FCDF183" w14:textId="77777777" w:rsidR="00AC769E" w:rsidRPr="00AC769E" w:rsidRDefault="00AC769E" w:rsidP="00DE77E6">
            <w:pPr>
              <w:keepNext/>
              <w:spacing w:after="0" w:line="240" w:lineRule="auto"/>
              <w:rPr>
                <w:rFonts w:cs="Arial"/>
                <w:b/>
                <w:bCs/>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AB6EE47" w14:textId="77777777" w:rsidR="00AC769E" w:rsidRPr="00AC769E" w:rsidRDefault="00AC769E" w:rsidP="00DE77E6">
            <w:pPr>
              <w:keepNext/>
              <w:spacing w:after="0" w:line="240" w:lineRule="auto"/>
              <w:rPr>
                <w:rFonts w:cs="Arial"/>
                <w:b/>
                <w:bCs/>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6E002C5" w14:textId="77777777" w:rsidR="00AC769E" w:rsidRPr="00AC769E" w:rsidRDefault="00AC769E" w:rsidP="00DE77E6">
            <w:pPr>
              <w:keepNext/>
              <w:spacing w:after="0" w:line="240" w:lineRule="auto"/>
              <w:rPr>
                <w:rFonts w:cs="Arial"/>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AD70566" w14:textId="77777777" w:rsidR="00AC769E" w:rsidRPr="00AC769E" w:rsidRDefault="00AC769E" w:rsidP="00DE77E6">
            <w:pPr>
              <w:keepNext/>
              <w:spacing w:after="0" w:line="240" w:lineRule="auto"/>
              <w:rPr>
                <w:rFonts w:cs="Arial"/>
                <w:b/>
                <w:bCs/>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5F6FEFD" w14:textId="77777777" w:rsidR="00AC769E" w:rsidRPr="00AC769E" w:rsidRDefault="00AC769E" w:rsidP="00DE77E6">
            <w:pPr>
              <w:keepNext/>
              <w:spacing w:after="0" w:line="240" w:lineRule="auto"/>
              <w:rPr>
                <w:rFonts w:cs="Arial"/>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FA0D6B8" w14:textId="77777777" w:rsidR="00AC769E" w:rsidRPr="00AC769E" w:rsidRDefault="00AC769E" w:rsidP="00DE77E6">
            <w:pPr>
              <w:keepNext/>
              <w:spacing w:after="0" w:line="240" w:lineRule="auto"/>
              <w:rPr>
                <w:rFonts w:cs="Arial"/>
                <w:b/>
                <w:bCs/>
                <w:color w:val="000000"/>
                <w:sz w:val="16"/>
                <w:szCs w:val="16"/>
              </w:rPr>
            </w:pPr>
          </w:p>
        </w:tc>
      </w:tr>
      <w:tr w:rsidR="00AC769E" w:rsidRPr="00AC769E" w14:paraId="2ECE2DCA" w14:textId="77777777" w:rsidTr="00AC769E">
        <w:trPr>
          <w:trHeight w:val="300"/>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0C684529" w14:textId="77777777" w:rsidR="00AC769E" w:rsidRPr="00AC769E" w:rsidRDefault="00AC769E" w:rsidP="00DE77E6">
            <w:pPr>
              <w:keepNext/>
              <w:spacing w:after="0" w:line="240" w:lineRule="auto"/>
              <w:rPr>
                <w:rFonts w:cs="Arial"/>
                <w:b/>
                <w:bCs/>
                <w:color w:val="000000"/>
                <w:sz w:val="16"/>
                <w:szCs w:val="1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731F224" w14:textId="77777777" w:rsidR="00AC769E" w:rsidRPr="00AC769E" w:rsidRDefault="00AC769E" w:rsidP="00DE77E6">
            <w:pPr>
              <w:keepNext/>
              <w:spacing w:after="0" w:line="240" w:lineRule="auto"/>
              <w:rPr>
                <w:rFonts w:cs="Arial"/>
                <w:b/>
                <w:bCs/>
                <w:color w:val="000000"/>
                <w:sz w:val="16"/>
                <w:szCs w:val="16"/>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223040D" w14:textId="77777777" w:rsidR="00AC769E" w:rsidRPr="00AC769E" w:rsidRDefault="00AC769E" w:rsidP="00DE77E6">
            <w:pPr>
              <w:keepNext/>
              <w:spacing w:after="0" w:line="240" w:lineRule="auto"/>
              <w:rPr>
                <w:rFonts w:cs="Arial"/>
                <w:b/>
                <w:bCs/>
                <w:color w:val="000000"/>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45F50AC" w14:textId="77777777" w:rsidR="00AC769E" w:rsidRPr="00AC769E" w:rsidRDefault="00AC769E" w:rsidP="00DE77E6">
            <w:pPr>
              <w:keepNext/>
              <w:spacing w:after="0" w:line="240" w:lineRule="auto"/>
              <w:rPr>
                <w:rFonts w:cs="Arial"/>
                <w:b/>
                <w:bCs/>
                <w:color w:val="000000"/>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7A6AA55" w14:textId="77777777" w:rsidR="00AC769E" w:rsidRPr="00AC769E" w:rsidRDefault="00AC769E" w:rsidP="00DE77E6">
            <w:pPr>
              <w:keepNext/>
              <w:spacing w:after="0" w:line="240" w:lineRule="auto"/>
              <w:rPr>
                <w:rFonts w:cs="Arial"/>
                <w:b/>
                <w:bCs/>
                <w:color w:val="000000"/>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FE13C2B" w14:textId="77777777" w:rsidR="00AC769E" w:rsidRPr="00AC769E" w:rsidRDefault="00AC769E" w:rsidP="00DE77E6">
            <w:pPr>
              <w:keepNext/>
              <w:spacing w:after="0" w:line="240" w:lineRule="auto"/>
              <w:rPr>
                <w:rFonts w:cs="Arial"/>
                <w:b/>
                <w:bCs/>
                <w:color w:val="000000"/>
                <w:sz w:val="16"/>
                <w:szCs w:val="16"/>
              </w:rPr>
            </w:pPr>
          </w:p>
        </w:tc>
      </w:tr>
      <w:tr w:rsidR="00AC769E" w:rsidRPr="00AC769E" w14:paraId="46698F53"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vAlign w:val="center"/>
            <w:hideMark/>
          </w:tcPr>
          <w:p w14:paraId="36BF7513" w14:textId="77777777" w:rsidR="00AC769E" w:rsidRPr="00AC769E" w:rsidRDefault="00AC769E" w:rsidP="00DE77E6">
            <w:pPr>
              <w:keepNext/>
              <w:spacing w:after="0" w:line="240" w:lineRule="auto"/>
              <w:rPr>
                <w:rFonts w:cs="Arial"/>
                <w:b/>
                <w:bCs/>
                <w:sz w:val="16"/>
                <w:szCs w:val="16"/>
              </w:rPr>
            </w:pPr>
            <w:r w:rsidRPr="00AC769E">
              <w:rPr>
                <w:rFonts w:cs="Arial"/>
                <w:b/>
                <w:bCs/>
                <w:sz w:val="16"/>
                <w:szCs w:val="16"/>
              </w:rPr>
              <w:t>Celkem</w:t>
            </w:r>
          </w:p>
        </w:tc>
        <w:tc>
          <w:tcPr>
            <w:tcW w:w="1360" w:type="dxa"/>
            <w:tcBorders>
              <w:top w:val="nil"/>
              <w:left w:val="nil"/>
              <w:bottom w:val="single" w:sz="4" w:space="0" w:color="auto"/>
              <w:right w:val="single" w:sz="4" w:space="0" w:color="auto"/>
            </w:tcBorders>
            <w:shd w:val="clear" w:color="auto" w:fill="auto"/>
            <w:noWrap/>
            <w:vAlign w:val="center"/>
            <w:hideMark/>
          </w:tcPr>
          <w:p w14:paraId="69FB39CF" w14:textId="77777777" w:rsidR="00AC769E" w:rsidRPr="00D93BF6" w:rsidRDefault="00AC769E" w:rsidP="00DE77E6">
            <w:pPr>
              <w:keepNext/>
              <w:spacing w:after="0" w:line="240" w:lineRule="auto"/>
              <w:jc w:val="right"/>
              <w:rPr>
                <w:rFonts w:cs="Arial"/>
                <w:b/>
                <w:color w:val="000000"/>
                <w:sz w:val="16"/>
                <w:szCs w:val="16"/>
              </w:rPr>
            </w:pPr>
            <w:r w:rsidRPr="00D93BF6">
              <w:rPr>
                <w:rFonts w:cs="Arial"/>
                <w:b/>
                <w:color w:val="000000"/>
                <w:sz w:val="16"/>
                <w:szCs w:val="16"/>
              </w:rPr>
              <w:t>13,7</w:t>
            </w:r>
          </w:p>
        </w:tc>
        <w:tc>
          <w:tcPr>
            <w:tcW w:w="1180" w:type="dxa"/>
            <w:tcBorders>
              <w:top w:val="nil"/>
              <w:left w:val="nil"/>
              <w:bottom w:val="single" w:sz="4" w:space="0" w:color="auto"/>
              <w:right w:val="single" w:sz="4" w:space="0" w:color="auto"/>
            </w:tcBorders>
            <w:shd w:val="clear" w:color="auto" w:fill="auto"/>
            <w:noWrap/>
            <w:vAlign w:val="center"/>
            <w:hideMark/>
          </w:tcPr>
          <w:p w14:paraId="65E5A738" w14:textId="77777777" w:rsidR="00AC769E" w:rsidRPr="00D93BF6" w:rsidRDefault="00AC769E" w:rsidP="00DE77E6">
            <w:pPr>
              <w:keepNext/>
              <w:spacing w:after="0" w:line="240" w:lineRule="auto"/>
              <w:jc w:val="right"/>
              <w:rPr>
                <w:rFonts w:cs="Arial"/>
                <w:b/>
                <w:color w:val="000000"/>
                <w:sz w:val="16"/>
                <w:szCs w:val="16"/>
              </w:rPr>
            </w:pPr>
            <w:r w:rsidRPr="00D93BF6">
              <w:rPr>
                <w:rFonts w:cs="Arial"/>
                <w:b/>
                <w:color w:val="000000"/>
                <w:sz w:val="16"/>
                <w:szCs w:val="16"/>
              </w:rPr>
              <w:t>11,7</w:t>
            </w:r>
          </w:p>
        </w:tc>
        <w:tc>
          <w:tcPr>
            <w:tcW w:w="1200" w:type="dxa"/>
            <w:tcBorders>
              <w:top w:val="nil"/>
              <w:left w:val="nil"/>
              <w:bottom w:val="single" w:sz="4" w:space="0" w:color="auto"/>
              <w:right w:val="single" w:sz="4" w:space="0" w:color="auto"/>
            </w:tcBorders>
            <w:shd w:val="clear" w:color="auto" w:fill="auto"/>
            <w:noWrap/>
            <w:vAlign w:val="center"/>
            <w:hideMark/>
          </w:tcPr>
          <w:p w14:paraId="364CF433" w14:textId="77777777" w:rsidR="00AC769E" w:rsidRPr="00D93BF6" w:rsidRDefault="00AC769E" w:rsidP="00DE77E6">
            <w:pPr>
              <w:keepNext/>
              <w:spacing w:after="0" w:line="240" w:lineRule="auto"/>
              <w:jc w:val="right"/>
              <w:rPr>
                <w:rFonts w:cs="Arial"/>
                <w:b/>
                <w:color w:val="000000"/>
                <w:sz w:val="16"/>
                <w:szCs w:val="16"/>
              </w:rPr>
            </w:pPr>
            <w:r w:rsidRPr="00D93BF6">
              <w:rPr>
                <w:rFonts w:cs="Arial"/>
                <w:b/>
                <w:color w:val="000000"/>
                <w:sz w:val="16"/>
                <w:szCs w:val="16"/>
              </w:rPr>
              <w:t>11,2</w:t>
            </w:r>
          </w:p>
        </w:tc>
        <w:tc>
          <w:tcPr>
            <w:tcW w:w="1300" w:type="dxa"/>
            <w:tcBorders>
              <w:top w:val="nil"/>
              <w:left w:val="nil"/>
              <w:bottom w:val="single" w:sz="4" w:space="0" w:color="auto"/>
              <w:right w:val="single" w:sz="4" w:space="0" w:color="auto"/>
            </w:tcBorders>
            <w:shd w:val="clear" w:color="auto" w:fill="auto"/>
            <w:noWrap/>
            <w:vAlign w:val="center"/>
            <w:hideMark/>
          </w:tcPr>
          <w:p w14:paraId="41410EBC" w14:textId="77777777" w:rsidR="00AC769E" w:rsidRPr="00D93BF6" w:rsidRDefault="00AC769E" w:rsidP="00DE77E6">
            <w:pPr>
              <w:keepNext/>
              <w:spacing w:after="0" w:line="240" w:lineRule="auto"/>
              <w:jc w:val="right"/>
              <w:rPr>
                <w:rFonts w:cs="Arial"/>
                <w:b/>
                <w:color w:val="000000"/>
                <w:sz w:val="16"/>
                <w:szCs w:val="16"/>
              </w:rPr>
            </w:pPr>
            <w:r w:rsidRPr="00D93BF6">
              <w:rPr>
                <w:rFonts w:cs="Arial"/>
                <w:b/>
                <w:color w:val="000000"/>
                <w:sz w:val="16"/>
                <w:szCs w:val="16"/>
              </w:rPr>
              <w:t>9,4</w:t>
            </w:r>
          </w:p>
        </w:tc>
        <w:tc>
          <w:tcPr>
            <w:tcW w:w="1340" w:type="dxa"/>
            <w:tcBorders>
              <w:top w:val="nil"/>
              <w:left w:val="nil"/>
              <w:bottom w:val="single" w:sz="4" w:space="0" w:color="auto"/>
              <w:right w:val="single" w:sz="4" w:space="0" w:color="auto"/>
            </w:tcBorders>
            <w:shd w:val="clear" w:color="auto" w:fill="auto"/>
            <w:noWrap/>
            <w:vAlign w:val="center"/>
            <w:hideMark/>
          </w:tcPr>
          <w:p w14:paraId="77DF23B3" w14:textId="77777777" w:rsidR="00AC769E" w:rsidRPr="00D93BF6" w:rsidRDefault="00AC769E" w:rsidP="00DE77E6">
            <w:pPr>
              <w:keepNext/>
              <w:spacing w:after="0" w:line="240" w:lineRule="auto"/>
              <w:jc w:val="right"/>
              <w:rPr>
                <w:rFonts w:cs="Arial"/>
                <w:b/>
                <w:color w:val="000000"/>
                <w:sz w:val="16"/>
                <w:szCs w:val="16"/>
              </w:rPr>
            </w:pPr>
            <w:r w:rsidRPr="00D93BF6">
              <w:rPr>
                <w:rFonts w:cs="Arial"/>
                <w:b/>
                <w:color w:val="000000"/>
                <w:sz w:val="16"/>
                <w:szCs w:val="16"/>
              </w:rPr>
              <w:t>9,1</w:t>
            </w:r>
          </w:p>
        </w:tc>
      </w:tr>
      <w:tr w:rsidR="00AC769E" w:rsidRPr="00AC769E" w14:paraId="1D7BA4A3" w14:textId="77777777" w:rsidTr="00AC769E">
        <w:trPr>
          <w:trHeight w:val="300"/>
        </w:trPr>
        <w:tc>
          <w:tcPr>
            <w:tcW w:w="974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5AAC4263" w14:textId="77777777" w:rsidR="00AC769E" w:rsidRPr="00AC769E" w:rsidRDefault="00AC769E" w:rsidP="00DE77E6">
            <w:pPr>
              <w:keepNext/>
              <w:spacing w:after="0" w:line="240" w:lineRule="auto"/>
              <w:rPr>
                <w:rFonts w:cs="Arial"/>
                <w:b/>
                <w:bCs/>
                <w:sz w:val="16"/>
                <w:szCs w:val="16"/>
              </w:rPr>
            </w:pPr>
            <w:r w:rsidRPr="00AC769E">
              <w:rPr>
                <w:rFonts w:cs="Arial"/>
                <w:b/>
                <w:bCs/>
                <w:sz w:val="16"/>
                <w:szCs w:val="16"/>
              </w:rPr>
              <w:t xml:space="preserve">podle počtu zaměstnanců </w:t>
            </w:r>
          </w:p>
        </w:tc>
      </w:tr>
      <w:tr w:rsidR="00AC769E" w:rsidRPr="00AC769E" w14:paraId="1842119D"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B67BE6F" w14:textId="77777777" w:rsidR="00AC769E" w:rsidRPr="00AC769E" w:rsidRDefault="00AC769E" w:rsidP="00DE77E6">
            <w:pPr>
              <w:keepNext/>
              <w:spacing w:after="0" w:line="240" w:lineRule="auto"/>
              <w:rPr>
                <w:rFonts w:cs="Arial"/>
                <w:sz w:val="16"/>
                <w:szCs w:val="16"/>
              </w:rPr>
            </w:pPr>
            <w:r w:rsidRPr="00AC769E">
              <w:rPr>
                <w:rFonts w:cs="Arial"/>
                <w:sz w:val="16"/>
                <w:szCs w:val="16"/>
              </w:rPr>
              <w:t>10–19 zaměstnanců</w:t>
            </w:r>
          </w:p>
        </w:tc>
        <w:tc>
          <w:tcPr>
            <w:tcW w:w="1360" w:type="dxa"/>
            <w:tcBorders>
              <w:top w:val="nil"/>
              <w:left w:val="nil"/>
              <w:bottom w:val="single" w:sz="4" w:space="0" w:color="auto"/>
              <w:right w:val="single" w:sz="4" w:space="0" w:color="auto"/>
            </w:tcBorders>
            <w:shd w:val="clear" w:color="auto" w:fill="auto"/>
            <w:noWrap/>
            <w:vAlign w:val="center"/>
            <w:hideMark/>
          </w:tcPr>
          <w:p w14:paraId="46016B29"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8,5</w:t>
            </w:r>
          </w:p>
        </w:tc>
        <w:tc>
          <w:tcPr>
            <w:tcW w:w="1180" w:type="dxa"/>
            <w:tcBorders>
              <w:top w:val="nil"/>
              <w:left w:val="nil"/>
              <w:bottom w:val="single" w:sz="4" w:space="0" w:color="auto"/>
              <w:right w:val="single" w:sz="4" w:space="0" w:color="auto"/>
            </w:tcBorders>
            <w:shd w:val="clear" w:color="auto" w:fill="auto"/>
            <w:noWrap/>
            <w:vAlign w:val="center"/>
            <w:hideMark/>
          </w:tcPr>
          <w:p w14:paraId="3F78DEA2"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12,2</w:t>
            </w:r>
          </w:p>
        </w:tc>
        <w:tc>
          <w:tcPr>
            <w:tcW w:w="1200" w:type="dxa"/>
            <w:tcBorders>
              <w:top w:val="nil"/>
              <w:left w:val="nil"/>
              <w:bottom w:val="single" w:sz="4" w:space="0" w:color="auto"/>
              <w:right w:val="single" w:sz="4" w:space="0" w:color="auto"/>
            </w:tcBorders>
            <w:shd w:val="clear" w:color="auto" w:fill="auto"/>
            <w:noWrap/>
            <w:vAlign w:val="center"/>
            <w:hideMark/>
          </w:tcPr>
          <w:p w14:paraId="1B01C56B"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6,7</w:t>
            </w:r>
          </w:p>
        </w:tc>
        <w:tc>
          <w:tcPr>
            <w:tcW w:w="1300" w:type="dxa"/>
            <w:tcBorders>
              <w:top w:val="nil"/>
              <w:left w:val="nil"/>
              <w:bottom w:val="single" w:sz="4" w:space="0" w:color="auto"/>
              <w:right w:val="single" w:sz="4" w:space="0" w:color="auto"/>
            </w:tcBorders>
            <w:shd w:val="clear" w:color="auto" w:fill="auto"/>
            <w:noWrap/>
            <w:vAlign w:val="center"/>
            <w:hideMark/>
          </w:tcPr>
          <w:p w14:paraId="2DFF682C"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9,2</w:t>
            </w:r>
          </w:p>
        </w:tc>
        <w:tc>
          <w:tcPr>
            <w:tcW w:w="1340" w:type="dxa"/>
            <w:tcBorders>
              <w:top w:val="nil"/>
              <w:left w:val="nil"/>
              <w:bottom w:val="single" w:sz="4" w:space="0" w:color="auto"/>
              <w:right w:val="single" w:sz="4" w:space="0" w:color="auto"/>
            </w:tcBorders>
            <w:shd w:val="clear" w:color="auto" w:fill="auto"/>
            <w:noWrap/>
            <w:vAlign w:val="center"/>
            <w:hideMark/>
          </w:tcPr>
          <w:p w14:paraId="3A4C32B5"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8,4</w:t>
            </w:r>
          </w:p>
        </w:tc>
      </w:tr>
      <w:tr w:rsidR="00AC769E" w:rsidRPr="00AC769E" w14:paraId="05A6E355"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9AA6EEE" w14:textId="77777777" w:rsidR="00AC769E" w:rsidRPr="00AC769E" w:rsidRDefault="00AC769E" w:rsidP="00DE77E6">
            <w:pPr>
              <w:keepNext/>
              <w:spacing w:after="0" w:line="240" w:lineRule="auto"/>
              <w:rPr>
                <w:rFonts w:cs="Arial"/>
                <w:sz w:val="16"/>
                <w:szCs w:val="16"/>
              </w:rPr>
            </w:pPr>
            <w:r w:rsidRPr="00AC769E">
              <w:rPr>
                <w:rFonts w:cs="Arial"/>
                <w:sz w:val="16"/>
                <w:szCs w:val="16"/>
              </w:rPr>
              <w:t>20–49 zaměstnanců</w:t>
            </w:r>
          </w:p>
        </w:tc>
        <w:tc>
          <w:tcPr>
            <w:tcW w:w="1360" w:type="dxa"/>
            <w:tcBorders>
              <w:top w:val="nil"/>
              <w:left w:val="nil"/>
              <w:bottom w:val="single" w:sz="4" w:space="0" w:color="auto"/>
              <w:right w:val="single" w:sz="4" w:space="0" w:color="auto"/>
            </w:tcBorders>
            <w:shd w:val="clear" w:color="auto" w:fill="auto"/>
            <w:noWrap/>
            <w:vAlign w:val="center"/>
            <w:hideMark/>
          </w:tcPr>
          <w:p w14:paraId="5A6E7175"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11,5</w:t>
            </w:r>
          </w:p>
        </w:tc>
        <w:tc>
          <w:tcPr>
            <w:tcW w:w="1180" w:type="dxa"/>
            <w:tcBorders>
              <w:top w:val="nil"/>
              <w:left w:val="nil"/>
              <w:bottom w:val="single" w:sz="4" w:space="0" w:color="auto"/>
              <w:right w:val="single" w:sz="4" w:space="0" w:color="auto"/>
            </w:tcBorders>
            <w:shd w:val="clear" w:color="auto" w:fill="auto"/>
            <w:noWrap/>
            <w:vAlign w:val="center"/>
            <w:hideMark/>
          </w:tcPr>
          <w:p w14:paraId="5A037CE7"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52DB9D3B"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12,2</w:t>
            </w:r>
          </w:p>
        </w:tc>
        <w:tc>
          <w:tcPr>
            <w:tcW w:w="1300" w:type="dxa"/>
            <w:tcBorders>
              <w:top w:val="nil"/>
              <w:left w:val="nil"/>
              <w:bottom w:val="single" w:sz="4" w:space="0" w:color="auto"/>
              <w:right w:val="single" w:sz="4" w:space="0" w:color="auto"/>
            </w:tcBorders>
            <w:shd w:val="clear" w:color="auto" w:fill="auto"/>
            <w:noWrap/>
            <w:vAlign w:val="center"/>
            <w:hideMark/>
          </w:tcPr>
          <w:p w14:paraId="4E2BCF2D"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9,6</w:t>
            </w:r>
          </w:p>
        </w:tc>
        <w:tc>
          <w:tcPr>
            <w:tcW w:w="1340" w:type="dxa"/>
            <w:tcBorders>
              <w:top w:val="nil"/>
              <w:left w:val="nil"/>
              <w:bottom w:val="single" w:sz="4" w:space="0" w:color="auto"/>
              <w:right w:val="single" w:sz="4" w:space="0" w:color="auto"/>
            </w:tcBorders>
            <w:shd w:val="clear" w:color="auto" w:fill="auto"/>
            <w:noWrap/>
            <w:vAlign w:val="center"/>
            <w:hideMark/>
          </w:tcPr>
          <w:p w14:paraId="01B7DD06" w14:textId="77777777" w:rsidR="00AC769E" w:rsidRPr="00AC769E" w:rsidRDefault="00AC769E" w:rsidP="00DE77E6">
            <w:pPr>
              <w:keepNext/>
              <w:spacing w:after="0" w:line="240" w:lineRule="auto"/>
              <w:jc w:val="right"/>
              <w:rPr>
                <w:rFonts w:cs="Arial"/>
                <w:color w:val="000000"/>
                <w:sz w:val="16"/>
                <w:szCs w:val="16"/>
              </w:rPr>
            </w:pPr>
            <w:r w:rsidRPr="00AC769E">
              <w:rPr>
                <w:rFonts w:cs="Arial"/>
                <w:color w:val="000000"/>
                <w:sz w:val="16"/>
                <w:szCs w:val="16"/>
              </w:rPr>
              <w:t>10,6</w:t>
            </w:r>
          </w:p>
        </w:tc>
      </w:tr>
      <w:tr w:rsidR="00AC769E" w:rsidRPr="00AC769E" w14:paraId="3DD9AC04"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E6BF78A" w14:textId="77777777" w:rsidR="00AC769E" w:rsidRPr="00AC769E" w:rsidRDefault="00AC769E" w:rsidP="00AC769E">
            <w:pPr>
              <w:spacing w:after="0" w:line="240" w:lineRule="auto"/>
              <w:rPr>
                <w:rFonts w:cs="Arial"/>
                <w:sz w:val="16"/>
                <w:szCs w:val="16"/>
              </w:rPr>
            </w:pPr>
            <w:r w:rsidRPr="00AC769E">
              <w:rPr>
                <w:rFonts w:cs="Arial"/>
                <w:sz w:val="16"/>
                <w:szCs w:val="16"/>
              </w:rPr>
              <w:t>50–249 zaměstnanců</w:t>
            </w:r>
          </w:p>
        </w:tc>
        <w:tc>
          <w:tcPr>
            <w:tcW w:w="1360" w:type="dxa"/>
            <w:tcBorders>
              <w:top w:val="nil"/>
              <w:left w:val="nil"/>
              <w:bottom w:val="single" w:sz="4" w:space="0" w:color="auto"/>
              <w:right w:val="single" w:sz="4" w:space="0" w:color="auto"/>
            </w:tcBorders>
            <w:shd w:val="clear" w:color="auto" w:fill="auto"/>
            <w:noWrap/>
            <w:vAlign w:val="center"/>
            <w:hideMark/>
          </w:tcPr>
          <w:p w14:paraId="3F045ACA"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17,7</w:t>
            </w:r>
          </w:p>
        </w:tc>
        <w:tc>
          <w:tcPr>
            <w:tcW w:w="1180" w:type="dxa"/>
            <w:tcBorders>
              <w:top w:val="nil"/>
              <w:left w:val="nil"/>
              <w:bottom w:val="single" w:sz="4" w:space="0" w:color="auto"/>
              <w:right w:val="single" w:sz="4" w:space="0" w:color="auto"/>
            </w:tcBorders>
            <w:shd w:val="clear" w:color="auto" w:fill="auto"/>
            <w:noWrap/>
            <w:vAlign w:val="center"/>
            <w:hideMark/>
          </w:tcPr>
          <w:p w14:paraId="251BD711"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9,9</w:t>
            </w:r>
          </w:p>
        </w:tc>
        <w:tc>
          <w:tcPr>
            <w:tcW w:w="1200" w:type="dxa"/>
            <w:tcBorders>
              <w:top w:val="nil"/>
              <w:left w:val="nil"/>
              <w:bottom w:val="single" w:sz="4" w:space="0" w:color="auto"/>
              <w:right w:val="single" w:sz="4" w:space="0" w:color="auto"/>
            </w:tcBorders>
            <w:shd w:val="clear" w:color="auto" w:fill="auto"/>
            <w:noWrap/>
            <w:vAlign w:val="center"/>
            <w:hideMark/>
          </w:tcPr>
          <w:p w14:paraId="38167F4B"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13,3</w:t>
            </w:r>
          </w:p>
        </w:tc>
        <w:tc>
          <w:tcPr>
            <w:tcW w:w="1300" w:type="dxa"/>
            <w:tcBorders>
              <w:top w:val="nil"/>
              <w:left w:val="nil"/>
              <w:bottom w:val="single" w:sz="4" w:space="0" w:color="auto"/>
              <w:right w:val="single" w:sz="4" w:space="0" w:color="auto"/>
            </w:tcBorders>
            <w:shd w:val="clear" w:color="auto" w:fill="auto"/>
            <w:noWrap/>
            <w:vAlign w:val="center"/>
            <w:hideMark/>
          </w:tcPr>
          <w:p w14:paraId="521E2B19"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8,9</w:t>
            </w:r>
          </w:p>
        </w:tc>
        <w:tc>
          <w:tcPr>
            <w:tcW w:w="1340" w:type="dxa"/>
            <w:tcBorders>
              <w:top w:val="nil"/>
              <w:left w:val="nil"/>
              <w:bottom w:val="single" w:sz="4" w:space="0" w:color="auto"/>
              <w:right w:val="single" w:sz="4" w:space="0" w:color="auto"/>
            </w:tcBorders>
            <w:shd w:val="clear" w:color="auto" w:fill="auto"/>
            <w:noWrap/>
            <w:vAlign w:val="center"/>
            <w:hideMark/>
          </w:tcPr>
          <w:p w14:paraId="6A684987"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8,2</w:t>
            </w:r>
          </w:p>
        </w:tc>
      </w:tr>
      <w:tr w:rsidR="00AC769E" w:rsidRPr="00AC769E" w14:paraId="2B180256"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2A8E57A" w14:textId="77777777" w:rsidR="00AC769E" w:rsidRPr="00AC769E" w:rsidRDefault="00AC769E" w:rsidP="00AC769E">
            <w:pPr>
              <w:spacing w:after="0" w:line="240" w:lineRule="auto"/>
              <w:rPr>
                <w:rFonts w:cs="Arial"/>
                <w:sz w:val="16"/>
                <w:szCs w:val="16"/>
              </w:rPr>
            </w:pPr>
            <w:r w:rsidRPr="00AC769E">
              <w:rPr>
                <w:rFonts w:cs="Arial"/>
                <w:sz w:val="16"/>
                <w:szCs w:val="16"/>
              </w:rPr>
              <w:t>250 a více zaměstnanců</w:t>
            </w:r>
          </w:p>
        </w:tc>
        <w:tc>
          <w:tcPr>
            <w:tcW w:w="1360" w:type="dxa"/>
            <w:tcBorders>
              <w:top w:val="nil"/>
              <w:left w:val="nil"/>
              <w:bottom w:val="single" w:sz="4" w:space="0" w:color="auto"/>
              <w:right w:val="single" w:sz="4" w:space="0" w:color="auto"/>
            </w:tcBorders>
            <w:shd w:val="clear" w:color="auto" w:fill="auto"/>
            <w:noWrap/>
            <w:vAlign w:val="center"/>
            <w:hideMark/>
          </w:tcPr>
          <w:p w14:paraId="047852DD"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30,4</w:t>
            </w:r>
          </w:p>
        </w:tc>
        <w:tc>
          <w:tcPr>
            <w:tcW w:w="1180" w:type="dxa"/>
            <w:tcBorders>
              <w:top w:val="nil"/>
              <w:left w:val="nil"/>
              <w:bottom w:val="single" w:sz="4" w:space="0" w:color="auto"/>
              <w:right w:val="single" w:sz="4" w:space="0" w:color="auto"/>
            </w:tcBorders>
            <w:shd w:val="clear" w:color="auto" w:fill="auto"/>
            <w:noWrap/>
            <w:vAlign w:val="center"/>
            <w:hideMark/>
          </w:tcPr>
          <w:p w14:paraId="170F9E16"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12,4</w:t>
            </w:r>
          </w:p>
        </w:tc>
        <w:tc>
          <w:tcPr>
            <w:tcW w:w="1200" w:type="dxa"/>
            <w:tcBorders>
              <w:top w:val="nil"/>
              <w:left w:val="nil"/>
              <w:bottom w:val="single" w:sz="4" w:space="0" w:color="auto"/>
              <w:right w:val="single" w:sz="4" w:space="0" w:color="auto"/>
            </w:tcBorders>
            <w:shd w:val="clear" w:color="auto" w:fill="auto"/>
            <w:noWrap/>
            <w:vAlign w:val="center"/>
            <w:hideMark/>
          </w:tcPr>
          <w:p w14:paraId="4D307581"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19,2</w:t>
            </w:r>
          </w:p>
        </w:tc>
        <w:tc>
          <w:tcPr>
            <w:tcW w:w="1300" w:type="dxa"/>
            <w:tcBorders>
              <w:top w:val="nil"/>
              <w:left w:val="nil"/>
              <w:bottom w:val="single" w:sz="4" w:space="0" w:color="auto"/>
              <w:right w:val="single" w:sz="4" w:space="0" w:color="auto"/>
            </w:tcBorders>
            <w:shd w:val="clear" w:color="auto" w:fill="auto"/>
            <w:noWrap/>
            <w:vAlign w:val="center"/>
            <w:hideMark/>
          </w:tcPr>
          <w:p w14:paraId="5718A297"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10,6</w:t>
            </w:r>
          </w:p>
        </w:tc>
        <w:tc>
          <w:tcPr>
            <w:tcW w:w="1340" w:type="dxa"/>
            <w:tcBorders>
              <w:top w:val="nil"/>
              <w:left w:val="nil"/>
              <w:bottom w:val="single" w:sz="4" w:space="0" w:color="auto"/>
              <w:right w:val="single" w:sz="4" w:space="0" w:color="auto"/>
            </w:tcBorders>
            <w:shd w:val="clear" w:color="auto" w:fill="auto"/>
            <w:noWrap/>
            <w:vAlign w:val="center"/>
            <w:hideMark/>
          </w:tcPr>
          <w:p w14:paraId="672254B1"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9,4</w:t>
            </w:r>
          </w:p>
        </w:tc>
      </w:tr>
      <w:tr w:rsidR="00AC769E" w:rsidRPr="00AC769E" w14:paraId="52B9F313" w14:textId="77777777" w:rsidTr="00AC769E">
        <w:trPr>
          <w:trHeight w:val="300"/>
        </w:trPr>
        <w:tc>
          <w:tcPr>
            <w:tcW w:w="974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531E76A1" w14:textId="0CAF5CD8" w:rsidR="00AC769E" w:rsidRPr="00AC769E" w:rsidRDefault="00A241ED" w:rsidP="00AC769E">
            <w:pPr>
              <w:spacing w:after="0" w:line="240" w:lineRule="auto"/>
              <w:rPr>
                <w:rFonts w:cs="Arial"/>
                <w:b/>
                <w:bCs/>
                <w:sz w:val="16"/>
                <w:szCs w:val="16"/>
              </w:rPr>
            </w:pPr>
            <w:r w:rsidRPr="00A241ED">
              <w:rPr>
                <w:rFonts w:cs="Arial"/>
                <w:b/>
                <w:bCs/>
                <w:sz w:val="16"/>
                <w:szCs w:val="16"/>
              </w:rPr>
              <w:t>podle vlastnictví</w:t>
            </w:r>
          </w:p>
        </w:tc>
      </w:tr>
      <w:tr w:rsidR="00552396" w:rsidRPr="00AC769E" w14:paraId="47CCFDD8" w14:textId="77777777" w:rsidTr="00552396">
        <w:trPr>
          <w:trHeight w:val="300"/>
        </w:trPr>
        <w:tc>
          <w:tcPr>
            <w:tcW w:w="3360" w:type="dxa"/>
            <w:tcBorders>
              <w:top w:val="nil"/>
              <w:left w:val="single" w:sz="4" w:space="0" w:color="auto"/>
              <w:bottom w:val="single" w:sz="4" w:space="0" w:color="auto"/>
              <w:right w:val="single" w:sz="4" w:space="0" w:color="auto"/>
            </w:tcBorders>
            <w:shd w:val="clear" w:color="000000" w:fill="FFFFFF"/>
            <w:noWrap/>
            <w:vAlign w:val="center"/>
            <w:hideMark/>
          </w:tcPr>
          <w:p w14:paraId="42AF1205" w14:textId="4BA5C813" w:rsidR="00552396" w:rsidRPr="00552396" w:rsidRDefault="00552396" w:rsidP="00552396">
            <w:pPr>
              <w:spacing w:after="0" w:line="240" w:lineRule="auto"/>
              <w:rPr>
                <w:rFonts w:cs="Arial"/>
                <w:sz w:val="16"/>
                <w:szCs w:val="16"/>
              </w:rPr>
            </w:pPr>
            <w:r w:rsidRPr="00552396">
              <w:rPr>
                <w:sz w:val="16"/>
                <w:szCs w:val="16"/>
              </w:rPr>
              <w:t>domácí podniky</w:t>
            </w:r>
          </w:p>
        </w:tc>
        <w:tc>
          <w:tcPr>
            <w:tcW w:w="1360" w:type="dxa"/>
            <w:tcBorders>
              <w:top w:val="nil"/>
              <w:left w:val="nil"/>
              <w:bottom w:val="single" w:sz="4" w:space="0" w:color="auto"/>
              <w:right w:val="single" w:sz="4" w:space="0" w:color="auto"/>
            </w:tcBorders>
            <w:shd w:val="clear" w:color="auto" w:fill="auto"/>
            <w:noWrap/>
            <w:vAlign w:val="center"/>
            <w:hideMark/>
          </w:tcPr>
          <w:p w14:paraId="515315CB"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11,1</w:t>
            </w:r>
          </w:p>
        </w:tc>
        <w:tc>
          <w:tcPr>
            <w:tcW w:w="1180" w:type="dxa"/>
            <w:tcBorders>
              <w:top w:val="nil"/>
              <w:left w:val="nil"/>
              <w:bottom w:val="single" w:sz="4" w:space="0" w:color="auto"/>
              <w:right w:val="single" w:sz="4" w:space="0" w:color="auto"/>
            </w:tcBorders>
            <w:shd w:val="clear" w:color="auto" w:fill="auto"/>
            <w:noWrap/>
            <w:vAlign w:val="center"/>
            <w:hideMark/>
          </w:tcPr>
          <w:p w14:paraId="7B77EDA0"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11,3</w:t>
            </w:r>
          </w:p>
        </w:tc>
        <w:tc>
          <w:tcPr>
            <w:tcW w:w="1200" w:type="dxa"/>
            <w:tcBorders>
              <w:top w:val="nil"/>
              <w:left w:val="nil"/>
              <w:bottom w:val="single" w:sz="4" w:space="0" w:color="auto"/>
              <w:right w:val="single" w:sz="4" w:space="0" w:color="auto"/>
            </w:tcBorders>
            <w:shd w:val="clear" w:color="auto" w:fill="auto"/>
            <w:noWrap/>
            <w:vAlign w:val="center"/>
            <w:hideMark/>
          </w:tcPr>
          <w:p w14:paraId="42E40E02"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9,4</w:t>
            </w:r>
          </w:p>
        </w:tc>
        <w:tc>
          <w:tcPr>
            <w:tcW w:w="1300" w:type="dxa"/>
            <w:tcBorders>
              <w:top w:val="nil"/>
              <w:left w:val="nil"/>
              <w:bottom w:val="single" w:sz="4" w:space="0" w:color="auto"/>
              <w:right w:val="single" w:sz="4" w:space="0" w:color="auto"/>
            </w:tcBorders>
            <w:shd w:val="clear" w:color="auto" w:fill="auto"/>
            <w:noWrap/>
            <w:vAlign w:val="center"/>
            <w:hideMark/>
          </w:tcPr>
          <w:p w14:paraId="41FA385F"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8,6</w:t>
            </w:r>
          </w:p>
        </w:tc>
        <w:tc>
          <w:tcPr>
            <w:tcW w:w="1340" w:type="dxa"/>
            <w:tcBorders>
              <w:top w:val="nil"/>
              <w:left w:val="nil"/>
              <w:bottom w:val="single" w:sz="4" w:space="0" w:color="auto"/>
              <w:right w:val="single" w:sz="4" w:space="0" w:color="auto"/>
            </w:tcBorders>
            <w:shd w:val="clear" w:color="auto" w:fill="auto"/>
            <w:noWrap/>
            <w:vAlign w:val="center"/>
            <w:hideMark/>
          </w:tcPr>
          <w:p w14:paraId="37515F97"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9,5</w:t>
            </w:r>
          </w:p>
        </w:tc>
      </w:tr>
      <w:tr w:rsidR="00552396" w:rsidRPr="00AC769E" w14:paraId="712A44DA" w14:textId="77777777" w:rsidTr="00552396">
        <w:trPr>
          <w:trHeight w:val="300"/>
        </w:trPr>
        <w:tc>
          <w:tcPr>
            <w:tcW w:w="3360" w:type="dxa"/>
            <w:tcBorders>
              <w:top w:val="nil"/>
              <w:left w:val="single" w:sz="4" w:space="0" w:color="auto"/>
              <w:bottom w:val="single" w:sz="4" w:space="0" w:color="auto"/>
              <w:right w:val="single" w:sz="4" w:space="0" w:color="auto"/>
            </w:tcBorders>
            <w:shd w:val="clear" w:color="000000" w:fill="FFFFFF"/>
            <w:noWrap/>
            <w:vAlign w:val="center"/>
            <w:hideMark/>
          </w:tcPr>
          <w:p w14:paraId="1E332714" w14:textId="48A49F78" w:rsidR="00552396" w:rsidRPr="00552396" w:rsidRDefault="00552396" w:rsidP="00552396">
            <w:pPr>
              <w:spacing w:after="0" w:line="240" w:lineRule="auto"/>
              <w:rPr>
                <w:rFonts w:cs="Arial"/>
                <w:sz w:val="16"/>
                <w:szCs w:val="16"/>
              </w:rPr>
            </w:pPr>
            <w:r w:rsidRPr="00552396">
              <w:rPr>
                <w:sz w:val="16"/>
                <w:szCs w:val="16"/>
              </w:rPr>
              <w:t>podniky pod zahraniční kontrolou</w:t>
            </w:r>
          </w:p>
        </w:tc>
        <w:tc>
          <w:tcPr>
            <w:tcW w:w="1360" w:type="dxa"/>
            <w:tcBorders>
              <w:top w:val="nil"/>
              <w:left w:val="nil"/>
              <w:bottom w:val="single" w:sz="4" w:space="0" w:color="auto"/>
              <w:right w:val="single" w:sz="4" w:space="0" w:color="auto"/>
            </w:tcBorders>
            <w:shd w:val="clear" w:color="auto" w:fill="auto"/>
            <w:noWrap/>
            <w:vAlign w:val="center"/>
            <w:hideMark/>
          </w:tcPr>
          <w:p w14:paraId="2B6EFB6A"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22,2</w:t>
            </w:r>
          </w:p>
        </w:tc>
        <w:tc>
          <w:tcPr>
            <w:tcW w:w="1180" w:type="dxa"/>
            <w:tcBorders>
              <w:top w:val="nil"/>
              <w:left w:val="nil"/>
              <w:bottom w:val="single" w:sz="4" w:space="0" w:color="auto"/>
              <w:right w:val="single" w:sz="4" w:space="0" w:color="auto"/>
            </w:tcBorders>
            <w:shd w:val="clear" w:color="auto" w:fill="auto"/>
            <w:noWrap/>
            <w:vAlign w:val="center"/>
            <w:hideMark/>
          </w:tcPr>
          <w:p w14:paraId="5BAFE07B"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13,0</w:t>
            </w:r>
          </w:p>
        </w:tc>
        <w:tc>
          <w:tcPr>
            <w:tcW w:w="1200" w:type="dxa"/>
            <w:tcBorders>
              <w:top w:val="nil"/>
              <w:left w:val="nil"/>
              <w:bottom w:val="single" w:sz="4" w:space="0" w:color="auto"/>
              <w:right w:val="single" w:sz="4" w:space="0" w:color="auto"/>
            </w:tcBorders>
            <w:shd w:val="clear" w:color="auto" w:fill="auto"/>
            <w:noWrap/>
            <w:vAlign w:val="center"/>
            <w:hideMark/>
          </w:tcPr>
          <w:p w14:paraId="0543B9C3"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17,3</w:t>
            </w:r>
          </w:p>
        </w:tc>
        <w:tc>
          <w:tcPr>
            <w:tcW w:w="1300" w:type="dxa"/>
            <w:tcBorders>
              <w:top w:val="nil"/>
              <w:left w:val="nil"/>
              <w:bottom w:val="single" w:sz="4" w:space="0" w:color="auto"/>
              <w:right w:val="single" w:sz="4" w:space="0" w:color="auto"/>
            </w:tcBorders>
            <w:shd w:val="clear" w:color="auto" w:fill="auto"/>
            <w:noWrap/>
            <w:vAlign w:val="center"/>
            <w:hideMark/>
          </w:tcPr>
          <w:p w14:paraId="123A109C"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12,0</w:t>
            </w:r>
          </w:p>
        </w:tc>
        <w:tc>
          <w:tcPr>
            <w:tcW w:w="1340" w:type="dxa"/>
            <w:tcBorders>
              <w:top w:val="nil"/>
              <w:left w:val="nil"/>
              <w:bottom w:val="single" w:sz="4" w:space="0" w:color="auto"/>
              <w:right w:val="single" w:sz="4" w:space="0" w:color="auto"/>
            </w:tcBorders>
            <w:shd w:val="clear" w:color="auto" w:fill="auto"/>
            <w:noWrap/>
            <w:vAlign w:val="center"/>
            <w:hideMark/>
          </w:tcPr>
          <w:p w14:paraId="589BEEF0" w14:textId="77777777" w:rsidR="00552396" w:rsidRPr="00AC769E" w:rsidRDefault="00552396" w:rsidP="00552396">
            <w:pPr>
              <w:spacing w:after="0" w:line="240" w:lineRule="auto"/>
              <w:jc w:val="right"/>
              <w:rPr>
                <w:rFonts w:cs="Arial"/>
                <w:color w:val="000000"/>
                <w:sz w:val="16"/>
                <w:szCs w:val="16"/>
              </w:rPr>
            </w:pPr>
            <w:r w:rsidRPr="00AC769E">
              <w:rPr>
                <w:rFonts w:cs="Arial"/>
                <w:color w:val="000000"/>
                <w:sz w:val="16"/>
                <w:szCs w:val="16"/>
              </w:rPr>
              <w:t>7,9</w:t>
            </w:r>
          </w:p>
        </w:tc>
      </w:tr>
      <w:tr w:rsidR="00AC769E" w:rsidRPr="00AC769E" w14:paraId="09B57D9F" w14:textId="77777777" w:rsidTr="00AC769E">
        <w:trPr>
          <w:trHeight w:val="300"/>
        </w:trPr>
        <w:tc>
          <w:tcPr>
            <w:tcW w:w="974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7DA04CF6" w14:textId="34574CB9" w:rsidR="00AC769E" w:rsidRPr="00AC769E" w:rsidRDefault="00F476A4" w:rsidP="00AC769E">
            <w:pPr>
              <w:spacing w:after="0" w:line="240" w:lineRule="auto"/>
              <w:rPr>
                <w:rFonts w:cs="Arial"/>
                <w:b/>
                <w:bCs/>
                <w:sz w:val="16"/>
                <w:szCs w:val="16"/>
              </w:rPr>
            </w:pPr>
            <w:r w:rsidRPr="00F476A4">
              <w:rPr>
                <w:rFonts w:cs="Arial"/>
                <w:b/>
                <w:bCs/>
                <w:sz w:val="16"/>
                <w:szCs w:val="16"/>
              </w:rPr>
              <w:t>podle odvětvové sekce (CZ-NACE)</w:t>
            </w:r>
          </w:p>
        </w:tc>
      </w:tr>
      <w:tr w:rsidR="00AC769E" w:rsidRPr="00AC769E" w14:paraId="7E47422A"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2A0E0CE"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Ubytování, stravování a pohostinství</w:t>
            </w:r>
          </w:p>
        </w:tc>
        <w:tc>
          <w:tcPr>
            <w:tcW w:w="1360" w:type="dxa"/>
            <w:tcBorders>
              <w:top w:val="nil"/>
              <w:left w:val="nil"/>
              <w:bottom w:val="single" w:sz="4" w:space="0" w:color="auto"/>
              <w:right w:val="single" w:sz="4" w:space="0" w:color="auto"/>
            </w:tcBorders>
            <w:shd w:val="clear" w:color="auto" w:fill="auto"/>
            <w:noWrap/>
            <w:vAlign w:val="center"/>
            <w:hideMark/>
          </w:tcPr>
          <w:p w14:paraId="40DD0079"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14,0</w:t>
            </w:r>
          </w:p>
        </w:tc>
        <w:tc>
          <w:tcPr>
            <w:tcW w:w="1180" w:type="dxa"/>
            <w:tcBorders>
              <w:top w:val="nil"/>
              <w:left w:val="nil"/>
              <w:bottom w:val="single" w:sz="4" w:space="0" w:color="auto"/>
              <w:right w:val="single" w:sz="4" w:space="0" w:color="auto"/>
            </w:tcBorders>
            <w:shd w:val="clear" w:color="auto" w:fill="auto"/>
            <w:noWrap/>
            <w:vAlign w:val="center"/>
            <w:hideMark/>
          </w:tcPr>
          <w:p w14:paraId="7968004A" w14:textId="77777777" w:rsidR="00AC769E" w:rsidRPr="00AC769E" w:rsidRDefault="00AC769E" w:rsidP="00AC769E">
            <w:pPr>
              <w:spacing w:after="0" w:line="240" w:lineRule="auto"/>
              <w:jc w:val="right"/>
              <w:rPr>
                <w:rFonts w:cs="Arial"/>
                <w:b/>
                <w:bCs/>
                <w:color w:val="00B050"/>
                <w:sz w:val="16"/>
                <w:szCs w:val="16"/>
              </w:rPr>
            </w:pPr>
            <w:r w:rsidRPr="00AC769E">
              <w:rPr>
                <w:rFonts w:cs="Arial"/>
                <w:b/>
                <w:bCs/>
                <w:color w:val="00B050"/>
                <w:sz w:val="16"/>
                <w:szCs w:val="16"/>
              </w:rPr>
              <w:t>43,9</w:t>
            </w:r>
          </w:p>
        </w:tc>
        <w:tc>
          <w:tcPr>
            <w:tcW w:w="1200" w:type="dxa"/>
            <w:tcBorders>
              <w:top w:val="nil"/>
              <w:left w:val="nil"/>
              <w:bottom w:val="single" w:sz="4" w:space="0" w:color="auto"/>
              <w:right w:val="single" w:sz="4" w:space="0" w:color="auto"/>
            </w:tcBorders>
            <w:shd w:val="clear" w:color="auto" w:fill="auto"/>
            <w:noWrap/>
            <w:vAlign w:val="center"/>
            <w:hideMark/>
          </w:tcPr>
          <w:p w14:paraId="25E00B06"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14,7</w:t>
            </w:r>
          </w:p>
        </w:tc>
        <w:tc>
          <w:tcPr>
            <w:tcW w:w="1300" w:type="dxa"/>
            <w:tcBorders>
              <w:top w:val="nil"/>
              <w:left w:val="nil"/>
              <w:bottom w:val="single" w:sz="4" w:space="0" w:color="auto"/>
              <w:right w:val="single" w:sz="4" w:space="0" w:color="auto"/>
            </w:tcBorders>
            <w:shd w:val="clear" w:color="auto" w:fill="auto"/>
            <w:noWrap/>
            <w:vAlign w:val="center"/>
            <w:hideMark/>
          </w:tcPr>
          <w:p w14:paraId="1F13ADA3" w14:textId="77777777" w:rsidR="00AC769E" w:rsidRPr="00AC769E" w:rsidRDefault="00AC769E" w:rsidP="00AC769E">
            <w:pPr>
              <w:spacing w:after="0" w:line="240" w:lineRule="auto"/>
              <w:jc w:val="right"/>
              <w:rPr>
                <w:rFonts w:cs="Arial"/>
                <w:b/>
                <w:bCs/>
                <w:color w:val="00B050"/>
                <w:sz w:val="16"/>
                <w:szCs w:val="16"/>
              </w:rPr>
            </w:pPr>
            <w:r w:rsidRPr="00AC769E">
              <w:rPr>
                <w:rFonts w:cs="Arial"/>
                <w:b/>
                <w:bCs/>
                <w:color w:val="00B050"/>
                <w:sz w:val="16"/>
                <w:szCs w:val="16"/>
              </w:rPr>
              <w:t>21,5</w:t>
            </w:r>
          </w:p>
        </w:tc>
        <w:tc>
          <w:tcPr>
            <w:tcW w:w="1340" w:type="dxa"/>
            <w:tcBorders>
              <w:top w:val="nil"/>
              <w:left w:val="nil"/>
              <w:bottom w:val="single" w:sz="4" w:space="0" w:color="auto"/>
              <w:right w:val="single" w:sz="4" w:space="0" w:color="auto"/>
            </w:tcBorders>
            <w:shd w:val="clear" w:color="auto" w:fill="auto"/>
            <w:noWrap/>
            <w:vAlign w:val="center"/>
            <w:hideMark/>
          </w:tcPr>
          <w:p w14:paraId="50F9127E" w14:textId="77777777" w:rsidR="00AC769E" w:rsidRPr="00AC769E" w:rsidRDefault="00AC769E" w:rsidP="00AC769E">
            <w:pPr>
              <w:spacing w:after="0" w:line="240" w:lineRule="auto"/>
              <w:jc w:val="right"/>
              <w:rPr>
                <w:rFonts w:cs="Arial"/>
                <w:b/>
                <w:bCs/>
                <w:color w:val="00B050"/>
                <w:sz w:val="16"/>
                <w:szCs w:val="16"/>
              </w:rPr>
            </w:pPr>
            <w:r w:rsidRPr="00AC769E">
              <w:rPr>
                <w:rFonts w:cs="Arial"/>
                <w:b/>
                <w:bCs/>
                <w:color w:val="00B050"/>
                <w:sz w:val="16"/>
                <w:szCs w:val="16"/>
              </w:rPr>
              <w:t>16,9</w:t>
            </w:r>
          </w:p>
        </w:tc>
      </w:tr>
      <w:tr w:rsidR="00AC769E" w:rsidRPr="00AC769E" w14:paraId="2AF343D3"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EC22FA9"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Peněžnictví a pojišťovnictví</w:t>
            </w:r>
          </w:p>
        </w:tc>
        <w:tc>
          <w:tcPr>
            <w:tcW w:w="1360" w:type="dxa"/>
            <w:tcBorders>
              <w:top w:val="nil"/>
              <w:left w:val="nil"/>
              <w:bottom w:val="single" w:sz="4" w:space="0" w:color="auto"/>
              <w:right w:val="single" w:sz="4" w:space="0" w:color="auto"/>
            </w:tcBorders>
            <w:shd w:val="clear" w:color="auto" w:fill="auto"/>
            <w:noWrap/>
            <w:vAlign w:val="center"/>
            <w:hideMark/>
          </w:tcPr>
          <w:p w14:paraId="4AAB172C" w14:textId="77777777" w:rsidR="00AC769E" w:rsidRPr="00AC769E" w:rsidRDefault="00AC769E" w:rsidP="00AC769E">
            <w:pPr>
              <w:spacing w:after="0" w:line="240" w:lineRule="auto"/>
              <w:jc w:val="right"/>
              <w:rPr>
                <w:rFonts w:cs="Arial"/>
                <w:b/>
                <w:bCs/>
                <w:color w:val="00B050"/>
                <w:sz w:val="16"/>
                <w:szCs w:val="16"/>
              </w:rPr>
            </w:pPr>
            <w:r w:rsidRPr="00AC769E">
              <w:rPr>
                <w:rFonts w:cs="Arial"/>
                <w:b/>
                <w:bCs/>
                <w:color w:val="00B050"/>
                <w:sz w:val="16"/>
                <w:szCs w:val="16"/>
              </w:rPr>
              <w:t>30,7</w:t>
            </w:r>
          </w:p>
        </w:tc>
        <w:tc>
          <w:tcPr>
            <w:tcW w:w="1180" w:type="dxa"/>
            <w:tcBorders>
              <w:top w:val="nil"/>
              <w:left w:val="nil"/>
              <w:bottom w:val="single" w:sz="4" w:space="0" w:color="auto"/>
              <w:right w:val="single" w:sz="4" w:space="0" w:color="auto"/>
            </w:tcBorders>
            <w:shd w:val="clear" w:color="auto" w:fill="auto"/>
            <w:noWrap/>
            <w:vAlign w:val="center"/>
            <w:hideMark/>
          </w:tcPr>
          <w:p w14:paraId="20A4D657"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23,9</w:t>
            </w:r>
          </w:p>
        </w:tc>
        <w:tc>
          <w:tcPr>
            <w:tcW w:w="1200" w:type="dxa"/>
            <w:tcBorders>
              <w:top w:val="nil"/>
              <w:left w:val="nil"/>
              <w:bottom w:val="single" w:sz="4" w:space="0" w:color="auto"/>
              <w:right w:val="single" w:sz="4" w:space="0" w:color="auto"/>
            </w:tcBorders>
            <w:shd w:val="clear" w:color="auto" w:fill="auto"/>
            <w:noWrap/>
            <w:vAlign w:val="center"/>
            <w:hideMark/>
          </w:tcPr>
          <w:p w14:paraId="6EBF9BE6"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23,0</w:t>
            </w:r>
          </w:p>
        </w:tc>
        <w:tc>
          <w:tcPr>
            <w:tcW w:w="1300" w:type="dxa"/>
            <w:tcBorders>
              <w:top w:val="nil"/>
              <w:left w:val="nil"/>
              <w:bottom w:val="single" w:sz="4" w:space="0" w:color="auto"/>
              <w:right w:val="single" w:sz="4" w:space="0" w:color="auto"/>
            </w:tcBorders>
            <w:shd w:val="clear" w:color="auto" w:fill="auto"/>
            <w:noWrap/>
            <w:vAlign w:val="center"/>
            <w:hideMark/>
          </w:tcPr>
          <w:p w14:paraId="47CCADA8"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9,0</w:t>
            </w:r>
          </w:p>
        </w:tc>
        <w:tc>
          <w:tcPr>
            <w:tcW w:w="1340" w:type="dxa"/>
            <w:tcBorders>
              <w:top w:val="nil"/>
              <w:left w:val="nil"/>
              <w:bottom w:val="single" w:sz="4" w:space="0" w:color="auto"/>
              <w:right w:val="single" w:sz="4" w:space="0" w:color="auto"/>
            </w:tcBorders>
            <w:shd w:val="clear" w:color="auto" w:fill="auto"/>
            <w:noWrap/>
            <w:vAlign w:val="center"/>
            <w:hideMark/>
          </w:tcPr>
          <w:p w14:paraId="122EDD7A"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9,3</w:t>
            </w:r>
          </w:p>
        </w:tc>
      </w:tr>
      <w:tr w:rsidR="00AC769E" w:rsidRPr="00AC769E" w14:paraId="3453FE24"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17DB976" w14:textId="5FBA17B3" w:rsidR="00AC769E" w:rsidRPr="00006993" w:rsidRDefault="00B84CA7" w:rsidP="00AC769E">
            <w:pPr>
              <w:spacing w:after="0" w:line="240" w:lineRule="auto"/>
              <w:rPr>
                <w:rFonts w:cs="Arial"/>
                <w:color w:val="000000"/>
                <w:sz w:val="16"/>
                <w:szCs w:val="16"/>
              </w:rPr>
            </w:pPr>
            <w:r w:rsidRPr="00B84CA7">
              <w:rPr>
                <w:rFonts w:cs="Arial"/>
                <w:color w:val="000000"/>
                <w:sz w:val="16"/>
                <w:szCs w:val="16"/>
              </w:rPr>
              <w:t>Obchod; opravy motorových vozidel</w:t>
            </w:r>
          </w:p>
        </w:tc>
        <w:tc>
          <w:tcPr>
            <w:tcW w:w="1360" w:type="dxa"/>
            <w:tcBorders>
              <w:top w:val="nil"/>
              <w:left w:val="nil"/>
              <w:bottom w:val="single" w:sz="4" w:space="0" w:color="auto"/>
              <w:right w:val="single" w:sz="4" w:space="0" w:color="auto"/>
            </w:tcBorders>
            <w:shd w:val="clear" w:color="auto" w:fill="auto"/>
            <w:noWrap/>
            <w:vAlign w:val="center"/>
            <w:hideMark/>
          </w:tcPr>
          <w:p w14:paraId="5F40CC77"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13,1</w:t>
            </w:r>
          </w:p>
        </w:tc>
        <w:tc>
          <w:tcPr>
            <w:tcW w:w="1180" w:type="dxa"/>
            <w:tcBorders>
              <w:top w:val="nil"/>
              <w:left w:val="nil"/>
              <w:bottom w:val="single" w:sz="4" w:space="0" w:color="auto"/>
              <w:right w:val="single" w:sz="4" w:space="0" w:color="auto"/>
            </w:tcBorders>
            <w:shd w:val="clear" w:color="auto" w:fill="auto"/>
            <w:noWrap/>
            <w:vAlign w:val="center"/>
            <w:hideMark/>
          </w:tcPr>
          <w:p w14:paraId="53F0E0F3"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28,3</w:t>
            </w:r>
          </w:p>
        </w:tc>
        <w:tc>
          <w:tcPr>
            <w:tcW w:w="1200" w:type="dxa"/>
            <w:tcBorders>
              <w:top w:val="nil"/>
              <w:left w:val="nil"/>
              <w:bottom w:val="single" w:sz="4" w:space="0" w:color="auto"/>
              <w:right w:val="single" w:sz="4" w:space="0" w:color="auto"/>
            </w:tcBorders>
            <w:shd w:val="clear" w:color="auto" w:fill="auto"/>
            <w:noWrap/>
            <w:vAlign w:val="center"/>
            <w:hideMark/>
          </w:tcPr>
          <w:p w14:paraId="5AF29D72"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15,9</w:t>
            </w:r>
          </w:p>
        </w:tc>
        <w:tc>
          <w:tcPr>
            <w:tcW w:w="1300" w:type="dxa"/>
            <w:tcBorders>
              <w:top w:val="nil"/>
              <w:left w:val="nil"/>
              <w:bottom w:val="single" w:sz="4" w:space="0" w:color="auto"/>
              <w:right w:val="single" w:sz="4" w:space="0" w:color="auto"/>
            </w:tcBorders>
            <w:shd w:val="clear" w:color="auto" w:fill="auto"/>
            <w:noWrap/>
            <w:vAlign w:val="center"/>
            <w:hideMark/>
          </w:tcPr>
          <w:p w14:paraId="288F1015"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16,0</w:t>
            </w:r>
          </w:p>
        </w:tc>
        <w:tc>
          <w:tcPr>
            <w:tcW w:w="1340" w:type="dxa"/>
            <w:tcBorders>
              <w:top w:val="nil"/>
              <w:left w:val="nil"/>
              <w:bottom w:val="single" w:sz="4" w:space="0" w:color="auto"/>
              <w:right w:val="single" w:sz="4" w:space="0" w:color="auto"/>
            </w:tcBorders>
            <w:shd w:val="clear" w:color="auto" w:fill="auto"/>
            <w:noWrap/>
            <w:vAlign w:val="center"/>
            <w:hideMark/>
          </w:tcPr>
          <w:p w14:paraId="1368BE2A"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10,8</w:t>
            </w:r>
          </w:p>
        </w:tc>
      </w:tr>
      <w:tr w:rsidR="00AC769E" w:rsidRPr="00AC769E" w14:paraId="3EECE356"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5497D5A"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Informační a komunikační činnosti</w:t>
            </w:r>
          </w:p>
        </w:tc>
        <w:tc>
          <w:tcPr>
            <w:tcW w:w="1360" w:type="dxa"/>
            <w:tcBorders>
              <w:top w:val="nil"/>
              <w:left w:val="nil"/>
              <w:bottom w:val="single" w:sz="4" w:space="0" w:color="auto"/>
              <w:right w:val="single" w:sz="4" w:space="0" w:color="auto"/>
            </w:tcBorders>
            <w:shd w:val="clear" w:color="auto" w:fill="auto"/>
            <w:noWrap/>
            <w:vAlign w:val="center"/>
            <w:hideMark/>
          </w:tcPr>
          <w:p w14:paraId="3F5AAA1B" w14:textId="77777777" w:rsidR="00AC769E" w:rsidRPr="00AC769E" w:rsidRDefault="00AC769E" w:rsidP="00AC769E">
            <w:pPr>
              <w:spacing w:after="0" w:line="240" w:lineRule="auto"/>
              <w:jc w:val="right"/>
              <w:rPr>
                <w:rFonts w:cs="Arial"/>
                <w:color w:val="000000"/>
                <w:sz w:val="16"/>
                <w:szCs w:val="16"/>
              </w:rPr>
            </w:pPr>
            <w:r w:rsidRPr="00106680">
              <w:rPr>
                <w:rFonts w:cs="Arial"/>
                <w:b/>
                <w:bCs/>
                <w:color w:val="00B050"/>
                <w:sz w:val="16"/>
                <w:szCs w:val="16"/>
              </w:rPr>
              <w:t>26,8</w:t>
            </w:r>
          </w:p>
        </w:tc>
        <w:tc>
          <w:tcPr>
            <w:tcW w:w="1180" w:type="dxa"/>
            <w:tcBorders>
              <w:top w:val="nil"/>
              <w:left w:val="nil"/>
              <w:bottom w:val="single" w:sz="4" w:space="0" w:color="auto"/>
              <w:right w:val="single" w:sz="4" w:space="0" w:color="auto"/>
            </w:tcBorders>
            <w:shd w:val="clear" w:color="auto" w:fill="auto"/>
            <w:noWrap/>
            <w:vAlign w:val="center"/>
            <w:hideMark/>
          </w:tcPr>
          <w:p w14:paraId="143CA16E"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13,7</w:t>
            </w:r>
          </w:p>
        </w:tc>
        <w:tc>
          <w:tcPr>
            <w:tcW w:w="1200" w:type="dxa"/>
            <w:tcBorders>
              <w:top w:val="nil"/>
              <w:left w:val="nil"/>
              <w:bottom w:val="single" w:sz="4" w:space="0" w:color="auto"/>
              <w:right w:val="single" w:sz="4" w:space="0" w:color="auto"/>
            </w:tcBorders>
            <w:shd w:val="clear" w:color="auto" w:fill="auto"/>
            <w:noWrap/>
            <w:vAlign w:val="center"/>
            <w:hideMark/>
          </w:tcPr>
          <w:p w14:paraId="7509C7B5"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18,3</w:t>
            </w:r>
          </w:p>
        </w:tc>
        <w:tc>
          <w:tcPr>
            <w:tcW w:w="1300" w:type="dxa"/>
            <w:tcBorders>
              <w:top w:val="nil"/>
              <w:left w:val="nil"/>
              <w:bottom w:val="single" w:sz="4" w:space="0" w:color="auto"/>
              <w:right w:val="single" w:sz="4" w:space="0" w:color="auto"/>
            </w:tcBorders>
            <w:shd w:val="clear" w:color="auto" w:fill="auto"/>
            <w:noWrap/>
            <w:vAlign w:val="center"/>
            <w:hideMark/>
          </w:tcPr>
          <w:p w14:paraId="133F674A"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10,0</w:t>
            </w:r>
          </w:p>
        </w:tc>
        <w:tc>
          <w:tcPr>
            <w:tcW w:w="1340" w:type="dxa"/>
            <w:tcBorders>
              <w:top w:val="nil"/>
              <w:left w:val="nil"/>
              <w:bottom w:val="single" w:sz="4" w:space="0" w:color="auto"/>
              <w:right w:val="single" w:sz="4" w:space="0" w:color="auto"/>
            </w:tcBorders>
            <w:shd w:val="clear" w:color="auto" w:fill="auto"/>
            <w:noWrap/>
            <w:vAlign w:val="center"/>
            <w:hideMark/>
          </w:tcPr>
          <w:p w14:paraId="026A312B"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5,7</w:t>
            </w:r>
          </w:p>
        </w:tc>
      </w:tr>
      <w:tr w:rsidR="00AC769E" w:rsidRPr="00AC769E" w14:paraId="45C08B4A"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0DA343C"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Kulturní, zábavní a rekreační činnosti</w:t>
            </w:r>
          </w:p>
        </w:tc>
        <w:tc>
          <w:tcPr>
            <w:tcW w:w="1360" w:type="dxa"/>
            <w:tcBorders>
              <w:top w:val="nil"/>
              <w:left w:val="nil"/>
              <w:bottom w:val="single" w:sz="4" w:space="0" w:color="auto"/>
              <w:right w:val="single" w:sz="4" w:space="0" w:color="auto"/>
            </w:tcBorders>
            <w:shd w:val="clear" w:color="auto" w:fill="auto"/>
            <w:noWrap/>
            <w:vAlign w:val="center"/>
            <w:hideMark/>
          </w:tcPr>
          <w:p w14:paraId="6E12B20B" w14:textId="77777777" w:rsidR="00AC769E" w:rsidRPr="00AC769E" w:rsidRDefault="00AC769E" w:rsidP="00AC769E">
            <w:pPr>
              <w:spacing w:after="0" w:line="240" w:lineRule="auto"/>
              <w:jc w:val="right"/>
              <w:rPr>
                <w:rFonts w:cs="Arial"/>
                <w:b/>
                <w:bCs/>
                <w:color w:val="C00000"/>
                <w:sz w:val="16"/>
                <w:szCs w:val="16"/>
              </w:rPr>
            </w:pPr>
            <w:r w:rsidRPr="00AC769E">
              <w:rPr>
                <w:rFonts w:cs="Arial"/>
                <w:b/>
                <w:bCs/>
                <w:color w:val="C00000"/>
                <w:sz w:val="16"/>
                <w:szCs w:val="16"/>
              </w:rPr>
              <w:t>5,5</w:t>
            </w:r>
          </w:p>
        </w:tc>
        <w:tc>
          <w:tcPr>
            <w:tcW w:w="1180" w:type="dxa"/>
            <w:tcBorders>
              <w:top w:val="nil"/>
              <w:left w:val="nil"/>
              <w:bottom w:val="single" w:sz="4" w:space="0" w:color="auto"/>
              <w:right w:val="single" w:sz="4" w:space="0" w:color="auto"/>
            </w:tcBorders>
            <w:shd w:val="clear" w:color="auto" w:fill="auto"/>
            <w:noWrap/>
            <w:vAlign w:val="center"/>
            <w:hideMark/>
          </w:tcPr>
          <w:p w14:paraId="5E453E70"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22,2</w:t>
            </w:r>
          </w:p>
        </w:tc>
        <w:tc>
          <w:tcPr>
            <w:tcW w:w="1200" w:type="dxa"/>
            <w:tcBorders>
              <w:top w:val="nil"/>
              <w:left w:val="nil"/>
              <w:bottom w:val="single" w:sz="4" w:space="0" w:color="auto"/>
              <w:right w:val="single" w:sz="4" w:space="0" w:color="auto"/>
            </w:tcBorders>
            <w:shd w:val="clear" w:color="auto" w:fill="auto"/>
            <w:noWrap/>
            <w:vAlign w:val="center"/>
            <w:hideMark/>
          </w:tcPr>
          <w:p w14:paraId="21794500" w14:textId="77777777" w:rsidR="00AC769E" w:rsidRPr="00AC769E" w:rsidRDefault="00AC769E" w:rsidP="00AC769E">
            <w:pPr>
              <w:spacing w:after="0" w:line="240" w:lineRule="auto"/>
              <w:jc w:val="right"/>
              <w:rPr>
                <w:rFonts w:cs="Arial"/>
                <w:b/>
                <w:bCs/>
                <w:color w:val="00B050"/>
                <w:sz w:val="16"/>
                <w:szCs w:val="16"/>
              </w:rPr>
            </w:pPr>
            <w:r w:rsidRPr="00AC769E">
              <w:rPr>
                <w:rFonts w:cs="Arial"/>
                <w:b/>
                <w:bCs/>
                <w:color w:val="00B050"/>
                <w:sz w:val="16"/>
                <w:szCs w:val="16"/>
              </w:rPr>
              <w:t>33,5</w:t>
            </w:r>
          </w:p>
        </w:tc>
        <w:tc>
          <w:tcPr>
            <w:tcW w:w="1300" w:type="dxa"/>
            <w:tcBorders>
              <w:top w:val="nil"/>
              <w:left w:val="nil"/>
              <w:bottom w:val="single" w:sz="4" w:space="0" w:color="auto"/>
              <w:right w:val="single" w:sz="4" w:space="0" w:color="auto"/>
            </w:tcBorders>
            <w:shd w:val="clear" w:color="auto" w:fill="auto"/>
            <w:noWrap/>
            <w:vAlign w:val="center"/>
            <w:hideMark/>
          </w:tcPr>
          <w:p w14:paraId="4458E392" w14:textId="77777777" w:rsidR="00AC769E" w:rsidRPr="00AC769E" w:rsidRDefault="00AC769E" w:rsidP="00AC769E">
            <w:pPr>
              <w:spacing w:after="0" w:line="240" w:lineRule="auto"/>
              <w:jc w:val="right"/>
              <w:rPr>
                <w:rFonts w:cs="Arial"/>
                <w:b/>
                <w:bCs/>
                <w:color w:val="C00000"/>
                <w:sz w:val="16"/>
                <w:szCs w:val="16"/>
              </w:rPr>
            </w:pPr>
            <w:r w:rsidRPr="00AC769E">
              <w:rPr>
                <w:rFonts w:cs="Arial"/>
                <w:b/>
                <w:bCs/>
                <w:color w:val="C00000"/>
                <w:sz w:val="16"/>
                <w:szCs w:val="16"/>
              </w:rPr>
              <w:t>1,0</w:t>
            </w:r>
          </w:p>
        </w:tc>
        <w:tc>
          <w:tcPr>
            <w:tcW w:w="1340" w:type="dxa"/>
            <w:tcBorders>
              <w:top w:val="nil"/>
              <w:left w:val="nil"/>
              <w:bottom w:val="single" w:sz="4" w:space="0" w:color="auto"/>
              <w:right w:val="single" w:sz="4" w:space="0" w:color="auto"/>
            </w:tcBorders>
            <w:shd w:val="clear" w:color="auto" w:fill="auto"/>
            <w:noWrap/>
            <w:vAlign w:val="center"/>
            <w:hideMark/>
          </w:tcPr>
          <w:p w14:paraId="211F3853"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8,6</w:t>
            </w:r>
          </w:p>
        </w:tc>
      </w:tr>
      <w:tr w:rsidR="00AC769E" w:rsidRPr="00AC769E" w14:paraId="5A2D2D8A"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6AC6623"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Profesní, vědecké a technické činnosti</w:t>
            </w:r>
          </w:p>
        </w:tc>
        <w:tc>
          <w:tcPr>
            <w:tcW w:w="1360" w:type="dxa"/>
            <w:tcBorders>
              <w:top w:val="nil"/>
              <w:left w:val="nil"/>
              <w:bottom w:val="single" w:sz="4" w:space="0" w:color="auto"/>
              <w:right w:val="single" w:sz="4" w:space="0" w:color="auto"/>
            </w:tcBorders>
            <w:shd w:val="clear" w:color="auto" w:fill="auto"/>
            <w:noWrap/>
            <w:vAlign w:val="center"/>
            <w:hideMark/>
          </w:tcPr>
          <w:p w14:paraId="1ED6EE6F"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15,7</w:t>
            </w:r>
          </w:p>
        </w:tc>
        <w:tc>
          <w:tcPr>
            <w:tcW w:w="1180" w:type="dxa"/>
            <w:tcBorders>
              <w:top w:val="nil"/>
              <w:left w:val="nil"/>
              <w:bottom w:val="single" w:sz="4" w:space="0" w:color="auto"/>
              <w:right w:val="single" w:sz="4" w:space="0" w:color="auto"/>
            </w:tcBorders>
            <w:shd w:val="clear" w:color="auto" w:fill="auto"/>
            <w:noWrap/>
            <w:vAlign w:val="center"/>
            <w:hideMark/>
          </w:tcPr>
          <w:p w14:paraId="3685E820"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4,1</w:t>
            </w:r>
          </w:p>
        </w:tc>
        <w:tc>
          <w:tcPr>
            <w:tcW w:w="1200" w:type="dxa"/>
            <w:tcBorders>
              <w:top w:val="nil"/>
              <w:left w:val="nil"/>
              <w:bottom w:val="single" w:sz="4" w:space="0" w:color="auto"/>
              <w:right w:val="single" w:sz="4" w:space="0" w:color="auto"/>
            </w:tcBorders>
            <w:shd w:val="clear" w:color="auto" w:fill="auto"/>
            <w:noWrap/>
            <w:vAlign w:val="center"/>
            <w:hideMark/>
          </w:tcPr>
          <w:p w14:paraId="4A26D842"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11,9</w:t>
            </w:r>
          </w:p>
        </w:tc>
        <w:tc>
          <w:tcPr>
            <w:tcW w:w="1300" w:type="dxa"/>
            <w:tcBorders>
              <w:top w:val="nil"/>
              <w:left w:val="nil"/>
              <w:bottom w:val="single" w:sz="4" w:space="0" w:color="auto"/>
              <w:right w:val="single" w:sz="4" w:space="0" w:color="auto"/>
            </w:tcBorders>
            <w:shd w:val="clear" w:color="auto" w:fill="auto"/>
            <w:noWrap/>
            <w:vAlign w:val="center"/>
            <w:hideMark/>
          </w:tcPr>
          <w:p w14:paraId="4F434480"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5,9</w:t>
            </w:r>
          </w:p>
        </w:tc>
        <w:tc>
          <w:tcPr>
            <w:tcW w:w="1340" w:type="dxa"/>
            <w:tcBorders>
              <w:top w:val="nil"/>
              <w:left w:val="nil"/>
              <w:bottom w:val="single" w:sz="4" w:space="0" w:color="auto"/>
              <w:right w:val="single" w:sz="4" w:space="0" w:color="auto"/>
            </w:tcBorders>
            <w:shd w:val="clear" w:color="auto" w:fill="auto"/>
            <w:noWrap/>
            <w:vAlign w:val="center"/>
            <w:hideMark/>
          </w:tcPr>
          <w:p w14:paraId="62A7CB3F"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11,1</w:t>
            </w:r>
          </w:p>
        </w:tc>
      </w:tr>
      <w:tr w:rsidR="00AC769E" w:rsidRPr="00AC769E" w14:paraId="73E740FB"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238F86D"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Průmysl</w:t>
            </w:r>
          </w:p>
        </w:tc>
        <w:tc>
          <w:tcPr>
            <w:tcW w:w="1360" w:type="dxa"/>
            <w:tcBorders>
              <w:top w:val="nil"/>
              <w:left w:val="nil"/>
              <w:bottom w:val="single" w:sz="4" w:space="0" w:color="auto"/>
              <w:right w:val="single" w:sz="4" w:space="0" w:color="auto"/>
            </w:tcBorders>
            <w:shd w:val="clear" w:color="auto" w:fill="auto"/>
            <w:noWrap/>
            <w:vAlign w:val="center"/>
            <w:hideMark/>
          </w:tcPr>
          <w:p w14:paraId="2E9F39A7"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13,1</w:t>
            </w:r>
          </w:p>
        </w:tc>
        <w:tc>
          <w:tcPr>
            <w:tcW w:w="1180" w:type="dxa"/>
            <w:tcBorders>
              <w:top w:val="nil"/>
              <w:left w:val="nil"/>
              <w:bottom w:val="single" w:sz="4" w:space="0" w:color="auto"/>
              <w:right w:val="single" w:sz="4" w:space="0" w:color="auto"/>
            </w:tcBorders>
            <w:shd w:val="clear" w:color="auto" w:fill="auto"/>
            <w:noWrap/>
            <w:vAlign w:val="center"/>
            <w:hideMark/>
          </w:tcPr>
          <w:p w14:paraId="2D737D28"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29537EE"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7,8</w:t>
            </w:r>
          </w:p>
        </w:tc>
        <w:tc>
          <w:tcPr>
            <w:tcW w:w="1300" w:type="dxa"/>
            <w:tcBorders>
              <w:top w:val="nil"/>
              <w:left w:val="nil"/>
              <w:bottom w:val="single" w:sz="4" w:space="0" w:color="auto"/>
              <w:right w:val="single" w:sz="4" w:space="0" w:color="auto"/>
            </w:tcBorders>
            <w:shd w:val="clear" w:color="auto" w:fill="auto"/>
            <w:noWrap/>
            <w:vAlign w:val="center"/>
            <w:hideMark/>
          </w:tcPr>
          <w:p w14:paraId="718F7B7A"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7,5</w:t>
            </w:r>
          </w:p>
        </w:tc>
        <w:tc>
          <w:tcPr>
            <w:tcW w:w="1340" w:type="dxa"/>
            <w:tcBorders>
              <w:top w:val="nil"/>
              <w:left w:val="nil"/>
              <w:bottom w:val="single" w:sz="4" w:space="0" w:color="auto"/>
              <w:right w:val="single" w:sz="4" w:space="0" w:color="auto"/>
            </w:tcBorders>
            <w:shd w:val="clear" w:color="auto" w:fill="auto"/>
            <w:noWrap/>
            <w:vAlign w:val="center"/>
            <w:hideMark/>
          </w:tcPr>
          <w:p w14:paraId="2880E53E"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8,6</w:t>
            </w:r>
          </w:p>
        </w:tc>
      </w:tr>
      <w:tr w:rsidR="00AC769E" w:rsidRPr="00AC769E" w14:paraId="297F4C2C"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09B4C5A3"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Činnosti v oblasti nemovitostí a administrativy</w:t>
            </w:r>
          </w:p>
        </w:tc>
        <w:tc>
          <w:tcPr>
            <w:tcW w:w="1360" w:type="dxa"/>
            <w:tcBorders>
              <w:top w:val="nil"/>
              <w:left w:val="nil"/>
              <w:bottom w:val="single" w:sz="4" w:space="0" w:color="auto"/>
              <w:right w:val="single" w:sz="4" w:space="0" w:color="auto"/>
            </w:tcBorders>
            <w:shd w:val="clear" w:color="auto" w:fill="auto"/>
            <w:noWrap/>
            <w:vAlign w:val="center"/>
            <w:hideMark/>
          </w:tcPr>
          <w:p w14:paraId="770EB9C8"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7,4</w:t>
            </w:r>
          </w:p>
        </w:tc>
        <w:tc>
          <w:tcPr>
            <w:tcW w:w="1180" w:type="dxa"/>
            <w:tcBorders>
              <w:top w:val="nil"/>
              <w:left w:val="nil"/>
              <w:bottom w:val="single" w:sz="4" w:space="0" w:color="auto"/>
              <w:right w:val="single" w:sz="4" w:space="0" w:color="auto"/>
            </w:tcBorders>
            <w:shd w:val="clear" w:color="auto" w:fill="auto"/>
            <w:noWrap/>
            <w:vAlign w:val="center"/>
            <w:hideMark/>
          </w:tcPr>
          <w:p w14:paraId="0AFA1702"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8,1</w:t>
            </w:r>
          </w:p>
        </w:tc>
        <w:tc>
          <w:tcPr>
            <w:tcW w:w="1200" w:type="dxa"/>
            <w:tcBorders>
              <w:top w:val="nil"/>
              <w:left w:val="nil"/>
              <w:bottom w:val="single" w:sz="4" w:space="0" w:color="auto"/>
              <w:right w:val="single" w:sz="4" w:space="0" w:color="auto"/>
            </w:tcBorders>
            <w:shd w:val="clear" w:color="auto" w:fill="auto"/>
            <w:noWrap/>
            <w:vAlign w:val="center"/>
            <w:hideMark/>
          </w:tcPr>
          <w:p w14:paraId="37516A30"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13,6</w:t>
            </w:r>
          </w:p>
        </w:tc>
        <w:tc>
          <w:tcPr>
            <w:tcW w:w="1300" w:type="dxa"/>
            <w:tcBorders>
              <w:top w:val="nil"/>
              <w:left w:val="nil"/>
              <w:bottom w:val="single" w:sz="4" w:space="0" w:color="auto"/>
              <w:right w:val="single" w:sz="4" w:space="0" w:color="auto"/>
            </w:tcBorders>
            <w:shd w:val="clear" w:color="auto" w:fill="auto"/>
            <w:noWrap/>
            <w:vAlign w:val="center"/>
            <w:hideMark/>
          </w:tcPr>
          <w:p w14:paraId="496391B2"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6,6</w:t>
            </w:r>
          </w:p>
        </w:tc>
        <w:tc>
          <w:tcPr>
            <w:tcW w:w="1340" w:type="dxa"/>
            <w:tcBorders>
              <w:top w:val="nil"/>
              <w:left w:val="nil"/>
              <w:bottom w:val="single" w:sz="4" w:space="0" w:color="auto"/>
              <w:right w:val="single" w:sz="4" w:space="0" w:color="auto"/>
            </w:tcBorders>
            <w:shd w:val="clear" w:color="auto" w:fill="auto"/>
            <w:noWrap/>
            <w:vAlign w:val="center"/>
            <w:hideMark/>
          </w:tcPr>
          <w:p w14:paraId="0BD946D7" w14:textId="77777777" w:rsidR="00AC769E" w:rsidRPr="00AC769E" w:rsidRDefault="00AC769E" w:rsidP="00AC769E">
            <w:pPr>
              <w:spacing w:after="0" w:line="240" w:lineRule="auto"/>
              <w:jc w:val="right"/>
              <w:rPr>
                <w:rFonts w:cs="Arial"/>
                <w:b/>
                <w:bCs/>
                <w:color w:val="C00000"/>
                <w:sz w:val="16"/>
                <w:szCs w:val="16"/>
              </w:rPr>
            </w:pPr>
            <w:r w:rsidRPr="00AC769E">
              <w:rPr>
                <w:rFonts w:cs="Arial"/>
                <w:b/>
                <w:bCs/>
                <w:color w:val="C00000"/>
                <w:sz w:val="16"/>
                <w:szCs w:val="16"/>
              </w:rPr>
              <w:t>4,7</w:t>
            </w:r>
          </w:p>
        </w:tc>
      </w:tr>
      <w:tr w:rsidR="00AC769E" w:rsidRPr="00AC769E" w14:paraId="39919865"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1399F1F4"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Doprava a skladování</w:t>
            </w:r>
          </w:p>
        </w:tc>
        <w:tc>
          <w:tcPr>
            <w:tcW w:w="1360" w:type="dxa"/>
            <w:tcBorders>
              <w:top w:val="nil"/>
              <w:left w:val="nil"/>
              <w:bottom w:val="single" w:sz="4" w:space="0" w:color="auto"/>
              <w:right w:val="single" w:sz="4" w:space="0" w:color="auto"/>
            </w:tcBorders>
            <w:shd w:val="clear" w:color="auto" w:fill="auto"/>
            <w:noWrap/>
            <w:vAlign w:val="center"/>
            <w:hideMark/>
          </w:tcPr>
          <w:p w14:paraId="13E3D970"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7,9</w:t>
            </w:r>
          </w:p>
        </w:tc>
        <w:tc>
          <w:tcPr>
            <w:tcW w:w="1180" w:type="dxa"/>
            <w:tcBorders>
              <w:top w:val="nil"/>
              <w:left w:val="nil"/>
              <w:bottom w:val="single" w:sz="4" w:space="0" w:color="auto"/>
              <w:right w:val="single" w:sz="4" w:space="0" w:color="auto"/>
            </w:tcBorders>
            <w:shd w:val="clear" w:color="auto" w:fill="auto"/>
            <w:noWrap/>
            <w:vAlign w:val="center"/>
            <w:hideMark/>
          </w:tcPr>
          <w:p w14:paraId="27194F38"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4,2</w:t>
            </w:r>
          </w:p>
        </w:tc>
        <w:tc>
          <w:tcPr>
            <w:tcW w:w="1200" w:type="dxa"/>
            <w:tcBorders>
              <w:top w:val="nil"/>
              <w:left w:val="nil"/>
              <w:bottom w:val="single" w:sz="4" w:space="0" w:color="auto"/>
              <w:right w:val="single" w:sz="4" w:space="0" w:color="auto"/>
            </w:tcBorders>
            <w:shd w:val="clear" w:color="auto" w:fill="auto"/>
            <w:noWrap/>
            <w:vAlign w:val="center"/>
            <w:hideMark/>
          </w:tcPr>
          <w:p w14:paraId="1100CD4C"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7,9</w:t>
            </w:r>
          </w:p>
        </w:tc>
        <w:tc>
          <w:tcPr>
            <w:tcW w:w="1300" w:type="dxa"/>
            <w:tcBorders>
              <w:top w:val="nil"/>
              <w:left w:val="nil"/>
              <w:bottom w:val="single" w:sz="4" w:space="0" w:color="auto"/>
              <w:right w:val="single" w:sz="4" w:space="0" w:color="auto"/>
            </w:tcBorders>
            <w:shd w:val="clear" w:color="auto" w:fill="auto"/>
            <w:noWrap/>
            <w:vAlign w:val="center"/>
            <w:hideMark/>
          </w:tcPr>
          <w:p w14:paraId="66D087B1"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7,5</w:t>
            </w:r>
          </w:p>
        </w:tc>
        <w:tc>
          <w:tcPr>
            <w:tcW w:w="1340" w:type="dxa"/>
            <w:tcBorders>
              <w:top w:val="nil"/>
              <w:left w:val="nil"/>
              <w:bottom w:val="single" w:sz="4" w:space="0" w:color="auto"/>
              <w:right w:val="single" w:sz="4" w:space="0" w:color="auto"/>
            </w:tcBorders>
            <w:shd w:val="clear" w:color="auto" w:fill="auto"/>
            <w:noWrap/>
            <w:vAlign w:val="center"/>
            <w:hideMark/>
          </w:tcPr>
          <w:p w14:paraId="68F27C25"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6,9</w:t>
            </w:r>
          </w:p>
        </w:tc>
      </w:tr>
      <w:tr w:rsidR="00AC769E" w:rsidRPr="00AC769E" w14:paraId="2ECA4A2C" w14:textId="77777777" w:rsidTr="00AC769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21902552" w14:textId="77777777" w:rsidR="00AC769E" w:rsidRPr="00006993" w:rsidRDefault="00AC769E" w:rsidP="00AC769E">
            <w:pPr>
              <w:spacing w:after="0" w:line="240" w:lineRule="auto"/>
              <w:rPr>
                <w:rFonts w:cs="Arial"/>
                <w:color w:val="000000"/>
                <w:sz w:val="16"/>
                <w:szCs w:val="16"/>
              </w:rPr>
            </w:pPr>
            <w:r w:rsidRPr="00006993">
              <w:rPr>
                <w:rFonts w:cs="Arial"/>
                <w:color w:val="000000"/>
                <w:sz w:val="16"/>
                <w:szCs w:val="16"/>
              </w:rPr>
              <w:t>Stavebnictví</w:t>
            </w:r>
          </w:p>
        </w:tc>
        <w:tc>
          <w:tcPr>
            <w:tcW w:w="1360" w:type="dxa"/>
            <w:tcBorders>
              <w:top w:val="nil"/>
              <w:left w:val="nil"/>
              <w:bottom w:val="single" w:sz="4" w:space="0" w:color="auto"/>
              <w:right w:val="single" w:sz="4" w:space="0" w:color="auto"/>
            </w:tcBorders>
            <w:shd w:val="clear" w:color="auto" w:fill="auto"/>
            <w:noWrap/>
            <w:vAlign w:val="center"/>
            <w:hideMark/>
          </w:tcPr>
          <w:p w14:paraId="31F49155"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10,1</w:t>
            </w:r>
          </w:p>
        </w:tc>
        <w:tc>
          <w:tcPr>
            <w:tcW w:w="1180" w:type="dxa"/>
            <w:tcBorders>
              <w:top w:val="nil"/>
              <w:left w:val="nil"/>
              <w:bottom w:val="single" w:sz="4" w:space="0" w:color="auto"/>
              <w:right w:val="single" w:sz="4" w:space="0" w:color="auto"/>
            </w:tcBorders>
            <w:shd w:val="clear" w:color="auto" w:fill="auto"/>
            <w:noWrap/>
            <w:vAlign w:val="center"/>
            <w:hideMark/>
          </w:tcPr>
          <w:p w14:paraId="0E783BDB" w14:textId="77777777" w:rsidR="00AC769E" w:rsidRPr="00AC769E" w:rsidRDefault="00AC769E" w:rsidP="00AC769E">
            <w:pPr>
              <w:spacing w:after="0" w:line="240" w:lineRule="auto"/>
              <w:jc w:val="right"/>
              <w:rPr>
                <w:rFonts w:cs="Arial"/>
                <w:b/>
                <w:bCs/>
                <w:color w:val="C00000"/>
                <w:sz w:val="16"/>
                <w:szCs w:val="16"/>
              </w:rPr>
            </w:pPr>
            <w:r w:rsidRPr="00AC769E">
              <w:rPr>
                <w:rFonts w:cs="Arial"/>
                <w:b/>
                <w:bCs/>
                <w:color w:val="C00000"/>
                <w:sz w:val="16"/>
                <w:szCs w:val="16"/>
              </w:rPr>
              <w:t>2,8</w:t>
            </w:r>
          </w:p>
        </w:tc>
        <w:tc>
          <w:tcPr>
            <w:tcW w:w="1200" w:type="dxa"/>
            <w:tcBorders>
              <w:top w:val="nil"/>
              <w:left w:val="nil"/>
              <w:bottom w:val="single" w:sz="4" w:space="0" w:color="auto"/>
              <w:right w:val="single" w:sz="4" w:space="0" w:color="auto"/>
            </w:tcBorders>
            <w:shd w:val="clear" w:color="auto" w:fill="auto"/>
            <w:noWrap/>
            <w:vAlign w:val="center"/>
            <w:hideMark/>
          </w:tcPr>
          <w:p w14:paraId="359CE919" w14:textId="77777777" w:rsidR="00AC769E" w:rsidRPr="00AC769E" w:rsidRDefault="00AC769E" w:rsidP="00AC769E">
            <w:pPr>
              <w:spacing w:after="0" w:line="240" w:lineRule="auto"/>
              <w:jc w:val="right"/>
              <w:rPr>
                <w:rFonts w:cs="Arial"/>
                <w:b/>
                <w:bCs/>
                <w:color w:val="C00000"/>
                <w:sz w:val="16"/>
                <w:szCs w:val="16"/>
              </w:rPr>
            </w:pPr>
            <w:r w:rsidRPr="00AC769E">
              <w:rPr>
                <w:rFonts w:cs="Arial"/>
                <w:b/>
                <w:bCs/>
                <w:color w:val="C00000"/>
                <w:sz w:val="16"/>
                <w:szCs w:val="16"/>
              </w:rPr>
              <w:t>3,2</w:t>
            </w:r>
          </w:p>
        </w:tc>
        <w:tc>
          <w:tcPr>
            <w:tcW w:w="1300" w:type="dxa"/>
            <w:tcBorders>
              <w:top w:val="nil"/>
              <w:left w:val="nil"/>
              <w:bottom w:val="single" w:sz="4" w:space="0" w:color="auto"/>
              <w:right w:val="single" w:sz="4" w:space="0" w:color="auto"/>
            </w:tcBorders>
            <w:shd w:val="clear" w:color="auto" w:fill="auto"/>
            <w:noWrap/>
            <w:vAlign w:val="center"/>
            <w:hideMark/>
          </w:tcPr>
          <w:p w14:paraId="5FA721D2"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7,0</w:t>
            </w:r>
          </w:p>
        </w:tc>
        <w:tc>
          <w:tcPr>
            <w:tcW w:w="1340" w:type="dxa"/>
            <w:tcBorders>
              <w:top w:val="nil"/>
              <w:left w:val="nil"/>
              <w:bottom w:val="single" w:sz="4" w:space="0" w:color="auto"/>
              <w:right w:val="single" w:sz="4" w:space="0" w:color="auto"/>
            </w:tcBorders>
            <w:shd w:val="clear" w:color="auto" w:fill="auto"/>
            <w:noWrap/>
            <w:vAlign w:val="center"/>
            <w:hideMark/>
          </w:tcPr>
          <w:p w14:paraId="29C968E8" w14:textId="77777777" w:rsidR="00AC769E" w:rsidRPr="00AC769E" w:rsidRDefault="00AC769E" w:rsidP="00AC769E">
            <w:pPr>
              <w:spacing w:after="0" w:line="240" w:lineRule="auto"/>
              <w:jc w:val="right"/>
              <w:rPr>
                <w:rFonts w:cs="Arial"/>
                <w:color w:val="000000"/>
                <w:sz w:val="16"/>
                <w:szCs w:val="16"/>
              </w:rPr>
            </w:pPr>
            <w:r w:rsidRPr="00AC769E">
              <w:rPr>
                <w:rFonts w:cs="Arial"/>
                <w:color w:val="000000"/>
                <w:sz w:val="16"/>
                <w:szCs w:val="16"/>
              </w:rPr>
              <w:t>9,5</w:t>
            </w:r>
          </w:p>
        </w:tc>
      </w:tr>
    </w:tbl>
    <w:p w14:paraId="6824DC2A" w14:textId="4DF507C8" w:rsidR="00AC769E" w:rsidRPr="009C4714" w:rsidRDefault="009C4714" w:rsidP="009C4714">
      <w:pPr>
        <w:spacing w:before="120" w:after="120"/>
        <w:jc w:val="right"/>
        <w:rPr>
          <w:szCs w:val="20"/>
        </w:rPr>
      </w:pPr>
      <w:r w:rsidRPr="003D1467">
        <w:rPr>
          <w:szCs w:val="20"/>
        </w:rPr>
        <w:t>Zdroj: ČSÚ</w:t>
      </w:r>
    </w:p>
    <w:p w14:paraId="7FCEE1C9" w14:textId="4F071630" w:rsidR="000C3103" w:rsidRDefault="000C3103" w:rsidP="008A6B0C">
      <w:pPr>
        <w:spacing w:after="120"/>
        <w:jc w:val="both"/>
        <w:rPr>
          <w:rFonts w:cs="Arial"/>
          <w:szCs w:val="20"/>
        </w:rPr>
      </w:pPr>
      <w:r w:rsidRPr="00892900">
        <w:rPr>
          <w:rFonts w:cs="Arial"/>
          <w:szCs w:val="20"/>
        </w:rPr>
        <w:t>Přejděme na tzv</w:t>
      </w:r>
      <w:r w:rsidRPr="00006993">
        <w:rPr>
          <w:rFonts w:cs="Arial"/>
          <w:szCs w:val="20"/>
        </w:rPr>
        <w:t>.</w:t>
      </w:r>
      <w:r w:rsidRPr="00A43B73">
        <w:rPr>
          <w:rFonts w:cs="Arial"/>
          <w:b/>
          <w:szCs w:val="20"/>
        </w:rPr>
        <w:t xml:space="preserve"> „hard skills“</w:t>
      </w:r>
      <w:r w:rsidRPr="00892900">
        <w:rPr>
          <w:rFonts w:cs="Arial"/>
          <w:szCs w:val="20"/>
        </w:rPr>
        <w:t>, neboli ostatní témata, jejichž hodinovou dotaci podniky zajišťující nepovinné kurzy/školení posuzovaly</w:t>
      </w:r>
      <w:r w:rsidR="009F0BC4">
        <w:rPr>
          <w:rFonts w:cs="Arial"/>
          <w:szCs w:val="20"/>
        </w:rPr>
        <w:t>, viz tabulku 3.1b</w:t>
      </w:r>
      <w:r w:rsidRPr="00892900">
        <w:rPr>
          <w:rFonts w:cs="Arial"/>
          <w:szCs w:val="20"/>
        </w:rPr>
        <w:t>.</w:t>
      </w:r>
      <w:r w:rsidR="009F0BC4">
        <w:rPr>
          <w:rFonts w:cs="Arial"/>
          <w:szCs w:val="20"/>
        </w:rPr>
        <w:t xml:space="preserve"> Jednotlivá odvětví jsou řazena od těc</w:t>
      </w:r>
      <w:r w:rsidR="00006993">
        <w:rPr>
          <w:rFonts w:cs="Arial"/>
          <w:szCs w:val="20"/>
        </w:rPr>
        <w:t>h, která v souhrnu označovala</w:t>
      </w:r>
      <w:r w:rsidR="00A43B73">
        <w:rPr>
          <w:rFonts w:cs="Arial"/>
          <w:szCs w:val="20"/>
        </w:rPr>
        <w:t xml:space="preserve"> „hard</w:t>
      </w:r>
      <w:r w:rsidR="009F0BC4">
        <w:rPr>
          <w:rFonts w:cs="Arial"/>
          <w:szCs w:val="20"/>
        </w:rPr>
        <w:t xml:space="preserve"> skills“ nejčastěji, po ty, pro které tak často stěžejní náplní kurzů/školení nebyly</w:t>
      </w:r>
      <w:r w:rsidR="007E2CCE">
        <w:rPr>
          <w:rFonts w:cs="Arial"/>
          <w:szCs w:val="20"/>
        </w:rPr>
        <w:t>.</w:t>
      </w:r>
      <w:r w:rsidR="00D34E98">
        <w:rPr>
          <w:rFonts w:cs="Arial"/>
          <w:szCs w:val="20"/>
        </w:rPr>
        <w:t xml:space="preserve"> Jak je patrné, pořadí odvětví se proměnilo. Nejvýrazněji je to vidět na podnicích s hlavní ekonomickou činností v oblasti </w:t>
      </w:r>
      <w:r w:rsidR="00D34E98" w:rsidRPr="00A43B73">
        <w:rPr>
          <w:rFonts w:cs="Arial"/>
          <w:i/>
          <w:szCs w:val="20"/>
        </w:rPr>
        <w:t>ubytování, stravování a pohostinství</w:t>
      </w:r>
      <w:r w:rsidR="00D34E98">
        <w:rPr>
          <w:rFonts w:cs="Arial"/>
          <w:szCs w:val="20"/>
        </w:rPr>
        <w:t>, které z hlediska hodinové dotace nejvíce</w:t>
      </w:r>
      <w:r w:rsidR="00006993">
        <w:rPr>
          <w:rFonts w:cs="Arial"/>
          <w:szCs w:val="20"/>
        </w:rPr>
        <w:t xml:space="preserve"> upřednostňovaly „soft skills“ </w:t>
      </w:r>
      <w:r w:rsidR="00D34E98">
        <w:rPr>
          <w:rFonts w:cs="Arial"/>
          <w:szCs w:val="20"/>
        </w:rPr>
        <w:t xml:space="preserve">a naopak nejméně „hard skills“. </w:t>
      </w:r>
    </w:p>
    <w:p w14:paraId="41224595" w14:textId="3BD895AD" w:rsidR="00DE77E6" w:rsidRDefault="00DE77E6" w:rsidP="00DE77E6">
      <w:pPr>
        <w:spacing w:after="120"/>
        <w:jc w:val="both"/>
        <w:rPr>
          <w:rFonts w:cs="Arial"/>
          <w:szCs w:val="20"/>
        </w:rPr>
      </w:pPr>
      <w:r w:rsidRPr="00A43B73">
        <w:rPr>
          <w:rFonts w:cs="Arial"/>
          <w:b/>
          <w:szCs w:val="20"/>
        </w:rPr>
        <w:t>Čím více zaměstnanců</w:t>
      </w:r>
      <w:r>
        <w:rPr>
          <w:rFonts w:cs="Arial"/>
          <w:szCs w:val="20"/>
        </w:rPr>
        <w:t xml:space="preserve"> podniky zajišťující nepovinné kurzy/školení měly</w:t>
      </w:r>
      <w:r w:rsidRPr="009F0BC4">
        <w:rPr>
          <w:rFonts w:cs="Arial"/>
          <w:szCs w:val="20"/>
        </w:rPr>
        <w:t xml:space="preserve">, tím </w:t>
      </w:r>
      <w:r>
        <w:rPr>
          <w:rFonts w:cs="Arial"/>
          <w:szCs w:val="20"/>
        </w:rPr>
        <w:t xml:space="preserve">se častěji mezi nimi objevovala odpověď, že hlavní náplní tohoto vzdělávání byly </w:t>
      </w:r>
      <w:r w:rsidRPr="00A43B73">
        <w:rPr>
          <w:rFonts w:cs="Arial"/>
          <w:b/>
          <w:i/>
          <w:szCs w:val="20"/>
        </w:rPr>
        <w:t>specifické technické a inženýrské dovednosti</w:t>
      </w:r>
      <w:r>
        <w:rPr>
          <w:rFonts w:cs="Arial"/>
          <w:szCs w:val="20"/>
        </w:rPr>
        <w:t xml:space="preserve"> </w:t>
      </w:r>
      <w:r w:rsidRPr="009F0BC4">
        <w:rPr>
          <w:rFonts w:cs="Arial"/>
          <w:szCs w:val="20"/>
        </w:rPr>
        <w:t>související s</w:t>
      </w:r>
      <w:r>
        <w:rPr>
          <w:rFonts w:cs="Arial"/>
          <w:szCs w:val="20"/>
        </w:rPr>
        <w:t> </w:t>
      </w:r>
      <w:r w:rsidRPr="009F0BC4">
        <w:rPr>
          <w:rFonts w:cs="Arial"/>
          <w:szCs w:val="20"/>
        </w:rPr>
        <w:t>výkonem konkrétního povolání v</w:t>
      </w:r>
      <w:r>
        <w:rPr>
          <w:rFonts w:cs="Arial"/>
          <w:szCs w:val="20"/>
        </w:rPr>
        <w:t> </w:t>
      </w:r>
      <w:r w:rsidRPr="009F0BC4">
        <w:rPr>
          <w:rFonts w:cs="Arial"/>
          <w:szCs w:val="20"/>
        </w:rPr>
        <w:t>podniku</w:t>
      </w:r>
      <w:r w:rsidR="004C426D">
        <w:rPr>
          <w:rFonts w:cs="Arial"/>
          <w:szCs w:val="20"/>
        </w:rPr>
        <w:t xml:space="preserve"> (od 23</w:t>
      </w:r>
      <w:r>
        <w:rPr>
          <w:rFonts w:cs="Arial"/>
          <w:szCs w:val="20"/>
        </w:rPr>
        <w:t> % takových podniků s 10</w:t>
      </w:r>
      <w:r w:rsidR="00006993" w:rsidRPr="00006993">
        <w:rPr>
          <w:rFonts w:cs="Arial"/>
          <w:szCs w:val="20"/>
        </w:rPr>
        <w:t>–</w:t>
      </w:r>
      <w:r w:rsidR="004C426D">
        <w:rPr>
          <w:rFonts w:cs="Arial"/>
          <w:szCs w:val="20"/>
        </w:rPr>
        <w:t>19 zaměstnanci až po 39</w:t>
      </w:r>
      <w:r>
        <w:rPr>
          <w:rFonts w:cs="Arial"/>
          <w:szCs w:val="20"/>
        </w:rPr>
        <w:t xml:space="preserve"> % podniků s 250 a více zaměstnanci), </w:t>
      </w:r>
      <w:r w:rsidRPr="00A43B73">
        <w:rPr>
          <w:rFonts w:cs="Arial"/>
          <w:b/>
          <w:i/>
          <w:szCs w:val="20"/>
        </w:rPr>
        <w:t>znalost cizích jazyků</w:t>
      </w:r>
      <w:r w:rsidR="004C426D">
        <w:rPr>
          <w:rFonts w:cs="Arial"/>
          <w:szCs w:val="20"/>
        </w:rPr>
        <w:t xml:space="preserve"> (od 17</w:t>
      </w:r>
      <w:r w:rsidRPr="009F0BC4">
        <w:rPr>
          <w:rFonts w:cs="Arial"/>
          <w:szCs w:val="20"/>
        </w:rPr>
        <w:t xml:space="preserve"> % </w:t>
      </w:r>
      <w:r>
        <w:rPr>
          <w:rFonts w:cs="Arial"/>
          <w:szCs w:val="20"/>
        </w:rPr>
        <w:t xml:space="preserve">takových </w:t>
      </w:r>
      <w:r w:rsidRPr="009F0BC4">
        <w:rPr>
          <w:rFonts w:cs="Arial"/>
          <w:szCs w:val="20"/>
        </w:rPr>
        <w:t>podniků s 10</w:t>
      </w:r>
      <w:r w:rsidR="00006993">
        <w:rPr>
          <w:rFonts w:cs="Arial"/>
          <w:szCs w:val="20"/>
        </w:rPr>
        <w:t>–</w:t>
      </w:r>
      <w:r w:rsidRPr="009F0BC4">
        <w:rPr>
          <w:rFonts w:cs="Arial"/>
          <w:szCs w:val="20"/>
        </w:rPr>
        <w:t xml:space="preserve">19 zaměstnanci až po </w:t>
      </w:r>
      <w:r w:rsidR="004C426D">
        <w:rPr>
          <w:rFonts w:cs="Arial"/>
          <w:szCs w:val="20"/>
        </w:rPr>
        <w:t>45</w:t>
      </w:r>
      <w:r w:rsidRPr="009F0BC4">
        <w:rPr>
          <w:rFonts w:cs="Arial"/>
          <w:szCs w:val="20"/>
        </w:rPr>
        <w:t xml:space="preserve"> % po</w:t>
      </w:r>
      <w:r>
        <w:rPr>
          <w:rFonts w:cs="Arial"/>
          <w:szCs w:val="20"/>
        </w:rPr>
        <w:t xml:space="preserve">dniků s 250 a více zaměstnanci) a také </w:t>
      </w:r>
      <w:r w:rsidRPr="00A43B73">
        <w:rPr>
          <w:rFonts w:cs="Arial"/>
          <w:b/>
          <w:i/>
          <w:szCs w:val="20"/>
        </w:rPr>
        <w:t>běžné užívání informačních technologií</w:t>
      </w:r>
      <w:r>
        <w:rPr>
          <w:rFonts w:cs="Arial"/>
          <w:szCs w:val="20"/>
        </w:rPr>
        <w:t xml:space="preserve"> (od </w:t>
      </w:r>
      <w:r w:rsidR="004C426D">
        <w:rPr>
          <w:rFonts w:cs="Arial"/>
          <w:szCs w:val="20"/>
        </w:rPr>
        <w:t>7</w:t>
      </w:r>
      <w:r w:rsidRPr="009F0BC4">
        <w:rPr>
          <w:rFonts w:cs="Arial"/>
          <w:szCs w:val="20"/>
        </w:rPr>
        <w:t xml:space="preserve"> % </w:t>
      </w:r>
      <w:r>
        <w:rPr>
          <w:rFonts w:cs="Arial"/>
          <w:szCs w:val="20"/>
        </w:rPr>
        <w:t xml:space="preserve">takových </w:t>
      </w:r>
      <w:r w:rsidRPr="009F0BC4">
        <w:rPr>
          <w:rFonts w:cs="Arial"/>
          <w:szCs w:val="20"/>
        </w:rPr>
        <w:t>podnik</w:t>
      </w:r>
      <w:r>
        <w:rPr>
          <w:rFonts w:cs="Arial"/>
          <w:szCs w:val="20"/>
        </w:rPr>
        <w:t>ů s 10</w:t>
      </w:r>
      <w:r w:rsidR="00006993">
        <w:rPr>
          <w:rFonts w:cs="Arial"/>
          <w:szCs w:val="20"/>
        </w:rPr>
        <w:t>–</w:t>
      </w:r>
      <w:r w:rsidR="004C426D">
        <w:rPr>
          <w:rFonts w:cs="Arial"/>
          <w:szCs w:val="20"/>
        </w:rPr>
        <w:t>19 zaměstnanci až po 18</w:t>
      </w:r>
      <w:r w:rsidRPr="009F0BC4">
        <w:rPr>
          <w:rFonts w:cs="Arial"/>
          <w:szCs w:val="20"/>
        </w:rPr>
        <w:t xml:space="preserve"> % podniků s 250 a více zaměstnanci)</w:t>
      </w:r>
      <w:r>
        <w:rPr>
          <w:rFonts w:cs="Arial"/>
          <w:szCs w:val="20"/>
        </w:rPr>
        <w:t xml:space="preserve">. Osmina podniků s 250 a více zaměstnanci zajišťujících nepovinné kurzy/školení také uvedla mezi stěžejními náměty téma </w:t>
      </w:r>
      <w:r w:rsidRPr="00A43B73">
        <w:rPr>
          <w:rFonts w:cs="Arial"/>
          <w:b/>
          <w:i/>
          <w:szCs w:val="20"/>
        </w:rPr>
        <w:t>odborné práce s informačními technologiemi</w:t>
      </w:r>
      <w:r>
        <w:rPr>
          <w:rFonts w:cs="Arial"/>
          <w:szCs w:val="20"/>
        </w:rPr>
        <w:t>, u podniků z kategorií s nižším počtem zaměst</w:t>
      </w:r>
      <w:r w:rsidR="006E049F">
        <w:rPr>
          <w:rFonts w:cs="Arial"/>
          <w:szCs w:val="20"/>
        </w:rPr>
        <w:t>nanců tvořily takové podniky cca</w:t>
      </w:r>
      <w:r>
        <w:rPr>
          <w:rFonts w:cs="Arial"/>
          <w:szCs w:val="20"/>
        </w:rPr>
        <w:t xml:space="preserve"> desetinu. </w:t>
      </w:r>
    </w:p>
    <w:p w14:paraId="50A6FDF4" w14:textId="5E788471" w:rsidR="00DE77E6" w:rsidRDefault="00DE77E6" w:rsidP="008A6B0C">
      <w:pPr>
        <w:spacing w:after="120"/>
        <w:jc w:val="both"/>
        <w:rPr>
          <w:rFonts w:cs="Arial"/>
          <w:szCs w:val="20"/>
        </w:rPr>
      </w:pPr>
      <w:r>
        <w:rPr>
          <w:rFonts w:cs="Arial"/>
          <w:szCs w:val="20"/>
        </w:rPr>
        <w:t>Naopak</w:t>
      </w:r>
      <w:r w:rsidRPr="00006993">
        <w:rPr>
          <w:rFonts w:cs="Arial"/>
          <w:szCs w:val="20"/>
        </w:rPr>
        <w:t>,</w:t>
      </w:r>
      <w:r w:rsidRPr="00A43B73">
        <w:rPr>
          <w:rFonts w:cs="Arial"/>
          <w:b/>
          <w:szCs w:val="20"/>
        </w:rPr>
        <w:t xml:space="preserve"> podniky s menším počtem zaměstnanců</w:t>
      </w:r>
      <w:r>
        <w:rPr>
          <w:rFonts w:cs="Arial"/>
          <w:szCs w:val="20"/>
        </w:rPr>
        <w:t xml:space="preserve"> více než velké upřednostňovaly </w:t>
      </w:r>
      <w:r w:rsidRPr="000C0F14">
        <w:rPr>
          <w:rFonts w:cs="Arial"/>
          <w:szCs w:val="20"/>
        </w:rPr>
        <w:t xml:space="preserve">jiné </w:t>
      </w:r>
      <w:r w:rsidRPr="006A7B1C">
        <w:rPr>
          <w:rFonts w:cs="Arial"/>
          <w:b/>
          <w:i/>
          <w:szCs w:val="20"/>
        </w:rPr>
        <w:t xml:space="preserve">specifické dovednosti </w:t>
      </w:r>
      <w:r w:rsidRPr="000C0F14">
        <w:rPr>
          <w:rFonts w:cs="Arial"/>
          <w:szCs w:val="20"/>
        </w:rPr>
        <w:t>související s výkonem konkrétního povolání v</w:t>
      </w:r>
      <w:r>
        <w:rPr>
          <w:rFonts w:cs="Arial"/>
          <w:szCs w:val="20"/>
        </w:rPr>
        <w:t> </w:t>
      </w:r>
      <w:r w:rsidRPr="000C0F14">
        <w:rPr>
          <w:rFonts w:cs="Arial"/>
          <w:szCs w:val="20"/>
        </w:rPr>
        <w:t>podniku</w:t>
      </w:r>
      <w:r>
        <w:rPr>
          <w:rFonts w:cs="Arial"/>
          <w:szCs w:val="20"/>
        </w:rPr>
        <w:t xml:space="preserve">, než jsou technické a inženýrské (od </w:t>
      </w:r>
      <w:r w:rsidR="004C426D">
        <w:rPr>
          <w:rFonts w:cs="Arial"/>
          <w:szCs w:val="20"/>
        </w:rPr>
        <w:t>58</w:t>
      </w:r>
      <w:r>
        <w:rPr>
          <w:rFonts w:cs="Arial"/>
          <w:szCs w:val="20"/>
        </w:rPr>
        <w:t> </w:t>
      </w:r>
      <w:r w:rsidRPr="000C0F14">
        <w:rPr>
          <w:rFonts w:cs="Arial"/>
          <w:szCs w:val="20"/>
        </w:rPr>
        <w:t xml:space="preserve">% </w:t>
      </w:r>
      <w:r w:rsidRPr="000C0F14">
        <w:rPr>
          <w:rFonts w:cs="Arial"/>
          <w:szCs w:val="20"/>
        </w:rPr>
        <w:lastRenderedPageBreak/>
        <w:t>podnik</w:t>
      </w:r>
      <w:r>
        <w:rPr>
          <w:rFonts w:cs="Arial"/>
          <w:szCs w:val="20"/>
        </w:rPr>
        <w:t>ů s 10</w:t>
      </w:r>
      <w:r w:rsidR="00006993">
        <w:rPr>
          <w:rFonts w:cs="Arial"/>
          <w:szCs w:val="20"/>
        </w:rPr>
        <w:t>–</w:t>
      </w:r>
      <w:r w:rsidR="004C426D">
        <w:rPr>
          <w:rFonts w:cs="Arial"/>
          <w:szCs w:val="20"/>
        </w:rPr>
        <w:t>19 zaměstnanci až po 47</w:t>
      </w:r>
      <w:r w:rsidRPr="000C0F14">
        <w:rPr>
          <w:rFonts w:cs="Arial"/>
          <w:szCs w:val="20"/>
        </w:rPr>
        <w:t xml:space="preserve"> % po</w:t>
      </w:r>
      <w:r>
        <w:rPr>
          <w:rFonts w:cs="Arial"/>
          <w:szCs w:val="20"/>
        </w:rPr>
        <w:t xml:space="preserve">dniků s 250 a více zaměstnanci) a také </w:t>
      </w:r>
      <w:r w:rsidRPr="00560A16">
        <w:rPr>
          <w:rFonts w:cs="Arial"/>
          <w:b/>
          <w:i/>
          <w:szCs w:val="20"/>
        </w:rPr>
        <w:t>vedení administrativy</w:t>
      </w:r>
      <w:r w:rsidR="004C426D">
        <w:rPr>
          <w:rFonts w:cs="Arial"/>
          <w:szCs w:val="20"/>
        </w:rPr>
        <w:t xml:space="preserve"> (od 9</w:t>
      </w:r>
      <w:r w:rsidRPr="000C0F14">
        <w:rPr>
          <w:rFonts w:cs="Arial"/>
          <w:szCs w:val="20"/>
        </w:rPr>
        <w:t xml:space="preserve"> % podniků s 10</w:t>
      </w:r>
      <w:r w:rsidR="00006993">
        <w:rPr>
          <w:rFonts w:cs="Arial"/>
          <w:szCs w:val="20"/>
        </w:rPr>
        <w:t>–</w:t>
      </w:r>
      <w:r w:rsidRPr="000C0F14">
        <w:rPr>
          <w:rFonts w:cs="Arial"/>
          <w:szCs w:val="20"/>
        </w:rPr>
        <w:t xml:space="preserve">19 zaměstnanci až po </w:t>
      </w:r>
      <w:r>
        <w:rPr>
          <w:rFonts w:cs="Arial"/>
          <w:szCs w:val="20"/>
        </w:rPr>
        <w:t>3</w:t>
      </w:r>
      <w:r w:rsidRPr="000C0F14">
        <w:rPr>
          <w:rFonts w:cs="Arial"/>
          <w:szCs w:val="20"/>
        </w:rPr>
        <w:t xml:space="preserve"> % podniků s 250 a více zaměstnanci)</w:t>
      </w:r>
      <w:r>
        <w:rPr>
          <w:rFonts w:cs="Arial"/>
          <w:szCs w:val="20"/>
        </w:rPr>
        <w:t xml:space="preserve">. </w:t>
      </w:r>
    </w:p>
    <w:p w14:paraId="5BDBAED7" w14:textId="313AC66C" w:rsidR="00A03F6D" w:rsidRDefault="00A03F6D" w:rsidP="008A6B0C">
      <w:pPr>
        <w:spacing w:after="120"/>
        <w:jc w:val="both"/>
        <w:rPr>
          <w:rFonts w:cs="Arial"/>
          <w:szCs w:val="20"/>
        </w:rPr>
      </w:pPr>
      <w:r>
        <w:rPr>
          <w:rFonts w:cs="Arial"/>
          <w:szCs w:val="20"/>
        </w:rPr>
        <w:t xml:space="preserve">Pokud jde o </w:t>
      </w:r>
      <w:r w:rsidRPr="00560A16">
        <w:rPr>
          <w:rFonts w:cs="Arial"/>
          <w:b/>
          <w:szCs w:val="20"/>
        </w:rPr>
        <w:t xml:space="preserve">dělení dle </w:t>
      </w:r>
      <w:r w:rsidR="000F27F7">
        <w:rPr>
          <w:rFonts w:cs="Arial"/>
          <w:b/>
          <w:szCs w:val="20"/>
        </w:rPr>
        <w:t>druhu vlastnictví</w:t>
      </w:r>
      <w:r w:rsidRPr="00560A16">
        <w:rPr>
          <w:rFonts w:cs="Arial"/>
          <w:b/>
          <w:szCs w:val="20"/>
        </w:rPr>
        <w:t xml:space="preserve"> podniku</w:t>
      </w:r>
      <w:r>
        <w:rPr>
          <w:rFonts w:cs="Arial"/>
          <w:szCs w:val="20"/>
        </w:rPr>
        <w:t xml:space="preserve">, liší se </w:t>
      </w:r>
      <w:r w:rsidR="000C2171">
        <w:rPr>
          <w:rFonts w:cs="Arial"/>
          <w:szCs w:val="20"/>
        </w:rPr>
        <w:t xml:space="preserve">podniky </w:t>
      </w:r>
      <w:r>
        <w:rPr>
          <w:rFonts w:cs="Arial"/>
          <w:szCs w:val="20"/>
        </w:rPr>
        <w:t xml:space="preserve">především v míře, v jaké uváděly, že dle hodinové dotace u nich dominovaly nepovinné kurzy/školení věnované </w:t>
      </w:r>
      <w:r w:rsidRPr="00560A16">
        <w:rPr>
          <w:rFonts w:cs="Arial"/>
          <w:b/>
          <w:i/>
          <w:szCs w:val="20"/>
        </w:rPr>
        <w:t>znalosti cizích jazyků</w:t>
      </w:r>
      <w:r w:rsidR="004C426D">
        <w:rPr>
          <w:rFonts w:cs="Arial"/>
          <w:szCs w:val="20"/>
        </w:rPr>
        <w:t xml:space="preserve"> (uvedlo tak 45</w:t>
      </w:r>
      <w:r>
        <w:rPr>
          <w:rFonts w:cs="Arial"/>
          <w:szCs w:val="20"/>
        </w:rPr>
        <w:t xml:space="preserve"> % podniků </w:t>
      </w:r>
      <w:r w:rsidR="009C0C6B">
        <w:rPr>
          <w:rFonts w:cs="Arial"/>
          <w:szCs w:val="20"/>
        </w:rPr>
        <w:t>pod zahraniční kontrolou</w:t>
      </w:r>
      <w:r>
        <w:rPr>
          <w:rFonts w:cs="Arial"/>
          <w:szCs w:val="20"/>
        </w:rPr>
        <w:t xml:space="preserve"> oproti pětině </w:t>
      </w:r>
      <w:r w:rsidR="009C0C6B">
        <w:rPr>
          <w:rFonts w:cs="Arial"/>
          <w:szCs w:val="20"/>
        </w:rPr>
        <w:t>domácích</w:t>
      </w:r>
      <w:r>
        <w:rPr>
          <w:rFonts w:cs="Arial"/>
          <w:szCs w:val="20"/>
        </w:rPr>
        <w:t xml:space="preserve"> podniků) a věnované </w:t>
      </w:r>
      <w:r w:rsidRPr="00560A16">
        <w:rPr>
          <w:rFonts w:cs="Arial"/>
          <w:b/>
          <w:i/>
          <w:szCs w:val="20"/>
        </w:rPr>
        <w:t>administrativě</w:t>
      </w:r>
      <w:r>
        <w:rPr>
          <w:rFonts w:cs="Arial"/>
          <w:szCs w:val="20"/>
        </w:rPr>
        <w:t xml:space="preserve"> </w:t>
      </w:r>
      <w:r w:rsidRPr="00C529E1">
        <w:rPr>
          <w:rFonts w:cs="Arial"/>
          <w:szCs w:val="20"/>
        </w:rPr>
        <w:t>(uvedl</w:t>
      </w:r>
      <w:r>
        <w:rPr>
          <w:rFonts w:cs="Arial"/>
          <w:szCs w:val="20"/>
        </w:rPr>
        <w:t>o tak 4</w:t>
      </w:r>
      <w:r w:rsidRPr="00C529E1">
        <w:rPr>
          <w:rFonts w:cs="Arial"/>
          <w:szCs w:val="20"/>
        </w:rPr>
        <w:t xml:space="preserve"> % podniků </w:t>
      </w:r>
      <w:r w:rsidR="009C0C6B">
        <w:rPr>
          <w:rFonts w:cs="Arial"/>
          <w:szCs w:val="20"/>
        </w:rPr>
        <w:t>pod zahraniční kontrolou</w:t>
      </w:r>
      <w:r>
        <w:rPr>
          <w:rFonts w:cs="Arial"/>
          <w:szCs w:val="20"/>
        </w:rPr>
        <w:t xml:space="preserve"> oproti desetině </w:t>
      </w:r>
      <w:r w:rsidR="009C0C6B">
        <w:rPr>
          <w:rFonts w:cs="Arial"/>
          <w:szCs w:val="20"/>
        </w:rPr>
        <w:t>domácích</w:t>
      </w:r>
      <w:r w:rsidRPr="00C529E1">
        <w:rPr>
          <w:rFonts w:cs="Arial"/>
          <w:szCs w:val="20"/>
        </w:rPr>
        <w:t xml:space="preserve"> podniků)</w:t>
      </w:r>
      <w:r>
        <w:rPr>
          <w:rFonts w:cs="Arial"/>
          <w:szCs w:val="20"/>
        </w:rPr>
        <w:t>.</w:t>
      </w:r>
      <w:r w:rsidR="009C0C6B">
        <w:rPr>
          <w:rFonts w:cs="Arial"/>
          <w:szCs w:val="20"/>
        </w:rPr>
        <w:t xml:space="preserve"> Podniky pod zahraniční kontrolou také o </w:t>
      </w:r>
      <w:r w:rsidR="006E049F">
        <w:rPr>
          <w:rFonts w:cs="Arial"/>
          <w:szCs w:val="20"/>
        </w:rPr>
        <w:t xml:space="preserve">něco častěji uváděly mezi stěžejními tématy </w:t>
      </w:r>
      <w:r w:rsidR="006E049F" w:rsidRPr="006E049F">
        <w:rPr>
          <w:rFonts w:cs="Arial"/>
          <w:b/>
          <w:i/>
          <w:szCs w:val="20"/>
        </w:rPr>
        <w:t>běžné užívání informačních technologií</w:t>
      </w:r>
      <w:r w:rsidR="004C426D">
        <w:rPr>
          <w:rFonts w:cs="Arial"/>
          <w:szCs w:val="20"/>
        </w:rPr>
        <w:t xml:space="preserve"> (13 % oproti 8</w:t>
      </w:r>
      <w:r w:rsidR="006E049F">
        <w:rPr>
          <w:rFonts w:cs="Arial"/>
          <w:szCs w:val="20"/>
        </w:rPr>
        <w:t> %).</w:t>
      </w:r>
    </w:p>
    <w:p w14:paraId="6F44C71A" w14:textId="67B3CCBB" w:rsidR="00744640" w:rsidRPr="00925D0A" w:rsidRDefault="00925D0A" w:rsidP="008A6B0C">
      <w:pPr>
        <w:spacing w:after="120"/>
        <w:jc w:val="both"/>
        <w:rPr>
          <w:rFonts w:cs="Arial"/>
          <w:szCs w:val="20"/>
        </w:rPr>
      </w:pPr>
      <w:r>
        <w:rPr>
          <w:rFonts w:cs="Arial"/>
          <w:b/>
          <w:szCs w:val="20"/>
        </w:rPr>
        <w:t>Tab.</w:t>
      </w:r>
      <w:r w:rsidR="00006993">
        <w:rPr>
          <w:rFonts w:cs="Arial"/>
          <w:b/>
          <w:szCs w:val="20"/>
        </w:rPr>
        <w:t xml:space="preserve"> </w:t>
      </w:r>
      <w:r w:rsidR="008C26D9" w:rsidRPr="00AC769E">
        <w:rPr>
          <w:rFonts w:cs="Arial"/>
          <w:b/>
          <w:szCs w:val="20"/>
        </w:rPr>
        <w:t>3.1</w:t>
      </w:r>
      <w:r w:rsidR="009F0BC4">
        <w:rPr>
          <w:rFonts w:cs="Arial"/>
          <w:b/>
          <w:szCs w:val="20"/>
        </w:rPr>
        <w:t>b</w:t>
      </w:r>
      <w:r w:rsidR="008C26D9" w:rsidRPr="00AC769E">
        <w:rPr>
          <w:rFonts w:cs="Arial"/>
          <w:b/>
          <w:szCs w:val="20"/>
        </w:rPr>
        <w:t xml:space="preserve"> </w:t>
      </w:r>
      <w:r>
        <w:rPr>
          <w:rFonts w:cs="Arial"/>
          <w:b/>
          <w:szCs w:val="20"/>
        </w:rPr>
        <w:t>Podniky s uvedenými druhy „hard</w:t>
      </w:r>
      <w:r w:rsidRPr="00925D0A">
        <w:rPr>
          <w:rFonts w:cs="Arial"/>
          <w:b/>
          <w:szCs w:val="20"/>
        </w:rPr>
        <w:t xml:space="preserve"> skills“ coby stěžejní náplní nepovinných kurzů, 2020 </w:t>
      </w:r>
      <w:r w:rsidR="00B25606">
        <w:rPr>
          <w:rFonts w:cs="Arial"/>
          <w:szCs w:val="20"/>
        </w:rPr>
        <w:t>(v % z </w:t>
      </w:r>
      <w:r w:rsidRPr="00925D0A">
        <w:rPr>
          <w:rFonts w:cs="Arial"/>
          <w:szCs w:val="20"/>
        </w:rPr>
        <w:t>podniků zajišťujících nepovinné kurzy/školení)</w:t>
      </w:r>
    </w:p>
    <w:tbl>
      <w:tblPr>
        <w:tblW w:w="9633" w:type="dxa"/>
        <w:jc w:val="center"/>
        <w:tblCellMar>
          <w:left w:w="70" w:type="dxa"/>
          <w:right w:w="70" w:type="dxa"/>
        </w:tblCellMar>
        <w:tblLook w:val="04A0" w:firstRow="1" w:lastRow="0" w:firstColumn="1" w:lastColumn="0" w:noHBand="0" w:noVBand="1"/>
      </w:tblPr>
      <w:tblGrid>
        <w:gridCol w:w="2127"/>
        <w:gridCol w:w="992"/>
        <w:gridCol w:w="990"/>
        <w:gridCol w:w="762"/>
        <w:gridCol w:w="1145"/>
        <w:gridCol w:w="794"/>
        <w:gridCol w:w="884"/>
        <w:gridCol w:w="859"/>
        <w:gridCol w:w="1080"/>
      </w:tblGrid>
      <w:tr w:rsidR="00744640" w:rsidRPr="00892900" w14:paraId="5EF93C0B" w14:textId="77777777" w:rsidTr="00744640">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000000" w:fill="7FB0DD"/>
            <w:vAlign w:val="center"/>
          </w:tcPr>
          <w:p w14:paraId="2B3CC732" w14:textId="77777777" w:rsidR="00744640" w:rsidRPr="00892900" w:rsidRDefault="00744640" w:rsidP="00744640">
            <w:pPr>
              <w:spacing w:after="0" w:line="240" w:lineRule="auto"/>
              <w:jc w:val="center"/>
              <w:rPr>
                <w:rFonts w:cs="Arial"/>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7FB0DD"/>
            <w:vAlign w:val="center"/>
          </w:tcPr>
          <w:p w14:paraId="55B29C55" w14:textId="22C7C49D"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S</w:t>
            </w:r>
            <w:r w:rsidR="00744640" w:rsidRPr="00744640">
              <w:rPr>
                <w:rFonts w:cs="Arial"/>
                <w:b/>
                <w:bCs/>
                <w:color w:val="000000"/>
                <w:sz w:val="16"/>
                <w:szCs w:val="16"/>
              </w:rPr>
              <w:t>pecifické technické a inže-nýrské doved-nosti</w:t>
            </w:r>
          </w:p>
        </w:tc>
        <w:tc>
          <w:tcPr>
            <w:tcW w:w="990" w:type="dxa"/>
            <w:tcBorders>
              <w:top w:val="single" w:sz="4" w:space="0" w:color="auto"/>
              <w:left w:val="single" w:sz="4" w:space="0" w:color="auto"/>
              <w:bottom w:val="single" w:sz="4" w:space="0" w:color="auto"/>
              <w:right w:val="single" w:sz="4" w:space="0" w:color="auto"/>
            </w:tcBorders>
            <w:shd w:val="clear" w:color="000000" w:fill="7FB0DD"/>
            <w:vAlign w:val="center"/>
          </w:tcPr>
          <w:p w14:paraId="40245A8C" w14:textId="59AFDED5"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J</w:t>
            </w:r>
            <w:r w:rsidR="00744640" w:rsidRPr="00744640">
              <w:rPr>
                <w:rFonts w:cs="Arial"/>
                <w:b/>
                <w:bCs/>
                <w:color w:val="000000"/>
                <w:sz w:val="16"/>
                <w:szCs w:val="16"/>
              </w:rPr>
              <w:t>iné specifické doved-nosti pro práci</w:t>
            </w:r>
            <w:r w:rsidR="00744640" w:rsidRPr="00064549">
              <w:t xml:space="preserve"> </w:t>
            </w:r>
          </w:p>
        </w:tc>
        <w:tc>
          <w:tcPr>
            <w:tcW w:w="762" w:type="dxa"/>
            <w:tcBorders>
              <w:top w:val="single" w:sz="4" w:space="0" w:color="auto"/>
              <w:left w:val="single" w:sz="4" w:space="0" w:color="auto"/>
              <w:bottom w:val="single" w:sz="4" w:space="0" w:color="auto"/>
              <w:right w:val="single" w:sz="4" w:space="0" w:color="auto"/>
            </w:tcBorders>
            <w:shd w:val="clear" w:color="000000" w:fill="7FB0DD"/>
            <w:vAlign w:val="center"/>
          </w:tcPr>
          <w:p w14:paraId="4DB27564" w14:textId="301497CE"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Z</w:t>
            </w:r>
            <w:r w:rsidR="00744640" w:rsidRPr="00892900">
              <w:rPr>
                <w:rFonts w:cs="Arial"/>
                <w:b/>
                <w:bCs/>
                <w:color w:val="000000"/>
                <w:sz w:val="16"/>
                <w:szCs w:val="16"/>
              </w:rPr>
              <w:t>nalost cizích jazyků</w:t>
            </w:r>
          </w:p>
        </w:tc>
        <w:tc>
          <w:tcPr>
            <w:tcW w:w="1145" w:type="dxa"/>
            <w:tcBorders>
              <w:top w:val="single" w:sz="4" w:space="0" w:color="auto"/>
              <w:left w:val="single" w:sz="4" w:space="0" w:color="auto"/>
              <w:bottom w:val="single" w:sz="4" w:space="0" w:color="auto"/>
              <w:right w:val="single" w:sz="4" w:space="0" w:color="auto"/>
            </w:tcBorders>
            <w:shd w:val="clear" w:color="000000" w:fill="7FB0DD"/>
            <w:vAlign w:val="center"/>
          </w:tcPr>
          <w:p w14:paraId="524E5093" w14:textId="16C52F00"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O</w:t>
            </w:r>
            <w:r w:rsidR="00744640" w:rsidRPr="00892900">
              <w:rPr>
                <w:rFonts w:cs="Arial"/>
                <w:b/>
                <w:bCs/>
                <w:color w:val="000000"/>
                <w:sz w:val="16"/>
                <w:szCs w:val="16"/>
              </w:rPr>
              <w:t>dborná práce s</w:t>
            </w:r>
            <w:r w:rsidR="00744640">
              <w:rPr>
                <w:rFonts w:cs="Arial"/>
                <w:b/>
                <w:bCs/>
                <w:color w:val="000000"/>
                <w:sz w:val="16"/>
                <w:szCs w:val="16"/>
              </w:rPr>
              <w:t> </w:t>
            </w:r>
            <w:r w:rsidR="00744640" w:rsidRPr="00892900">
              <w:rPr>
                <w:rFonts w:cs="Arial"/>
                <w:b/>
                <w:bCs/>
                <w:color w:val="000000"/>
                <w:sz w:val="16"/>
                <w:szCs w:val="16"/>
              </w:rPr>
              <w:t>infor</w:t>
            </w:r>
            <w:r w:rsidR="00744640">
              <w:rPr>
                <w:rFonts w:cs="Arial"/>
                <w:b/>
                <w:bCs/>
                <w:color w:val="000000"/>
                <w:sz w:val="16"/>
                <w:szCs w:val="16"/>
              </w:rPr>
              <w:t>-</w:t>
            </w:r>
            <w:r w:rsidR="00744640" w:rsidRPr="00892900">
              <w:rPr>
                <w:rFonts w:cs="Arial"/>
                <w:b/>
                <w:bCs/>
                <w:color w:val="000000"/>
                <w:sz w:val="16"/>
                <w:szCs w:val="16"/>
              </w:rPr>
              <w:t>mačními techno-logiemi</w:t>
            </w:r>
          </w:p>
        </w:tc>
        <w:tc>
          <w:tcPr>
            <w:tcW w:w="794" w:type="dxa"/>
            <w:tcBorders>
              <w:top w:val="single" w:sz="4" w:space="0" w:color="auto"/>
              <w:left w:val="single" w:sz="4" w:space="0" w:color="auto"/>
              <w:bottom w:val="single" w:sz="4" w:space="0" w:color="auto"/>
              <w:right w:val="single" w:sz="4" w:space="0" w:color="auto"/>
            </w:tcBorders>
            <w:shd w:val="clear" w:color="000000" w:fill="7FB0DD"/>
            <w:vAlign w:val="center"/>
          </w:tcPr>
          <w:p w14:paraId="2175E9AD" w14:textId="15F84810"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B</w:t>
            </w:r>
            <w:r w:rsidR="00744640" w:rsidRPr="00892900">
              <w:rPr>
                <w:rFonts w:cs="Arial"/>
                <w:b/>
                <w:bCs/>
                <w:color w:val="000000"/>
                <w:sz w:val="16"/>
                <w:szCs w:val="16"/>
              </w:rPr>
              <w:t>ěžné užívání infor-mačních techno-logií</w:t>
            </w:r>
          </w:p>
        </w:tc>
        <w:tc>
          <w:tcPr>
            <w:tcW w:w="884" w:type="dxa"/>
            <w:tcBorders>
              <w:top w:val="single" w:sz="4" w:space="0" w:color="auto"/>
              <w:left w:val="single" w:sz="4" w:space="0" w:color="auto"/>
              <w:bottom w:val="single" w:sz="4" w:space="0" w:color="auto"/>
              <w:right w:val="single" w:sz="4" w:space="0" w:color="auto"/>
            </w:tcBorders>
            <w:shd w:val="clear" w:color="000000" w:fill="7FB0DD"/>
            <w:vAlign w:val="center"/>
          </w:tcPr>
          <w:p w14:paraId="43925642" w14:textId="4066D925" w:rsidR="00744640" w:rsidRPr="00892900" w:rsidRDefault="006026BF" w:rsidP="00744640">
            <w:pPr>
              <w:spacing w:after="0" w:line="240" w:lineRule="auto"/>
              <w:jc w:val="center"/>
              <w:rPr>
                <w:rFonts w:cs="Arial"/>
                <w:b/>
                <w:bCs/>
                <w:color w:val="000000"/>
                <w:sz w:val="16"/>
                <w:szCs w:val="16"/>
              </w:rPr>
            </w:pPr>
            <w:r>
              <w:rPr>
                <w:rFonts w:cs="Arial"/>
                <w:b/>
                <w:bCs/>
                <w:color w:val="000000"/>
                <w:sz w:val="16"/>
                <w:szCs w:val="16"/>
              </w:rPr>
              <w:t>V</w:t>
            </w:r>
            <w:r w:rsidR="00744640" w:rsidRPr="00892900">
              <w:rPr>
                <w:rFonts w:cs="Arial"/>
                <w:b/>
                <w:bCs/>
                <w:color w:val="000000"/>
                <w:sz w:val="16"/>
                <w:szCs w:val="16"/>
              </w:rPr>
              <w:t>edení admini-strativy</w:t>
            </w:r>
          </w:p>
        </w:tc>
        <w:tc>
          <w:tcPr>
            <w:tcW w:w="859" w:type="dxa"/>
            <w:tcBorders>
              <w:top w:val="single" w:sz="4" w:space="0" w:color="auto"/>
              <w:left w:val="single" w:sz="4" w:space="0" w:color="auto"/>
              <w:bottom w:val="single" w:sz="4" w:space="0" w:color="auto"/>
              <w:right w:val="single" w:sz="4" w:space="0" w:color="auto"/>
            </w:tcBorders>
            <w:shd w:val="clear" w:color="000000" w:fill="7FB0DD"/>
            <w:vAlign w:val="center"/>
          </w:tcPr>
          <w:p w14:paraId="1433188E" w14:textId="18362D13" w:rsidR="00744640" w:rsidRDefault="006026BF" w:rsidP="00744640">
            <w:pPr>
              <w:spacing w:after="0" w:line="240" w:lineRule="auto"/>
              <w:jc w:val="center"/>
              <w:rPr>
                <w:rFonts w:cs="Arial"/>
                <w:b/>
                <w:bCs/>
                <w:color w:val="000000"/>
                <w:sz w:val="16"/>
                <w:szCs w:val="16"/>
              </w:rPr>
            </w:pPr>
            <w:r>
              <w:rPr>
                <w:rFonts w:cs="Arial"/>
                <w:b/>
                <w:bCs/>
                <w:color w:val="000000"/>
                <w:sz w:val="16"/>
                <w:szCs w:val="16"/>
              </w:rPr>
              <w:t>O</w:t>
            </w:r>
            <w:r w:rsidR="00744640" w:rsidRPr="00892900">
              <w:rPr>
                <w:rFonts w:cs="Arial"/>
                <w:b/>
                <w:bCs/>
                <w:color w:val="000000"/>
                <w:sz w:val="16"/>
                <w:szCs w:val="16"/>
              </w:rPr>
              <w:t xml:space="preserve">dborné doved-nosti </w:t>
            </w:r>
          </w:p>
          <w:p w14:paraId="6003F598" w14:textId="0741B085" w:rsidR="00744640" w:rsidRPr="00892900" w:rsidRDefault="00744640" w:rsidP="00744640">
            <w:pPr>
              <w:spacing w:after="0" w:line="240" w:lineRule="auto"/>
              <w:jc w:val="center"/>
              <w:rPr>
                <w:rFonts w:cs="Arial"/>
                <w:b/>
                <w:bCs/>
                <w:color w:val="000000"/>
                <w:sz w:val="16"/>
                <w:szCs w:val="16"/>
              </w:rPr>
            </w:pPr>
            <w:r w:rsidRPr="00892900">
              <w:rPr>
                <w:rFonts w:cs="Arial"/>
                <w:b/>
                <w:bCs/>
                <w:color w:val="000000"/>
                <w:sz w:val="16"/>
                <w:szCs w:val="16"/>
              </w:rPr>
              <w:t>v oblasti matema-tiky a statistiky</w:t>
            </w:r>
          </w:p>
        </w:tc>
        <w:tc>
          <w:tcPr>
            <w:tcW w:w="1080" w:type="dxa"/>
            <w:tcBorders>
              <w:top w:val="single" w:sz="4" w:space="0" w:color="auto"/>
              <w:left w:val="single" w:sz="4" w:space="0" w:color="auto"/>
              <w:bottom w:val="single" w:sz="4" w:space="0" w:color="auto"/>
              <w:right w:val="single" w:sz="4" w:space="0" w:color="auto"/>
            </w:tcBorders>
            <w:shd w:val="clear" w:color="000000" w:fill="7FB0DD"/>
            <w:vAlign w:val="center"/>
          </w:tcPr>
          <w:p w14:paraId="13986083" w14:textId="307B9703" w:rsidR="00744640" w:rsidRDefault="006026BF" w:rsidP="00744640">
            <w:pPr>
              <w:spacing w:after="0" w:line="240" w:lineRule="auto"/>
              <w:jc w:val="center"/>
              <w:rPr>
                <w:rFonts w:cs="Arial"/>
                <w:b/>
                <w:bCs/>
                <w:color w:val="000000"/>
                <w:sz w:val="16"/>
                <w:szCs w:val="16"/>
              </w:rPr>
            </w:pPr>
            <w:r>
              <w:rPr>
                <w:rFonts w:cs="Arial"/>
                <w:b/>
                <w:bCs/>
                <w:color w:val="000000"/>
                <w:sz w:val="16"/>
                <w:szCs w:val="16"/>
              </w:rPr>
              <w:t>B</w:t>
            </w:r>
            <w:r w:rsidR="00744640" w:rsidRPr="00892900">
              <w:rPr>
                <w:rFonts w:cs="Arial"/>
                <w:b/>
                <w:bCs/>
                <w:color w:val="000000"/>
                <w:sz w:val="16"/>
                <w:szCs w:val="16"/>
              </w:rPr>
              <w:t xml:space="preserve">ěžná orientace </w:t>
            </w:r>
          </w:p>
          <w:p w14:paraId="12F1BD56" w14:textId="57BB4938" w:rsidR="00744640" w:rsidRPr="00892900" w:rsidRDefault="00744640" w:rsidP="00744640">
            <w:pPr>
              <w:spacing w:after="0" w:line="240" w:lineRule="auto"/>
              <w:jc w:val="center"/>
              <w:rPr>
                <w:rFonts w:cs="Arial"/>
                <w:b/>
                <w:bCs/>
                <w:color w:val="000000"/>
                <w:sz w:val="16"/>
                <w:szCs w:val="16"/>
              </w:rPr>
            </w:pPr>
            <w:r w:rsidRPr="00892900">
              <w:rPr>
                <w:rFonts w:cs="Arial"/>
                <w:b/>
                <w:bCs/>
                <w:color w:val="000000"/>
                <w:sz w:val="16"/>
                <w:szCs w:val="16"/>
              </w:rPr>
              <w:t xml:space="preserve">v textu a/nebo </w:t>
            </w:r>
            <w:r w:rsidRPr="00892900">
              <w:rPr>
                <w:rFonts w:cs="Arial"/>
                <w:b/>
                <w:bCs/>
                <w:color w:val="000000"/>
                <w:sz w:val="16"/>
                <w:szCs w:val="16"/>
              </w:rPr>
              <w:br/>
              <w:t>v početních operacích</w:t>
            </w:r>
          </w:p>
        </w:tc>
      </w:tr>
      <w:tr w:rsidR="009F0BC4" w:rsidRPr="00892900" w14:paraId="619614D3"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FC360B" w14:textId="77777777" w:rsidR="00892900" w:rsidRPr="00892900" w:rsidRDefault="00892900" w:rsidP="00892900">
            <w:pPr>
              <w:spacing w:after="0" w:line="240" w:lineRule="auto"/>
              <w:rPr>
                <w:rFonts w:cs="Arial"/>
                <w:b/>
                <w:bCs/>
                <w:sz w:val="16"/>
                <w:szCs w:val="16"/>
              </w:rPr>
            </w:pPr>
            <w:r w:rsidRPr="00892900">
              <w:rPr>
                <w:rFonts w:cs="Arial"/>
                <w:b/>
                <w:bCs/>
                <w:sz w:val="16"/>
                <w:szCs w:val="16"/>
              </w:rPr>
              <w:t>Celkem</w:t>
            </w:r>
          </w:p>
        </w:tc>
        <w:tc>
          <w:tcPr>
            <w:tcW w:w="992" w:type="dxa"/>
            <w:tcBorders>
              <w:top w:val="nil"/>
              <w:left w:val="nil"/>
              <w:bottom w:val="single" w:sz="4" w:space="0" w:color="auto"/>
              <w:right w:val="single" w:sz="4" w:space="0" w:color="auto"/>
            </w:tcBorders>
            <w:shd w:val="clear" w:color="auto" w:fill="auto"/>
            <w:noWrap/>
            <w:vAlign w:val="center"/>
            <w:hideMark/>
          </w:tcPr>
          <w:p w14:paraId="3BB2348A"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26,8</w:t>
            </w:r>
          </w:p>
        </w:tc>
        <w:tc>
          <w:tcPr>
            <w:tcW w:w="990" w:type="dxa"/>
            <w:tcBorders>
              <w:top w:val="nil"/>
              <w:left w:val="nil"/>
              <w:bottom w:val="single" w:sz="4" w:space="0" w:color="auto"/>
              <w:right w:val="single" w:sz="4" w:space="0" w:color="auto"/>
            </w:tcBorders>
            <w:shd w:val="clear" w:color="auto" w:fill="auto"/>
            <w:noWrap/>
            <w:vAlign w:val="center"/>
            <w:hideMark/>
          </w:tcPr>
          <w:p w14:paraId="3E96653B"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54,8</w:t>
            </w:r>
          </w:p>
        </w:tc>
        <w:tc>
          <w:tcPr>
            <w:tcW w:w="762" w:type="dxa"/>
            <w:tcBorders>
              <w:top w:val="nil"/>
              <w:left w:val="nil"/>
              <w:bottom w:val="single" w:sz="4" w:space="0" w:color="auto"/>
              <w:right w:val="single" w:sz="4" w:space="0" w:color="auto"/>
            </w:tcBorders>
            <w:shd w:val="clear" w:color="auto" w:fill="auto"/>
            <w:noWrap/>
            <w:vAlign w:val="center"/>
            <w:hideMark/>
          </w:tcPr>
          <w:p w14:paraId="2AB64CC5"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25,4</w:t>
            </w:r>
          </w:p>
        </w:tc>
        <w:tc>
          <w:tcPr>
            <w:tcW w:w="1145" w:type="dxa"/>
            <w:tcBorders>
              <w:top w:val="nil"/>
              <w:left w:val="nil"/>
              <w:bottom w:val="single" w:sz="4" w:space="0" w:color="auto"/>
              <w:right w:val="single" w:sz="4" w:space="0" w:color="auto"/>
            </w:tcBorders>
            <w:shd w:val="clear" w:color="auto" w:fill="auto"/>
            <w:noWrap/>
            <w:vAlign w:val="center"/>
            <w:hideMark/>
          </w:tcPr>
          <w:p w14:paraId="2EABEE38"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9,6</w:t>
            </w:r>
          </w:p>
        </w:tc>
        <w:tc>
          <w:tcPr>
            <w:tcW w:w="794" w:type="dxa"/>
            <w:tcBorders>
              <w:top w:val="nil"/>
              <w:left w:val="nil"/>
              <w:bottom w:val="single" w:sz="4" w:space="0" w:color="auto"/>
              <w:right w:val="single" w:sz="4" w:space="0" w:color="auto"/>
            </w:tcBorders>
            <w:shd w:val="clear" w:color="auto" w:fill="auto"/>
            <w:noWrap/>
            <w:vAlign w:val="center"/>
            <w:hideMark/>
          </w:tcPr>
          <w:p w14:paraId="14DEAD38"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9,1</w:t>
            </w:r>
          </w:p>
        </w:tc>
        <w:tc>
          <w:tcPr>
            <w:tcW w:w="884" w:type="dxa"/>
            <w:tcBorders>
              <w:top w:val="nil"/>
              <w:left w:val="nil"/>
              <w:bottom w:val="single" w:sz="4" w:space="0" w:color="auto"/>
              <w:right w:val="single" w:sz="4" w:space="0" w:color="auto"/>
            </w:tcBorders>
            <w:shd w:val="clear" w:color="auto" w:fill="auto"/>
            <w:noWrap/>
            <w:vAlign w:val="center"/>
            <w:hideMark/>
          </w:tcPr>
          <w:p w14:paraId="3DA7ECC6"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8,1</w:t>
            </w:r>
          </w:p>
        </w:tc>
        <w:tc>
          <w:tcPr>
            <w:tcW w:w="859" w:type="dxa"/>
            <w:tcBorders>
              <w:top w:val="nil"/>
              <w:left w:val="nil"/>
              <w:bottom w:val="single" w:sz="4" w:space="0" w:color="auto"/>
              <w:right w:val="single" w:sz="4" w:space="0" w:color="auto"/>
            </w:tcBorders>
            <w:shd w:val="clear" w:color="auto" w:fill="auto"/>
            <w:noWrap/>
            <w:vAlign w:val="center"/>
            <w:hideMark/>
          </w:tcPr>
          <w:p w14:paraId="6E3340F1"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1,9</w:t>
            </w:r>
          </w:p>
        </w:tc>
        <w:tc>
          <w:tcPr>
            <w:tcW w:w="1080" w:type="dxa"/>
            <w:tcBorders>
              <w:top w:val="nil"/>
              <w:left w:val="nil"/>
              <w:bottom w:val="single" w:sz="4" w:space="0" w:color="auto"/>
              <w:right w:val="single" w:sz="4" w:space="0" w:color="auto"/>
            </w:tcBorders>
            <w:shd w:val="clear" w:color="auto" w:fill="auto"/>
            <w:noWrap/>
            <w:vAlign w:val="center"/>
            <w:hideMark/>
          </w:tcPr>
          <w:p w14:paraId="3F4F55A9"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0000"/>
                <w:sz w:val="16"/>
                <w:szCs w:val="16"/>
              </w:rPr>
              <w:t>1,7</w:t>
            </w:r>
          </w:p>
        </w:tc>
      </w:tr>
      <w:tr w:rsidR="00892900" w:rsidRPr="00892900" w14:paraId="70206C5C" w14:textId="77777777" w:rsidTr="00744640">
        <w:trPr>
          <w:trHeight w:val="300"/>
          <w:jc w:val="center"/>
        </w:trPr>
        <w:tc>
          <w:tcPr>
            <w:tcW w:w="9633"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14:paraId="55A9DA16" w14:textId="77777777" w:rsidR="00892900" w:rsidRPr="00892900" w:rsidRDefault="00892900" w:rsidP="00892900">
            <w:pPr>
              <w:spacing w:after="0" w:line="240" w:lineRule="auto"/>
              <w:rPr>
                <w:rFonts w:cs="Arial"/>
                <w:b/>
                <w:bCs/>
                <w:sz w:val="16"/>
                <w:szCs w:val="16"/>
              </w:rPr>
            </w:pPr>
            <w:r w:rsidRPr="00892900">
              <w:rPr>
                <w:rFonts w:cs="Arial"/>
                <w:b/>
                <w:bCs/>
                <w:sz w:val="16"/>
                <w:szCs w:val="16"/>
              </w:rPr>
              <w:t xml:space="preserve">podle počtu zaměstnanců </w:t>
            </w:r>
          </w:p>
        </w:tc>
      </w:tr>
      <w:tr w:rsidR="009F0BC4" w:rsidRPr="00892900" w14:paraId="61E0240F"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E9F49E" w14:textId="77777777" w:rsidR="00892900" w:rsidRPr="00892900" w:rsidRDefault="00892900" w:rsidP="00892900">
            <w:pPr>
              <w:spacing w:after="0" w:line="240" w:lineRule="auto"/>
              <w:rPr>
                <w:rFonts w:cs="Arial"/>
                <w:sz w:val="16"/>
                <w:szCs w:val="16"/>
              </w:rPr>
            </w:pPr>
            <w:r w:rsidRPr="00892900">
              <w:rPr>
                <w:rFonts w:cs="Arial"/>
                <w:sz w:val="16"/>
                <w:szCs w:val="16"/>
              </w:rPr>
              <w:t>10–19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785A1A27"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23,4</w:t>
            </w:r>
          </w:p>
        </w:tc>
        <w:tc>
          <w:tcPr>
            <w:tcW w:w="990" w:type="dxa"/>
            <w:tcBorders>
              <w:top w:val="nil"/>
              <w:left w:val="nil"/>
              <w:bottom w:val="single" w:sz="4" w:space="0" w:color="auto"/>
              <w:right w:val="single" w:sz="4" w:space="0" w:color="auto"/>
            </w:tcBorders>
            <w:shd w:val="clear" w:color="auto" w:fill="auto"/>
            <w:noWrap/>
            <w:vAlign w:val="center"/>
            <w:hideMark/>
          </w:tcPr>
          <w:p w14:paraId="33AA325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57,9</w:t>
            </w:r>
          </w:p>
        </w:tc>
        <w:tc>
          <w:tcPr>
            <w:tcW w:w="762" w:type="dxa"/>
            <w:tcBorders>
              <w:top w:val="nil"/>
              <w:left w:val="nil"/>
              <w:bottom w:val="single" w:sz="4" w:space="0" w:color="auto"/>
              <w:right w:val="single" w:sz="4" w:space="0" w:color="auto"/>
            </w:tcBorders>
            <w:shd w:val="clear" w:color="auto" w:fill="auto"/>
            <w:noWrap/>
            <w:vAlign w:val="center"/>
            <w:hideMark/>
          </w:tcPr>
          <w:p w14:paraId="235939D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16,8</w:t>
            </w:r>
          </w:p>
        </w:tc>
        <w:tc>
          <w:tcPr>
            <w:tcW w:w="1145" w:type="dxa"/>
            <w:tcBorders>
              <w:top w:val="nil"/>
              <w:left w:val="nil"/>
              <w:bottom w:val="single" w:sz="4" w:space="0" w:color="auto"/>
              <w:right w:val="single" w:sz="4" w:space="0" w:color="auto"/>
            </w:tcBorders>
            <w:shd w:val="clear" w:color="auto" w:fill="auto"/>
            <w:noWrap/>
            <w:vAlign w:val="center"/>
            <w:hideMark/>
          </w:tcPr>
          <w:p w14:paraId="310D0D4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8,5</w:t>
            </w:r>
          </w:p>
        </w:tc>
        <w:tc>
          <w:tcPr>
            <w:tcW w:w="794" w:type="dxa"/>
            <w:tcBorders>
              <w:top w:val="nil"/>
              <w:left w:val="nil"/>
              <w:bottom w:val="single" w:sz="4" w:space="0" w:color="auto"/>
              <w:right w:val="single" w:sz="4" w:space="0" w:color="auto"/>
            </w:tcBorders>
            <w:shd w:val="clear" w:color="auto" w:fill="auto"/>
            <w:noWrap/>
            <w:vAlign w:val="center"/>
            <w:hideMark/>
          </w:tcPr>
          <w:p w14:paraId="5CC42A2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6,8</w:t>
            </w:r>
          </w:p>
        </w:tc>
        <w:tc>
          <w:tcPr>
            <w:tcW w:w="884" w:type="dxa"/>
            <w:tcBorders>
              <w:top w:val="nil"/>
              <w:left w:val="nil"/>
              <w:bottom w:val="single" w:sz="4" w:space="0" w:color="auto"/>
              <w:right w:val="single" w:sz="4" w:space="0" w:color="auto"/>
            </w:tcBorders>
            <w:shd w:val="clear" w:color="auto" w:fill="auto"/>
            <w:noWrap/>
            <w:vAlign w:val="center"/>
            <w:hideMark/>
          </w:tcPr>
          <w:p w14:paraId="6C91D23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9,3</w:t>
            </w:r>
          </w:p>
        </w:tc>
        <w:tc>
          <w:tcPr>
            <w:tcW w:w="859" w:type="dxa"/>
            <w:tcBorders>
              <w:top w:val="nil"/>
              <w:left w:val="nil"/>
              <w:bottom w:val="single" w:sz="4" w:space="0" w:color="auto"/>
              <w:right w:val="single" w:sz="4" w:space="0" w:color="auto"/>
            </w:tcBorders>
            <w:shd w:val="clear" w:color="auto" w:fill="auto"/>
            <w:noWrap/>
            <w:vAlign w:val="center"/>
            <w:hideMark/>
          </w:tcPr>
          <w:p w14:paraId="313A5CB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1,3</w:t>
            </w:r>
          </w:p>
        </w:tc>
        <w:tc>
          <w:tcPr>
            <w:tcW w:w="1080" w:type="dxa"/>
            <w:tcBorders>
              <w:top w:val="nil"/>
              <w:left w:val="nil"/>
              <w:bottom w:val="single" w:sz="4" w:space="0" w:color="auto"/>
              <w:right w:val="single" w:sz="4" w:space="0" w:color="auto"/>
            </w:tcBorders>
            <w:shd w:val="clear" w:color="auto" w:fill="auto"/>
            <w:noWrap/>
            <w:vAlign w:val="center"/>
            <w:hideMark/>
          </w:tcPr>
          <w:p w14:paraId="27040FD5"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1,8</w:t>
            </w:r>
          </w:p>
        </w:tc>
      </w:tr>
      <w:tr w:rsidR="009F0BC4" w:rsidRPr="00892900" w14:paraId="0F42FB28"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ED450CD" w14:textId="77777777" w:rsidR="00892900" w:rsidRPr="00892900" w:rsidRDefault="00892900" w:rsidP="00892900">
            <w:pPr>
              <w:spacing w:after="0" w:line="240" w:lineRule="auto"/>
              <w:rPr>
                <w:rFonts w:cs="Arial"/>
                <w:sz w:val="16"/>
                <w:szCs w:val="16"/>
              </w:rPr>
            </w:pPr>
            <w:r w:rsidRPr="00892900">
              <w:rPr>
                <w:rFonts w:cs="Arial"/>
                <w:sz w:val="16"/>
                <w:szCs w:val="16"/>
              </w:rPr>
              <w:t>20–49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622CC441"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26,2</w:t>
            </w:r>
          </w:p>
        </w:tc>
        <w:tc>
          <w:tcPr>
            <w:tcW w:w="990" w:type="dxa"/>
            <w:tcBorders>
              <w:top w:val="nil"/>
              <w:left w:val="nil"/>
              <w:bottom w:val="single" w:sz="4" w:space="0" w:color="auto"/>
              <w:right w:val="single" w:sz="4" w:space="0" w:color="auto"/>
            </w:tcBorders>
            <w:shd w:val="clear" w:color="auto" w:fill="auto"/>
            <w:noWrap/>
            <w:vAlign w:val="center"/>
            <w:hideMark/>
          </w:tcPr>
          <w:p w14:paraId="6A71CE2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55,1</w:t>
            </w:r>
          </w:p>
        </w:tc>
        <w:tc>
          <w:tcPr>
            <w:tcW w:w="762" w:type="dxa"/>
            <w:tcBorders>
              <w:top w:val="nil"/>
              <w:left w:val="nil"/>
              <w:bottom w:val="single" w:sz="4" w:space="0" w:color="auto"/>
              <w:right w:val="single" w:sz="4" w:space="0" w:color="auto"/>
            </w:tcBorders>
            <w:shd w:val="clear" w:color="auto" w:fill="auto"/>
            <w:noWrap/>
            <w:vAlign w:val="center"/>
            <w:hideMark/>
          </w:tcPr>
          <w:p w14:paraId="2AFE6E2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19,4</w:t>
            </w:r>
          </w:p>
        </w:tc>
        <w:tc>
          <w:tcPr>
            <w:tcW w:w="1145" w:type="dxa"/>
            <w:tcBorders>
              <w:top w:val="nil"/>
              <w:left w:val="nil"/>
              <w:bottom w:val="single" w:sz="4" w:space="0" w:color="auto"/>
              <w:right w:val="single" w:sz="4" w:space="0" w:color="auto"/>
            </w:tcBorders>
            <w:shd w:val="clear" w:color="auto" w:fill="auto"/>
            <w:noWrap/>
            <w:vAlign w:val="center"/>
            <w:hideMark/>
          </w:tcPr>
          <w:p w14:paraId="7DD4D303"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9,8</w:t>
            </w:r>
          </w:p>
        </w:tc>
        <w:tc>
          <w:tcPr>
            <w:tcW w:w="794" w:type="dxa"/>
            <w:tcBorders>
              <w:top w:val="nil"/>
              <w:left w:val="nil"/>
              <w:bottom w:val="single" w:sz="4" w:space="0" w:color="auto"/>
              <w:right w:val="single" w:sz="4" w:space="0" w:color="auto"/>
            </w:tcBorders>
            <w:shd w:val="clear" w:color="auto" w:fill="auto"/>
            <w:noWrap/>
            <w:vAlign w:val="center"/>
            <w:hideMark/>
          </w:tcPr>
          <w:p w14:paraId="68B01C2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7,5</w:t>
            </w:r>
          </w:p>
        </w:tc>
        <w:tc>
          <w:tcPr>
            <w:tcW w:w="884" w:type="dxa"/>
            <w:tcBorders>
              <w:top w:val="nil"/>
              <w:left w:val="nil"/>
              <w:bottom w:val="single" w:sz="4" w:space="0" w:color="auto"/>
              <w:right w:val="single" w:sz="4" w:space="0" w:color="auto"/>
            </w:tcBorders>
            <w:shd w:val="clear" w:color="auto" w:fill="auto"/>
            <w:noWrap/>
            <w:vAlign w:val="center"/>
            <w:hideMark/>
          </w:tcPr>
          <w:p w14:paraId="47355DAF"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9,0</w:t>
            </w:r>
          </w:p>
        </w:tc>
        <w:tc>
          <w:tcPr>
            <w:tcW w:w="859" w:type="dxa"/>
            <w:tcBorders>
              <w:top w:val="nil"/>
              <w:left w:val="nil"/>
              <w:bottom w:val="single" w:sz="4" w:space="0" w:color="auto"/>
              <w:right w:val="single" w:sz="4" w:space="0" w:color="auto"/>
            </w:tcBorders>
            <w:shd w:val="clear" w:color="auto" w:fill="auto"/>
            <w:noWrap/>
            <w:vAlign w:val="center"/>
            <w:hideMark/>
          </w:tcPr>
          <w:p w14:paraId="6557E80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2,6</w:t>
            </w:r>
          </w:p>
        </w:tc>
        <w:tc>
          <w:tcPr>
            <w:tcW w:w="1080" w:type="dxa"/>
            <w:tcBorders>
              <w:top w:val="nil"/>
              <w:left w:val="nil"/>
              <w:bottom w:val="single" w:sz="4" w:space="0" w:color="auto"/>
              <w:right w:val="single" w:sz="4" w:space="0" w:color="auto"/>
            </w:tcBorders>
            <w:shd w:val="clear" w:color="auto" w:fill="auto"/>
            <w:noWrap/>
            <w:vAlign w:val="center"/>
            <w:hideMark/>
          </w:tcPr>
          <w:p w14:paraId="786D2C2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1,5</w:t>
            </w:r>
          </w:p>
        </w:tc>
      </w:tr>
      <w:tr w:rsidR="009F0BC4" w:rsidRPr="00892900" w14:paraId="709F19CD"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7A9E91A" w14:textId="77777777" w:rsidR="00892900" w:rsidRPr="00892900" w:rsidRDefault="00892900" w:rsidP="00892900">
            <w:pPr>
              <w:spacing w:after="0" w:line="240" w:lineRule="auto"/>
              <w:rPr>
                <w:rFonts w:cs="Arial"/>
                <w:sz w:val="16"/>
                <w:szCs w:val="16"/>
              </w:rPr>
            </w:pPr>
            <w:r w:rsidRPr="00892900">
              <w:rPr>
                <w:rFonts w:cs="Arial"/>
                <w:sz w:val="16"/>
                <w:szCs w:val="16"/>
              </w:rPr>
              <w:t>50–249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6C604D6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28,0</w:t>
            </w:r>
          </w:p>
        </w:tc>
        <w:tc>
          <w:tcPr>
            <w:tcW w:w="990" w:type="dxa"/>
            <w:tcBorders>
              <w:top w:val="nil"/>
              <w:left w:val="nil"/>
              <w:bottom w:val="single" w:sz="4" w:space="0" w:color="auto"/>
              <w:right w:val="single" w:sz="4" w:space="0" w:color="auto"/>
            </w:tcBorders>
            <w:shd w:val="clear" w:color="auto" w:fill="auto"/>
            <w:noWrap/>
            <w:vAlign w:val="center"/>
            <w:hideMark/>
          </w:tcPr>
          <w:p w14:paraId="45875DA3"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52,7</w:t>
            </w:r>
          </w:p>
        </w:tc>
        <w:tc>
          <w:tcPr>
            <w:tcW w:w="762" w:type="dxa"/>
            <w:tcBorders>
              <w:top w:val="nil"/>
              <w:left w:val="nil"/>
              <w:bottom w:val="single" w:sz="4" w:space="0" w:color="auto"/>
              <w:right w:val="single" w:sz="4" w:space="0" w:color="auto"/>
            </w:tcBorders>
            <w:shd w:val="clear" w:color="auto" w:fill="auto"/>
            <w:noWrap/>
            <w:vAlign w:val="center"/>
            <w:hideMark/>
          </w:tcPr>
          <w:p w14:paraId="7520069C"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37,2</w:t>
            </w:r>
          </w:p>
        </w:tc>
        <w:tc>
          <w:tcPr>
            <w:tcW w:w="1145" w:type="dxa"/>
            <w:tcBorders>
              <w:top w:val="nil"/>
              <w:left w:val="nil"/>
              <w:bottom w:val="single" w:sz="4" w:space="0" w:color="auto"/>
              <w:right w:val="single" w:sz="4" w:space="0" w:color="auto"/>
            </w:tcBorders>
            <w:shd w:val="clear" w:color="auto" w:fill="auto"/>
            <w:noWrap/>
            <w:vAlign w:val="center"/>
            <w:hideMark/>
          </w:tcPr>
          <w:p w14:paraId="68AA8B0D"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9,7</w:t>
            </w:r>
          </w:p>
        </w:tc>
        <w:tc>
          <w:tcPr>
            <w:tcW w:w="794" w:type="dxa"/>
            <w:tcBorders>
              <w:top w:val="nil"/>
              <w:left w:val="nil"/>
              <w:bottom w:val="single" w:sz="4" w:space="0" w:color="auto"/>
              <w:right w:val="single" w:sz="4" w:space="0" w:color="auto"/>
            </w:tcBorders>
            <w:shd w:val="clear" w:color="auto" w:fill="auto"/>
            <w:noWrap/>
            <w:vAlign w:val="center"/>
            <w:hideMark/>
          </w:tcPr>
          <w:p w14:paraId="71A55FA4"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11,3</w:t>
            </w:r>
          </w:p>
        </w:tc>
        <w:tc>
          <w:tcPr>
            <w:tcW w:w="884" w:type="dxa"/>
            <w:tcBorders>
              <w:top w:val="nil"/>
              <w:left w:val="nil"/>
              <w:bottom w:val="single" w:sz="4" w:space="0" w:color="auto"/>
              <w:right w:val="single" w:sz="4" w:space="0" w:color="auto"/>
            </w:tcBorders>
            <w:shd w:val="clear" w:color="auto" w:fill="auto"/>
            <w:noWrap/>
            <w:vAlign w:val="center"/>
            <w:hideMark/>
          </w:tcPr>
          <w:p w14:paraId="70530253"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7,1</w:t>
            </w:r>
          </w:p>
        </w:tc>
        <w:tc>
          <w:tcPr>
            <w:tcW w:w="859" w:type="dxa"/>
            <w:tcBorders>
              <w:top w:val="nil"/>
              <w:left w:val="nil"/>
              <w:bottom w:val="single" w:sz="4" w:space="0" w:color="auto"/>
              <w:right w:val="single" w:sz="4" w:space="0" w:color="auto"/>
            </w:tcBorders>
            <w:shd w:val="clear" w:color="auto" w:fill="auto"/>
            <w:noWrap/>
            <w:vAlign w:val="center"/>
            <w:hideMark/>
          </w:tcPr>
          <w:p w14:paraId="3B8D0BC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1,9</w:t>
            </w:r>
          </w:p>
        </w:tc>
        <w:tc>
          <w:tcPr>
            <w:tcW w:w="1080" w:type="dxa"/>
            <w:tcBorders>
              <w:top w:val="nil"/>
              <w:left w:val="nil"/>
              <w:bottom w:val="single" w:sz="4" w:space="0" w:color="auto"/>
              <w:right w:val="single" w:sz="4" w:space="0" w:color="auto"/>
            </w:tcBorders>
            <w:shd w:val="clear" w:color="auto" w:fill="auto"/>
            <w:noWrap/>
            <w:vAlign w:val="center"/>
            <w:hideMark/>
          </w:tcPr>
          <w:p w14:paraId="2D09EB9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1,8</w:t>
            </w:r>
          </w:p>
        </w:tc>
      </w:tr>
      <w:tr w:rsidR="009F0BC4" w:rsidRPr="00892900" w14:paraId="393707EA"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ADBE8B" w14:textId="77777777" w:rsidR="00892900" w:rsidRPr="00892900" w:rsidRDefault="00892900" w:rsidP="00892900">
            <w:pPr>
              <w:spacing w:after="0" w:line="240" w:lineRule="auto"/>
              <w:rPr>
                <w:rFonts w:cs="Arial"/>
                <w:sz w:val="16"/>
                <w:szCs w:val="16"/>
              </w:rPr>
            </w:pPr>
            <w:r w:rsidRPr="00892900">
              <w:rPr>
                <w:rFonts w:cs="Arial"/>
                <w:sz w:val="16"/>
                <w:szCs w:val="16"/>
              </w:rPr>
              <w:t>250 a více zaměstnanců</w:t>
            </w:r>
          </w:p>
        </w:tc>
        <w:tc>
          <w:tcPr>
            <w:tcW w:w="992" w:type="dxa"/>
            <w:tcBorders>
              <w:top w:val="nil"/>
              <w:left w:val="nil"/>
              <w:bottom w:val="single" w:sz="4" w:space="0" w:color="auto"/>
              <w:right w:val="single" w:sz="4" w:space="0" w:color="auto"/>
            </w:tcBorders>
            <w:shd w:val="clear" w:color="auto" w:fill="auto"/>
            <w:noWrap/>
            <w:vAlign w:val="center"/>
            <w:hideMark/>
          </w:tcPr>
          <w:p w14:paraId="7E7391B7"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38,7</w:t>
            </w:r>
          </w:p>
        </w:tc>
        <w:tc>
          <w:tcPr>
            <w:tcW w:w="990" w:type="dxa"/>
            <w:tcBorders>
              <w:top w:val="nil"/>
              <w:left w:val="nil"/>
              <w:bottom w:val="single" w:sz="4" w:space="0" w:color="auto"/>
              <w:right w:val="single" w:sz="4" w:space="0" w:color="auto"/>
            </w:tcBorders>
            <w:shd w:val="clear" w:color="auto" w:fill="auto"/>
            <w:noWrap/>
            <w:vAlign w:val="center"/>
            <w:hideMark/>
          </w:tcPr>
          <w:p w14:paraId="32AA14A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47,5</w:t>
            </w:r>
          </w:p>
        </w:tc>
        <w:tc>
          <w:tcPr>
            <w:tcW w:w="762" w:type="dxa"/>
            <w:tcBorders>
              <w:top w:val="nil"/>
              <w:left w:val="nil"/>
              <w:bottom w:val="single" w:sz="4" w:space="0" w:color="auto"/>
              <w:right w:val="single" w:sz="4" w:space="0" w:color="auto"/>
            </w:tcBorders>
            <w:shd w:val="clear" w:color="auto" w:fill="auto"/>
            <w:noWrap/>
            <w:vAlign w:val="center"/>
            <w:hideMark/>
          </w:tcPr>
          <w:p w14:paraId="41E788E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44,8</w:t>
            </w:r>
          </w:p>
        </w:tc>
        <w:tc>
          <w:tcPr>
            <w:tcW w:w="1145" w:type="dxa"/>
            <w:tcBorders>
              <w:top w:val="nil"/>
              <w:left w:val="nil"/>
              <w:bottom w:val="single" w:sz="4" w:space="0" w:color="auto"/>
              <w:right w:val="single" w:sz="4" w:space="0" w:color="auto"/>
            </w:tcBorders>
            <w:shd w:val="clear" w:color="auto" w:fill="auto"/>
            <w:noWrap/>
            <w:vAlign w:val="center"/>
            <w:hideMark/>
          </w:tcPr>
          <w:p w14:paraId="6A7C339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12,7</w:t>
            </w:r>
          </w:p>
        </w:tc>
        <w:tc>
          <w:tcPr>
            <w:tcW w:w="794" w:type="dxa"/>
            <w:tcBorders>
              <w:top w:val="nil"/>
              <w:left w:val="nil"/>
              <w:bottom w:val="single" w:sz="4" w:space="0" w:color="auto"/>
              <w:right w:val="single" w:sz="4" w:space="0" w:color="auto"/>
            </w:tcBorders>
            <w:shd w:val="clear" w:color="auto" w:fill="auto"/>
            <w:noWrap/>
            <w:vAlign w:val="center"/>
            <w:hideMark/>
          </w:tcPr>
          <w:p w14:paraId="39D4766F"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17,9</w:t>
            </w:r>
          </w:p>
        </w:tc>
        <w:tc>
          <w:tcPr>
            <w:tcW w:w="884" w:type="dxa"/>
            <w:tcBorders>
              <w:top w:val="nil"/>
              <w:left w:val="nil"/>
              <w:bottom w:val="single" w:sz="4" w:space="0" w:color="auto"/>
              <w:right w:val="single" w:sz="4" w:space="0" w:color="auto"/>
            </w:tcBorders>
            <w:shd w:val="clear" w:color="auto" w:fill="auto"/>
            <w:noWrap/>
            <w:vAlign w:val="center"/>
            <w:hideMark/>
          </w:tcPr>
          <w:p w14:paraId="26D051D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3,5</w:t>
            </w:r>
          </w:p>
        </w:tc>
        <w:tc>
          <w:tcPr>
            <w:tcW w:w="859" w:type="dxa"/>
            <w:tcBorders>
              <w:top w:val="nil"/>
              <w:left w:val="nil"/>
              <w:bottom w:val="single" w:sz="4" w:space="0" w:color="auto"/>
              <w:right w:val="single" w:sz="4" w:space="0" w:color="auto"/>
            </w:tcBorders>
            <w:shd w:val="clear" w:color="auto" w:fill="auto"/>
            <w:noWrap/>
            <w:vAlign w:val="center"/>
            <w:hideMark/>
          </w:tcPr>
          <w:p w14:paraId="20E0BD4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hideMark/>
          </w:tcPr>
          <w:p w14:paraId="68CA6FFC"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1,8</w:t>
            </w:r>
          </w:p>
        </w:tc>
      </w:tr>
      <w:tr w:rsidR="00892900" w:rsidRPr="00892900" w14:paraId="5CAB4345" w14:textId="77777777" w:rsidTr="00744640">
        <w:trPr>
          <w:trHeight w:val="300"/>
          <w:jc w:val="center"/>
        </w:trPr>
        <w:tc>
          <w:tcPr>
            <w:tcW w:w="9633"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376F08" w14:textId="264AF75B" w:rsidR="00892900" w:rsidRPr="00892900" w:rsidRDefault="00A241ED" w:rsidP="00892900">
            <w:pPr>
              <w:spacing w:after="0" w:line="240" w:lineRule="auto"/>
              <w:rPr>
                <w:rFonts w:cs="Arial"/>
                <w:b/>
                <w:bCs/>
                <w:sz w:val="16"/>
                <w:szCs w:val="16"/>
              </w:rPr>
            </w:pPr>
            <w:r w:rsidRPr="00A241ED">
              <w:rPr>
                <w:rFonts w:cs="Arial"/>
                <w:b/>
                <w:bCs/>
                <w:sz w:val="16"/>
                <w:szCs w:val="16"/>
              </w:rPr>
              <w:t>podle vlastnictví</w:t>
            </w:r>
          </w:p>
        </w:tc>
      </w:tr>
      <w:tr w:rsidR="00552396" w:rsidRPr="00892900" w14:paraId="7F4DAD09" w14:textId="77777777" w:rsidTr="00552396">
        <w:trPr>
          <w:trHeight w:val="300"/>
          <w:jc w:val="center"/>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3140A534" w14:textId="0F919F04" w:rsidR="00552396" w:rsidRPr="00552396" w:rsidRDefault="00552396" w:rsidP="00552396">
            <w:pPr>
              <w:spacing w:after="0" w:line="240" w:lineRule="auto"/>
              <w:rPr>
                <w:rFonts w:cs="Arial"/>
                <w:sz w:val="16"/>
                <w:szCs w:val="16"/>
              </w:rPr>
            </w:pPr>
            <w:r w:rsidRPr="00552396">
              <w:rPr>
                <w:sz w:val="16"/>
                <w:szCs w:val="16"/>
              </w:rPr>
              <w:t>domácí podniky</w:t>
            </w:r>
          </w:p>
        </w:tc>
        <w:tc>
          <w:tcPr>
            <w:tcW w:w="992" w:type="dxa"/>
            <w:tcBorders>
              <w:top w:val="nil"/>
              <w:left w:val="nil"/>
              <w:bottom w:val="single" w:sz="4" w:space="0" w:color="auto"/>
              <w:right w:val="single" w:sz="4" w:space="0" w:color="auto"/>
            </w:tcBorders>
            <w:shd w:val="clear" w:color="auto" w:fill="auto"/>
            <w:noWrap/>
            <w:vAlign w:val="center"/>
            <w:hideMark/>
          </w:tcPr>
          <w:p w14:paraId="180E8E64"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27,1</w:t>
            </w:r>
          </w:p>
        </w:tc>
        <w:tc>
          <w:tcPr>
            <w:tcW w:w="990" w:type="dxa"/>
            <w:tcBorders>
              <w:top w:val="nil"/>
              <w:left w:val="nil"/>
              <w:bottom w:val="single" w:sz="4" w:space="0" w:color="auto"/>
              <w:right w:val="single" w:sz="4" w:space="0" w:color="auto"/>
            </w:tcBorders>
            <w:shd w:val="clear" w:color="auto" w:fill="auto"/>
            <w:noWrap/>
            <w:vAlign w:val="center"/>
            <w:hideMark/>
          </w:tcPr>
          <w:p w14:paraId="01794549"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56,2</w:t>
            </w:r>
          </w:p>
        </w:tc>
        <w:tc>
          <w:tcPr>
            <w:tcW w:w="762" w:type="dxa"/>
            <w:tcBorders>
              <w:top w:val="nil"/>
              <w:left w:val="nil"/>
              <w:bottom w:val="single" w:sz="4" w:space="0" w:color="auto"/>
              <w:right w:val="single" w:sz="4" w:space="0" w:color="auto"/>
            </w:tcBorders>
            <w:shd w:val="clear" w:color="auto" w:fill="auto"/>
            <w:noWrap/>
            <w:vAlign w:val="center"/>
            <w:hideMark/>
          </w:tcPr>
          <w:p w14:paraId="2463A26A"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19,3</w:t>
            </w:r>
          </w:p>
        </w:tc>
        <w:tc>
          <w:tcPr>
            <w:tcW w:w="1145" w:type="dxa"/>
            <w:tcBorders>
              <w:top w:val="nil"/>
              <w:left w:val="nil"/>
              <w:bottom w:val="single" w:sz="4" w:space="0" w:color="auto"/>
              <w:right w:val="single" w:sz="4" w:space="0" w:color="auto"/>
            </w:tcBorders>
            <w:shd w:val="clear" w:color="auto" w:fill="auto"/>
            <w:noWrap/>
            <w:vAlign w:val="center"/>
            <w:hideMark/>
          </w:tcPr>
          <w:p w14:paraId="1D5A8C63"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9,3</w:t>
            </w:r>
          </w:p>
        </w:tc>
        <w:tc>
          <w:tcPr>
            <w:tcW w:w="794" w:type="dxa"/>
            <w:tcBorders>
              <w:top w:val="nil"/>
              <w:left w:val="nil"/>
              <w:bottom w:val="single" w:sz="4" w:space="0" w:color="auto"/>
              <w:right w:val="single" w:sz="4" w:space="0" w:color="auto"/>
            </w:tcBorders>
            <w:shd w:val="clear" w:color="auto" w:fill="auto"/>
            <w:noWrap/>
            <w:vAlign w:val="center"/>
            <w:hideMark/>
          </w:tcPr>
          <w:p w14:paraId="35C862B5"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8,1</w:t>
            </w:r>
          </w:p>
        </w:tc>
        <w:tc>
          <w:tcPr>
            <w:tcW w:w="884" w:type="dxa"/>
            <w:tcBorders>
              <w:top w:val="nil"/>
              <w:left w:val="nil"/>
              <w:bottom w:val="single" w:sz="4" w:space="0" w:color="auto"/>
              <w:right w:val="single" w:sz="4" w:space="0" w:color="auto"/>
            </w:tcBorders>
            <w:shd w:val="clear" w:color="auto" w:fill="auto"/>
            <w:noWrap/>
            <w:vAlign w:val="center"/>
            <w:hideMark/>
          </w:tcPr>
          <w:p w14:paraId="637F8671"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9,4</w:t>
            </w:r>
          </w:p>
        </w:tc>
        <w:tc>
          <w:tcPr>
            <w:tcW w:w="859" w:type="dxa"/>
            <w:tcBorders>
              <w:top w:val="nil"/>
              <w:left w:val="nil"/>
              <w:bottom w:val="single" w:sz="4" w:space="0" w:color="auto"/>
              <w:right w:val="single" w:sz="4" w:space="0" w:color="auto"/>
            </w:tcBorders>
            <w:shd w:val="clear" w:color="auto" w:fill="auto"/>
            <w:noWrap/>
            <w:vAlign w:val="center"/>
            <w:hideMark/>
          </w:tcPr>
          <w:p w14:paraId="2E55868D"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2179F79"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1,9</w:t>
            </w:r>
          </w:p>
        </w:tc>
      </w:tr>
      <w:tr w:rsidR="00552396" w:rsidRPr="00892900" w14:paraId="43319EE0" w14:textId="77777777" w:rsidTr="00552396">
        <w:trPr>
          <w:trHeight w:val="300"/>
          <w:jc w:val="center"/>
        </w:trPr>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14:paraId="61F4286E" w14:textId="4705981D" w:rsidR="00552396" w:rsidRPr="00552396" w:rsidRDefault="00552396" w:rsidP="00552396">
            <w:pPr>
              <w:spacing w:after="0" w:line="240" w:lineRule="auto"/>
              <w:rPr>
                <w:rFonts w:cs="Arial"/>
                <w:sz w:val="16"/>
                <w:szCs w:val="16"/>
              </w:rPr>
            </w:pPr>
            <w:r w:rsidRPr="00552396">
              <w:rPr>
                <w:sz w:val="16"/>
                <w:szCs w:val="16"/>
              </w:rPr>
              <w:t>podniky pod zahraniční kontrolou</w:t>
            </w:r>
          </w:p>
        </w:tc>
        <w:tc>
          <w:tcPr>
            <w:tcW w:w="992" w:type="dxa"/>
            <w:tcBorders>
              <w:top w:val="nil"/>
              <w:left w:val="nil"/>
              <w:bottom w:val="single" w:sz="4" w:space="0" w:color="auto"/>
              <w:right w:val="single" w:sz="4" w:space="0" w:color="auto"/>
            </w:tcBorders>
            <w:shd w:val="clear" w:color="auto" w:fill="auto"/>
            <w:noWrap/>
            <w:vAlign w:val="center"/>
            <w:hideMark/>
          </w:tcPr>
          <w:p w14:paraId="6EBFEF08"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25,9</w:t>
            </w:r>
          </w:p>
        </w:tc>
        <w:tc>
          <w:tcPr>
            <w:tcW w:w="990" w:type="dxa"/>
            <w:tcBorders>
              <w:top w:val="nil"/>
              <w:left w:val="nil"/>
              <w:bottom w:val="single" w:sz="4" w:space="0" w:color="auto"/>
              <w:right w:val="single" w:sz="4" w:space="0" w:color="auto"/>
            </w:tcBorders>
            <w:shd w:val="clear" w:color="auto" w:fill="auto"/>
            <w:noWrap/>
            <w:vAlign w:val="center"/>
            <w:hideMark/>
          </w:tcPr>
          <w:p w14:paraId="5441F566"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50,0</w:t>
            </w:r>
          </w:p>
        </w:tc>
        <w:tc>
          <w:tcPr>
            <w:tcW w:w="762" w:type="dxa"/>
            <w:tcBorders>
              <w:top w:val="nil"/>
              <w:left w:val="nil"/>
              <w:bottom w:val="single" w:sz="4" w:space="0" w:color="auto"/>
              <w:right w:val="single" w:sz="4" w:space="0" w:color="auto"/>
            </w:tcBorders>
            <w:shd w:val="clear" w:color="auto" w:fill="auto"/>
            <w:noWrap/>
            <w:vAlign w:val="center"/>
            <w:hideMark/>
          </w:tcPr>
          <w:p w14:paraId="01702EB0"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45,1</w:t>
            </w:r>
          </w:p>
        </w:tc>
        <w:tc>
          <w:tcPr>
            <w:tcW w:w="1145" w:type="dxa"/>
            <w:tcBorders>
              <w:top w:val="nil"/>
              <w:left w:val="nil"/>
              <w:bottom w:val="single" w:sz="4" w:space="0" w:color="auto"/>
              <w:right w:val="single" w:sz="4" w:space="0" w:color="auto"/>
            </w:tcBorders>
            <w:shd w:val="clear" w:color="auto" w:fill="auto"/>
            <w:noWrap/>
            <w:vAlign w:val="center"/>
            <w:hideMark/>
          </w:tcPr>
          <w:p w14:paraId="47BBC73D"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10,3</w:t>
            </w:r>
          </w:p>
        </w:tc>
        <w:tc>
          <w:tcPr>
            <w:tcW w:w="794" w:type="dxa"/>
            <w:tcBorders>
              <w:top w:val="nil"/>
              <w:left w:val="nil"/>
              <w:bottom w:val="single" w:sz="4" w:space="0" w:color="auto"/>
              <w:right w:val="single" w:sz="4" w:space="0" w:color="auto"/>
            </w:tcBorders>
            <w:shd w:val="clear" w:color="auto" w:fill="auto"/>
            <w:noWrap/>
            <w:vAlign w:val="center"/>
            <w:hideMark/>
          </w:tcPr>
          <w:p w14:paraId="09D75CEF"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12,6</w:t>
            </w:r>
          </w:p>
        </w:tc>
        <w:tc>
          <w:tcPr>
            <w:tcW w:w="884" w:type="dxa"/>
            <w:tcBorders>
              <w:top w:val="nil"/>
              <w:left w:val="nil"/>
              <w:bottom w:val="single" w:sz="4" w:space="0" w:color="auto"/>
              <w:right w:val="single" w:sz="4" w:space="0" w:color="auto"/>
            </w:tcBorders>
            <w:shd w:val="clear" w:color="auto" w:fill="auto"/>
            <w:noWrap/>
            <w:vAlign w:val="center"/>
            <w:hideMark/>
          </w:tcPr>
          <w:p w14:paraId="2614FFBD"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4,1</w:t>
            </w:r>
          </w:p>
        </w:tc>
        <w:tc>
          <w:tcPr>
            <w:tcW w:w="859" w:type="dxa"/>
            <w:tcBorders>
              <w:top w:val="nil"/>
              <w:left w:val="nil"/>
              <w:bottom w:val="single" w:sz="4" w:space="0" w:color="auto"/>
              <w:right w:val="single" w:sz="4" w:space="0" w:color="auto"/>
            </w:tcBorders>
            <w:shd w:val="clear" w:color="auto" w:fill="auto"/>
            <w:noWrap/>
            <w:vAlign w:val="center"/>
            <w:hideMark/>
          </w:tcPr>
          <w:p w14:paraId="0EA3B102"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1,4</w:t>
            </w:r>
          </w:p>
        </w:tc>
        <w:tc>
          <w:tcPr>
            <w:tcW w:w="1080" w:type="dxa"/>
            <w:tcBorders>
              <w:top w:val="nil"/>
              <w:left w:val="nil"/>
              <w:bottom w:val="single" w:sz="4" w:space="0" w:color="auto"/>
              <w:right w:val="single" w:sz="4" w:space="0" w:color="auto"/>
            </w:tcBorders>
            <w:shd w:val="clear" w:color="auto" w:fill="auto"/>
            <w:noWrap/>
            <w:vAlign w:val="center"/>
            <w:hideMark/>
          </w:tcPr>
          <w:p w14:paraId="38CA47CF" w14:textId="77777777" w:rsidR="00552396" w:rsidRPr="00892900" w:rsidRDefault="00552396" w:rsidP="00552396">
            <w:pPr>
              <w:spacing w:after="0" w:line="240" w:lineRule="auto"/>
              <w:jc w:val="right"/>
              <w:rPr>
                <w:rFonts w:cs="Arial"/>
                <w:color w:val="000000"/>
                <w:sz w:val="16"/>
                <w:szCs w:val="16"/>
              </w:rPr>
            </w:pPr>
            <w:r w:rsidRPr="00892900">
              <w:rPr>
                <w:rFonts w:cs="Arial"/>
                <w:color w:val="000000"/>
                <w:sz w:val="16"/>
                <w:szCs w:val="16"/>
              </w:rPr>
              <w:t>1,1</w:t>
            </w:r>
          </w:p>
        </w:tc>
      </w:tr>
      <w:tr w:rsidR="00892900" w:rsidRPr="00892900" w14:paraId="22D6CF05" w14:textId="77777777" w:rsidTr="00744640">
        <w:trPr>
          <w:trHeight w:val="300"/>
          <w:jc w:val="center"/>
        </w:trPr>
        <w:tc>
          <w:tcPr>
            <w:tcW w:w="9633"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14:paraId="61A8C693" w14:textId="5D9E1353" w:rsidR="00892900" w:rsidRPr="00892900" w:rsidRDefault="00F476A4" w:rsidP="00892900">
            <w:pPr>
              <w:spacing w:after="0" w:line="240" w:lineRule="auto"/>
              <w:rPr>
                <w:rFonts w:cs="Arial"/>
                <w:b/>
                <w:bCs/>
                <w:sz w:val="16"/>
                <w:szCs w:val="16"/>
              </w:rPr>
            </w:pPr>
            <w:r w:rsidRPr="00F476A4">
              <w:rPr>
                <w:rFonts w:cs="Arial"/>
                <w:b/>
                <w:bCs/>
                <w:sz w:val="16"/>
                <w:szCs w:val="16"/>
              </w:rPr>
              <w:t>podle odvětvové sekce (CZ-NACE)</w:t>
            </w:r>
          </w:p>
        </w:tc>
      </w:tr>
      <w:tr w:rsidR="009F0BC4" w:rsidRPr="00892900" w14:paraId="76AC1A3F"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5D0AF96"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Průmysl</w:t>
            </w:r>
          </w:p>
        </w:tc>
        <w:tc>
          <w:tcPr>
            <w:tcW w:w="992" w:type="dxa"/>
            <w:tcBorders>
              <w:top w:val="nil"/>
              <w:left w:val="nil"/>
              <w:bottom w:val="single" w:sz="4" w:space="0" w:color="auto"/>
              <w:right w:val="single" w:sz="4" w:space="0" w:color="auto"/>
            </w:tcBorders>
            <w:shd w:val="clear" w:color="auto" w:fill="auto"/>
            <w:noWrap/>
            <w:vAlign w:val="center"/>
            <w:hideMark/>
          </w:tcPr>
          <w:p w14:paraId="51ECCCE1" w14:textId="77777777" w:rsidR="00892900" w:rsidRPr="00006993" w:rsidRDefault="00892900" w:rsidP="00892900">
            <w:pPr>
              <w:spacing w:after="0" w:line="240" w:lineRule="auto"/>
              <w:jc w:val="right"/>
              <w:rPr>
                <w:rFonts w:cs="Arial"/>
                <w:b/>
                <w:color w:val="000000"/>
                <w:sz w:val="16"/>
                <w:szCs w:val="16"/>
              </w:rPr>
            </w:pPr>
            <w:r w:rsidRPr="00006993">
              <w:rPr>
                <w:rFonts w:cs="Arial"/>
                <w:b/>
                <w:color w:val="00B050"/>
                <w:sz w:val="16"/>
                <w:szCs w:val="16"/>
              </w:rPr>
              <w:t>38,0</w:t>
            </w:r>
          </w:p>
        </w:tc>
        <w:tc>
          <w:tcPr>
            <w:tcW w:w="990" w:type="dxa"/>
            <w:tcBorders>
              <w:top w:val="nil"/>
              <w:left w:val="nil"/>
              <w:bottom w:val="single" w:sz="4" w:space="0" w:color="auto"/>
              <w:right w:val="single" w:sz="4" w:space="0" w:color="auto"/>
            </w:tcBorders>
            <w:shd w:val="clear" w:color="auto" w:fill="auto"/>
            <w:noWrap/>
            <w:vAlign w:val="center"/>
            <w:hideMark/>
          </w:tcPr>
          <w:p w14:paraId="047CC735"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55,8</w:t>
            </w:r>
          </w:p>
        </w:tc>
        <w:tc>
          <w:tcPr>
            <w:tcW w:w="762" w:type="dxa"/>
            <w:tcBorders>
              <w:top w:val="nil"/>
              <w:left w:val="nil"/>
              <w:bottom w:val="single" w:sz="4" w:space="0" w:color="auto"/>
              <w:right w:val="single" w:sz="4" w:space="0" w:color="auto"/>
            </w:tcBorders>
            <w:shd w:val="clear" w:color="auto" w:fill="auto"/>
            <w:noWrap/>
            <w:vAlign w:val="center"/>
            <w:hideMark/>
          </w:tcPr>
          <w:p w14:paraId="41F2EC35"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28,8</w:t>
            </w:r>
          </w:p>
        </w:tc>
        <w:tc>
          <w:tcPr>
            <w:tcW w:w="1145" w:type="dxa"/>
            <w:tcBorders>
              <w:top w:val="nil"/>
              <w:left w:val="nil"/>
              <w:bottom w:val="single" w:sz="4" w:space="0" w:color="auto"/>
              <w:right w:val="single" w:sz="4" w:space="0" w:color="auto"/>
            </w:tcBorders>
            <w:shd w:val="clear" w:color="auto" w:fill="auto"/>
            <w:noWrap/>
            <w:vAlign w:val="center"/>
            <w:hideMark/>
          </w:tcPr>
          <w:p w14:paraId="1F5C90B0"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6,9</w:t>
            </w:r>
          </w:p>
        </w:tc>
        <w:tc>
          <w:tcPr>
            <w:tcW w:w="794" w:type="dxa"/>
            <w:tcBorders>
              <w:top w:val="nil"/>
              <w:left w:val="nil"/>
              <w:bottom w:val="single" w:sz="4" w:space="0" w:color="auto"/>
              <w:right w:val="single" w:sz="4" w:space="0" w:color="auto"/>
            </w:tcBorders>
            <w:shd w:val="clear" w:color="auto" w:fill="auto"/>
            <w:noWrap/>
            <w:vAlign w:val="center"/>
            <w:hideMark/>
          </w:tcPr>
          <w:p w14:paraId="3D2764D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8,9</w:t>
            </w:r>
          </w:p>
        </w:tc>
        <w:tc>
          <w:tcPr>
            <w:tcW w:w="884" w:type="dxa"/>
            <w:tcBorders>
              <w:top w:val="nil"/>
              <w:left w:val="nil"/>
              <w:bottom w:val="single" w:sz="4" w:space="0" w:color="auto"/>
              <w:right w:val="single" w:sz="4" w:space="0" w:color="auto"/>
            </w:tcBorders>
            <w:shd w:val="clear" w:color="auto" w:fill="auto"/>
            <w:noWrap/>
            <w:vAlign w:val="center"/>
            <w:hideMark/>
          </w:tcPr>
          <w:p w14:paraId="2B5448B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8,6</w:t>
            </w:r>
          </w:p>
        </w:tc>
        <w:tc>
          <w:tcPr>
            <w:tcW w:w="859" w:type="dxa"/>
            <w:tcBorders>
              <w:top w:val="nil"/>
              <w:left w:val="nil"/>
              <w:bottom w:val="single" w:sz="4" w:space="0" w:color="auto"/>
              <w:right w:val="single" w:sz="4" w:space="0" w:color="auto"/>
            </w:tcBorders>
            <w:shd w:val="clear" w:color="auto" w:fill="auto"/>
            <w:noWrap/>
            <w:vAlign w:val="center"/>
            <w:hideMark/>
          </w:tcPr>
          <w:p w14:paraId="5B76B90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1,4</w:t>
            </w:r>
          </w:p>
        </w:tc>
        <w:tc>
          <w:tcPr>
            <w:tcW w:w="1080" w:type="dxa"/>
            <w:tcBorders>
              <w:top w:val="nil"/>
              <w:left w:val="nil"/>
              <w:bottom w:val="single" w:sz="4" w:space="0" w:color="auto"/>
              <w:right w:val="single" w:sz="4" w:space="0" w:color="auto"/>
            </w:tcBorders>
            <w:shd w:val="clear" w:color="auto" w:fill="auto"/>
            <w:noWrap/>
            <w:vAlign w:val="center"/>
            <w:hideMark/>
          </w:tcPr>
          <w:p w14:paraId="74A4F085"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2,2</w:t>
            </w:r>
          </w:p>
        </w:tc>
      </w:tr>
      <w:tr w:rsidR="009F0BC4" w:rsidRPr="00892900" w14:paraId="41D1BBC9"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377CD83"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Činnosti v oblasti nemovitostí a administrativy</w:t>
            </w:r>
          </w:p>
        </w:tc>
        <w:tc>
          <w:tcPr>
            <w:tcW w:w="992" w:type="dxa"/>
            <w:tcBorders>
              <w:top w:val="nil"/>
              <w:left w:val="nil"/>
              <w:bottom w:val="single" w:sz="4" w:space="0" w:color="auto"/>
              <w:right w:val="single" w:sz="4" w:space="0" w:color="auto"/>
            </w:tcBorders>
            <w:shd w:val="clear" w:color="auto" w:fill="auto"/>
            <w:noWrap/>
            <w:vAlign w:val="center"/>
            <w:hideMark/>
          </w:tcPr>
          <w:p w14:paraId="6613E05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9,1</w:t>
            </w:r>
          </w:p>
        </w:tc>
        <w:tc>
          <w:tcPr>
            <w:tcW w:w="990" w:type="dxa"/>
            <w:tcBorders>
              <w:top w:val="nil"/>
              <w:left w:val="nil"/>
              <w:bottom w:val="single" w:sz="4" w:space="0" w:color="auto"/>
              <w:right w:val="single" w:sz="4" w:space="0" w:color="auto"/>
            </w:tcBorders>
            <w:shd w:val="clear" w:color="auto" w:fill="auto"/>
            <w:noWrap/>
            <w:vAlign w:val="center"/>
            <w:hideMark/>
          </w:tcPr>
          <w:p w14:paraId="2392944B"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63,3</w:t>
            </w:r>
          </w:p>
        </w:tc>
        <w:tc>
          <w:tcPr>
            <w:tcW w:w="762" w:type="dxa"/>
            <w:tcBorders>
              <w:top w:val="nil"/>
              <w:left w:val="nil"/>
              <w:bottom w:val="single" w:sz="4" w:space="0" w:color="auto"/>
              <w:right w:val="single" w:sz="4" w:space="0" w:color="auto"/>
            </w:tcBorders>
            <w:shd w:val="clear" w:color="auto" w:fill="auto"/>
            <w:noWrap/>
            <w:vAlign w:val="center"/>
            <w:hideMark/>
          </w:tcPr>
          <w:p w14:paraId="494FD28B"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28,2</w:t>
            </w:r>
          </w:p>
        </w:tc>
        <w:tc>
          <w:tcPr>
            <w:tcW w:w="1145" w:type="dxa"/>
            <w:tcBorders>
              <w:top w:val="nil"/>
              <w:left w:val="nil"/>
              <w:bottom w:val="single" w:sz="4" w:space="0" w:color="auto"/>
              <w:right w:val="single" w:sz="4" w:space="0" w:color="auto"/>
            </w:tcBorders>
            <w:shd w:val="clear" w:color="auto" w:fill="auto"/>
            <w:noWrap/>
            <w:vAlign w:val="center"/>
            <w:hideMark/>
          </w:tcPr>
          <w:p w14:paraId="164CFB6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6,7</w:t>
            </w:r>
          </w:p>
        </w:tc>
        <w:tc>
          <w:tcPr>
            <w:tcW w:w="794" w:type="dxa"/>
            <w:tcBorders>
              <w:top w:val="nil"/>
              <w:left w:val="nil"/>
              <w:bottom w:val="single" w:sz="4" w:space="0" w:color="auto"/>
              <w:right w:val="single" w:sz="4" w:space="0" w:color="auto"/>
            </w:tcBorders>
            <w:shd w:val="clear" w:color="auto" w:fill="auto"/>
            <w:noWrap/>
            <w:vAlign w:val="center"/>
            <w:hideMark/>
          </w:tcPr>
          <w:p w14:paraId="2255A79D"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9,7</w:t>
            </w:r>
          </w:p>
        </w:tc>
        <w:tc>
          <w:tcPr>
            <w:tcW w:w="884" w:type="dxa"/>
            <w:tcBorders>
              <w:top w:val="nil"/>
              <w:left w:val="nil"/>
              <w:bottom w:val="single" w:sz="4" w:space="0" w:color="auto"/>
              <w:right w:val="single" w:sz="4" w:space="0" w:color="auto"/>
            </w:tcBorders>
            <w:shd w:val="clear" w:color="auto" w:fill="auto"/>
            <w:noWrap/>
            <w:vAlign w:val="center"/>
            <w:hideMark/>
          </w:tcPr>
          <w:p w14:paraId="4B0BFBEA"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16,2</w:t>
            </w:r>
          </w:p>
        </w:tc>
        <w:tc>
          <w:tcPr>
            <w:tcW w:w="859" w:type="dxa"/>
            <w:tcBorders>
              <w:top w:val="nil"/>
              <w:left w:val="nil"/>
              <w:bottom w:val="single" w:sz="4" w:space="0" w:color="auto"/>
              <w:right w:val="single" w:sz="4" w:space="0" w:color="auto"/>
            </w:tcBorders>
            <w:shd w:val="clear" w:color="auto" w:fill="auto"/>
            <w:noWrap/>
            <w:vAlign w:val="center"/>
            <w:hideMark/>
          </w:tcPr>
          <w:p w14:paraId="25CC1D98"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6,0</w:t>
            </w:r>
          </w:p>
        </w:tc>
        <w:tc>
          <w:tcPr>
            <w:tcW w:w="1080" w:type="dxa"/>
            <w:tcBorders>
              <w:top w:val="nil"/>
              <w:left w:val="nil"/>
              <w:bottom w:val="single" w:sz="4" w:space="0" w:color="auto"/>
              <w:right w:val="single" w:sz="4" w:space="0" w:color="auto"/>
            </w:tcBorders>
            <w:shd w:val="clear" w:color="auto" w:fill="auto"/>
            <w:noWrap/>
            <w:vAlign w:val="center"/>
            <w:hideMark/>
          </w:tcPr>
          <w:p w14:paraId="2298250A" w14:textId="77777777" w:rsidR="00892900" w:rsidRPr="00106680" w:rsidRDefault="00892900" w:rsidP="00892900">
            <w:pPr>
              <w:spacing w:after="0" w:line="240" w:lineRule="auto"/>
              <w:jc w:val="right"/>
              <w:rPr>
                <w:rFonts w:cs="Arial"/>
                <w:b/>
                <w:color w:val="000000"/>
                <w:sz w:val="16"/>
                <w:szCs w:val="16"/>
              </w:rPr>
            </w:pPr>
            <w:r w:rsidRPr="00106680">
              <w:rPr>
                <w:rFonts w:cs="Arial"/>
                <w:b/>
                <w:color w:val="00B050"/>
                <w:sz w:val="16"/>
                <w:szCs w:val="16"/>
              </w:rPr>
              <w:t>4,6</w:t>
            </w:r>
          </w:p>
        </w:tc>
      </w:tr>
      <w:tr w:rsidR="009F0BC4" w:rsidRPr="00892900" w14:paraId="32680C43"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1DEEFB"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Informační a komunikační činnosti</w:t>
            </w:r>
          </w:p>
        </w:tc>
        <w:tc>
          <w:tcPr>
            <w:tcW w:w="992" w:type="dxa"/>
            <w:tcBorders>
              <w:top w:val="nil"/>
              <w:left w:val="nil"/>
              <w:bottom w:val="single" w:sz="4" w:space="0" w:color="auto"/>
              <w:right w:val="single" w:sz="4" w:space="0" w:color="auto"/>
            </w:tcBorders>
            <w:shd w:val="clear" w:color="auto" w:fill="auto"/>
            <w:noWrap/>
            <w:vAlign w:val="center"/>
            <w:hideMark/>
          </w:tcPr>
          <w:p w14:paraId="6565C84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11,6</w:t>
            </w:r>
          </w:p>
        </w:tc>
        <w:tc>
          <w:tcPr>
            <w:tcW w:w="990" w:type="dxa"/>
            <w:tcBorders>
              <w:top w:val="nil"/>
              <w:left w:val="nil"/>
              <w:bottom w:val="single" w:sz="4" w:space="0" w:color="auto"/>
              <w:right w:val="single" w:sz="4" w:space="0" w:color="auto"/>
            </w:tcBorders>
            <w:shd w:val="clear" w:color="auto" w:fill="auto"/>
            <w:noWrap/>
            <w:vAlign w:val="center"/>
            <w:hideMark/>
          </w:tcPr>
          <w:p w14:paraId="0CC2503A"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34,8</w:t>
            </w:r>
          </w:p>
        </w:tc>
        <w:tc>
          <w:tcPr>
            <w:tcW w:w="762" w:type="dxa"/>
            <w:tcBorders>
              <w:top w:val="nil"/>
              <w:left w:val="nil"/>
              <w:bottom w:val="single" w:sz="4" w:space="0" w:color="auto"/>
              <w:right w:val="single" w:sz="4" w:space="0" w:color="auto"/>
            </w:tcBorders>
            <w:shd w:val="clear" w:color="auto" w:fill="auto"/>
            <w:noWrap/>
            <w:vAlign w:val="center"/>
            <w:hideMark/>
          </w:tcPr>
          <w:p w14:paraId="158C662A"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38,3</w:t>
            </w:r>
          </w:p>
        </w:tc>
        <w:tc>
          <w:tcPr>
            <w:tcW w:w="1145" w:type="dxa"/>
            <w:tcBorders>
              <w:top w:val="nil"/>
              <w:left w:val="nil"/>
              <w:bottom w:val="single" w:sz="4" w:space="0" w:color="auto"/>
              <w:right w:val="single" w:sz="4" w:space="0" w:color="auto"/>
            </w:tcBorders>
            <w:shd w:val="clear" w:color="auto" w:fill="auto"/>
            <w:noWrap/>
            <w:vAlign w:val="center"/>
            <w:hideMark/>
          </w:tcPr>
          <w:p w14:paraId="4638095D"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46,1</w:t>
            </w:r>
          </w:p>
        </w:tc>
        <w:tc>
          <w:tcPr>
            <w:tcW w:w="794" w:type="dxa"/>
            <w:tcBorders>
              <w:top w:val="nil"/>
              <w:left w:val="nil"/>
              <w:bottom w:val="single" w:sz="4" w:space="0" w:color="auto"/>
              <w:right w:val="single" w:sz="4" w:space="0" w:color="auto"/>
            </w:tcBorders>
            <w:shd w:val="clear" w:color="auto" w:fill="auto"/>
            <w:noWrap/>
            <w:vAlign w:val="center"/>
            <w:hideMark/>
          </w:tcPr>
          <w:p w14:paraId="6ECBFFC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7,6</w:t>
            </w:r>
          </w:p>
        </w:tc>
        <w:tc>
          <w:tcPr>
            <w:tcW w:w="884" w:type="dxa"/>
            <w:tcBorders>
              <w:top w:val="nil"/>
              <w:left w:val="nil"/>
              <w:bottom w:val="single" w:sz="4" w:space="0" w:color="auto"/>
              <w:right w:val="single" w:sz="4" w:space="0" w:color="auto"/>
            </w:tcBorders>
            <w:shd w:val="clear" w:color="auto" w:fill="auto"/>
            <w:noWrap/>
            <w:vAlign w:val="center"/>
            <w:hideMark/>
          </w:tcPr>
          <w:p w14:paraId="2320BB68"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3,7</w:t>
            </w:r>
          </w:p>
        </w:tc>
        <w:tc>
          <w:tcPr>
            <w:tcW w:w="859" w:type="dxa"/>
            <w:tcBorders>
              <w:top w:val="nil"/>
              <w:left w:val="nil"/>
              <w:bottom w:val="single" w:sz="4" w:space="0" w:color="auto"/>
              <w:right w:val="single" w:sz="4" w:space="0" w:color="auto"/>
            </w:tcBorders>
            <w:shd w:val="clear" w:color="auto" w:fill="auto"/>
            <w:noWrap/>
            <w:vAlign w:val="center"/>
            <w:hideMark/>
          </w:tcPr>
          <w:p w14:paraId="39C2422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hideMark/>
          </w:tcPr>
          <w:p w14:paraId="6C707C93"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0,4</w:t>
            </w:r>
          </w:p>
        </w:tc>
      </w:tr>
      <w:tr w:rsidR="009F0BC4" w:rsidRPr="00892900" w14:paraId="6730F019"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CAB3FBA"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Profesní, vědecké a technické činnosti</w:t>
            </w:r>
          </w:p>
        </w:tc>
        <w:tc>
          <w:tcPr>
            <w:tcW w:w="992" w:type="dxa"/>
            <w:tcBorders>
              <w:top w:val="nil"/>
              <w:left w:val="nil"/>
              <w:bottom w:val="single" w:sz="4" w:space="0" w:color="auto"/>
              <w:right w:val="single" w:sz="4" w:space="0" w:color="auto"/>
            </w:tcBorders>
            <w:shd w:val="clear" w:color="auto" w:fill="auto"/>
            <w:noWrap/>
            <w:vAlign w:val="center"/>
            <w:hideMark/>
          </w:tcPr>
          <w:p w14:paraId="30B8B729"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36,7</w:t>
            </w:r>
          </w:p>
        </w:tc>
        <w:tc>
          <w:tcPr>
            <w:tcW w:w="990" w:type="dxa"/>
            <w:tcBorders>
              <w:top w:val="nil"/>
              <w:left w:val="nil"/>
              <w:bottom w:val="single" w:sz="4" w:space="0" w:color="auto"/>
              <w:right w:val="single" w:sz="4" w:space="0" w:color="auto"/>
            </w:tcBorders>
            <w:shd w:val="clear" w:color="auto" w:fill="auto"/>
            <w:noWrap/>
            <w:vAlign w:val="center"/>
            <w:hideMark/>
          </w:tcPr>
          <w:p w14:paraId="39576BA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54,8</w:t>
            </w:r>
          </w:p>
        </w:tc>
        <w:tc>
          <w:tcPr>
            <w:tcW w:w="762" w:type="dxa"/>
            <w:tcBorders>
              <w:top w:val="nil"/>
              <w:left w:val="nil"/>
              <w:bottom w:val="single" w:sz="4" w:space="0" w:color="auto"/>
              <w:right w:val="single" w:sz="4" w:space="0" w:color="auto"/>
            </w:tcBorders>
            <w:shd w:val="clear" w:color="auto" w:fill="auto"/>
            <w:noWrap/>
            <w:vAlign w:val="center"/>
            <w:hideMark/>
          </w:tcPr>
          <w:p w14:paraId="69C98B48"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28,4</w:t>
            </w:r>
          </w:p>
        </w:tc>
        <w:tc>
          <w:tcPr>
            <w:tcW w:w="1145" w:type="dxa"/>
            <w:tcBorders>
              <w:top w:val="nil"/>
              <w:left w:val="nil"/>
              <w:bottom w:val="single" w:sz="4" w:space="0" w:color="auto"/>
              <w:right w:val="single" w:sz="4" w:space="0" w:color="auto"/>
            </w:tcBorders>
            <w:shd w:val="clear" w:color="auto" w:fill="auto"/>
            <w:noWrap/>
            <w:vAlign w:val="center"/>
            <w:hideMark/>
          </w:tcPr>
          <w:p w14:paraId="73F12A0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13,2</w:t>
            </w:r>
          </w:p>
        </w:tc>
        <w:tc>
          <w:tcPr>
            <w:tcW w:w="794" w:type="dxa"/>
            <w:tcBorders>
              <w:top w:val="nil"/>
              <w:left w:val="nil"/>
              <w:bottom w:val="single" w:sz="4" w:space="0" w:color="auto"/>
              <w:right w:val="single" w:sz="4" w:space="0" w:color="auto"/>
            </w:tcBorders>
            <w:shd w:val="clear" w:color="auto" w:fill="auto"/>
            <w:noWrap/>
            <w:vAlign w:val="center"/>
            <w:hideMark/>
          </w:tcPr>
          <w:p w14:paraId="05E69628"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1,0</w:t>
            </w:r>
          </w:p>
        </w:tc>
        <w:tc>
          <w:tcPr>
            <w:tcW w:w="884" w:type="dxa"/>
            <w:tcBorders>
              <w:top w:val="nil"/>
              <w:left w:val="nil"/>
              <w:bottom w:val="single" w:sz="4" w:space="0" w:color="auto"/>
              <w:right w:val="single" w:sz="4" w:space="0" w:color="auto"/>
            </w:tcBorders>
            <w:shd w:val="clear" w:color="auto" w:fill="auto"/>
            <w:noWrap/>
            <w:vAlign w:val="center"/>
            <w:hideMark/>
          </w:tcPr>
          <w:p w14:paraId="7A1B2BCF"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3,0</w:t>
            </w:r>
          </w:p>
        </w:tc>
        <w:tc>
          <w:tcPr>
            <w:tcW w:w="859" w:type="dxa"/>
            <w:tcBorders>
              <w:top w:val="nil"/>
              <w:left w:val="nil"/>
              <w:bottom w:val="single" w:sz="4" w:space="0" w:color="auto"/>
              <w:right w:val="single" w:sz="4" w:space="0" w:color="auto"/>
            </w:tcBorders>
            <w:shd w:val="clear" w:color="auto" w:fill="auto"/>
            <w:noWrap/>
            <w:vAlign w:val="center"/>
            <w:hideMark/>
          </w:tcPr>
          <w:p w14:paraId="7F6C95A3"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center"/>
            <w:hideMark/>
          </w:tcPr>
          <w:p w14:paraId="03B58EB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0,0</w:t>
            </w:r>
          </w:p>
        </w:tc>
      </w:tr>
      <w:tr w:rsidR="009F0BC4" w:rsidRPr="00892900" w14:paraId="2AE44487"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77E551"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Stavebnictví</w:t>
            </w:r>
          </w:p>
        </w:tc>
        <w:tc>
          <w:tcPr>
            <w:tcW w:w="992" w:type="dxa"/>
            <w:tcBorders>
              <w:top w:val="nil"/>
              <w:left w:val="nil"/>
              <w:bottom w:val="single" w:sz="4" w:space="0" w:color="auto"/>
              <w:right w:val="single" w:sz="4" w:space="0" w:color="auto"/>
            </w:tcBorders>
            <w:shd w:val="clear" w:color="auto" w:fill="auto"/>
            <w:noWrap/>
            <w:vAlign w:val="center"/>
            <w:hideMark/>
          </w:tcPr>
          <w:p w14:paraId="21A54665"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39,3</w:t>
            </w:r>
          </w:p>
        </w:tc>
        <w:tc>
          <w:tcPr>
            <w:tcW w:w="990" w:type="dxa"/>
            <w:tcBorders>
              <w:top w:val="nil"/>
              <w:left w:val="nil"/>
              <w:bottom w:val="single" w:sz="4" w:space="0" w:color="auto"/>
              <w:right w:val="single" w:sz="4" w:space="0" w:color="auto"/>
            </w:tcBorders>
            <w:shd w:val="clear" w:color="auto" w:fill="auto"/>
            <w:noWrap/>
            <w:vAlign w:val="center"/>
            <w:hideMark/>
          </w:tcPr>
          <w:p w14:paraId="5C8A4EBB"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61,0</w:t>
            </w:r>
          </w:p>
        </w:tc>
        <w:tc>
          <w:tcPr>
            <w:tcW w:w="762" w:type="dxa"/>
            <w:tcBorders>
              <w:top w:val="nil"/>
              <w:left w:val="nil"/>
              <w:bottom w:val="single" w:sz="4" w:space="0" w:color="auto"/>
              <w:right w:val="single" w:sz="4" w:space="0" w:color="auto"/>
            </w:tcBorders>
            <w:shd w:val="clear" w:color="auto" w:fill="auto"/>
            <w:noWrap/>
            <w:vAlign w:val="center"/>
            <w:hideMark/>
          </w:tcPr>
          <w:p w14:paraId="40FB450F"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8,6</w:t>
            </w:r>
          </w:p>
        </w:tc>
        <w:tc>
          <w:tcPr>
            <w:tcW w:w="1145" w:type="dxa"/>
            <w:tcBorders>
              <w:top w:val="nil"/>
              <w:left w:val="nil"/>
              <w:bottom w:val="single" w:sz="4" w:space="0" w:color="auto"/>
              <w:right w:val="single" w:sz="4" w:space="0" w:color="auto"/>
            </w:tcBorders>
            <w:shd w:val="clear" w:color="auto" w:fill="auto"/>
            <w:noWrap/>
            <w:vAlign w:val="center"/>
            <w:hideMark/>
          </w:tcPr>
          <w:p w14:paraId="0295243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7,2</w:t>
            </w:r>
          </w:p>
        </w:tc>
        <w:tc>
          <w:tcPr>
            <w:tcW w:w="794" w:type="dxa"/>
            <w:tcBorders>
              <w:top w:val="nil"/>
              <w:left w:val="nil"/>
              <w:bottom w:val="single" w:sz="4" w:space="0" w:color="auto"/>
              <w:right w:val="single" w:sz="4" w:space="0" w:color="auto"/>
            </w:tcBorders>
            <w:shd w:val="clear" w:color="auto" w:fill="auto"/>
            <w:noWrap/>
            <w:vAlign w:val="center"/>
            <w:hideMark/>
          </w:tcPr>
          <w:p w14:paraId="2E9B5508"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8,2</w:t>
            </w:r>
          </w:p>
        </w:tc>
        <w:tc>
          <w:tcPr>
            <w:tcW w:w="884" w:type="dxa"/>
            <w:tcBorders>
              <w:top w:val="nil"/>
              <w:left w:val="nil"/>
              <w:bottom w:val="single" w:sz="4" w:space="0" w:color="auto"/>
              <w:right w:val="single" w:sz="4" w:space="0" w:color="auto"/>
            </w:tcBorders>
            <w:shd w:val="clear" w:color="auto" w:fill="auto"/>
            <w:noWrap/>
            <w:vAlign w:val="center"/>
            <w:hideMark/>
          </w:tcPr>
          <w:p w14:paraId="1819E1D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9,1</w:t>
            </w:r>
          </w:p>
        </w:tc>
        <w:tc>
          <w:tcPr>
            <w:tcW w:w="859" w:type="dxa"/>
            <w:tcBorders>
              <w:top w:val="nil"/>
              <w:left w:val="nil"/>
              <w:bottom w:val="single" w:sz="4" w:space="0" w:color="auto"/>
              <w:right w:val="single" w:sz="4" w:space="0" w:color="auto"/>
            </w:tcBorders>
            <w:shd w:val="clear" w:color="auto" w:fill="auto"/>
            <w:noWrap/>
            <w:vAlign w:val="center"/>
            <w:hideMark/>
          </w:tcPr>
          <w:p w14:paraId="33F995A0"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2,9</w:t>
            </w:r>
          </w:p>
        </w:tc>
        <w:tc>
          <w:tcPr>
            <w:tcW w:w="1080" w:type="dxa"/>
            <w:tcBorders>
              <w:top w:val="nil"/>
              <w:left w:val="nil"/>
              <w:bottom w:val="single" w:sz="4" w:space="0" w:color="auto"/>
              <w:right w:val="single" w:sz="4" w:space="0" w:color="auto"/>
            </w:tcBorders>
            <w:shd w:val="clear" w:color="auto" w:fill="auto"/>
            <w:noWrap/>
            <w:vAlign w:val="center"/>
            <w:hideMark/>
          </w:tcPr>
          <w:p w14:paraId="08EDEE86"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0,0</w:t>
            </w:r>
          </w:p>
        </w:tc>
      </w:tr>
      <w:tr w:rsidR="009F0BC4" w:rsidRPr="00892900" w14:paraId="1F0D4EC4"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225AB37"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Peněžnictví a pojišťovnictví</w:t>
            </w:r>
          </w:p>
        </w:tc>
        <w:tc>
          <w:tcPr>
            <w:tcW w:w="992" w:type="dxa"/>
            <w:tcBorders>
              <w:top w:val="nil"/>
              <w:left w:val="nil"/>
              <w:bottom w:val="single" w:sz="4" w:space="0" w:color="auto"/>
              <w:right w:val="single" w:sz="4" w:space="0" w:color="auto"/>
            </w:tcBorders>
            <w:shd w:val="clear" w:color="auto" w:fill="auto"/>
            <w:noWrap/>
            <w:vAlign w:val="center"/>
            <w:hideMark/>
          </w:tcPr>
          <w:p w14:paraId="4A260AFC"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4,4</w:t>
            </w:r>
          </w:p>
        </w:tc>
        <w:tc>
          <w:tcPr>
            <w:tcW w:w="990" w:type="dxa"/>
            <w:tcBorders>
              <w:top w:val="nil"/>
              <w:left w:val="nil"/>
              <w:bottom w:val="single" w:sz="4" w:space="0" w:color="auto"/>
              <w:right w:val="single" w:sz="4" w:space="0" w:color="auto"/>
            </w:tcBorders>
            <w:shd w:val="clear" w:color="auto" w:fill="auto"/>
            <w:noWrap/>
            <w:vAlign w:val="center"/>
            <w:hideMark/>
          </w:tcPr>
          <w:p w14:paraId="3080539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55,4</w:t>
            </w:r>
          </w:p>
        </w:tc>
        <w:tc>
          <w:tcPr>
            <w:tcW w:w="762" w:type="dxa"/>
            <w:tcBorders>
              <w:top w:val="nil"/>
              <w:left w:val="nil"/>
              <w:bottom w:val="single" w:sz="4" w:space="0" w:color="auto"/>
              <w:right w:val="single" w:sz="4" w:space="0" w:color="auto"/>
            </w:tcBorders>
            <w:shd w:val="clear" w:color="auto" w:fill="auto"/>
            <w:noWrap/>
            <w:vAlign w:val="center"/>
            <w:hideMark/>
          </w:tcPr>
          <w:p w14:paraId="4614A7B8" w14:textId="77777777" w:rsidR="00892900" w:rsidRPr="005F1DD4" w:rsidRDefault="00892900" w:rsidP="00892900">
            <w:pPr>
              <w:spacing w:after="0" w:line="240" w:lineRule="auto"/>
              <w:jc w:val="right"/>
              <w:rPr>
                <w:rFonts w:cs="Arial"/>
                <w:b/>
                <w:bCs/>
                <w:color w:val="00B050"/>
                <w:sz w:val="16"/>
                <w:szCs w:val="16"/>
              </w:rPr>
            </w:pPr>
            <w:r w:rsidRPr="005F1DD4">
              <w:rPr>
                <w:rFonts w:cs="Arial"/>
                <w:b/>
                <w:bCs/>
                <w:color w:val="00B050"/>
                <w:sz w:val="16"/>
                <w:szCs w:val="16"/>
              </w:rPr>
              <w:t>35,4</w:t>
            </w:r>
          </w:p>
        </w:tc>
        <w:tc>
          <w:tcPr>
            <w:tcW w:w="1145" w:type="dxa"/>
            <w:tcBorders>
              <w:top w:val="nil"/>
              <w:left w:val="nil"/>
              <w:bottom w:val="single" w:sz="4" w:space="0" w:color="auto"/>
              <w:right w:val="single" w:sz="4" w:space="0" w:color="auto"/>
            </w:tcBorders>
            <w:shd w:val="clear" w:color="auto" w:fill="auto"/>
            <w:noWrap/>
            <w:vAlign w:val="center"/>
            <w:hideMark/>
          </w:tcPr>
          <w:p w14:paraId="2173171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10,1</w:t>
            </w:r>
          </w:p>
        </w:tc>
        <w:tc>
          <w:tcPr>
            <w:tcW w:w="794" w:type="dxa"/>
            <w:tcBorders>
              <w:top w:val="nil"/>
              <w:left w:val="nil"/>
              <w:bottom w:val="single" w:sz="4" w:space="0" w:color="auto"/>
              <w:right w:val="single" w:sz="4" w:space="0" w:color="auto"/>
            </w:tcBorders>
            <w:shd w:val="clear" w:color="auto" w:fill="auto"/>
            <w:noWrap/>
            <w:vAlign w:val="center"/>
            <w:hideMark/>
          </w:tcPr>
          <w:p w14:paraId="57496748"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18,2</w:t>
            </w:r>
          </w:p>
        </w:tc>
        <w:tc>
          <w:tcPr>
            <w:tcW w:w="884" w:type="dxa"/>
            <w:tcBorders>
              <w:top w:val="nil"/>
              <w:left w:val="nil"/>
              <w:bottom w:val="single" w:sz="4" w:space="0" w:color="auto"/>
              <w:right w:val="single" w:sz="4" w:space="0" w:color="auto"/>
            </w:tcBorders>
            <w:shd w:val="clear" w:color="auto" w:fill="auto"/>
            <w:noWrap/>
            <w:vAlign w:val="center"/>
            <w:hideMark/>
          </w:tcPr>
          <w:p w14:paraId="360C0927"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2,7</w:t>
            </w:r>
          </w:p>
        </w:tc>
        <w:tc>
          <w:tcPr>
            <w:tcW w:w="859" w:type="dxa"/>
            <w:tcBorders>
              <w:top w:val="nil"/>
              <w:left w:val="nil"/>
              <w:bottom w:val="single" w:sz="4" w:space="0" w:color="auto"/>
              <w:right w:val="single" w:sz="4" w:space="0" w:color="auto"/>
            </w:tcBorders>
            <w:shd w:val="clear" w:color="auto" w:fill="auto"/>
            <w:noWrap/>
            <w:vAlign w:val="center"/>
            <w:hideMark/>
          </w:tcPr>
          <w:p w14:paraId="06C7E866"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6,0</w:t>
            </w:r>
          </w:p>
        </w:tc>
        <w:tc>
          <w:tcPr>
            <w:tcW w:w="1080" w:type="dxa"/>
            <w:tcBorders>
              <w:top w:val="nil"/>
              <w:left w:val="nil"/>
              <w:bottom w:val="single" w:sz="4" w:space="0" w:color="auto"/>
              <w:right w:val="single" w:sz="4" w:space="0" w:color="auto"/>
            </w:tcBorders>
            <w:shd w:val="clear" w:color="auto" w:fill="auto"/>
            <w:noWrap/>
            <w:vAlign w:val="center"/>
            <w:hideMark/>
          </w:tcPr>
          <w:p w14:paraId="3E2B529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1,9</w:t>
            </w:r>
          </w:p>
        </w:tc>
      </w:tr>
      <w:tr w:rsidR="009F0BC4" w:rsidRPr="00892900" w14:paraId="0D70E207"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C938719"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Doprava a skladování</w:t>
            </w:r>
          </w:p>
        </w:tc>
        <w:tc>
          <w:tcPr>
            <w:tcW w:w="992" w:type="dxa"/>
            <w:tcBorders>
              <w:top w:val="nil"/>
              <w:left w:val="nil"/>
              <w:bottom w:val="single" w:sz="4" w:space="0" w:color="auto"/>
              <w:right w:val="single" w:sz="4" w:space="0" w:color="auto"/>
            </w:tcBorders>
            <w:shd w:val="clear" w:color="auto" w:fill="auto"/>
            <w:noWrap/>
            <w:vAlign w:val="center"/>
            <w:hideMark/>
          </w:tcPr>
          <w:p w14:paraId="22B2B861"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13,0</w:t>
            </w:r>
          </w:p>
        </w:tc>
        <w:tc>
          <w:tcPr>
            <w:tcW w:w="990" w:type="dxa"/>
            <w:tcBorders>
              <w:top w:val="nil"/>
              <w:left w:val="nil"/>
              <w:bottom w:val="single" w:sz="4" w:space="0" w:color="auto"/>
              <w:right w:val="single" w:sz="4" w:space="0" w:color="auto"/>
            </w:tcBorders>
            <w:shd w:val="clear" w:color="auto" w:fill="auto"/>
            <w:noWrap/>
            <w:vAlign w:val="center"/>
            <w:hideMark/>
          </w:tcPr>
          <w:p w14:paraId="3D58231A"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62,2</w:t>
            </w:r>
          </w:p>
        </w:tc>
        <w:tc>
          <w:tcPr>
            <w:tcW w:w="762" w:type="dxa"/>
            <w:tcBorders>
              <w:top w:val="nil"/>
              <w:left w:val="nil"/>
              <w:bottom w:val="single" w:sz="4" w:space="0" w:color="auto"/>
              <w:right w:val="single" w:sz="4" w:space="0" w:color="auto"/>
            </w:tcBorders>
            <w:shd w:val="clear" w:color="auto" w:fill="auto"/>
            <w:noWrap/>
            <w:vAlign w:val="center"/>
            <w:hideMark/>
          </w:tcPr>
          <w:p w14:paraId="7947695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23,2</w:t>
            </w:r>
          </w:p>
        </w:tc>
        <w:tc>
          <w:tcPr>
            <w:tcW w:w="1145" w:type="dxa"/>
            <w:tcBorders>
              <w:top w:val="nil"/>
              <w:left w:val="nil"/>
              <w:bottom w:val="single" w:sz="4" w:space="0" w:color="auto"/>
              <w:right w:val="single" w:sz="4" w:space="0" w:color="auto"/>
            </w:tcBorders>
            <w:shd w:val="clear" w:color="auto" w:fill="auto"/>
            <w:noWrap/>
            <w:vAlign w:val="center"/>
            <w:hideMark/>
          </w:tcPr>
          <w:p w14:paraId="43A05691"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3,0</w:t>
            </w:r>
          </w:p>
        </w:tc>
        <w:tc>
          <w:tcPr>
            <w:tcW w:w="794" w:type="dxa"/>
            <w:tcBorders>
              <w:top w:val="nil"/>
              <w:left w:val="nil"/>
              <w:bottom w:val="single" w:sz="4" w:space="0" w:color="auto"/>
              <w:right w:val="single" w:sz="4" w:space="0" w:color="auto"/>
            </w:tcBorders>
            <w:shd w:val="clear" w:color="auto" w:fill="auto"/>
            <w:noWrap/>
            <w:vAlign w:val="center"/>
            <w:hideMark/>
          </w:tcPr>
          <w:p w14:paraId="7925C22D"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12,6</w:t>
            </w:r>
          </w:p>
        </w:tc>
        <w:tc>
          <w:tcPr>
            <w:tcW w:w="884" w:type="dxa"/>
            <w:tcBorders>
              <w:top w:val="nil"/>
              <w:left w:val="nil"/>
              <w:bottom w:val="single" w:sz="4" w:space="0" w:color="auto"/>
              <w:right w:val="single" w:sz="4" w:space="0" w:color="auto"/>
            </w:tcBorders>
            <w:shd w:val="clear" w:color="auto" w:fill="auto"/>
            <w:noWrap/>
            <w:vAlign w:val="center"/>
            <w:hideMark/>
          </w:tcPr>
          <w:p w14:paraId="38973FD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9,2</w:t>
            </w:r>
          </w:p>
        </w:tc>
        <w:tc>
          <w:tcPr>
            <w:tcW w:w="859" w:type="dxa"/>
            <w:tcBorders>
              <w:top w:val="nil"/>
              <w:left w:val="nil"/>
              <w:bottom w:val="single" w:sz="4" w:space="0" w:color="auto"/>
              <w:right w:val="single" w:sz="4" w:space="0" w:color="auto"/>
            </w:tcBorders>
            <w:shd w:val="clear" w:color="auto" w:fill="auto"/>
            <w:noWrap/>
            <w:vAlign w:val="center"/>
            <w:hideMark/>
          </w:tcPr>
          <w:p w14:paraId="1D781E5A"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0,0</w:t>
            </w:r>
          </w:p>
        </w:tc>
        <w:tc>
          <w:tcPr>
            <w:tcW w:w="1080" w:type="dxa"/>
            <w:tcBorders>
              <w:top w:val="nil"/>
              <w:left w:val="nil"/>
              <w:bottom w:val="single" w:sz="4" w:space="0" w:color="auto"/>
              <w:right w:val="single" w:sz="4" w:space="0" w:color="auto"/>
            </w:tcBorders>
            <w:shd w:val="clear" w:color="auto" w:fill="auto"/>
            <w:noWrap/>
            <w:vAlign w:val="center"/>
            <w:hideMark/>
          </w:tcPr>
          <w:p w14:paraId="24312BF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1,3</w:t>
            </w:r>
          </w:p>
        </w:tc>
      </w:tr>
      <w:tr w:rsidR="009F0BC4" w:rsidRPr="00892900" w14:paraId="157A559F"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3E9BCF9B" w14:textId="7233177C" w:rsidR="00892900" w:rsidRPr="000A025C" w:rsidRDefault="00B84CA7" w:rsidP="00892900">
            <w:pPr>
              <w:spacing w:after="0" w:line="240" w:lineRule="auto"/>
              <w:rPr>
                <w:rFonts w:cs="Arial"/>
                <w:color w:val="000000"/>
                <w:sz w:val="16"/>
                <w:szCs w:val="16"/>
              </w:rPr>
            </w:pPr>
            <w:r w:rsidRPr="00B84CA7">
              <w:rPr>
                <w:rFonts w:cs="Arial"/>
                <w:color w:val="000000"/>
                <w:sz w:val="16"/>
                <w:szCs w:val="16"/>
              </w:rPr>
              <w:t>Obchod; opravy motorových vozidel</w:t>
            </w:r>
          </w:p>
        </w:tc>
        <w:tc>
          <w:tcPr>
            <w:tcW w:w="992" w:type="dxa"/>
            <w:tcBorders>
              <w:top w:val="nil"/>
              <w:left w:val="nil"/>
              <w:bottom w:val="single" w:sz="4" w:space="0" w:color="auto"/>
              <w:right w:val="single" w:sz="4" w:space="0" w:color="auto"/>
            </w:tcBorders>
            <w:shd w:val="clear" w:color="auto" w:fill="auto"/>
            <w:noWrap/>
            <w:vAlign w:val="center"/>
            <w:hideMark/>
          </w:tcPr>
          <w:p w14:paraId="7A783576"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14,8</w:t>
            </w:r>
          </w:p>
        </w:tc>
        <w:tc>
          <w:tcPr>
            <w:tcW w:w="990" w:type="dxa"/>
            <w:tcBorders>
              <w:top w:val="nil"/>
              <w:left w:val="nil"/>
              <w:bottom w:val="single" w:sz="4" w:space="0" w:color="auto"/>
              <w:right w:val="single" w:sz="4" w:space="0" w:color="auto"/>
            </w:tcBorders>
            <w:shd w:val="clear" w:color="auto" w:fill="auto"/>
            <w:noWrap/>
            <w:vAlign w:val="center"/>
            <w:hideMark/>
          </w:tcPr>
          <w:p w14:paraId="70A7ECFF"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53,5</w:t>
            </w:r>
          </w:p>
        </w:tc>
        <w:tc>
          <w:tcPr>
            <w:tcW w:w="762" w:type="dxa"/>
            <w:tcBorders>
              <w:top w:val="nil"/>
              <w:left w:val="nil"/>
              <w:bottom w:val="single" w:sz="4" w:space="0" w:color="auto"/>
              <w:right w:val="single" w:sz="4" w:space="0" w:color="auto"/>
            </w:tcBorders>
            <w:shd w:val="clear" w:color="auto" w:fill="auto"/>
            <w:noWrap/>
            <w:vAlign w:val="center"/>
            <w:hideMark/>
          </w:tcPr>
          <w:p w14:paraId="753BD9A9"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21,9</w:t>
            </w:r>
          </w:p>
        </w:tc>
        <w:tc>
          <w:tcPr>
            <w:tcW w:w="1145" w:type="dxa"/>
            <w:tcBorders>
              <w:top w:val="nil"/>
              <w:left w:val="nil"/>
              <w:bottom w:val="single" w:sz="4" w:space="0" w:color="auto"/>
              <w:right w:val="single" w:sz="4" w:space="0" w:color="auto"/>
            </w:tcBorders>
            <w:shd w:val="clear" w:color="auto" w:fill="auto"/>
            <w:noWrap/>
            <w:vAlign w:val="center"/>
            <w:hideMark/>
          </w:tcPr>
          <w:p w14:paraId="141A1F4F"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4,8</w:t>
            </w:r>
          </w:p>
        </w:tc>
        <w:tc>
          <w:tcPr>
            <w:tcW w:w="794" w:type="dxa"/>
            <w:tcBorders>
              <w:top w:val="nil"/>
              <w:left w:val="nil"/>
              <w:bottom w:val="single" w:sz="4" w:space="0" w:color="auto"/>
              <w:right w:val="single" w:sz="4" w:space="0" w:color="auto"/>
            </w:tcBorders>
            <w:shd w:val="clear" w:color="auto" w:fill="auto"/>
            <w:noWrap/>
            <w:vAlign w:val="center"/>
            <w:hideMark/>
          </w:tcPr>
          <w:p w14:paraId="492FD75D"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12,2</w:t>
            </w:r>
          </w:p>
        </w:tc>
        <w:tc>
          <w:tcPr>
            <w:tcW w:w="884" w:type="dxa"/>
            <w:tcBorders>
              <w:top w:val="nil"/>
              <w:left w:val="nil"/>
              <w:bottom w:val="single" w:sz="4" w:space="0" w:color="auto"/>
              <w:right w:val="single" w:sz="4" w:space="0" w:color="auto"/>
            </w:tcBorders>
            <w:shd w:val="clear" w:color="auto" w:fill="auto"/>
            <w:noWrap/>
            <w:vAlign w:val="center"/>
            <w:hideMark/>
          </w:tcPr>
          <w:p w14:paraId="4B65F76E"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8,6</w:t>
            </w:r>
          </w:p>
        </w:tc>
        <w:tc>
          <w:tcPr>
            <w:tcW w:w="859" w:type="dxa"/>
            <w:tcBorders>
              <w:top w:val="nil"/>
              <w:left w:val="nil"/>
              <w:bottom w:val="single" w:sz="4" w:space="0" w:color="auto"/>
              <w:right w:val="single" w:sz="4" w:space="0" w:color="auto"/>
            </w:tcBorders>
            <w:shd w:val="clear" w:color="auto" w:fill="auto"/>
            <w:noWrap/>
            <w:vAlign w:val="center"/>
            <w:hideMark/>
          </w:tcPr>
          <w:p w14:paraId="21D21F57"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hideMark/>
          </w:tcPr>
          <w:p w14:paraId="1509010F"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2,4</w:t>
            </w:r>
          </w:p>
        </w:tc>
      </w:tr>
      <w:tr w:rsidR="009F0BC4" w:rsidRPr="00892900" w14:paraId="3D26A4C3"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1337EF2"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Kulturní, zábavní a rekreační činnosti</w:t>
            </w:r>
          </w:p>
        </w:tc>
        <w:tc>
          <w:tcPr>
            <w:tcW w:w="992" w:type="dxa"/>
            <w:tcBorders>
              <w:top w:val="nil"/>
              <w:left w:val="nil"/>
              <w:bottom w:val="single" w:sz="4" w:space="0" w:color="auto"/>
              <w:right w:val="single" w:sz="4" w:space="0" w:color="auto"/>
            </w:tcBorders>
            <w:shd w:val="clear" w:color="auto" w:fill="auto"/>
            <w:noWrap/>
            <w:vAlign w:val="center"/>
            <w:hideMark/>
          </w:tcPr>
          <w:p w14:paraId="7F99B6A5"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9,9</w:t>
            </w:r>
          </w:p>
        </w:tc>
        <w:tc>
          <w:tcPr>
            <w:tcW w:w="990" w:type="dxa"/>
            <w:tcBorders>
              <w:top w:val="nil"/>
              <w:left w:val="nil"/>
              <w:bottom w:val="single" w:sz="4" w:space="0" w:color="auto"/>
              <w:right w:val="single" w:sz="4" w:space="0" w:color="auto"/>
            </w:tcBorders>
            <w:shd w:val="clear" w:color="auto" w:fill="auto"/>
            <w:noWrap/>
            <w:vAlign w:val="center"/>
            <w:hideMark/>
          </w:tcPr>
          <w:p w14:paraId="4700C2A4"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46,1</w:t>
            </w:r>
          </w:p>
        </w:tc>
        <w:tc>
          <w:tcPr>
            <w:tcW w:w="762" w:type="dxa"/>
            <w:tcBorders>
              <w:top w:val="nil"/>
              <w:left w:val="nil"/>
              <w:bottom w:val="single" w:sz="4" w:space="0" w:color="auto"/>
              <w:right w:val="single" w:sz="4" w:space="0" w:color="auto"/>
            </w:tcBorders>
            <w:shd w:val="clear" w:color="auto" w:fill="auto"/>
            <w:noWrap/>
            <w:vAlign w:val="center"/>
            <w:hideMark/>
          </w:tcPr>
          <w:p w14:paraId="0337DA3C"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22,5</w:t>
            </w:r>
          </w:p>
        </w:tc>
        <w:tc>
          <w:tcPr>
            <w:tcW w:w="1145" w:type="dxa"/>
            <w:tcBorders>
              <w:top w:val="nil"/>
              <w:left w:val="nil"/>
              <w:bottom w:val="single" w:sz="4" w:space="0" w:color="auto"/>
              <w:right w:val="single" w:sz="4" w:space="0" w:color="auto"/>
            </w:tcBorders>
            <w:shd w:val="clear" w:color="auto" w:fill="auto"/>
            <w:noWrap/>
            <w:vAlign w:val="center"/>
            <w:hideMark/>
          </w:tcPr>
          <w:p w14:paraId="10BBDC4F"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1,4</w:t>
            </w:r>
          </w:p>
        </w:tc>
        <w:tc>
          <w:tcPr>
            <w:tcW w:w="794" w:type="dxa"/>
            <w:tcBorders>
              <w:top w:val="nil"/>
              <w:left w:val="nil"/>
              <w:bottom w:val="single" w:sz="4" w:space="0" w:color="auto"/>
              <w:right w:val="single" w:sz="4" w:space="0" w:color="auto"/>
            </w:tcBorders>
            <w:shd w:val="clear" w:color="auto" w:fill="auto"/>
            <w:noWrap/>
            <w:vAlign w:val="center"/>
            <w:hideMark/>
          </w:tcPr>
          <w:p w14:paraId="11FF722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14,4</w:t>
            </w:r>
          </w:p>
        </w:tc>
        <w:tc>
          <w:tcPr>
            <w:tcW w:w="884" w:type="dxa"/>
            <w:tcBorders>
              <w:top w:val="nil"/>
              <w:left w:val="nil"/>
              <w:bottom w:val="single" w:sz="4" w:space="0" w:color="auto"/>
              <w:right w:val="single" w:sz="4" w:space="0" w:color="auto"/>
            </w:tcBorders>
            <w:shd w:val="clear" w:color="auto" w:fill="auto"/>
            <w:noWrap/>
            <w:vAlign w:val="center"/>
            <w:hideMark/>
          </w:tcPr>
          <w:p w14:paraId="0FCA4C02"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9,3</w:t>
            </w:r>
          </w:p>
        </w:tc>
        <w:tc>
          <w:tcPr>
            <w:tcW w:w="859" w:type="dxa"/>
            <w:tcBorders>
              <w:top w:val="nil"/>
              <w:left w:val="nil"/>
              <w:bottom w:val="single" w:sz="4" w:space="0" w:color="auto"/>
              <w:right w:val="single" w:sz="4" w:space="0" w:color="auto"/>
            </w:tcBorders>
            <w:shd w:val="clear" w:color="auto" w:fill="auto"/>
            <w:noWrap/>
            <w:vAlign w:val="center"/>
            <w:hideMark/>
          </w:tcPr>
          <w:p w14:paraId="5ED2B168"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5,0</w:t>
            </w:r>
          </w:p>
        </w:tc>
        <w:tc>
          <w:tcPr>
            <w:tcW w:w="1080" w:type="dxa"/>
            <w:tcBorders>
              <w:top w:val="nil"/>
              <w:left w:val="nil"/>
              <w:bottom w:val="single" w:sz="4" w:space="0" w:color="auto"/>
              <w:right w:val="single" w:sz="4" w:space="0" w:color="auto"/>
            </w:tcBorders>
            <w:shd w:val="clear" w:color="auto" w:fill="auto"/>
            <w:noWrap/>
            <w:vAlign w:val="center"/>
            <w:hideMark/>
          </w:tcPr>
          <w:p w14:paraId="53ECC3F6" w14:textId="77777777" w:rsidR="00892900" w:rsidRPr="00892900" w:rsidRDefault="00892900" w:rsidP="00892900">
            <w:pPr>
              <w:spacing w:after="0" w:line="240" w:lineRule="auto"/>
              <w:jc w:val="right"/>
              <w:rPr>
                <w:rFonts w:cs="Arial"/>
                <w:b/>
                <w:bCs/>
                <w:color w:val="00B050"/>
                <w:sz w:val="16"/>
                <w:szCs w:val="16"/>
              </w:rPr>
            </w:pPr>
            <w:r w:rsidRPr="00892900">
              <w:rPr>
                <w:rFonts w:cs="Arial"/>
                <w:b/>
                <w:bCs/>
                <w:color w:val="00B050"/>
                <w:sz w:val="16"/>
                <w:szCs w:val="16"/>
              </w:rPr>
              <w:t>5,0</w:t>
            </w:r>
          </w:p>
        </w:tc>
      </w:tr>
      <w:tr w:rsidR="009F0BC4" w:rsidRPr="00892900" w14:paraId="7447947F" w14:textId="77777777" w:rsidTr="00744640">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E8B9201" w14:textId="77777777" w:rsidR="00892900" w:rsidRPr="000A025C" w:rsidRDefault="00892900" w:rsidP="00892900">
            <w:pPr>
              <w:spacing w:after="0" w:line="240" w:lineRule="auto"/>
              <w:rPr>
                <w:rFonts w:cs="Arial"/>
                <w:color w:val="000000"/>
                <w:sz w:val="16"/>
                <w:szCs w:val="16"/>
              </w:rPr>
            </w:pPr>
            <w:r w:rsidRPr="000A025C">
              <w:rPr>
                <w:rFonts w:cs="Arial"/>
                <w:color w:val="000000"/>
                <w:sz w:val="16"/>
                <w:szCs w:val="16"/>
              </w:rPr>
              <w:t>Ubytování, stravování a pohostinství</w:t>
            </w:r>
          </w:p>
        </w:tc>
        <w:tc>
          <w:tcPr>
            <w:tcW w:w="992" w:type="dxa"/>
            <w:tcBorders>
              <w:top w:val="nil"/>
              <w:left w:val="nil"/>
              <w:bottom w:val="single" w:sz="4" w:space="0" w:color="auto"/>
              <w:right w:val="single" w:sz="4" w:space="0" w:color="auto"/>
            </w:tcBorders>
            <w:shd w:val="clear" w:color="auto" w:fill="auto"/>
            <w:noWrap/>
            <w:vAlign w:val="center"/>
            <w:hideMark/>
          </w:tcPr>
          <w:p w14:paraId="1B6CD694"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1,5</w:t>
            </w:r>
          </w:p>
        </w:tc>
        <w:tc>
          <w:tcPr>
            <w:tcW w:w="990" w:type="dxa"/>
            <w:tcBorders>
              <w:top w:val="nil"/>
              <w:left w:val="nil"/>
              <w:bottom w:val="single" w:sz="4" w:space="0" w:color="auto"/>
              <w:right w:val="single" w:sz="4" w:space="0" w:color="auto"/>
            </w:tcBorders>
            <w:shd w:val="clear" w:color="auto" w:fill="auto"/>
            <w:noWrap/>
            <w:vAlign w:val="center"/>
            <w:hideMark/>
          </w:tcPr>
          <w:p w14:paraId="3970B7AB"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51,3</w:t>
            </w:r>
          </w:p>
        </w:tc>
        <w:tc>
          <w:tcPr>
            <w:tcW w:w="762" w:type="dxa"/>
            <w:tcBorders>
              <w:top w:val="nil"/>
              <w:left w:val="nil"/>
              <w:bottom w:val="single" w:sz="4" w:space="0" w:color="auto"/>
              <w:right w:val="single" w:sz="4" w:space="0" w:color="auto"/>
            </w:tcBorders>
            <w:shd w:val="clear" w:color="auto" w:fill="auto"/>
            <w:noWrap/>
            <w:vAlign w:val="center"/>
            <w:hideMark/>
          </w:tcPr>
          <w:p w14:paraId="3442F509"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9,9</w:t>
            </w:r>
          </w:p>
        </w:tc>
        <w:tc>
          <w:tcPr>
            <w:tcW w:w="1145" w:type="dxa"/>
            <w:tcBorders>
              <w:top w:val="nil"/>
              <w:left w:val="nil"/>
              <w:bottom w:val="single" w:sz="4" w:space="0" w:color="auto"/>
              <w:right w:val="single" w:sz="4" w:space="0" w:color="auto"/>
            </w:tcBorders>
            <w:shd w:val="clear" w:color="auto" w:fill="auto"/>
            <w:noWrap/>
            <w:vAlign w:val="center"/>
            <w:hideMark/>
          </w:tcPr>
          <w:p w14:paraId="07BF32E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4,2</w:t>
            </w:r>
          </w:p>
        </w:tc>
        <w:tc>
          <w:tcPr>
            <w:tcW w:w="794" w:type="dxa"/>
            <w:tcBorders>
              <w:top w:val="nil"/>
              <w:left w:val="nil"/>
              <w:bottom w:val="single" w:sz="4" w:space="0" w:color="auto"/>
              <w:right w:val="single" w:sz="4" w:space="0" w:color="auto"/>
            </w:tcBorders>
            <w:shd w:val="clear" w:color="auto" w:fill="auto"/>
            <w:noWrap/>
            <w:vAlign w:val="center"/>
            <w:hideMark/>
          </w:tcPr>
          <w:p w14:paraId="4D10E9EA" w14:textId="77777777" w:rsidR="00892900" w:rsidRPr="00892900" w:rsidRDefault="00892900" w:rsidP="00892900">
            <w:pPr>
              <w:spacing w:after="0" w:line="240" w:lineRule="auto"/>
              <w:jc w:val="right"/>
              <w:rPr>
                <w:rFonts w:cs="Arial"/>
                <w:color w:val="000000"/>
                <w:sz w:val="16"/>
                <w:szCs w:val="16"/>
              </w:rPr>
            </w:pPr>
            <w:r w:rsidRPr="00892900">
              <w:rPr>
                <w:rFonts w:cs="Arial"/>
                <w:color w:val="000000"/>
                <w:sz w:val="16"/>
                <w:szCs w:val="16"/>
              </w:rPr>
              <w:t>12,2</w:t>
            </w:r>
          </w:p>
        </w:tc>
        <w:tc>
          <w:tcPr>
            <w:tcW w:w="884" w:type="dxa"/>
            <w:tcBorders>
              <w:top w:val="nil"/>
              <w:left w:val="nil"/>
              <w:bottom w:val="single" w:sz="4" w:space="0" w:color="auto"/>
              <w:right w:val="single" w:sz="4" w:space="0" w:color="auto"/>
            </w:tcBorders>
            <w:shd w:val="clear" w:color="auto" w:fill="auto"/>
            <w:noWrap/>
            <w:vAlign w:val="center"/>
            <w:hideMark/>
          </w:tcPr>
          <w:p w14:paraId="1CEA849C" w14:textId="77777777" w:rsidR="00892900" w:rsidRPr="00106680" w:rsidRDefault="00892900" w:rsidP="00892900">
            <w:pPr>
              <w:spacing w:after="0" w:line="240" w:lineRule="auto"/>
              <w:jc w:val="right"/>
              <w:rPr>
                <w:rFonts w:cs="Arial"/>
                <w:b/>
                <w:color w:val="00B050"/>
                <w:sz w:val="16"/>
                <w:szCs w:val="16"/>
              </w:rPr>
            </w:pPr>
            <w:r w:rsidRPr="00106680">
              <w:rPr>
                <w:rFonts w:cs="Arial"/>
                <w:b/>
                <w:color w:val="00B050"/>
                <w:sz w:val="16"/>
                <w:szCs w:val="16"/>
              </w:rPr>
              <w:t>13,8</w:t>
            </w:r>
          </w:p>
        </w:tc>
        <w:tc>
          <w:tcPr>
            <w:tcW w:w="859" w:type="dxa"/>
            <w:tcBorders>
              <w:top w:val="nil"/>
              <w:left w:val="nil"/>
              <w:bottom w:val="single" w:sz="4" w:space="0" w:color="auto"/>
              <w:right w:val="single" w:sz="4" w:space="0" w:color="auto"/>
            </w:tcBorders>
            <w:shd w:val="clear" w:color="auto" w:fill="auto"/>
            <w:noWrap/>
            <w:vAlign w:val="center"/>
            <w:hideMark/>
          </w:tcPr>
          <w:p w14:paraId="6BEE1CE7"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0,0</w:t>
            </w:r>
          </w:p>
        </w:tc>
        <w:tc>
          <w:tcPr>
            <w:tcW w:w="1080" w:type="dxa"/>
            <w:tcBorders>
              <w:top w:val="nil"/>
              <w:left w:val="nil"/>
              <w:bottom w:val="single" w:sz="4" w:space="0" w:color="auto"/>
              <w:right w:val="single" w:sz="4" w:space="0" w:color="auto"/>
            </w:tcBorders>
            <w:shd w:val="clear" w:color="auto" w:fill="auto"/>
            <w:noWrap/>
            <w:vAlign w:val="center"/>
            <w:hideMark/>
          </w:tcPr>
          <w:p w14:paraId="28D7A7A8" w14:textId="77777777" w:rsidR="00892900" w:rsidRPr="00892900" w:rsidRDefault="00892900" w:rsidP="00892900">
            <w:pPr>
              <w:spacing w:after="0" w:line="240" w:lineRule="auto"/>
              <w:jc w:val="right"/>
              <w:rPr>
                <w:rFonts w:cs="Arial"/>
                <w:b/>
                <w:bCs/>
                <w:color w:val="C00000"/>
                <w:sz w:val="16"/>
                <w:szCs w:val="16"/>
              </w:rPr>
            </w:pPr>
            <w:r w:rsidRPr="00892900">
              <w:rPr>
                <w:rFonts w:cs="Arial"/>
                <w:b/>
                <w:bCs/>
                <w:color w:val="C00000"/>
                <w:sz w:val="16"/>
                <w:szCs w:val="16"/>
              </w:rPr>
              <w:t>0,0</w:t>
            </w:r>
          </w:p>
        </w:tc>
      </w:tr>
    </w:tbl>
    <w:p w14:paraId="4FB3C960" w14:textId="256007E6" w:rsidR="00A03F6D" w:rsidRDefault="00A03F6D" w:rsidP="00A03F6D">
      <w:pPr>
        <w:spacing w:before="120" w:after="120"/>
        <w:jc w:val="right"/>
        <w:rPr>
          <w:szCs w:val="20"/>
        </w:rPr>
      </w:pPr>
      <w:r>
        <w:rPr>
          <w:szCs w:val="20"/>
        </w:rPr>
        <w:t>Zdroj: ČSÚ</w:t>
      </w:r>
    </w:p>
    <w:p w14:paraId="48C84129" w14:textId="77777777" w:rsidR="00D463D4" w:rsidRDefault="000C3B3D" w:rsidP="00D8357D">
      <w:pPr>
        <w:spacing w:after="120"/>
        <w:jc w:val="both"/>
        <w:rPr>
          <w:rFonts w:cs="Arial"/>
          <w:szCs w:val="20"/>
        </w:rPr>
      </w:pPr>
      <w:r>
        <w:rPr>
          <w:rFonts w:cs="Arial"/>
          <w:szCs w:val="20"/>
        </w:rPr>
        <w:t>Věnujme nyní pozornost</w:t>
      </w:r>
      <w:r w:rsidR="00EA2E6C">
        <w:rPr>
          <w:rFonts w:cs="Arial"/>
          <w:szCs w:val="20"/>
        </w:rPr>
        <w:t> </w:t>
      </w:r>
      <w:r w:rsidR="00EA2E6C" w:rsidRPr="00560A16">
        <w:rPr>
          <w:rFonts w:cs="Arial"/>
          <w:b/>
          <w:szCs w:val="20"/>
        </w:rPr>
        <w:t>dělení dle hlavní ekonomické činnosti podniku</w:t>
      </w:r>
      <w:r>
        <w:rPr>
          <w:rFonts w:cs="Arial"/>
          <w:szCs w:val="20"/>
        </w:rPr>
        <w:t>.</w:t>
      </w:r>
      <w:r w:rsidR="00EA2E6C">
        <w:rPr>
          <w:rFonts w:cs="Arial"/>
          <w:szCs w:val="20"/>
        </w:rPr>
        <w:t xml:space="preserve"> </w:t>
      </w:r>
      <w:r w:rsidR="00FF2919">
        <w:rPr>
          <w:rFonts w:cs="Arial"/>
          <w:szCs w:val="20"/>
        </w:rPr>
        <w:t xml:space="preserve">Podniky z oblasti </w:t>
      </w:r>
      <w:r w:rsidR="00FF2919" w:rsidRPr="00370E55">
        <w:rPr>
          <w:rFonts w:cs="Arial"/>
          <w:i/>
          <w:szCs w:val="20"/>
        </w:rPr>
        <w:t xml:space="preserve">stavebnictví </w:t>
      </w:r>
      <w:r w:rsidR="00FF2919">
        <w:rPr>
          <w:rFonts w:cs="Arial"/>
          <w:szCs w:val="20"/>
        </w:rPr>
        <w:t xml:space="preserve">spolu s podniky z oblasti </w:t>
      </w:r>
      <w:r w:rsidR="00FF2919" w:rsidRPr="00B324B0">
        <w:rPr>
          <w:rFonts w:cs="Arial"/>
          <w:i/>
          <w:szCs w:val="20"/>
        </w:rPr>
        <w:t xml:space="preserve">průmyslu </w:t>
      </w:r>
      <w:r w:rsidR="00FF2919">
        <w:rPr>
          <w:rFonts w:cs="Arial"/>
          <w:szCs w:val="20"/>
        </w:rPr>
        <w:t xml:space="preserve">a z oblasti </w:t>
      </w:r>
      <w:r w:rsidR="00FF2919" w:rsidRPr="00B324B0">
        <w:rPr>
          <w:rFonts w:cs="Arial"/>
          <w:i/>
          <w:szCs w:val="20"/>
        </w:rPr>
        <w:t>profesní, v</w:t>
      </w:r>
      <w:r w:rsidRPr="00B324B0">
        <w:rPr>
          <w:rFonts w:cs="Arial"/>
          <w:i/>
          <w:szCs w:val="20"/>
        </w:rPr>
        <w:t>ědecké a technické činnosti</w:t>
      </w:r>
      <w:r>
        <w:rPr>
          <w:rFonts w:cs="Arial"/>
          <w:szCs w:val="20"/>
        </w:rPr>
        <w:t xml:space="preserve"> </w:t>
      </w:r>
      <w:r w:rsidR="00FF2919">
        <w:rPr>
          <w:rFonts w:cs="Arial"/>
          <w:szCs w:val="20"/>
        </w:rPr>
        <w:t xml:space="preserve">byly těmi, které v nejvyšší míře označovaly jako stěžejní témata kurzů/školení </w:t>
      </w:r>
      <w:r w:rsidR="00FF2919" w:rsidRPr="00560A16">
        <w:rPr>
          <w:rFonts w:cs="Arial"/>
          <w:b/>
          <w:i/>
          <w:szCs w:val="20"/>
        </w:rPr>
        <w:t>specifické technické a inženýrské dovednosti související s výkonem povolání v</w:t>
      </w:r>
      <w:r w:rsidR="00F644FD" w:rsidRPr="00560A16">
        <w:rPr>
          <w:rFonts w:cs="Arial"/>
          <w:b/>
          <w:i/>
          <w:szCs w:val="20"/>
        </w:rPr>
        <w:t> </w:t>
      </w:r>
      <w:r w:rsidR="00FF2919" w:rsidRPr="00560A16">
        <w:rPr>
          <w:rFonts w:cs="Arial"/>
          <w:b/>
          <w:i/>
          <w:szCs w:val="20"/>
        </w:rPr>
        <w:t>podniku</w:t>
      </w:r>
      <w:r w:rsidR="00F644FD">
        <w:rPr>
          <w:rFonts w:cs="Arial"/>
          <w:szCs w:val="20"/>
        </w:rPr>
        <w:t xml:space="preserve"> (vyjádřily se tak téměř dvě pětiny </w:t>
      </w:r>
      <w:r w:rsidR="00605947">
        <w:rPr>
          <w:rFonts w:cs="Arial"/>
          <w:szCs w:val="20"/>
        </w:rPr>
        <w:t xml:space="preserve">těchto podniků </w:t>
      </w:r>
      <w:r w:rsidR="00F644FD">
        <w:rPr>
          <w:rFonts w:cs="Arial"/>
          <w:szCs w:val="20"/>
        </w:rPr>
        <w:t xml:space="preserve">oproti 15 % a méně v ostatních oblastech). Podniky věnující se </w:t>
      </w:r>
      <w:r w:rsidR="00F644FD" w:rsidRPr="00B324B0">
        <w:rPr>
          <w:rFonts w:cs="Arial"/>
          <w:i/>
          <w:szCs w:val="20"/>
        </w:rPr>
        <w:t>stavebnictví</w:t>
      </w:r>
      <w:r w:rsidR="00F644FD">
        <w:rPr>
          <w:rFonts w:cs="Arial"/>
          <w:szCs w:val="20"/>
        </w:rPr>
        <w:t xml:space="preserve"> také spolu s podniky</w:t>
      </w:r>
      <w:r w:rsidR="00FF2919">
        <w:rPr>
          <w:rFonts w:cs="Arial"/>
          <w:szCs w:val="20"/>
        </w:rPr>
        <w:t xml:space="preserve"> z oblasti </w:t>
      </w:r>
      <w:r w:rsidR="00FF2919" w:rsidRPr="00B324B0">
        <w:rPr>
          <w:rFonts w:cs="Arial"/>
          <w:i/>
          <w:szCs w:val="20"/>
        </w:rPr>
        <w:t>dopravy a skladování</w:t>
      </w:r>
      <w:r w:rsidR="00FF2919">
        <w:rPr>
          <w:rFonts w:cs="Arial"/>
          <w:szCs w:val="20"/>
        </w:rPr>
        <w:t xml:space="preserve"> a věnující se </w:t>
      </w:r>
      <w:r w:rsidR="00FF2919" w:rsidRPr="00B324B0">
        <w:rPr>
          <w:rFonts w:cs="Arial"/>
          <w:i/>
          <w:szCs w:val="20"/>
        </w:rPr>
        <w:t>ne</w:t>
      </w:r>
      <w:r w:rsidR="00F644FD" w:rsidRPr="00B324B0">
        <w:rPr>
          <w:rFonts w:cs="Arial"/>
          <w:i/>
          <w:szCs w:val="20"/>
        </w:rPr>
        <w:t>movitostem a administrativě</w:t>
      </w:r>
      <w:r w:rsidR="008B4C2F">
        <w:rPr>
          <w:rFonts w:cs="Arial"/>
          <w:szCs w:val="20"/>
        </w:rPr>
        <w:t xml:space="preserve"> </w:t>
      </w:r>
      <w:r w:rsidR="00F644FD">
        <w:rPr>
          <w:rFonts w:cs="Arial"/>
          <w:szCs w:val="20"/>
        </w:rPr>
        <w:t>také</w:t>
      </w:r>
      <w:r w:rsidR="008B4C2F">
        <w:rPr>
          <w:rFonts w:cs="Arial"/>
          <w:szCs w:val="20"/>
        </w:rPr>
        <w:t xml:space="preserve"> častěji než ostatní podniky označovaly jako stěžejní téma </w:t>
      </w:r>
      <w:r w:rsidR="008B4C2F" w:rsidRPr="00560A16">
        <w:rPr>
          <w:rFonts w:cs="Arial"/>
          <w:b/>
          <w:i/>
          <w:szCs w:val="20"/>
        </w:rPr>
        <w:t xml:space="preserve">jiných specifických dovedností </w:t>
      </w:r>
      <w:r w:rsidR="008B4C2F" w:rsidRPr="00560A16">
        <w:rPr>
          <w:rFonts w:cs="Arial"/>
          <w:szCs w:val="20"/>
        </w:rPr>
        <w:t xml:space="preserve">souvisejících s výkonem konkrétního povolání </w:t>
      </w:r>
      <w:r>
        <w:rPr>
          <w:rFonts w:cs="Arial"/>
          <w:szCs w:val="20"/>
        </w:rPr>
        <w:t>(</w:t>
      </w:r>
      <w:r w:rsidR="00B324B0">
        <w:rPr>
          <w:rFonts w:cs="Arial"/>
          <w:szCs w:val="20"/>
        </w:rPr>
        <w:t xml:space="preserve">v těchto odvětvích tak </w:t>
      </w:r>
      <w:r>
        <w:rPr>
          <w:rFonts w:cs="Arial"/>
          <w:szCs w:val="20"/>
        </w:rPr>
        <w:t xml:space="preserve">uvedly </w:t>
      </w:r>
      <w:r w:rsidR="00B324B0">
        <w:rPr>
          <w:rFonts w:cs="Arial"/>
          <w:szCs w:val="20"/>
        </w:rPr>
        <w:t xml:space="preserve">vždy více než </w:t>
      </w:r>
      <w:r w:rsidR="001D15A5">
        <w:rPr>
          <w:rFonts w:cs="Arial"/>
          <w:szCs w:val="20"/>
        </w:rPr>
        <w:t>tři pětiny</w:t>
      </w:r>
      <w:r w:rsidR="00B324B0">
        <w:rPr>
          <w:rFonts w:cs="Arial"/>
          <w:szCs w:val="20"/>
        </w:rPr>
        <w:t xml:space="preserve"> podniků</w:t>
      </w:r>
      <w:r>
        <w:rPr>
          <w:rFonts w:cs="Arial"/>
          <w:szCs w:val="20"/>
        </w:rPr>
        <w:t xml:space="preserve"> zajišťujících nepovinné kurzy/školení). </w:t>
      </w:r>
    </w:p>
    <w:p w14:paraId="7732B421" w14:textId="50FA0F66" w:rsidR="00D463D4" w:rsidRDefault="000C3B3D" w:rsidP="00D8357D">
      <w:pPr>
        <w:spacing w:after="120"/>
        <w:jc w:val="both"/>
        <w:rPr>
          <w:rFonts w:cs="Arial"/>
          <w:szCs w:val="20"/>
        </w:rPr>
      </w:pPr>
      <w:r w:rsidRPr="00560A16">
        <w:rPr>
          <w:rFonts w:cs="Arial"/>
          <w:b/>
          <w:i/>
          <w:szCs w:val="20"/>
        </w:rPr>
        <w:lastRenderedPageBreak/>
        <w:t>Znalost cizích jazyků</w:t>
      </w:r>
      <w:r>
        <w:rPr>
          <w:rFonts w:cs="Arial"/>
          <w:szCs w:val="20"/>
        </w:rPr>
        <w:t xml:space="preserve"> byla označována mezi</w:t>
      </w:r>
      <w:r w:rsidR="008B4C2F">
        <w:rPr>
          <w:rFonts w:cs="Arial"/>
          <w:szCs w:val="20"/>
        </w:rPr>
        <w:t xml:space="preserve"> stěžejní</w:t>
      </w:r>
      <w:r>
        <w:rPr>
          <w:rFonts w:cs="Arial"/>
          <w:szCs w:val="20"/>
        </w:rPr>
        <w:t>mi</w:t>
      </w:r>
      <w:r w:rsidR="008B4C2F">
        <w:rPr>
          <w:rFonts w:cs="Arial"/>
          <w:szCs w:val="20"/>
        </w:rPr>
        <w:t xml:space="preserve"> téma</w:t>
      </w:r>
      <w:r>
        <w:rPr>
          <w:rFonts w:cs="Arial"/>
          <w:szCs w:val="20"/>
        </w:rPr>
        <w:t>ty</w:t>
      </w:r>
      <w:r w:rsidR="008B4C2F">
        <w:rPr>
          <w:rFonts w:cs="Arial"/>
          <w:szCs w:val="20"/>
        </w:rPr>
        <w:t xml:space="preserve"> kurzů</w:t>
      </w:r>
      <w:r>
        <w:rPr>
          <w:rFonts w:cs="Arial"/>
          <w:szCs w:val="20"/>
        </w:rPr>
        <w:t>/školení</w:t>
      </w:r>
      <w:r w:rsidR="008B4C2F">
        <w:rPr>
          <w:rFonts w:cs="Arial"/>
          <w:szCs w:val="20"/>
        </w:rPr>
        <w:t xml:space="preserve"> </w:t>
      </w:r>
      <w:r>
        <w:rPr>
          <w:rFonts w:cs="Arial"/>
          <w:szCs w:val="20"/>
        </w:rPr>
        <w:t>nejčastěji</w:t>
      </w:r>
      <w:r w:rsidR="008B4C2F">
        <w:rPr>
          <w:rFonts w:cs="Arial"/>
          <w:szCs w:val="20"/>
        </w:rPr>
        <w:t xml:space="preserve"> podniky z oblasti </w:t>
      </w:r>
      <w:r w:rsidR="008B4C2F" w:rsidRPr="00B324B0">
        <w:rPr>
          <w:rFonts w:cs="Arial"/>
          <w:i/>
          <w:szCs w:val="20"/>
        </w:rPr>
        <w:t>informačních a komunikačních činností</w:t>
      </w:r>
      <w:r w:rsidR="004C426D">
        <w:rPr>
          <w:rFonts w:cs="Arial"/>
          <w:szCs w:val="20"/>
        </w:rPr>
        <w:t xml:space="preserve"> (38</w:t>
      </w:r>
      <w:r w:rsidR="00F644FD">
        <w:rPr>
          <w:rFonts w:cs="Arial"/>
          <w:szCs w:val="20"/>
        </w:rPr>
        <w:t> %)</w:t>
      </w:r>
      <w:r w:rsidR="008B4C2F">
        <w:rPr>
          <w:rFonts w:cs="Arial"/>
          <w:szCs w:val="20"/>
        </w:rPr>
        <w:t xml:space="preserve"> a z oblasti </w:t>
      </w:r>
      <w:r w:rsidR="008B4C2F" w:rsidRPr="00605947">
        <w:rPr>
          <w:rFonts w:cs="Arial"/>
          <w:i/>
          <w:szCs w:val="20"/>
        </w:rPr>
        <w:t>peněžnictví a pojišťovnictví</w:t>
      </w:r>
      <w:r w:rsidR="004C426D">
        <w:rPr>
          <w:rFonts w:cs="Arial"/>
          <w:szCs w:val="20"/>
        </w:rPr>
        <w:t xml:space="preserve"> (35</w:t>
      </w:r>
      <w:r w:rsidR="00F644FD">
        <w:rPr>
          <w:rFonts w:cs="Arial"/>
          <w:szCs w:val="20"/>
        </w:rPr>
        <w:t xml:space="preserve"> %) a nejméně často podniky </w:t>
      </w:r>
      <w:r w:rsidR="00605947">
        <w:rPr>
          <w:rFonts w:cs="Arial"/>
          <w:szCs w:val="20"/>
        </w:rPr>
        <w:t>z oblastí</w:t>
      </w:r>
      <w:r w:rsidR="00F644FD">
        <w:rPr>
          <w:rFonts w:cs="Arial"/>
          <w:szCs w:val="20"/>
        </w:rPr>
        <w:t xml:space="preserve"> </w:t>
      </w:r>
      <w:r w:rsidR="00F644FD" w:rsidRPr="00605947">
        <w:rPr>
          <w:rFonts w:cs="Arial"/>
          <w:i/>
          <w:szCs w:val="20"/>
        </w:rPr>
        <w:t>stavebnictví</w:t>
      </w:r>
      <w:r w:rsidR="00F644FD">
        <w:rPr>
          <w:rFonts w:cs="Arial"/>
          <w:szCs w:val="20"/>
        </w:rPr>
        <w:t xml:space="preserve"> </w:t>
      </w:r>
      <w:r w:rsidR="00605947">
        <w:rPr>
          <w:rFonts w:cs="Arial"/>
          <w:szCs w:val="20"/>
        </w:rPr>
        <w:t xml:space="preserve">a </w:t>
      </w:r>
      <w:r w:rsidR="00605947" w:rsidRPr="00605947">
        <w:rPr>
          <w:rFonts w:cs="Arial"/>
          <w:i/>
          <w:szCs w:val="20"/>
        </w:rPr>
        <w:t>ubytování, stravování a pohostinství</w:t>
      </w:r>
      <w:r w:rsidR="00605947">
        <w:rPr>
          <w:rFonts w:cs="Arial"/>
          <w:i/>
          <w:szCs w:val="20"/>
        </w:rPr>
        <w:t xml:space="preserve"> </w:t>
      </w:r>
      <w:r w:rsidR="00605947">
        <w:rPr>
          <w:rFonts w:cs="Arial"/>
          <w:szCs w:val="20"/>
        </w:rPr>
        <w:t>(uvedla tak desetina těchto podniků)</w:t>
      </w:r>
      <w:r w:rsidR="00F644FD">
        <w:rPr>
          <w:rFonts w:cs="Arial"/>
          <w:szCs w:val="20"/>
        </w:rPr>
        <w:t>.</w:t>
      </w:r>
      <w:r w:rsidR="00605947">
        <w:rPr>
          <w:rFonts w:cs="Arial"/>
          <w:szCs w:val="20"/>
        </w:rPr>
        <w:t xml:space="preserve"> </w:t>
      </w:r>
    </w:p>
    <w:p w14:paraId="0C064C36" w14:textId="1E8973D4" w:rsidR="00D463D4" w:rsidRDefault="000C3B3D" w:rsidP="00D8357D">
      <w:pPr>
        <w:spacing w:after="120"/>
        <w:jc w:val="both"/>
        <w:rPr>
          <w:rFonts w:cs="Arial"/>
          <w:szCs w:val="20"/>
        </w:rPr>
      </w:pPr>
      <w:r>
        <w:rPr>
          <w:rFonts w:cs="Arial"/>
          <w:szCs w:val="20"/>
        </w:rPr>
        <w:t xml:space="preserve">Téměř polovina podniků z oblasti </w:t>
      </w:r>
      <w:r w:rsidRPr="00B324B0">
        <w:rPr>
          <w:rFonts w:cs="Arial"/>
          <w:i/>
          <w:szCs w:val="20"/>
        </w:rPr>
        <w:t>informačních a komunikačních činností</w:t>
      </w:r>
      <w:r>
        <w:rPr>
          <w:rFonts w:cs="Arial"/>
          <w:szCs w:val="20"/>
        </w:rPr>
        <w:t xml:space="preserve"> označila jako stěžejní téma nepovinných kurzů/</w:t>
      </w:r>
      <w:r w:rsidRPr="00560A16">
        <w:rPr>
          <w:rFonts w:cs="Arial"/>
          <w:szCs w:val="20"/>
        </w:rPr>
        <w:t>školení</w:t>
      </w:r>
      <w:r w:rsidRPr="007E2CCE">
        <w:rPr>
          <w:rFonts w:cs="Arial"/>
          <w:b/>
          <w:szCs w:val="20"/>
        </w:rPr>
        <w:t xml:space="preserve"> </w:t>
      </w:r>
      <w:r w:rsidRPr="00560A16">
        <w:rPr>
          <w:rFonts w:cs="Arial"/>
          <w:b/>
          <w:i/>
          <w:szCs w:val="20"/>
        </w:rPr>
        <w:t>odbornou práci s informačními technologiemi</w:t>
      </w:r>
      <w:r w:rsidR="004C426D">
        <w:rPr>
          <w:rFonts w:cs="Arial"/>
          <w:szCs w:val="20"/>
        </w:rPr>
        <w:t xml:space="preserve"> (46</w:t>
      </w:r>
      <w:r>
        <w:rPr>
          <w:rFonts w:cs="Arial"/>
          <w:szCs w:val="20"/>
        </w:rPr>
        <w:t xml:space="preserve"> %), v ostatních odvětvích už to bylo jen méně než 15 %. </w:t>
      </w:r>
      <w:r w:rsidRPr="00560A16">
        <w:rPr>
          <w:rFonts w:cs="Arial"/>
          <w:b/>
          <w:i/>
          <w:szCs w:val="20"/>
        </w:rPr>
        <w:t>Běžné užívání informačních technologií</w:t>
      </w:r>
      <w:r>
        <w:rPr>
          <w:rFonts w:cs="Arial"/>
          <w:szCs w:val="20"/>
        </w:rPr>
        <w:t xml:space="preserve"> se stalo jednou ze stě</w:t>
      </w:r>
      <w:r w:rsidR="00605947">
        <w:rPr>
          <w:rFonts w:cs="Arial"/>
          <w:szCs w:val="20"/>
        </w:rPr>
        <w:t>žejních či stěžejní náplní kurzů/školení</w:t>
      </w:r>
      <w:r>
        <w:rPr>
          <w:rFonts w:cs="Arial"/>
          <w:szCs w:val="20"/>
        </w:rPr>
        <w:t xml:space="preserve"> nejčastěji pro podniky z oblasti </w:t>
      </w:r>
      <w:r w:rsidRPr="00B324B0">
        <w:rPr>
          <w:rFonts w:cs="Arial"/>
          <w:i/>
          <w:szCs w:val="20"/>
        </w:rPr>
        <w:t>peněžnictví a pojišťovnictví</w:t>
      </w:r>
      <w:r>
        <w:rPr>
          <w:rFonts w:cs="Arial"/>
          <w:szCs w:val="20"/>
        </w:rPr>
        <w:t xml:space="preserve"> (uvedla tak pětina) oproti pouhému procentu takových podniků z oblasti </w:t>
      </w:r>
      <w:r w:rsidRPr="00B324B0">
        <w:rPr>
          <w:rFonts w:cs="Arial"/>
          <w:i/>
          <w:szCs w:val="20"/>
        </w:rPr>
        <w:t>profesní, vědecké a technické činnosti</w:t>
      </w:r>
      <w:r>
        <w:rPr>
          <w:rFonts w:cs="Arial"/>
          <w:szCs w:val="20"/>
        </w:rPr>
        <w:t xml:space="preserve">. </w:t>
      </w:r>
    </w:p>
    <w:p w14:paraId="104B61B1" w14:textId="74DB6034" w:rsidR="007E2CCE" w:rsidRDefault="000C3B3D" w:rsidP="00D8357D">
      <w:pPr>
        <w:spacing w:after="120"/>
        <w:jc w:val="both"/>
        <w:rPr>
          <w:rFonts w:cs="Arial"/>
          <w:szCs w:val="20"/>
        </w:rPr>
      </w:pPr>
      <w:r>
        <w:rPr>
          <w:rFonts w:cs="Arial"/>
          <w:szCs w:val="20"/>
        </w:rPr>
        <w:t xml:space="preserve">Kurzy v oblasti </w:t>
      </w:r>
      <w:r w:rsidRPr="00560A16">
        <w:rPr>
          <w:rFonts w:cs="Arial"/>
          <w:b/>
          <w:i/>
          <w:szCs w:val="20"/>
        </w:rPr>
        <w:t>vedení administrativy</w:t>
      </w:r>
      <w:r>
        <w:rPr>
          <w:rFonts w:cs="Arial"/>
          <w:szCs w:val="20"/>
        </w:rPr>
        <w:t xml:space="preserve"> si pak získaly stěžejní hodinovou dotaci nejčastěji mezi podniky věnujícími se </w:t>
      </w:r>
      <w:r w:rsidR="00DB54C7">
        <w:rPr>
          <w:rFonts w:cs="Arial"/>
          <w:i/>
          <w:szCs w:val="20"/>
        </w:rPr>
        <w:t>nemovitostem a administrativě, podpůrným</w:t>
      </w:r>
      <w:r w:rsidR="007E2CCE" w:rsidRPr="00B324B0">
        <w:rPr>
          <w:rFonts w:cs="Arial"/>
          <w:i/>
          <w:szCs w:val="20"/>
        </w:rPr>
        <w:t xml:space="preserve"> činnost</w:t>
      </w:r>
      <w:r w:rsidR="00DB54C7">
        <w:rPr>
          <w:rFonts w:cs="Arial"/>
          <w:i/>
          <w:szCs w:val="20"/>
        </w:rPr>
        <w:t>em</w:t>
      </w:r>
      <w:r w:rsidR="004C426D">
        <w:rPr>
          <w:rFonts w:cs="Arial"/>
          <w:szCs w:val="20"/>
        </w:rPr>
        <w:t xml:space="preserve"> (uvedlo tak 16</w:t>
      </w:r>
      <w:r w:rsidR="007E2CCE">
        <w:rPr>
          <w:rFonts w:cs="Arial"/>
          <w:szCs w:val="20"/>
        </w:rPr>
        <w:t xml:space="preserve"> % z nich) a dále mezi podniky věnujícími se </w:t>
      </w:r>
      <w:r w:rsidR="00D463D4">
        <w:rPr>
          <w:rFonts w:cs="Arial"/>
          <w:i/>
          <w:szCs w:val="20"/>
        </w:rPr>
        <w:t>ubytování, stravování a pohostinství</w:t>
      </w:r>
      <w:r w:rsidR="004C426D">
        <w:rPr>
          <w:rFonts w:cs="Arial"/>
          <w:szCs w:val="20"/>
        </w:rPr>
        <w:t xml:space="preserve"> (14</w:t>
      </w:r>
      <w:r w:rsidR="007E2CCE">
        <w:rPr>
          <w:rFonts w:cs="Arial"/>
          <w:szCs w:val="20"/>
        </w:rPr>
        <w:t xml:space="preserve"> %). Stejně tak </w:t>
      </w:r>
      <w:r w:rsidR="007E2CCE" w:rsidRPr="00560A16">
        <w:rPr>
          <w:rFonts w:cs="Arial"/>
          <w:b/>
          <w:i/>
          <w:szCs w:val="20"/>
        </w:rPr>
        <w:t>kurzy v oblasti odborných dovedností z oblasti matematiky a statistiky</w:t>
      </w:r>
      <w:r w:rsidR="007E2CCE" w:rsidRPr="00560A16">
        <w:rPr>
          <w:rFonts w:cs="Arial"/>
          <w:i/>
          <w:szCs w:val="20"/>
        </w:rPr>
        <w:t xml:space="preserve"> </w:t>
      </w:r>
      <w:r w:rsidR="007E2CCE">
        <w:rPr>
          <w:rFonts w:cs="Arial"/>
          <w:szCs w:val="20"/>
        </w:rPr>
        <w:t xml:space="preserve">si </w:t>
      </w:r>
      <w:r w:rsidR="007E2CCE" w:rsidRPr="007E2CCE">
        <w:rPr>
          <w:rFonts w:cs="Arial"/>
          <w:szCs w:val="20"/>
        </w:rPr>
        <w:t xml:space="preserve">získaly stěžejní hodinovou dotaci nejčastěji mezi podniky </w:t>
      </w:r>
      <w:r w:rsidR="00D463D4">
        <w:rPr>
          <w:rFonts w:cs="Arial"/>
          <w:szCs w:val="20"/>
        </w:rPr>
        <w:t>zabývajícími</w:t>
      </w:r>
      <w:r w:rsidR="007E2CCE" w:rsidRPr="007E2CCE">
        <w:rPr>
          <w:rFonts w:cs="Arial"/>
          <w:szCs w:val="20"/>
        </w:rPr>
        <w:t xml:space="preserve"> se </w:t>
      </w:r>
      <w:r w:rsidR="007E2CCE" w:rsidRPr="00B324B0">
        <w:rPr>
          <w:rFonts w:cs="Arial"/>
          <w:i/>
          <w:szCs w:val="20"/>
        </w:rPr>
        <w:t>nemovitostmi a administrativou, podpůrnými činnostmi</w:t>
      </w:r>
      <w:r w:rsidR="007E2CCE">
        <w:rPr>
          <w:rFonts w:cs="Arial"/>
          <w:szCs w:val="20"/>
        </w:rPr>
        <w:t xml:space="preserve"> (6 %), o první příčku se však dělily s podniky z oblasti </w:t>
      </w:r>
      <w:r w:rsidR="007E2CCE" w:rsidRPr="00B324B0">
        <w:rPr>
          <w:rFonts w:cs="Arial"/>
          <w:i/>
          <w:szCs w:val="20"/>
        </w:rPr>
        <w:t>peněžnictví a pojišťovnictví</w:t>
      </w:r>
      <w:r w:rsidR="007E2CCE">
        <w:rPr>
          <w:rFonts w:cs="Arial"/>
          <w:szCs w:val="20"/>
        </w:rPr>
        <w:t xml:space="preserve"> (6 %) a druhé místo patřilo podnikům z oblasti </w:t>
      </w:r>
      <w:r w:rsidR="007E2CCE" w:rsidRPr="00B324B0">
        <w:rPr>
          <w:rFonts w:cs="Arial"/>
          <w:i/>
          <w:szCs w:val="20"/>
        </w:rPr>
        <w:t xml:space="preserve">kulturní, zábavní a rekreační činnosti </w:t>
      </w:r>
      <w:r w:rsidR="007E2CCE">
        <w:rPr>
          <w:rFonts w:cs="Arial"/>
          <w:szCs w:val="20"/>
        </w:rPr>
        <w:t xml:space="preserve">(5 %). Nakonec, </w:t>
      </w:r>
      <w:r w:rsidR="007E2CCE" w:rsidRPr="00560A16">
        <w:rPr>
          <w:rFonts w:cs="Arial"/>
          <w:b/>
          <w:i/>
          <w:szCs w:val="20"/>
        </w:rPr>
        <w:t>běžná orientace v textu či početních opera</w:t>
      </w:r>
      <w:r w:rsidR="007E2CCE" w:rsidRPr="007E2CCE">
        <w:rPr>
          <w:rFonts w:cs="Arial"/>
          <w:b/>
          <w:szCs w:val="20"/>
        </w:rPr>
        <w:t>cích</w:t>
      </w:r>
      <w:r w:rsidR="007E2CCE">
        <w:rPr>
          <w:rFonts w:cs="Arial"/>
          <w:szCs w:val="20"/>
        </w:rPr>
        <w:t xml:space="preserve"> byla stěžejním tématem nepovinných kurzů/školení nejčastěji mezi podniky z oblasti </w:t>
      </w:r>
      <w:r w:rsidR="007E2CCE" w:rsidRPr="00B324B0">
        <w:rPr>
          <w:rFonts w:cs="Arial"/>
          <w:i/>
          <w:szCs w:val="20"/>
        </w:rPr>
        <w:t>kulturní, zábavní a rekreační činnosti</w:t>
      </w:r>
      <w:r w:rsidR="007E2CCE">
        <w:rPr>
          <w:rFonts w:cs="Arial"/>
          <w:szCs w:val="20"/>
        </w:rPr>
        <w:t xml:space="preserve"> (5 %) a dále z oblasti </w:t>
      </w:r>
      <w:r w:rsidR="007E2CCE" w:rsidRPr="00B324B0">
        <w:rPr>
          <w:rFonts w:cs="Arial"/>
          <w:i/>
          <w:szCs w:val="20"/>
        </w:rPr>
        <w:t xml:space="preserve">nemovitostí a administrativy, podpůrných činností </w:t>
      </w:r>
      <w:r w:rsidR="004C426D">
        <w:rPr>
          <w:rFonts w:cs="Arial"/>
          <w:szCs w:val="20"/>
        </w:rPr>
        <w:t>(</w:t>
      </w:r>
      <w:r w:rsidR="00A47483">
        <w:rPr>
          <w:rFonts w:cs="Arial"/>
          <w:szCs w:val="20"/>
        </w:rPr>
        <w:t xml:space="preserve">také </w:t>
      </w:r>
      <w:r w:rsidR="004C426D">
        <w:rPr>
          <w:rFonts w:cs="Arial"/>
          <w:szCs w:val="20"/>
        </w:rPr>
        <w:t>5</w:t>
      </w:r>
      <w:r w:rsidR="007E2CCE">
        <w:rPr>
          <w:rFonts w:cs="Arial"/>
          <w:szCs w:val="20"/>
        </w:rPr>
        <w:t> %).</w:t>
      </w:r>
    </w:p>
    <w:p w14:paraId="1414C4DD" w14:textId="77777777" w:rsidR="00744640" w:rsidRDefault="00744640" w:rsidP="00744640">
      <w:pPr>
        <w:spacing w:after="0"/>
        <w:jc w:val="both"/>
        <w:rPr>
          <w:rFonts w:cs="Arial"/>
          <w:szCs w:val="20"/>
        </w:rPr>
      </w:pPr>
    </w:p>
    <w:p w14:paraId="58FB2191" w14:textId="64319705" w:rsidR="00483630" w:rsidRPr="00483630" w:rsidRDefault="00112DCF" w:rsidP="00483630">
      <w:pPr>
        <w:pStyle w:val="Nadpis2"/>
        <w:spacing w:after="120"/>
      </w:pPr>
      <w:bookmarkStart w:id="16" w:name="_Toc126664224"/>
      <w:r>
        <w:t>3.3</w:t>
      </w:r>
      <w:r w:rsidR="00483630">
        <w:t xml:space="preserve"> Klíčové dovednosti pro rozvoj podniku v nejbližších letech</w:t>
      </w:r>
      <w:bookmarkEnd w:id="16"/>
      <w:r w:rsidR="00483630">
        <w:t xml:space="preserve"> </w:t>
      </w:r>
    </w:p>
    <w:p w14:paraId="2DDD2BF6" w14:textId="750E2B0E" w:rsidR="00483630" w:rsidRDefault="00483630" w:rsidP="00483630">
      <w:pPr>
        <w:spacing w:after="120"/>
        <w:jc w:val="both"/>
        <w:rPr>
          <w:rFonts w:cs="Arial"/>
          <w:szCs w:val="20"/>
        </w:rPr>
      </w:pPr>
      <w:r>
        <w:rPr>
          <w:rFonts w:cs="Arial"/>
          <w:szCs w:val="20"/>
        </w:rPr>
        <w:t>Podívejme se nyní na d</w:t>
      </w:r>
      <w:r w:rsidR="009A3B3E">
        <w:rPr>
          <w:rFonts w:cs="Arial"/>
          <w:szCs w:val="20"/>
        </w:rPr>
        <w:t>ovednosti, které podnik považoval v roce 2020</w:t>
      </w:r>
      <w:r>
        <w:rPr>
          <w:rFonts w:cs="Arial"/>
          <w:szCs w:val="20"/>
        </w:rPr>
        <w:t xml:space="preserve"> za klíčové pro svůj rozvoj v nejbližších letech</w:t>
      </w:r>
      <w:r w:rsidR="004A657F">
        <w:rPr>
          <w:rFonts w:cs="Arial"/>
          <w:szCs w:val="20"/>
        </w:rPr>
        <w:t xml:space="preserve"> (podniky m</w:t>
      </w:r>
      <w:r w:rsidR="000711DA">
        <w:rPr>
          <w:rFonts w:cs="Arial"/>
          <w:szCs w:val="20"/>
        </w:rPr>
        <w:t>ěly označit jednu až tři</w:t>
      </w:r>
      <w:r w:rsidR="004A657F">
        <w:rPr>
          <w:rFonts w:cs="Arial"/>
          <w:szCs w:val="20"/>
        </w:rPr>
        <w:t xml:space="preserve"> dovednosti)</w:t>
      </w:r>
      <w:r>
        <w:rPr>
          <w:rFonts w:cs="Arial"/>
          <w:szCs w:val="20"/>
        </w:rPr>
        <w:t xml:space="preserve">. Ty </w:t>
      </w:r>
      <w:r w:rsidR="00767EB8">
        <w:rPr>
          <w:rFonts w:cs="Arial"/>
          <w:szCs w:val="20"/>
        </w:rPr>
        <w:t xml:space="preserve">opět </w:t>
      </w:r>
      <w:r>
        <w:rPr>
          <w:rFonts w:cs="Arial"/>
          <w:szCs w:val="20"/>
        </w:rPr>
        <w:t>rozdělíme na dvě skupiny, tedy „soft skills“ a ostatní znalosti a dovednosti</w:t>
      </w:r>
      <w:r w:rsidR="004A657F">
        <w:rPr>
          <w:rFonts w:cs="Arial"/>
          <w:szCs w:val="20"/>
        </w:rPr>
        <w:t xml:space="preserve"> („hard skills“)</w:t>
      </w:r>
      <w:r>
        <w:rPr>
          <w:rFonts w:cs="Arial"/>
          <w:szCs w:val="20"/>
        </w:rPr>
        <w:t xml:space="preserve">. </w:t>
      </w:r>
      <w:r w:rsidR="00744640">
        <w:rPr>
          <w:rFonts w:cs="Arial"/>
          <w:szCs w:val="20"/>
        </w:rPr>
        <w:t>P</w:t>
      </w:r>
      <w:r w:rsidR="00744640" w:rsidRPr="00744640">
        <w:rPr>
          <w:rFonts w:cs="Arial"/>
          <w:szCs w:val="20"/>
        </w:rPr>
        <w:t xml:space="preserve">odíly </w:t>
      </w:r>
      <w:r w:rsidR="00744640">
        <w:rPr>
          <w:rFonts w:cs="Arial"/>
          <w:szCs w:val="20"/>
        </w:rPr>
        <w:t xml:space="preserve">uvedené v tabulkách níže </w:t>
      </w:r>
      <w:r w:rsidR="00744640" w:rsidRPr="00744640">
        <w:rPr>
          <w:rFonts w:cs="Arial"/>
          <w:szCs w:val="20"/>
        </w:rPr>
        <w:t>jsou vztažené ke všem podnikům vyjma těch, které odpověděly možností „nevím“</w:t>
      </w:r>
      <w:r w:rsidR="00744640">
        <w:rPr>
          <w:rFonts w:cs="Arial"/>
          <w:szCs w:val="20"/>
        </w:rPr>
        <w:t xml:space="preserve"> (podniků, kter</w:t>
      </w:r>
      <w:r w:rsidR="006C25BC">
        <w:rPr>
          <w:rFonts w:cs="Arial"/>
          <w:szCs w:val="20"/>
        </w:rPr>
        <w:t>é odpověděly, že neví, bylo 10</w:t>
      </w:r>
      <w:r w:rsidR="00744640">
        <w:rPr>
          <w:rFonts w:cs="Arial"/>
          <w:szCs w:val="20"/>
        </w:rPr>
        <w:t xml:space="preserve"> %). Začně</w:t>
      </w:r>
      <w:r>
        <w:rPr>
          <w:rFonts w:cs="Arial"/>
          <w:szCs w:val="20"/>
        </w:rPr>
        <w:t>me dovednostmi z oblasti „soft skills“, které uvádí tabulka 3.2</w:t>
      </w:r>
      <w:r w:rsidR="00A03F6D">
        <w:rPr>
          <w:rFonts w:cs="Arial"/>
          <w:szCs w:val="20"/>
        </w:rPr>
        <w:t>a</w:t>
      </w:r>
      <w:r>
        <w:rPr>
          <w:rFonts w:cs="Arial"/>
          <w:szCs w:val="20"/>
        </w:rPr>
        <w:t>.</w:t>
      </w:r>
    </w:p>
    <w:p w14:paraId="7D8391C4" w14:textId="39E89381" w:rsidR="00F955D5" w:rsidRDefault="00F955D5" w:rsidP="00F955D5">
      <w:pPr>
        <w:spacing w:after="120"/>
        <w:jc w:val="both"/>
        <w:rPr>
          <w:rFonts w:cs="Arial"/>
          <w:szCs w:val="20"/>
        </w:rPr>
      </w:pPr>
      <w:r>
        <w:rPr>
          <w:rFonts w:cs="Arial"/>
          <w:szCs w:val="20"/>
        </w:rPr>
        <w:t xml:space="preserve">Jak již bylo v této zprávě uvedeno, nejčastěji zmiňovanou stěžejní dovedností potřebnou pro rozvoj podniku v nejbližších letech byla </w:t>
      </w:r>
      <w:r w:rsidRPr="002E28E3">
        <w:rPr>
          <w:rFonts w:cs="Arial"/>
          <w:b/>
          <w:i/>
          <w:szCs w:val="20"/>
        </w:rPr>
        <w:t>schopnost týmové práce</w:t>
      </w:r>
      <w:r>
        <w:rPr>
          <w:rFonts w:cs="Arial"/>
          <w:szCs w:val="20"/>
        </w:rPr>
        <w:t xml:space="preserve">, vnímaly ji tak dvě pětiny podniků, které uvedly názor. Ta byla, vcelku překvapivě, zmiňována mezi stěžejními častěji </w:t>
      </w:r>
      <w:r w:rsidRPr="00DE77E6">
        <w:rPr>
          <w:rFonts w:cs="Arial"/>
          <w:i/>
          <w:szCs w:val="20"/>
        </w:rPr>
        <w:t xml:space="preserve">malými podniky </w:t>
      </w:r>
      <w:r>
        <w:rPr>
          <w:rFonts w:cs="Arial"/>
          <w:szCs w:val="20"/>
        </w:rPr>
        <w:t>s 10</w:t>
      </w:r>
      <w:r w:rsidR="000711DA">
        <w:rPr>
          <w:rFonts w:cs="Arial"/>
          <w:szCs w:val="20"/>
        </w:rPr>
        <w:t>–</w:t>
      </w:r>
      <w:r>
        <w:rPr>
          <w:rFonts w:cs="Arial"/>
          <w:szCs w:val="20"/>
        </w:rPr>
        <w:t>19 zaměstnanci (uvedlo ji jako klíčovou 42 %). Čím více zaměstnanců podniky měly, tím ji zmiňovaly méně často a mezi podniky s 250 a více zaměstnanci už ji uv</w:t>
      </w:r>
      <w:r w:rsidR="006C25BC">
        <w:rPr>
          <w:rFonts w:cs="Arial"/>
          <w:szCs w:val="20"/>
        </w:rPr>
        <w:t>edla jen třetina (34</w:t>
      </w:r>
      <w:r>
        <w:rPr>
          <w:rFonts w:cs="Arial"/>
          <w:szCs w:val="20"/>
        </w:rPr>
        <w:t xml:space="preserve"> %). Obdobnou tendenci vykázala dovednost </w:t>
      </w:r>
      <w:r w:rsidRPr="002E28E3">
        <w:rPr>
          <w:rFonts w:cs="Arial"/>
          <w:b/>
          <w:i/>
          <w:szCs w:val="20"/>
        </w:rPr>
        <w:t>jednání se zákazníky</w:t>
      </w:r>
      <w:r>
        <w:rPr>
          <w:rFonts w:cs="Arial"/>
          <w:szCs w:val="20"/>
        </w:rPr>
        <w:t>, kterou uvedly dvě pětiny podniků s 10</w:t>
      </w:r>
      <w:r w:rsidR="000711DA">
        <w:rPr>
          <w:rFonts w:cs="Arial"/>
          <w:szCs w:val="20"/>
        </w:rPr>
        <w:t>–</w:t>
      </w:r>
      <w:r>
        <w:rPr>
          <w:rFonts w:cs="Arial"/>
          <w:szCs w:val="20"/>
        </w:rPr>
        <w:t xml:space="preserve">19 zaměstnanci oproti čtvrtině podniků s 250 a více zaměstnanci. Naopak, čím více zaměstnanců podniky měly, tím bylo častější uvádění potřeby </w:t>
      </w:r>
      <w:r w:rsidRPr="002E28E3">
        <w:rPr>
          <w:rFonts w:cs="Arial"/>
          <w:b/>
          <w:i/>
          <w:szCs w:val="20"/>
        </w:rPr>
        <w:t>manažerských dovedností</w:t>
      </w:r>
      <w:r w:rsidR="006C25BC">
        <w:rPr>
          <w:rFonts w:cs="Arial"/>
          <w:szCs w:val="20"/>
        </w:rPr>
        <w:t>. Uvedlo je 7</w:t>
      </w:r>
      <w:r>
        <w:rPr>
          <w:rFonts w:cs="Arial"/>
          <w:szCs w:val="20"/>
        </w:rPr>
        <w:t> % podniků s 10</w:t>
      </w:r>
      <w:r w:rsidR="000711DA">
        <w:rPr>
          <w:rFonts w:cs="Arial"/>
          <w:szCs w:val="20"/>
        </w:rPr>
        <w:t>–</w:t>
      </w:r>
      <w:r w:rsidR="006C25BC">
        <w:rPr>
          <w:rFonts w:cs="Arial"/>
          <w:szCs w:val="20"/>
        </w:rPr>
        <w:t>19 zaměstnanci oproti 38</w:t>
      </w:r>
      <w:r>
        <w:rPr>
          <w:rFonts w:cs="Arial"/>
          <w:szCs w:val="20"/>
        </w:rPr>
        <w:t xml:space="preserve"> % podniků s 250 a více zaměstnanci. </w:t>
      </w:r>
    </w:p>
    <w:p w14:paraId="3B7C09C9" w14:textId="21AF4168" w:rsidR="00F955D5" w:rsidRDefault="00F955D5" w:rsidP="00F955D5">
      <w:pPr>
        <w:spacing w:after="120"/>
        <w:jc w:val="both"/>
        <w:rPr>
          <w:rFonts w:cs="Arial"/>
          <w:szCs w:val="20"/>
        </w:rPr>
      </w:pPr>
      <w:r>
        <w:rPr>
          <w:rFonts w:cs="Arial"/>
          <w:szCs w:val="20"/>
        </w:rPr>
        <w:t xml:space="preserve">Je tedy možné, že zejména schopnost týmové spolupráce vnímají malé podniky více na úrovni dovedností jedinců, zatímco velké podniky ji spíše považují za manažerskou záležitost (schopný manažer by měl dokázat rozdělit úkoly, nastolit příznivou atmosféru, motivovat své podřízené ke spolupráci atd.). </w:t>
      </w:r>
    </w:p>
    <w:p w14:paraId="0FF21BEC" w14:textId="1DBC7A54" w:rsidR="00F955D5" w:rsidRDefault="00F955D5" w:rsidP="00F955D5">
      <w:pPr>
        <w:spacing w:after="120"/>
        <w:jc w:val="both"/>
        <w:rPr>
          <w:rFonts w:cs="Arial"/>
          <w:szCs w:val="20"/>
        </w:rPr>
      </w:pPr>
      <w:r>
        <w:rPr>
          <w:rFonts w:cs="Arial"/>
          <w:szCs w:val="20"/>
        </w:rPr>
        <w:t xml:space="preserve">Pokud se jedná o dělení podniků </w:t>
      </w:r>
      <w:r w:rsidRPr="00DE77E6">
        <w:rPr>
          <w:rFonts w:cs="Arial"/>
          <w:b/>
          <w:szCs w:val="20"/>
        </w:rPr>
        <w:t xml:space="preserve">dle </w:t>
      </w:r>
      <w:r w:rsidR="000F27F7">
        <w:rPr>
          <w:rFonts w:cs="Arial"/>
          <w:b/>
          <w:szCs w:val="20"/>
        </w:rPr>
        <w:t>druhu vlastnictví</w:t>
      </w:r>
      <w:r>
        <w:rPr>
          <w:rFonts w:cs="Arial"/>
          <w:szCs w:val="20"/>
        </w:rPr>
        <w:t xml:space="preserve">, </w:t>
      </w:r>
      <w:r w:rsidR="000F27F7">
        <w:rPr>
          <w:rFonts w:cs="Arial"/>
          <w:szCs w:val="20"/>
        </w:rPr>
        <w:t>domácí</w:t>
      </w:r>
      <w:r>
        <w:rPr>
          <w:rFonts w:cs="Arial"/>
          <w:szCs w:val="20"/>
        </w:rPr>
        <w:t xml:space="preserve"> podniky </w:t>
      </w:r>
      <w:r w:rsidR="000F27F7">
        <w:rPr>
          <w:rFonts w:cs="Arial"/>
          <w:szCs w:val="20"/>
        </w:rPr>
        <w:t xml:space="preserve">uváděly </w:t>
      </w:r>
      <w:r>
        <w:rPr>
          <w:rFonts w:cs="Arial"/>
          <w:szCs w:val="20"/>
        </w:rPr>
        <w:t xml:space="preserve">častěji než </w:t>
      </w:r>
      <w:r w:rsidR="000F27F7">
        <w:rPr>
          <w:rFonts w:cs="Arial"/>
          <w:szCs w:val="20"/>
        </w:rPr>
        <w:t>podniky se zahraniční kontrolou</w:t>
      </w:r>
      <w:r>
        <w:rPr>
          <w:rFonts w:cs="Arial"/>
          <w:szCs w:val="20"/>
        </w:rPr>
        <w:t xml:space="preserve"> mezi klíčovými dovednostmi pro budoucí rozvoj podniku </w:t>
      </w:r>
      <w:r w:rsidRPr="002E28E3">
        <w:rPr>
          <w:rFonts w:cs="Arial"/>
          <w:b/>
          <w:i/>
          <w:szCs w:val="20"/>
        </w:rPr>
        <w:t>jednání se zákazníky</w:t>
      </w:r>
      <w:r w:rsidR="009D2E6F">
        <w:rPr>
          <w:rFonts w:cs="Arial"/>
          <w:szCs w:val="20"/>
        </w:rPr>
        <w:t xml:space="preserve"> (36 % oproti 29</w:t>
      </w:r>
      <w:r>
        <w:rPr>
          <w:rFonts w:cs="Arial"/>
          <w:szCs w:val="20"/>
        </w:rPr>
        <w:t> %). Naopak podniky</w:t>
      </w:r>
      <w:r w:rsidR="000F27F7">
        <w:rPr>
          <w:rFonts w:cs="Arial"/>
          <w:szCs w:val="20"/>
        </w:rPr>
        <w:t xml:space="preserve"> se zahraniční kontrolou</w:t>
      </w:r>
      <w:r>
        <w:rPr>
          <w:rFonts w:cs="Arial"/>
          <w:szCs w:val="20"/>
        </w:rPr>
        <w:t xml:space="preserve"> zas upřednostňovaly </w:t>
      </w:r>
      <w:r w:rsidRPr="002E28E3">
        <w:rPr>
          <w:rFonts w:cs="Arial"/>
          <w:b/>
          <w:i/>
          <w:szCs w:val="20"/>
        </w:rPr>
        <w:t>manažerské dovednosti</w:t>
      </w:r>
      <w:r w:rsidR="009D2E6F">
        <w:rPr>
          <w:rFonts w:cs="Arial"/>
          <w:szCs w:val="20"/>
        </w:rPr>
        <w:t xml:space="preserve"> (21 % oproti 12</w:t>
      </w:r>
      <w:r>
        <w:rPr>
          <w:rFonts w:cs="Arial"/>
          <w:szCs w:val="20"/>
        </w:rPr>
        <w:t xml:space="preserve"> %). </w:t>
      </w:r>
      <w:r w:rsidR="00E26411">
        <w:rPr>
          <w:rFonts w:cs="Arial"/>
          <w:szCs w:val="20"/>
        </w:rPr>
        <w:t>Zde lze připomenout, že mezi podniky se zahraniční kontrolou je v</w:t>
      </w:r>
      <w:r w:rsidR="009D2E6F">
        <w:rPr>
          <w:rFonts w:cs="Arial"/>
          <w:szCs w:val="20"/>
        </w:rPr>
        <w:t>ětší podíl velkých podniků (tj. s </w:t>
      </w:r>
      <w:r w:rsidR="00E26411">
        <w:rPr>
          <w:rFonts w:cs="Arial"/>
          <w:szCs w:val="20"/>
        </w:rPr>
        <w:t>více zaměstnanci), domácí podniky bývají v průměru menší.</w:t>
      </w:r>
    </w:p>
    <w:p w14:paraId="0C430E96" w14:textId="01337AA3" w:rsidR="000711DA" w:rsidRDefault="00E26411" w:rsidP="000711DA">
      <w:pPr>
        <w:spacing w:after="120"/>
        <w:jc w:val="both"/>
        <w:rPr>
          <w:rFonts w:cs="Arial"/>
          <w:szCs w:val="20"/>
        </w:rPr>
      </w:pPr>
      <w:r>
        <w:rPr>
          <w:rFonts w:cs="Arial"/>
          <w:szCs w:val="20"/>
        </w:rPr>
        <w:t>V tabulce 3.2a jsou j</w:t>
      </w:r>
      <w:r w:rsidR="000711DA">
        <w:rPr>
          <w:rFonts w:cs="Arial"/>
          <w:szCs w:val="20"/>
        </w:rPr>
        <w:t xml:space="preserve">ednotlivé kategorie podniků v třídění </w:t>
      </w:r>
      <w:r w:rsidR="000711DA" w:rsidRPr="00DE77E6">
        <w:rPr>
          <w:rFonts w:cs="Arial"/>
          <w:b/>
          <w:szCs w:val="20"/>
        </w:rPr>
        <w:t>dle převažující ekonomické činnosti</w:t>
      </w:r>
      <w:r w:rsidR="000711DA">
        <w:rPr>
          <w:rFonts w:cs="Arial"/>
          <w:szCs w:val="20"/>
        </w:rPr>
        <w:t xml:space="preserve"> opět řazeny dle celkové frekvence uvádění „soft skills“ mezi důležitými dovednostmi. V popředí stojí oblast </w:t>
      </w:r>
      <w:r w:rsidR="000711DA" w:rsidRPr="00DE77E6">
        <w:rPr>
          <w:rFonts w:cs="Arial"/>
          <w:i/>
          <w:szCs w:val="20"/>
        </w:rPr>
        <w:t>ubytování, stravování a pohostinství</w:t>
      </w:r>
      <w:r w:rsidR="000711DA">
        <w:rPr>
          <w:rFonts w:cs="Arial"/>
          <w:szCs w:val="20"/>
        </w:rPr>
        <w:t xml:space="preserve">. Tyto podniky ze všech oblastí nejčastěji uváděly mezi důležitými </w:t>
      </w:r>
      <w:r w:rsidR="000711DA" w:rsidRPr="00DE77E6">
        <w:rPr>
          <w:rFonts w:cs="Arial"/>
          <w:b/>
          <w:i/>
          <w:szCs w:val="20"/>
        </w:rPr>
        <w:t>schopnost týmové práce</w:t>
      </w:r>
      <w:r w:rsidR="009D2E6F">
        <w:rPr>
          <w:rFonts w:cs="Arial"/>
          <w:szCs w:val="20"/>
        </w:rPr>
        <w:t xml:space="preserve"> (63</w:t>
      </w:r>
      <w:r w:rsidR="000711DA">
        <w:rPr>
          <w:rFonts w:cs="Arial"/>
          <w:szCs w:val="20"/>
        </w:rPr>
        <w:t xml:space="preserve"> %) a </w:t>
      </w:r>
      <w:r w:rsidR="000711DA" w:rsidRPr="00DE77E6">
        <w:rPr>
          <w:rFonts w:cs="Arial"/>
          <w:b/>
          <w:i/>
          <w:szCs w:val="20"/>
        </w:rPr>
        <w:t>komunikační dovednosti</w:t>
      </w:r>
      <w:r w:rsidR="009D2E6F">
        <w:rPr>
          <w:rFonts w:cs="Arial"/>
          <w:szCs w:val="20"/>
        </w:rPr>
        <w:t xml:space="preserve"> (38</w:t>
      </w:r>
      <w:r w:rsidR="000711DA">
        <w:rPr>
          <w:rFonts w:cs="Arial"/>
          <w:szCs w:val="20"/>
        </w:rPr>
        <w:t xml:space="preserve"> %) a v míře uvádění tématu </w:t>
      </w:r>
      <w:r w:rsidR="000711DA" w:rsidRPr="00DE77E6">
        <w:rPr>
          <w:rFonts w:cs="Arial"/>
          <w:b/>
          <w:i/>
          <w:szCs w:val="20"/>
        </w:rPr>
        <w:t>jednání se zákazníky</w:t>
      </w:r>
      <w:r w:rsidR="000711DA">
        <w:rPr>
          <w:rFonts w:cs="Arial"/>
          <w:szCs w:val="20"/>
        </w:rPr>
        <w:t xml:space="preserve"> s</w:t>
      </w:r>
      <w:r w:rsidR="009D2E6F">
        <w:rPr>
          <w:rFonts w:cs="Arial"/>
          <w:szCs w:val="20"/>
        </w:rPr>
        <w:t>e umístily druhé v pořadí s 60</w:t>
      </w:r>
      <w:r w:rsidR="000711DA">
        <w:rPr>
          <w:rFonts w:cs="Arial"/>
          <w:szCs w:val="20"/>
        </w:rPr>
        <w:t xml:space="preserve"> % hned za podniky z oblasti </w:t>
      </w:r>
      <w:r w:rsidR="000711DA" w:rsidRPr="0038386A">
        <w:rPr>
          <w:rFonts w:cs="Arial"/>
          <w:i/>
          <w:szCs w:val="20"/>
        </w:rPr>
        <w:t>velkoobchodu a maloobchodu, opravy motorových vozidel</w:t>
      </w:r>
      <w:r w:rsidR="009D2E6F">
        <w:rPr>
          <w:rFonts w:cs="Arial"/>
          <w:szCs w:val="20"/>
        </w:rPr>
        <w:t xml:space="preserve"> (63</w:t>
      </w:r>
      <w:r w:rsidR="000711DA">
        <w:rPr>
          <w:rFonts w:cs="Arial"/>
          <w:szCs w:val="20"/>
        </w:rPr>
        <w:t xml:space="preserve"> %). Naopak, podniky z oblasti </w:t>
      </w:r>
      <w:r w:rsidR="000711DA" w:rsidRPr="0038386A">
        <w:rPr>
          <w:rFonts w:cs="Arial"/>
          <w:i/>
          <w:szCs w:val="20"/>
        </w:rPr>
        <w:t>ubytování, stravování a pohostinství</w:t>
      </w:r>
      <w:r w:rsidR="000711DA">
        <w:rPr>
          <w:rFonts w:cs="Arial"/>
          <w:szCs w:val="20"/>
        </w:rPr>
        <w:t xml:space="preserve"> nejméně často uváděly potřebu dovedností z oblasti </w:t>
      </w:r>
      <w:r w:rsidR="000711DA" w:rsidRPr="00DE77E6">
        <w:rPr>
          <w:rFonts w:cs="Arial"/>
          <w:b/>
          <w:i/>
          <w:szCs w:val="20"/>
        </w:rPr>
        <w:t>řešení problémů či obtížných úkolů</w:t>
      </w:r>
      <w:r w:rsidR="009D2E6F">
        <w:rPr>
          <w:rFonts w:cs="Arial"/>
          <w:szCs w:val="20"/>
        </w:rPr>
        <w:t xml:space="preserve"> (15</w:t>
      </w:r>
      <w:r w:rsidR="000711DA">
        <w:rPr>
          <w:rFonts w:cs="Arial"/>
          <w:szCs w:val="20"/>
        </w:rPr>
        <w:t xml:space="preserve"> %) a také se umístily mezi tři odvětvové skupiny s nejnižší mírou uvádění potřeby </w:t>
      </w:r>
      <w:r w:rsidR="000711DA" w:rsidRPr="00DE77E6">
        <w:rPr>
          <w:rFonts w:cs="Arial"/>
          <w:b/>
          <w:i/>
          <w:szCs w:val="20"/>
        </w:rPr>
        <w:t>manažerských dovedností</w:t>
      </w:r>
      <w:r w:rsidR="009D2E6F">
        <w:rPr>
          <w:rFonts w:cs="Arial"/>
          <w:szCs w:val="20"/>
        </w:rPr>
        <w:t xml:space="preserve"> (se 7</w:t>
      </w:r>
      <w:r w:rsidR="000711DA">
        <w:rPr>
          <w:rFonts w:cs="Arial"/>
          <w:szCs w:val="20"/>
        </w:rPr>
        <w:t xml:space="preserve"> % podniků). </w:t>
      </w:r>
    </w:p>
    <w:p w14:paraId="2727CE9C" w14:textId="65A5C3D7" w:rsidR="00F955D5" w:rsidRDefault="000711DA" w:rsidP="00483630">
      <w:pPr>
        <w:spacing w:after="120"/>
        <w:jc w:val="both"/>
        <w:rPr>
          <w:rFonts w:cs="Arial"/>
          <w:szCs w:val="20"/>
        </w:rPr>
      </w:pPr>
      <w:r>
        <w:rPr>
          <w:rFonts w:cs="Arial"/>
          <w:szCs w:val="20"/>
        </w:rPr>
        <w:lastRenderedPageBreak/>
        <w:t xml:space="preserve">Druhým odvětvím v pořadí celkového uvádění soft skills jako stěžejních je </w:t>
      </w:r>
      <w:r w:rsidRPr="00DE77E6">
        <w:rPr>
          <w:rFonts w:cs="Arial"/>
          <w:i/>
          <w:szCs w:val="20"/>
        </w:rPr>
        <w:t>peněžnictví a pojišťovnictví</w:t>
      </w:r>
      <w:r>
        <w:rPr>
          <w:rFonts w:cs="Arial"/>
          <w:szCs w:val="20"/>
        </w:rPr>
        <w:t xml:space="preserve">, které zase nejvíce </w:t>
      </w:r>
      <w:r w:rsidR="00A51641">
        <w:rPr>
          <w:rFonts w:cs="Arial"/>
          <w:szCs w:val="20"/>
        </w:rPr>
        <w:t xml:space="preserve">ze všech odvětví </w:t>
      </w:r>
      <w:r>
        <w:rPr>
          <w:rFonts w:cs="Arial"/>
          <w:szCs w:val="20"/>
        </w:rPr>
        <w:t xml:space="preserve">akcentuje potřebu </w:t>
      </w:r>
      <w:r w:rsidRPr="00DE77E6">
        <w:rPr>
          <w:rFonts w:cs="Arial"/>
          <w:b/>
          <w:i/>
          <w:szCs w:val="20"/>
        </w:rPr>
        <w:t>manažerských dovedností</w:t>
      </w:r>
      <w:r>
        <w:rPr>
          <w:rFonts w:cs="Arial"/>
          <w:szCs w:val="20"/>
        </w:rPr>
        <w:t xml:space="preserve"> (uvedlo tak 28 % takových podniků). Naopak nejméně často jako důležité byly manažerské dovednosti spatřovány podniky z oblasti </w:t>
      </w:r>
      <w:r w:rsidRPr="00DE77E6">
        <w:rPr>
          <w:rFonts w:cs="Arial"/>
          <w:i/>
          <w:szCs w:val="20"/>
        </w:rPr>
        <w:t>kultury, zábavy a rekreace</w:t>
      </w:r>
      <w:r>
        <w:rPr>
          <w:rFonts w:cs="Arial"/>
          <w:szCs w:val="20"/>
        </w:rPr>
        <w:t xml:space="preserve"> (uvedlo 0,6 % podniků). Podniky z  odvětví </w:t>
      </w:r>
      <w:r w:rsidRPr="00DE77E6">
        <w:rPr>
          <w:rFonts w:cs="Arial"/>
          <w:i/>
          <w:szCs w:val="20"/>
        </w:rPr>
        <w:t>kultury, zábavy a rekreace</w:t>
      </w:r>
      <w:r>
        <w:rPr>
          <w:rFonts w:cs="Arial"/>
          <w:szCs w:val="20"/>
        </w:rPr>
        <w:t xml:space="preserve"> také nejméně často uváděly jako klíčovou potřebu </w:t>
      </w:r>
      <w:r w:rsidRPr="00C74AAF">
        <w:rPr>
          <w:rFonts w:cs="Arial"/>
          <w:b/>
          <w:i/>
          <w:szCs w:val="20"/>
        </w:rPr>
        <w:t>týmové spolupráce</w:t>
      </w:r>
      <w:r w:rsidR="009D2E6F">
        <w:rPr>
          <w:rFonts w:cs="Arial"/>
          <w:szCs w:val="20"/>
        </w:rPr>
        <w:t xml:space="preserve"> (29</w:t>
      </w:r>
      <w:r>
        <w:rPr>
          <w:rFonts w:cs="Arial"/>
          <w:szCs w:val="20"/>
        </w:rPr>
        <w:t xml:space="preserve"> %). Odvětvím, které kladlo na soft skills nejmenší důraz, bylo </w:t>
      </w:r>
      <w:r w:rsidRPr="00DE77E6">
        <w:rPr>
          <w:rFonts w:cs="Arial"/>
          <w:i/>
          <w:szCs w:val="20"/>
        </w:rPr>
        <w:t>stavebnictví</w:t>
      </w:r>
      <w:r>
        <w:rPr>
          <w:rFonts w:cs="Arial"/>
          <w:szCs w:val="20"/>
        </w:rPr>
        <w:t xml:space="preserve">, které ze všech odvětví nejméně často vyzdvihovalo potřebu dovedností při </w:t>
      </w:r>
      <w:r w:rsidRPr="00DE77E6">
        <w:rPr>
          <w:rFonts w:cs="Arial"/>
          <w:b/>
          <w:i/>
          <w:szCs w:val="20"/>
        </w:rPr>
        <w:t>jednání se zákazníky</w:t>
      </w:r>
      <w:r w:rsidR="009D2E6F">
        <w:rPr>
          <w:rFonts w:cs="Arial"/>
          <w:szCs w:val="20"/>
        </w:rPr>
        <w:t xml:space="preserve"> (20</w:t>
      </w:r>
      <w:r>
        <w:rPr>
          <w:rFonts w:cs="Arial"/>
          <w:szCs w:val="20"/>
        </w:rPr>
        <w:t xml:space="preserve"> %) a </w:t>
      </w:r>
      <w:r w:rsidRPr="00DE77E6">
        <w:rPr>
          <w:rFonts w:cs="Arial"/>
          <w:b/>
          <w:i/>
          <w:szCs w:val="20"/>
        </w:rPr>
        <w:t>komunikační dovednosti</w:t>
      </w:r>
      <w:r w:rsidR="009D2E6F">
        <w:rPr>
          <w:rFonts w:cs="Arial"/>
          <w:szCs w:val="20"/>
        </w:rPr>
        <w:t xml:space="preserve"> (12</w:t>
      </w:r>
      <w:r>
        <w:rPr>
          <w:rFonts w:cs="Arial"/>
          <w:szCs w:val="20"/>
        </w:rPr>
        <w:t> %).</w:t>
      </w:r>
    </w:p>
    <w:p w14:paraId="76D7A935" w14:textId="61818153" w:rsidR="004C4F78" w:rsidRDefault="004C4F78" w:rsidP="004C4F78">
      <w:pPr>
        <w:keepNext/>
        <w:spacing w:after="0"/>
        <w:jc w:val="both"/>
        <w:rPr>
          <w:rFonts w:cs="Arial"/>
          <w:b/>
          <w:szCs w:val="20"/>
        </w:rPr>
      </w:pPr>
      <w:r>
        <w:rPr>
          <w:rFonts w:cs="Arial"/>
          <w:b/>
          <w:szCs w:val="20"/>
        </w:rPr>
        <w:t>Tab.</w:t>
      </w:r>
      <w:r w:rsidR="00E13316" w:rsidRPr="00E13316">
        <w:rPr>
          <w:rFonts w:cs="Arial"/>
          <w:b/>
          <w:szCs w:val="20"/>
        </w:rPr>
        <w:t xml:space="preserve"> 3.2</w:t>
      </w:r>
      <w:r w:rsidR="00797B9E">
        <w:rPr>
          <w:rFonts w:cs="Arial"/>
          <w:b/>
          <w:szCs w:val="20"/>
        </w:rPr>
        <w:t>a</w:t>
      </w:r>
      <w:r w:rsidR="00E13316">
        <w:rPr>
          <w:rFonts w:cs="Arial"/>
          <w:szCs w:val="20"/>
        </w:rPr>
        <w:t xml:space="preserve"> </w:t>
      </w:r>
      <w:r w:rsidRPr="004C4F78">
        <w:rPr>
          <w:rFonts w:cs="Arial"/>
          <w:b/>
          <w:szCs w:val="20"/>
        </w:rPr>
        <w:t xml:space="preserve">Podniky s uvedenými druhy „soft skills“ </w:t>
      </w:r>
      <w:r>
        <w:rPr>
          <w:rFonts w:cs="Arial"/>
          <w:b/>
          <w:szCs w:val="20"/>
        </w:rPr>
        <w:t>považovanými za</w:t>
      </w:r>
      <w:r w:rsidRPr="004C4F78">
        <w:rPr>
          <w:rFonts w:cs="Arial"/>
          <w:b/>
          <w:szCs w:val="20"/>
        </w:rPr>
        <w:t xml:space="preserve"> stěžejní</w:t>
      </w:r>
      <w:r w:rsidR="00E13316">
        <w:rPr>
          <w:rFonts w:cs="Arial"/>
          <w:b/>
          <w:szCs w:val="20"/>
        </w:rPr>
        <w:t xml:space="preserve"> pro rozvoj podniku</w:t>
      </w:r>
      <w:r w:rsidR="00A76773">
        <w:rPr>
          <w:rStyle w:val="Znakapoznpodarou"/>
          <w:rFonts w:cs="Arial"/>
          <w:b/>
          <w:szCs w:val="20"/>
        </w:rPr>
        <w:footnoteReference w:id="6"/>
      </w:r>
      <w:r>
        <w:rPr>
          <w:rFonts w:cs="Arial"/>
          <w:b/>
          <w:szCs w:val="20"/>
        </w:rPr>
        <w:t xml:space="preserve">, </w:t>
      </w:r>
      <w:r w:rsidR="00E13316" w:rsidRPr="008B4C2F">
        <w:rPr>
          <w:rFonts w:cs="Arial"/>
          <w:b/>
          <w:szCs w:val="20"/>
        </w:rPr>
        <w:t>2020</w:t>
      </w:r>
      <w:r w:rsidR="00E13316">
        <w:rPr>
          <w:rFonts w:cs="Arial"/>
          <w:b/>
          <w:szCs w:val="20"/>
        </w:rPr>
        <w:t xml:space="preserve"> </w:t>
      </w:r>
    </w:p>
    <w:p w14:paraId="070F819C" w14:textId="5B44C5B1" w:rsidR="00E13316" w:rsidRPr="004C4F78" w:rsidRDefault="004C4F78" w:rsidP="00F955D5">
      <w:pPr>
        <w:keepNext/>
        <w:spacing w:after="120"/>
        <w:jc w:val="both"/>
        <w:rPr>
          <w:rFonts w:cs="Arial"/>
          <w:szCs w:val="20"/>
        </w:rPr>
      </w:pPr>
      <w:r w:rsidRPr="004C4F78">
        <w:rPr>
          <w:rFonts w:cs="Arial"/>
          <w:szCs w:val="20"/>
        </w:rPr>
        <w:t>(</w:t>
      </w:r>
      <w:r w:rsidR="00E13316" w:rsidRPr="004C4F78">
        <w:rPr>
          <w:rFonts w:cs="Arial"/>
          <w:szCs w:val="20"/>
        </w:rPr>
        <w:t>v %</w:t>
      </w:r>
      <w:r w:rsidRPr="004C4F78">
        <w:rPr>
          <w:rFonts w:cs="Arial"/>
          <w:szCs w:val="20"/>
        </w:rPr>
        <w:t xml:space="preserve"> z podniků, které uvedly názor</w:t>
      </w:r>
      <w:r w:rsidR="00E13316" w:rsidRPr="004C4F78">
        <w:rPr>
          <w:rFonts w:cs="Arial"/>
          <w:szCs w:val="20"/>
        </w:rPr>
        <w:t>)</w:t>
      </w:r>
    </w:p>
    <w:tbl>
      <w:tblPr>
        <w:tblW w:w="8802" w:type="dxa"/>
        <w:tblCellMar>
          <w:left w:w="70" w:type="dxa"/>
          <w:right w:w="70" w:type="dxa"/>
        </w:tblCellMar>
        <w:tblLook w:val="04A0" w:firstRow="1" w:lastRow="0" w:firstColumn="1" w:lastColumn="0" w:noHBand="0" w:noVBand="1"/>
      </w:tblPr>
      <w:tblGrid>
        <w:gridCol w:w="3380"/>
        <w:gridCol w:w="1040"/>
        <w:gridCol w:w="1000"/>
        <w:gridCol w:w="1180"/>
        <w:gridCol w:w="1145"/>
        <w:gridCol w:w="1057"/>
      </w:tblGrid>
      <w:tr w:rsidR="00E13316" w:rsidRPr="00E13316" w14:paraId="42BD3FB7" w14:textId="77777777" w:rsidTr="00552396">
        <w:trPr>
          <w:trHeight w:val="722"/>
        </w:trPr>
        <w:tc>
          <w:tcPr>
            <w:tcW w:w="3380" w:type="dxa"/>
            <w:tcBorders>
              <w:top w:val="single" w:sz="4" w:space="0" w:color="auto"/>
              <w:left w:val="single" w:sz="4" w:space="0" w:color="auto"/>
              <w:bottom w:val="single" w:sz="4" w:space="0" w:color="auto"/>
              <w:right w:val="single" w:sz="4" w:space="0" w:color="auto"/>
            </w:tcBorders>
            <w:shd w:val="clear" w:color="000000" w:fill="7FB0DD"/>
            <w:noWrap/>
            <w:vAlign w:val="center"/>
            <w:hideMark/>
          </w:tcPr>
          <w:p w14:paraId="4CC55A36" w14:textId="77777777" w:rsidR="00E13316" w:rsidRPr="00E13316" w:rsidRDefault="00E13316" w:rsidP="00F955D5">
            <w:pPr>
              <w:keepNext/>
              <w:spacing w:after="0" w:line="240" w:lineRule="auto"/>
              <w:jc w:val="center"/>
              <w:rPr>
                <w:rFonts w:cs="Arial"/>
                <w:b/>
                <w:bCs/>
                <w:sz w:val="16"/>
                <w:szCs w:val="16"/>
              </w:rPr>
            </w:pPr>
            <w:r w:rsidRPr="00E13316">
              <w:rPr>
                <w:rFonts w:cs="Arial"/>
                <w:b/>
                <w:bCs/>
                <w:sz w:val="16"/>
                <w:szCs w:val="16"/>
              </w:rPr>
              <w:t> </w:t>
            </w:r>
          </w:p>
        </w:tc>
        <w:tc>
          <w:tcPr>
            <w:tcW w:w="1040" w:type="dxa"/>
            <w:tcBorders>
              <w:top w:val="single" w:sz="4" w:space="0" w:color="auto"/>
              <w:left w:val="nil"/>
              <w:bottom w:val="single" w:sz="4" w:space="0" w:color="auto"/>
              <w:right w:val="single" w:sz="4" w:space="0" w:color="auto"/>
            </w:tcBorders>
            <w:shd w:val="clear" w:color="000000" w:fill="7FB0DD"/>
            <w:vAlign w:val="center"/>
            <w:hideMark/>
          </w:tcPr>
          <w:p w14:paraId="4A22AA59" w14:textId="62C05452" w:rsidR="00E13316" w:rsidRPr="00E13316" w:rsidRDefault="006026BF" w:rsidP="00F955D5">
            <w:pPr>
              <w:keepNext/>
              <w:spacing w:after="0" w:line="240" w:lineRule="auto"/>
              <w:jc w:val="center"/>
              <w:rPr>
                <w:rFonts w:cs="Arial"/>
                <w:b/>
                <w:bCs/>
                <w:color w:val="000000"/>
                <w:sz w:val="16"/>
                <w:szCs w:val="16"/>
              </w:rPr>
            </w:pPr>
            <w:r>
              <w:rPr>
                <w:rFonts w:cs="Arial"/>
                <w:b/>
                <w:bCs/>
                <w:color w:val="000000"/>
                <w:sz w:val="16"/>
                <w:szCs w:val="16"/>
              </w:rPr>
              <w:t>S</w:t>
            </w:r>
            <w:r w:rsidR="00E13316" w:rsidRPr="00E13316">
              <w:rPr>
                <w:rFonts w:cs="Arial"/>
                <w:b/>
                <w:bCs/>
                <w:color w:val="000000"/>
                <w:sz w:val="16"/>
                <w:szCs w:val="16"/>
              </w:rPr>
              <w:t xml:space="preserve">chopnost týmové práce </w:t>
            </w:r>
          </w:p>
        </w:tc>
        <w:tc>
          <w:tcPr>
            <w:tcW w:w="1000" w:type="dxa"/>
            <w:tcBorders>
              <w:top w:val="single" w:sz="4" w:space="0" w:color="auto"/>
              <w:left w:val="nil"/>
              <w:bottom w:val="single" w:sz="4" w:space="0" w:color="auto"/>
              <w:right w:val="single" w:sz="4" w:space="0" w:color="auto"/>
            </w:tcBorders>
            <w:shd w:val="clear" w:color="000000" w:fill="7FB0DD"/>
            <w:vAlign w:val="center"/>
            <w:hideMark/>
          </w:tcPr>
          <w:p w14:paraId="2EEE0547" w14:textId="10DE1326" w:rsidR="00E13316" w:rsidRPr="00E13316" w:rsidRDefault="006026BF" w:rsidP="00F955D5">
            <w:pPr>
              <w:keepNext/>
              <w:spacing w:after="0" w:line="240" w:lineRule="auto"/>
              <w:jc w:val="center"/>
              <w:rPr>
                <w:rFonts w:cs="Arial"/>
                <w:b/>
                <w:bCs/>
                <w:color w:val="000000"/>
                <w:sz w:val="16"/>
                <w:szCs w:val="16"/>
              </w:rPr>
            </w:pPr>
            <w:r>
              <w:rPr>
                <w:rFonts w:cs="Arial"/>
                <w:b/>
                <w:bCs/>
                <w:color w:val="000000"/>
                <w:sz w:val="16"/>
                <w:szCs w:val="16"/>
              </w:rPr>
              <w:t>J</w:t>
            </w:r>
            <w:r w:rsidR="00E13316" w:rsidRPr="00E13316">
              <w:rPr>
                <w:rFonts w:cs="Arial"/>
                <w:b/>
                <w:bCs/>
                <w:color w:val="000000"/>
                <w:sz w:val="16"/>
                <w:szCs w:val="16"/>
              </w:rPr>
              <w:t>ednání se zákazníky</w:t>
            </w:r>
          </w:p>
        </w:tc>
        <w:tc>
          <w:tcPr>
            <w:tcW w:w="1180" w:type="dxa"/>
            <w:tcBorders>
              <w:top w:val="single" w:sz="4" w:space="0" w:color="auto"/>
              <w:left w:val="nil"/>
              <w:bottom w:val="single" w:sz="4" w:space="0" w:color="auto"/>
              <w:right w:val="single" w:sz="4" w:space="0" w:color="auto"/>
            </w:tcBorders>
            <w:shd w:val="clear" w:color="000000" w:fill="7FB0DD"/>
            <w:vAlign w:val="center"/>
            <w:hideMark/>
          </w:tcPr>
          <w:p w14:paraId="7C4D52AD" w14:textId="27043683" w:rsidR="00E13316" w:rsidRPr="00E13316" w:rsidRDefault="006026BF" w:rsidP="00F955D5">
            <w:pPr>
              <w:keepNext/>
              <w:spacing w:after="0" w:line="240" w:lineRule="auto"/>
              <w:jc w:val="center"/>
              <w:rPr>
                <w:rFonts w:cs="Arial"/>
                <w:b/>
                <w:bCs/>
                <w:color w:val="000000"/>
                <w:sz w:val="16"/>
                <w:szCs w:val="16"/>
              </w:rPr>
            </w:pPr>
            <w:r>
              <w:rPr>
                <w:rFonts w:cs="Arial"/>
                <w:b/>
                <w:bCs/>
                <w:color w:val="000000"/>
                <w:sz w:val="16"/>
                <w:szCs w:val="16"/>
              </w:rPr>
              <w:t>Ř</w:t>
            </w:r>
            <w:r w:rsidR="00E13316" w:rsidRPr="00E13316">
              <w:rPr>
                <w:rFonts w:cs="Arial"/>
                <w:b/>
                <w:bCs/>
                <w:color w:val="000000"/>
                <w:sz w:val="16"/>
                <w:szCs w:val="16"/>
              </w:rPr>
              <w:t>ešení problémů či obtížných úkolů</w:t>
            </w:r>
          </w:p>
        </w:tc>
        <w:tc>
          <w:tcPr>
            <w:tcW w:w="1145" w:type="dxa"/>
            <w:tcBorders>
              <w:top w:val="single" w:sz="4" w:space="0" w:color="auto"/>
              <w:left w:val="nil"/>
              <w:bottom w:val="single" w:sz="4" w:space="0" w:color="auto"/>
              <w:right w:val="single" w:sz="4" w:space="0" w:color="auto"/>
            </w:tcBorders>
            <w:shd w:val="clear" w:color="000000" w:fill="7FB0DD"/>
            <w:vAlign w:val="center"/>
            <w:hideMark/>
          </w:tcPr>
          <w:p w14:paraId="3D69A78A" w14:textId="46CA4F1B" w:rsidR="00E13316" w:rsidRPr="00E13316" w:rsidRDefault="006026BF" w:rsidP="00F955D5">
            <w:pPr>
              <w:keepNext/>
              <w:spacing w:after="0" w:line="240" w:lineRule="auto"/>
              <w:jc w:val="center"/>
              <w:rPr>
                <w:rFonts w:cs="Arial"/>
                <w:b/>
                <w:bCs/>
                <w:color w:val="000000"/>
                <w:sz w:val="16"/>
                <w:szCs w:val="16"/>
              </w:rPr>
            </w:pPr>
            <w:r>
              <w:rPr>
                <w:rFonts w:cs="Arial"/>
                <w:b/>
                <w:bCs/>
                <w:color w:val="000000"/>
                <w:sz w:val="16"/>
                <w:szCs w:val="16"/>
              </w:rPr>
              <w:t>K</w:t>
            </w:r>
            <w:r w:rsidR="00E13316">
              <w:rPr>
                <w:rFonts w:cs="Arial"/>
                <w:b/>
                <w:bCs/>
                <w:color w:val="000000"/>
                <w:sz w:val="16"/>
                <w:szCs w:val="16"/>
              </w:rPr>
              <w:t>omunikační doved</w:t>
            </w:r>
            <w:r w:rsidR="00E13316" w:rsidRPr="00E13316">
              <w:rPr>
                <w:rFonts w:cs="Arial"/>
                <w:b/>
                <w:bCs/>
                <w:color w:val="000000"/>
                <w:sz w:val="16"/>
                <w:szCs w:val="16"/>
              </w:rPr>
              <w:t xml:space="preserve">nosti </w:t>
            </w:r>
          </w:p>
        </w:tc>
        <w:tc>
          <w:tcPr>
            <w:tcW w:w="1057" w:type="dxa"/>
            <w:tcBorders>
              <w:top w:val="single" w:sz="4" w:space="0" w:color="auto"/>
              <w:left w:val="nil"/>
              <w:bottom w:val="single" w:sz="4" w:space="0" w:color="auto"/>
              <w:right w:val="single" w:sz="4" w:space="0" w:color="auto"/>
            </w:tcBorders>
            <w:shd w:val="clear" w:color="000000" w:fill="7FB0DD"/>
            <w:vAlign w:val="center"/>
            <w:hideMark/>
          </w:tcPr>
          <w:p w14:paraId="194D3A2B" w14:textId="5C560CC9" w:rsidR="00E13316" w:rsidRPr="00E13316" w:rsidRDefault="006026BF" w:rsidP="00F955D5">
            <w:pPr>
              <w:keepNext/>
              <w:spacing w:after="0" w:line="240" w:lineRule="auto"/>
              <w:jc w:val="center"/>
              <w:rPr>
                <w:rFonts w:cs="Arial"/>
                <w:b/>
                <w:bCs/>
                <w:color w:val="000000"/>
                <w:sz w:val="16"/>
                <w:szCs w:val="16"/>
              </w:rPr>
            </w:pPr>
            <w:r>
              <w:rPr>
                <w:rFonts w:cs="Arial"/>
                <w:b/>
                <w:bCs/>
                <w:color w:val="000000"/>
                <w:sz w:val="16"/>
                <w:szCs w:val="16"/>
              </w:rPr>
              <w:t>M</w:t>
            </w:r>
            <w:r w:rsidR="00E13316">
              <w:rPr>
                <w:rFonts w:cs="Arial"/>
                <w:b/>
                <w:bCs/>
                <w:color w:val="000000"/>
                <w:sz w:val="16"/>
                <w:szCs w:val="16"/>
              </w:rPr>
              <w:t>anažerské doved</w:t>
            </w:r>
            <w:r w:rsidR="00E13316" w:rsidRPr="00E13316">
              <w:rPr>
                <w:rFonts w:cs="Arial"/>
                <w:b/>
                <w:bCs/>
                <w:color w:val="000000"/>
                <w:sz w:val="16"/>
                <w:szCs w:val="16"/>
              </w:rPr>
              <w:t xml:space="preserve">nosti </w:t>
            </w:r>
          </w:p>
        </w:tc>
      </w:tr>
      <w:tr w:rsidR="00E13316" w:rsidRPr="00D93BF6" w14:paraId="7D03F78E"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1421CE1" w14:textId="77777777" w:rsidR="00E13316" w:rsidRPr="00E13316" w:rsidRDefault="00E13316" w:rsidP="00F955D5">
            <w:pPr>
              <w:keepNext/>
              <w:spacing w:after="0" w:line="240" w:lineRule="auto"/>
              <w:rPr>
                <w:rFonts w:cs="Arial"/>
                <w:b/>
                <w:bCs/>
                <w:sz w:val="16"/>
                <w:szCs w:val="16"/>
              </w:rPr>
            </w:pPr>
            <w:r w:rsidRPr="00E13316">
              <w:rPr>
                <w:rFonts w:cs="Arial"/>
                <w:b/>
                <w:bCs/>
                <w:sz w:val="16"/>
                <w:szCs w:val="16"/>
              </w:rPr>
              <w:t>Celkem</w:t>
            </w:r>
          </w:p>
        </w:tc>
        <w:tc>
          <w:tcPr>
            <w:tcW w:w="1040" w:type="dxa"/>
            <w:tcBorders>
              <w:top w:val="nil"/>
              <w:left w:val="nil"/>
              <w:bottom w:val="single" w:sz="4" w:space="0" w:color="auto"/>
              <w:right w:val="single" w:sz="4" w:space="0" w:color="auto"/>
            </w:tcBorders>
            <w:shd w:val="clear" w:color="auto" w:fill="auto"/>
            <w:noWrap/>
            <w:vAlign w:val="center"/>
            <w:hideMark/>
          </w:tcPr>
          <w:p w14:paraId="105AD5EF" w14:textId="77777777" w:rsidR="00E13316" w:rsidRPr="00D93BF6" w:rsidRDefault="00E13316" w:rsidP="00F955D5">
            <w:pPr>
              <w:keepNext/>
              <w:spacing w:after="0" w:line="240" w:lineRule="auto"/>
              <w:jc w:val="right"/>
              <w:rPr>
                <w:rFonts w:cs="Arial"/>
                <w:b/>
                <w:color w:val="000000"/>
                <w:sz w:val="16"/>
                <w:szCs w:val="16"/>
              </w:rPr>
            </w:pPr>
            <w:r w:rsidRPr="00D93BF6">
              <w:rPr>
                <w:rFonts w:cs="Arial"/>
                <w:b/>
                <w:color w:val="000000"/>
                <w:sz w:val="16"/>
                <w:szCs w:val="16"/>
              </w:rPr>
              <w:t>40,3</w:t>
            </w:r>
          </w:p>
        </w:tc>
        <w:tc>
          <w:tcPr>
            <w:tcW w:w="1000" w:type="dxa"/>
            <w:tcBorders>
              <w:top w:val="nil"/>
              <w:left w:val="nil"/>
              <w:bottom w:val="single" w:sz="4" w:space="0" w:color="auto"/>
              <w:right w:val="single" w:sz="4" w:space="0" w:color="auto"/>
            </w:tcBorders>
            <w:shd w:val="clear" w:color="auto" w:fill="auto"/>
            <w:noWrap/>
            <w:vAlign w:val="center"/>
            <w:hideMark/>
          </w:tcPr>
          <w:p w14:paraId="07CDDE69" w14:textId="77777777" w:rsidR="00E13316" w:rsidRPr="00D93BF6" w:rsidRDefault="00E13316" w:rsidP="00F955D5">
            <w:pPr>
              <w:keepNext/>
              <w:spacing w:after="0" w:line="240" w:lineRule="auto"/>
              <w:jc w:val="right"/>
              <w:rPr>
                <w:rFonts w:cs="Arial"/>
                <w:b/>
                <w:color w:val="000000"/>
                <w:sz w:val="16"/>
                <w:szCs w:val="16"/>
              </w:rPr>
            </w:pPr>
            <w:r w:rsidRPr="00D93BF6">
              <w:rPr>
                <w:rFonts w:cs="Arial"/>
                <w:b/>
                <w:color w:val="000000"/>
                <w:sz w:val="16"/>
                <w:szCs w:val="16"/>
              </w:rPr>
              <w:t>35,2</w:t>
            </w:r>
          </w:p>
        </w:tc>
        <w:tc>
          <w:tcPr>
            <w:tcW w:w="1180" w:type="dxa"/>
            <w:tcBorders>
              <w:top w:val="nil"/>
              <w:left w:val="nil"/>
              <w:bottom w:val="single" w:sz="4" w:space="0" w:color="auto"/>
              <w:right w:val="single" w:sz="4" w:space="0" w:color="auto"/>
            </w:tcBorders>
            <w:shd w:val="clear" w:color="auto" w:fill="auto"/>
            <w:noWrap/>
            <w:vAlign w:val="center"/>
            <w:hideMark/>
          </w:tcPr>
          <w:p w14:paraId="7FDA188A" w14:textId="77777777" w:rsidR="00E13316" w:rsidRPr="00D93BF6" w:rsidRDefault="00E13316" w:rsidP="00F955D5">
            <w:pPr>
              <w:keepNext/>
              <w:spacing w:after="0" w:line="240" w:lineRule="auto"/>
              <w:jc w:val="right"/>
              <w:rPr>
                <w:rFonts w:cs="Arial"/>
                <w:b/>
                <w:color w:val="000000"/>
                <w:sz w:val="16"/>
                <w:szCs w:val="16"/>
              </w:rPr>
            </w:pPr>
            <w:r w:rsidRPr="00D93BF6">
              <w:rPr>
                <w:rFonts w:cs="Arial"/>
                <w:b/>
                <w:color w:val="000000"/>
                <w:sz w:val="16"/>
                <w:szCs w:val="16"/>
              </w:rPr>
              <w:t>24,5</w:t>
            </w:r>
          </w:p>
        </w:tc>
        <w:tc>
          <w:tcPr>
            <w:tcW w:w="1145" w:type="dxa"/>
            <w:tcBorders>
              <w:top w:val="nil"/>
              <w:left w:val="nil"/>
              <w:bottom w:val="single" w:sz="4" w:space="0" w:color="auto"/>
              <w:right w:val="single" w:sz="4" w:space="0" w:color="auto"/>
            </w:tcBorders>
            <w:shd w:val="clear" w:color="auto" w:fill="auto"/>
            <w:noWrap/>
            <w:vAlign w:val="center"/>
            <w:hideMark/>
          </w:tcPr>
          <w:p w14:paraId="6CEC6163" w14:textId="77777777" w:rsidR="00E13316" w:rsidRPr="00D93BF6" w:rsidRDefault="00E13316" w:rsidP="00F955D5">
            <w:pPr>
              <w:keepNext/>
              <w:spacing w:after="0" w:line="240" w:lineRule="auto"/>
              <w:jc w:val="right"/>
              <w:rPr>
                <w:rFonts w:cs="Arial"/>
                <w:b/>
                <w:color w:val="000000"/>
                <w:sz w:val="16"/>
                <w:szCs w:val="16"/>
              </w:rPr>
            </w:pPr>
            <w:r w:rsidRPr="00D93BF6">
              <w:rPr>
                <w:rFonts w:cs="Arial"/>
                <w:b/>
                <w:color w:val="000000"/>
                <w:sz w:val="16"/>
                <w:szCs w:val="16"/>
              </w:rPr>
              <w:t>21,8</w:t>
            </w:r>
          </w:p>
        </w:tc>
        <w:tc>
          <w:tcPr>
            <w:tcW w:w="1057" w:type="dxa"/>
            <w:tcBorders>
              <w:top w:val="nil"/>
              <w:left w:val="nil"/>
              <w:bottom w:val="single" w:sz="4" w:space="0" w:color="auto"/>
              <w:right w:val="single" w:sz="4" w:space="0" w:color="auto"/>
            </w:tcBorders>
            <w:shd w:val="clear" w:color="auto" w:fill="auto"/>
            <w:noWrap/>
            <w:vAlign w:val="center"/>
            <w:hideMark/>
          </w:tcPr>
          <w:p w14:paraId="43610B86" w14:textId="77777777" w:rsidR="00E13316" w:rsidRPr="00D93BF6" w:rsidRDefault="00E13316" w:rsidP="00F955D5">
            <w:pPr>
              <w:keepNext/>
              <w:spacing w:after="0" w:line="240" w:lineRule="auto"/>
              <w:jc w:val="right"/>
              <w:rPr>
                <w:rFonts w:cs="Arial"/>
                <w:b/>
                <w:color w:val="000000"/>
                <w:sz w:val="16"/>
                <w:szCs w:val="16"/>
              </w:rPr>
            </w:pPr>
            <w:r w:rsidRPr="00D93BF6">
              <w:rPr>
                <w:rFonts w:cs="Arial"/>
                <w:b/>
                <w:color w:val="000000"/>
                <w:sz w:val="16"/>
                <w:szCs w:val="16"/>
              </w:rPr>
              <w:t>13,2</w:t>
            </w:r>
          </w:p>
        </w:tc>
      </w:tr>
      <w:tr w:rsidR="00E13316" w:rsidRPr="00E13316" w14:paraId="6C5BA8A5" w14:textId="77777777" w:rsidTr="00552396">
        <w:trPr>
          <w:trHeight w:val="315"/>
        </w:trPr>
        <w:tc>
          <w:tcPr>
            <w:tcW w:w="8802"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1C3D07A9" w14:textId="77777777" w:rsidR="00E13316" w:rsidRPr="00E13316" w:rsidRDefault="00E13316" w:rsidP="00F955D5">
            <w:pPr>
              <w:keepNext/>
              <w:spacing w:after="0" w:line="240" w:lineRule="auto"/>
              <w:rPr>
                <w:rFonts w:cs="Arial"/>
                <w:b/>
                <w:bCs/>
                <w:sz w:val="16"/>
                <w:szCs w:val="16"/>
              </w:rPr>
            </w:pPr>
            <w:r w:rsidRPr="00E13316">
              <w:rPr>
                <w:rFonts w:cs="Arial"/>
                <w:b/>
                <w:bCs/>
                <w:sz w:val="16"/>
                <w:szCs w:val="16"/>
              </w:rPr>
              <w:t xml:space="preserve">podle počtu zaměstnanců </w:t>
            </w:r>
          </w:p>
        </w:tc>
      </w:tr>
      <w:tr w:rsidR="00E13316" w:rsidRPr="00E13316" w14:paraId="5960D422"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361C25F" w14:textId="77777777" w:rsidR="00E13316" w:rsidRPr="00E13316" w:rsidRDefault="00E13316" w:rsidP="00F955D5">
            <w:pPr>
              <w:keepNext/>
              <w:spacing w:after="0" w:line="240" w:lineRule="auto"/>
              <w:rPr>
                <w:rFonts w:cs="Arial"/>
                <w:sz w:val="16"/>
                <w:szCs w:val="16"/>
              </w:rPr>
            </w:pPr>
            <w:r w:rsidRPr="00E13316">
              <w:rPr>
                <w:rFonts w:cs="Arial"/>
                <w:sz w:val="16"/>
                <w:szCs w:val="16"/>
              </w:rPr>
              <w:t>10–19 zaměstnanců</w:t>
            </w:r>
          </w:p>
        </w:tc>
        <w:tc>
          <w:tcPr>
            <w:tcW w:w="1040" w:type="dxa"/>
            <w:tcBorders>
              <w:top w:val="nil"/>
              <w:left w:val="nil"/>
              <w:bottom w:val="single" w:sz="4" w:space="0" w:color="auto"/>
              <w:right w:val="single" w:sz="4" w:space="0" w:color="auto"/>
            </w:tcBorders>
            <w:shd w:val="clear" w:color="auto" w:fill="auto"/>
            <w:noWrap/>
            <w:vAlign w:val="center"/>
            <w:hideMark/>
          </w:tcPr>
          <w:p w14:paraId="286A76E0"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42,0</w:t>
            </w:r>
          </w:p>
        </w:tc>
        <w:tc>
          <w:tcPr>
            <w:tcW w:w="1000" w:type="dxa"/>
            <w:tcBorders>
              <w:top w:val="nil"/>
              <w:left w:val="nil"/>
              <w:bottom w:val="single" w:sz="4" w:space="0" w:color="auto"/>
              <w:right w:val="single" w:sz="4" w:space="0" w:color="auto"/>
            </w:tcBorders>
            <w:shd w:val="clear" w:color="auto" w:fill="auto"/>
            <w:noWrap/>
            <w:vAlign w:val="center"/>
            <w:hideMark/>
          </w:tcPr>
          <w:p w14:paraId="175F4A57"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39,5</w:t>
            </w:r>
          </w:p>
        </w:tc>
        <w:tc>
          <w:tcPr>
            <w:tcW w:w="1180" w:type="dxa"/>
            <w:tcBorders>
              <w:top w:val="nil"/>
              <w:left w:val="nil"/>
              <w:bottom w:val="single" w:sz="4" w:space="0" w:color="auto"/>
              <w:right w:val="single" w:sz="4" w:space="0" w:color="auto"/>
            </w:tcBorders>
            <w:shd w:val="clear" w:color="auto" w:fill="auto"/>
            <w:noWrap/>
            <w:vAlign w:val="center"/>
            <w:hideMark/>
          </w:tcPr>
          <w:p w14:paraId="3DB3B2B6"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25,7</w:t>
            </w:r>
          </w:p>
        </w:tc>
        <w:tc>
          <w:tcPr>
            <w:tcW w:w="1145" w:type="dxa"/>
            <w:tcBorders>
              <w:top w:val="nil"/>
              <w:left w:val="nil"/>
              <w:bottom w:val="single" w:sz="4" w:space="0" w:color="auto"/>
              <w:right w:val="single" w:sz="4" w:space="0" w:color="auto"/>
            </w:tcBorders>
            <w:shd w:val="clear" w:color="auto" w:fill="auto"/>
            <w:noWrap/>
            <w:vAlign w:val="center"/>
            <w:hideMark/>
          </w:tcPr>
          <w:p w14:paraId="31DBD86B"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23,0</w:t>
            </w:r>
          </w:p>
        </w:tc>
        <w:tc>
          <w:tcPr>
            <w:tcW w:w="1057" w:type="dxa"/>
            <w:tcBorders>
              <w:top w:val="nil"/>
              <w:left w:val="nil"/>
              <w:bottom w:val="single" w:sz="4" w:space="0" w:color="auto"/>
              <w:right w:val="single" w:sz="4" w:space="0" w:color="auto"/>
            </w:tcBorders>
            <w:shd w:val="clear" w:color="auto" w:fill="auto"/>
            <w:noWrap/>
            <w:vAlign w:val="center"/>
            <w:hideMark/>
          </w:tcPr>
          <w:p w14:paraId="5A0A54B7"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7,4</w:t>
            </w:r>
          </w:p>
        </w:tc>
      </w:tr>
      <w:tr w:rsidR="00E13316" w:rsidRPr="00E13316" w14:paraId="32E84B27"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2B70C84" w14:textId="77777777" w:rsidR="00E13316" w:rsidRPr="00E13316" w:rsidRDefault="00E13316" w:rsidP="00F955D5">
            <w:pPr>
              <w:keepNext/>
              <w:spacing w:after="0" w:line="240" w:lineRule="auto"/>
              <w:rPr>
                <w:rFonts w:cs="Arial"/>
                <w:sz w:val="16"/>
                <w:szCs w:val="16"/>
              </w:rPr>
            </w:pPr>
            <w:r w:rsidRPr="00E13316">
              <w:rPr>
                <w:rFonts w:cs="Arial"/>
                <w:sz w:val="16"/>
                <w:szCs w:val="16"/>
              </w:rPr>
              <w:t>20–49 zaměstnanců</w:t>
            </w:r>
          </w:p>
        </w:tc>
        <w:tc>
          <w:tcPr>
            <w:tcW w:w="1040" w:type="dxa"/>
            <w:tcBorders>
              <w:top w:val="nil"/>
              <w:left w:val="nil"/>
              <w:bottom w:val="single" w:sz="4" w:space="0" w:color="auto"/>
              <w:right w:val="single" w:sz="4" w:space="0" w:color="auto"/>
            </w:tcBorders>
            <w:shd w:val="clear" w:color="auto" w:fill="auto"/>
            <w:noWrap/>
            <w:vAlign w:val="center"/>
            <w:hideMark/>
          </w:tcPr>
          <w:p w14:paraId="736820EE"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41,0</w:t>
            </w:r>
          </w:p>
        </w:tc>
        <w:tc>
          <w:tcPr>
            <w:tcW w:w="1000" w:type="dxa"/>
            <w:tcBorders>
              <w:top w:val="nil"/>
              <w:left w:val="nil"/>
              <w:bottom w:val="single" w:sz="4" w:space="0" w:color="auto"/>
              <w:right w:val="single" w:sz="4" w:space="0" w:color="auto"/>
            </w:tcBorders>
            <w:shd w:val="clear" w:color="auto" w:fill="auto"/>
            <w:noWrap/>
            <w:vAlign w:val="center"/>
            <w:hideMark/>
          </w:tcPr>
          <w:p w14:paraId="7CC449C3"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34,5</w:t>
            </w:r>
          </w:p>
        </w:tc>
        <w:tc>
          <w:tcPr>
            <w:tcW w:w="1180" w:type="dxa"/>
            <w:tcBorders>
              <w:top w:val="nil"/>
              <w:left w:val="nil"/>
              <w:bottom w:val="single" w:sz="4" w:space="0" w:color="auto"/>
              <w:right w:val="single" w:sz="4" w:space="0" w:color="auto"/>
            </w:tcBorders>
            <w:shd w:val="clear" w:color="auto" w:fill="auto"/>
            <w:noWrap/>
            <w:vAlign w:val="center"/>
            <w:hideMark/>
          </w:tcPr>
          <w:p w14:paraId="114EAF0F"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21,9</w:t>
            </w:r>
          </w:p>
        </w:tc>
        <w:tc>
          <w:tcPr>
            <w:tcW w:w="1145" w:type="dxa"/>
            <w:tcBorders>
              <w:top w:val="nil"/>
              <w:left w:val="nil"/>
              <w:bottom w:val="single" w:sz="4" w:space="0" w:color="auto"/>
              <w:right w:val="single" w:sz="4" w:space="0" w:color="auto"/>
            </w:tcBorders>
            <w:shd w:val="clear" w:color="auto" w:fill="auto"/>
            <w:noWrap/>
            <w:vAlign w:val="center"/>
            <w:hideMark/>
          </w:tcPr>
          <w:p w14:paraId="129E979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20,0</w:t>
            </w:r>
          </w:p>
        </w:tc>
        <w:tc>
          <w:tcPr>
            <w:tcW w:w="1057" w:type="dxa"/>
            <w:tcBorders>
              <w:top w:val="nil"/>
              <w:left w:val="nil"/>
              <w:bottom w:val="single" w:sz="4" w:space="0" w:color="auto"/>
              <w:right w:val="single" w:sz="4" w:space="0" w:color="auto"/>
            </w:tcBorders>
            <w:shd w:val="clear" w:color="auto" w:fill="auto"/>
            <w:noWrap/>
            <w:vAlign w:val="center"/>
            <w:hideMark/>
          </w:tcPr>
          <w:p w14:paraId="692B083F"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14,0</w:t>
            </w:r>
          </w:p>
        </w:tc>
      </w:tr>
      <w:tr w:rsidR="00E13316" w:rsidRPr="00E13316" w14:paraId="59E05B7C"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497F116" w14:textId="77777777" w:rsidR="00E13316" w:rsidRPr="00E13316" w:rsidRDefault="00E13316" w:rsidP="00F955D5">
            <w:pPr>
              <w:keepNext/>
              <w:spacing w:after="0" w:line="240" w:lineRule="auto"/>
              <w:rPr>
                <w:rFonts w:cs="Arial"/>
                <w:sz w:val="16"/>
                <w:szCs w:val="16"/>
              </w:rPr>
            </w:pPr>
            <w:r w:rsidRPr="00E13316">
              <w:rPr>
                <w:rFonts w:cs="Arial"/>
                <w:sz w:val="16"/>
                <w:szCs w:val="16"/>
              </w:rPr>
              <w:t>50–249 zaměstnanců</w:t>
            </w:r>
          </w:p>
        </w:tc>
        <w:tc>
          <w:tcPr>
            <w:tcW w:w="1040" w:type="dxa"/>
            <w:tcBorders>
              <w:top w:val="nil"/>
              <w:left w:val="nil"/>
              <w:bottom w:val="single" w:sz="4" w:space="0" w:color="auto"/>
              <w:right w:val="single" w:sz="4" w:space="0" w:color="auto"/>
            </w:tcBorders>
            <w:shd w:val="clear" w:color="auto" w:fill="auto"/>
            <w:noWrap/>
            <w:vAlign w:val="center"/>
            <w:hideMark/>
          </w:tcPr>
          <w:p w14:paraId="24088B45"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36,0</w:t>
            </w:r>
          </w:p>
        </w:tc>
        <w:tc>
          <w:tcPr>
            <w:tcW w:w="1000" w:type="dxa"/>
            <w:tcBorders>
              <w:top w:val="nil"/>
              <w:left w:val="nil"/>
              <w:bottom w:val="single" w:sz="4" w:space="0" w:color="auto"/>
              <w:right w:val="single" w:sz="4" w:space="0" w:color="auto"/>
            </w:tcBorders>
            <w:shd w:val="clear" w:color="auto" w:fill="auto"/>
            <w:noWrap/>
            <w:vAlign w:val="center"/>
            <w:hideMark/>
          </w:tcPr>
          <w:p w14:paraId="76D3AB55"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28,3</w:t>
            </w:r>
          </w:p>
        </w:tc>
        <w:tc>
          <w:tcPr>
            <w:tcW w:w="1180" w:type="dxa"/>
            <w:tcBorders>
              <w:top w:val="nil"/>
              <w:left w:val="nil"/>
              <w:bottom w:val="single" w:sz="4" w:space="0" w:color="auto"/>
              <w:right w:val="single" w:sz="4" w:space="0" w:color="auto"/>
            </w:tcBorders>
            <w:shd w:val="clear" w:color="auto" w:fill="auto"/>
            <w:noWrap/>
            <w:vAlign w:val="center"/>
            <w:hideMark/>
          </w:tcPr>
          <w:p w14:paraId="3160D0D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25,6</w:t>
            </w:r>
          </w:p>
        </w:tc>
        <w:tc>
          <w:tcPr>
            <w:tcW w:w="1145" w:type="dxa"/>
            <w:tcBorders>
              <w:top w:val="nil"/>
              <w:left w:val="nil"/>
              <w:bottom w:val="single" w:sz="4" w:space="0" w:color="auto"/>
              <w:right w:val="single" w:sz="4" w:space="0" w:color="auto"/>
            </w:tcBorders>
            <w:shd w:val="clear" w:color="auto" w:fill="auto"/>
            <w:noWrap/>
            <w:vAlign w:val="center"/>
            <w:hideMark/>
          </w:tcPr>
          <w:p w14:paraId="6A38B6C6"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21,5</w:t>
            </w:r>
          </w:p>
        </w:tc>
        <w:tc>
          <w:tcPr>
            <w:tcW w:w="1057" w:type="dxa"/>
            <w:tcBorders>
              <w:top w:val="nil"/>
              <w:left w:val="nil"/>
              <w:bottom w:val="single" w:sz="4" w:space="0" w:color="auto"/>
              <w:right w:val="single" w:sz="4" w:space="0" w:color="auto"/>
            </w:tcBorders>
            <w:shd w:val="clear" w:color="auto" w:fill="auto"/>
            <w:noWrap/>
            <w:vAlign w:val="center"/>
            <w:hideMark/>
          </w:tcPr>
          <w:p w14:paraId="1CC8AEA3"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20,4</w:t>
            </w:r>
          </w:p>
        </w:tc>
      </w:tr>
      <w:tr w:rsidR="00E13316" w:rsidRPr="00E13316" w14:paraId="57C98DE5"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F228DB3" w14:textId="77777777" w:rsidR="00E13316" w:rsidRPr="00E13316" w:rsidRDefault="00E13316" w:rsidP="00F955D5">
            <w:pPr>
              <w:keepNext/>
              <w:spacing w:after="0" w:line="240" w:lineRule="auto"/>
              <w:rPr>
                <w:rFonts w:cs="Arial"/>
                <w:sz w:val="16"/>
                <w:szCs w:val="16"/>
              </w:rPr>
            </w:pPr>
            <w:r w:rsidRPr="00E13316">
              <w:rPr>
                <w:rFonts w:cs="Arial"/>
                <w:sz w:val="16"/>
                <w:szCs w:val="16"/>
              </w:rPr>
              <w:t>250 a více zaměstnanců</w:t>
            </w:r>
          </w:p>
        </w:tc>
        <w:tc>
          <w:tcPr>
            <w:tcW w:w="1040" w:type="dxa"/>
            <w:tcBorders>
              <w:top w:val="nil"/>
              <w:left w:val="nil"/>
              <w:bottom w:val="single" w:sz="4" w:space="0" w:color="auto"/>
              <w:right w:val="single" w:sz="4" w:space="0" w:color="auto"/>
            </w:tcBorders>
            <w:shd w:val="clear" w:color="auto" w:fill="auto"/>
            <w:noWrap/>
            <w:vAlign w:val="center"/>
            <w:hideMark/>
          </w:tcPr>
          <w:p w14:paraId="3BA2C3D9"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33,7</w:t>
            </w:r>
          </w:p>
        </w:tc>
        <w:tc>
          <w:tcPr>
            <w:tcW w:w="1000" w:type="dxa"/>
            <w:tcBorders>
              <w:top w:val="nil"/>
              <w:left w:val="nil"/>
              <w:bottom w:val="single" w:sz="4" w:space="0" w:color="auto"/>
              <w:right w:val="single" w:sz="4" w:space="0" w:color="auto"/>
            </w:tcBorders>
            <w:shd w:val="clear" w:color="auto" w:fill="auto"/>
            <w:noWrap/>
            <w:vAlign w:val="center"/>
            <w:hideMark/>
          </w:tcPr>
          <w:p w14:paraId="6E40420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24,9</w:t>
            </w:r>
          </w:p>
        </w:tc>
        <w:tc>
          <w:tcPr>
            <w:tcW w:w="1180" w:type="dxa"/>
            <w:tcBorders>
              <w:top w:val="nil"/>
              <w:left w:val="nil"/>
              <w:bottom w:val="single" w:sz="4" w:space="0" w:color="auto"/>
              <w:right w:val="single" w:sz="4" w:space="0" w:color="auto"/>
            </w:tcBorders>
            <w:shd w:val="clear" w:color="auto" w:fill="auto"/>
            <w:noWrap/>
            <w:vAlign w:val="center"/>
            <w:hideMark/>
          </w:tcPr>
          <w:p w14:paraId="323223D2"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25,2</w:t>
            </w:r>
          </w:p>
        </w:tc>
        <w:tc>
          <w:tcPr>
            <w:tcW w:w="1145" w:type="dxa"/>
            <w:tcBorders>
              <w:top w:val="nil"/>
              <w:left w:val="nil"/>
              <w:bottom w:val="single" w:sz="4" w:space="0" w:color="auto"/>
              <w:right w:val="single" w:sz="4" w:space="0" w:color="auto"/>
            </w:tcBorders>
            <w:shd w:val="clear" w:color="auto" w:fill="auto"/>
            <w:noWrap/>
            <w:vAlign w:val="center"/>
            <w:hideMark/>
          </w:tcPr>
          <w:p w14:paraId="4894ECF4"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23,3</w:t>
            </w:r>
          </w:p>
        </w:tc>
        <w:tc>
          <w:tcPr>
            <w:tcW w:w="1057" w:type="dxa"/>
            <w:tcBorders>
              <w:top w:val="nil"/>
              <w:left w:val="nil"/>
              <w:bottom w:val="single" w:sz="4" w:space="0" w:color="auto"/>
              <w:right w:val="single" w:sz="4" w:space="0" w:color="auto"/>
            </w:tcBorders>
            <w:shd w:val="clear" w:color="auto" w:fill="auto"/>
            <w:noWrap/>
            <w:vAlign w:val="center"/>
            <w:hideMark/>
          </w:tcPr>
          <w:p w14:paraId="1453394A"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38,3</w:t>
            </w:r>
          </w:p>
        </w:tc>
      </w:tr>
      <w:tr w:rsidR="00E13316" w:rsidRPr="00E13316" w14:paraId="6910B6E5" w14:textId="77777777" w:rsidTr="00552396">
        <w:trPr>
          <w:trHeight w:val="330"/>
        </w:trPr>
        <w:tc>
          <w:tcPr>
            <w:tcW w:w="8802"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6A556501" w14:textId="7295669F" w:rsidR="00E13316" w:rsidRPr="00E13316" w:rsidRDefault="00A241ED" w:rsidP="00F955D5">
            <w:pPr>
              <w:keepNext/>
              <w:spacing w:after="0" w:line="240" w:lineRule="auto"/>
              <w:rPr>
                <w:rFonts w:cs="Arial"/>
                <w:b/>
                <w:bCs/>
                <w:sz w:val="16"/>
                <w:szCs w:val="16"/>
              </w:rPr>
            </w:pPr>
            <w:r w:rsidRPr="00A241ED">
              <w:rPr>
                <w:rFonts w:cs="Arial"/>
                <w:b/>
                <w:bCs/>
                <w:sz w:val="16"/>
                <w:szCs w:val="16"/>
              </w:rPr>
              <w:t>podle vlastnictví</w:t>
            </w:r>
          </w:p>
        </w:tc>
      </w:tr>
      <w:tr w:rsidR="00552396" w:rsidRPr="00E13316" w14:paraId="55A518D4" w14:textId="77777777" w:rsidTr="00552396">
        <w:trPr>
          <w:trHeight w:val="300"/>
        </w:trPr>
        <w:tc>
          <w:tcPr>
            <w:tcW w:w="3380" w:type="dxa"/>
            <w:tcBorders>
              <w:top w:val="nil"/>
              <w:left w:val="single" w:sz="4" w:space="0" w:color="auto"/>
              <w:bottom w:val="single" w:sz="4" w:space="0" w:color="auto"/>
              <w:right w:val="single" w:sz="4" w:space="0" w:color="auto"/>
            </w:tcBorders>
            <w:shd w:val="clear" w:color="000000" w:fill="FFFFFF"/>
            <w:noWrap/>
            <w:vAlign w:val="center"/>
            <w:hideMark/>
          </w:tcPr>
          <w:p w14:paraId="41455FBC" w14:textId="4D8853F2" w:rsidR="00552396" w:rsidRPr="00552396" w:rsidRDefault="00552396" w:rsidP="00552396">
            <w:pPr>
              <w:keepNext/>
              <w:spacing w:after="0" w:line="240" w:lineRule="auto"/>
              <w:rPr>
                <w:rFonts w:cs="Arial"/>
                <w:sz w:val="16"/>
                <w:szCs w:val="16"/>
              </w:rPr>
            </w:pPr>
            <w:r w:rsidRPr="00552396">
              <w:rPr>
                <w:sz w:val="16"/>
                <w:szCs w:val="16"/>
              </w:rPr>
              <w:t>domácí podniky</w:t>
            </w:r>
          </w:p>
        </w:tc>
        <w:tc>
          <w:tcPr>
            <w:tcW w:w="1040" w:type="dxa"/>
            <w:tcBorders>
              <w:top w:val="nil"/>
              <w:left w:val="nil"/>
              <w:bottom w:val="single" w:sz="4" w:space="0" w:color="auto"/>
              <w:right w:val="single" w:sz="4" w:space="0" w:color="auto"/>
            </w:tcBorders>
            <w:shd w:val="clear" w:color="auto" w:fill="auto"/>
            <w:noWrap/>
            <w:vAlign w:val="center"/>
            <w:hideMark/>
          </w:tcPr>
          <w:p w14:paraId="1D768265"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40,3</w:t>
            </w:r>
          </w:p>
        </w:tc>
        <w:tc>
          <w:tcPr>
            <w:tcW w:w="1000" w:type="dxa"/>
            <w:tcBorders>
              <w:top w:val="nil"/>
              <w:left w:val="nil"/>
              <w:bottom w:val="single" w:sz="4" w:space="0" w:color="auto"/>
              <w:right w:val="single" w:sz="4" w:space="0" w:color="auto"/>
            </w:tcBorders>
            <w:shd w:val="clear" w:color="auto" w:fill="auto"/>
            <w:noWrap/>
            <w:vAlign w:val="center"/>
            <w:hideMark/>
          </w:tcPr>
          <w:p w14:paraId="66752106"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36,4</w:t>
            </w:r>
          </w:p>
        </w:tc>
        <w:tc>
          <w:tcPr>
            <w:tcW w:w="1180" w:type="dxa"/>
            <w:tcBorders>
              <w:top w:val="nil"/>
              <w:left w:val="nil"/>
              <w:bottom w:val="single" w:sz="4" w:space="0" w:color="auto"/>
              <w:right w:val="single" w:sz="4" w:space="0" w:color="auto"/>
            </w:tcBorders>
            <w:shd w:val="clear" w:color="auto" w:fill="auto"/>
            <w:noWrap/>
            <w:vAlign w:val="center"/>
            <w:hideMark/>
          </w:tcPr>
          <w:p w14:paraId="3680D632"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24,7</w:t>
            </w:r>
          </w:p>
        </w:tc>
        <w:tc>
          <w:tcPr>
            <w:tcW w:w="1145" w:type="dxa"/>
            <w:tcBorders>
              <w:top w:val="nil"/>
              <w:left w:val="nil"/>
              <w:bottom w:val="single" w:sz="4" w:space="0" w:color="auto"/>
              <w:right w:val="single" w:sz="4" w:space="0" w:color="auto"/>
            </w:tcBorders>
            <w:shd w:val="clear" w:color="auto" w:fill="auto"/>
            <w:noWrap/>
            <w:vAlign w:val="center"/>
            <w:hideMark/>
          </w:tcPr>
          <w:p w14:paraId="07A60F0A"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21,3</w:t>
            </w:r>
          </w:p>
        </w:tc>
        <w:tc>
          <w:tcPr>
            <w:tcW w:w="1057" w:type="dxa"/>
            <w:tcBorders>
              <w:top w:val="nil"/>
              <w:left w:val="nil"/>
              <w:bottom w:val="single" w:sz="4" w:space="0" w:color="auto"/>
              <w:right w:val="single" w:sz="4" w:space="0" w:color="auto"/>
            </w:tcBorders>
            <w:shd w:val="clear" w:color="auto" w:fill="auto"/>
            <w:noWrap/>
            <w:vAlign w:val="center"/>
            <w:hideMark/>
          </w:tcPr>
          <w:p w14:paraId="089BA211"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11,7</w:t>
            </w:r>
          </w:p>
        </w:tc>
      </w:tr>
      <w:tr w:rsidR="00552396" w:rsidRPr="00E13316" w14:paraId="2C3962F4" w14:textId="77777777" w:rsidTr="00552396">
        <w:trPr>
          <w:trHeight w:val="300"/>
        </w:trPr>
        <w:tc>
          <w:tcPr>
            <w:tcW w:w="3380" w:type="dxa"/>
            <w:tcBorders>
              <w:top w:val="nil"/>
              <w:left w:val="single" w:sz="4" w:space="0" w:color="auto"/>
              <w:bottom w:val="single" w:sz="4" w:space="0" w:color="auto"/>
              <w:right w:val="single" w:sz="4" w:space="0" w:color="auto"/>
            </w:tcBorders>
            <w:shd w:val="clear" w:color="000000" w:fill="FFFFFF"/>
            <w:noWrap/>
            <w:vAlign w:val="center"/>
            <w:hideMark/>
          </w:tcPr>
          <w:p w14:paraId="39B64EC3" w14:textId="3C094A78" w:rsidR="00552396" w:rsidRPr="00552396" w:rsidRDefault="00552396" w:rsidP="00552396">
            <w:pPr>
              <w:keepNext/>
              <w:spacing w:after="0" w:line="240" w:lineRule="auto"/>
              <w:rPr>
                <w:rFonts w:cs="Arial"/>
                <w:sz w:val="16"/>
                <w:szCs w:val="16"/>
              </w:rPr>
            </w:pPr>
            <w:r w:rsidRPr="00552396">
              <w:rPr>
                <w:sz w:val="16"/>
                <w:szCs w:val="16"/>
              </w:rPr>
              <w:t>podniky pod zahraniční kontrolou</w:t>
            </w:r>
          </w:p>
        </w:tc>
        <w:tc>
          <w:tcPr>
            <w:tcW w:w="1040" w:type="dxa"/>
            <w:tcBorders>
              <w:top w:val="nil"/>
              <w:left w:val="nil"/>
              <w:bottom w:val="single" w:sz="4" w:space="0" w:color="auto"/>
              <w:right w:val="single" w:sz="4" w:space="0" w:color="auto"/>
            </w:tcBorders>
            <w:shd w:val="clear" w:color="auto" w:fill="auto"/>
            <w:noWrap/>
            <w:vAlign w:val="center"/>
            <w:hideMark/>
          </w:tcPr>
          <w:p w14:paraId="21F86F33"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2CEC1A1"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29,2</w:t>
            </w:r>
          </w:p>
        </w:tc>
        <w:tc>
          <w:tcPr>
            <w:tcW w:w="1180" w:type="dxa"/>
            <w:tcBorders>
              <w:top w:val="nil"/>
              <w:left w:val="nil"/>
              <w:bottom w:val="single" w:sz="4" w:space="0" w:color="auto"/>
              <w:right w:val="single" w:sz="4" w:space="0" w:color="auto"/>
            </w:tcBorders>
            <w:shd w:val="clear" w:color="auto" w:fill="auto"/>
            <w:noWrap/>
            <w:vAlign w:val="center"/>
            <w:hideMark/>
          </w:tcPr>
          <w:p w14:paraId="60E72FFA"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23,3</w:t>
            </w:r>
          </w:p>
        </w:tc>
        <w:tc>
          <w:tcPr>
            <w:tcW w:w="1145" w:type="dxa"/>
            <w:tcBorders>
              <w:top w:val="nil"/>
              <w:left w:val="nil"/>
              <w:bottom w:val="single" w:sz="4" w:space="0" w:color="auto"/>
              <w:right w:val="single" w:sz="4" w:space="0" w:color="auto"/>
            </w:tcBorders>
            <w:shd w:val="clear" w:color="auto" w:fill="auto"/>
            <w:noWrap/>
            <w:vAlign w:val="center"/>
            <w:hideMark/>
          </w:tcPr>
          <w:p w14:paraId="202878A4"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24,5</w:t>
            </w:r>
          </w:p>
        </w:tc>
        <w:tc>
          <w:tcPr>
            <w:tcW w:w="1057" w:type="dxa"/>
            <w:tcBorders>
              <w:top w:val="nil"/>
              <w:left w:val="nil"/>
              <w:bottom w:val="single" w:sz="4" w:space="0" w:color="auto"/>
              <w:right w:val="single" w:sz="4" w:space="0" w:color="auto"/>
            </w:tcBorders>
            <w:shd w:val="clear" w:color="auto" w:fill="auto"/>
            <w:noWrap/>
            <w:vAlign w:val="center"/>
            <w:hideMark/>
          </w:tcPr>
          <w:p w14:paraId="4BA8F7DB" w14:textId="77777777" w:rsidR="00552396" w:rsidRPr="00E13316" w:rsidRDefault="00552396" w:rsidP="00552396">
            <w:pPr>
              <w:keepNext/>
              <w:spacing w:after="0" w:line="240" w:lineRule="auto"/>
              <w:jc w:val="right"/>
              <w:rPr>
                <w:rFonts w:cs="Arial"/>
                <w:color w:val="000000"/>
                <w:sz w:val="16"/>
                <w:szCs w:val="16"/>
              </w:rPr>
            </w:pPr>
            <w:r w:rsidRPr="00E13316">
              <w:rPr>
                <w:rFonts w:cs="Arial"/>
                <w:color w:val="000000"/>
                <w:sz w:val="16"/>
                <w:szCs w:val="16"/>
              </w:rPr>
              <w:t>21,4</w:t>
            </w:r>
          </w:p>
        </w:tc>
      </w:tr>
      <w:tr w:rsidR="00E13316" w:rsidRPr="00E13316" w14:paraId="02F239FE" w14:textId="77777777" w:rsidTr="00552396">
        <w:trPr>
          <w:trHeight w:val="345"/>
        </w:trPr>
        <w:tc>
          <w:tcPr>
            <w:tcW w:w="8802"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3095EEAD" w14:textId="4B40AB6E" w:rsidR="00E13316" w:rsidRPr="00E13316" w:rsidRDefault="00F476A4" w:rsidP="00F955D5">
            <w:pPr>
              <w:keepNext/>
              <w:spacing w:after="0" w:line="240" w:lineRule="auto"/>
              <w:rPr>
                <w:rFonts w:cs="Arial"/>
                <w:b/>
                <w:bCs/>
                <w:sz w:val="16"/>
                <w:szCs w:val="16"/>
              </w:rPr>
            </w:pPr>
            <w:r w:rsidRPr="00F476A4">
              <w:rPr>
                <w:rFonts w:cs="Arial"/>
                <w:b/>
                <w:bCs/>
                <w:sz w:val="16"/>
                <w:szCs w:val="16"/>
              </w:rPr>
              <w:t>podle odvětvové sekce (CZ-NACE)</w:t>
            </w:r>
          </w:p>
        </w:tc>
      </w:tr>
      <w:tr w:rsidR="00E13316" w:rsidRPr="00E13316" w14:paraId="21C44C37"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1A78244"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Ubytování, stravování a pohostinství</w:t>
            </w:r>
          </w:p>
        </w:tc>
        <w:tc>
          <w:tcPr>
            <w:tcW w:w="1040" w:type="dxa"/>
            <w:tcBorders>
              <w:top w:val="nil"/>
              <w:left w:val="nil"/>
              <w:bottom w:val="single" w:sz="4" w:space="0" w:color="auto"/>
              <w:right w:val="single" w:sz="4" w:space="0" w:color="auto"/>
            </w:tcBorders>
            <w:shd w:val="clear" w:color="auto" w:fill="auto"/>
            <w:noWrap/>
            <w:vAlign w:val="center"/>
            <w:hideMark/>
          </w:tcPr>
          <w:p w14:paraId="323D3F00" w14:textId="77777777" w:rsidR="00E13316" w:rsidRPr="00E13316" w:rsidRDefault="00E13316" w:rsidP="00F955D5">
            <w:pPr>
              <w:keepNext/>
              <w:spacing w:after="0" w:line="240" w:lineRule="auto"/>
              <w:jc w:val="right"/>
              <w:rPr>
                <w:rFonts w:cs="Arial"/>
                <w:b/>
                <w:color w:val="000000"/>
                <w:sz w:val="16"/>
                <w:szCs w:val="16"/>
              </w:rPr>
            </w:pPr>
            <w:r w:rsidRPr="00F955D5">
              <w:rPr>
                <w:rFonts w:cs="Arial"/>
                <w:b/>
                <w:color w:val="00B050"/>
                <w:sz w:val="16"/>
                <w:szCs w:val="16"/>
              </w:rPr>
              <w:t>62,8</w:t>
            </w:r>
          </w:p>
        </w:tc>
        <w:tc>
          <w:tcPr>
            <w:tcW w:w="1000" w:type="dxa"/>
            <w:tcBorders>
              <w:top w:val="nil"/>
              <w:left w:val="nil"/>
              <w:bottom w:val="single" w:sz="4" w:space="0" w:color="auto"/>
              <w:right w:val="single" w:sz="4" w:space="0" w:color="auto"/>
            </w:tcBorders>
            <w:shd w:val="clear" w:color="auto" w:fill="auto"/>
            <w:noWrap/>
            <w:vAlign w:val="center"/>
            <w:hideMark/>
          </w:tcPr>
          <w:p w14:paraId="72A6BABD" w14:textId="77777777" w:rsidR="00E13316" w:rsidRPr="005244A3" w:rsidRDefault="00E13316" w:rsidP="00F955D5">
            <w:pPr>
              <w:keepNext/>
              <w:spacing w:after="0" w:line="240" w:lineRule="auto"/>
              <w:jc w:val="right"/>
              <w:rPr>
                <w:rFonts w:cs="Arial"/>
                <w:color w:val="000000"/>
                <w:sz w:val="16"/>
                <w:szCs w:val="16"/>
              </w:rPr>
            </w:pPr>
            <w:r w:rsidRPr="005244A3">
              <w:rPr>
                <w:rFonts w:cs="Arial"/>
                <w:color w:val="00B050"/>
                <w:sz w:val="16"/>
                <w:szCs w:val="16"/>
              </w:rPr>
              <w:t>59,9</w:t>
            </w:r>
          </w:p>
        </w:tc>
        <w:tc>
          <w:tcPr>
            <w:tcW w:w="1180" w:type="dxa"/>
            <w:tcBorders>
              <w:top w:val="nil"/>
              <w:left w:val="nil"/>
              <w:bottom w:val="single" w:sz="4" w:space="0" w:color="auto"/>
              <w:right w:val="single" w:sz="4" w:space="0" w:color="auto"/>
            </w:tcBorders>
            <w:shd w:val="clear" w:color="auto" w:fill="auto"/>
            <w:noWrap/>
            <w:vAlign w:val="center"/>
            <w:hideMark/>
          </w:tcPr>
          <w:p w14:paraId="0156D967" w14:textId="77777777" w:rsidR="00E13316" w:rsidRPr="00E13316" w:rsidRDefault="00E13316" w:rsidP="00F955D5">
            <w:pPr>
              <w:keepNext/>
              <w:spacing w:after="0" w:line="240" w:lineRule="auto"/>
              <w:jc w:val="right"/>
              <w:rPr>
                <w:rFonts w:cs="Arial"/>
                <w:b/>
                <w:color w:val="000000"/>
                <w:sz w:val="16"/>
                <w:szCs w:val="16"/>
              </w:rPr>
            </w:pPr>
            <w:r w:rsidRPr="00E13316">
              <w:rPr>
                <w:rFonts w:cs="Arial"/>
                <w:b/>
                <w:color w:val="FF0000"/>
                <w:sz w:val="16"/>
                <w:szCs w:val="16"/>
              </w:rPr>
              <w:t>14,7</w:t>
            </w:r>
          </w:p>
        </w:tc>
        <w:tc>
          <w:tcPr>
            <w:tcW w:w="1145" w:type="dxa"/>
            <w:tcBorders>
              <w:top w:val="nil"/>
              <w:left w:val="nil"/>
              <w:bottom w:val="single" w:sz="4" w:space="0" w:color="auto"/>
              <w:right w:val="single" w:sz="4" w:space="0" w:color="auto"/>
            </w:tcBorders>
            <w:shd w:val="clear" w:color="auto" w:fill="auto"/>
            <w:noWrap/>
            <w:vAlign w:val="center"/>
            <w:hideMark/>
          </w:tcPr>
          <w:p w14:paraId="7BDEF7E4" w14:textId="77777777" w:rsidR="00E13316" w:rsidRPr="00E13316" w:rsidRDefault="00E13316" w:rsidP="00F955D5">
            <w:pPr>
              <w:keepNext/>
              <w:spacing w:after="0" w:line="240" w:lineRule="auto"/>
              <w:jc w:val="right"/>
              <w:rPr>
                <w:rFonts w:cs="Arial"/>
                <w:b/>
                <w:color w:val="000000"/>
                <w:sz w:val="16"/>
                <w:szCs w:val="16"/>
              </w:rPr>
            </w:pPr>
            <w:r w:rsidRPr="00F955D5">
              <w:rPr>
                <w:rFonts w:cs="Arial"/>
                <w:b/>
                <w:color w:val="00B050"/>
                <w:sz w:val="16"/>
                <w:szCs w:val="16"/>
              </w:rPr>
              <w:t>37,6</w:t>
            </w:r>
          </w:p>
        </w:tc>
        <w:tc>
          <w:tcPr>
            <w:tcW w:w="1057" w:type="dxa"/>
            <w:tcBorders>
              <w:top w:val="nil"/>
              <w:left w:val="nil"/>
              <w:bottom w:val="single" w:sz="4" w:space="0" w:color="auto"/>
              <w:right w:val="single" w:sz="4" w:space="0" w:color="auto"/>
            </w:tcBorders>
            <w:shd w:val="clear" w:color="auto" w:fill="auto"/>
            <w:noWrap/>
            <w:vAlign w:val="center"/>
            <w:hideMark/>
          </w:tcPr>
          <w:p w14:paraId="33D8DDDE"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7,5</w:t>
            </w:r>
          </w:p>
        </w:tc>
      </w:tr>
      <w:tr w:rsidR="00E13316" w:rsidRPr="00E13316" w14:paraId="38B68BE7"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2ACA729"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Peněžnictví a pojišťovnictví</w:t>
            </w:r>
          </w:p>
        </w:tc>
        <w:tc>
          <w:tcPr>
            <w:tcW w:w="1040" w:type="dxa"/>
            <w:tcBorders>
              <w:top w:val="nil"/>
              <w:left w:val="nil"/>
              <w:bottom w:val="single" w:sz="4" w:space="0" w:color="auto"/>
              <w:right w:val="single" w:sz="4" w:space="0" w:color="auto"/>
            </w:tcBorders>
            <w:shd w:val="clear" w:color="auto" w:fill="auto"/>
            <w:noWrap/>
            <w:vAlign w:val="center"/>
            <w:hideMark/>
          </w:tcPr>
          <w:p w14:paraId="349586D1" w14:textId="77777777" w:rsidR="00E13316" w:rsidRPr="00E13316" w:rsidRDefault="00E13316" w:rsidP="00F955D5">
            <w:pPr>
              <w:keepNext/>
              <w:spacing w:after="0" w:line="240" w:lineRule="auto"/>
              <w:jc w:val="right"/>
              <w:rPr>
                <w:rFonts w:cs="Arial"/>
                <w:color w:val="000000"/>
                <w:sz w:val="16"/>
                <w:szCs w:val="16"/>
              </w:rPr>
            </w:pPr>
            <w:r w:rsidRPr="00E13316">
              <w:rPr>
                <w:rFonts w:cs="Arial"/>
                <w:sz w:val="16"/>
                <w:szCs w:val="16"/>
              </w:rPr>
              <w:t>31,8</w:t>
            </w:r>
          </w:p>
        </w:tc>
        <w:tc>
          <w:tcPr>
            <w:tcW w:w="1000" w:type="dxa"/>
            <w:tcBorders>
              <w:top w:val="nil"/>
              <w:left w:val="nil"/>
              <w:bottom w:val="single" w:sz="4" w:space="0" w:color="auto"/>
              <w:right w:val="single" w:sz="4" w:space="0" w:color="auto"/>
            </w:tcBorders>
            <w:shd w:val="clear" w:color="auto" w:fill="auto"/>
            <w:noWrap/>
            <w:vAlign w:val="center"/>
            <w:hideMark/>
          </w:tcPr>
          <w:p w14:paraId="6761DF3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46,0</w:t>
            </w:r>
          </w:p>
        </w:tc>
        <w:tc>
          <w:tcPr>
            <w:tcW w:w="1180" w:type="dxa"/>
            <w:tcBorders>
              <w:top w:val="nil"/>
              <w:left w:val="nil"/>
              <w:bottom w:val="single" w:sz="4" w:space="0" w:color="auto"/>
              <w:right w:val="single" w:sz="4" w:space="0" w:color="auto"/>
            </w:tcBorders>
            <w:shd w:val="clear" w:color="auto" w:fill="auto"/>
            <w:noWrap/>
            <w:vAlign w:val="center"/>
            <w:hideMark/>
          </w:tcPr>
          <w:p w14:paraId="30BDF370"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29,9</w:t>
            </w:r>
          </w:p>
        </w:tc>
        <w:tc>
          <w:tcPr>
            <w:tcW w:w="1145" w:type="dxa"/>
            <w:tcBorders>
              <w:top w:val="nil"/>
              <w:left w:val="nil"/>
              <w:bottom w:val="single" w:sz="4" w:space="0" w:color="auto"/>
              <w:right w:val="single" w:sz="4" w:space="0" w:color="auto"/>
            </w:tcBorders>
            <w:shd w:val="clear" w:color="auto" w:fill="auto"/>
            <w:noWrap/>
            <w:vAlign w:val="center"/>
            <w:hideMark/>
          </w:tcPr>
          <w:p w14:paraId="0230E615"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33,5</w:t>
            </w:r>
          </w:p>
        </w:tc>
        <w:tc>
          <w:tcPr>
            <w:tcW w:w="1057" w:type="dxa"/>
            <w:tcBorders>
              <w:top w:val="nil"/>
              <w:left w:val="nil"/>
              <w:bottom w:val="single" w:sz="4" w:space="0" w:color="auto"/>
              <w:right w:val="single" w:sz="4" w:space="0" w:color="auto"/>
            </w:tcBorders>
            <w:shd w:val="clear" w:color="auto" w:fill="auto"/>
            <w:noWrap/>
            <w:vAlign w:val="center"/>
            <w:hideMark/>
          </w:tcPr>
          <w:p w14:paraId="28F777AA" w14:textId="77777777" w:rsidR="00E13316" w:rsidRPr="00E13316" w:rsidRDefault="00E13316" w:rsidP="00F955D5">
            <w:pPr>
              <w:keepNext/>
              <w:spacing w:after="0" w:line="240" w:lineRule="auto"/>
              <w:jc w:val="right"/>
              <w:rPr>
                <w:rFonts w:cs="Arial"/>
                <w:b/>
                <w:color w:val="0070C0"/>
                <w:sz w:val="16"/>
                <w:szCs w:val="16"/>
              </w:rPr>
            </w:pPr>
            <w:r w:rsidRPr="00F955D5">
              <w:rPr>
                <w:rFonts w:cs="Arial"/>
                <w:b/>
                <w:color w:val="00B050"/>
                <w:sz w:val="16"/>
                <w:szCs w:val="16"/>
              </w:rPr>
              <w:t>28,0</w:t>
            </w:r>
          </w:p>
        </w:tc>
      </w:tr>
      <w:tr w:rsidR="00E13316" w:rsidRPr="00E13316" w14:paraId="30193525"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E21F0E9" w14:textId="3CDF8809" w:rsidR="00E13316" w:rsidRPr="00E13316" w:rsidRDefault="00B84CA7" w:rsidP="00F955D5">
            <w:pPr>
              <w:keepNext/>
              <w:spacing w:after="0" w:line="240" w:lineRule="auto"/>
              <w:rPr>
                <w:rFonts w:cs="Arial"/>
                <w:color w:val="000000"/>
                <w:sz w:val="16"/>
                <w:szCs w:val="16"/>
              </w:rPr>
            </w:pPr>
            <w:r w:rsidRPr="00B84CA7">
              <w:rPr>
                <w:rFonts w:cs="Arial"/>
                <w:color w:val="000000"/>
                <w:sz w:val="16"/>
                <w:szCs w:val="16"/>
              </w:rPr>
              <w:t>Obchod; opravy motorových vozidel</w:t>
            </w:r>
          </w:p>
        </w:tc>
        <w:tc>
          <w:tcPr>
            <w:tcW w:w="1040" w:type="dxa"/>
            <w:tcBorders>
              <w:top w:val="nil"/>
              <w:left w:val="nil"/>
              <w:bottom w:val="single" w:sz="4" w:space="0" w:color="auto"/>
              <w:right w:val="single" w:sz="4" w:space="0" w:color="auto"/>
            </w:tcBorders>
            <w:shd w:val="clear" w:color="auto" w:fill="auto"/>
            <w:noWrap/>
            <w:vAlign w:val="center"/>
            <w:hideMark/>
          </w:tcPr>
          <w:p w14:paraId="07240C3D"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37,3</w:t>
            </w:r>
          </w:p>
        </w:tc>
        <w:tc>
          <w:tcPr>
            <w:tcW w:w="1000" w:type="dxa"/>
            <w:tcBorders>
              <w:top w:val="nil"/>
              <w:left w:val="nil"/>
              <w:bottom w:val="single" w:sz="4" w:space="0" w:color="auto"/>
              <w:right w:val="single" w:sz="4" w:space="0" w:color="auto"/>
            </w:tcBorders>
            <w:shd w:val="clear" w:color="auto" w:fill="auto"/>
            <w:noWrap/>
            <w:vAlign w:val="center"/>
            <w:hideMark/>
          </w:tcPr>
          <w:p w14:paraId="0CF641BA" w14:textId="77777777" w:rsidR="00E13316" w:rsidRPr="00E13316" w:rsidRDefault="00E13316" w:rsidP="00F955D5">
            <w:pPr>
              <w:keepNext/>
              <w:spacing w:after="0" w:line="240" w:lineRule="auto"/>
              <w:jc w:val="right"/>
              <w:rPr>
                <w:rFonts w:cs="Arial"/>
                <w:b/>
                <w:color w:val="000000"/>
                <w:sz w:val="16"/>
                <w:szCs w:val="16"/>
              </w:rPr>
            </w:pPr>
            <w:r w:rsidRPr="00F955D5">
              <w:rPr>
                <w:rFonts w:cs="Arial"/>
                <w:b/>
                <w:color w:val="00B050"/>
                <w:sz w:val="16"/>
                <w:szCs w:val="16"/>
              </w:rPr>
              <w:t>62,6</w:t>
            </w:r>
          </w:p>
        </w:tc>
        <w:tc>
          <w:tcPr>
            <w:tcW w:w="1180" w:type="dxa"/>
            <w:tcBorders>
              <w:top w:val="nil"/>
              <w:left w:val="nil"/>
              <w:bottom w:val="single" w:sz="4" w:space="0" w:color="auto"/>
              <w:right w:val="single" w:sz="4" w:space="0" w:color="auto"/>
            </w:tcBorders>
            <w:shd w:val="clear" w:color="auto" w:fill="auto"/>
            <w:noWrap/>
            <w:vAlign w:val="center"/>
            <w:hideMark/>
          </w:tcPr>
          <w:p w14:paraId="5E442D92"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19,3</w:t>
            </w:r>
          </w:p>
        </w:tc>
        <w:tc>
          <w:tcPr>
            <w:tcW w:w="1145" w:type="dxa"/>
            <w:tcBorders>
              <w:top w:val="nil"/>
              <w:left w:val="nil"/>
              <w:bottom w:val="single" w:sz="4" w:space="0" w:color="auto"/>
              <w:right w:val="single" w:sz="4" w:space="0" w:color="auto"/>
            </w:tcBorders>
            <w:shd w:val="clear" w:color="auto" w:fill="auto"/>
            <w:noWrap/>
            <w:vAlign w:val="center"/>
            <w:hideMark/>
          </w:tcPr>
          <w:p w14:paraId="7895324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32,0</w:t>
            </w:r>
          </w:p>
        </w:tc>
        <w:tc>
          <w:tcPr>
            <w:tcW w:w="1057" w:type="dxa"/>
            <w:tcBorders>
              <w:top w:val="nil"/>
              <w:left w:val="nil"/>
              <w:bottom w:val="single" w:sz="4" w:space="0" w:color="auto"/>
              <w:right w:val="single" w:sz="4" w:space="0" w:color="auto"/>
            </w:tcBorders>
            <w:shd w:val="clear" w:color="auto" w:fill="auto"/>
            <w:noWrap/>
            <w:vAlign w:val="center"/>
            <w:hideMark/>
          </w:tcPr>
          <w:p w14:paraId="0EB77BE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11,3</w:t>
            </w:r>
          </w:p>
        </w:tc>
      </w:tr>
      <w:tr w:rsidR="00E13316" w:rsidRPr="00E13316" w14:paraId="3BFE5472"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2189951"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Informační a komunikační činnosti</w:t>
            </w:r>
          </w:p>
        </w:tc>
        <w:tc>
          <w:tcPr>
            <w:tcW w:w="1040" w:type="dxa"/>
            <w:tcBorders>
              <w:top w:val="nil"/>
              <w:left w:val="nil"/>
              <w:bottom w:val="single" w:sz="4" w:space="0" w:color="auto"/>
              <w:right w:val="single" w:sz="4" w:space="0" w:color="auto"/>
            </w:tcBorders>
            <w:shd w:val="clear" w:color="auto" w:fill="auto"/>
            <w:noWrap/>
            <w:vAlign w:val="center"/>
            <w:hideMark/>
          </w:tcPr>
          <w:p w14:paraId="14BEA034"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36,6</w:t>
            </w:r>
          </w:p>
        </w:tc>
        <w:tc>
          <w:tcPr>
            <w:tcW w:w="1000" w:type="dxa"/>
            <w:tcBorders>
              <w:top w:val="nil"/>
              <w:left w:val="nil"/>
              <w:bottom w:val="single" w:sz="4" w:space="0" w:color="auto"/>
              <w:right w:val="single" w:sz="4" w:space="0" w:color="auto"/>
            </w:tcBorders>
            <w:shd w:val="clear" w:color="auto" w:fill="auto"/>
            <w:noWrap/>
            <w:vAlign w:val="center"/>
            <w:hideMark/>
          </w:tcPr>
          <w:p w14:paraId="7014B451"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31,1</w:t>
            </w:r>
          </w:p>
        </w:tc>
        <w:tc>
          <w:tcPr>
            <w:tcW w:w="1180" w:type="dxa"/>
            <w:tcBorders>
              <w:top w:val="nil"/>
              <w:left w:val="nil"/>
              <w:bottom w:val="single" w:sz="4" w:space="0" w:color="auto"/>
              <w:right w:val="single" w:sz="4" w:space="0" w:color="auto"/>
            </w:tcBorders>
            <w:shd w:val="clear" w:color="auto" w:fill="auto"/>
            <w:noWrap/>
            <w:vAlign w:val="center"/>
            <w:hideMark/>
          </w:tcPr>
          <w:p w14:paraId="655687ED"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29,2</w:t>
            </w:r>
          </w:p>
        </w:tc>
        <w:tc>
          <w:tcPr>
            <w:tcW w:w="1145" w:type="dxa"/>
            <w:tcBorders>
              <w:top w:val="nil"/>
              <w:left w:val="nil"/>
              <w:bottom w:val="single" w:sz="4" w:space="0" w:color="auto"/>
              <w:right w:val="single" w:sz="4" w:space="0" w:color="auto"/>
            </w:tcBorders>
            <w:shd w:val="clear" w:color="auto" w:fill="auto"/>
            <w:noWrap/>
            <w:vAlign w:val="center"/>
            <w:hideMark/>
          </w:tcPr>
          <w:p w14:paraId="43A97CB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23,8</w:t>
            </w:r>
          </w:p>
        </w:tc>
        <w:tc>
          <w:tcPr>
            <w:tcW w:w="1057" w:type="dxa"/>
            <w:tcBorders>
              <w:top w:val="nil"/>
              <w:left w:val="nil"/>
              <w:bottom w:val="single" w:sz="4" w:space="0" w:color="auto"/>
              <w:right w:val="single" w:sz="4" w:space="0" w:color="auto"/>
            </w:tcBorders>
            <w:shd w:val="clear" w:color="auto" w:fill="auto"/>
            <w:noWrap/>
            <w:vAlign w:val="center"/>
            <w:hideMark/>
          </w:tcPr>
          <w:p w14:paraId="58226EB7"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20,2</w:t>
            </w:r>
          </w:p>
        </w:tc>
      </w:tr>
      <w:tr w:rsidR="00E13316" w:rsidRPr="00E13316" w14:paraId="75B88FD9" w14:textId="77777777" w:rsidTr="00552396">
        <w:trPr>
          <w:trHeight w:val="345"/>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6FA7DD2"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Činnosti v oblasti nemovitostí a administrativy</w:t>
            </w:r>
          </w:p>
        </w:tc>
        <w:tc>
          <w:tcPr>
            <w:tcW w:w="1040" w:type="dxa"/>
            <w:tcBorders>
              <w:top w:val="nil"/>
              <w:left w:val="nil"/>
              <w:bottom w:val="single" w:sz="4" w:space="0" w:color="auto"/>
              <w:right w:val="single" w:sz="4" w:space="0" w:color="auto"/>
            </w:tcBorders>
            <w:shd w:val="clear" w:color="auto" w:fill="auto"/>
            <w:noWrap/>
            <w:vAlign w:val="center"/>
            <w:hideMark/>
          </w:tcPr>
          <w:p w14:paraId="72B9A40C" w14:textId="77777777" w:rsidR="00E13316" w:rsidRPr="00E13316" w:rsidRDefault="00E13316" w:rsidP="00F955D5">
            <w:pPr>
              <w:keepNext/>
              <w:spacing w:after="0" w:line="240" w:lineRule="auto"/>
              <w:jc w:val="right"/>
              <w:rPr>
                <w:rFonts w:cs="Arial"/>
                <w:sz w:val="16"/>
                <w:szCs w:val="16"/>
              </w:rPr>
            </w:pPr>
            <w:r w:rsidRPr="00E13316">
              <w:rPr>
                <w:rFonts w:cs="Arial"/>
                <w:sz w:val="16"/>
                <w:szCs w:val="16"/>
              </w:rPr>
              <w:t>40,7</w:t>
            </w:r>
          </w:p>
        </w:tc>
        <w:tc>
          <w:tcPr>
            <w:tcW w:w="1000" w:type="dxa"/>
            <w:tcBorders>
              <w:top w:val="nil"/>
              <w:left w:val="nil"/>
              <w:bottom w:val="single" w:sz="4" w:space="0" w:color="auto"/>
              <w:right w:val="single" w:sz="4" w:space="0" w:color="auto"/>
            </w:tcBorders>
            <w:shd w:val="clear" w:color="auto" w:fill="auto"/>
            <w:noWrap/>
            <w:vAlign w:val="center"/>
            <w:hideMark/>
          </w:tcPr>
          <w:p w14:paraId="56D75A7E"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30,3</w:t>
            </w:r>
          </w:p>
        </w:tc>
        <w:tc>
          <w:tcPr>
            <w:tcW w:w="1180" w:type="dxa"/>
            <w:tcBorders>
              <w:top w:val="nil"/>
              <w:left w:val="nil"/>
              <w:bottom w:val="single" w:sz="4" w:space="0" w:color="auto"/>
              <w:right w:val="single" w:sz="4" w:space="0" w:color="auto"/>
            </w:tcBorders>
            <w:shd w:val="clear" w:color="auto" w:fill="auto"/>
            <w:noWrap/>
            <w:vAlign w:val="center"/>
            <w:hideMark/>
          </w:tcPr>
          <w:p w14:paraId="1EB7709D"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15,2</w:t>
            </w:r>
          </w:p>
        </w:tc>
        <w:tc>
          <w:tcPr>
            <w:tcW w:w="1145" w:type="dxa"/>
            <w:tcBorders>
              <w:top w:val="nil"/>
              <w:left w:val="nil"/>
              <w:bottom w:val="single" w:sz="4" w:space="0" w:color="auto"/>
              <w:right w:val="single" w:sz="4" w:space="0" w:color="auto"/>
            </w:tcBorders>
            <w:shd w:val="clear" w:color="auto" w:fill="auto"/>
            <w:noWrap/>
            <w:vAlign w:val="center"/>
            <w:hideMark/>
          </w:tcPr>
          <w:p w14:paraId="7E67EC8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29,3</w:t>
            </w:r>
          </w:p>
        </w:tc>
        <w:tc>
          <w:tcPr>
            <w:tcW w:w="1057" w:type="dxa"/>
            <w:tcBorders>
              <w:top w:val="nil"/>
              <w:left w:val="nil"/>
              <w:bottom w:val="single" w:sz="4" w:space="0" w:color="auto"/>
              <w:right w:val="single" w:sz="4" w:space="0" w:color="auto"/>
            </w:tcBorders>
            <w:shd w:val="clear" w:color="auto" w:fill="auto"/>
            <w:noWrap/>
            <w:vAlign w:val="center"/>
            <w:hideMark/>
          </w:tcPr>
          <w:p w14:paraId="73EA11C4"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15,5</w:t>
            </w:r>
          </w:p>
        </w:tc>
      </w:tr>
      <w:tr w:rsidR="00E13316" w:rsidRPr="00E13316" w14:paraId="7FFA4959"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4737D94"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Kulturní, zábavní a rekreační činnosti</w:t>
            </w:r>
          </w:p>
        </w:tc>
        <w:tc>
          <w:tcPr>
            <w:tcW w:w="1040" w:type="dxa"/>
            <w:tcBorders>
              <w:top w:val="nil"/>
              <w:left w:val="nil"/>
              <w:bottom w:val="single" w:sz="4" w:space="0" w:color="auto"/>
              <w:right w:val="single" w:sz="4" w:space="0" w:color="auto"/>
            </w:tcBorders>
            <w:shd w:val="clear" w:color="auto" w:fill="auto"/>
            <w:noWrap/>
            <w:vAlign w:val="center"/>
            <w:hideMark/>
          </w:tcPr>
          <w:p w14:paraId="1DA57973" w14:textId="77777777" w:rsidR="00E13316" w:rsidRPr="00E13316" w:rsidRDefault="00E13316" w:rsidP="00F955D5">
            <w:pPr>
              <w:keepNext/>
              <w:spacing w:after="0" w:line="240" w:lineRule="auto"/>
              <w:jc w:val="right"/>
              <w:rPr>
                <w:rFonts w:cs="Arial"/>
                <w:b/>
                <w:color w:val="000000"/>
                <w:sz w:val="16"/>
                <w:szCs w:val="16"/>
              </w:rPr>
            </w:pPr>
            <w:r w:rsidRPr="00E13316">
              <w:rPr>
                <w:rFonts w:cs="Arial"/>
                <w:b/>
                <w:color w:val="FF0000"/>
                <w:sz w:val="16"/>
                <w:szCs w:val="16"/>
              </w:rPr>
              <w:t>29,3</w:t>
            </w:r>
          </w:p>
        </w:tc>
        <w:tc>
          <w:tcPr>
            <w:tcW w:w="1000" w:type="dxa"/>
            <w:tcBorders>
              <w:top w:val="nil"/>
              <w:left w:val="nil"/>
              <w:bottom w:val="single" w:sz="4" w:space="0" w:color="auto"/>
              <w:right w:val="single" w:sz="4" w:space="0" w:color="auto"/>
            </w:tcBorders>
            <w:shd w:val="clear" w:color="auto" w:fill="auto"/>
            <w:noWrap/>
            <w:vAlign w:val="center"/>
            <w:hideMark/>
          </w:tcPr>
          <w:p w14:paraId="7030ECB8"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49,1</w:t>
            </w:r>
          </w:p>
        </w:tc>
        <w:tc>
          <w:tcPr>
            <w:tcW w:w="1180" w:type="dxa"/>
            <w:tcBorders>
              <w:top w:val="nil"/>
              <w:left w:val="nil"/>
              <w:bottom w:val="single" w:sz="4" w:space="0" w:color="auto"/>
              <w:right w:val="single" w:sz="4" w:space="0" w:color="auto"/>
            </w:tcBorders>
            <w:shd w:val="clear" w:color="auto" w:fill="auto"/>
            <w:noWrap/>
            <w:vAlign w:val="center"/>
            <w:hideMark/>
          </w:tcPr>
          <w:p w14:paraId="1FF634A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16,4</w:t>
            </w:r>
          </w:p>
        </w:tc>
        <w:tc>
          <w:tcPr>
            <w:tcW w:w="1145" w:type="dxa"/>
            <w:tcBorders>
              <w:top w:val="nil"/>
              <w:left w:val="nil"/>
              <w:bottom w:val="single" w:sz="4" w:space="0" w:color="auto"/>
              <w:right w:val="single" w:sz="4" w:space="0" w:color="auto"/>
            </w:tcBorders>
            <w:shd w:val="clear" w:color="auto" w:fill="auto"/>
            <w:noWrap/>
            <w:vAlign w:val="center"/>
            <w:hideMark/>
          </w:tcPr>
          <w:p w14:paraId="434F7EA1"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34,6</w:t>
            </w:r>
          </w:p>
        </w:tc>
        <w:tc>
          <w:tcPr>
            <w:tcW w:w="1057" w:type="dxa"/>
            <w:tcBorders>
              <w:top w:val="nil"/>
              <w:left w:val="nil"/>
              <w:bottom w:val="single" w:sz="4" w:space="0" w:color="auto"/>
              <w:right w:val="single" w:sz="4" w:space="0" w:color="auto"/>
            </w:tcBorders>
            <w:shd w:val="clear" w:color="auto" w:fill="auto"/>
            <w:noWrap/>
            <w:vAlign w:val="center"/>
            <w:hideMark/>
          </w:tcPr>
          <w:p w14:paraId="5BB9BFA7" w14:textId="77777777" w:rsidR="00E13316" w:rsidRPr="00E13316" w:rsidRDefault="00E13316" w:rsidP="00F955D5">
            <w:pPr>
              <w:keepNext/>
              <w:spacing w:after="0" w:line="240" w:lineRule="auto"/>
              <w:jc w:val="right"/>
              <w:rPr>
                <w:rFonts w:cs="Arial"/>
                <w:b/>
                <w:color w:val="FF0000"/>
                <w:sz w:val="16"/>
                <w:szCs w:val="16"/>
              </w:rPr>
            </w:pPr>
            <w:r w:rsidRPr="00E13316">
              <w:rPr>
                <w:rFonts w:cs="Arial"/>
                <w:b/>
                <w:color w:val="FF0000"/>
                <w:sz w:val="16"/>
                <w:szCs w:val="16"/>
              </w:rPr>
              <w:t>0,6</w:t>
            </w:r>
          </w:p>
        </w:tc>
      </w:tr>
      <w:tr w:rsidR="00E13316" w:rsidRPr="00E13316" w14:paraId="06138513"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FDCD9D0"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Profesní, vědecké a technické činnosti</w:t>
            </w:r>
          </w:p>
        </w:tc>
        <w:tc>
          <w:tcPr>
            <w:tcW w:w="1040" w:type="dxa"/>
            <w:tcBorders>
              <w:top w:val="nil"/>
              <w:left w:val="nil"/>
              <w:bottom w:val="single" w:sz="4" w:space="0" w:color="auto"/>
              <w:right w:val="single" w:sz="4" w:space="0" w:color="auto"/>
            </w:tcBorders>
            <w:shd w:val="clear" w:color="auto" w:fill="auto"/>
            <w:noWrap/>
            <w:vAlign w:val="center"/>
            <w:hideMark/>
          </w:tcPr>
          <w:p w14:paraId="169CCB6B" w14:textId="77777777" w:rsidR="00E13316" w:rsidRPr="00E13316" w:rsidRDefault="00E13316" w:rsidP="00F955D5">
            <w:pPr>
              <w:keepNext/>
              <w:spacing w:after="0" w:line="240" w:lineRule="auto"/>
              <w:jc w:val="right"/>
              <w:rPr>
                <w:rFonts w:cs="Arial"/>
                <w:color w:val="000000"/>
                <w:sz w:val="16"/>
                <w:szCs w:val="16"/>
              </w:rPr>
            </w:pPr>
            <w:r w:rsidRPr="00E13316">
              <w:rPr>
                <w:rFonts w:cs="Arial"/>
                <w:sz w:val="16"/>
                <w:szCs w:val="16"/>
              </w:rPr>
              <w:t>43,2</w:t>
            </w:r>
          </w:p>
        </w:tc>
        <w:tc>
          <w:tcPr>
            <w:tcW w:w="1000" w:type="dxa"/>
            <w:tcBorders>
              <w:top w:val="nil"/>
              <w:left w:val="nil"/>
              <w:bottom w:val="single" w:sz="4" w:space="0" w:color="auto"/>
              <w:right w:val="single" w:sz="4" w:space="0" w:color="auto"/>
            </w:tcBorders>
            <w:shd w:val="clear" w:color="auto" w:fill="auto"/>
            <w:noWrap/>
            <w:vAlign w:val="center"/>
            <w:hideMark/>
          </w:tcPr>
          <w:p w14:paraId="18348CF5"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22,4</w:t>
            </w:r>
          </w:p>
        </w:tc>
        <w:tc>
          <w:tcPr>
            <w:tcW w:w="1180" w:type="dxa"/>
            <w:tcBorders>
              <w:top w:val="nil"/>
              <w:left w:val="nil"/>
              <w:bottom w:val="single" w:sz="4" w:space="0" w:color="auto"/>
              <w:right w:val="single" w:sz="4" w:space="0" w:color="auto"/>
            </w:tcBorders>
            <w:shd w:val="clear" w:color="auto" w:fill="auto"/>
            <w:noWrap/>
            <w:vAlign w:val="center"/>
            <w:hideMark/>
          </w:tcPr>
          <w:p w14:paraId="3310589D" w14:textId="77777777" w:rsidR="00E13316" w:rsidRPr="00E13316" w:rsidRDefault="00E13316" w:rsidP="00F955D5">
            <w:pPr>
              <w:keepNext/>
              <w:spacing w:after="0" w:line="240" w:lineRule="auto"/>
              <w:jc w:val="right"/>
              <w:rPr>
                <w:rFonts w:cs="Arial"/>
                <w:b/>
                <w:color w:val="000000"/>
                <w:sz w:val="16"/>
                <w:szCs w:val="16"/>
              </w:rPr>
            </w:pPr>
            <w:r w:rsidRPr="00F955D5">
              <w:rPr>
                <w:rFonts w:cs="Arial"/>
                <w:b/>
                <w:color w:val="00B050"/>
                <w:sz w:val="16"/>
                <w:szCs w:val="16"/>
              </w:rPr>
              <w:t>32,9</w:t>
            </w:r>
          </w:p>
        </w:tc>
        <w:tc>
          <w:tcPr>
            <w:tcW w:w="1145" w:type="dxa"/>
            <w:tcBorders>
              <w:top w:val="nil"/>
              <w:left w:val="nil"/>
              <w:bottom w:val="single" w:sz="4" w:space="0" w:color="auto"/>
              <w:right w:val="single" w:sz="4" w:space="0" w:color="auto"/>
            </w:tcBorders>
            <w:shd w:val="clear" w:color="auto" w:fill="auto"/>
            <w:noWrap/>
            <w:vAlign w:val="center"/>
            <w:hideMark/>
          </w:tcPr>
          <w:p w14:paraId="15244F10"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19,4</w:t>
            </w:r>
          </w:p>
        </w:tc>
        <w:tc>
          <w:tcPr>
            <w:tcW w:w="1057" w:type="dxa"/>
            <w:tcBorders>
              <w:top w:val="nil"/>
              <w:left w:val="nil"/>
              <w:bottom w:val="single" w:sz="4" w:space="0" w:color="auto"/>
              <w:right w:val="single" w:sz="4" w:space="0" w:color="auto"/>
            </w:tcBorders>
            <w:shd w:val="clear" w:color="auto" w:fill="auto"/>
            <w:noWrap/>
            <w:vAlign w:val="center"/>
            <w:hideMark/>
          </w:tcPr>
          <w:p w14:paraId="2CF9CBFD"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10,1</w:t>
            </w:r>
          </w:p>
        </w:tc>
      </w:tr>
      <w:tr w:rsidR="00E13316" w:rsidRPr="00E13316" w14:paraId="15CBF7A5"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5E4ED6A"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Průmysl</w:t>
            </w:r>
          </w:p>
        </w:tc>
        <w:tc>
          <w:tcPr>
            <w:tcW w:w="1040" w:type="dxa"/>
            <w:tcBorders>
              <w:top w:val="nil"/>
              <w:left w:val="nil"/>
              <w:bottom w:val="single" w:sz="4" w:space="0" w:color="auto"/>
              <w:right w:val="single" w:sz="4" w:space="0" w:color="auto"/>
            </w:tcBorders>
            <w:shd w:val="clear" w:color="auto" w:fill="auto"/>
            <w:noWrap/>
            <w:vAlign w:val="center"/>
            <w:hideMark/>
          </w:tcPr>
          <w:p w14:paraId="2A74C83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40,2</w:t>
            </w:r>
          </w:p>
        </w:tc>
        <w:tc>
          <w:tcPr>
            <w:tcW w:w="1000" w:type="dxa"/>
            <w:tcBorders>
              <w:top w:val="nil"/>
              <w:left w:val="nil"/>
              <w:bottom w:val="single" w:sz="4" w:space="0" w:color="auto"/>
              <w:right w:val="single" w:sz="4" w:space="0" w:color="auto"/>
            </w:tcBorders>
            <w:shd w:val="clear" w:color="auto" w:fill="auto"/>
            <w:noWrap/>
            <w:vAlign w:val="center"/>
            <w:hideMark/>
          </w:tcPr>
          <w:p w14:paraId="5D327FA2"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21,8</w:t>
            </w:r>
          </w:p>
        </w:tc>
        <w:tc>
          <w:tcPr>
            <w:tcW w:w="1180" w:type="dxa"/>
            <w:tcBorders>
              <w:top w:val="nil"/>
              <w:left w:val="nil"/>
              <w:bottom w:val="single" w:sz="4" w:space="0" w:color="auto"/>
              <w:right w:val="single" w:sz="4" w:space="0" w:color="auto"/>
            </w:tcBorders>
            <w:shd w:val="clear" w:color="auto" w:fill="auto"/>
            <w:noWrap/>
            <w:vAlign w:val="center"/>
            <w:hideMark/>
          </w:tcPr>
          <w:p w14:paraId="755761E2"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26,9</w:t>
            </w:r>
          </w:p>
        </w:tc>
        <w:tc>
          <w:tcPr>
            <w:tcW w:w="1145" w:type="dxa"/>
            <w:tcBorders>
              <w:top w:val="nil"/>
              <w:left w:val="nil"/>
              <w:bottom w:val="single" w:sz="4" w:space="0" w:color="auto"/>
              <w:right w:val="single" w:sz="4" w:space="0" w:color="auto"/>
            </w:tcBorders>
            <w:shd w:val="clear" w:color="auto" w:fill="auto"/>
            <w:noWrap/>
            <w:vAlign w:val="center"/>
            <w:hideMark/>
          </w:tcPr>
          <w:p w14:paraId="34531ADB"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13,7</w:t>
            </w:r>
          </w:p>
        </w:tc>
        <w:tc>
          <w:tcPr>
            <w:tcW w:w="1057" w:type="dxa"/>
            <w:tcBorders>
              <w:top w:val="nil"/>
              <w:left w:val="nil"/>
              <w:bottom w:val="single" w:sz="4" w:space="0" w:color="auto"/>
              <w:right w:val="single" w:sz="4" w:space="0" w:color="auto"/>
            </w:tcBorders>
            <w:shd w:val="clear" w:color="auto" w:fill="auto"/>
            <w:noWrap/>
            <w:vAlign w:val="center"/>
            <w:hideMark/>
          </w:tcPr>
          <w:p w14:paraId="733A11DB"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16,4</w:t>
            </w:r>
          </w:p>
        </w:tc>
      </w:tr>
      <w:tr w:rsidR="00E13316" w:rsidRPr="00E13316" w14:paraId="58F914B5"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CE83CCC"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Doprava a skladování</w:t>
            </w:r>
          </w:p>
        </w:tc>
        <w:tc>
          <w:tcPr>
            <w:tcW w:w="1040" w:type="dxa"/>
            <w:tcBorders>
              <w:top w:val="nil"/>
              <w:left w:val="nil"/>
              <w:bottom w:val="single" w:sz="4" w:space="0" w:color="auto"/>
              <w:right w:val="single" w:sz="4" w:space="0" w:color="auto"/>
            </w:tcBorders>
            <w:shd w:val="clear" w:color="auto" w:fill="auto"/>
            <w:noWrap/>
            <w:vAlign w:val="center"/>
            <w:hideMark/>
          </w:tcPr>
          <w:p w14:paraId="04713F5F"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30,9</w:t>
            </w:r>
          </w:p>
        </w:tc>
        <w:tc>
          <w:tcPr>
            <w:tcW w:w="1000" w:type="dxa"/>
            <w:tcBorders>
              <w:top w:val="nil"/>
              <w:left w:val="nil"/>
              <w:bottom w:val="single" w:sz="4" w:space="0" w:color="auto"/>
              <w:right w:val="single" w:sz="4" w:space="0" w:color="auto"/>
            </w:tcBorders>
            <w:shd w:val="clear" w:color="auto" w:fill="auto"/>
            <w:noWrap/>
            <w:vAlign w:val="center"/>
            <w:hideMark/>
          </w:tcPr>
          <w:p w14:paraId="0798CA26"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33,3</w:t>
            </w:r>
          </w:p>
        </w:tc>
        <w:tc>
          <w:tcPr>
            <w:tcW w:w="1180" w:type="dxa"/>
            <w:tcBorders>
              <w:top w:val="nil"/>
              <w:left w:val="nil"/>
              <w:bottom w:val="single" w:sz="4" w:space="0" w:color="auto"/>
              <w:right w:val="single" w:sz="4" w:space="0" w:color="auto"/>
            </w:tcBorders>
            <w:shd w:val="clear" w:color="auto" w:fill="auto"/>
            <w:noWrap/>
            <w:vAlign w:val="center"/>
            <w:hideMark/>
          </w:tcPr>
          <w:p w14:paraId="0B8FD4D9"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28,1</w:t>
            </w:r>
          </w:p>
        </w:tc>
        <w:tc>
          <w:tcPr>
            <w:tcW w:w="1145" w:type="dxa"/>
            <w:tcBorders>
              <w:top w:val="nil"/>
              <w:left w:val="nil"/>
              <w:bottom w:val="single" w:sz="4" w:space="0" w:color="auto"/>
              <w:right w:val="single" w:sz="4" w:space="0" w:color="auto"/>
            </w:tcBorders>
            <w:shd w:val="clear" w:color="auto" w:fill="auto"/>
            <w:noWrap/>
            <w:vAlign w:val="center"/>
            <w:hideMark/>
          </w:tcPr>
          <w:p w14:paraId="27E52F6C"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18,9</w:t>
            </w:r>
          </w:p>
        </w:tc>
        <w:tc>
          <w:tcPr>
            <w:tcW w:w="1057" w:type="dxa"/>
            <w:tcBorders>
              <w:top w:val="nil"/>
              <w:left w:val="nil"/>
              <w:bottom w:val="single" w:sz="4" w:space="0" w:color="auto"/>
              <w:right w:val="single" w:sz="4" w:space="0" w:color="auto"/>
            </w:tcBorders>
            <w:shd w:val="clear" w:color="auto" w:fill="auto"/>
            <w:noWrap/>
            <w:vAlign w:val="center"/>
            <w:hideMark/>
          </w:tcPr>
          <w:p w14:paraId="1E590A9E"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7,2</w:t>
            </w:r>
          </w:p>
        </w:tc>
      </w:tr>
      <w:tr w:rsidR="00E13316" w:rsidRPr="00E13316" w14:paraId="16D34D7B" w14:textId="77777777" w:rsidTr="00552396">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69C3E44" w14:textId="77777777" w:rsidR="00E13316" w:rsidRPr="00E13316" w:rsidRDefault="00E13316" w:rsidP="00F955D5">
            <w:pPr>
              <w:keepNext/>
              <w:spacing w:after="0" w:line="240" w:lineRule="auto"/>
              <w:rPr>
                <w:rFonts w:cs="Arial"/>
                <w:color w:val="000000"/>
                <w:sz w:val="16"/>
                <w:szCs w:val="16"/>
              </w:rPr>
            </w:pPr>
            <w:r w:rsidRPr="00E13316">
              <w:rPr>
                <w:rFonts w:cs="Arial"/>
                <w:color w:val="000000"/>
                <w:sz w:val="16"/>
                <w:szCs w:val="16"/>
              </w:rPr>
              <w:t>Stavebnictví</w:t>
            </w:r>
          </w:p>
        </w:tc>
        <w:tc>
          <w:tcPr>
            <w:tcW w:w="1040" w:type="dxa"/>
            <w:tcBorders>
              <w:top w:val="nil"/>
              <w:left w:val="nil"/>
              <w:bottom w:val="single" w:sz="4" w:space="0" w:color="auto"/>
              <w:right w:val="single" w:sz="4" w:space="0" w:color="auto"/>
            </w:tcBorders>
            <w:shd w:val="clear" w:color="auto" w:fill="auto"/>
            <w:noWrap/>
            <w:vAlign w:val="center"/>
            <w:hideMark/>
          </w:tcPr>
          <w:p w14:paraId="130DA0BB"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0CDBDA3D" w14:textId="77777777" w:rsidR="00E13316" w:rsidRPr="00E13316" w:rsidRDefault="00E13316" w:rsidP="00F955D5">
            <w:pPr>
              <w:keepNext/>
              <w:spacing w:after="0" w:line="240" w:lineRule="auto"/>
              <w:jc w:val="right"/>
              <w:rPr>
                <w:rFonts w:cs="Arial"/>
                <w:b/>
                <w:color w:val="000000"/>
                <w:sz w:val="16"/>
                <w:szCs w:val="16"/>
              </w:rPr>
            </w:pPr>
            <w:r w:rsidRPr="00E13316">
              <w:rPr>
                <w:rFonts w:cs="Arial"/>
                <w:b/>
                <w:color w:val="FF0000"/>
                <w:sz w:val="16"/>
                <w:szCs w:val="16"/>
              </w:rPr>
              <w:t>20,4</w:t>
            </w:r>
          </w:p>
        </w:tc>
        <w:tc>
          <w:tcPr>
            <w:tcW w:w="1180" w:type="dxa"/>
            <w:tcBorders>
              <w:top w:val="nil"/>
              <w:left w:val="nil"/>
              <w:bottom w:val="single" w:sz="4" w:space="0" w:color="auto"/>
              <w:right w:val="single" w:sz="4" w:space="0" w:color="auto"/>
            </w:tcBorders>
            <w:shd w:val="clear" w:color="auto" w:fill="auto"/>
            <w:noWrap/>
            <w:vAlign w:val="center"/>
            <w:hideMark/>
          </w:tcPr>
          <w:p w14:paraId="69500164"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29,0</w:t>
            </w:r>
          </w:p>
        </w:tc>
        <w:tc>
          <w:tcPr>
            <w:tcW w:w="1145" w:type="dxa"/>
            <w:tcBorders>
              <w:top w:val="nil"/>
              <w:left w:val="nil"/>
              <w:bottom w:val="single" w:sz="4" w:space="0" w:color="auto"/>
              <w:right w:val="single" w:sz="4" w:space="0" w:color="auto"/>
            </w:tcBorders>
            <w:shd w:val="clear" w:color="auto" w:fill="auto"/>
            <w:noWrap/>
            <w:vAlign w:val="center"/>
            <w:hideMark/>
          </w:tcPr>
          <w:p w14:paraId="3D52521D" w14:textId="77777777" w:rsidR="00E13316" w:rsidRPr="00E13316" w:rsidRDefault="00E13316" w:rsidP="00F955D5">
            <w:pPr>
              <w:keepNext/>
              <w:spacing w:after="0" w:line="240" w:lineRule="auto"/>
              <w:jc w:val="right"/>
              <w:rPr>
                <w:rFonts w:cs="Arial"/>
                <w:b/>
                <w:color w:val="FF0000"/>
                <w:sz w:val="16"/>
                <w:szCs w:val="16"/>
              </w:rPr>
            </w:pPr>
            <w:r w:rsidRPr="00E13316">
              <w:rPr>
                <w:rFonts w:cs="Arial"/>
                <w:b/>
                <w:color w:val="FF0000"/>
                <w:sz w:val="16"/>
                <w:szCs w:val="16"/>
              </w:rPr>
              <w:t>11,8</w:t>
            </w:r>
          </w:p>
        </w:tc>
        <w:tc>
          <w:tcPr>
            <w:tcW w:w="1057" w:type="dxa"/>
            <w:tcBorders>
              <w:top w:val="nil"/>
              <w:left w:val="nil"/>
              <w:bottom w:val="single" w:sz="4" w:space="0" w:color="auto"/>
              <w:right w:val="single" w:sz="4" w:space="0" w:color="auto"/>
            </w:tcBorders>
            <w:shd w:val="clear" w:color="auto" w:fill="auto"/>
            <w:noWrap/>
            <w:vAlign w:val="center"/>
            <w:hideMark/>
          </w:tcPr>
          <w:p w14:paraId="1A24F4E2" w14:textId="77777777" w:rsidR="00E13316" w:rsidRPr="00E13316" w:rsidRDefault="00E13316" w:rsidP="00F955D5">
            <w:pPr>
              <w:keepNext/>
              <w:spacing w:after="0" w:line="240" w:lineRule="auto"/>
              <w:jc w:val="right"/>
              <w:rPr>
                <w:rFonts w:cs="Arial"/>
                <w:color w:val="000000"/>
                <w:sz w:val="16"/>
                <w:szCs w:val="16"/>
              </w:rPr>
            </w:pPr>
            <w:r w:rsidRPr="00E13316">
              <w:rPr>
                <w:rFonts w:cs="Arial"/>
                <w:color w:val="000000"/>
                <w:sz w:val="16"/>
                <w:szCs w:val="16"/>
              </w:rPr>
              <w:t>13,2</w:t>
            </w:r>
          </w:p>
        </w:tc>
      </w:tr>
    </w:tbl>
    <w:p w14:paraId="4E0410BF" w14:textId="4AEDD940" w:rsidR="00E13316" w:rsidRPr="009C4714" w:rsidRDefault="00263AF5" w:rsidP="00263AF5">
      <w:pPr>
        <w:spacing w:before="120" w:after="120"/>
        <w:jc w:val="center"/>
        <w:rPr>
          <w:szCs w:val="20"/>
        </w:rPr>
      </w:pPr>
      <w:r>
        <w:rPr>
          <w:szCs w:val="20"/>
        </w:rPr>
        <w:t xml:space="preserve">                                                                                                                                </w:t>
      </w:r>
      <w:r w:rsidR="009C4714" w:rsidRPr="003D1467">
        <w:rPr>
          <w:szCs w:val="20"/>
        </w:rPr>
        <w:t>Zdroj: ČSÚ</w:t>
      </w:r>
    </w:p>
    <w:p w14:paraId="370A7E3A" w14:textId="5AE690DD" w:rsidR="00A03F6D" w:rsidRDefault="00C9334C" w:rsidP="00A03F6D">
      <w:pPr>
        <w:spacing w:after="120"/>
        <w:jc w:val="both"/>
        <w:rPr>
          <w:rFonts w:cs="Arial"/>
          <w:szCs w:val="20"/>
        </w:rPr>
      </w:pPr>
      <w:r>
        <w:rPr>
          <w:rFonts w:cs="Arial"/>
          <w:szCs w:val="20"/>
        </w:rPr>
        <w:t xml:space="preserve">Obraťme pozornost na </w:t>
      </w:r>
      <w:r w:rsidR="00820E21">
        <w:rPr>
          <w:rFonts w:cs="Arial"/>
          <w:szCs w:val="20"/>
        </w:rPr>
        <w:t>dovednosti a znalosti, které nespadají do „soft skills“</w:t>
      </w:r>
      <w:r w:rsidR="00A03F6D">
        <w:rPr>
          <w:rFonts w:cs="Arial"/>
          <w:szCs w:val="20"/>
        </w:rPr>
        <w:t xml:space="preserve">, nýbrž </w:t>
      </w:r>
      <w:r w:rsidR="00A03F6D" w:rsidRPr="00A03F6D">
        <w:rPr>
          <w:rFonts w:cs="Arial"/>
          <w:b/>
          <w:szCs w:val="20"/>
        </w:rPr>
        <w:t>„hard skills“</w:t>
      </w:r>
      <w:r w:rsidR="0038386A">
        <w:rPr>
          <w:rFonts w:cs="Arial"/>
          <w:b/>
          <w:szCs w:val="20"/>
        </w:rPr>
        <w:t xml:space="preserve"> </w:t>
      </w:r>
      <w:r w:rsidR="00744640">
        <w:rPr>
          <w:rFonts w:cs="Arial"/>
          <w:szCs w:val="20"/>
        </w:rPr>
        <w:t>(viz tabulku 3.2b)</w:t>
      </w:r>
      <w:r w:rsidR="00744640" w:rsidRPr="00744640">
        <w:rPr>
          <w:rFonts w:cs="Arial"/>
          <w:szCs w:val="20"/>
        </w:rPr>
        <w:t xml:space="preserve">. </w:t>
      </w:r>
      <w:r w:rsidR="00A03F6D">
        <w:rPr>
          <w:rFonts w:cs="Arial"/>
          <w:szCs w:val="20"/>
        </w:rPr>
        <w:t xml:space="preserve">Lze říci, že </w:t>
      </w:r>
      <w:r w:rsidR="000B759D">
        <w:rPr>
          <w:rFonts w:cs="Arial"/>
          <w:i/>
          <w:szCs w:val="20"/>
        </w:rPr>
        <w:t>čím měl</w:t>
      </w:r>
      <w:r w:rsidR="00A03F6D" w:rsidRPr="00221E83">
        <w:rPr>
          <w:rFonts w:cs="Arial"/>
          <w:i/>
          <w:szCs w:val="20"/>
        </w:rPr>
        <w:t xml:space="preserve"> podnik více zaměstnanců</w:t>
      </w:r>
      <w:r w:rsidR="00A03F6D">
        <w:rPr>
          <w:rFonts w:cs="Arial"/>
          <w:szCs w:val="20"/>
        </w:rPr>
        <w:t>,</w:t>
      </w:r>
      <w:r w:rsidR="000B759D">
        <w:rPr>
          <w:rFonts w:cs="Arial"/>
          <w:szCs w:val="20"/>
        </w:rPr>
        <w:t xml:space="preserve"> tím měl</w:t>
      </w:r>
      <w:r w:rsidR="00A03F6D">
        <w:rPr>
          <w:rFonts w:cs="Arial"/>
          <w:szCs w:val="20"/>
        </w:rPr>
        <w:t xml:space="preserve"> tendenci vidět jako důležitější pro svůj rozvoj, aby zaměstnanci disponovali </w:t>
      </w:r>
      <w:r w:rsidR="00A03F6D" w:rsidRPr="00221E83">
        <w:rPr>
          <w:rFonts w:cs="Arial"/>
          <w:b/>
          <w:i/>
          <w:szCs w:val="20"/>
        </w:rPr>
        <w:t>specifickými technickými a inženýrskými dovednostmi</w:t>
      </w:r>
      <w:r w:rsidR="00A03F6D" w:rsidRPr="001D223D">
        <w:rPr>
          <w:rFonts w:cs="Arial"/>
          <w:szCs w:val="20"/>
        </w:rPr>
        <w:t xml:space="preserve"> související</w:t>
      </w:r>
      <w:r w:rsidR="00A03F6D" w:rsidRPr="00F31C5C">
        <w:rPr>
          <w:rFonts w:cs="Arial"/>
          <w:szCs w:val="20"/>
        </w:rPr>
        <w:t xml:space="preserve">mi </w:t>
      </w:r>
      <w:r w:rsidR="000B759D">
        <w:rPr>
          <w:rFonts w:cs="Arial"/>
          <w:szCs w:val="20"/>
        </w:rPr>
        <w:t>s </w:t>
      </w:r>
      <w:r w:rsidR="00A03F6D" w:rsidRPr="001D223D">
        <w:rPr>
          <w:rFonts w:cs="Arial"/>
          <w:szCs w:val="20"/>
        </w:rPr>
        <w:t>výkon</w:t>
      </w:r>
      <w:r w:rsidR="0038386A">
        <w:rPr>
          <w:rFonts w:cs="Arial"/>
          <w:szCs w:val="20"/>
        </w:rPr>
        <w:t>em konkrétního povolání</w:t>
      </w:r>
      <w:r w:rsidR="00A03F6D" w:rsidRPr="00F31C5C">
        <w:rPr>
          <w:rFonts w:cs="Arial"/>
          <w:szCs w:val="20"/>
        </w:rPr>
        <w:t xml:space="preserve"> </w:t>
      </w:r>
      <w:r w:rsidR="00A03F6D" w:rsidRPr="001D223D">
        <w:rPr>
          <w:rFonts w:cs="Arial"/>
          <w:szCs w:val="20"/>
        </w:rPr>
        <w:t>v</w:t>
      </w:r>
      <w:r w:rsidR="00A03F6D">
        <w:rPr>
          <w:rFonts w:cs="Arial"/>
          <w:szCs w:val="20"/>
        </w:rPr>
        <w:t> </w:t>
      </w:r>
      <w:r w:rsidR="00A03F6D" w:rsidRPr="001D223D">
        <w:rPr>
          <w:rFonts w:cs="Arial"/>
          <w:szCs w:val="20"/>
        </w:rPr>
        <w:t>podniku</w:t>
      </w:r>
      <w:r w:rsidR="00A03F6D">
        <w:rPr>
          <w:rFonts w:cs="Arial"/>
          <w:szCs w:val="20"/>
        </w:rPr>
        <w:t xml:space="preserve">, aby ovládali </w:t>
      </w:r>
      <w:r w:rsidR="00A03F6D" w:rsidRPr="00221E83">
        <w:rPr>
          <w:rFonts w:cs="Arial"/>
          <w:b/>
          <w:i/>
          <w:szCs w:val="20"/>
        </w:rPr>
        <w:t>cizí jazyky</w:t>
      </w:r>
      <w:r w:rsidR="00A03F6D">
        <w:rPr>
          <w:rFonts w:cs="Arial"/>
          <w:szCs w:val="20"/>
        </w:rPr>
        <w:t>,</w:t>
      </w:r>
      <w:r w:rsidR="00A03F6D" w:rsidRPr="00F31C5C">
        <w:rPr>
          <w:rFonts w:cs="Arial"/>
          <w:szCs w:val="20"/>
        </w:rPr>
        <w:t xml:space="preserve"> </w:t>
      </w:r>
      <w:r w:rsidR="00A03F6D">
        <w:rPr>
          <w:rFonts w:cs="Arial"/>
          <w:szCs w:val="20"/>
        </w:rPr>
        <w:t xml:space="preserve">byli schopní </w:t>
      </w:r>
      <w:r w:rsidR="000B759D">
        <w:rPr>
          <w:rFonts w:cs="Arial"/>
          <w:b/>
          <w:i/>
          <w:szCs w:val="20"/>
        </w:rPr>
        <w:t>odborné práce s </w:t>
      </w:r>
      <w:r w:rsidR="00A03F6D" w:rsidRPr="00221E83">
        <w:rPr>
          <w:rFonts w:cs="Arial"/>
          <w:b/>
          <w:i/>
          <w:szCs w:val="20"/>
        </w:rPr>
        <w:t>informačními technologiemi</w:t>
      </w:r>
      <w:r w:rsidR="00A03F6D">
        <w:rPr>
          <w:rFonts w:cs="Arial"/>
          <w:szCs w:val="20"/>
        </w:rPr>
        <w:t xml:space="preserve"> a měli </w:t>
      </w:r>
      <w:r w:rsidR="00A03F6D" w:rsidRPr="00221E83">
        <w:rPr>
          <w:rFonts w:cs="Arial"/>
          <w:b/>
          <w:i/>
          <w:szCs w:val="20"/>
        </w:rPr>
        <w:t>odborné dovednosti v oblasti matematiky a statistiky</w:t>
      </w:r>
      <w:r w:rsidR="00A03F6D" w:rsidRPr="00F31C5C">
        <w:rPr>
          <w:rFonts w:cs="Arial"/>
          <w:szCs w:val="20"/>
        </w:rPr>
        <w:t>.</w:t>
      </w:r>
      <w:r w:rsidR="000B759D">
        <w:rPr>
          <w:rFonts w:cs="Arial"/>
          <w:szCs w:val="20"/>
        </w:rPr>
        <w:t xml:space="preserve"> Naopak, čím byl podnik větší, tím ubývala</w:t>
      </w:r>
      <w:r w:rsidR="00A03F6D">
        <w:rPr>
          <w:rFonts w:cs="Arial"/>
          <w:szCs w:val="20"/>
        </w:rPr>
        <w:t xml:space="preserve"> na významu schopnost </w:t>
      </w:r>
      <w:r w:rsidR="00A03F6D" w:rsidRPr="00221E83">
        <w:rPr>
          <w:rFonts w:cs="Arial"/>
          <w:b/>
          <w:i/>
          <w:szCs w:val="20"/>
        </w:rPr>
        <w:t>běžné orientace v textu a/nebo v početních operacích</w:t>
      </w:r>
      <w:r w:rsidR="00A03F6D">
        <w:rPr>
          <w:rFonts w:cs="Arial"/>
          <w:szCs w:val="20"/>
        </w:rPr>
        <w:t xml:space="preserve">. Podniky s 250 </w:t>
      </w:r>
      <w:r w:rsidR="000B759D">
        <w:rPr>
          <w:rFonts w:cs="Arial"/>
          <w:szCs w:val="20"/>
        </w:rPr>
        <w:t>a více zaměstnanci také považovaly</w:t>
      </w:r>
      <w:r w:rsidR="00A03F6D">
        <w:rPr>
          <w:rFonts w:cs="Arial"/>
          <w:szCs w:val="20"/>
        </w:rPr>
        <w:t xml:space="preserve"> za méně důležité pro svůj rozvoj dovednosti v oblasti </w:t>
      </w:r>
      <w:r w:rsidR="00A03F6D" w:rsidRPr="00221E83">
        <w:rPr>
          <w:rFonts w:cs="Arial"/>
          <w:b/>
          <w:i/>
          <w:szCs w:val="20"/>
        </w:rPr>
        <w:t>vedení administrativy</w:t>
      </w:r>
      <w:r w:rsidR="00A03F6D">
        <w:rPr>
          <w:rFonts w:cs="Arial"/>
          <w:szCs w:val="20"/>
        </w:rPr>
        <w:t xml:space="preserve"> </w:t>
      </w:r>
      <w:r w:rsidR="00D56504">
        <w:rPr>
          <w:rFonts w:cs="Arial"/>
          <w:szCs w:val="20"/>
        </w:rPr>
        <w:t>–</w:t>
      </w:r>
      <w:r w:rsidR="00A03F6D">
        <w:rPr>
          <w:rFonts w:cs="Arial"/>
          <w:szCs w:val="20"/>
        </w:rPr>
        <w:t xml:space="preserve"> </w:t>
      </w:r>
      <w:r w:rsidR="00E26411">
        <w:rPr>
          <w:rFonts w:cs="Arial"/>
          <w:szCs w:val="20"/>
        </w:rPr>
        <w:t>mezi stěžejní je zařadilo</w:t>
      </w:r>
      <w:r w:rsidR="009D2E6F">
        <w:rPr>
          <w:rFonts w:cs="Arial"/>
          <w:szCs w:val="20"/>
        </w:rPr>
        <w:t xml:space="preserve"> jen 3</w:t>
      </w:r>
      <w:r w:rsidR="00A03F6D">
        <w:rPr>
          <w:rFonts w:cs="Arial"/>
          <w:szCs w:val="20"/>
        </w:rPr>
        <w:t xml:space="preserve"> % z nich oproti </w:t>
      </w:r>
      <w:r w:rsidR="0038386A">
        <w:rPr>
          <w:rFonts w:cs="Arial"/>
          <w:szCs w:val="20"/>
        </w:rPr>
        <w:t>téměř</w:t>
      </w:r>
      <w:r w:rsidR="00A03F6D">
        <w:rPr>
          <w:rFonts w:cs="Arial"/>
          <w:szCs w:val="20"/>
        </w:rPr>
        <w:t xml:space="preserve"> desetině podniků v ostatních </w:t>
      </w:r>
      <w:r w:rsidR="00E26411">
        <w:rPr>
          <w:rFonts w:cs="Arial"/>
          <w:szCs w:val="20"/>
        </w:rPr>
        <w:t xml:space="preserve">velikostních </w:t>
      </w:r>
      <w:r w:rsidR="00A03F6D">
        <w:rPr>
          <w:rFonts w:cs="Arial"/>
          <w:szCs w:val="20"/>
        </w:rPr>
        <w:t>kategoriích</w:t>
      </w:r>
      <w:r w:rsidR="009D2E6F">
        <w:rPr>
          <w:rFonts w:cs="Arial"/>
          <w:szCs w:val="20"/>
        </w:rPr>
        <w:t xml:space="preserve"> (7, resp. 10 %)</w:t>
      </w:r>
      <w:r w:rsidR="00A03F6D">
        <w:rPr>
          <w:rFonts w:cs="Arial"/>
          <w:szCs w:val="20"/>
        </w:rPr>
        <w:t>.</w:t>
      </w:r>
    </w:p>
    <w:p w14:paraId="68709D4A" w14:textId="23725935" w:rsidR="00332B32" w:rsidRPr="00F31C5C" w:rsidRDefault="00A03F6D" w:rsidP="00D97F15">
      <w:pPr>
        <w:spacing w:after="120"/>
        <w:jc w:val="both"/>
        <w:rPr>
          <w:rFonts w:cs="Arial"/>
          <w:szCs w:val="20"/>
        </w:rPr>
      </w:pPr>
      <w:r>
        <w:rPr>
          <w:rFonts w:cs="Arial"/>
          <w:szCs w:val="20"/>
        </w:rPr>
        <w:t xml:space="preserve">Z pohledu na dělení podniků </w:t>
      </w:r>
      <w:r w:rsidRPr="00221E83">
        <w:rPr>
          <w:rFonts w:cs="Arial"/>
          <w:b/>
          <w:szCs w:val="20"/>
        </w:rPr>
        <w:t xml:space="preserve">dle </w:t>
      </w:r>
      <w:r w:rsidR="000F27F7">
        <w:rPr>
          <w:rFonts w:cs="Arial"/>
          <w:b/>
          <w:szCs w:val="20"/>
        </w:rPr>
        <w:t>druhu vlastnictví podniku</w:t>
      </w:r>
      <w:r>
        <w:rPr>
          <w:rFonts w:cs="Arial"/>
          <w:szCs w:val="20"/>
        </w:rPr>
        <w:t xml:space="preserve"> je zřejmé, že po</w:t>
      </w:r>
      <w:r w:rsidR="000B759D">
        <w:rPr>
          <w:rFonts w:cs="Arial"/>
          <w:szCs w:val="20"/>
        </w:rPr>
        <w:t xml:space="preserve">dniky </w:t>
      </w:r>
      <w:r w:rsidR="000F27F7">
        <w:rPr>
          <w:rFonts w:cs="Arial"/>
          <w:szCs w:val="20"/>
        </w:rPr>
        <w:t>pod zahraniční kontrolou</w:t>
      </w:r>
      <w:r w:rsidR="000B759D">
        <w:rPr>
          <w:rFonts w:cs="Arial"/>
          <w:szCs w:val="20"/>
        </w:rPr>
        <w:t xml:space="preserve"> vnímaly</w:t>
      </w:r>
      <w:r>
        <w:rPr>
          <w:rFonts w:cs="Arial"/>
          <w:szCs w:val="20"/>
        </w:rPr>
        <w:t xml:space="preserve"> subjektivně jako důležitější pro svůj rozvoj, aby zaměstnanci disponovali </w:t>
      </w:r>
      <w:r w:rsidRPr="00221E83">
        <w:rPr>
          <w:rFonts w:cs="Arial"/>
          <w:b/>
          <w:i/>
          <w:szCs w:val="20"/>
        </w:rPr>
        <w:t xml:space="preserve">specifickými technickými </w:t>
      </w:r>
      <w:r w:rsidRPr="00221E83">
        <w:rPr>
          <w:rFonts w:cs="Arial"/>
          <w:b/>
          <w:i/>
          <w:szCs w:val="20"/>
        </w:rPr>
        <w:lastRenderedPageBreak/>
        <w:t>a inženýrskými dovednostmi</w:t>
      </w:r>
      <w:r w:rsidRPr="001D223D">
        <w:rPr>
          <w:rFonts w:cs="Arial"/>
          <w:szCs w:val="20"/>
        </w:rPr>
        <w:t xml:space="preserve"> související</w:t>
      </w:r>
      <w:r w:rsidRPr="00F31C5C">
        <w:rPr>
          <w:rFonts w:cs="Arial"/>
          <w:szCs w:val="20"/>
        </w:rPr>
        <w:t xml:space="preserve">mi </w:t>
      </w:r>
      <w:r w:rsidRPr="001D223D">
        <w:rPr>
          <w:rFonts w:cs="Arial"/>
          <w:szCs w:val="20"/>
        </w:rPr>
        <w:t>s výkonem konkrétního povolání v</w:t>
      </w:r>
      <w:r>
        <w:rPr>
          <w:rFonts w:cs="Arial"/>
          <w:szCs w:val="20"/>
        </w:rPr>
        <w:t> </w:t>
      </w:r>
      <w:r w:rsidRPr="001D223D">
        <w:rPr>
          <w:rFonts w:cs="Arial"/>
          <w:szCs w:val="20"/>
        </w:rPr>
        <w:t>podniku</w:t>
      </w:r>
      <w:r>
        <w:rPr>
          <w:rFonts w:cs="Arial"/>
          <w:szCs w:val="20"/>
        </w:rPr>
        <w:t xml:space="preserve"> (</w:t>
      </w:r>
      <w:r w:rsidR="00E26411">
        <w:rPr>
          <w:rFonts w:cs="Arial"/>
          <w:szCs w:val="20"/>
        </w:rPr>
        <w:t xml:space="preserve">uvedlo tak </w:t>
      </w:r>
      <w:r w:rsidR="009D2E6F">
        <w:rPr>
          <w:rFonts w:cs="Arial"/>
          <w:szCs w:val="20"/>
        </w:rPr>
        <w:t>26</w:t>
      </w:r>
      <w:r>
        <w:rPr>
          <w:rFonts w:cs="Arial"/>
          <w:szCs w:val="20"/>
        </w:rPr>
        <w:t xml:space="preserve"> % </w:t>
      </w:r>
      <w:r w:rsidR="00E26411">
        <w:rPr>
          <w:rFonts w:cs="Arial"/>
          <w:szCs w:val="20"/>
        </w:rPr>
        <w:t xml:space="preserve">z nich </w:t>
      </w:r>
      <w:r w:rsidR="009D2E6F">
        <w:rPr>
          <w:rFonts w:cs="Arial"/>
          <w:szCs w:val="20"/>
        </w:rPr>
        <w:t>oproti pětině</w:t>
      </w:r>
      <w:r w:rsidR="00E26411">
        <w:rPr>
          <w:rFonts w:cs="Arial"/>
          <w:szCs w:val="20"/>
        </w:rPr>
        <w:t xml:space="preserve"> domácích podniků</w:t>
      </w:r>
      <w:r>
        <w:rPr>
          <w:rFonts w:cs="Arial"/>
          <w:szCs w:val="20"/>
        </w:rPr>
        <w:t xml:space="preserve">). </w:t>
      </w:r>
      <w:r w:rsidR="00E26411">
        <w:rPr>
          <w:rFonts w:cs="Arial"/>
          <w:szCs w:val="20"/>
        </w:rPr>
        <w:t>Výrazně častěji kladly důraz</w:t>
      </w:r>
      <w:r>
        <w:rPr>
          <w:rFonts w:cs="Arial"/>
          <w:szCs w:val="20"/>
        </w:rPr>
        <w:t xml:space="preserve"> na </w:t>
      </w:r>
      <w:r w:rsidRPr="00221E83">
        <w:rPr>
          <w:rFonts w:cs="Arial"/>
          <w:b/>
          <w:i/>
          <w:szCs w:val="20"/>
        </w:rPr>
        <w:t>znalost cizích jazyků</w:t>
      </w:r>
      <w:r w:rsidR="009D61BD">
        <w:rPr>
          <w:rFonts w:cs="Arial"/>
          <w:b/>
          <w:i/>
          <w:szCs w:val="20"/>
        </w:rPr>
        <w:t xml:space="preserve"> </w:t>
      </w:r>
      <w:r w:rsidR="009D2E6F">
        <w:rPr>
          <w:rFonts w:cs="Arial"/>
          <w:szCs w:val="20"/>
        </w:rPr>
        <w:t>(33 % oproti 10</w:t>
      </w:r>
      <w:r w:rsidR="009D61BD" w:rsidRPr="009D61BD">
        <w:rPr>
          <w:rFonts w:cs="Arial"/>
          <w:szCs w:val="20"/>
        </w:rPr>
        <w:t> %)</w:t>
      </w:r>
      <w:r>
        <w:rPr>
          <w:rFonts w:cs="Arial"/>
          <w:szCs w:val="20"/>
        </w:rPr>
        <w:t xml:space="preserve">, </w:t>
      </w:r>
      <w:r w:rsidR="00E26411">
        <w:rPr>
          <w:rFonts w:cs="Arial"/>
          <w:szCs w:val="20"/>
        </w:rPr>
        <w:t>častěji</w:t>
      </w:r>
      <w:r w:rsidR="00DE36CB">
        <w:rPr>
          <w:rFonts w:cs="Arial"/>
          <w:szCs w:val="20"/>
        </w:rPr>
        <w:t xml:space="preserve"> zdůrazňovaly</w:t>
      </w:r>
      <w:r w:rsidR="009D61BD">
        <w:rPr>
          <w:rFonts w:cs="Arial"/>
          <w:szCs w:val="20"/>
        </w:rPr>
        <w:t xml:space="preserve"> také </w:t>
      </w:r>
      <w:r>
        <w:rPr>
          <w:rFonts w:cs="Arial"/>
          <w:szCs w:val="20"/>
        </w:rPr>
        <w:t>schopnost</w:t>
      </w:r>
      <w:r w:rsidR="009D61BD">
        <w:rPr>
          <w:rFonts w:cs="Arial"/>
          <w:szCs w:val="20"/>
        </w:rPr>
        <w:t>i</w:t>
      </w:r>
      <w:r>
        <w:rPr>
          <w:rFonts w:cs="Arial"/>
          <w:szCs w:val="20"/>
        </w:rPr>
        <w:t xml:space="preserve"> </w:t>
      </w:r>
      <w:r w:rsidRPr="00221E83">
        <w:rPr>
          <w:rFonts w:cs="Arial"/>
          <w:b/>
          <w:i/>
          <w:szCs w:val="20"/>
        </w:rPr>
        <w:t xml:space="preserve">odborné práce </w:t>
      </w:r>
      <w:r w:rsidR="00221E83" w:rsidRPr="00221E83">
        <w:rPr>
          <w:rFonts w:cs="Arial"/>
          <w:b/>
          <w:i/>
          <w:szCs w:val="20"/>
        </w:rPr>
        <w:t>s </w:t>
      </w:r>
      <w:r w:rsidRPr="00221E83">
        <w:rPr>
          <w:rFonts w:cs="Arial"/>
          <w:b/>
          <w:i/>
          <w:szCs w:val="20"/>
        </w:rPr>
        <w:t>informačními technologiemi</w:t>
      </w:r>
      <w:r>
        <w:rPr>
          <w:rFonts w:cs="Arial"/>
          <w:szCs w:val="20"/>
        </w:rPr>
        <w:t xml:space="preserve"> </w:t>
      </w:r>
      <w:r w:rsidR="009D2E6F">
        <w:rPr>
          <w:rFonts w:cs="Arial"/>
          <w:szCs w:val="20"/>
        </w:rPr>
        <w:t xml:space="preserve">(8 % oproti </w:t>
      </w:r>
      <w:r w:rsidR="009D61BD">
        <w:rPr>
          <w:rFonts w:cs="Arial"/>
          <w:szCs w:val="20"/>
        </w:rPr>
        <w:t>6 %) a</w:t>
      </w:r>
      <w:r>
        <w:rPr>
          <w:rFonts w:cs="Arial"/>
          <w:szCs w:val="20"/>
        </w:rPr>
        <w:t xml:space="preserve"> </w:t>
      </w:r>
      <w:r w:rsidRPr="00221E83">
        <w:rPr>
          <w:rFonts w:cs="Arial"/>
          <w:b/>
          <w:i/>
          <w:szCs w:val="20"/>
        </w:rPr>
        <w:t>odborné dovednosti v oblasti matematiky a statistiky</w:t>
      </w:r>
      <w:r w:rsidR="009D61BD">
        <w:rPr>
          <w:rFonts w:cs="Arial"/>
          <w:b/>
          <w:i/>
          <w:szCs w:val="20"/>
        </w:rPr>
        <w:t xml:space="preserve"> </w:t>
      </w:r>
      <w:r w:rsidR="009D2E6F">
        <w:rPr>
          <w:rFonts w:cs="Arial"/>
          <w:szCs w:val="20"/>
        </w:rPr>
        <w:t>(2 % oproti 1</w:t>
      </w:r>
      <w:r w:rsidR="009D61BD" w:rsidRPr="009D61BD">
        <w:rPr>
          <w:rFonts w:cs="Arial"/>
          <w:szCs w:val="20"/>
        </w:rPr>
        <w:t> %)</w:t>
      </w:r>
      <w:r w:rsidRPr="00F31C5C">
        <w:rPr>
          <w:rFonts w:cs="Arial"/>
          <w:szCs w:val="20"/>
        </w:rPr>
        <w:t>.</w:t>
      </w:r>
      <w:r w:rsidR="009C0C6B">
        <w:rPr>
          <w:rFonts w:cs="Arial"/>
          <w:szCs w:val="20"/>
        </w:rPr>
        <w:t xml:space="preserve"> Naopak, oproti domácím</w:t>
      </w:r>
      <w:r>
        <w:rPr>
          <w:rFonts w:cs="Arial"/>
          <w:szCs w:val="20"/>
        </w:rPr>
        <w:t xml:space="preserve"> podnikům </w:t>
      </w:r>
      <w:r w:rsidR="00DE36CB">
        <w:rPr>
          <w:rFonts w:cs="Arial"/>
          <w:szCs w:val="20"/>
        </w:rPr>
        <w:t>považovaly</w:t>
      </w:r>
      <w:r w:rsidR="009D61BD">
        <w:rPr>
          <w:rFonts w:cs="Arial"/>
          <w:szCs w:val="20"/>
        </w:rPr>
        <w:t xml:space="preserve"> za méně podstatnou</w:t>
      </w:r>
      <w:r>
        <w:rPr>
          <w:rFonts w:cs="Arial"/>
          <w:szCs w:val="20"/>
        </w:rPr>
        <w:t xml:space="preserve"> schopnost </w:t>
      </w:r>
      <w:r w:rsidRPr="00221E83">
        <w:rPr>
          <w:rFonts w:cs="Arial"/>
          <w:b/>
          <w:i/>
          <w:szCs w:val="20"/>
        </w:rPr>
        <w:t>běžné orientace v textu a/nebo v početních operacích</w:t>
      </w:r>
      <w:r>
        <w:rPr>
          <w:rFonts w:cs="Arial"/>
          <w:szCs w:val="20"/>
        </w:rPr>
        <w:t xml:space="preserve"> </w:t>
      </w:r>
      <w:r w:rsidR="009D61BD">
        <w:rPr>
          <w:rFonts w:cs="Arial"/>
          <w:szCs w:val="20"/>
        </w:rPr>
        <w:t>(</w:t>
      </w:r>
      <w:r w:rsidR="00E26411">
        <w:rPr>
          <w:rFonts w:cs="Arial"/>
          <w:szCs w:val="20"/>
        </w:rPr>
        <w:t xml:space="preserve">mezi stěžejní dovednosti ji zařadilo </w:t>
      </w:r>
      <w:r w:rsidR="009D2E6F">
        <w:rPr>
          <w:rFonts w:cs="Arial"/>
          <w:szCs w:val="20"/>
        </w:rPr>
        <w:t>9</w:t>
      </w:r>
      <w:r w:rsidR="009D61BD">
        <w:rPr>
          <w:rFonts w:cs="Arial"/>
          <w:szCs w:val="20"/>
        </w:rPr>
        <w:t xml:space="preserve"> % </w:t>
      </w:r>
      <w:r w:rsidR="00E26411">
        <w:rPr>
          <w:rFonts w:cs="Arial"/>
          <w:szCs w:val="20"/>
        </w:rPr>
        <w:t xml:space="preserve">podniků pod zahraniční kontrolou </w:t>
      </w:r>
      <w:r w:rsidR="009D2E6F">
        <w:rPr>
          <w:rFonts w:cs="Arial"/>
          <w:szCs w:val="20"/>
        </w:rPr>
        <w:t>oproti 16</w:t>
      </w:r>
      <w:r w:rsidR="00BD57AB">
        <w:rPr>
          <w:rFonts w:cs="Arial"/>
          <w:szCs w:val="20"/>
        </w:rPr>
        <w:t> %</w:t>
      </w:r>
      <w:r w:rsidR="00E26411">
        <w:rPr>
          <w:rFonts w:cs="Arial"/>
          <w:szCs w:val="20"/>
        </w:rPr>
        <w:t xml:space="preserve"> podniků domácích</w:t>
      </w:r>
      <w:r w:rsidR="00BD57AB">
        <w:rPr>
          <w:rFonts w:cs="Arial"/>
          <w:szCs w:val="20"/>
        </w:rPr>
        <w:t>),</w:t>
      </w:r>
      <w:r>
        <w:rPr>
          <w:rFonts w:cs="Arial"/>
          <w:szCs w:val="20"/>
        </w:rPr>
        <w:t xml:space="preserve"> schopnost </w:t>
      </w:r>
      <w:r w:rsidRPr="00221E83">
        <w:rPr>
          <w:rFonts w:cs="Arial"/>
          <w:b/>
          <w:i/>
          <w:szCs w:val="20"/>
        </w:rPr>
        <w:t>vedení administrativy</w:t>
      </w:r>
      <w:r w:rsidR="009D61BD">
        <w:rPr>
          <w:rFonts w:cs="Arial"/>
          <w:b/>
          <w:i/>
          <w:szCs w:val="20"/>
        </w:rPr>
        <w:t xml:space="preserve"> </w:t>
      </w:r>
      <w:r w:rsidR="009D2E6F">
        <w:rPr>
          <w:rFonts w:cs="Arial"/>
          <w:szCs w:val="20"/>
        </w:rPr>
        <w:t>(5</w:t>
      </w:r>
      <w:r w:rsidR="009D61BD" w:rsidRPr="009D61BD">
        <w:rPr>
          <w:rFonts w:cs="Arial"/>
          <w:szCs w:val="20"/>
        </w:rPr>
        <w:t> %</w:t>
      </w:r>
      <w:r w:rsidR="009D2E6F">
        <w:rPr>
          <w:rFonts w:cs="Arial"/>
          <w:szCs w:val="20"/>
        </w:rPr>
        <w:t xml:space="preserve"> oproti 8</w:t>
      </w:r>
      <w:r w:rsidR="009D61BD" w:rsidRPr="009D61BD">
        <w:rPr>
          <w:rFonts w:cs="Arial"/>
          <w:szCs w:val="20"/>
        </w:rPr>
        <w:t> %)</w:t>
      </w:r>
      <w:r w:rsidR="00BD57AB">
        <w:rPr>
          <w:rFonts w:cs="Arial"/>
          <w:szCs w:val="20"/>
        </w:rPr>
        <w:t xml:space="preserve"> a jiné specifické dovednosti související s výkonem konkrétního povolání, než jsou specifické techn</w:t>
      </w:r>
      <w:r w:rsidR="00A10300">
        <w:rPr>
          <w:rFonts w:cs="Arial"/>
          <w:szCs w:val="20"/>
        </w:rPr>
        <w:t>ic</w:t>
      </w:r>
      <w:r w:rsidR="009D2E6F">
        <w:rPr>
          <w:rFonts w:cs="Arial"/>
          <w:szCs w:val="20"/>
        </w:rPr>
        <w:t>ké a inženýrské dovednosti (24</w:t>
      </w:r>
      <w:r w:rsidR="00A10300">
        <w:rPr>
          <w:rFonts w:cs="Arial"/>
          <w:szCs w:val="20"/>
        </w:rPr>
        <w:t xml:space="preserve"> % oproti 28</w:t>
      </w:r>
      <w:r w:rsidR="00BD57AB">
        <w:rPr>
          <w:rFonts w:cs="Arial"/>
          <w:szCs w:val="20"/>
        </w:rPr>
        <w:t> %)</w:t>
      </w:r>
      <w:r w:rsidR="009D61BD">
        <w:rPr>
          <w:rFonts w:cs="Arial"/>
          <w:szCs w:val="20"/>
        </w:rPr>
        <w:t>.</w:t>
      </w:r>
    </w:p>
    <w:p w14:paraId="3E2E3E64" w14:textId="7E14CA41" w:rsidR="00C52533" w:rsidRPr="003237E9" w:rsidRDefault="004C4F78" w:rsidP="00A03F6D">
      <w:pPr>
        <w:keepNext/>
        <w:spacing w:after="120"/>
        <w:jc w:val="both"/>
        <w:rPr>
          <w:rFonts w:cs="Arial"/>
          <w:szCs w:val="20"/>
        </w:rPr>
      </w:pPr>
      <w:r>
        <w:rPr>
          <w:rFonts w:cs="Arial"/>
          <w:b/>
          <w:szCs w:val="20"/>
        </w:rPr>
        <w:t>Tab. 3.2b</w:t>
      </w:r>
      <w:r w:rsidRPr="004C4F78">
        <w:rPr>
          <w:rFonts w:cs="Arial"/>
          <w:b/>
          <w:szCs w:val="20"/>
        </w:rPr>
        <w:t xml:space="preserve"> Podniky s uvedenými druhy „</w:t>
      </w:r>
      <w:r w:rsidR="003237E9">
        <w:rPr>
          <w:rFonts w:cs="Arial"/>
          <w:b/>
          <w:szCs w:val="20"/>
        </w:rPr>
        <w:t>hard</w:t>
      </w:r>
      <w:r w:rsidRPr="004C4F78">
        <w:rPr>
          <w:rFonts w:cs="Arial"/>
          <w:b/>
          <w:szCs w:val="20"/>
        </w:rPr>
        <w:t xml:space="preserve"> skills“ považovanými za stěžejní pro rozvoj podniku</w:t>
      </w:r>
      <w:r w:rsidR="002E28E3">
        <w:rPr>
          <w:rStyle w:val="Znakapoznpodarou"/>
          <w:rFonts w:cs="Arial"/>
          <w:b/>
          <w:szCs w:val="20"/>
        </w:rPr>
        <w:footnoteReference w:id="7"/>
      </w:r>
      <w:r w:rsidR="003237E9">
        <w:rPr>
          <w:rFonts w:cs="Arial"/>
          <w:b/>
          <w:szCs w:val="20"/>
        </w:rPr>
        <w:t>,</w:t>
      </w:r>
      <w:r w:rsidR="002E28E3">
        <w:rPr>
          <w:rFonts w:cs="Arial"/>
          <w:b/>
          <w:szCs w:val="20"/>
        </w:rPr>
        <w:t xml:space="preserve"> </w:t>
      </w:r>
      <w:r w:rsidR="002E28E3" w:rsidRPr="008B4C2F">
        <w:rPr>
          <w:rFonts w:cs="Arial"/>
          <w:b/>
          <w:szCs w:val="20"/>
        </w:rPr>
        <w:t>2020</w:t>
      </w:r>
      <w:r w:rsidR="003237E9">
        <w:rPr>
          <w:rFonts w:cs="Arial"/>
          <w:b/>
          <w:szCs w:val="20"/>
        </w:rPr>
        <w:t xml:space="preserve"> </w:t>
      </w:r>
      <w:r w:rsidR="003237E9" w:rsidRPr="003237E9">
        <w:rPr>
          <w:rFonts w:cs="Arial"/>
          <w:szCs w:val="20"/>
        </w:rPr>
        <w:t>(v % z podniků, které uvedly názor)</w:t>
      </w:r>
    </w:p>
    <w:tbl>
      <w:tblPr>
        <w:tblW w:w="9628" w:type="dxa"/>
        <w:tblCellMar>
          <w:left w:w="70" w:type="dxa"/>
          <w:right w:w="70" w:type="dxa"/>
        </w:tblCellMar>
        <w:tblLook w:val="04A0" w:firstRow="1" w:lastRow="0" w:firstColumn="1" w:lastColumn="0" w:noHBand="0" w:noVBand="1"/>
      </w:tblPr>
      <w:tblGrid>
        <w:gridCol w:w="2262"/>
        <w:gridCol w:w="1135"/>
        <w:gridCol w:w="1134"/>
        <w:gridCol w:w="851"/>
        <w:gridCol w:w="992"/>
        <w:gridCol w:w="736"/>
        <w:gridCol w:w="815"/>
        <w:gridCol w:w="869"/>
        <w:gridCol w:w="834"/>
      </w:tblGrid>
      <w:tr w:rsidR="001D223D" w:rsidRPr="001D223D" w14:paraId="2588BC8B" w14:textId="77777777" w:rsidTr="00332B32">
        <w:trPr>
          <w:trHeight w:val="1475"/>
        </w:trPr>
        <w:tc>
          <w:tcPr>
            <w:tcW w:w="2262" w:type="dxa"/>
            <w:tcBorders>
              <w:top w:val="single" w:sz="4" w:space="0" w:color="auto"/>
              <w:left w:val="single" w:sz="4" w:space="0" w:color="auto"/>
              <w:bottom w:val="single" w:sz="4" w:space="0" w:color="auto"/>
              <w:right w:val="single" w:sz="4" w:space="0" w:color="auto"/>
            </w:tcBorders>
            <w:shd w:val="clear" w:color="000000" w:fill="7FB0DD"/>
            <w:noWrap/>
            <w:vAlign w:val="center"/>
            <w:hideMark/>
          </w:tcPr>
          <w:p w14:paraId="26AA8675" w14:textId="77777777" w:rsidR="001D223D" w:rsidRPr="001D223D" w:rsidRDefault="001D223D" w:rsidP="001D223D">
            <w:pPr>
              <w:spacing w:after="0" w:line="240" w:lineRule="auto"/>
              <w:jc w:val="center"/>
              <w:rPr>
                <w:rFonts w:cs="Arial"/>
                <w:b/>
                <w:bCs/>
                <w:sz w:val="16"/>
                <w:szCs w:val="16"/>
              </w:rPr>
            </w:pPr>
            <w:r w:rsidRPr="001D223D">
              <w:rPr>
                <w:rFonts w:cs="Arial"/>
                <w:b/>
                <w:bCs/>
                <w:sz w:val="16"/>
                <w:szCs w:val="16"/>
              </w:rPr>
              <w:t> </w:t>
            </w:r>
          </w:p>
        </w:tc>
        <w:tc>
          <w:tcPr>
            <w:tcW w:w="1135" w:type="dxa"/>
            <w:tcBorders>
              <w:top w:val="single" w:sz="4" w:space="0" w:color="auto"/>
              <w:left w:val="nil"/>
              <w:bottom w:val="single" w:sz="4" w:space="0" w:color="auto"/>
              <w:right w:val="single" w:sz="4" w:space="0" w:color="auto"/>
            </w:tcBorders>
            <w:shd w:val="clear" w:color="000000" w:fill="7FB0DD"/>
            <w:vAlign w:val="center"/>
            <w:hideMark/>
          </w:tcPr>
          <w:p w14:paraId="772C8D26" w14:textId="323F8654" w:rsidR="00332B32" w:rsidRPr="001D223D" w:rsidRDefault="006026BF" w:rsidP="00332B32">
            <w:pPr>
              <w:spacing w:after="0" w:line="240" w:lineRule="auto"/>
              <w:jc w:val="center"/>
              <w:rPr>
                <w:rFonts w:cs="Arial"/>
                <w:b/>
                <w:bCs/>
                <w:color w:val="000000"/>
                <w:sz w:val="16"/>
                <w:szCs w:val="16"/>
              </w:rPr>
            </w:pPr>
            <w:r>
              <w:rPr>
                <w:rFonts w:cs="Arial"/>
                <w:b/>
                <w:bCs/>
                <w:color w:val="000000"/>
                <w:sz w:val="16"/>
                <w:szCs w:val="16"/>
              </w:rPr>
              <w:t>S</w:t>
            </w:r>
            <w:r w:rsidR="001D223D" w:rsidRPr="001D223D">
              <w:rPr>
                <w:rFonts w:cs="Arial"/>
                <w:b/>
                <w:bCs/>
                <w:color w:val="000000"/>
                <w:sz w:val="16"/>
                <w:szCs w:val="16"/>
              </w:rPr>
              <w:t xml:space="preserve">pecifické technické a inženýrské dovednosti </w:t>
            </w:r>
          </w:p>
          <w:p w14:paraId="76F508B2" w14:textId="7718F843" w:rsidR="001D223D" w:rsidRPr="001D223D" w:rsidRDefault="001D223D" w:rsidP="001D223D">
            <w:pPr>
              <w:spacing w:after="0" w:line="240" w:lineRule="auto"/>
              <w:jc w:val="center"/>
              <w:rPr>
                <w:rFonts w:cs="Arial"/>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7FB0DD"/>
            <w:vAlign w:val="center"/>
            <w:hideMark/>
          </w:tcPr>
          <w:p w14:paraId="5BDF1AD3" w14:textId="001A80BA" w:rsidR="001D223D" w:rsidRDefault="006026BF" w:rsidP="001D223D">
            <w:pPr>
              <w:spacing w:after="0" w:line="240" w:lineRule="auto"/>
              <w:jc w:val="center"/>
              <w:rPr>
                <w:rFonts w:cs="Arial"/>
                <w:b/>
                <w:bCs/>
                <w:color w:val="000000"/>
                <w:sz w:val="16"/>
                <w:szCs w:val="16"/>
              </w:rPr>
            </w:pPr>
            <w:r>
              <w:rPr>
                <w:rFonts w:cs="Arial"/>
                <w:b/>
                <w:bCs/>
                <w:color w:val="000000"/>
                <w:sz w:val="16"/>
                <w:szCs w:val="16"/>
              </w:rPr>
              <w:t>J</w:t>
            </w:r>
            <w:r w:rsidR="001D223D" w:rsidRPr="001D223D">
              <w:rPr>
                <w:rFonts w:cs="Arial"/>
                <w:b/>
                <w:bCs/>
                <w:color w:val="000000"/>
                <w:sz w:val="16"/>
                <w:szCs w:val="16"/>
              </w:rPr>
              <w:t xml:space="preserve">iné specifické dovednosti související </w:t>
            </w:r>
          </w:p>
          <w:p w14:paraId="315B9ED5" w14:textId="5B7B3D18" w:rsidR="001D223D" w:rsidRPr="001D223D" w:rsidRDefault="001D223D" w:rsidP="00332B32">
            <w:pPr>
              <w:spacing w:after="0" w:line="240" w:lineRule="auto"/>
              <w:jc w:val="center"/>
              <w:rPr>
                <w:rFonts w:cs="Arial"/>
                <w:b/>
                <w:bCs/>
                <w:color w:val="000000"/>
                <w:sz w:val="16"/>
                <w:szCs w:val="16"/>
              </w:rPr>
            </w:pPr>
            <w:r w:rsidRPr="001D223D">
              <w:rPr>
                <w:rFonts w:cs="Arial"/>
                <w:b/>
                <w:bCs/>
                <w:color w:val="000000"/>
                <w:sz w:val="16"/>
                <w:szCs w:val="16"/>
              </w:rPr>
              <w:t xml:space="preserve">s výkonem konkrétního povolání </w:t>
            </w:r>
          </w:p>
        </w:tc>
        <w:tc>
          <w:tcPr>
            <w:tcW w:w="851" w:type="dxa"/>
            <w:tcBorders>
              <w:top w:val="single" w:sz="4" w:space="0" w:color="auto"/>
              <w:left w:val="nil"/>
              <w:bottom w:val="single" w:sz="4" w:space="0" w:color="auto"/>
              <w:right w:val="single" w:sz="4" w:space="0" w:color="auto"/>
            </w:tcBorders>
            <w:shd w:val="clear" w:color="000000" w:fill="7FB0DD"/>
            <w:vAlign w:val="center"/>
            <w:hideMark/>
          </w:tcPr>
          <w:p w14:paraId="22E9291F" w14:textId="0546541E" w:rsidR="001D223D" w:rsidRPr="001D223D" w:rsidRDefault="006026BF" w:rsidP="001D223D">
            <w:pPr>
              <w:spacing w:after="0" w:line="240" w:lineRule="auto"/>
              <w:jc w:val="center"/>
              <w:rPr>
                <w:rFonts w:cs="Arial"/>
                <w:b/>
                <w:bCs/>
                <w:color w:val="000000"/>
                <w:sz w:val="16"/>
                <w:szCs w:val="16"/>
              </w:rPr>
            </w:pPr>
            <w:r>
              <w:rPr>
                <w:rFonts w:cs="Arial"/>
                <w:b/>
                <w:bCs/>
                <w:color w:val="000000"/>
                <w:sz w:val="16"/>
                <w:szCs w:val="16"/>
              </w:rPr>
              <w:t>B</w:t>
            </w:r>
            <w:r w:rsidR="001D223D" w:rsidRPr="001D223D">
              <w:rPr>
                <w:rFonts w:cs="Arial"/>
                <w:b/>
                <w:bCs/>
                <w:color w:val="000000"/>
                <w:sz w:val="16"/>
                <w:szCs w:val="16"/>
              </w:rPr>
              <w:t xml:space="preserve">ěžné užívání infor-mačních techno-logií </w:t>
            </w:r>
          </w:p>
        </w:tc>
        <w:tc>
          <w:tcPr>
            <w:tcW w:w="992" w:type="dxa"/>
            <w:tcBorders>
              <w:top w:val="single" w:sz="4" w:space="0" w:color="auto"/>
              <w:left w:val="nil"/>
              <w:bottom w:val="single" w:sz="4" w:space="0" w:color="auto"/>
              <w:right w:val="single" w:sz="4" w:space="0" w:color="auto"/>
            </w:tcBorders>
            <w:shd w:val="clear" w:color="000000" w:fill="7FB0DD"/>
            <w:vAlign w:val="center"/>
            <w:hideMark/>
          </w:tcPr>
          <w:p w14:paraId="5F66A296" w14:textId="3909D233" w:rsidR="001D223D" w:rsidRDefault="006026BF" w:rsidP="001D223D">
            <w:pPr>
              <w:spacing w:after="0" w:line="240" w:lineRule="auto"/>
              <w:jc w:val="center"/>
              <w:rPr>
                <w:rFonts w:cs="Arial"/>
                <w:b/>
                <w:bCs/>
                <w:color w:val="000000"/>
                <w:sz w:val="16"/>
                <w:szCs w:val="16"/>
              </w:rPr>
            </w:pPr>
            <w:r>
              <w:rPr>
                <w:rFonts w:cs="Arial"/>
                <w:b/>
                <w:bCs/>
                <w:color w:val="000000"/>
                <w:sz w:val="16"/>
                <w:szCs w:val="16"/>
              </w:rPr>
              <w:t>B</w:t>
            </w:r>
            <w:r w:rsidR="001D223D" w:rsidRPr="001D223D">
              <w:rPr>
                <w:rFonts w:cs="Arial"/>
                <w:b/>
                <w:bCs/>
                <w:color w:val="000000"/>
                <w:sz w:val="16"/>
                <w:szCs w:val="16"/>
              </w:rPr>
              <w:t xml:space="preserve">ěžná orientace </w:t>
            </w:r>
          </w:p>
          <w:p w14:paraId="3C334443" w14:textId="77777777" w:rsidR="001D223D" w:rsidRDefault="001D223D" w:rsidP="001D223D">
            <w:pPr>
              <w:spacing w:after="0" w:line="240" w:lineRule="auto"/>
              <w:jc w:val="center"/>
              <w:rPr>
                <w:rFonts w:cs="Arial"/>
                <w:b/>
                <w:bCs/>
                <w:color w:val="000000"/>
                <w:sz w:val="16"/>
                <w:szCs w:val="16"/>
              </w:rPr>
            </w:pPr>
            <w:r w:rsidRPr="001D223D">
              <w:rPr>
                <w:rFonts w:cs="Arial"/>
                <w:b/>
                <w:bCs/>
                <w:color w:val="000000"/>
                <w:sz w:val="16"/>
                <w:szCs w:val="16"/>
              </w:rPr>
              <w:t xml:space="preserve">v textu a/nebo </w:t>
            </w:r>
          </w:p>
          <w:p w14:paraId="65DB58A2" w14:textId="328BE740" w:rsidR="001D223D" w:rsidRPr="001D223D" w:rsidRDefault="001D223D" w:rsidP="001D223D">
            <w:pPr>
              <w:spacing w:after="0" w:line="240" w:lineRule="auto"/>
              <w:jc w:val="center"/>
              <w:rPr>
                <w:rFonts w:cs="Arial"/>
                <w:b/>
                <w:bCs/>
                <w:color w:val="000000"/>
                <w:sz w:val="16"/>
                <w:szCs w:val="16"/>
              </w:rPr>
            </w:pPr>
            <w:r w:rsidRPr="001D223D">
              <w:rPr>
                <w:rFonts w:cs="Arial"/>
                <w:b/>
                <w:bCs/>
                <w:color w:val="000000"/>
                <w:sz w:val="16"/>
                <w:szCs w:val="16"/>
              </w:rPr>
              <w:t xml:space="preserve">v početních operacích </w:t>
            </w:r>
          </w:p>
        </w:tc>
        <w:tc>
          <w:tcPr>
            <w:tcW w:w="736" w:type="dxa"/>
            <w:tcBorders>
              <w:top w:val="single" w:sz="4" w:space="0" w:color="auto"/>
              <w:left w:val="nil"/>
              <w:bottom w:val="single" w:sz="4" w:space="0" w:color="auto"/>
              <w:right w:val="single" w:sz="4" w:space="0" w:color="auto"/>
            </w:tcBorders>
            <w:shd w:val="clear" w:color="000000" w:fill="7FB0DD"/>
            <w:vAlign w:val="center"/>
            <w:hideMark/>
          </w:tcPr>
          <w:p w14:paraId="2AE43EE8" w14:textId="68C83EEB" w:rsidR="001D223D" w:rsidRPr="001D223D" w:rsidRDefault="006026BF" w:rsidP="001D223D">
            <w:pPr>
              <w:spacing w:after="0" w:line="240" w:lineRule="auto"/>
              <w:jc w:val="center"/>
              <w:rPr>
                <w:rFonts w:cs="Arial"/>
                <w:b/>
                <w:bCs/>
                <w:color w:val="000000"/>
                <w:sz w:val="16"/>
                <w:szCs w:val="16"/>
              </w:rPr>
            </w:pPr>
            <w:r>
              <w:rPr>
                <w:rFonts w:cs="Arial"/>
                <w:b/>
                <w:bCs/>
                <w:color w:val="000000"/>
                <w:sz w:val="16"/>
                <w:szCs w:val="16"/>
              </w:rPr>
              <w:t>Z</w:t>
            </w:r>
            <w:r w:rsidR="001D223D" w:rsidRPr="001D223D">
              <w:rPr>
                <w:rFonts w:cs="Arial"/>
                <w:b/>
                <w:bCs/>
                <w:color w:val="000000"/>
                <w:sz w:val="16"/>
                <w:szCs w:val="16"/>
              </w:rPr>
              <w:t>nalost cizích jazyků</w:t>
            </w:r>
          </w:p>
        </w:tc>
        <w:tc>
          <w:tcPr>
            <w:tcW w:w="815" w:type="dxa"/>
            <w:tcBorders>
              <w:top w:val="single" w:sz="4" w:space="0" w:color="auto"/>
              <w:left w:val="nil"/>
              <w:bottom w:val="single" w:sz="4" w:space="0" w:color="auto"/>
              <w:right w:val="single" w:sz="4" w:space="0" w:color="auto"/>
            </w:tcBorders>
            <w:shd w:val="clear" w:color="000000" w:fill="7FB0DD"/>
            <w:vAlign w:val="center"/>
            <w:hideMark/>
          </w:tcPr>
          <w:p w14:paraId="114E0E05" w14:textId="21F0CAD2" w:rsidR="001D223D" w:rsidRPr="001D223D" w:rsidRDefault="006026BF" w:rsidP="001D223D">
            <w:pPr>
              <w:spacing w:after="0" w:line="240" w:lineRule="auto"/>
              <w:jc w:val="center"/>
              <w:rPr>
                <w:rFonts w:cs="Arial"/>
                <w:b/>
                <w:bCs/>
                <w:color w:val="000000"/>
                <w:sz w:val="16"/>
                <w:szCs w:val="16"/>
              </w:rPr>
            </w:pPr>
            <w:r>
              <w:rPr>
                <w:rFonts w:cs="Arial"/>
                <w:b/>
                <w:bCs/>
                <w:color w:val="000000"/>
                <w:sz w:val="16"/>
                <w:szCs w:val="16"/>
              </w:rPr>
              <w:t>V</w:t>
            </w:r>
            <w:r w:rsidR="001D223D" w:rsidRPr="001D223D">
              <w:rPr>
                <w:rFonts w:cs="Arial"/>
                <w:b/>
                <w:bCs/>
                <w:color w:val="000000"/>
                <w:sz w:val="16"/>
                <w:szCs w:val="16"/>
              </w:rPr>
              <w:t>edení admini-strativy</w:t>
            </w:r>
          </w:p>
        </w:tc>
        <w:tc>
          <w:tcPr>
            <w:tcW w:w="869" w:type="dxa"/>
            <w:tcBorders>
              <w:top w:val="single" w:sz="4" w:space="0" w:color="auto"/>
              <w:left w:val="nil"/>
              <w:bottom w:val="single" w:sz="4" w:space="0" w:color="auto"/>
              <w:right w:val="single" w:sz="4" w:space="0" w:color="auto"/>
            </w:tcBorders>
            <w:shd w:val="clear" w:color="000000" w:fill="7FB0DD"/>
            <w:vAlign w:val="center"/>
            <w:hideMark/>
          </w:tcPr>
          <w:p w14:paraId="0C34AF39" w14:textId="3CB10716" w:rsidR="001D223D" w:rsidRDefault="006026BF" w:rsidP="001D223D">
            <w:pPr>
              <w:spacing w:after="0" w:line="240" w:lineRule="auto"/>
              <w:jc w:val="center"/>
              <w:rPr>
                <w:rFonts w:cs="Arial"/>
                <w:b/>
                <w:bCs/>
                <w:color w:val="000000"/>
                <w:sz w:val="16"/>
                <w:szCs w:val="16"/>
              </w:rPr>
            </w:pPr>
            <w:r>
              <w:rPr>
                <w:rFonts w:cs="Arial"/>
                <w:b/>
                <w:bCs/>
                <w:color w:val="000000"/>
                <w:sz w:val="16"/>
                <w:szCs w:val="16"/>
              </w:rPr>
              <w:t>O</w:t>
            </w:r>
            <w:r w:rsidR="001D223D" w:rsidRPr="001D223D">
              <w:rPr>
                <w:rFonts w:cs="Arial"/>
                <w:b/>
                <w:bCs/>
                <w:color w:val="000000"/>
                <w:sz w:val="16"/>
                <w:szCs w:val="16"/>
              </w:rPr>
              <w:t xml:space="preserve">dborná práce </w:t>
            </w:r>
          </w:p>
          <w:p w14:paraId="7A7C9115" w14:textId="4BC2D365" w:rsidR="001D223D" w:rsidRPr="001D223D" w:rsidRDefault="001D223D" w:rsidP="001D223D">
            <w:pPr>
              <w:spacing w:after="0" w:line="240" w:lineRule="auto"/>
              <w:jc w:val="center"/>
              <w:rPr>
                <w:rFonts w:cs="Arial"/>
                <w:b/>
                <w:bCs/>
                <w:color w:val="000000"/>
                <w:sz w:val="16"/>
                <w:szCs w:val="16"/>
              </w:rPr>
            </w:pPr>
            <w:r w:rsidRPr="001D223D">
              <w:rPr>
                <w:rFonts w:cs="Arial"/>
                <w:b/>
                <w:bCs/>
                <w:color w:val="000000"/>
                <w:sz w:val="16"/>
                <w:szCs w:val="16"/>
              </w:rPr>
              <w:t>s informač-ními techno-logiemi</w:t>
            </w:r>
          </w:p>
        </w:tc>
        <w:tc>
          <w:tcPr>
            <w:tcW w:w="834" w:type="dxa"/>
            <w:tcBorders>
              <w:top w:val="single" w:sz="4" w:space="0" w:color="auto"/>
              <w:left w:val="nil"/>
              <w:bottom w:val="single" w:sz="4" w:space="0" w:color="auto"/>
              <w:right w:val="single" w:sz="4" w:space="0" w:color="auto"/>
            </w:tcBorders>
            <w:shd w:val="clear" w:color="000000" w:fill="7FB0DD"/>
            <w:vAlign w:val="center"/>
            <w:hideMark/>
          </w:tcPr>
          <w:p w14:paraId="6555270B" w14:textId="7A079DA1" w:rsidR="001D223D" w:rsidRDefault="006026BF" w:rsidP="001D223D">
            <w:pPr>
              <w:spacing w:after="0" w:line="240" w:lineRule="auto"/>
              <w:jc w:val="center"/>
              <w:rPr>
                <w:rFonts w:cs="Arial"/>
                <w:b/>
                <w:bCs/>
                <w:color w:val="000000"/>
                <w:sz w:val="16"/>
                <w:szCs w:val="16"/>
              </w:rPr>
            </w:pPr>
            <w:r>
              <w:rPr>
                <w:rFonts w:cs="Arial"/>
                <w:b/>
                <w:bCs/>
                <w:color w:val="000000"/>
                <w:sz w:val="16"/>
                <w:szCs w:val="16"/>
              </w:rPr>
              <w:t>O</w:t>
            </w:r>
            <w:r w:rsidR="001D223D" w:rsidRPr="001D223D">
              <w:rPr>
                <w:rFonts w:cs="Arial"/>
                <w:b/>
                <w:bCs/>
                <w:color w:val="000000"/>
                <w:sz w:val="16"/>
                <w:szCs w:val="16"/>
              </w:rPr>
              <w:t xml:space="preserve">dborné doved-nosti </w:t>
            </w:r>
          </w:p>
          <w:p w14:paraId="17D6C679" w14:textId="6AFC1F99" w:rsidR="001D223D" w:rsidRPr="001D223D" w:rsidRDefault="001D223D" w:rsidP="001D223D">
            <w:pPr>
              <w:spacing w:after="0" w:line="240" w:lineRule="auto"/>
              <w:jc w:val="center"/>
              <w:rPr>
                <w:rFonts w:cs="Arial"/>
                <w:b/>
                <w:bCs/>
                <w:color w:val="000000"/>
                <w:sz w:val="16"/>
                <w:szCs w:val="16"/>
              </w:rPr>
            </w:pPr>
            <w:r w:rsidRPr="001D223D">
              <w:rPr>
                <w:rFonts w:cs="Arial"/>
                <w:b/>
                <w:bCs/>
                <w:color w:val="000000"/>
                <w:sz w:val="16"/>
                <w:szCs w:val="16"/>
              </w:rPr>
              <w:t>v oblasti matema-tiky a statistiky</w:t>
            </w:r>
          </w:p>
        </w:tc>
      </w:tr>
      <w:tr w:rsidR="001D223D" w:rsidRPr="001D223D" w14:paraId="6CF38289"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09B5D6E6" w14:textId="77777777" w:rsidR="001D223D" w:rsidRPr="001D223D" w:rsidRDefault="001D223D" w:rsidP="001D223D">
            <w:pPr>
              <w:spacing w:after="0" w:line="240" w:lineRule="auto"/>
              <w:rPr>
                <w:rFonts w:cs="Arial"/>
                <w:b/>
                <w:bCs/>
                <w:sz w:val="16"/>
                <w:szCs w:val="16"/>
              </w:rPr>
            </w:pPr>
            <w:r w:rsidRPr="001D223D">
              <w:rPr>
                <w:rFonts w:cs="Arial"/>
                <w:b/>
                <w:bCs/>
                <w:sz w:val="16"/>
                <w:szCs w:val="16"/>
              </w:rPr>
              <w:t>Celkem</w:t>
            </w:r>
          </w:p>
        </w:tc>
        <w:tc>
          <w:tcPr>
            <w:tcW w:w="1135" w:type="dxa"/>
            <w:tcBorders>
              <w:top w:val="nil"/>
              <w:left w:val="nil"/>
              <w:bottom w:val="single" w:sz="4" w:space="0" w:color="auto"/>
              <w:right w:val="single" w:sz="4" w:space="0" w:color="auto"/>
            </w:tcBorders>
            <w:shd w:val="clear" w:color="auto" w:fill="auto"/>
            <w:noWrap/>
            <w:vAlign w:val="center"/>
            <w:hideMark/>
          </w:tcPr>
          <w:p w14:paraId="2001E416"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20,7</w:t>
            </w:r>
          </w:p>
        </w:tc>
        <w:tc>
          <w:tcPr>
            <w:tcW w:w="1134" w:type="dxa"/>
            <w:tcBorders>
              <w:top w:val="nil"/>
              <w:left w:val="nil"/>
              <w:bottom w:val="single" w:sz="4" w:space="0" w:color="auto"/>
              <w:right w:val="single" w:sz="4" w:space="0" w:color="auto"/>
            </w:tcBorders>
            <w:shd w:val="clear" w:color="auto" w:fill="auto"/>
            <w:noWrap/>
            <w:vAlign w:val="center"/>
            <w:hideMark/>
          </w:tcPr>
          <w:p w14:paraId="0397F21E"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27,4</w:t>
            </w:r>
          </w:p>
        </w:tc>
        <w:tc>
          <w:tcPr>
            <w:tcW w:w="851" w:type="dxa"/>
            <w:tcBorders>
              <w:top w:val="nil"/>
              <w:left w:val="nil"/>
              <w:bottom w:val="single" w:sz="4" w:space="0" w:color="auto"/>
              <w:right w:val="single" w:sz="4" w:space="0" w:color="auto"/>
            </w:tcBorders>
            <w:shd w:val="clear" w:color="auto" w:fill="auto"/>
            <w:noWrap/>
            <w:vAlign w:val="center"/>
            <w:hideMark/>
          </w:tcPr>
          <w:p w14:paraId="77301F5E"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27,3</w:t>
            </w:r>
          </w:p>
        </w:tc>
        <w:tc>
          <w:tcPr>
            <w:tcW w:w="992" w:type="dxa"/>
            <w:tcBorders>
              <w:top w:val="nil"/>
              <w:left w:val="nil"/>
              <w:bottom w:val="single" w:sz="4" w:space="0" w:color="auto"/>
              <w:right w:val="single" w:sz="4" w:space="0" w:color="auto"/>
            </w:tcBorders>
            <w:shd w:val="clear" w:color="auto" w:fill="auto"/>
            <w:noWrap/>
            <w:vAlign w:val="center"/>
            <w:hideMark/>
          </w:tcPr>
          <w:p w14:paraId="0C305B61"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14,8</w:t>
            </w:r>
          </w:p>
        </w:tc>
        <w:tc>
          <w:tcPr>
            <w:tcW w:w="736" w:type="dxa"/>
            <w:tcBorders>
              <w:top w:val="nil"/>
              <w:left w:val="nil"/>
              <w:bottom w:val="single" w:sz="4" w:space="0" w:color="auto"/>
              <w:right w:val="single" w:sz="4" w:space="0" w:color="auto"/>
            </w:tcBorders>
            <w:shd w:val="clear" w:color="auto" w:fill="auto"/>
            <w:noWrap/>
            <w:vAlign w:val="center"/>
            <w:hideMark/>
          </w:tcPr>
          <w:p w14:paraId="362E4007"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13,4</w:t>
            </w:r>
          </w:p>
        </w:tc>
        <w:tc>
          <w:tcPr>
            <w:tcW w:w="815" w:type="dxa"/>
            <w:tcBorders>
              <w:top w:val="nil"/>
              <w:left w:val="nil"/>
              <w:bottom w:val="single" w:sz="4" w:space="0" w:color="auto"/>
              <w:right w:val="single" w:sz="4" w:space="0" w:color="auto"/>
            </w:tcBorders>
            <w:shd w:val="clear" w:color="auto" w:fill="auto"/>
            <w:noWrap/>
            <w:vAlign w:val="center"/>
            <w:hideMark/>
          </w:tcPr>
          <w:p w14:paraId="275B1154"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7,7</w:t>
            </w:r>
          </w:p>
        </w:tc>
        <w:tc>
          <w:tcPr>
            <w:tcW w:w="869" w:type="dxa"/>
            <w:tcBorders>
              <w:top w:val="nil"/>
              <w:left w:val="nil"/>
              <w:bottom w:val="single" w:sz="4" w:space="0" w:color="auto"/>
              <w:right w:val="single" w:sz="4" w:space="0" w:color="auto"/>
            </w:tcBorders>
            <w:shd w:val="clear" w:color="auto" w:fill="auto"/>
            <w:noWrap/>
            <w:vAlign w:val="center"/>
            <w:hideMark/>
          </w:tcPr>
          <w:p w14:paraId="6BB4939D"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6,0</w:t>
            </w:r>
          </w:p>
        </w:tc>
        <w:tc>
          <w:tcPr>
            <w:tcW w:w="834" w:type="dxa"/>
            <w:tcBorders>
              <w:top w:val="nil"/>
              <w:left w:val="nil"/>
              <w:bottom w:val="single" w:sz="4" w:space="0" w:color="auto"/>
              <w:right w:val="single" w:sz="4" w:space="0" w:color="auto"/>
            </w:tcBorders>
            <w:shd w:val="clear" w:color="auto" w:fill="auto"/>
            <w:noWrap/>
            <w:vAlign w:val="center"/>
            <w:hideMark/>
          </w:tcPr>
          <w:p w14:paraId="098FCE8C" w14:textId="77777777" w:rsidR="001D223D" w:rsidRPr="002B5BBB" w:rsidRDefault="001D223D" w:rsidP="001D223D">
            <w:pPr>
              <w:spacing w:after="0" w:line="240" w:lineRule="auto"/>
              <w:jc w:val="right"/>
              <w:rPr>
                <w:rFonts w:cs="Arial"/>
                <w:b/>
                <w:color w:val="000000"/>
                <w:sz w:val="16"/>
                <w:szCs w:val="16"/>
              </w:rPr>
            </w:pPr>
            <w:r w:rsidRPr="002B5BBB">
              <w:rPr>
                <w:rFonts w:cs="Arial"/>
                <w:b/>
                <w:color w:val="000000"/>
                <w:sz w:val="16"/>
                <w:szCs w:val="16"/>
              </w:rPr>
              <w:t>0,7</w:t>
            </w:r>
          </w:p>
        </w:tc>
      </w:tr>
      <w:tr w:rsidR="005F4BD4" w:rsidRPr="001D223D" w14:paraId="02123C29" w14:textId="77777777" w:rsidTr="00F217BB">
        <w:trPr>
          <w:trHeight w:val="315"/>
        </w:trPr>
        <w:tc>
          <w:tcPr>
            <w:tcW w:w="9628" w:type="dxa"/>
            <w:gridSpan w:val="9"/>
            <w:tcBorders>
              <w:top w:val="single" w:sz="4" w:space="0" w:color="auto"/>
              <w:left w:val="single" w:sz="4" w:space="0" w:color="auto"/>
              <w:bottom w:val="single" w:sz="4" w:space="0" w:color="auto"/>
              <w:right w:val="single" w:sz="4" w:space="0" w:color="auto"/>
            </w:tcBorders>
            <w:shd w:val="clear" w:color="000000" w:fill="DDEBF7"/>
            <w:vAlign w:val="center"/>
            <w:hideMark/>
          </w:tcPr>
          <w:p w14:paraId="3D4B052C" w14:textId="4C19F9EE" w:rsidR="005F4BD4" w:rsidRPr="001D223D" w:rsidRDefault="005F4BD4" w:rsidP="005F4BD4">
            <w:pPr>
              <w:spacing w:after="0" w:line="240" w:lineRule="auto"/>
              <w:rPr>
                <w:rFonts w:cs="Arial"/>
                <w:b/>
                <w:bCs/>
                <w:sz w:val="16"/>
                <w:szCs w:val="16"/>
              </w:rPr>
            </w:pPr>
            <w:r w:rsidRPr="001D223D">
              <w:rPr>
                <w:rFonts w:cs="Arial"/>
                <w:b/>
                <w:bCs/>
                <w:sz w:val="16"/>
                <w:szCs w:val="16"/>
              </w:rPr>
              <w:t>podle počtu zaměstnanců  </w:t>
            </w:r>
          </w:p>
        </w:tc>
      </w:tr>
      <w:tr w:rsidR="001D223D" w:rsidRPr="001D223D" w14:paraId="3FD08480"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109A95D6" w14:textId="77777777" w:rsidR="001D223D" w:rsidRPr="001D223D" w:rsidRDefault="001D223D" w:rsidP="001D223D">
            <w:pPr>
              <w:spacing w:after="0" w:line="240" w:lineRule="auto"/>
              <w:rPr>
                <w:rFonts w:cs="Arial"/>
                <w:sz w:val="16"/>
                <w:szCs w:val="16"/>
              </w:rPr>
            </w:pPr>
            <w:r w:rsidRPr="001D223D">
              <w:rPr>
                <w:rFonts w:cs="Arial"/>
                <w:sz w:val="16"/>
                <w:szCs w:val="16"/>
              </w:rPr>
              <w:t>10–19 zaměstnanců</w:t>
            </w:r>
          </w:p>
        </w:tc>
        <w:tc>
          <w:tcPr>
            <w:tcW w:w="1135" w:type="dxa"/>
            <w:tcBorders>
              <w:top w:val="nil"/>
              <w:left w:val="nil"/>
              <w:bottom w:val="single" w:sz="4" w:space="0" w:color="auto"/>
              <w:right w:val="single" w:sz="4" w:space="0" w:color="auto"/>
            </w:tcBorders>
            <w:shd w:val="clear" w:color="auto" w:fill="auto"/>
            <w:noWrap/>
            <w:vAlign w:val="center"/>
            <w:hideMark/>
          </w:tcPr>
          <w:p w14:paraId="1572FB47"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15,3</w:t>
            </w:r>
          </w:p>
        </w:tc>
        <w:tc>
          <w:tcPr>
            <w:tcW w:w="1134" w:type="dxa"/>
            <w:tcBorders>
              <w:top w:val="nil"/>
              <w:left w:val="nil"/>
              <w:bottom w:val="single" w:sz="4" w:space="0" w:color="auto"/>
              <w:right w:val="single" w:sz="4" w:space="0" w:color="auto"/>
            </w:tcBorders>
            <w:shd w:val="clear" w:color="auto" w:fill="auto"/>
            <w:noWrap/>
            <w:vAlign w:val="center"/>
            <w:hideMark/>
          </w:tcPr>
          <w:p w14:paraId="771E96A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27,1</w:t>
            </w:r>
          </w:p>
        </w:tc>
        <w:tc>
          <w:tcPr>
            <w:tcW w:w="851" w:type="dxa"/>
            <w:tcBorders>
              <w:top w:val="nil"/>
              <w:left w:val="nil"/>
              <w:bottom w:val="single" w:sz="4" w:space="0" w:color="auto"/>
              <w:right w:val="single" w:sz="4" w:space="0" w:color="auto"/>
            </w:tcBorders>
            <w:shd w:val="clear" w:color="auto" w:fill="auto"/>
            <w:noWrap/>
            <w:vAlign w:val="center"/>
            <w:hideMark/>
          </w:tcPr>
          <w:p w14:paraId="6B875A6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27,0</w:t>
            </w:r>
          </w:p>
        </w:tc>
        <w:tc>
          <w:tcPr>
            <w:tcW w:w="992" w:type="dxa"/>
            <w:tcBorders>
              <w:top w:val="nil"/>
              <w:left w:val="nil"/>
              <w:bottom w:val="single" w:sz="4" w:space="0" w:color="auto"/>
              <w:right w:val="single" w:sz="4" w:space="0" w:color="auto"/>
            </w:tcBorders>
            <w:shd w:val="clear" w:color="auto" w:fill="auto"/>
            <w:noWrap/>
            <w:vAlign w:val="center"/>
            <w:hideMark/>
          </w:tcPr>
          <w:p w14:paraId="42A4802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17,6</w:t>
            </w:r>
          </w:p>
        </w:tc>
        <w:tc>
          <w:tcPr>
            <w:tcW w:w="736" w:type="dxa"/>
            <w:tcBorders>
              <w:top w:val="nil"/>
              <w:left w:val="nil"/>
              <w:bottom w:val="single" w:sz="4" w:space="0" w:color="auto"/>
              <w:right w:val="single" w:sz="4" w:space="0" w:color="auto"/>
            </w:tcBorders>
            <w:shd w:val="clear" w:color="auto" w:fill="auto"/>
            <w:noWrap/>
            <w:vAlign w:val="center"/>
            <w:hideMark/>
          </w:tcPr>
          <w:p w14:paraId="3BD63F4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10,8</w:t>
            </w:r>
          </w:p>
        </w:tc>
        <w:tc>
          <w:tcPr>
            <w:tcW w:w="815" w:type="dxa"/>
            <w:tcBorders>
              <w:top w:val="nil"/>
              <w:left w:val="nil"/>
              <w:bottom w:val="single" w:sz="4" w:space="0" w:color="auto"/>
              <w:right w:val="single" w:sz="4" w:space="0" w:color="auto"/>
            </w:tcBorders>
            <w:shd w:val="clear" w:color="auto" w:fill="auto"/>
            <w:noWrap/>
            <w:vAlign w:val="center"/>
            <w:hideMark/>
          </w:tcPr>
          <w:p w14:paraId="2547379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7,0</w:t>
            </w:r>
          </w:p>
        </w:tc>
        <w:tc>
          <w:tcPr>
            <w:tcW w:w="869" w:type="dxa"/>
            <w:tcBorders>
              <w:top w:val="nil"/>
              <w:left w:val="nil"/>
              <w:bottom w:val="single" w:sz="4" w:space="0" w:color="auto"/>
              <w:right w:val="single" w:sz="4" w:space="0" w:color="auto"/>
            </w:tcBorders>
            <w:shd w:val="clear" w:color="auto" w:fill="auto"/>
            <w:noWrap/>
            <w:vAlign w:val="center"/>
            <w:hideMark/>
          </w:tcPr>
          <w:p w14:paraId="382CE57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5,2</w:t>
            </w:r>
          </w:p>
        </w:tc>
        <w:tc>
          <w:tcPr>
            <w:tcW w:w="834" w:type="dxa"/>
            <w:tcBorders>
              <w:top w:val="nil"/>
              <w:left w:val="nil"/>
              <w:bottom w:val="single" w:sz="4" w:space="0" w:color="auto"/>
              <w:right w:val="single" w:sz="4" w:space="0" w:color="auto"/>
            </w:tcBorders>
            <w:shd w:val="clear" w:color="auto" w:fill="auto"/>
            <w:noWrap/>
            <w:vAlign w:val="center"/>
            <w:hideMark/>
          </w:tcPr>
          <w:p w14:paraId="2D6CBE62"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0,6</w:t>
            </w:r>
          </w:p>
        </w:tc>
      </w:tr>
      <w:tr w:rsidR="001D223D" w:rsidRPr="001D223D" w14:paraId="4CF7EB2A"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3D78069B" w14:textId="77777777" w:rsidR="001D223D" w:rsidRPr="001D223D" w:rsidRDefault="001D223D" w:rsidP="001D223D">
            <w:pPr>
              <w:spacing w:after="0" w:line="240" w:lineRule="auto"/>
              <w:rPr>
                <w:rFonts w:cs="Arial"/>
                <w:sz w:val="16"/>
                <w:szCs w:val="16"/>
              </w:rPr>
            </w:pPr>
            <w:r w:rsidRPr="001D223D">
              <w:rPr>
                <w:rFonts w:cs="Arial"/>
                <w:sz w:val="16"/>
                <w:szCs w:val="16"/>
              </w:rPr>
              <w:t>20–49 zaměstnanců</w:t>
            </w:r>
          </w:p>
        </w:tc>
        <w:tc>
          <w:tcPr>
            <w:tcW w:w="1135" w:type="dxa"/>
            <w:tcBorders>
              <w:top w:val="nil"/>
              <w:left w:val="nil"/>
              <w:bottom w:val="single" w:sz="4" w:space="0" w:color="auto"/>
              <w:right w:val="single" w:sz="4" w:space="0" w:color="auto"/>
            </w:tcBorders>
            <w:shd w:val="clear" w:color="auto" w:fill="auto"/>
            <w:noWrap/>
            <w:vAlign w:val="center"/>
            <w:hideMark/>
          </w:tcPr>
          <w:p w14:paraId="40A2358F"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22,1</w:t>
            </w:r>
          </w:p>
        </w:tc>
        <w:tc>
          <w:tcPr>
            <w:tcW w:w="1134" w:type="dxa"/>
            <w:tcBorders>
              <w:top w:val="nil"/>
              <w:left w:val="nil"/>
              <w:bottom w:val="single" w:sz="4" w:space="0" w:color="auto"/>
              <w:right w:val="single" w:sz="4" w:space="0" w:color="auto"/>
            </w:tcBorders>
            <w:shd w:val="clear" w:color="auto" w:fill="auto"/>
            <w:noWrap/>
            <w:vAlign w:val="center"/>
            <w:hideMark/>
          </w:tcPr>
          <w:p w14:paraId="29ED933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27,3</w:t>
            </w:r>
          </w:p>
        </w:tc>
        <w:tc>
          <w:tcPr>
            <w:tcW w:w="851" w:type="dxa"/>
            <w:tcBorders>
              <w:top w:val="nil"/>
              <w:left w:val="nil"/>
              <w:bottom w:val="single" w:sz="4" w:space="0" w:color="auto"/>
              <w:right w:val="single" w:sz="4" w:space="0" w:color="auto"/>
            </w:tcBorders>
            <w:shd w:val="clear" w:color="auto" w:fill="auto"/>
            <w:noWrap/>
            <w:vAlign w:val="center"/>
            <w:hideMark/>
          </w:tcPr>
          <w:p w14:paraId="1A350D1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26,2</w:t>
            </w:r>
          </w:p>
        </w:tc>
        <w:tc>
          <w:tcPr>
            <w:tcW w:w="992" w:type="dxa"/>
            <w:tcBorders>
              <w:top w:val="nil"/>
              <w:left w:val="nil"/>
              <w:bottom w:val="single" w:sz="4" w:space="0" w:color="auto"/>
              <w:right w:val="single" w:sz="4" w:space="0" w:color="auto"/>
            </w:tcBorders>
            <w:shd w:val="clear" w:color="auto" w:fill="auto"/>
            <w:noWrap/>
            <w:vAlign w:val="center"/>
            <w:hideMark/>
          </w:tcPr>
          <w:p w14:paraId="0043944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14,1</w:t>
            </w:r>
          </w:p>
        </w:tc>
        <w:tc>
          <w:tcPr>
            <w:tcW w:w="736" w:type="dxa"/>
            <w:tcBorders>
              <w:top w:val="nil"/>
              <w:left w:val="nil"/>
              <w:bottom w:val="single" w:sz="4" w:space="0" w:color="auto"/>
              <w:right w:val="single" w:sz="4" w:space="0" w:color="auto"/>
            </w:tcBorders>
            <w:shd w:val="clear" w:color="auto" w:fill="auto"/>
            <w:noWrap/>
            <w:vAlign w:val="center"/>
            <w:hideMark/>
          </w:tcPr>
          <w:p w14:paraId="3B9C43BB"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13,0</w:t>
            </w:r>
          </w:p>
        </w:tc>
        <w:tc>
          <w:tcPr>
            <w:tcW w:w="815" w:type="dxa"/>
            <w:tcBorders>
              <w:top w:val="nil"/>
              <w:left w:val="nil"/>
              <w:bottom w:val="single" w:sz="4" w:space="0" w:color="auto"/>
              <w:right w:val="single" w:sz="4" w:space="0" w:color="auto"/>
            </w:tcBorders>
            <w:shd w:val="clear" w:color="auto" w:fill="auto"/>
            <w:noWrap/>
            <w:vAlign w:val="center"/>
            <w:hideMark/>
          </w:tcPr>
          <w:p w14:paraId="74DF31E7"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9,9</w:t>
            </w:r>
          </w:p>
        </w:tc>
        <w:tc>
          <w:tcPr>
            <w:tcW w:w="869" w:type="dxa"/>
            <w:tcBorders>
              <w:top w:val="nil"/>
              <w:left w:val="nil"/>
              <w:bottom w:val="single" w:sz="4" w:space="0" w:color="auto"/>
              <w:right w:val="single" w:sz="4" w:space="0" w:color="auto"/>
            </w:tcBorders>
            <w:shd w:val="clear" w:color="auto" w:fill="auto"/>
            <w:noWrap/>
            <w:vAlign w:val="center"/>
            <w:hideMark/>
          </w:tcPr>
          <w:p w14:paraId="318A526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5,7</w:t>
            </w:r>
          </w:p>
        </w:tc>
        <w:tc>
          <w:tcPr>
            <w:tcW w:w="834" w:type="dxa"/>
            <w:tcBorders>
              <w:top w:val="nil"/>
              <w:left w:val="nil"/>
              <w:bottom w:val="single" w:sz="4" w:space="0" w:color="auto"/>
              <w:right w:val="single" w:sz="4" w:space="0" w:color="auto"/>
            </w:tcBorders>
            <w:shd w:val="clear" w:color="auto" w:fill="auto"/>
            <w:noWrap/>
            <w:vAlign w:val="center"/>
            <w:hideMark/>
          </w:tcPr>
          <w:p w14:paraId="2287C0B0"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0,6</w:t>
            </w:r>
          </w:p>
        </w:tc>
      </w:tr>
      <w:tr w:rsidR="001D223D" w:rsidRPr="001D223D" w14:paraId="0A1CADA2"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5E05922F" w14:textId="77777777" w:rsidR="001D223D" w:rsidRPr="001D223D" w:rsidRDefault="001D223D" w:rsidP="001D223D">
            <w:pPr>
              <w:spacing w:after="0" w:line="240" w:lineRule="auto"/>
              <w:rPr>
                <w:rFonts w:cs="Arial"/>
                <w:sz w:val="16"/>
                <w:szCs w:val="16"/>
              </w:rPr>
            </w:pPr>
            <w:r w:rsidRPr="001D223D">
              <w:rPr>
                <w:rFonts w:cs="Arial"/>
                <w:sz w:val="16"/>
                <w:szCs w:val="16"/>
              </w:rPr>
              <w:t>50–249 zaměstnanců</w:t>
            </w:r>
          </w:p>
        </w:tc>
        <w:tc>
          <w:tcPr>
            <w:tcW w:w="1135" w:type="dxa"/>
            <w:tcBorders>
              <w:top w:val="nil"/>
              <w:left w:val="nil"/>
              <w:bottom w:val="single" w:sz="4" w:space="0" w:color="auto"/>
              <w:right w:val="single" w:sz="4" w:space="0" w:color="auto"/>
            </w:tcBorders>
            <w:shd w:val="clear" w:color="auto" w:fill="auto"/>
            <w:noWrap/>
            <w:vAlign w:val="center"/>
            <w:hideMark/>
          </w:tcPr>
          <w:p w14:paraId="16C5EC72"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27,8</w:t>
            </w:r>
          </w:p>
        </w:tc>
        <w:tc>
          <w:tcPr>
            <w:tcW w:w="1134" w:type="dxa"/>
            <w:tcBorders>
              <w:top w:val="nil"/>
              <w:left w:val="nil"/>
              <w:bottom w:val="single" w:sz="4" w:space="0" w:color="auto"/>
              <w:right w:val="single" w:sz="4" w:space="0" w:color="auto"/>
            </w:tcBorders>
            <w:shd w:val="clear" w:color="auto" w:fill="auto"/>
            <w:noWrap/>
            <w:vAlign w:val="center"/>
            <w:hideMark/>
          </w:tcPr>
          <w:p w14:paraId="420C7CF3"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28,1</w:t>
            </w:r>
          </w:p>
        </w:tc>
        <w:tc>
          <w:tcPr>
            <w:tcW w:w="851" w:type="dxa"/>
            <w:tcBorders>
              <w:top w:val="nil"/>
              <w:left w:val="nil"/>
              <w:bottom w:val="single" w:sz="4" w:space="0" w:color="auto"/>
              <w:right w:val="single" w:sz="4" w:space="0" w:color="auto"/>
            </w:tcBorders>
            <w:shd w:val="clear" w:color="auto" w:fill="auto"/>
            <w:noWrap/>
            <w:vAlign w:val="center"/>
            <w:hideMark/>
          </w:tcPr>
          <w:p w14:paraId="74223E3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29,7</w:t>
            </w:r>
          </w:p>
        </w:tc>
        <w:tc>
          <w:tcPr>
            <w:tcW w:w="992" w:type="dxa"/>
            <w:tcBorders>
              <w:top w:val="nil"/>
              <w:left w:val="nil"/>
              <w:bottom w:val="single" w:sz="4" w:space="0" w:color="auto"/>
              <w:right w:val="single" w:sz="4" w:space="0" w:color="auto"/>
            </w:tcBorders>
            <w:shd w:val="clear" w:color="auto" w:fill="auto"/>
            <w:noWrap/>
            <w:vAlign w:val="center"/>
            <w:hideMark/>
          </w:tcPr>
          <w:p w14:paraId="60B95F7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11,0</w:t>
            </w:r>
          </w:p>
        </w:tc>
        <w:tc>
          <w:tcPr>
            <w:tcW w:w="736" w:type="dxa"/>
            <w:tcBorders>
              <w:top w:val="nil"/>
              <w:left w:val="nil"/>
              <w:bottom w:val="single" w:sz="4" w:space="0" w:color="auto"/>
              <w:right w:val="single" w:sz="4" w:space="0" w:color="auto"/>
            </w:tcBorders>
            <w:shd w:val="clear" w:color="auto" w:fill="auto"/>
            <w:noWrap/>
            <w:vAlign w:val="center"/>
            <w:hideMark/>
          </w:tcPr>
          <w:p w14:paraId="4290BEA3"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18,9</w:t>
            </w:r>
          </w:p>
        </w:tc>
        <w:tc>
          <w:tcPr>
            <w:tcW w:w="815" w:type="dxa"/>
            <w:tcBorders>
              <w:top w:val="nil"/>
              <w:left w:val="nil"/>
              <w:bottom w:val="single" w:sz="4" w:space="0" w:color="auto"/>
              <w:right w:val="single" w:sz="4" w:space="0" w:color="auto"/>
            </w:tcBorders>
            <w:shd w:val="clear" w:color="auto" w:fill="auto"/>
            <w:noWrap/>
            <w:vAlign w:val="center"/>
            <w:hideMark/>
          </w:tcPr>
          <w:p w14:paraId="45EE3B9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7,0</w:t>
            </w:r>
          </w:p>
        </w:tc>
        <w:tc>
          <w:tcPr>
            <w:tcW w:w="869" w:type="dxa"/>
            <w:tcBorders>
              <w:top w:val="nil"/>
              <w:left w:val="nil"/>
              <w:bottom w:val="single" w:sz="4" w:space="0" w:color="auto"/>
              <w:right w:val="single" w:sz="4" w:space="0" w:color="auto"/>
            </w:tcBorders>
            <w:shd w:val="clear" w:color="auto" w:fill="auto"/>
            <w:noWrap/>
            <w:vAlign w:val="center"/>
            <w:hideMark/>
          </w:tcPr>
          <w:p w14:paraId="5F7121E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7,8</w:t>
            </w:r>
          </w:p>
        </w:tc>
        <w:tc>
          <w:tcPr>
            <w:tcW w:w="834" w:type="dxa"/>
            <w:tcBorders>
              <w:top w:val="nil"/>
              <w:left w:val="nil"/>
              <w:bottom w:val="single" w:sz="4" w:space="0" w:color="auto"/>
              <w:right w:val="single" w:sz="4" w:space="0" w:color="auto"/>
            </w:tcBorders>
            <w:shd w:val="clear" w:color="auto" w:fill="auto"/>
            <w:noWrap/>
            <w:vAlign w:val="center"/>
            <w:hideMark/>
          </w:tcPr>
          <w:p w14:paraId="122E025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0,8</w:t>
            </w:r>
          </w:p>
        </w:tc>
      </w:tr>
      <w:tr w:rsidR="001D223D" w:rsidRPr="001D223D" w14:paraId="38D62DEC"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093DD428" w14:textId="77777777" w:rsidR="001D223D" w:rsidRPr="001D223D" w:rsidRDefault="001D223D" w:rsidP="001D223D">
            <w:pPr>
              <w:spacing w:after="0" w:line="240" w:lineRule="auto"/>
              <w:rPr>
                <w:rFonts w:cs="Arial"/>
                <w:sz w:val="16"/>
                <w:szCs w:val="16"/>
              </w:rPr>
            </w:pPr>
            <w:r w:rsidRPr="001D223D">
              <w:rPr>
                <w:rFonts w:cs="Arial"/>
                <w:sz w:val="16"/>
                <w:szCs w:val="16"/>
              </w:rPr>
              <w:t>250 a více zaměstnanců</w:t>
            </w:r>
          </w:p>
        </w:tc>
        <w:tc>
          <w:tcPr>
            <w:tcW w:w="1135" w:type="dxa"/>
            <w:tcBorders>
              <w:top w:val="nil"/>
              <w:left w:val="nil"/>
              <w:bottom w:val="single" w:sz="4" w:space="0" w:color="auto"/>
              <w:right w:val="single" w:sz="4" w:space="0" w:color="auto"/>
            </w:tcBorders>
            <w:shd w:val="clear" w:color="auto" w:fill="auto"/>
            <w:noWrap/>
            <w:vAlign w:val="center"/>
            <w:hideMark/>
          </w:tcPr>
          <w:p w14:paraId="2400ADC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38,3</w:t>
            </w:r>
          </w:p>
        </w:tc>
        <w:tc>
          <w:tcPr>
            <w:tcW w:w="1134" w:type="dxa"/>
            <w:tcBorders>
              <w:top w:val="nil"/>
              <w:left w:val="nil"/>
              <w:bottom w:val="single" w:sz="4" w:space="0" w:color="auto"/>
              <w:right w:val="single" w:sz="4" w:space="0" w:color="auto"/>
            </w:tcBorders>
            <w:shd w:val="clear" w:color="auto" w:fill="auto"/>
            <w:noWrap/>
            <w:vAlign w:val="center"/>
            <w:hideMark/>
          </w:tcPr>
          <w:p w14:paraId="49170AA0"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27,9</w:t>
            </w:r>
          </w:p>
        </w:tc>
        <w:tc>
          <w:tcPr>
            <w:tcW w:w="851" w:type="dxa"/>
            <w:tcBorders>
              <w:top w:val="nil"/>
              <w:left w:val="nil"/>
              <w:bottom w:val="single" w:sz="4" w:space="0" w:color="auto"/>
              <w:right w:val="single" w:sz="4" w:space="0" w:color="auto"/>
            </w:tcBorders>
            <w:shd w:val="clear" w:color="auto" w:fill="auto"/>
            <w:noWrap/>
            <w:vAlign w:val="center"/>
            <w:hideMark/>
          </w:tcPr>
          <w:p w14:paraId="13FF6E79"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27,8</w:t>
            </w:r>
          </w:p>
        </w:tc>
        <w:tc>
          <w:tcPr>
            <w:tcW w:w="992" w:type="dxa"/>
            <w:tcBorders>
              <w:top w:val="nil"/>
              <w:left w:val="nil"/>
              <w:bottom w:val="single" w:sz="4" w:space="0" w:color="auto"/>
              <w:right w:val="single" w:sz="4" w:space="0" w:color="auto"/>
            </w:tcBorders>
            <w:shd w:val="clear" w:color="auto" w:fill="auto"/>
            <w:noWrap/>
            <w:vAlign w:val="center"/>
            <w:hideMark/>
          </w:tcPr>
          <w:p w14:paraId="493DE35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7,8</w:t>
            </w:r>
          </w:p>
        </w:tc>
        <w:tc>
          <w:tcPr>
            <w:tcW w:w="736" w:type="dxa"/>
            <w:tcBorders>
              <w:top w:val="nil"/>
              <w:left w:val="nil"/>
              <w:bottom w:val="single" w:sz="4" w:space="0" w:color="auto"/>
              <w:right w:val="single" w:sz="4" w:space="0" w:color="auto"/>
            </w:tcBorders>
            <w:shd w:val="clear" w:color="auto" w:fill="auto"/>
            <w:noWrap/>
            <w:vAlign w:val="center"/>
            <w:hideMark/>
          </w:tcPr>
          <w:p w14:paraId="664729B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21,2</w:t>
            </w:r>
          </w:p>
        </w:tc>
        <w:tc>
          <w:tcPr>
            <w:tcW w:w="815" w:type="dxa"/>
            <w:tcBorders>
              <w:top w:val="nil"/>
              <w:left w:val="nil"/>
              <w:bottom w:val="single" w:sz="4" w:space="0" w:color="auto"/>
              <w:right w:val="single" w:sz="4" w:space="0" w:color="auto"/>
            </w:tcBorders>
            <w:shd w:val="clear" w:color="auto" w:fill="auto"/>
            <w:noWrap/>
            <w:vAlign w:val="center"/>
            <w:hideMark/>
          </w:tcPr>
          <w:p w14:paraId="53192D2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3,5</w:t>
            </w:r>
          </w:p>
        </w:tc>
        <w:tc>
          <w:tcPr>
            <w:tcW w:w="869" w:type="dxa"/>
            <w:tcBorders>
              <w:top w:val="nil"/>
              <w:left w:val="nil"/>
              <w:bottom w:val="single" w:sz="4" w:space="0" w:color="auto"/>
              <w:right w:val="single" w:sz="4" w:space="0" w:color="auto"/>
            </w:tcBorders>
            <w:shd w:val="clear" w:color="auto" w:fill="auto"/>
            <w:noWrap/>
            <w:vAlign w:val="center"/>
            <w:hideMark/>
          </w:tcPr>
          <w:p w14:paraId="07E5DD7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9,3</w:t>
            </w:r>
          </w:p>
        </w:tc>
        <w:tc>
          <w:tcPr>
            <w:tcW w:w="834" w:type="dxa"/>
            <w:tcBorders>
              <w:top w:val="nil"/>
              <w:left w:val="nil"/>
              <w:bottom w:val="single" w:sz="4" w:space="0" w:color="auto"/>
              <w:right w:val="single" w:sz="4" w:space="0" w:color="auto"/>
            </w:tcBorders>
            <w:shd w:val="clear" w:color="auto" w:fill="auto"/>
            <w:noWrap/>
            <w:vAlign w:val="center"/>
            <w:hideMark/>
          </w:tcPr>
          <w:p w14:paraId="186D6C0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0,9</w:t>
            </w:r>
          </w:p>
        </w:tc>
      </w:tr>
      <w:tr w:rsidR="005F4BD4" w:rsidRPr="001D223D" w14:paraId="27E6B6BE" w14:textId="77777777" w:rsidTr="00F217BB">
        <w:trPr>
          <w:trHeight w:val="330"/>
        </w:trPr>
        <w:tc>
          <w:tcPr>
            <w:tcW w:w="9628" w:type="dxa"/>
            <w:gridSpan w:val="9"/>
            <w:tcBorders>
              <w:top w:val="single" w:sz="4" w:space="0" w:color="auto"/>
              <w:left w:val="single" w:sz="4" w:space="0" w:color="auto"/>
              <w:bottom w:val="single" w:sz="4" w:space="0" w:color="auto"/>
              <w:right w:val="single" w:sz="4" w:space="0" w:color="auto"/>
            </w:tcBorders>
            <w:shd w:val="clear" w:color="000000" w:fill="DDEBF7"/>
            <w:vAlign w:val="center"/>
            <w:hideMark/>
          </w:tcPr>
          <w:p w14:paraId="74D198FA" w14:textId="2DCBDDCE" w:rsidR="005F4BD4" w:rsidRPr="001D223D" w:rsidRDefault="00A241ED" w:rsidP="005F4BD4">
            <w:pPr>
              <w:spacing w:after="0" w:line="240" w:lineRule="auto"/>
              <w:rPr>
                <w:rFonts w:cs="Arial"/>
                <w:b/>
                <w:bCs/>
                <w:sz w:val="16"/>
                <w:szCs w:val="16"/>
              </w:rPr>
            </w:pPr>
            <w:r w:rsidRPr="00A241ED">
              <w:rPr>
                <w:rFonts w:cs="Arial"/>
                <w:b/>
                <w:bCs/>
                <w:sz w:val="16"/>
                <w:szCs w:val="16"/>
              </w:rPr>
              <w:t>podle vlastnictví</w:t>
            </w:r>
          </w:p>
        </w:tc>
      </w:tr>
      <w:tr w:rsidR="00552396" w:rsidRPr="001D223D" w14:paraId="75542EE1" w14:textId="77777777" w:rsidTr="00552396">
        <w:trPr>
          <w:trHeight w:val="300"/>
        </w:trPr>
        <w:tc>
          <w:tcPr>
            <w:tcW w:w="2262" w:type="dxa"/>
            <w:tcBorders>
              <w:top w:val="nil"/>
              <w:left w:val="single" w:sz="4" w:space="0" w:color="auto"/>
              <w:bottom w:val="single" w:sz="4" w:space="0" w:color="auto"/>
              <w:right w:val="single" w:sz="4" w:space="0" w:color="auto"/>
            </w:tcBorders>
            <w:shd w:val="clear" w:color="000000" w:fill="FFFFFF"/>
            <w:noWrap/>
            <w:vAlign w:val="center"/>
            <w:hideMark/>
          </w:tcPr>
          <w:p w14:paraId="58FD5DAE" w14:textId="70547C10" w:rsidR="00552396" w:rsidRPr="00552396" w:rsidRDefault="00552396" w:rsidP="00552396">
            <w:pPr>
              <w:spacing w:after="0" w:line="240" w:lineRule="auto"/>
              <w:rPr>
                <w:rFonts w:cs="Arial"/>
                <w:sz w:val="16"/>
                <w:szCs w:val="16"/>
              </w:rPr>
            </w:pPr>
            <w:r w:rsidRPr="00552396">
              <w:rPr>
                <w:sz w:val="16"/>
                <w:szCs w:val="16"/>
              </w:rPr>
              <w:t>domácí podniky</w:t>
            </w:r>
          </w:p>
        </w:tc>
        <w:tc>
          <w:tcPr>
            <w:tcW w:w="1135" w:type="dxa"/>
            <w:tcBorders>
              <w:top w:val="nil"/>
              <w:left w:val="nil"/>
              <w:bottom w:val="single" w:sz="4" w:space="0" w:color="auto"/>
              <w:right w:val="single" w:sz="4" w:space="0" w:color="auto"/>
            </w:tcBorders>
            <w:shd w:val="clear" w:color="auto" w:fill="auto"/>
            <w:noWrap/>
            <w:vAlign w:val="center"/>
            <w:hideMark/>
          </w:tcPr>
          <w:p w14:paraId="0AFFC111"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19,7</w:t>
            </w:r>
          </w:p>
        </w:tc>
        <w:tc>
          <w:tcPr>
            <w:tcW w:w="1134" w:type="dxa"/>
            <w:tcBorders>
              <w:top w:val="nil"/>
              <w:left w:val="nil"/>
              <w:bottom w:val="single" w:sz="4" w:space="0" w:color="auto"/>
              <w:right w:val="single" w:sz="4" w:space="0" w:color="auto"/>
            </w:tcBorders>
            <w:shd w:val="clear" w:color="auto" w:fill="auto"/>
            <w:noWrap/>
            <w:vAlign w:val="center"/>
            <w:hideMark/>
          </w:tcPr>
          <w:p w14:paraId="109E6F63"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28,0</w:t>
            </w:r>
          </w:p>
        </w:tc>
        <w:tc>
          <w:tcPr>
            <w:tcW w:w="851" w:type="dxa"/>
            <w:tcBorders>
              <w:top w:val="nil"/>
              <w:left w:val="nil"/>
              <w:bottom w:val="single" w:sz="4" w:space="0" w:color="auto"/>
              <w:right w:val="single" w:sz="4" w:space="0" w:color="auto"/>
            </w:tcBorders>
            <w:shd w:val="clear" w:color="auto" w:fill="auto"/>
            <w:noWrap/>
            <w:vAlign w:val="center"/>
            <w:hideMark/>
          </w:tcPr>
          <w:p w14:paraId="2923E403"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27,0</w:t>
            </w:r>
          </w:p>
        </w:tc>
        <w:tc>
          <w:tcPr>
            <w:tcW w:w="992" w:type="dxa"/>
            <w:tcBorders>
              <w:top w:val="nil"/>
              <w:left w:val="nil"/>
              <w:bottom w:val="single" w:sz="4" w:space="0" w:color="auto"/>
              <w:right w:val="single" w:sz="4" w:space="0" w:color="auto"/>
            </w:tcBorders>
            <w:shd w:val="clear" w:color="auto" w:fill="auto"/>
            <w:noWrap/>
            <w:vAlign w:val="center"/>
            <w:hideMark/>
          </w:tcPr>
          <w:p w14:paraId="60EEFFA9"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15,9</w:t>
            </w:r>
          </w:p>
        </w:tc>
        <w:tc>
          <w:tcPr>
            <w:tcW w:w="736" w:type="dxa"/>
            <w:tcBorders>
              <w:top w:val="nil"/>
              <w:left w:val="nil"/>
              <w:bottom w:val="single" w:sz="4" w:space="0" w:color="auto"/>
              <w:right w:val="single" w:sz="4" w:space="0" w:color="auto"/>
            </w:tcBorders>
            <w:shd w:val="clear" w:color="auto" w:fill="auto"/>
            <w:noWrap/>
            <w:vAlign w:val="center"/>
            <w:hideMark/>
          </w:tcPr>
          <w:p w14:paraId="4BD2D58E"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9,7</w:t>
            </w:r>
          </w:p>
        </w:tc>
        <w:tc>
          <w:tcPr>
            <w:tcW w:w="815" w:type="dxa"/>
            <w:tcBorders>
              <w:top w:val="nil"/>
              <w:left w:val="nil"/>
              <w:bottom w:val="single" w:sz="4" w:space="0" w:color="auto"/>
              <w:right w:val="single" w:sz="4" w:space="0" w:color="auto"/>
            </w:tcBorders>
            <w:shd w:val="clear" w:color="auto" w:fill="auto"/>
            <w:noWrap/>
            <w:vAlign w:val="center"/>
            <w:hideMark/>
          </w:tcPr>
          <w:p w14:paraId="72577649"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8,2</w:t>
            </w:r>
          </w:p>
        </w:tc>
        <w:tc>
          <w:tcPr>
            <w:tcW w:w="869" w:type="dxa"/>
            <w:tcBorders>
              <w:top w:val="nil"/>
              <w:left w:val="nil"/>
              <w:bottom w:val="single" w:sz="4" w:space="0" w:color="auto"/>
              <w:right w:val="single" w:sz="4" w:space="0" w:color="auto"/>
            </w:tcBorders>
            <w:shd w:val="clear" w:color="auto" w:fill="auto"/>
            <w:noWrap/>
            <w:vAlign w:val="center"/>
            <w:hideMark/>
          </w:tcPr>
          <w:p w14:paraId="2061B639"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5,6</w:t>
            </w:r>
          </w:p>
        </w:tc>
        <w:tc>
          <w:tcPr>
            <w:tcW w:w="834" w:type="dxa"/>
            <w:tcBorders>
              <w:top w:val="nil"/>
              <w:left w:val="nil"/>
              <w:bottom w:val="single" w:sz="4" w:space="0" w:color="auto"/>
              <w:right w:val="single" w:sz="4" w:space="0" w:color="auto"/>
            </w:tcBorders>
            <w:shd w:val="clear" w:color="auto" w:fill="auto"/>
            <w:noWrap/>
            <w:vAlign w:val="center"/>
            <w:hideMark/>
          </w:tcPr>
          <w:p w14:paraId="5F986B2B"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0,5</w:t>
            </w:r>
          </w:p>
        </w:tc>
      </w:tr>
      <w:tr w:rsidR="00552396" w:rsidRPr="001D223D" w14:paraId="11B92066" w14:textId="77777777" w:rsidTr="00552396">
        <w:trPr>
          <w:trHeight w:val="300"/>
        </w:trPr>
        <w:tc>
          <w:tcPr>
            <w:tcW w:w="2262" w:type="dxa"/>
            <w:tcBorders>
              <w:top w:val="nil"/>
              <w:left w:val="single" w:sz="4" w:space="0" w:color="auto"/>
              <w:bottom w:val="single" w:sz="4" w:space="0" w:color="auto"/>
              <w:right w:val="single" w:sz="4" w:space="0" w:color="auto"/>
            </w:tcBorders>
            <w:shd w:val="clear" w:color="000000" w:fill="FFFFFF"/>
            <w:noWrap/>
            <w:vAlign w:val="center"/>
            <w:hideMark/>
          </w:tcPr>
          <w:p w14:paraId="39975AE9" w14:textId="4F31EF32" w:rsidR="00552396" w:rsidRPr="00552396" w:rsidRDefault="00552396" w:rsidP="00552396">
            <w:pPr>
              <w:spacing w:after="0" w:line="240" w:lineRule="auto"/>
              <w:rPr>
                <w:rFonts w:cs="Arial"/>
                <w:sz w:val="16"/>
                <w:szCs w:val="16"/>
              </w:rPr>
            </w:pPr>
            <w:r w:rsidRPr="00552396">
              <w:rPr>
                <w:sz w:val="16"/>
                <w:szCs w:val="16"/>
              </w:rPr>
              <w:t>podniky pod zahraniční kontrolou</w:t>
            </w:r>
          </w:p>
        </w:tc>
        <w:tc>
          <w:tcPr>
            <w:tcW w:w="1135" w:type="dxa"/>
            <w:tcBorders>
              <w:top w:val="nil"/>
              <w:left w:val="nil"/>
              <w:bottom w:val="single" w:sz="4" w:space="0" w:color="auto"/>
              <w:right w:val="single" w:sz="4" w:space="0" w:color="auto"/>
            </w:tcBorders>
            <w:shd w:val="clear" w:color="auto" w:fill="auto"/>
            <w:noWrap/>
            <w:vAlign w:val="center"/>
            <w:hideMark/>
          </w:tcPr>
          <w:p w14:paraId="7E876925"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26,1</w:t>
            </w:r>
          </w:p>
        </w:tc>
        <w:tc>
          <w:tcPr>
            <w:tcW w:w="1134" w:type="dxa"/>
            <w:tcBorders>
              <w:top w:val="nil"/>
              <w:left w:val="nil"/>
              <w:bottom w:val="single" w:sz="4" w:space="0" w:color="auto"/>
              <w:right w:val="single" w:sz="4" w:space="0" w:color="auto"/>
            </w:tcBorders>
            <w:shd w:val="clear" w:color="auto" w:fill="auto"/>
            <w:noWrap/>
            <w:vAlign w:val="center"/>
            <w:hideMark/>
          </w:tcPr>
          <w:p w14:paraId="2BD99BBE"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24,1</w:t>
            </w:r>
          </w:p>
        </w:tc>
        <w:tc>
          <w:tcPr>
            <w:tcW w:w="851" w:type="dxa"/>
            <w:tcBorders>
              <w:top w:val="nil"/>
              <w:left w:val="nil"/>
              <w:bottom w:val="single" w:sz="4" w:space="0" w:color="auto"/>
              <w:right w:val="single" w:sz="4" w:space="0" w:color="auto"/>
            </w:tcBorders>
            <w:shd w:val="clear" w:color="auto" w:fill="auto"/>
            <w:noWrap/>
            <w:vAlign w:val="center"/>
            <w:hideMark/>
          </w:tcPr>
          <w:p w14:paraId="56387FB2"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14:paraId="5087A7EE"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9,3</w:t>
            </w:r>
          </w:p>
        </w:tc>
        <w:tc>
          <w:tcPr>
            <w:tcW w:w="736" w:type="dxa"/>
            <w:tcBorders>
              <w:top w:val="nil"/>
              <w:left w:val="nil"/>
              <w:bottom w:val="single" w:sz="4" w:space="0" w:color="auto"/>
              <w:right w:val="single" w:sz="4" w:space="0" w:color="auto"/>
            </w:tcBorders>
            <w:shd w:val="clear" w:color="auto" w:fill="auto"/>
            <w:noWrap/>
            <w:vAlign w:val="center"/>
            <w:hideMark/>
          </w:tcPr>
          <w:p w14:paraId="7F422E3F"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33,1</w:t>
            </w:r>
          </w:p>
        </w:tc>
        <w:tc>
          <w:tcPr>
            <w:tcW w:w="815" w:type="dxa"/>
            <w:tcBorders>
              <w:top w:val="nil"/>
              <w:left w:val="nil"/>
              <w:bottom w:val="single" w:sz="4" w:space="0" w:color="auto"/>
              <w:right w:val="single" w:sz="4" w:space="0" w:color="auto"/>
            </w:tcBorders>
            <w:shd w:val="clear" w:color="auto" w:fill="auto"/>
            <w:noWrap/>
            <w:vAlign w:val="center"/>
            <w:hideMark/>
          </w:tcPr>
          <w:p w14:paraId="28F53075"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5,4</w:t>
            </w:r>
          </w:p>
        </w:tc>
        <w:tc>
          <w:tcPr>
            <w:tcW w:w="869" w:type="dxa"/>
            <w:tcBorders>
              <w:top w:val="nil"/>
              <w:left w:val="nil"/>
              <w:bottom w:val="single" w:sz="4" w:space="0" w:color="auto"/>
              <w:right w:val="single" w:sz="4" w:space="0" w:color="auto"/>
            </w:tcBorders>
            <w:shd w:val="clear" w:color="auto" w:fill="auto"/>
            <w:noWrap/>
            <w:vAlign w:val="center"/>
            <w:hideMark/>
          </w:tcPr>
          <w:p w14:paraId="6150BEDC"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8,4</w:t>
            </w:r>
          </w:p>
        </w:tc>
        <w:tc>
          <w:tcPr>
            <w:tcW w:w="834" w:type="dxa"/>
            <w:tcBorders>
              <w:top w:val="nil"/>
              <w:left w:val="nil"/>
              <w:bottom w:val="single" w:sz="4" w:space="0" w:color="auto"/>
              <w:right w:val="single" w:sz="4" w:space="0" w:color="auto"/>
            </w:tcBorders>
            <w:shd w:val="clear" w:color="auto" w:fill="auto"/>
            <w:noWrap/>
            <w:vAlign w:val="center"/>
            <w:hideMark/>
          </w:tcPr>
          <w:p w14:paraId="71B6ED43" w14:textId="77777777" w:rsidR="00552396" w:rsidRPr="001D223D" w:rsidRDefault="00552396" w:rsidP="00552396">
            <w:pPr>
              <w:spacing w:after="0" w:line="240" w:lineRule="auto"/>
              <w:jc w:val="right"/>
              <w:rPr>
                <w:rFonts w:cs="Arial"/>
                <w:color w:val="000000"/>
                <w:sz w:val="16"/>
                <w:szCs w:val="16"/>
              </w:rPr>
            </w:pPr>
            <w:r w:rsidRPr="001D223D">
              <w:rPr>
                <w:rFonts w:cs="Arial"/>
                <w:color w:val="000000"/>
                <w:sz w:val="16"/>
                <w:szCs w:val="16"/>
              </w:rPr>
              <w:t>1,5</w:t>
            </w:r>
          </w:p>
        </w:tc>
      </w:tr>
      <w:tr w:rsidR="005F4BD4" w:rsidRPr="001D223D" w14:paraId="05E1C6B1" w14:textId="77777777" w:rsidTr="00F217BB">
        <w:trPr>
          <w:trHeight w:val="345"/>
        </w:trPr>
        <w:tc>
          <w:tcPr>
            <w:tcW w:w="9628" w:type="dxa"/>
            <w:gridSpan w:val="9"/>
            <w:tcBorders>
              <w:top w:val="single" w:sz="4" w:space="0" w:color="auto"/>
              <w:left w:val="single" w:sz="4" w:space="0" w:color="auto"/>
              <w:bottom w:val="single" w:sz="4" w:space="0" w:color="auto"/>
              <w:right w:val="single" w:sz="4" w:space="0" w:color="auto"/>
            </w:tcBorders>
            <w:shd w:val="clear" w:color="000000" w:fill="DDEBF7"/>
            <w:vAlign w:val="center"/>
            <w:hideMark/>
          </w:tcPr>
          <w:p w14:paraId="1399947A" w14:textId="5CC7F409" w:rsidR="005F4BD4" w:rsidRPr="001D223D" w:rsidRDefault="00F476A4" w:rsidP="005F4BD4">
            <w:pPr>
              <w:spacing w:after="0" w:line="240" w:lineRule="auto"/>
              <w:rPr>
                <w:rFonts w:cs="Arial"/>
                <w:b/>
                <w:bCs/>
                <w:sz w:val="16"/>
                <w:szCs w:val="16"/>
              </w:rPr>
            </w:pPr>
            <w:r w:rsidRPr="00F476A4">
              <w:rPr>
                <w:rFonts w:cs="Arial"/>
                <w:b/>
                <w:bCs/>
                <w:sz w:val="16"/>
                <w:szCs w:val="16"/>
              </w:rPr>
              <w:t>podle odvětvové sekce (CZ-NACE)</w:t>
            </w:r>
          </w:p>
        </w:tc>
      </w:tr>
      <w:tr w:rsidR="001D223D" w:rsidRPr="001D223D" w14:paraId="5ADD9612"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41903AE2"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Informační a komunikační činnosti</w:t>
            </w:r>
          </w:p>
        </w:tc>
        <w:tc>
          <w:tcPr>
            <w:tcW w:w="1135" w:type="dxa"/>
            <w:tcBorders>
              <w:top w:val="nil"/>
              <w:left w:val="nil"/>
              <w:bottom w:val="single" w:sz="4" w:space="0" w:color="auto"/>
              <w:right w:val="single" w:sz="4" w:space="0" w:color="auto"/>
            </w:tcBorders>
            <w:shd w:val="clear" w:color="auto" w:fill="auto"/>
            <w:noWrap/>
            <w:vAlign w:val="center"/>
            <w:hideMark/>
          </w:tcPr>
          <w:p w14:paraId="552FCDF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25FE2D3E"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16,5</w:t>
            </w:r>
          </w:p>
        </w:tc>
        <w:tc>
          <w:tcPr>
            <w:tcW w:w="851" w:type="dxa"/>
            <w:tcBorders>
              <w:top w:val="nil"/>
              <w:left w:val="nil"/>
              <w:bottom w:val="single" w:sz="4" w:space="0" w:color="auto"/>
              <w:right w:val="single" w:sz="4" w:space="0" w:color="auto"/>
            </w:tcBorders>
            <w:shd w:val="clear" w:color="auto" w:fill="auto"/>
            <w:noWrap/>
            <w:vAlign w:val="center"/>
            <w:hideMark/>
          </w:tcPr>
          <w:p w14:paraId="231A5E32"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18,3</w:t>
            </w:r>
          </w:p>
        </w:tc>
        <w:tc>
          <w:tcPr>
            <w:tcW w:w="992" w:type="dxa"/>
            <w:tcBorders>
              <w:top w:val="nil"/>
              <w:left w:val="nil"/>
              <w:bottom w:val="single" w:sz="4" w:space="0" w:color="auto"/>
              <w:right w:val="single" w:sz="4" w:space="0" w:color="auto"/>
            </w:tcBorders>
            <w:shd w:val="clear" w:color="auto" w:fill="auto"/>
            <w:noWrap/>
            <w:vAlign w:val="center"/>
            <w:hideMark/>
          </w:tcPr>
          <w:p w14:paraId="459C6042"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C00000"/>
                <w:sz w:val="16"/>
                <w:szCs w:val="16"/>
              </w:rPr>
              <w:t>4,7</w:t>
            </w:r>
          </w:p>
        </w:tc>
        <w:tc>
          <w:tcPr>
            <w:tcW w:w="736" w:type="dxa"/>
            <w:tcBorders>
              <w:top w:val="nil"/>
              <w:left w:val="nil"/>
              <w:bottom w:val="single" w:sz="4" w:space="0" w:color="auto"/>
              <w:right w:val="single" w:sz="4" w:space="0" w:color="auto"/>
            </w:tcBorders>
            <w:shd w:val="clear" w:color="auto" w:fill="auto"/>
            <w:noWrap/>
            <w:vAlign w:val="center"/>
            <w:hideMark/>
          </w:tcPr>
          <w:p w14:paraId="1B259161"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19,4</w:t>
            </w:r>
          </w:p>
        </w:tc>
        <w:tc>
          <w:tcPr>
            <w:tcW w:w="815" w:type="dxa"/>
            <w:tcBorders>
              <w:top w:val="nil"/>
              <w:left w:val="nil"/>
              <w:bottom w:val="single" w:sz="4" w:space="0" w:color="auto"/>
              <w:right w:val="single" w:sz="4" w:space="0" w:color="auto"/>
            </w:tcBorders>
            <w:shd w:val="clear" w:color="auto" w:fill="auto"/>
            <w:noWrap/>
            <w:vAlign w:val="center"/>
            <w:hideMark/>
          </w:tcPr>
          <w:p w14:paraId="0B470212"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3,9</w:t>
            </w:r>
          </w:p>
        </w:tc>
        <w:tc>
          <w:tcPr>
            <w:tcW w:w="869" w:type="dxa"/>
            <w:tcBorders>
              <w:top w:val="nil"/>
              <w:left w:val="nil"/>
              <w:bottom w:val="single" w:sz="4" w:space="0" w:color="auto"/>
              <w:right w:val="single" w:sz="4" w:space="0" w:color="auto"/>
            </w:tcBorders>
            <w:shd w:val="clear" w:color="auto" w:fill="auto"/>
            <w:noWrap/>
            <w:vAlign w:val="center"/>
            <w:hideMark/>
          </w:tcPr>
          <w:p w14:paraId="3E27191F"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59,2</w:t>
            </w:r>
          </w:p>
        </w:tc>
        <w:tc>
          <w:tcPr>
            <w:tcW w:w="834" w:type="dxa"/>
            <w:tcBorders>
              <w:top w:val="nil"/>
              <w:left w:val="nil"/>
              <w:bottom w:val="single" w:sz="4" w:space="0" w:color="auto"/>
              <w:right w:val="single" w:sz="4" w:space="0" w:color="auto"/>
            </w:tcBorders>
            <w:shd w:val="clear" w:color="auto" w:fill="auto"/>
            <w:noWrap/>
            <w:vAlign w:val="center"/>
            <w:hideMark/>
          </w:tcPr>
          <w:p w14:paraId="7CFB970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3,5</w:t>
            </w:r>
          </w:p>
        </w:tc>
      </w:tr>
      <w:tr w:rsidR="001D223D" w:rsidRPr="001D223D" w14:paraId="3C26E860"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01D3291A"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Profesní, vědecké a technické činnosti</w:t>
            </w:r>
          </w:p>
        </w:tc>
        <w:tc>
          <w:tcPr>
            <w:tcW w:w="1135" w:type="dxa"/>
            <w:tcBorders>
              <w:top w:val="nil"/>
              <w:left w:val="nil"/>
              <w:bottom w:val="single" w:sz="4" w:space="0" w:color="auto"/>
              <w:right w:val="single" w:sz="4" w:space="0" w:color="auto"/>
            </w:tcBorders>
            <w:shd w:val="clear" w:color="auto" w:fill="auto"/>
            <w:noWrap/>
            <w:vAlign w:val="center"/>
            <w:hideMark/>
          </w:tcPr>
          <w:p w14:paraId="1CDC87E4" w14:textId="77777777" w:rsidR="001D223D" w:rsidRPr="00F53CD1" w:rsidRDefault="001D223D" w:rsidP="001D223D">
            <w:pPr>
              <w:spacing w:after="0" w:line="240" w:lineRule="auto"/>
              <w:jc w:val="right"/>
              <w:rPr>
                <w:rFonts w:cs="Arial"/>
                <w:b/>
                <w:color w:val="000000"/>
                <w:sz w:val="16"/>
                <w:szCs w:val="16"/>
              </w:rPr>
            </w:pPr>
            <w:r w:rsidRPr="002E28E3">
              <w:rPr>
                <w:rFonts w:cs="Arial"/>
                <w:b/>
                <w:color w:val="00B050"/>
                <w:sz w:val="16"/>
                <w:szCs w:val="16"/>
              </w:rPr>
              <w:t>35,7</w:t>
            </w:r>
          </w:p>
        </w:tc>
        <w:tc>
          <w:tcPr>
            <w:tcW w:w="1134" w:type="dxa"/>
            <w:tcBorders>
              <w:top w:val="nil"/>
              <w:left w:val="nil"/>
              <w:bottom w:val="single" w:sz="4" w:space="0" w:color="auto"/>
              <w:right w:val="single" w:sz="4" w:space="0" w:color="auto"/>
            </w:tcBorders>
            <w:shd w:val="clear" w:color="auto" w:fill="auto"/>
            <w:noWrap/>
            <w:vAlign w:val="center"/>
            <w:hideMark/>
          </w:tcPr>
          <w:p w14:paraId="5355E73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31,6</w:t>
            </w:r>
          </w:p>
        </w:tc>
        <w:tc>
          <w:tcPr>
            <w:tcW w:w="851" w:type="dxa"/>
            <w:tcBorders>
              <w:top w:val="nil"/>
              <w:left w:val="nil"/>
              <w:bottom w:val="single" w:sz="4" w:space="0" w:color="auto"/>
              <w:right w:val="single" w:sz="4" w:space="0" w:color="auto"/>
            </w:tcBorders>
            <w:shd w:val="clear" w:color="auto" w:fill="auto"/>
            <w:noWrap/>
            <w:vAlign w:val="center"/>
            <w:hideMark/>
          </w:tcPr>
          <w:p w14:paraId="2193C1A2"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23,2</w:t>
            </w:r>
          </w:p>
        </w:tc>
        <w:tc>
          <w:tcPr>
            <w:tcW w:w="992" w:type="dxa"/>
            <w:tcBorders>
              <w:top w:val="nil"/>
              <w:left w:val="nil"/>
              <w:bottom w:val="single" w:sz="4" w:space="0" w:color="auto"/>
              <w:right w:val="single" w:sz="4" w:space="0" w:color="auto"/>
            </w:tcBorders>
            <w:shd w:val="clear" w:color="auto" w:fill="auto"/>
            <w:noWrap/>
            <w:vAlign w:val="center"/>
            <w:hideMark/>
          </w:tcPr>
          <w:p w14:paraId="3C78347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10,6</w:t>
            </w:r>
          </w:p>
        </w:tc>
        <w:tc>
          <w:tcPr>
            <w:tcW w:w="736" w:type="dxa"/>
            <w:tcBorders>
              <w:top w:val="nil"/>
              <w:left w:val="nil"/>
              <w:bottom w:val="single" w:sz="4" w:space="0" w:color="auto"/>
              <w:right w:val="single" w:sz="4" w:space="0" w:color="auto"/>
            </w:tcBorders>
            <w:shd w:val="clear" w:color="auto" w:fill="auto"/>
            <w:noWrap/>
            <w:vAlign w:val="center"/>
            <w:hideMark/>
          </w:tcPr>
          <w:p w14:paraId="6A81F0E1"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18,6</w:t>
            </w:r>
          </w:p>
        </w:tc>
        <w:tc>
          <w:tcPr>
            <w:tcW w:w="815" w:type="dxa"/>
            <w:tcBorders>
              <w:top w:val="nil"/>
              <w:left w:val="nil"/>
              <w:bottom w:val="single" w:sz="4" w:space="0" w:color="auto"/>
              <w:right w:val="single" w:sz="4" w:space="0" w:color="auto"/>
            </w:tcBorders>
            <w:shd w:val="clear" w:color="auto" w:fill="auto"/>
            <w:noWrap/>
            <w:vAlign w:val="center"/>
            <w:hideMark/>
          </w:tcPr>
          <w:p w14:paraId="1602C94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6,2</w:t>
            </w:r>
          </w:p>
        </w:tc>
        <w:tc>
          <w:tcPr>
            <w:tcW w:w="869" w:type="dxa"/>
            <w:tcBorders>
              <w:top w:val="nil"/>
              <w:left w:val="nil"/>
              <w:bottom w:val="single" w:sz="4" w:space="0" w:color="auto"/>
              <w:right w:val="single" w:sz="4" w:space="0" w:color="auto"/>
            </w:tcBorders>
            <w:shd w:val="clear" w:color="auto" w:fill="auto"/>
            <w:noWrap/>
            <w:vAlign w:val="center"/>
            <w:hideMark/>
          </w:tcPr>
          <w:p w14:paraId="03F12F1F"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9,7</w:t>
            </w:r>
          </w:p>
        </w:tc>
        <w:tc>
          <w:tcPr>
            <w:tcW w:w="834" w:type="dxa"/>
            <w:tcBorders>
              <w:top w:val="nil"/>
              <w:left w:val="nil"/>
              <w:bottom w:val="single" w:sz="4" w:space="0" w:color="auto"/>
              <w:right w:val="single" w:sz="4" w:space="0" w:color="auto"/>
            </w:tcBorders>
            <w:shd w:val="clear" w:color="auto" w:fill="auto"/>
            <w:noWrap/>
            <w:vAlign w:val="center"/>
            <w:hideMark/>
          </w:tcPr>
          <w:p w14:paraId="56A968D0"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3,4</w:t>
            </w:r>
          </w:p>
        </w:tc>
      </w:tr>
      <w:tr w:rsidR="001D223D" w:rsidRPr="001D223D" w14:paraId="13E3904D"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3BAD8B88"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Průmysl</w:t>
            </w:r>
          </w:p>
        </w:tc>
        <w:tc>
          <w:tcPr>
            <w:tcW w:w="1135" w:type="dxa"/>
            <w:tcBorders>
              <w:top w:val="nil"/>
              <w:left w:val="nil"/>
              <w:bottom w:val="single" w:sz="4" w:space="0" w:color="auto"/>
              <w:right w:val="single" w:sz="4" w:space="0" w:color="auto"/>
            </w:tcBorders>
            <w:shd w:val="clear" w:color="auto" w:fill="auto"/>
            <w:noWrap/>
            <w:vAlign w:val="center"/>
            <w:hideMark/>
          </w:tcPr>
          <w:p w14:paraId="0BCEC663"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33,2</w:t>
            </w:r>
          </w:p>
        </w:tc>
        <w:tc>
          <w:tcPr>
            <w:tcW w:w="1134" w:type="dxa"/>
            <w:tcBorders>
              <w:top w:val="nil"/>
              <w:left w:val="nil"/>
              <w:bottom w:val="single" w:sz="4" w:space="0" w:color="auto"/>
              <w:right w:val="single" w:sz="4" w:space="0" w:color="auto"/>
            </w:tcBorders>
            <w:shd w:val="clear" w:color="auto" w:fill="auto"/>
            <w:noWrap/>
            <w:vAlign w:val="center"/>
            <w:hideMark/>
          </w:tcPr>
          <w:p w14:paraId="169D7F9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30,7</w:t>
            </w:r>
          </w:p>
        </w:tc>
        <w:tc>
          <w:tcPr>
            <w:tcW w:w="851" w:type="dxa"/>
            <w:tcBorders>
              <w:top w:val="nil"/>
              <w:left w:val="nil"/>
              <w:bottom w:val="single" w:sz="4" w:space="0" w:color="auto"/>
              <w:right w:val="single" w:sz="4" w:space="0" w:color="auto"/>
            </w:tcBorders>
            <w:shd w:val="clear" w:color="auto" w:fill="auto"/>
            <w:noWrap/>
            <w:vAlign w:val="center"/>
            <w:hideMark/>
          </w:tcPr>
          <w:p w14:paraId="33354DA1"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24,7</w:t>
            </w:r>
          </w:p>
        </w:tc>
        <w:tc>
          <w:tcPr>
            <w:tcW w:w="992" w:type="dxa"/>
            <w:tcBorders>
              <w:top w:val="nil"/>
              <w:left w:val="nil"/>
              <w:bottom w:val="single" w:sz="4" w:space="0" w:color="auto"/>
              <w:right w:val="single" w:sz="4" w:space="0" w:color="auto"/>
            </w:tcBorders>
            <w:shd w:val="clear" w:color="auto" w:fill="auto"/>
            <w:noWrap/>
            <w:vAlign w:val="center"/>
            <w:hideMark/>
          </w:tcPr>
          <w:p w14:paraId="1EEFD7A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15,2</w:t>
            </w:r>
          </w:p>
        </w:tc>
        <w:tc>
          <w:tcPr>
            <w:tcW w:w="736" w:type="dxa"/>
            <w:tcBorders>
              <w:top w:val="nil"/>
              <w:left w:val="nil"/>
              <w:bottom w:val="single" w:sz="4" w:space="0" w:color="auto"/>
              <w:right w:val="single" w:sz="4" w:space="0" w:color="auto"/>
            </w:tcBorders>
            <w:shd w:val="clear" w:color="auto" w:fill="auto"/>
            <w:noWrap/>
            <w:vAlign w:val="center"/>
            <w:hideMark/>
          </w:tcPr>
          <w:p w14:paraId="7231FEE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12,6</w:t>
            </w:r>
          </w:p>
        </w:tc>
        <w:tc>
          <w:tcPr>
            <w:tcW w:w="815" w:type="dxa"/>
            <w:tcBorders>
              <w:top w:val="nil"/>
              <w:left w:val="nil"/>
              <w:bottom w:val="single" w:sz="4" w:space="0" w:color="auto"/>
              <w:right w:val="single" w:sz="4" w:space="0" w:color="auto"/>
            </w:tcBorders>
            <w:shd w:val="clear" w:color="auto" w:fill="auto"/>
            <w:noWrap/>
            <w:vAlign w:val="center"/>
            <w:hideMark/>
          </w:tcPr>
          <w:p w14:paraId="030CFC2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7,4</w:t>
            </w:r>
          </w:p>
        </w:tc>
        <w:tc>
          <w:tcPr>
            <w:tcW w:w="869" w:type="dxa"/>
            <w:tcBorders>
              <w:top w:val="nil"/>
              <w:left w:val="nil"/>
              <w:bottom w:val="single" w:sz="4" w:space="0" w:color="auto"/>
              <w:right w:val="single" w:sz="4" w:space="0" w:color="auto"/>
            </w:tcBorders>
            <w:shd w:val="clear" w:color="auto" w:fill="auto"/>
            <w:noWrap/>
            <w:vAlign w:val="center"/>
            <w:hideMark/>
          </w:tcPr>
          <w:p w14:paraId="2433016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4,6</w:t>
            </w:r>
          </w:p>
        </w:tc>
        <w:tc>
          <w:tcPr>
            <w:tcW w:w="834" w:type="dxa"/>
            <w:tcBorders>
              <w:top w:val="nil"/>
              <w:left w:val="nil"/>
              <w:bottom w:val="single" w:sz="4" w:space="0" w:color="auto"/>
              <w:right w:val="single" w:sz="4" w:space="0" w:color="auto"/>
            </w:tcBorders>
            <w:shd w:val="clear" w:color="auto" w:fill="auto"/>
            <w:noWrap/>
            <w:vAlign w:val="center"/>
            <w:hideMark/>
          </w:tcPr>
          <w:p w14:paraId="53CA531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0,4</w:t>
            </w:r>
          </w:p>
        </w:tc>
      </w:tr>
      <w:tr w:rsidR="001D223D" w:rsidRPr="001D223D" w14:paraId="41BEECB7"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1C238AC1"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Kulturní, zábavní a rekreační činnosti</w:t>
            </w:r>
          </w:p>
        </w:tc>
        <w:tc>
          <w:tcPr>
            <w:tcW w:w="1135" w:type="dxa"/>
            <w:tcBorders>
              <w:top w:val="nil"/>
              <w:left w:val="nil"/>
              <w:bottom w:val="single" w:sz="4" w:space="0" w:color="auto"/>
              <w:right w:val="single" w:sz="4" w:space="0" w:color="auto"/>
            </w:tcBorders>
            <w:shd w:val="clear" w:color="auto" w:fill="auto"/>
            <w:noWrap/>
            <w:vAlign w:val="center"/>
            <w:hideMark/>
          </w:tcPr>
          <w:p w14:paraId="1A8ECB1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6,9</w:t>
            </w:r>
          </w:p>
        </w:tc>
        <w:tc>
          <w:tcPr>
            <w:tcW w:w="1134" w:type="dxa"/>
            <w:tcBorders>
              <w:top w:val="nil"/>
              <w:left w:val="nil"/>
              <w:bottom w:val="single" w:sz="4" w:space="0" w:color="auto"/>
              <w:right w:val="single" w:sz="4" w:space="0" w:color="auto"/>
            </w:tcBorders>
            <w:shd w:val="clear" w:color="auto" w:fill="auto"/>
            <w:noWrap/>
            <w:vAlign w:val="center"/>
            <w:hideMark/>
          </w:tcPr>
          <w:p w14:paraId="73129F1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21,1</w:t>
            </w:r>
          </w:p>
        </w:tc>
        <w:tc>
          <w:tcPr>
            <w:tcW w:w="851" w:type="dxa"/>
            <w:tcBorders>
              <w:top w:val="nil"/>
              <w:left w:val="nil"/>
              <w:bottom w:val="single" w:sz="4" w:space="0" w:color="auto"/>
              <w:right w:val="single" w:sz="4" w:space="0" w:color="auto"/>
            </w:tcBorders>
            <w:shd w:val="clear" w:color="auto" w:fill="auto"/>
            <w:noWrap/>
            <w:vAlign w:val="center"/>
            <w:hideMark/>
          </w:tcPr>
          <w:p w14:paraId="2C6E8F8C"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41,5</w:t>
            </w:r>
          </w:p>
        </w:tc>
        <w:tc>
          <w:tcPr>
            <w:tcW w:w="992" w:type="dxa"/>
            <w:tcBorders>
              <w:top w:val="nil"/>
              <w:left w:val="nil"/>
              <w:bottom w:val="single" w:sz="4" w:space="0" w:color="auto"/>
              <w:right w:val="single" w:sz="4" w:space="0" w:color="auto"/>
            </w:tcBorders>
            <w:shd w:val="clear" w:color="auto" w:fill="auto"/>
            <w:noWrap/>
            <w:vAlign w:val="center"/>
            <w:hideMark/>
          </w:tcPr>
          <w:p w14:paraId="2885C54D"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24,7</w:t>
            </w:r>
          </w:p>
        </w:tc>
        <w:tc>
          <w:tcPr>
            <w:tcW w:w="736" w:type="dxa"/>
            <w:tcBorders>
              <w:top w:val="nil"/>
              <w:left w:val="nil"/>
              <w:bottom w:val="single" w:sz="4" w:space="0" w:color="auto"/>
              <w:right w:val="single" w:sz="4" w:space="0" w:color="auto"/>
            </w:tcBorders>
            <w:shd w:val="clear" w:color="auto" w:fill="auto"/>
            <w:noWrap/>
            <w:vAlign w:val="center"/>
            <w:hideMark/>
          </w:tcPr>
          <w:p w14:paraId="2EEEF3D7"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6,0</w:t>
            </w:r>
          </w:p>
        </w:tc>
        <w:tc>
          <w:tcPr>
            <w:tcW w:w="815" w:type="dxa"/>
            <w:tcBorders>
              <w:top w:val="nil"/>
              <w:left w:val="nil"/>
              <w:bottom w:val="single" w:sz="4" w:space="0" w:color="auto"/>
              <w:right w:val="single" w:sz="4" w:space="0" w:color="auto"/>
            </w:tcBorders>
            <w:shd w:val="clear" w:color="auto" w:fill="auto"/>
            <w:noWrap/>
            <w:vAlign w:val="center"/>
            <w:hideMark/>
          </w:tcPr>
          <w:p w14:paraId="200D42EB"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19,1</w:t>
            </w:r>
          </w:p>
        </w:tc>
        <w:tc>
          <w:tcPr>
            <w:tcW w:w="869" w:type="dxa"/>
            <w:tcBorders>
              <w:top w:val="nil"/>
              <w:left w:val="nil"/>
              <w:bottom w:val="single" w:sz="4" w:space="0" w:color="auto"/>
              <w:right w:val="single" w:sz="4" w:space="0" w:color="auto"/>
            </w:tcBorders>
            <w:shd w:val="clear" w:color="auto" w:fill="auto"/>
            <w:noWrap/>
            <w:vAlign w:val="center"/>
            <w:hideMark/>
          </w:tcPr>
          <w:p w14:paraId="37CCF39C"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2,9</w:t>
            </w:r>
          </w:p>
        </w:tc>
        <w:tc>
          <w:tcPr>
            <w:tcW w:w="834" w:type="dxa"/>
            <w:tcBorders>
              <w:top w:val="nil"/>
              <w:left w:val="nil"/>
              <w:bottom w:val="single" w:sz="4" w:space="0" w:color="auto"/>
              <w:right w:val="single" w:sz="4" w:space="0" w:color="auto"/>
            </w:tcBorders>
            <w:shd w:val="clear" w:color="auto" w:fill="auto"/>
            <w:noWrap/>
            <w:vAlign w:val="center"/>
            <w:hideMark/>
          </w:tcPr>
          <w:p w14:paraId="4CAA7107"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0,4</w:t>
            </w:r>
          </w:p>
        </w:tc>
      </w:tr>
      <w:tr w:rsidR="001D223D" w:rsidRPr="001D223D" w14:paraId="729A7C3E" w14:textId="77777777" w:rsidTr="00332B32">
        <w:trPr>
          <w:trHeight w:val="345"/>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548BF3C8"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Doprava a skladování</w:t>
            </w:r>
          </w:p>
        </w:tc>
        <w:tc>
          <w:tcPr>
            <w:tcW w:w="1135" w:type="dxa"/>
            <w:tcBorders>
              <w:top w:val="nil"/>
              <w:left w:val="nil"/>
              <w:bottom w:val="single" w:sz="4" w:space="0" w:color="auto"/>
              <w:right w:val="single" w:sz="4" w:space="0" w:color="auto"/>
            </w:tcBorders>
            <w:shd w:val="clear" w:color="auto" w:fill="auto"/>
            <w:noWrap/>
            <w:vAlign w:val="center"/>
            <w:hideMark/>
          </w:tcPr>
          <w:p w14:paraId="18142E8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5,6</w:t>
            </w:r>
          </w:p>
        </w:tc>
        <w:tc>
          <w:tcPr>
            <w:tcW w:w="1134" w:type="dxa"/>
            <w:tcBorders>
              <w:top w:val="nil"/>
              <w:left w:val="nil"/>
              <w:bottom w:val="single" w:sz="4" w:space="0" w:color="auto"/>
              <w:right w:val="single" w:sz="4" w:space="0" w:color="auto"/>
            </w:tcBorders>
            <w:shd w:val="clear" w:color="auto" w:fill="auto"/>
            <w:noWrap/>
            <w:vAlign w:val="center"/>
            <w:hideMark/>
          </w:tcPr>
          <w:p w14:paraId="594AAA77"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36,7</w:t>
            </w:r>
          </w:p>
        </w:tc>
        <w:tc>
          <w:tcPr>
            <w:tcW w:w="851" w:type="dxa"/>
            <w:tcBorders>
              <w:top w:val="nil"/>
              <w:left w:val="nil"/>
              <w:bottom w:val="single" w:sz="4" w:space="0" w:color="auto"/>
              <w:right w:val="single" w:sz="4" w:space="0" w:color="auto"/>
            </w:tcBorders>
            <w:shd w:val="clear" w:color="auto" w:fill="auto"/>
            <w:noWrap/>
            <w:vAlign w:val="center"/>
            <w:hideMark/>
          </w:tcPr>
          <w:p w14:paraId="207A8FD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29,5</w:t>
            </w:r>
          </w:p>
        </w:tc>
        <w:tc>
          <w:tcPr>
            <w:tcW w:w="992" w:type="dxa"/>
            <w:tcBorders>
              <w:top w:val="nil"/>
              <w:left w:val="nil"/>
              <w:bottom w:val="single" w:sz="4" w:space="0" w:color="auto"/>
              <w:right w:val="single" w:sz="4" w:space="0" w:color="auto"/>
            </w:tcBorders>
            <w:shd w:val="clear" w:color="auto" w:fill="auto"/>
            <w:noWrap/>
            <w:vAlign w:val="center"/>
            <w:hideMark/>
          </w:tcPr>
          <w:p w14:paraId="18EDFC10"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16,0</w:t>
            </w:r>
          </w:p>
        </w:tc>
        <w:tc>
          <w:tcPr>
            <w:tcW w:w="736" w:type="dxa"/>
            <w:tcBorders>
              <w:top w:val="nil"/>
              <w:left w:val="nil"/>
              <w:bottom w:val="single" w:sz="4" w:space="0" w:color="auto"/>
              <w:right w:val="single" w:sz="4" w:space="0" w:color="auto"/>
            </w:tcBorders>
            <w:shd w:val="clear" w:color="auto" w:fill="auto"/>
            <w:noWrap/>
            <w:vAlign w:val="center"/>
            <w:hideMark/>
          </w:tcPr>
          <w:p w14:paraId="7CEB9F11"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18,9</w:t>
            </w:r>
          </w:p>
        </w:tc>
        <w:tc>
          <w:tcPr>
            <w:tcW w:w="815" w:type="dxa"/>
            <w:tcBorders>
              <w:top w:val="nil"/>
              <w:left w:val="nil"/>
              <w:bottom w:val="single" w:sz="4" w:space="0" w:color="auto"/>
              <w:right w:val="single" w:sz="4" w:space="0" w:color="auto"/>
            </w:tcBorders>
            <w:shd w:val="clear" w:color="auto" w:fill="auto"/>
            <w:noWrap/>
            <w:vAlign w:val="center"/>
            <w:hideMark/>
          </w:tcPr>
          <w:p w14:paraId="76424449"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10,8</w:t>
            </w:r>
          </w:p>
        </w:tc>
        <w:tc>
          <w:tcPr>
            <w:tcW w:w="869" w:type="dxa"/>
            <w:tcBorders>
              <w:top w:val="nil"/>
              <w:left w:val="nil"/>
              <w:bottom w:val="single" w:sz="4" w:space="0" w:color="auto"/>
              <w:right w:val="single" w:sz="4" w:space="0" w:color="auto"/>
            </w:tcBorders>
            <w:shd w:val="clear" w:color="auto" w:fill="auto"/>
            <w:noWrap/>
            <w:vAlign w:val="center"/>
            <w:hideMark/>
          </w:tcPr>
          <w:p w14:paraId="6742A120"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C00000"/>
                <w:sz w:val="16"/>
                <w:szCs w:val="16"/>
              </w:rPr>
              <w:t>0,6</w:t>
            </w:r>
          </w:p>
        </w:tc>
        <w:tc>
          <w:tcPr>
            <w:tcW w:w="834" w:type="dxa"/>
            <w:tcBorders>
              <w:top w:val="nil"/>
              <w:left w:val="nil"/>
              <w:bottom w:val="single" w:sz="4" w:space="0" w:color="auto"/>
              <w:right w:val="single" w:sz="4" w:space="0" w:color="auto"/>
            </w:tcBorders>
            <w:shd w:val="clear" w:color="auto" w:fill="auto"/>
            <w:noWrap/>
            <w:vAlign w:val="center"/>
            <w:hideMark/>
          </w:tcPr>
          <w:p w14:paraId="022C252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0,4</w:t>
            </w:r>
          </w:p>
        </w:tc>
      </w:tr>
      <w:tr w:rsidR="001D223D" w:rsidRPr="001D223D" w14:paraId="581E0AAF"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2B9D5B60"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Peněžnictví a pojišťovnictví</w:t>
            </w:r>
          </w:p>
        </w:tc>
        <w:tc>
          <w:tcPr>
            <w:tcW w:w="1135" w:type="dxa"/>
            <w:tcBorders>
              <w:top w:val="nil"/>
              <w:left w:val="nil"/>
              <w:bottom w:val="single" w:sz="4" w:space="0" w:color="auto"/>
              <w:right w:val="single" w:sz="4" w:space="0" w:color="auto"/>
            </w:tcBorders>
            <w:shd w:val="clear" w:color="auto" w:fill="auto"/>
            <w:noWrap/>
            <w:vAlign w:val="center"/>
            <w:hideMark/>
          </w:tcPr>
          <w:p w14:paraId="4EC73E3A"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CAB146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25,7</w:t>
            </w:r>
          </w:p>
        </w:tc>
        <w:tc>
          <w:tcPr>
            <w:tcW w:w="851" w:type="dxa"/>
            <w:tcBorders>
              <w:top w:val="nil"/>
              <w:left w:val="nil"/>
              <w:bottom w:val="single" w:sz="4" w:space="0" w:color="auto"/>
              <w:right w:val="single" w:sz="4" w:space="0" w:color="auto"/>
            </w:tcBorders>
            <w:shd w:val="clear" w:color="auto" w:fill="auto"/>
            <w:noWrap/>
            <w:vAlign w:val="center"/>
            <w:hideMark/>
          </w:tcPr>
          <w:p w14:paraId="5A3BA63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31,3</w:t>
            </w:r>
          </w:p>
        </w:tc>
        <w:tc>
          <w:tcPr>
            <w:tcW w:w="992" w:type="dxa"/>
            <w:tcBorders>
              <w:top w:val="nil"/>
              <w:left w:val="nil"/>
              <w:bottom w:val="single" w:sz="4" w:space="0" w:color="auto"/>
              <w:right w:val="single" w:sz="4" w:space="0" w:color="auto"/>
            </w:tcBorders>
            <w:shd w:val="clear" w:color="auto" w:fill="auto"/>
            <w:noWrap/>
            <w:vAlign w:val="center"/>
            <w:hideMark/>
          </w:tcPr>
          <w:p w14:paraId="3D6549AD"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9,1</w:t>
            </w:r>
          </w:p>
        </w:tc>
        <w:tc>
          <w:tcPr>
            <w:tcW w:w="736" w:type="dxa"/>
            <w:tcBorders>
              <w:top w:val="nil"/>
              <w:left w:val="nil"/>
              <w:bottom w:val="single" w:sz="4" w:space="0" w:color="auto"/>
              <w:right w:val="single" w:sz="4" w:space="0" w:color="auto"/>
            </w:tcBorders>
            <w:shd w:val="clear" w:color="auto" w:fill="auto"/>
            <w:noWrap/>
            <w:vAlign w:val="center"/>
            <w:hideMark/>
          </w:tcPr>
          <w:p w14:paraId="71C851A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19,0</w:t>
            </w:r>
          </w:p>
        </w:tc>
        <w:tc>
          <w:tcPr>
            <w:tcW w:w="815" w:type="dxa"/>
            <w:tcBorders>
              <w:top w:val="nil"/>
              <w:left w:val="nil"/>
              <w:bottom w:val="single" w:sz="4" w:space="0" w:color="auto"/>
              <w:right w:val="single" w:sz="4" w:space="0" w:color="auto"/>
            </w:tcBorders>
            <w:shd w:val="clear" w:color="auto" w:fill="auto"/>
            <w:noWrap/>
            <w:vAlign w:val="center"/>
            <w:hideMark/>
          </w:tcPr>
          <w:p w14:paraId="2CF2664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10,6</w:t>
            </w:r>
          </w:p>
        </w:tc>
        <w:tc>
          <w:tcPr>
            <w:tcW w:w="869" w:type="dxa"/>
            <w:tcBorders>
              <w:top w:val="nil"/>
              <w:left w:val="nil"/>
              <w:bottom w:val="single" w:sz="4" w:space="0" w:color="auto"/>
              <w:right w:val="single" w:sz="4" w:space="0" w:color="auto"/>
            </w:tcBorders>
            <w:shd w:val="clear" w:color="auto" w:fill="auto"/>
            <w:noWrap/>
            <w:vAlign w:val="center"/>
            <w:hideMark/>
          </w:tcPr>
          <w:p w14:paraId="6A4A017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11,5</w:t>
            </w:r>
          </w:p>
        </w:tc>
        <w:tc>
          <w:tcPr>
            <w:tcW w:w="834" w:type="dxa"/>
            <w:tcBorders>
              <w:top w:val="nil"/>
              <w:left w:val="nil"/>
              <w:bottom w:val="single" w:sz="4" w:space="0" w:color="auto"/>
              <w:right w:val="single" w:sz="4" w:space="0" w:color="auto"/>
            </w:tcBorders>
            <w:shd w:val="clear" w:color="auto" w:fill="auto"/>
            <w:noWrap/>
            <w:vAlign w:val="center"/>
            <w:hideMark/>
          </w:tcPr>
          <w:p w14:paraId="34270600"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6,9</w:t>
            </w:r>
          </w:p>
        </w:tc>
      </w:tr>
      <w:tr w:rsidR="001D223D" w:rsidRPr="004D4307" w14:paraId="2CACCD41"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138CCFDE"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Stavebnictví</w:t>
            </w:r>
          </w:p>
        </w:tc>
        <w:tc>
          <w:tcPr>
            <w:tcW w:w="1135" w:type="dxa"/>
            <w:tcBorders>
              <w:top w:val="nil"/>
              <w:left w:val="nil"/>
              <w:bottom w:val="single" w:sz="4" w:space="0" w:color="auto"/>
              <w:right w:val="single" w:sz="4" w:space="0" w:color="auto"/>
            </w:tcBorders>
            <w:shd w:val="clear" w:color="auto" w:fill="auto"/>
            <w:noWrap/>
            <w:vAlign w:val="center"/>
            <w:hideMark/>
          </w:tcPr>
          <w:p w14:paraId="1C0F2788"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14:paraId="0C6C4282" w14:textId="77777777" w:rsidR="001D223D" w:rsidRPr="005244A3" w:rsidRDefault="001D223D" w:rsidP="001D223D">
            <w:pPr>
              <w:spacing w:after="0" w:line="240" w:lineRule="auto"/>
              <w:jc w:val="right"/>
              <w:rPr>
                <w:rFonts w:cs="Arial"/>
                <w:b/>
                <w:color w:val="000000"/>
                <w:sz w:val="16"/>
                <w:szCs w:val="16"/>
              </w:rPr>
            </w:pPr>
            <w:r w:rsidRPr="005244A3">
              <w:rPr>
                <w:rFonts w:cs="Arial"/>
                <w:b/>
                <w:color w:val="00B050"/>
                <w:sz w:val="16"/>
                <w:szCs w:val="16"/>
              </w:rPr>
              <w:t>35,3</w:t>
            </w:r>
          </w:p>
        </w:tc>
        <w:tc>
          <w:tcPr>
            <w:tcW w:w="851" w:type="dxa"/>
            <w:tcBorders>
              <w:top w:val="nil"/>
              <w:left w:val="nil"/>
              <w:bottom w:val="single" w:sz="4" w:space="0" w:color="auto"/>
              <w:right w:val="single" w:sz="4" w:space="0" w:color="auto"/>
            </w:tcBorders>
            <w:shd w:val="clear" w:color="auto" w:fill="auto"/>
            <w:noWrap/>
            <w:vAlign w:val="center"/>
            <w:hideMark/>
          </w:tcPr>
          <w:p w14:paraId="30402E40"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19,6</w:t>
            </w:r>
          </w:p>
        </w:tc>
        <w:tc>
          <w:tcPr>
            <w:tcW w:w="992" w:type="dxa"/>
            <w:tcBorders>
              <w:top w:val="nil"/>
              <w:left w:val="nil"/>
              <w:bottom w:val="single" w:sz="4" w:space="0" w:color="auto"/>
              <w:right w:val="single" w:sz="4" w:space="0" w:color="auto"/>
            </w:tcBorders>
            <w:shd w:val="clear" w:color="auto" w:fill="auto"/>
            <w:noWrap/>
            <w:vAlign w:val="center"/>
            <w:hideMark/>
          </w:tcPr>
          <w:p w14:paraId="293B097E"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13,3</w:t>
            </w:r>
          </w:p>
        </w:tc>
        <w:tc>
          <w:tcPr>
            <w:tcW w:w="736" w:type="dxa"/>
            <w:tcBorders>
              <w:top w:val="nil"/>
              <w:left w:val="nil"/>
              <w:bottom w:val="single" w:sz="4" w:space="0" w:color="auto"/>
              <w:right w:val="single" w:sz="4" w:space="0" w:color="auto"/>
            </w:tcBorders>
            <w:shd w:val="clear" w:color="auto" w:fill="auto"/>
            <w:noWrap/>
            <w:vAlign w:val="center"/>
            <w:hideMark/>
          </w:tcPr>
          <w:p w14:paraId="58E8021C"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C00000"/>
                <w:sz w:val="16"/>
                <w:szCs w:val="16"/>
              </w:rPr>
              <w:t>3,5</w:t>
            </w:r>
          </w:p>
        </w:tc>
        <w:tc>
          <w:tcPr>
            <w:tcW w:w="815" w:type="dxa"/>
            <w:tcBorders>
              <w:top w:val="nil"/>
              <w:left w:val="nil"/>
              <w:bottom w:val="single" w:sz="4" w:space="0" w:color="auto"/>
              <w:right w:val="single" w:sz="4" w:space="0" w:color="auto"/>
            </w:tcBorders>
            <w:shd w:val="clear" w:color="auto" w:fill="auto"/>
            <w:noWrap/>
            <w:vAlign w:val="center"/>
            <w:hideMark/>
          </w:tcPr>
          <w:p w14:paraId="57A5D61F"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7,8</w:t>
            </w:r>
          </w:p>
        </w:tc>
        <w:tc>
          <w:tcPr>
            <w:tcW w:w="869" w:type="dxa"/>
            <w:tcBorders>
              <w:top w:val="nil"/>
              <w:left w:val="nil"/>
              <w:bottom w:val="single" w:sz="4" w:space="0" w:color="auto"/>
              <w:right w:val="single" w:sz="4" w:space="0" w:color="auto"/>
            </w:tcBorders>
            <w:shd w:val="clear" w:color="auto" w:fill="auto"/>
            <w:noWrap/>
            <w:vAlign w:val="center"/>
            <w:hideMark/>
          </w:tcPr>
          <w:p w14:paraId="101436F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1,7</w:t>
            </w:r>
          </w:p>
        </w:tc>
        <w:tc>
          <w:tcPr>
            <w:tcW w:w="834" w:type="dxa"/>
            <w:tcBorders>
              <w:top w:val="nil"/>
              <w:left w:val="nil"/>
              <w:bottom w:val="single" w:sz="4" w:space="0" w:color="auto"/>
              <w:right w:val="single" w:sz="4" w:space="0" w:color="auto"/>
            </w:tcBorders>
            <w:shd w:val="clear" w:color="auto" w:fill="auto"/>
            <w:noWrap/>
            <w:vAlign w:val="center"/>
            <w:hideMark/>
          </w:tcPr>
          <w:p w14:paraId="728D2AB8"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0,0</w:t>
            </w:r>
          </w:p>
        </w:tc>
      </w:tr>
      <w:tr w:rsidR="001D223D" w:rsidRPr="004D4307" w14:paraId="356534A9"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7C4B0C8D" w14:textId="388AEDD0" w:rsidR="001D223D" w:rsidRPr="001D223D" w:rsidRDefault="00B84CA7" w:rsidP="001D223D">
            <w:pPr>
              <w:spacing w:after="0" w:line="240" w:lineRule="auto"/>
              <w:rPr>
                <w:rFonts w:cs="Arial"/>
                <w:color w:val="000000"/>
                <w:sz w:val="16"/>
                <w:szCs w:val="16"/>
              </w:rPr>
            </w:pPr>
            <w:r w:rsidRPr="00B84CA7">
              <w:rPr>
                <w:rFonts w:cs="Arial"/>
                <w:color w:val="000000"/>
                <w:sz w:val="16"/>
                <w:szCs w:val="16"/>
              </w:rPr>
              <w:t>Obchod; opravy motorových vozidel</w:t>
            </w:r>
          </w:p>
        </w:tc>
        <w:tc>
          <w:tcPr>
            <w:tcW w:w="1135" w:type="dxa"/>
            <w:tcBorders>
              <w:top w:val="nil"/>
              <w:left w:val="nil"/>
              <w:bottom w:val="single" w:sz="4" w:space="0" w:color="auto"/>
              <w:right w:val="single" w:sz="4" w:space="0" w:color="auto"/>
            </w:tcBorders>
            <w:shd w:val="clear" w:color="auto" w:fill="auto"/>
            <w:noWrap/>
            <w:vAlign w:val="center"/>
            <w:hideMark/>
          </w:tcPr>
          <w:p w14:paraId="662D8A89"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8,6</w:t>
            </w:r>
          </w:p>
        </w:tc>
        <w:tc>
          <w:tcPr>
            <w:tcW w:w="1134" w:type="dxa"/>
            <w:tcBorders>
              <w:top w:val="nil"/>
              <w:left w:val="nil"/>
              <w:bottom w:val="single" w:sz="4" w:space="0" w:color="auto"/>
              <w:right w:val="single" w:sz="4" w:space="0" w:color="auto"/>
            </w:tcBorders>
            <w:shd w:val="clear" w:color="auto" w:fill="auto"/>
            <w:noWrap/>
            <w:vAlign w:val="center"/>
            <w:hideMark/>
          </w:tcPr>
          <w:p w14:paraId="7C2899C9"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18,4</w:t>
            </w:r>
          </w:p>
        </w:tc>
        <w:tc>
          <w:tcPr>
            <w:tcW w:w="851" w:type="dxa"/>
            <w:tcBorders>
              <w:top w:val="nil"/>
              <w:left w:val="nil"/>
              <w:bottom w:val="single" w:sz="4" w:space="0" w:color="auto"/>
              <w:right w:val="single" w:sz="4" w:space="0" w:color="auto"/>
            </w:tcBorders>
            <w:shd w:val="clear" w:color="auto" w:fill="auto"/>
            <w:noWrap/>
            <w:vAlign w:val="center"/>
            <w:hideMark/>
          </w:tcPr>
          <w:p w14:paraId="3CA0A310"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00B050"/>
                <w:sz w:val="16"/>
                <w:szCs w:val="16"/>
              </w:rPr>
              <w:t>40,1</w:t>
            </w:r>
          </w:p>
        </w:tc>
        <w:tc>
          <w:tcPr>
            <w:tcW w:w="992" w:type="dxa"/>
            <w:tcBorders>
              <w:top w:val="nil"/>
              <w:left w:val="nil"/>
              <w:bottom w:val="single" w:sz="4" w:space="0" w:color="auto"/>
              <w:right w:val="single" w:sz="4" w:space="0" w:color="auto"/>
            </w:tcBorders>
            <w:shd w:val="clear" w:color="auto" w:fill="auto"/>
            <w:noWrap/>
            <w:vAlign w:val="center"/>
            <w:hideMark/>
          </w:tcPr>
          <w:p w14:paraId="799C7E24"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16,3</w:t>
            </w:r>
          </w:p>
        </w:tc>
        <w:tc>
          <w:tcPr>
            <w:tcW w:w="736" w:type="dxa"/>
            <w:tcBorders>
              <w:top w:val="nil"/>
              <w:left w:val="nil"/>
              <w:bottom w:val="single" w:sz="4" w:space="0" w:color="auto"/>
              <w:right w:val="single" w:sz="4" w:space="0" w:color="auto"/>
            </w:tcBorders>
            <w:shd w:val="clear" w:color="auto" w:fill="auto"/>
            <w:noWrap/>
            <w:vAlign w:val="center"/>
            <w:hideMark/>
          </w:tcPr>
          <w:p w14:paraId="03A02969"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12,6</w:t>
            </w:r>
          </w:p>
        </w:tc>
        <w:tc>
          <w:tcPr>
            <w:tcW w:w="815" w:type="dxa"/>
            <w:tcBorders>
              <w:top w:val="nil"/>
              <w:left w:val="nil"/>
              <w:bottom w:val="single" w:sz="4" w:space="0" w:color="auto"/>
              <w:right w:val="single" w:sz="4" w:space="0" w:color="auto"/>
            </w:tcBorders>
            <w:shd w:val="clear" w:color="auto" w:fill="auto"/>
            <w:noWrap/>
            <w:vAlign w:val="center"/>
            <w:hideMark/>
          </w:tcPr>
          <w:p w14:paraId="32615E3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9,0</w:t>
            </w:r>
          </w:p>
        </w:tc>
        <w:tc>
          <w:tcPr>
            <w:tcW w:w="869" w:type="dxa"/>
            <w:tcBorders>
              <w:top w:val="nil"/>
              <w:left w:val="nil"/>
              <w:bottom w:val="single" w:sz="4" w:space="0" w:color="auto"/>
              <w:right w:val="single" w:sz="4" w:space="0" w:color="auto"/>
            </w:tcBorders>
            <w:shd w:val="clear" w:color="auto" w:fill="auto"/>
            <w:noWrap/>
            <w:vAlign w:val="center"/>
            <w:hideMark/>
          </w:tcPr>
          <w:p w14:paraId="5C6818E1"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2,5</w:t>
            </w:r>
          </w:p>
        </w:tc>
        <w:tc>
          <w:tcPr>
            <w:tcW w:w="834" w:type="dxa"/>
            <w:tcBorders>
              <w:top w:val="nil"/>
              <w:left w:val="nil"/>
              <w:bottom w:val="single" w:sz="4" w:space="0" w:color="auto"/>
              <w:right w:val="single" w:sz="4" w:space="0" w:color="auto"/>
            </w:tcBorders>
            <w:shd w:val="clear" w:color="auto" w:fill="auto"/>
            <w:noWrap/>
            <w:vAlign w:val="center"/>
            <w:hideMark/>
          </w:tcPr>
          <w:p w14:paraId="208F52B9"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0,0</w:t>
            </w:r>
          </w:p>
        </w:tc>
      </w:tr>
      <w:tr w:rsidR="001D223D" w:rsidRPr="004D4307" w14:paraId="46471E88" w14:textId="77777777" w:rsidTr="00332B32">
        <w:trPr>
          <w:trHeight w:val="285"/>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06A20CBE"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Činnosti v oblasti nemovitostí a administrativy</w:t>
            </w:r>
          </w:p>
        </w:tc>
        <w:tc>
          <w:tcPr>
            <w:tcW w:w="1135" w:type="dxa"/>
            <w:tcBorders>
              <w:top w:val="nil"/>
              <w:left w:val="nil"/>
              <w:bottom w:val="single" w:sz="4" w:space="0" w:color="auto"/>
              <w:right w:val="single" w:sz="4" w:space="0" w:color="auto"/>
            </w:tcBorders>
            <w:shd w:val="clear" w:color="auto" w:fill="auto"/>
            <w:noWrap/>
            <w:vAlign w:val="center"/>
            <w:hideMark/>
          </w:tcPr>
          <w:p w14:paraId="11CF843B"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10,1</w:t>
            </w:r>
          </w:p>
        </w:tc>
        <w:tc>
          <w:tcPr>
            <w:tcW w:w="1134" w:type="dxa"/>
            <w:tcBorders>
              <w:top w:val="nil"/>
              <w:left w:val="nil"/>
              <w:bottom w:val="single" w:sz="4" w:space="0" w:color="auto"/>
              <w:right w:val="single" w:sz="4" w:space="0" w:color="auto"/>
            </w:tcBorders>
            <w:shd w:val="clear" w:color="auto" w:fill="auto"/>
            <w:noWrap/>
            <w:vAlign w:val="center"/>
            <w:hideMark/>
          </w:tcPr>
          <w:p w14:paraId="61108F8B"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26,1</w:t>
            </w:r>
          </w:p>
        </w:tc>
        <w:tc>
          <w:tcPr>
            <w:tcW w:w="851" w:type="dxa"/>
            <w:tcBorders>
              <w:top w:val="nil"/>
              <w:left w:val="nil"/>
              <w:bottom w:val="single" w:sz="4" w:space="0" w:color="auto"/>
              <w:right w:val="single" w:sz="4" w:space="0" w:color="auto"/>
            </w:tcBorders>
            <w:shd w:val="clear" w:color="auto" w:fill="auto"/>
            <w:noWrap/>
            <w:vAlign w:val="center"/>
            <w:hideMark/>
          </w:tcPr>
          <w:p w14:paraId="535FA59B"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27,7</w:t>
            </w:r>
          </w:p>
        </w:tc>
        <w:tc>
          <w:tcPr>
            <w:tcW w:w="992" w:type="dxa"/>
            <w:tcBorders>
              <w:top w:val="nil"/>
              <w:left w:val="nil"/>
              <w:bottom w:val="single" w:sz="4" w:space="0" w:color="auto"/>
              <w:right w:val="single" w:sz="4" w:space="0" w:color="auto"/>
            </w:tcBorders>
            <w:shd w:val="clear" w:color="auto" w:fill="auto"/>
            <w:noWrap/>
            <w:vAlign w:val="center"/>
            <w:hideMark/>
          </w:tcPr>
          <w:p w14:paraId="17610A8C"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00B050"/>
                <w:sz w:val="16"/>
                <w:szCs w:val="16"/>
              </w:rPr>
              <w:t>24,1</w:t>
            </w:r>
          </w:p>
        </w:tc>
        <w:tc>
          <w:tcPr>
            <w:tcW w:w="736" w:type="dxa"/>
            <w:tcBorders>
              <w:top w:val="nil"/>
              <w:left w:val="nil"/>
              <w:bottom w:val="single" w:sz="4" w:space="0" w:color="auto"/>
              <w:right w:val="single" w:sz="4" w:space="0" w:color="auto"/>
            </w:tcBorders>
            <w:shd w:val="clear" w:color="auto" w:fill="auto"/>
            <w:noWrap/>
            <w:vAlign w:val="center"/>
            <w:hideMark/>
          </w:tcPr>
          <w:p w14:paraId="00DE4B2B"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8,5</w:t>
            </w:r>
          </w:p>
        </w:tc>
        <w:tc>
          <w:tcPr>
            <w:tcW w:w="815" w:type="dxa"/>
            <w:tcBorders>
              <w:top w:val="nil"/>
              <w:left w:val="nil"/>
              <w:bottom w:val="single" w:sz="4" w:space="0" w:color="auto"/>
              <w:right w:val="single" w:sz="4" w:space="0" w:color="auto"/>
            </w:tcBorders>
            <w:shd w:val="clear" w:color="auto" w:fill="auto"/>
            <w:noWrap/>
            <w:vAlign w:val="center"/>
            <w:hideMark/>
          </w:tcPr>
          <w:p w14:paraId="6AF66DD6"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8,5</w:t>
            </w:r>
          </w:p>
        </w:tc>
        <w:tc>
          <w:tcPr>
            <w:tcW w:w="869" w:type="dxa"/>
            <w:tcBorders>
              <w:top w:val="nil"/>
              <w:left w:val="nil"/>
              <w:bottom w:val="single" w:sz="4" w:space="0" w:color="auto"/>
              <w:right w:val="single" w:sz="4" w:space="0" w:color="auto"/>
            </w:tcBorders>
            <w:shd w:val="clear" w:color="auto" w:fill="auto"/>
            <w:noWrap/>
            <w:vAlign w:val="center"/>
            <w:hideMark/>
          </w:tcPr>
          <w:p w14:paraId="0AE093F2"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2,2</w:t>
            </w:r>
          </w:p>
        </w:tc>
        <w:tc>
          <w:tcPr>
            <w:tcW w:w="834" w:type="dxa"/>
            <w:tcBorders>
              <w:top w:val="nil"/>
              <w:left w:val="nil"/>
              <w:bottom w:val="single" w:sz="4" w:space="0" w:color="auto"/>
              <w:right w:val="single" w:sz="4" w:space="0" w:color="auto"/>
            </w:tcBorders>
            <w:shd w:val="clear" w:color="auto" w:fill="auto"/>
            <w:noWrap/>
            <w:vAlign w:val="center"/>
            <w:hideMark/>
          </w:tcPr>
          <w:p w14:paraId="64986AD3"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0,0</w:t>
            </w:r>
          </w:p>
        </w:tc>
      </w:tr>
      <w:tr w:rsidR="001D223D" w:rsidRPr="00F53CD1" w14:paraId="5B745247" w14:textId="77777777" w:rsidTr="00332B32">
        <w:trPr>
          <w:trHeight w:val="300"/>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316B273E" w14:textId="77777777" w:rsidR="001D223D" w:rsidRPr="001D223D" w:rsidRDefault="001D223D" w:rsidP="001D223D">
            <w:pPr>
              <w:spacing w:after="0" w:line="240" w:lineRule="auto"/>
              <w:rPr>
                <w:rFonts w:cs="Arial"/>
                <w:color w:val="000000"/>
                <w:sz w:val="16"/>
                <w:szCs w:val="16"/>
              </w:rPr>
            </w:pPr>
            <w:r w:rsidRPr="001D223D">
              <w:rPr>
                <w:rFonts w:cs="Arial"/>
                <w:color w:val="000000"/>
                <w:sz w:val="16"/>
                <w:szCs w:val="16"/>
              </w:rPr>
              <w:t>Ubytování, stravování a pohostinství</w:t>
            </w:r>
          </w:p>
        </w:tc>
        <w:tc>
          <w:tcPr>
            <w:tcW w:w="1135" w:type="dxa"/>
            <w:tcBorders>
              <w:top w:val="nil"/>
              <w:left w:val="nil"/>
              <w:bottom w:val="single" w:sz="4" w:space="0" w:color="auto"/>
              <w:right w:val="single" w:sz="4" w:space="0" w:color="auto"/>
            </w:tcBorders>
            <w:shd w:val="clear" w:color="auto" w:fill="auto"/>
            <w:noWrap/>
            <w:vAlign w:val="center"/>
            <w:hideMark/>
          </w:tcPr>
          <w:p w14:paraId="76CD3536" w14:textId="77777777" w:rsidR="001D223D" w:rsidRPr="004D4307" w:rsidRDefault="001D223D" w:rsidP="001D223D">
            <w:pPr>
              <w:spacing w:after="0" w:line="240" w:lineRule="auto"/>
              <w:jc w:val="right"/>
              <w:rPr>
                <w:rFonts w:cs="Arial"/>
                <w:b/>
                <w:color w:val="FF0000"/>
                <w:sz w:val="16"/>
                <w:szCs w:val="16"/>
              </w:rPr>
            </w:pPr>
            <w:r w:rsidRPr="004D4307">
              <w:rPr>
                <w:rFonts w:cs="Arial"/>
                <w:b/>
                <w:color w:val="C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97F4198"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20,3</w:t>
            </w:r>
          </w:p>
        </w:tc>
        <w:tc>
          <w:tcPr>
            <w:tcW w:w="851" w:type="dxa"/>
            <w:tcBorders>
              <w:top w:val="nil"/>
              <w:left w:val="nil"/>
              <w:bottom w:val="single" w:sz="4" w:space="0" w:color="auto"/>
              <w:right w:val="single" w:sz="4" w:space="0" w:color="auto"/>
            </w:tcBorders>
            <w:shd w:val="clear" w:color="auto" w:fill="auto"/>
            <w:noWrap/>
            <w:vAlign w:val="center"/>
            <w:hideMark/>
          </w:tcPr>
          <w:p w14:paraId="62042A20" w14:textId="77777777" w:rsidR="001D223D" w:rsidRPr="004D4307" w:rsidRDefault="001D223D" w:rsidP="001D223D">
            <w:pPr>
              <w:spacing w:after="0" w:line="240" w:lineRule="auto"/>
              <w:jc w:val="right"/>
              <w:rPr>
                <w:rFonts w:cs="Arial"/>
                <w:b/>
                <w:color w:val="000000"/>
                <w:sz w:val="16"/>
                <w:szCs w:val="16"/>
              </w:rPr>
            </w:pPr>
            <w:r w:rsidRPr="004D4307">
              <w:rPr>
                <w:rFonts w:cs="Arial"/>
                <w:b/>
                <w:color w:val="C00000"/>
                <w:sz w:val="16"/>
                <w:szCs w:val="16"/>
              </w:rPr>
              <w:t>17,8</w:t>
            </w:r>
          </w:p>
        </w:tc>
        <w:tc>
          <w:tcPr>
            <w:tcW w:w="992" w:type="dxa"/>
            <w:tcBorders>
              <w:top w:val="nil"/>
              <w:left w:val="nil"/>
              <w:bottom w:val="single" w:sz="4" w:space="0" w:color="auto"/>
              <w:right w:val="single" w:sz="4" w:space="0" w:color="auto"/>
            </w:tcBorders>
            <w:shd w:val="clear" w:color="auto" w:fill="auto"/>
            <w:noWrap/>
            <w:vAlign w:val="center"/>
            <w:hideMark/>
          </w:tcPr>
          <w:p w14:paraId="54D0F985" w14:textId="77777777" w:rsidR="001D223D" w:rsidRPr="001D223D" w:rsidRDefault="001D223D" w:rsidP="001D223D">
            <w:pPr>
              <w:spacing w:after="0" w:line="240" w:lineRule="auto"/>
              <w:jc w:val="right"/>
              <w:rPr>
                <w:rFonts w:cs="Arial"/>
                <w:color w:val="000000"/>
                <w:sz w:val="16"/>
                <w:szCs w:val="16"/>
              </w:rPr>
            </w:pPr>
            <w:r w:rsidRPr="001D223D">
              <w:rPr>
                <w:rFonts w:cs="Arial"/>
                <w:color w:val="000000"/>
                <w:sz w:val="16"/>
                <w:szCs w:val="16"/>
              </w:rPr>
              <w:t>10,9</w:t>
            </w:r>
          </w:p>
        </w:tc>
        <w:tc>
          <w:tcPr>
            <w:tcW w:w="736" w:type="dxa"/>
            <w:tcBorders>
              <w:top w:val="nil"/>
              <w:left w:val="nil"/>
              <w:bottom w:val="single" w:sz="4" w:space="0" w:color="auto"/>
              <w:right w:val="single" w:sz="4" w:space="0" w:color="auto"/>
            </w:tcBorders>
            <w:shd w:val="clear" w:color="auto" w:fill="auto"/>
            <w:noWrap/>
            <w:vAlign w:val="center"/>
            <w:hideMark/>
          </w:tcPr>
          <w:p w14:paraId="700152BB" w14:textId="77777777" w:rsidR="001D223D" w:rsidRPr="002E28E3" w:rsidRDefault="001D223D" w:rsidP="001D223D">
            <w:pPr>
              <w:spacing w:after="0" w:line="240" w:lineRule="auto"/>
              <w:jc w:val="right"/>
              <w:rPr>
                <w:rFonts w:cs="Arial"/>
                <w:b/>
                <w:color w:val="00B050"/>
                <w:sz w:val="16"/>
                <w:szCs w:val="16"/>
              </w:rPr>
            </w:pPr>
            <w:r w:rsidRPr="002E28E3">
              <w:rPr>
                <w:rFonts w:cs="Arial"/>
                <w:b/>
                <w:color w:val="00B050"/>
                <w:sz w:val="16"/>
                <w:szCs w:val="16"/>
              </w:rPr>
              <w:t>26,0</w:t>
            </w:r>
          </w:p>
        </w:tc>
        <w:tc>
          <w:tcPr>
            <w:tcW w:w="815" w:type="dxa"/>
            <w:tcBorders>
              <w:top w:val="nil"/>
              <w:left w:val="nil"/>
              <w:bottom w:val="single" w:sz="4" w:space="0" w:color="auto"/>
              <w:right w:val="single" w:sz="4" w:space="0" w:color="auto"/>
            </w:tcBorders>
            <w:shd w:val="clear" w:color="auto" w:fill="auto"/>
            <w:noWrap/>
            <w:vAlign w:val="center"/>
            <w:hideMark/>
          </w:tcPr>
          <w:p w14:paraId="7DCFD3F4" w14:textId="77777777" w:rsidR="001D223D" w:rsidRPr="004D4307" w:rsidRDefault="001D223D" w:rsidP="001D223D">
            <w:pPr>
              <w:spacing w:after="0" w:line="240" w:lineRule="auto"/>
              <w:jc w:val="right"/>
              <w:rPr>
                <w:rFonts w:cs="Arial"/>
                <w:b/>
                <w:color w:val="FF0000"/>
                <w:sz w:val="16"/>
                <w:szCs w:val="16"/>
              </w:rPr>
            </w:pPr>
            <w:r w:rsidRPr="004D4307">
              <w:rPr>
                <w:rFonts w:cs="Arial"/>
                <w:b/>
                <w:color w:val="C00000"/>
                <w:sz w:val="16"/>
                <w:szCs w:val="16"/>
              </w:rPr>
              <w:t>2,7</w:t>
            </w:r>
          </w:p>
        </w:tc>
        <w:tc>
          <w:tcPr>
            <w:tcW w:w="869" w:type="dxa"/>
            <w:tcBorders>
              <w:top w:val="nil"/>
              <w:left w:val="nil"/>
              <w:bottom w:val="single" w:sz="4" w:space="0" w:color="auto"/>
              <w:right w:val="single" w:sz="4" w:space="0" w:color="auto"/>
            </w:tcBorders>
            <w:shd w:val="clear" w:color="auto" w:fill="auto"/>
            <w:noWrap/>
            <w:vAlign w:val="center"/>
            <w:hideMark/>
          </w:tcPr>
          <w:p w14:paraId="290339F1"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0,6</w:t>
            </w:r>
          </w:p>
        </w:tc>
        <w:tc>
          <w:tcPr>
            <w:tcW w:w="834" w:type="dxa"/>
            <w:tcBorders>
              <w:top w:val="nil"/>
              <w:left w:val="nil"/>
              <w:bottom w:val="single" w:sz="4" w:space="0" w:color="auto"/>
              <w:right w:val="single" w:sz="4" w:space="0" w:color="auto"/>
            </w:tcBorders>
            <w:shd w:val="clear" w:color="auto" w:fill="auto"/>
            <w:noWrap/>
            <w:vAlign w:val="center"/>
            <w:hideMark/>
          </w:tcPr>
          <w:p w14:paraId="7BD2A797" w14:textId="77777777" w:rsidR="001D223D" w:rsidRPr="004D4307" w:rsidRDefault="001D223D" w:rsidP="001D223D">
            <w:pPr>
              <w:spacing w:after="0" w:line="240" w:lineRule="auto"/>
              <w:jc w:val="right"/>
              <w:rPr>
                <w:rFonts w:cs="Arial"/>
                <w:b/>
                <w:color w:val="C00000"/>
                <w:sz w:val="16"/>
                <w:szCs w:val="16"/>
              </w:rPr>
            </w:pPr>
            <w:r w:rsidRPr="004D4307">
              <w:rPr>
                <w:rFonts w:cs="Arial"/>
                <w:b/>
                <w:color w:val="C00000"/>
                <w:sz w:val="16"/>
                <w:szCs w:val="16"/>
              </w:rPr>
              <w:t>0,0</w:t>
            </w:r>
          </w:p>
        </w:tc>
      </w:tr>
    </w:tbl>
    <w:p w14:paraId="04E09ACA" w14:textId="5DC5B08C" w:rsidR="00D346C3" w:rsidRPr="00A03F6D" w:rsidRDefault="009C4714" w:rsidP="00A03F6D">
      <w:pPr>
        <w:spacing w:before="120" w:after="120"/>
        <w:jc w:val="right"/>
        <w:rPr>
          <w:szCs w:val="20"/>
        </w:rPr>
      </w:pPr>
      <w:r w:rsidRPr="003D1467">
        <w:rPr>
          <w:szCs w:val="20"/>
        </w:rPr>
        <w:t>Zdroj: ČSÚ</w:t>
      </w:r>
    </w:p>
    <w:p w14:paraId="48164D5E" w14:textId="031EE621" w:rsidR="00353588" w:rsidRDefault="008F70A6" w:rsidP="00D8357D">
      <w:pPr>
        <w:spacing w:after="120"/>
        <w:jc w:val="both"/>
        <w:rPr>
          <w:rFonts w:cs="Arial"/>
          <w:szCs w:val="20"/>
        </w:rPr>
      </w:pPr>
      <w:r>
        <w:rPr>
          <w:rFonts w:cs="Arial"/>
          <w:szCs w:val="20"/>
        </w:rPr>
        <w:t>V tabulce 3.2</w:t>
      </w:r>
      <w:r w:rsidR="00F7589A">
        <w:rPr>
          <w:rFonts w:cs="Arial"/>
          <w:szCs w:val="20"/>
        </w:rPr>
        <w:t>b</w:t>
      </w:r>
      <w:r>
        <w:rPr>
          <w:rFonts w:cs="Arial"/>
          <w:szCs w:val="20"/>
        </w:rPr>
        <w:t xml:space="preserve"> jsou také odpovědi podniků v členění dle </w:t>
      </w:r>
      <w:r w:rsidR="00744640">
        <w:rPr>
          <w:rFonts w:cs="Arial"/>
          <w:szCs w:val="20"/>
        </w:rPr>
        <w:t xml:space="preserve">převažující ekonomické činnosti. </w:t>
      </w:r>
      <w:r>
        <w:rPr>
          <w:rFonts w:cs="Arial"/>
          <w:szCs w:val="20"/>
        </w:rPr>
        <w:t>Jednotlivá odvětví jsou seřazena dle toho, nakolik podniky, které do nich náleží, považují celkově všechny uvedené dovednosti v tabulce za zásadní pro svůj budoucí rozvoj.</w:t>
      </w:r>
      <w:r w:rsidR="00F53CD1">
        <w:rPr>
          <w:rFonts w:cs="Arial"/>
          <w:szCs w:val="20"/>
        </w:rPr>
        <w:t xml:space="preserve"> Největší </w:t>
      </w:r>
      <w:r w:rsidR="00F53CD1" w:rsidRPr="00221E83">
        <w:rPr>
          <w:rFonts w:cs="Arial"/>
          <w:b/>
          <w:szCs w:val="20"/>
        </w:rPr>
        <w:t xml:space="preserve">důraz na dovednosti </w:t>
      </w:r>
      <w:r w:rsidR="00F7589A" w:rsidRPr="00221E83">
        <w:rPr>
          <w:rFonts w:cs="Arial"/>
          <w:b/>
          <w:szCs w:val="20"/>
        </w:rPr>
        <w:t>z oblasti „hard</w:t>
      </w:r>
      <w:r w:rsidR="00F53CD1" w:rsidRPr="00221E83">
        <w:rPr>
          <w:rFonts w:cs="Arial"/>
          <w:b/>
          <w:szCs w:val="20"/>
        </w:rPr>
        <w:t xml:space="preserve"> skills</w:t>
      </w:r>
      <w:r w:rsidR="00F7589A" w:rsidRPr="00221E83">
        <w:rPr>
          <w:rFonts w:cs="Arial"/>
          <w:b/>
          <w:szCs w:val="20"/>
        </w:rPr>
        <w:t>“</w:t>
      </w:r>
      <w:r w:rsidR="00F53CD1">
        <w:rPr>
          <w:rFonts w:cs="Arial"/>
          <w:szCs w:val="20"/>
        </w:rPr>
        <w:t xml:space="preserve"> byl zaznamenán podniky z </w:t>
      </w:r>
      <w:r w:rsidR="00F53CD1" w:rsidRPr="00C5775C">
        <w:rPr>
          <w:rFonts w:cs="Arial"/>
          <w:szCs w:val="20"/>
        </w:rPr>
        <w:t xml:space="preserve">odvětví </w:t>
      </w:r>
      <w:r w:rsidR="00F53CD1" w:rsidRPr="00221E83">
        <w:rPr>
          <w:rFonts w:cs="Arial"/>
          <w:i/>
          <w:szCs w:val="20"/>
        </w:rPr>
        <w:t>informačních a komunikačních činností</w:t>
      </w:r>
      <w:r w:rsidR="00F53CD1" w:rsidRPr="00C5775C">
        <w:rPr>
          <w:rFonts w:cs="Arial"/>
          <w:szCs w:val="20"/>
        </w:rPr>
        <w:t>, a to</w:t>
      </w:r>
      <w:r w:rsidR="00F53CD1">
        <w:rPr>
          <w:rFonts w:cs="Arial"/>
          <w:szCs w:val="20"/>
        </w:rPr>
        <w:t xml:space="preserve"> zejména díky tomu, že pro tři pětiny z nich</w:t>
      </w:r>
      <w:r w:rsidR="009D39B2">
        <w:rPr>
          <w:rFonts w:cs="Arial"/>
          <w:szCs w:val="20"/>
        </w:rPr>
        <w:t xml:space="preserve"> byla</w:t>
      </w:r>
      <w:r w:rsidR="002B5BBB">
        <w:rPr>
          <w:rFonts w:cs="Arial"/>
          <w:szCs w:val="20"/>
        </w:rPr>
        <w:t xml:space="preserve"> pro jejich budoucí rozvoj </w:t>
      </w:r>
      <w:r w:rsidR="00900FAC">
        <w:rPr>
          <w:rFonts w:cs="Arial"/>
          <w:szCs w:val="20"/>
        </w:rPr>
        <w:t>stěžejní</w:t>
      </w:r>
      <w:r w:rsidR="00F53CD1">
        <w:rPr>
          <w:rFonts w:cs="Arial"/>
          <w:szCs w:val="20"/>
        </w:rPr>
        <w:t xml:space="preserve"> schopnost </w:t>
      </w:r>
      <w:r w:rsidR="00F53CD1" w:rsidRPr="00221E83">
        <w:rPr>
          <w:rFonts w:cs="Arial"/>
          <w:b/>
          <w:i/>
          <w:szCs w:val="20"/>
        </w:rPr>
        <w:t>odborné práce s informačními technologiemi</w:t>
      </w:r>
      <w:r w:rsidR="00F53CD1">
        <w:rPr>
          <w:rFonts w:cs="Arial"/>
          <w:szCs w:val="20"/>
        </w:rPr>
        <w:t xml:space="preserve">. Také zaznamenaly druhý nejvyšší podíl odpovědí, že je pro budoucí rozvoj podniku důležitá </w:t>
      </w:r>
      <w:r w:rsidR="00F53CD1" w:rsidRPr="00221E83">
        <w:rPr>
          <w:rFonts w:cs="Arial"/>
          <w:b/>
          <w:i/>
          <w:szCs w:val="20"/>
        </w:rPr>
        <w:lastRenderedPageBreak/>
        <w:t>znalost cizích jazyků</w:t>
      </w:r>
      <w:r w:rsidR="00221E83">
        <w:rPr>
          <w:rFonts w:cs="Arial"/>
          <w:b/>
          <w:i/>
          <w:szCs w:val="20"/>
        </w:rPr>
        <w:t xml:space="preserve"> </w:t>
      </w:r>
      <w:r w:rsidR="009D2E6F">
        <w:rPr>
          <w:rFonts w:cs="Arial"/>
          <w:szCs w:val="20"/>
        </w:rPr>
        <w:t>(19</w:t>
      </w:r>
      <w:r w:rsidR="00F53CD1">
        <w:rPr>
          <w:rFonts w:cs="Arial"/>
          <w:szCs w:val="20"/>
        </w:rPr>
        <w:t> %)</w:t>
      </w:r>
      <w:r w:rsidR="002F6628">
        <w:rPr>
          <w:rFonts w:cs="Arial"/>
          <w:szCs w:val="20"/>
        </w:rPr>
        <w:t>. Vyšší podíl této odpovědi</w:t>
      </w:r>
      <w:r w:rsidR="00F53CD1">
        <w:rPr>
          <w:rFonts w:cs="Arial"/>
          <w:szCs w:val="20"/>
        </w:rPr>
        <w:t xml:space="preserve"> uvedly jen podniky z oblasti </w:t>
      </w:r>
      <w:r w:rsidR="00F53CD1" w:rsidRPr="00221E83">
        <w:rPr>
          <w:rFonts w:cs="Arial"/>
          <w:i/>
          <w:szCs w:val="20"/>
        </w:rPr>
        <w:t>ubytování, stravování a pohostinství</w:t>
      </w:r>
      <w:r w:rsidR="00F53CD1">
        <w:rPr>
          <w:rFonts w:cs="Arial"/>
          <w:szCs w:val="20"/>
        </w:rPr>
        <w:t xml:space="preserve"> (26 %)</w:t>
      </w:r>
      <w:r w:rsidR="00C5775C">
        <w:rPr>
          <w:rFonts w:cs="Arial"/>
          <w:szCs w:val="20"/>
        </w:rPr>
        <w:t xml:space="preserve"> a nejnižší naopak podniky věnující se </w:t>
      </w:r>
      <w:r w:rsidR="00C5775C" w:rsidRPr="00221E83">
        <w:rPr>
          <w:rFonts w:cs="Arial"/>
          <w:i/>
          <w:szCs w:val="20"/>
        </w:rPr>
        <w:t>stavebnictví</w:t>
      </w:r>
      <w:r w:rsidR="009D2E6F">
        <w:rPr>
          <w:rFonts w:cs="Arial"/>
          <w:szCs w:val="20"/>
        </w:rPr>
        <w:t xml:space="preserve"> (4</w:t>
      </w:r>
      <w:r w:rsidR="00C5775C">
        <w:rPr>
          <w:rFonts w:cs="Arial"/>
          <w:szCs w:val="20"/>
        </w:rPr>
        <w:t> %)</w:t>
      </w:r>
      <w:r w:rsidR="00353588">
        <w:rPr>
          <w:rStyle w:val="Znakapoznpodarou"/>
          <w:rFonts w:cs="Arial"/>
          <w:szCs w:val="20"/>
        </w:rPr>
        <w:footnoteReference w:id="8"/>
      </w:r>
      <w:r w:rsidR="00F53CD1">
        <w:rPr>
          <w:rFonts w:cs="Arial"/>
          <w:szCs w:val="20"/>
        </w:rPr>
        <w:t xml:space="preserve">. </w:t>
      </w:r>
    </w:p>
    <w:p w14:paraId="6EB46683" w14:textId="3FF2BF21" w:rsidR="00353588" w:rsidRDefault="00F53CD1" w:rsidP="00D8357D">
      <w:pPr>
        <w:spacing w:after="120"/>
        <w:jc w:val="both"/>
        <w:rPr>
          <w:rFonts w:cs="Arial"/>
          <w:szCs w:val="20"/>
        </w:rPr>
      </w:pPr>
      <w:r>
        <w:rPr>
          <w:rFonts w:cs="Arial"/>
          <w:szCs w:val="20"/>
        </w:rPr>
        <w:t xml:space="preserve">Naopak, mezi podniky z oblasti </w:t>
      </w:r>
      <w:r w:rsidRPr="00221E83">
        <w:rPr>
          <w:rFonts w:cs="Arial"/>
          <w:i/>
          <w:szCs w:val="20"/>
        </w:rPr>
        <w:t>informačních a komunikačních činností</w:t>
      </w:r>
      <w:r>
        <w:rPr>
          <w:rFonts w:cs="Arial"/>
          <w:szCs w:val="20"/>
        </w:rPr>
        <w:t xml:space="preserve"> byl nejmenší podíl těch, které uvedly, že jsou pro budoucí rozvoj důležité </w:t>
      </w:r>
      <w:r w:rsidRPr="00221E83">
        <w:rPr>
          <w:rFonts w:cs="Arial"/>
          <w:b/>
          <w:i/>
          <w:szCs w:val="20"/>
        </w:rPr>
        <w:t xml:space="preserve">jiné specifické dovednosti </w:t>
      </w:r>
      <w:r w:rsidRPr="00C5775C">
        <w:rPr>
          <w:rFonts w:cs="Arial"/>
          <w:szCs w:val="20"/>
        </w:rPr>
        <w:t>související s výkonem konkrétního povolání v podniku než t</w:t>
      </w:r>
      <w:r w:rsidR="001A06B4">
        <w:rPr>
          <w:rFonts w:cs="Arial"/>
          <w:szCs w:val="20"/>
        </w:rPr>
        <w:t>echnické a inženýrské (17</w:t>
      </w:r>
      <w:r w:rsidR="00D761B1">
        <w:rPr>
          <w:rFonts w:cs="Arial"/>
          <w:szCs w:val="20"/>
        </w:rPr>
        <w:t> %),</w:t>
      </w:r>
      <w:r w:rsidRPr="00C5775C">
        <w:rPr>
          <w:rFonts w:cs="Arial"/>
          <w:szCs w:val="20"/>
        </w:rPr>
        <w:t xml:space="preserve"> že je důležitá dovednost </w:t>
      </w:r>
      <w:r w:rsidRPr="00221E83">
        <w:rPr>
          <w:rFonts w:cs="Arial"/>
          <w:b/>
          <w:i/>
          <w:szCs w:val="20"/>
        </w:rPr>
        <w:t>běžné orientace v textu a/nebo v početních operacích</w:t>
      </w:r>
      <w:r w:rsidR="006F150B">
        <w:rPr>
          <w:rFonts w:cs="Arial"/>
          <w:b/>
          <w:i/>
          <w:szCs w:val="20"/>
        </w:rPr>
        <w:t xml:space="preserve"> </w:t>
      </w:r>
      <w:r w:rsidR="001A06B4">
        <w:rPr>
          <w:rFonts w:cs="Arial"/>
          <w:szCs w:val="20"/>
        </w:rPr>
        <w:t>(5</w:t>
      </w:r>
      <w:r w:rsidR="006F150B" w:rsidRPr="006F150B">
        <w:rPr>
          <w:rFonts w:cs="Arial"/>
          <w:szCs w:val="20"/>
        </w:rPr>
        <w:t> %)</w:t>
      </w:r>
      <w:r w:rsidR="00D761B1">
        <w:rPr>
          <w:rFonts w:cs="Arial"/>
          <w:szCs w:val="20"/>
        </w:rPr>
        <w:t xml:space="preserve"> a druhý nejmenší podíl zaznamenaly tyto podniky též v odpovědi, že je pro jejich rozvoj stěžejní dovednost </w:t>
      </w:r>
      <w:r w:rsidR="00D761B1" w:rsidRPr="00D761B1">
        <w:rPr>
          <w:rFonts w:cs="Arial"/>
          <w:b/>
          <w:i/>
          <w:szCs w:val="20"/>
        </w:rPr>
        <w:t>běžného užívání informačních technologií</w:t>
      </w:r>
      <w:r w:rsidR="001A06B4">
        <w:rPr>
          <w:rFonts w:cs="Arial"/>
          <w:szCs w:val="20"/>
        </w:rPr>
        <w:t xml:space="preserve"> (18</w:t>
      </w:r>
      <w:r w:rsidR="00D761B1">
        <w:rPr>
          <w:rFonts w:cs="Arial"/>
          <w:szCs w:val="20"/>
        </w:rPr>
        <w:t> %)</w:t>
      </w:r>
      <w:r>
        <w:rPr>
          <w:rFonts w:cs="Arial"/>
          <w:szCs w:val="20"/>
        </w:rPr>
        <w:t xml:space="preserve">. </w:t>
      </w:r>
      <w:r w:rsidR="00221E83">
        <w:rPr>
          <w:rFonts w:cs="Arial"/>
          <w:szCs w:val="20"/>
        </w:rPr>
        <w:t>Je však možné, že zejména běžná orientace v textu a v početních operacích</w:t>
      </w:r>
      <w:r w:rsidR="00D761B1">
        <w:rPr>
          <w:rFonts w:cs="Arial"/>
          <w:szCs w:val="20"/>
        </w:rPr>
        <w:t xml:space="preserve"> a běžné užívání informačních technologií jsou</w:t>
      </w:r>
      <w:r w:rsidR="00221E83">
        <w:rPr>
          <w:rFonts w:cs="Arial"/>
          <w:szCs w:val="20"/>
        </w:rPr>
        <w:t xml:space="preserve"> již podmínkou pro výkon povolání v</w:t>
      </w:r>
      <w:r>
        <w:rPr>
          <w:rFonts w:cs="Arial"/>
          <w:szCs w:val="20"/>
        </w:rPr>
        <w:t> této oblasti</w:t>
      </w:r>
      <w:r w:rsidR="00221E83">
        <w:rPr>
          <w:rFonts w:cs="Arial"/>
          <w:szCs w:val="20"/>
        </w:rPr>
        <w:t xml:space="preserve"> a není tedy třeba ji věnovat zvláštní pozornost</w:t>
      </w:r>
      <w:r>
        <w:rPr>
          <w:rFonts w:cs="Arial"/>
          <w:szCs w:val="20"/>
        </w:rPr>
        <w:t>.</w:t>
      </w:r>
      <w:r w:rsidR="0073328C">
        <w:rPr>
          <w:rFonts w:cs="Arial"/>
          <w:szCs w:val="20"/>
        </w:rPr>
        <w:t xml:space="preserve"> </w:t>
      </w:r>
    </w:p>
    <w:p w14:paraId="03DFF54B" w14:textId="2D4CB0A0" w:rsidR="00353588" w:rsidRDefault="0073328C" w:rsidP="00D8357D">
      <w:pPr>
        <w:spacing w:after="120"/>
        <w:jc w:val="both"/>
        <w:rPr>
          <w:rFonts w:cs="Arial"/>
          <w:szCs w:val="20"/>
        </w:rPr>
      </w:pPr>
      <w:r>
        <w:rPr>
          <w:rFonts w:cs="Arial"/>
          <w:szCs w:val="20"/>
        </w:rPr>
        <w:t xml:space="preserve">Druhým odvětvím </w:t>
      </w:r>
      <w:r w:rsidR="006F150B">
        <w:rPr>
          <w:rFonts w:cs="Arial"/>
          <w:szCs w:val="20"/>
        </w:rPr>
        <w:t xml:space="preserve">v žebříčku </w:t>
      </w:r>
      <w:r>
        <w:rPr>
          <w:rFonts w:cs="Arial"/>
          <w:szCs w:val="20"/>
        </w:rPr>
        <w:t xml:space="preserve">v tabulce jsou </w:t>
      </w:r>
      <w:r w:rsidRPr="007C1197">
        <w:rPr>
          <w:rFonts w:cs="Arial"/>
          <w:i/>
          <w:szCs w:val="20"/>
        </w:rPr>
        <w:t>profesní, vědecké a technické činnosti</w:t>
      </w:r>
      <w:r>
        <w:rPr>
          <w:rFonts w:cs="Arial"/>
          <w:szCs w:val="20"/>
        </w:rPr>
        <w:t>. Podniky z</w:t>
      </w:r>
      <w:r w:rsidR="00353588">
        <w:rPr>
          <w:rFonts w:cs="Arial"/>
          <w:szCs w:val="20"/>
        </w:rPr>
        <w:t> tohoto odvětví</w:t>
      </w:r>
      <w:r>
        <w:rPr>
          <w:rFonts w:cs="Arial"/>
          <w:szCs w:val="20"/>
        </w:rPr>
        <w:t xml:space="preserve"> nejčastěji ze všech podniků uváděly, že jsou pro </w:t>
      </w:r>
      <w:r w:rsidR="00353588">
        <w:rPr>
          <w:rFonts w:cs="Arial"/>
          <w:szCs w:val="20"/>
        </w:rPr>
        <w:t xml:space="preserve">jejich </w:t>
      </w:r>
      <w:r>
        <w:rPr>
          <w:rFonts w:cs="Arial"/>
          <w:szCs w:val="20"/>
        </w:rPr>
        <w:t>budoucí rozvoj důležité</w:t>
      </w:r>
      <w:r w:rsidRPr="0073328C">
        <w:t xml:space="preserve"> </w:t>
      </w:r>
      <w:r w:rsidRPr="007C1197">
        <w:rPr>
          <w:rFonts w:cs="Arial"/>
          <w:b/>
          <w:i/>
          <w:szCs w:val="20"/>
        </w:rPr>
        <w:t>specifické</w:t>
      </w:r>
      <w:r>
        <w:rPr>
          <w:rFonts w:cs="Arial"/>
          <w:szCs w:val="20"/>
        </w:rPr>
        <w:t xml:space="preserve"> </w:t>
      </w:r>
      <w:r w:rsidRPr="00C5775C">
        <w:rPr>
          <w:rFonts w:cs="Arial"/>
          <w:b/>
          <w:szCs w:val="20"/>
        </w:rPr>
        <w:t xml:space="preserve">technické a inženýrské dovednosti </w:t>
      </w:r>
      <w:r w:rsidR="007C1197">
        <w:rPr>
          <w:rFonts w:cs="Arial"/>
          <w:szCs w:val="20"/>
        </w:rPr>
        <w:t>související</w:t>
      </w:r>
      <w:r w:rsidR="005E1184">
        <w:rPr>
          <w:rFonts w:cs="Arial"/>
          <w:szCs w:val="20"/>
        </w:rPr>
        <w:t xml:space="preserve"> s výkonem konkrétního povolání</w:t>
      </w:r>
      <w:r w:rsidRPr="007C1197">
        <w:rPr>
          <w:rFonts w:cs="Arial"/>
          <w:szCs w:val="20"/>
        </w:rPr>
        <w:t xml:space="preserve"> v podniku</w:t>
      </w:r>
      <w:r w:rsidR="001A06B4">
        <w:rPr>
          <w:rFonts w:cs="Arial"/>
          <w:szCs w:val="20"/>
        </w:rPr>
        <w:t xml:space="preserve"> (36</w:t>
      </w:r>
      <w:r>
        <w:rPr>
          <w:rFonts w:cs="Arial"/>
          <w:szCs w:val="20"/>
        </w:rPr>
        <w:t> %</w:t>
      </w:r>
      <w:r w:rsidR="00C5775C">
        <w:rPr>
          <w:rFonts w:cs="Arial"/>
          <w:szCs w:val="20"/>
        </w:rPr>
        <w:t>)</w:t>
      </w:r>
      <w:r>
        <w:rPr>
          <w:rFonts w:cs="Arial"/>
          <w:szCs w:val="20"/>
        </w:rPr>
        <w:t>. Zhruba třetinový podíl</w:t>
      </w:r>
      <w:r w:rsidR="007C1197">
        <w:rPr>
          <w:rFonts w:cs="Arial"/>
          <w:szCs w:val="20"/>
        </w:rPr>
        <w:t xml:space="preserve"> takových podniků byl však </w:t>
      </w:r>
      <w:r>
        <w:rPr>
          <w:rFonts w:cs="Arial"/>
          <w:szCs w:val="20"/>
        </w:rPr>
        <w:t xml:space="preserve">zaznamenán </w:t>
      </w:r>
      <w:r w:rsidR="007C1197">
        <w:rPr>
          <w:rFonts w:cs="Arial"/>
          <w:szCs w:val="20"/>
        </w:rPr>
        <w:t xml:space="preserve">také </w:t>
      </w:r>
      <w:r>
        <w:rPr>
          <w:rFonts w:cs="Arial"/>
          <w:szCs w:val="20"/>
        </w:rPr>
        <w:t xml:space="preserve">v oblasti </w:t>
      </w:r>
      <w:r w:rsidRPr="007C1197">
        <w:rPr>
          <w:rFonts w:cs="Arial"/>
          <w:i/>
          <w:szCs w:val="20"/>
        </w:rPr>
        <w:t>průmyslu</w:t>
      </w:r>
      <w:r w:rsidR="001A06B4">
        <w:rPr>
          <w:rFonts w:cs="Arial"/>
          <w:szCs w:val="20"/>
        </w:rPr>
        <w:t xml:space="preserve"> (33</w:t>
      </w:r>
      <w:r>
        <w:rPr>
          <w:rFonts w:cs="Arial"/>
          <w:szCs w:val="20"/>
        </w:rPr>
        <w:t xml:space="preserve"> %) a </w:t>
      </w:r>
      <w:r w:rsidRPr="007C1197">
        <w:rPr>
          <w:rFonts w:cs="Arial"/>
          <w:i/>
          <w:szCs w:val="20"/>
        </w:rPr>
        <w:t>stavebnictví</w:t>
      </w:r>
      <w:r w:rsidR="001A06B4">
        <w:rPr>
          <w:rFonts w:cs="Arial"/>
          <w:szCs w:val="20"/>
        </w:rPr>
        <w:t xml:space="preserve"> (32</w:t>
      </w:r>
      <w:r w:rsidR="00353588">
        <w:rPr>
          <w:rFonts w:cs="Arial"/>
          <w:szCs w:val="20"/>
        </w:rPr>
        <w:t> %). Mezi podniky z </w:t>
      </w:r>
      <w:r w:rsidR="005E1184">
        <w:rPr>
          <w:rFonts w:cs="Arial"/>
          <w:szCs w:val="20"/>
        </w:rPr>
        <w:t>ostatních odvětví již dosáhl</w:t>
      </w:r>
      <w:r>
        <w:rPr>
          <w:rFonts w:cs="Arial"/>
          <w:szCs w:val="20"/>
        </w:rPr>
        <w:t xml:space="preserve"> podíl této odpovědi jen 15 % a méně. </w:t>
      </w:r>
      <w:r w:rsidRPr="007C1197">
        <w:rPr>
          <w:rFonts w:cs="Arial"/>
          <w:b/>
          <w:i/>
          <w:szCs w:val="20"/>
        </w:rPr>
        <w:t>Jiné specifické dovednosti</w:t>
      </w:r>
      <w:r>
        <w:rPr>
          <w:rFonts w:cs="Arial"/>
          <w:szCs w:val="20"/>
        </w:rPr>
        <w:t xml:space="preserve"> související s výkonem konkrétního </w:t>
      </w:r>
      <w:r w:rsidR="001A06B4">
        <w:rPr>
          <w:rFonts w:cs="Arial"/>
          <w:szCs w:val="20"/>
        </w:rPr>
        <w:t>povolání uvedlo jako klíčové 3</w:t>
      </w:r>
      <w:r>
        <w:rPr>
          <w:rFonts w:cs="Arial"/>
          <w:szCs w:val="20"/>
        </w:rPr>
        <w:t xml:space="preserve">7 % podniků z oblasti </w:t>
      </w:r>
      <w:r w:rsidRPr="007C1197">
        <w:rPr>
          <w:rFonts w:cs="Arial"/>
          <w:i/>
          <w:szCs w:val="20"/>
        </w:rPr>
        <w:t>doprava a skladování</w:t>
      </w:r>
      <w:r>
        <w:rPr>
          <w:rFonts w:cs="Arial"/>
          <w:szCs w:val="20"/>
        </w:rPr>
        <w:t>, podobného podílu (druhého nejvyššího</w:t>
      </w:r>
      <w:r w:rsidR="00C5775C">
        <w:rPr>
          <w:rFonts w:cs="Arial"/>
          <w:szCs w:val="20"/>
        </w:rPr>
        <w:t>)</w:t>
      </w:r>
      <w:r>
        <w:rPr>
          <w:rFonts w:cs="Arial"/>
          <w:szCs w:val="20"/>
        </w:rPr>
        <w:t xml:space="preserve"> dosáhly podniky z oblasti </w:t>
      </w:r>
      <w:r w:rsidRPr="007C1197">
        <w:rPr>
          <w:rFonts w:cs="Arial"/>
          <w:i/>
          <w:szCs w:val="20"/>
        </w:rPr>
        <w:t>stavebnictví</w:t>
      </w:r>
      <w:r>
        <w:rPr>
          <w:rFonts w:cs="Arial"/>
          <w:szCs w:val="20"/>
        </w:rPr>
        <w:t xml:space="preserve"> (3</w:t>
      </w:r>
      <w:r w:rsidR="001A06B4">
        <w:rPr>
          <w:rFonts w:cs="Arial"/>
          <w:szCs w:val="20"/>
        </w:rPr>
        <w:t>5</w:t>
      </w:r>
      <w:r>
        <w:rPr>
          <w:rFonts w:cs="Arial"/>
          <w:szCs w:val="20"/>
        </w:rPr>
        <w:t xml:space="preserve"> %). </w:t>
      </w:r>
    </w:p>
    <w:p w14:paraId="52428B76" w14:textId="07FAA493" w:rsidR="00353588" w:rsidRDefault="0073328C" w:rsidP="00D8357D">
      <w:pPr>
        <w:spacing w:after="120"/>
        <w:jc w:val="both"/>
        <w:rPr>
          <w:rFonts w:cs="Arial"/>
          <w:szCs w:val="20"/>
        </w:rPr>
      </w:pPr>
      <w:r>
        <w:rPr>
          <w:rFonts w:cs="Arial"/>
          <w:szCs w:val="20"/>
        </w:rPr>
        <w:t xml:space="preserve">Mezi podniky z oblasti </w:t>
      </w:r>
      <w:r w:rsidRPr="007C1197">
        <w:rPr>
          <w:rFonts w:cs="Arial"/>
          <w:i/>
          <w:szCs w:val="20"/>
        </w:rPr>
        <w:t>kulturní, zábavní a rekreační činnosti</w:t>
      </w:r>
      <w:r>
        <w:rPr>
          <w:rFonts w:cs="Arial"/>
          <w:szCs w:val="20"/>
        </w:rPr>
        <w:t xml:space="preserve"> byl nejvyšší podíl těch, které</w:t>
      </w:r>
      <w:r w:rsidR="00353588">
        <w:rPr>
          <w:rFonts w:cs="Arial"/>
          <w:szCs w:val="20"/>
        </w:rPr>
        <w:t xml:space="preserve"> považovaly za</w:t>
      </w:r>
      <w:r>
        <w:rPr>
          <w:rFonts w:cs="Arial"/>
          <w:szCs w:val="20"/>
        </w:rPr>
        <w:t xml:space="preserve"> klíčové pro svůj další rozvoj </w:t>
      </w:r>
      <w:r w:rsidRPr="007C1197">
        <w:rPr>
          <w:rFonts w:cs="Arial"/>
          <w:b/>
          <w:i/>
          <w:szCs w:val="20"/>
        </w:rPr>
        <w:t>běžné užívání informačních technologií</w:t>
      </w:r>
      <w:r w:rsidR="001A06B4">
        <w:rPr>
          <w:rFonts w:cs="Arial"/>
          <w:szCs w:val="20"/>
        </w:rPr>
        <w:t xml:space="preserve"> (42</w:t>
      </w:r>
      <w:r>
        <w:rPr>
          <w:rFonts w:cs="Arial"/>
          <w:szCs w:val="20"/>
        </w:rPr>
        <w:t xml:space="preserve"> %), </w:t>
      </w:r>
      <w:r w:rsidRPr="007C1197">
        <w:rPr>
          <w:rFonts w:cs="Arial"/>
          <w:b/>
          <w:i/>
          <w:szCs w:val="20"/>
        </w:rPr>
        <w:t>běžnou orientaci v textu a/nebo v početních operacích</w:t>
      </w:r>
      <w:r w:rsidR="001A06B4">
        <w:rPr>
          <w:rFonts w:cs="Arial"/>
          <w:szCs w:val="20"/>
        </w:rPr>
        <w:t xml:space="preserve"> (25</w:t>
      </w:r>
      <w:r>
        <w:rPr>
          <w:rFonts w:cs="Arial"/>
          <w:szCs w:val="20"/>
        </w:rPr>
        <w:t xml:space="preserve"> %) a </w:t>
      </w:r>
      <w:r w:rsidRPr="007C1197">
        <w:rPr>
          <w:rFonts w:cs="Arial"/>
          <w:b/>
          <w:i/>
          <w:szCs w:val="20"/>
        </w:rPr>
        <w:t>vedení administrativy</w:t>
      </w:r>
      <w:r w:rsidR="001A06B4">
        <w:rPr>
          <w:rFonts w:cs="Arial"/>
          <w:szCs w:val="20"/>
        </w:rPr>
        <w:t xml:space="preserve"> (19</w:t>
      </w:r>
      <w:r>
        <w:rPr>
          <w:rFonts w:cs="Arial"/>
          <w:szCs w:val="20"/>
        </w:rPr>
        <w:t xml:space="preserve"> %). V míře uvedení </w:t>
      </w:r>
      <w:r w:rsidR="00353588">
        <w:rPr>
          <w:rFonts w:cs="Arial"/>
          <w:szCs w:val="20"/>
        </w:rPr>
        <w:t xml:space="preserve">dovednosti </w:t>
      </w:r>
      <w:r w:rsidRPr="0073328C">
        <w:rPr>
          <w:rFonts w:cs="Arial"/>
          <w:szCs w:val="20"/>
        </w:rPr>
        <w:t>běžné</w:t>
      </w:r>
      <w:r>
        <w:rPr>
          <w:rFonts w:cs="Arial"/>
          <w:szCs w:val="20"/>
        </w:rPr>
        <w:t>ho</w:t>
      </w:r>
      <w:r w:rsidRPr="0073328C">
        <w:rPr>
          <w:rFonts w:cs="Arial"/>
          <w:szCs w:val="20"/>
        </w:rPr>
        <w:t xml:space="preserve"> užívání informačních technologií</w:t>
      </w:r>
      <w:r>
        <w:rPr>
          <w:rFonts w:cs="Arial"/>
          <w:szCs w:val="20"/>
        </w:rPr>
        <w:t xml:space="preserve"> jakožto klíčové pro rozvoj v nejbližších letech však dosáhl</w:t>
      </w:r>
      <w:r w:rsidR="00C5775C">
        <w:rPr>
          <w:rFonts w:cs="Arial"/>
          <w:szCs w:val="20"/>
        </w:rPr>
        <w:t>o</w:t>
      </w:r>
      <w:r>
        <w:rPr>
          <w:rFonts w:cs="Arial"/>
          <w:szCs w:val="20"/>
        </w:rPr>
        <w:t xml:space="preserve"> téměř totožného výsledku odvětví </w:t>
      </w:r>
      <w:r w:rsidRPr="00B82855">
        <w:rPr>
          <w:rFonts w:cs="Arial"/>
          <w:i/>
          <w:szCs w:val="20"/>
        </w:rPr>
        <w:t>velkoobchodu, maloobchodu a oprav vozidel</w:t>
      </w:r>
      <w:r w:rsidR="001A06B4">
        <w:rPr>
          <w:rFonts w:cs="Arial"/>
          <w:szCs w:val="20"/>
        </w:rPr>
        <w:t xml:space="preserve"> (40</w:t>
      </w:r>
      <w:r>
        <w:rPr>
          <w:rFonts w:cs="Arial"/>
          <w:szCs w:val="20"/>
        </w:rPr>
        <w:t xml:space="preserve"> %). </w:t>
      </w:r>
    </w:p>
    <w:p w14:paraId="2130F4D3" w14:textId="70B15604" w:rsidR="008F70A6" w:rsidRPr="00353588" w:rsidRDefault="00C5775C" w:rsidP="00D8357D">
      <w:pPr>
        <w:spacing w:after="120"/>
        <w:jc w:val="both"/>
        <w:rPr>
          <w:rFonts w:cs="Arial"/>
          <w:szCs w:val="20"/>
        </w:rPr>
      </w:pPr>
      <w:r>
        <w:rPr>
          <w:rFonts w:cs="Arial"/>
          <w:szCs w:val="20"/>
        </w:rPr>
        <w:t xml:space="preserve">Pokud se jedná o </w:t>
      </w:r>
      <w:r w:rsidRPr="00B82855">
        <w:rPr>
          <w:rFonts w:cs="Arial"/>
          <w:b/>
          <w:i/>
          <w:szCs w:val="20"/>
        </w:rPr>
        <w:t>odborné dovednosti z oblasti matematiky a statistiky</w:t>
      </w:r>
      <w:r w:rsidR="00353588">
        <w:rPr>
          <w:rFonts w:cs="Arial"/>
          <w:szCs w:val="20"/>
        </w:rPr>
        <w:t>, považovalo</w:t>
      </w:r>
      <w:r>
        <w:rPr>
          <w:rFonts w:cs="Arial"/>
          <w:szCs w:val="20"/>
        </w:rPr>
        <w:t xml:space="preserve"> j</w:t>
      </w:r>
      <w:r w:rsidR="001A06B4">
        <w:rPr>
          <w:rFonts w:cs="Arial"/>
          <w:szCs w:val="20"/>
        </w:rPr>
        <w:t>e za klíčové pro svůj rozvoj 7</w:t>
      </w:r>
      <w:r>
        <w:rPr>
          <w:rFonts w:cs="Arial"/>
          <w:szCs w:val="20"/>
        </w:rPr>
        <w:t xml:space="preserve"> % podniků z oblasti </w:t>
      </w:r>
      <w:r w:rsidRPr="00B82855">
        <w:rPr>
          <w:rFonts w:cs="Arial"/>
          <w:i/>
          <w:szCs w:val="20"/>
        </w:rPr>
        <w:t>peněžnictví a pojišťovnictví</w:t>
      </w:r>
      <w:r w:rsidR="001F5135">
        <w:rPr>
          <w:rFonts w:cs="Arial"/>
          <w:szCs w:val="20"/>
        </w:rPr>
        <w:t>,</w:t>
      </w:r>
      <w:r w:rsidR="001A06B4">
        <w:rPr>
          <w:rFonts w:cs="Arial"/>
          <w:szCs w:val="20"/>
        </w:rPr>
        <w:t xml:space="preserve"> 3</w:t>
      </w:r>
      <w:r>
        <w:rPr>
          <w:rFonts w:cs="Arial"/>
          <w:szCs w:val="20"/>
        </w:rPr>
        <w:t xml:space="preserve"> % podniků z oblasti </w:t>
      </w:r>
      <w:r w:rsidRPr="00B82855">
        <w:rPr>
          <w:rFonts w:cs="Arial"/>
          <w:i/>
          <w:szCs w:val="20"/>
        </w:rPr>
        <w:t>informační a komunikační činnosti</w:t>
      </w:r>
      <w:r w:rsidR="001A06B4">
        <w:rPr>
          <w:rFonts w:cs="Arial"/>
          <w:szCs w:val="20"/>
        </w:rPr>
        <w:t xml:space="preserve"> a shodně 3</w:t>
      </w:r>
      <w:r>
        <w:rPr>
          <w:rFonts w:cs="Arial"/>
          <w:szCs w:val="20"/>
        </w:rPr>
        <w:t xml:space="preserve"> % podniků z oblasti </w:t>
      </w:r>
      <w:r w:rsidRPr="00B82855">
        <w:rPr>
          <w:rFonts w:cs="Arial"/>
          <w:i/>
          <w:szCs w:val="20"/>
        </w:rPr>
        <w:t>profesní, vědecké a technické činnosti</w:t>
      </w:r>
      <w:r>
        <w:rPr>
          <w:rFonts w:cs="Arial"/>
          <w:szCs w:val="20"/>
        </w:rPr>
        <w:t xml:space="preserve">. Ostatní odvětví zaznamenala jen 0,4% podíl této odpovědi, nebo nulový. Za zmínku také stojí, že z podniků z oblasti </w:t>
      </w:r>
      <w:r w:rsidRPr="00B82855">
        <w:rPr>
          <w:rFonts w:cs="Arial"/>
          <w:i/>
          <w:szCs w:val="20"/>
        </w:rPr>
        <w:t xml:space="preserve">ubytování, stravování a pohostinství </w:t>
      </w:r>
      <w:r>
        <w:rPr>
          <w:rFonts w:cs="Arial"/>
          <w:szCs w:val="20"/>
        </w:rPr>
        <w:t xml:space="preserve">neuvedl nikdo, nebo jen zanedbatelný počet podniků, že by pro jejich budoucí rozvoj byly důležité </w:t>
      </w:r>
      <w:r w:rsidRPr="007A5E39">
        <w:rPr>
          <w:rFonts w:cs="Arial"/>
          <w:b/>
          <w:i/>
          <w:szCs w:val="20"/>
        </w:rPr>
        <w:t xml:space="preserve">specifické </w:t>
      </w:r>
      <w:r w:rsidR="00B82855" w:rsidRPr="007A5E39">
        <w:rPr>
          <w:rFonts w:cs="Arial"/>
          <w:b/>
          <w:i/>
          <w:szCs w:val="20"/>
        </w:rPr>
        <w:t xml:space="preserve">technické a inženýrské </w:t>
      </w:r>
      <w:r w:rsidRPr="007A5E39">
        <w:rPr>
          <w:rFonts w:cs="Arial"/>
          <w:b/>
          <w:i/>
          <w:szCs w:val="20"/>
        </w:rPr>
        <w:t>dovednosti</w:t>
      </w:r>
      <w:r w:rsidRPr="00C5775C">
        <w:rPr>
          <w:rFonts w:cs="Arial"/>
          <w:szCs w:val="20"/>
        </w:rPr>
        <w:t xml:space="preserve"> související s výkonem konkrétního povolání v</w:t>
      </w:r>
      <w:r>
        <w:rPr>
          <w:rFonts w:cs="Arial"/>
          <w:szCs w:val="20"/>
        </w:rPr>
        <w:t> </w:t>
      </w:r>
      <w:r w:rsidRPr="00C5775C">
        <w:rPr>
          <w:rFonts w:cs="Arial"/>
          <w:szCs w:val="20"/>
        </w:rPr>
        <w:t>podniku</w:t>
      </w:r>
      <w:r>
        <w:rPr>
          <w:rFonts w:cs="Arial"/>
          <w:szCs w:val="20"/>
        </w:rPr>
        <w:t xml:space="preserve"> a </w:t>
      </w:r>
      <w:r w:rsidRPr="00B82855">
        <w:rPr>
          <w:rFonts w:cs="Arial"/>
          <w:b/>
          <w:i/>
          <w:szCs w:val="20"/>
        </w:rPr>
        <w:t>odborné dovednosti z oblasti matematiky a statistiky</w:t>
      </w:r>
      <w:r>
        <w:rPr>
          <w:rFonts w:cs="Arial"/>
          <w:szCs w:val="20"/>
        </w:rPr>
        <w:t xml:space="preserve"> a ze všech odvětví zde byl také nejnižší podíl těch, které pro svůj rozvoj považují za důležitou dovednost </w:t>
      </w:r>
      <w:r w:rsidRPr="00B82855">
        <w:rPr>
          <w:rFonts w:cs="Arial"/>
          <w:b/>
          <w:i/>
          <w:szCs w:val="20"/>
        </w:rPr>
        <w:t>běžného užívání informačních technologií</w:t>
      </w:r>
      <w:r w:rsidR="001A06B4">
        <w:rPr>
          <w:rFonts w:cs="Arial"/>
          <w:szCs w:val="20"/>
        </w:rPr>
        <w:t xml:space="preserve"> (1</w:t>
      </w:r>
      <w:r>
        <w:rPr>
          <w:rFonts w:cs="Arial"/>
          <w:szCs w:val="20"/>
        </w:rPr>
        <w:t xml:space="preserve">8 %), </w:t>
      </w:r>
      <w:r w:rsidRPr="00B82855">
        <w:rPr>
          <w:rFonts w:cs="Arial"/>
          <w:b/>
          <w:i/>
          <w:szCs w:val="20"/>
        </w:rPr>
        <w:t>vedení adminis</w:t>
      </w:r>
      <w:r>
        <w:rPr>
          <w:rFonts w:cs="Arial"/>
          <w:szCs w:val="20"/>
        </w:rPr>
        <w:t>trativy (</w:t>
      </w:r>
      <w:r w:rsidR="001A06B4">
        <w:rPr>
          <w:rFonts w:cs="Arial"/>
          <w:szCs w:val="20"/>
        </w:rPr>
        <w:t>3</w:t>
      </w:r>
      <w:r>
        <w:rPr>
          <w:rFonts w:cs="Arial"/>
          <w:szCs w:val="20"/>
        </w:rPr>
        <w:t xml:space="preserve"> %) a </w:t>
      </w:r>
      <w:r w:rsidRPr="00B82855">
        <w:rPr>
          <w:rFonts w:cs="Arial"/>
          <w:b/>
          <w:i/>
          <w:szCs w:val="20"/>
        </w:rPr>
        <w:t>odbornou práci s informačními technologiemi</w:t>
      </w:r>
      <w:r w:rsidR="001A06B4">
        <w:rPr>
          <w:rFonts w:cs="Arial"/>
          <w:szCs w:val="20"/>
        </w:rPr>
        <w:t xml:space="preserve"> (1</w:t>
      </w:r>
      <w:r>
        <w:rPr>
          <w:rFonts w:cs="Arial"/>
          <w:szCs w:val="20"/>
        </w:rPr>
        <w:t> %).</w:t>
      </w:r>
    </w:p>
    <w:p w14:paraId="3A8693D3" w14:textId="3BF54DC7" w:rsidR="00CF25C3" w:rsidRDefault="00CF25C3">
      <w:pPr>
        <w:spacing w:after="0" w:line="240" w:lineRule="auto"/>
        <w:rPr>
          <w:rFonts w:cs="Arial"/>
          <w:szCs w:val="20"/>
        </w:rPr>
      </w:pPr>
      <w:r>
        <w:rPr>
          <w:rFonts w:cs="Arial"/>
          <w:szCs w:val="20"/>
        </w:rPr>
        <w:br w:type="page"/>
      </w:r>
    </w:p>
    <w:p w14:paraId="3EE27B75" w14:textId="3AF022B5" w:rsidR="00330210" w:rsidRDefault="00274775" w:rsidP="00632657">
      <w:pPr>
        <w:pStyle w:val="Nadpis1"/>
      </w:pPr>
      <w:bookmarkStart w:id="17" w:name="_Toc126664225"/>
      <w:bookmarkStart w:id="18" w:name="_Toc86648183"/>
      <w:r>
        <w:lastRenderedPageBreak/>
        <w:t>Kapitola 4: Omezení a překážky v účasti ve vzdělávání</w:t>
      </w:r>
      <w:bookmarkEnd w:id="17"/>
    </w:p>
    <w:p w14:paraId="70186E96" w14:textId="0B8A398D" w:rsidR="00CF25C3" w:rsidRDefault="00CF25C3" w:rsidP="004B303F">
      <w:pPr>
        <w:jc w:val="both"/>
      </w:pPr>
      <w:r>
        <w:t xml:space="preserve">Jak již bylo uvedeno, celkem </w:t>
      </w:r>
      <w:r w:rsidR="001A06B4">
        <w:t>6</w:t>
      </w:r>
      <w:r>
        <w:t> % podniků zajišťoval</w:t>
      </w:r>
      <w:r w:rsidR="001454E8">
        <w:t>o</w:t>
      </w:r>
      <w:r>
        <w:t xml:space="preserve"> pro své zaměstnance vzdělávání. Tyto podniky pak byly tázány na omezení, se kterými se mohly potýkat při snaze obohatit</w:t>
      </w:r>
      <w:r w:rsidR="005E1184">
        <w:t>, resp. prohloubit</w:t>
      </w:r>
      <w:r>
        <w:t xml:space="preserve"> dovednosti či vzdělání svých zaměstnanců. Podniky nezajišťující vzdělávání pak byly tázány na důvod, proč ke vzdělávání nepřistoupily. V této kapitole postupně pře</w:t>
      </w:r>
      <w:r w:rsidR="006E5D21">
        <w:t>d</w:t>
      </w:r>
      <w:r>
        <w:t>stavíme odpovědi na obě tyto otázky.</w:t>
      </w:r>
    </w:p>
    <w:p w14:paraId="132BCEEB" w14:textId="77777777" w:rsidR="008E64DD" w:rsidRDefault="008E64DD" w:rsidP="008E64DD">
      <w:pPr>
        <w:pStyle w:val="Nadpis2"/>
        <w:spacing w:after="120"/>
      </w:pPr>
      <w:bookmarkStart w:id="19" w:name="_Toc126664226"/>
      <w:r>
        <w:t>Hlavní zjištění</w:t>
      </w:r>
      <w:bookmarkEnd w:id="19"/>
    </w:p>
    <w:p w14:paraId="1E029C52" w14:textId="0BA23EF8" w:rsidR="00054476" w:rsidRPr="00054476" w:rsidRDefault="00054476" w:rsidP="00DC6920">
      <w:pPr>
        <w:pStyle w:val="Odstavecseseznamem"/>
        <w:numPr>
          <w:ilvl w:val="0"/>
          <w:numId w:val="22"/>
        </w:numPr>
        <w:spacing w:after="120" w:line="259" w:lineRule="auto"/>
        <w:jc w:val="both"/>
        <w:rPr>
          <w:rFonts w:ascii="Arial" w:hAnsi="Arial" w:cs="Arial"/>
          <w:sz w:val="20"/>
          <w:szCs w:val="20"/>
        </w:rPr>
      </w:pPr>
      <w:r>
        <w:rPr>
          <w:rFonts w:ascii="Arial" w:hAnsi="Arial" w:cs="Arial"/>
          <w:sz w:val="20"/>
          <w:szCs w:val="20"/>
        </w:rPr>
        <w:t>P</w:t>
      </w:r>
      <w:r w:rsidRPr="00054476">
        <w:rPr>
          <w:rFonts w:ascii="Arial" w:hAnsi="Arial" w:cs="Arial"/>
          <w:sz w:val="20"/>
          <w:szCs w:val="20"/>
        </w:rPr>
        <w:t xml:space="preserve">olovina podniků zajišťujících vzdělávání </w:t>
      </w:r>
      <w:r>
        <w:rPr>
          <w:rFonts w:ascii="Arial" w:hAnsi="Arial" w:cs="Arial"/>
          <w:sz w:val="20"/>
          <w:szCs w:val="20"/>
        </w:rPr>
        <w:t>uvedla j</w:t>
      </w:r>
      <w:r w:rsidRPr="00054476">
        <w:rPr>
          <w:rFonts w:ascii="Arial" w:hAnsi="Arial" w:cs="Arial"/>
          <w:sz w:val="20"/>
          <w:szCs w:val="20"/>
        </w:rPr>
        <w:t xml:space="preserve">ako </w:t>
      </w:r>
      <w:r w:rsidR="006E5D21">
        <w:rPr>
          <w:rFonts w:ascii="Arial" w:hAnsi="Arial" w:cs="Arial"/>
          <w:sz w:val="20"/>
          <w:szCs w:val="20"/>
        </w:rPr>
        <w:t>limitující</w:t>
      </w:r>
      <w:r w:rsidRPr="00054476">
        <w:rPr>
          <w:rFonts w:ascii="Arial" w:hAnsi="Arial" w:cs="Arial"/>
          <w:sz w:val="20"/>
          <w:szCs w:val="20"/>
        </w:rPr>
        <w:t xml:space="preserve"> faktor při vzdělávání zaměstnanců</w:t>
      </w:r>
      <w:r>
        <w:rPr>
          <w:rFonts w:ascii="Arial" w:hAnsi="Arial" w:cs="Arial"/>
          <w:sz w:val="20"/>
          <w:szCs w:val="20"/>
        </w:rPr>
        <w:t xml:space="preserve"> </w:t>
      </w:r>
      <w:r w:rsidR="00DC6920" w:rsidRPr="00155303">
        <w:rPr>
          <w:rFonts w:ascii="Arial" w:hAnsi="Arial" w:cs="Arial"/>
          <w:b/>
          <w:sz w:val="20"/>
          <w:szCs w:val="20"/>
        </w:rPr>
        <w:t xml:space="preserve">omezení </w:t>
      </w:r>
      <w:r w:rsidR="00DC6920" w:rsidRPr="00DC6920">
        <w:rPr>
          <w:rFonts w:ascii="Arial" w:hAnsi="Arial" w:cs="Arial"/>
          <w:b/>
          <w:sz w:val="20"/>
          <w:szCs w:val="20"/>
        </w:rPr>
        <w:t>spojená s epidemií onemocnění COVID-19</w:t>
      </w:r>
      <w:r w:rsidR="00DC6920" w:rsidRPr="00DC6920">
        <w:rPr>
          <w:rFonts w:ascii="Arial" w:hAnsi="Arial" w:cs="Arial"/>
          <w:sz w:val="20"/>
          <w:szCs w:val="20"/>
        </w:rPr>
        <w:t xml:space="preserve"> </w:t>
      </w:r>
      <w:r w:rsidR="006A0AD8">
        <w:rPr>
          <w:rFonts w:ascii="Arial" w:hAnsi="Arial" w:cs="Arial"/>
          <w:sz w:val="20"/>
          <w:szCs w:val="20"/>
        </w:rPr>
        <w:t>(51 %). Celkem 23</w:t>
      </w:r>
      <w:r w:rsidRPr="00054476">
        <w:rPr>
          <w:rFonts w:ascii="Arial" w:hAnsi="Arial" w:cs="Arial"/>
          <w:sz w:val="20"/>
          <w:szCs w:val="20"/>
        </w:rPr>
        <w:t xml:space="preserve"> % podniků zajišťujících </w:t>
      </w:r>
      <w:r w:rsidR="00DC6920">
        <w:rPr>
          <w:rFonts w:ascii="Arial" w:hAnsi="Arial" w:cs="Arial"/>
          <w:sz w:val="20"/>
          <w:szCs w:val="20"/>
        </w:rPr>
        <w:t>vzdělávání omezilo v</w:t>
      </w:r>
      <w:r w:rsidR="006F57AF">
        <w:rPr>
          <w:rFonts w:ascii="Arial" w:hAnsi="Arial" w:cs="Arial"/>
          <w:sz w:val="20"/>
          <w:szCs w:val="20"/>
        </w:rPr>
        <w:t xml:space="preserve"> této</w:t>
      </w:r>
      <w:r w:rsidR="00DC6920">
        <w:rPr>
          <w:rFonts w:ascii="Arial" w:hAnsi="Arial" w:cs="Arial"/>
          <w:sz w:val="20"/>
          <w:szCs w:val="20"/>
        </w:rPr>
        <w:t xml:space="preserve"> souvislosti </w:t>
      </w:r>
      <w:r w:rsidR="006A0AD8">
        <w:rPr>
          <w:rFonts w:ascii="Arial" w:hAnsi="Arial" w:cs="Arial"/>
          <w:sz w:val="20"/>
          <w:szCs w:val="20"/>
        </w:rPr>
        <w:t>počet vzdělávaných osob, 21</w:t>
      </w:r>
      <w:r w:rsidRPr="00054476">
        <w:rPr>
          <w:rFonts w:ascii="Arial" w:hAnsi="Arial" w:cs="Arial"/>
          <w:sz w:val="20"/>
          <w:szCs w:val="20"/>
        </w:rPr>
        <w:t> % omezilo počet vzdělávacích aktivit či přistoupilo ke krác</w:t>
      </w:r>
      <w:r w:rsidR="006A0AD8">
        <w:rPr>
          <w:rFonts w:ascii="Arial" w:hAnsi="Arial" w:cs="Arial"/>
          <w:sz w:val="20"/>
          <w:szCs w:val="20"/>
        </w:rPr>
        <w:t>ení probírané látky. Celkem 12</w:t>
      </w:r>
      <w:r w:rsidRPr="00054476">
        <w:rPr>
          <w:rFonts w:ascii="Arial" w:hAnsi="Arial" w:cs="Arial"/>
          <w:sz w:val="20"/>
          <w:szCs w:val="20"/>
        </w:rPr>
        <w:t xml:space="preserve"> % (také) muselo snížit </w:t>
      </w:r>
      <w:r w:rsidR="006F57AF">
        <w:rPr>
          <w:rFonts w:ascii="Arial" w:hAnsi="Arial" w:cs="Arial"/>
          <w:sz w:val="20"/>
          <w:szCs w:val="20"/>
        </w:rPr>
        <w:t>finance</w:t>
      </w:r>
      <w:r w:rsidR="006A0AD8">
        <w:rPr>
          <w:rFonts w:ascii="Arial" w:hAnsi="Arial" w:cs="Arial"/>
          <w:sz w:val="20"/>
          <w:szCs w:val="20"/>
        </w:rPr>
        <w:t xml:space="preserve"> na vzdělávání a 11</w:t>
      </w:r>
      <w:r w:rsidRPr="00054476">
        <w:rPr>
          <w:rFonts w:ascii="Arial" w:hAnsi="Arial" w:cs="Arial"/>
          <w:sz w:val="20"/>
          <w:szCs w:val="20"/>
        </w:rPr>
        <w:t> % přistoupilo ke vzdělávání formou samostatného studia či e-learningu, popř. navýšilo podíl takového vzdělávání.</w:t>
      </w:r>
    </w:p>
    <w:p w14:paraId="6533BA92" w14:textId="1C349557" w:rsidR="00054476" w:rsidRPr="00054476" w:rsidRDefault="00054476" w:rsidP="00054476">
      <w:pPr>
        <w:pStyle w:val="Odstavecseseznamem"/>
        <w:numPr>
          <w:ilvl w:val="0"/>
          <w:numId w:val="22"/>
        </w:numPr>
        <w:spacing w:after="120" w:line="259" w:lineRule="auto"/>
        <w:jc w:val="both"/>
        <w:rPr>
          <w:rFonts w:ascii="Arial" w:hAnsi="Arial" w:cs="Arial"/>
          <w:color w:val="FF0000"/>
          <w:sz w:val="20"/>
          <w:szCs w:val="20"/>
        </w:rPr>
      </w:pPr>
      <w:r w:rsidRPr="00054476">
        <w:rPr>
          <w:rFonts w:ascii="Arial" w:hAnsi="Arial" w:cs="Arial"/>
          <w:b/>
          <w:i/>
          <w:sz w:val="20"/>
          <w:szCs w:val="20"/>
        </w:rPr>
        <w:t>S rostoucím počtem zaměstnanců</w:t>
      </w:r>
      <w:r w:rsidR="006F57AF">
        <w:rPr>
          <w:rFonts w:ascii="Arial" w:hAnsi="Arial" w:cs="Arial"/>
          <w:sz w:val="20"/>
          <w:szCs w:val="20"/>
        </w:rPr>
        <w:t xml:space="preserve"> přibývá podniků, pro které měla pandemie onemocnění</w:t>
      </w:r>
      <w:r>
        <w:rPr>
          <w:rFonts w:ascii="Arial" w:hAnsi="Arial" w:cs="Arial"/>
          <w:sz w:val="20"/>
          <w:szCs w:val="20"/>
        </w:rPr>
        <w:t xml:space="preserve"> covid-19 </w:t>
      </w:r>
      <w:r w:rsidR="006F57AF">
        <w:rPr>
          <w:rFonts w:ascii="Arial" w:hAnsi="Arial" w:cs="Arial"/>
          <w:sz w:val="20"/>
          <w:szCs w:val="20"/>
        </w:rPr>
        <w:t>dopady na vzdělávání</w:t>
      </w:r>
      <w:r w:rsidRPr="00054476">
        <w:rPr>
          <w:rFonts w:ascii="Arial" w:hAnsi="Arial" w:cs="Arial"/>
          <w:sz w:val="20"/>
          <w:szCs w:val="20"/>
        </w:rPr>
        <w:t xml:space="preserve">, a naopak ubývá těch, </w:t>
      </w:r>
      <w:r w:rsidR="006F57AF">
        <w:rPr>
          <w:rFonts w:ascii="Arial" w:hAnsi="Arial" w:cs="Arial"/>
          <w:sz w:val="20"/>
          <w:szCs w:val="20"/>
        </w:rPr>
        <w:t>pro které omezující nebyla</w:t>
      </w:r>
      <w:r w:rsidRPr="00054476">
        <w:rPr>
          <w:rFonts w:ascii="Arial" w:hAnsi="Arial" w:cs="Arial"/>
          <w:sz w:val="20"/>
          <w:szCs w:val="20"/>
        </w:rPr>
        <w:t xml:space="preserve">. V kategorii podniků zajišťujících vzdělávání s 250 a více zaměstnanci tak byla jen necelá desetina těch, které nezaznamenaly žádné dopady (kromě dodržování preventivních opatření). Oproti </w:t>
      </w:r>
      <w:r w:rsidR="0091049C">
        <w:rPr>
          <w:rFonts w:ascii="Arial" w:hAnsi="Arial" w:cs="Arial"/>
          <w:sz w:val="20"/>
          <w:szCs w:val="20"/>
        </w:rPr>
        <w:t xml:space="preserve">tomu </w:t>
      </w:r>
      <w:r w:rsidR="006F57AF">
        <w:rPr>
          <w:rFonts w:ascii="Arial" w:hAnsi="Arial" w:cs="Arial"/>
          <w:sz w:val="20"/>
          <w:szCs w:val="20"/>
        </w:rPr>
        <w:t>mezi podniky s </w:t>
      </w:r>
      <w:r w:rsidR="0091049C">
        <w:rPr>
          <w:rFonts w:ascii="Arial" w:hAnsi="Arial" w:cs="Arial"/>
          <w:sz w:val="20"/>
          <w:szCs w:val="20"/>
        </w:rPr>
        <w:t>10-19 zaměstnanci byly</w:t>
      </w:r>
      <w:r w:rsidRPr="00054476">
        <w:rPr>
          <w:rFonts w:ascii="Arial" w:hAnsi="Arial" w:cs="Arial"/>
          <w:sz w:val="20"/>
          <w:szCs w:val="20"/>
        </w:rPr>
        <w:t xml:space="preserve"> </w:t>
      </w:r>
      <w:r w:rsidR="0091049C">
        <w:rPr>
          <w:rFonts w:ascii="Arial" w:hAnsi="Arial" w:cs="Arial"/>
          <w:sz w:val="20"/>
          <w:szCs w:val="20"/>
        </w:rPr>
        <w:t xml:space="preserve">takových podniků </w:t>
      </w:r>
      <w:r w:rsidRPr="00054476">
        <w:rPr>
          <w:rFonts w:ascii="Arial" w:hAnsi="Arial" w:cs="Arial"/>
          <w:sz w:val="20"/>
          <w:szCs w:val="20"/>
        </w:rPr>
        <w:t>tři pětiny.</w:t>
      </w:r>
    </w:p>
    <w:p w14:paraId="0C896981" w14:textId="7E411E26" w:rsidR="00054476" w:rsidRPr="00054476" w:rsidRDefault="00054476" w:rsidP="00054476">
      <w:pPr>
        <w:pStyle w:val="Odstavecseseznamem"/>
        <w:numPr>
          <w:ilvl w:val="0"/>
          <w:numId w:val="22"/>
        </w:numPr>
        <w:spacing w:after="120" w:line="259" w:lineRule="auto"/>
        <w:jc w:val="both"/>
        <w:rPr>
          <w:rFonts w:ascii="Arial" w:hAnsi="Arial" w:cs="Arial"/>
          <w:color w:val="FF0000"/>
          <w:sz w:val="20"/>
          <w:szCs w:val="20"/>
        </w:rPr>
      </w:pPr>
      <w:r w:rsidRPr="00054476">
        <w:rPr>
          <w:rFonts w:ascii="Arial" w:hAnsi="Arial" w:cs="Arial"/>
          <w:sz w:val="20"/>
          <w:szCs w:val="20"/>
        </w:rPr>
        <w:t xml:space="preserve">Mezi </w:t>
      </w:r>
      <w:r w:rsidR="00673AC9">
        <w:rPr>
          <w:rFonts w:ascii="Arial" w:hAnsi="Arial" w:cs="Arial"/>
          <w:sz w:val="20"/>
          <w:szCs w:val="20"/>
        </w:rPr>
        <w:t>do</w:t>
      </w:r>
      <w:r w:rsidR="00A13EE0">
        <w:rPr>
          <w:rFonts w:ascii="Arial" w:hAnsi="Arial" w:cs="Arial"/>
          <w:sz w:val="20"/>
          <w:szCs w:val="20"/>
        </w:rPr>
        <w:t>mácími</w:t>
      </w:r>
      <w:r w:rsidRPr="00054476">
        <w:rPr>
          <w:rFonts w:ascii="Arial" w:hAnsi="Arial" w:cs="Arial"/>
          <w:sz w:val="20"/>
          <w:szCs w:val="20"/>
        </w:rPr>
        <w:t xml:space="preserve"> podni</w:t>
      </w:r>
      <w:r w:rsidR="00BD2C60">
        <w:rPr>
          <w:rFonts w:ascii="Arial" w:hAnsi="Arial" w:cs="Arial"/>
          <w:sz w:val="20"/>
          <w:szCs w:val="20"/>
        </w:rPr>
        <w:t xml:space="preserve">ky zajišťujícími vzdělávání </w:t>
      </w:r>
      <w:r w:rsidR="00D6251F">
        <w:rPr>
          <w:rFonts w:ascii="Arial" w:hAnsi="Arial" w:cs="Arial"/>
          <w:sz w:val="20"/>
          <w:szCs w:val="20"/>
        </w:rPr>
        <w:t>bylo 52</w:t>
      </w:r>
      <w:r w:rsidRPr="00054476">
        <w:rPr>
          <w:rFonts w:ascii="Arial" w:hAnsi="Arial" w:cs="Arial"/>
          <w:sz w:val="20"/>
          <w:szCs w:val="20"/>
        </w:rPr>
        <w:t> % těch, které v souvislosti s pandemií nepociťovaly žádná omezení (vyjma dodržování preventivních opatření)</w:t>
      </w:r>
      <w:r w:rsidR="0091049C">
        <w:rPr>
          <w:rFonts w:ascii="Arial" w:hAnsi="Arial" w:cs="Arial"/>
          <w:sz w:val="20"/>
          <w:szCs w:val="20"/>
        </w:rPr>
        <w:t>.</w:t>
      </w:r>
      <w:r w:rsidRPr="00054476">
        <w:rPr>
          <w:rFonts w:ascii="Arial" w:hAnsi="Arial" w:cs="Arial"/>
          <w:sz w:val="20"/>
          <w:szCs w:val="20"/>
        </w:rPr>
        <w:t xml:space="preserve"> </w:t>
      </w:r>
      <w:r w:rsidR="0091049C">
        <w:rPr>
          <w:rFonts w:ascii="Arial" w:hAnsi="Arial" w:cs="Arial"/>
          <w:sz w:val="20"/>
          <w:szCs w:val="20"/>
        </w:rPr>
        <w:t xml:space="preserve">Mezi podniky </w:t>
      </w:r>
      <w:r w:rsidR="00A13EE0">
        <w:rPr>
          <w:rFonts w:ascii="Arial" w:hAnsi="Arial" w:cs="Arial"/>
          <w:sz w:val="20"/>
          <w:szCs w:val="20"/>
        </w:rPr>
        <w:t xml:space="preserve">pod zahraniční kontrolou </w:t>
      </w:r>
      <w:r w:rsidR="00D6251F">
        <w:rPr>
          <w:rFonts w:ascii="Arial" w:hAnsi="Arial" w:cs="Arial"/>
          <w:sz w:val="20"/>
          <w:szCs w:val="20"/>
        </w:rPr>
        <w:t>jich bylo jen 30</w:t>
      </w:r>
      <w:r w:rsidR="0091049C">
        <w:rPr>
          <w:rFonts w:ascii="Arial" w:hAnsi="Arial" w:cs="Arial"/>
          <w:sz w:val="20"/>
          <w:szCs w:val="20"/>
        </w:rPr>
        <w:t> %.</w:t>
      </w:r>
    </w:p>
    <w:p w14:paraId="0EA13403" w14:textId="3E0D8386" w:rsidR="00054476" w:rsidRPr="00BD2C60" w:rsidRDefault="00054476" w:rsidP="00054476">
      <w:pPr>
        <w:pStyle w:val="Odstavecseseznamem"/>
        <w:numPr>
          <w:ilvl w:val="0"/>
          <w:numId w:val="22"/>
        </w:numPr>
        <w:spacing w:after="120" w:line="259" w:lineRule="auto"/>
        <w:jc w:val="both"/>
        <w:rPr>
          <w:rFonts w:ascii="Arial" w:hAnsi="Arial" w:cs="Arial"/>
          <w:sz w:val="20"/>
          <w:szCs w:val="20"/>
        </w:rPr>
      </w:pPr>
      <w:r w:rsidRPr="00054476">
        <w:rPr>
          <w:rFonts w:ascii="Arial" w:hAnsi="Arial" w:cs="Arial"/>
          <w:sz w:val="20"/>
          <w:szCs w:val="20"/>
        </w:rPr>
        <w:t xml:space="preserve">Dopady pandemie covid-19 na zajišťování vzdělávání </w:t>
      </w:r>
      <w:r w:rsidR="00673AC9">
        <w:rPr>
          <w:rFonts w:ascii="Arial" w:hAnsi="Arial" w:cs="Arial"/>
          <w:sz w:val="20"/>
          <w:szCs w:val="20"/>
        </w:rPr>
        <w:t xml:space="preserve">subjektivně </w:t>
      </w:r>
      <w:r w:rsidRPr="00054476">
        <w:rPr>
          <w:rFonts w:ascii="Arial" w:hAnsi="Arial" w:cs="Arial"/>
          <w:sz w:val="20"/>
          <w:szCs w:val="20"/>
        </w:rPr>
        <w:t xml:space="preserve">pociťovaly v největší míře podniky s hlavní ekonomickou činností v oblasti </w:t>
      </w:r>
      <w:r w:rsidRPr="00054476">
        <w:rPr>
          <w:rFonts w:ascii="Arial" w:hAnsi="Arial" w:cs="Arial"/>
          <w:i/>
          <w:sz w:val="20"/>
          <w:szCs w:val="20"/>
        </w:rPr>
        <w:t>peněžnictví a pojišťovnictví</w:t>
      </w:r>
      <w:r w:rsidR="00D6251F">
        <w:rPr>
          <w:rFonts w:ascii="Arial" w:hAnsi="Arial" w:cs="Arial"/>
          <w:sz w:val="20"/>
          <w:szCs w:val="20"/>
        </w:rPr>
        <w:t xml:space="preserve"> (72</w:t>
      </w:r>
      <w:r w:rsidRPr="00054476">
        <w:rPr>
          <w:rFonts w:ascii="Arial" w:hAnsi="Arial" w:cs="Arial"/>
          <w:sz w:val="20"/>
          <w:szCs w:val="20"/>
        </w:rPr>
        <w:t xml:space="preserve"> % z nich), v oblasti </w:t>
      </w:r>
      <w:r w:rsidRPr="00054476">
        <w:rPr>
          <w:rFonts w:ascii="Arial" w:hAnsi="Arial" w:cs="Arial"/>
          <w:i/>
          <w:sz w:val="20"/>
          <w:szCs w:val="20"/>
        </w:rPr>
        <w:t>informační a komunikační činnosti</w:t>
      </w:r>
      <w:r w:rsidRPr="00054476">
        <w:rPr>
          <w:rFonts w:ascii="Arial" w:hAnsi="Arial" w:cs="Arial"/>
          <w:sz w:val="20"/>
          <w:szCs w:val="20"/>
        </w:rPr>
        <w:t xml:space="preserve"> (70 %) a v oblasti </w:t>
      </w:r>
      <w:r w:rsidRPr="00054476">
        <w:rPr>
          <w:rFonts w:ascii="Arial" w:hAnsi="Arial" w:cs="Arial"/>
          <w:i/>
          <w:sz w:val="20"/>
          <w:szCs w:val="20"/>
        </w:rPr>
        <w:t>profesní, vědecké a technické činnosti</w:t>
      </w:r>
      <w:r w:rsidR="00D6251F">
        <w:rPr>
          <w:rFonts w:ascii="Arial" w:hAnsi="Arial" w:cs="Arial"/>
          <w:sz w:val="20"/>
          <w:szCs w:val="20"/>
        </w:rPr>
        <w:t xml:space="preserve"> (62</w:t>
      </w:r>
      <w:r w:rsidRPr="00054476">
        <w:rPr>
          <w:rFonts w:ascii="Arial" w:hAnsi="Arial" w:cs="Arial"/>
          <w:sz w:val="20"/>
          <w:szCs w:val="20"/>
        </w:rPr>
        <w:t xml:space="preserve"> %). </w:t>
      </w:r>
      <w:r w:rsidRPr="00BD2C60">
        <w:rPr>
          <w:rFonts w:ascii="Arial" w:hAnsi="Arial" w:cs="Arial"/>
          <w:sz w:val="20"/>
          <w:szCs w:val="20"/>
        </w:rPr>
        <w:t xml:space="preserve">Podniky z oblasti </w:t>
      </w:r>
      <w:r w:rsidRPr="00BD2C60">
        <w:rPr>
          <w:rFonts w:ascii="Arial" w:hAnsi="Arial" w:cs="Arial"/>
          <w:i/>
          <w:sz w:val="20"/>
          <w:szCs w:val="20"/>
        </w:rPr>
        <w:t>peněžnictví a pojišťovnictví</w:t>
      </w:r>
      <w:r w:rsidRPr="00BD2C60">
        <w:rPr>
          <w:rFonts w:ascii="Arial" w:hAnsi="Arial" w:cs="Arial"/>
          <w:sz w:val="20"/>
          <w:szCs w:val="20"/>
        </w:rPr>
        <w:t xml:space="preserve"> také v největší míře uváděly, že musely sníž</w:t>
      </w:r>
      <w:r w:rsidR="00D6251F">
        <w:rPr>
          <w:rFonts w:ascii="Arial" w:hAnsi="Arial" w:cs="Arial"/>
          <w:sz w:val="20"/>
          <w:szCs w:val="20"/>
        </w:rPr>
        <w:t>it počet vzdělávaných osob (36</w:t>
      </w:r>
      <w:r w:rsidRPr="00BD2C60">
        <w:rPr>
          <w:rFonts w:ascii="Arial" w:hAnsi="Arial" w:cs="Arial"/>
          <w:sz w:val="20"/>
          <w:szCs w:val="20"/>
        </w:rPr>
        <w:t> %)</w:t>
      </w:r>
      <w:r w:rsidR="00D6251F">
        <w:rPr>
          <w:rFonts w:ascii="Arial" w:hAnsi="Arial" w:cs="Arial"/>
          <w:sz w:val="20"/>
          <w:szCs w:val="20"/>
        </w:rPr>
        <w:t>, snížit rozsah vzdělávání (3</w:t>
      </w:r>
      <w:r w:rsidRPr="00BD2C60">
        <w:rPr>
          <w:rFonts w:ascii="Arial" w:hAnsi="Arial" w:cs="Arial"/>
          <w:sz w:val="20"/>
          <w:szCs w:val="20"/>
        </w:rPr>
        <w:t>8 %) a zavést či zvýšit rozsah samostatného studia či e-learningu (39 %).</w:t>
      </w:r>
    </w:p>
    <w:p w14:paraId="595508C4" w14:textId="203FBE31" w:rsidR="00054476" w:rsidRPr="00054476" w:rsidRDefault="00054476" w:rsidP="00054476">
      <w:pPr>
        <w:pStyle w:val="Odstavecseseznamem"/>
        <w:numPr>
          <w:ilvl w:val="0"/>
          <w:numId w:val="22"/>
        </w:numPr>
        <w:spacing w:after="120" w:line="259" w:lineRule="auto"/>
        <w:jc w:val="both"/>
        <w:rPr>
          <w:rFonts w:ascii="Arial" w:hAnsi="Arial" w:cs="Arial"/>
          <w:color w:val="FF0000"/>
          <w:sz w:val="20"/>
          <w:szCs w:val="20"/>
        </w:rPr>
      </w:pPr>
      <w:r w:rsidRPr="00054476">
        <w:rPr>
          <w:rFonts w:ascii="Arial" w:hAnsi="Arial" w:cs="Arial"/>
          <w:sz w:val="20"/>
          <w:szCs w:val="20"/>
        </w:rPr>
        <w:t>Z </w:t>
      </w:r>
      <w:r w:rsidRPr="00155303">
        <w:rPr>
          <w:rFonts w:ascii="Arial" w:hAnsi="Arial" w:cs="Arial"/>
          <w:b/>
          <w:sz w:val="20"/>
          <w:szCs w:val="20"/>
        </w:rPr>
        <w:t>omezení nesouvisejících s pandemií covid-19</w:t>
      </w:r>
      <w:r w:rsidRPr="00054476">
        <w:rPr>
          <w:rFonts w:ascii="Arial" w:hAnsi="Arial" w:cs="Arial"/>
          <w:sz w:val="20"/>
          <w:szCs w:val="20"/>
        </w:rPr>
        <w:t xml:space="preserve"> bylo podniky zajišťujícími vzdělávání nejčastěji zmiňované, že zaměstnanci podniku čelili </w:t>
      </w:r>
      <w:r w:rsidRPr="00155303">
        <w:rPr>
          <w:rFonts w:ascii="Arial" w:hAnsi="Arial" w:cs="Arial"/>
          <w:b/>
          <w:i/>
          <w:sz w:val="20"/>
          <w:szCs w:val="20"/>
        </w:rPr>
        <w:t>vysokému pracovnímu zatížení a nedostatku času</w:t>
      </w:r>
      <w:r w:rsidR="00D6251F">
        <w:rPr>
          <w:rFonts w:ascii="Arial" w:hAnsi="Arial" w:cs="Arial"/>
          <w:sz w:val="20"/>
          <w:szCs w:val="20"/>
        </w:rPr>
        <w:t xml:space="preserve"> na vzdělávání (10</w:t>
      </w:r>
      <w:r w:rsidRPr="00054476">
        <w:rPr>
          <w:rFonts w:ascii="Arial" w:hAnsi="Arial" w:cs="Arial"/>
          <w:sz w:val="20"/>
          <w:szCs w:val="20"/>
        </w:rPr>
        <w:t xml:space="preserve"> %). To platilo zejména pro větší firmy, s růstem velikosti podniku dle počtu zaměstnanců podíl této odpovědi rostl. Také si na nedostatek času častěji stěžovaly podniky </w:t>
      </w:r>
      <w:r w:rsidR="00A13EE0">
        <w:rPr>
          <w:rFonts w:ascii="Arial" w:hAnsi="Arial" w:cs="Arial"/>
          <w:sz w:val="20"/>
          <w:szCs w:val="20"/>
        </w:rPr>
        <w:t>pod zahraniční kontrolou než podniky domácí</w:t>
      </w:r>
      <w:r w:rsidRPr="00054476">
        <w:rPr>
          <w:rFonts w:ascii="Arial" w:hAnsi="Arial" w:cs="Arial"/>
          <w:sz w:val="20"/>
          <w:szCs w:val="20"/>
        </w:rPr>
        <w:t>.</w:t>
      </w:r>
    </w:p>
    <w:p w14:paraId="2E3E3174" w14:textId="616F6924" w:rsidR="00054476" w:rsidRPr="00054476" w:rsidRDefault="00054476" w:rsidP="00A13EE0">
      <w:pPr>
        <w:pStyle w:val="Odstavecseseznamem"/>
        <w:numPr>
          <w:ilvl w:val="0"/>
          <w:numId w:val="22"/>
        </w:numPr>
        <w:spacing w:after="120" w:line="259" w:lineRule="auto"/>
        <w:jc w:val="both"/>
        <w:rPr>
          <w:rFonts w:ascii="Arial" w:hAnsi="Arial" w:cs="Arial"/>
          <w:sz w:val="20"/>
          <w:szCs w:val="20"/>
        </w:rPr>
      </w:pPr>
      <w:r w:rsidRPr="00054476">
        <w:rPr>
          <w:rFonts w:ascii="Arial" w:hAnsi="Arial" w:cs="Arial"/>
          <w:sz w:val="20"/>
          <w:szCs w:val="20"/>
        </w:rPr>
        <w:t>Sedm procent podniků zajišťujících vzdělávání si také stěžoval</w:t>
      </w:r>
      <w:r w:rsidR="0091049C">
        <w:rPr>
          <w:rFonts w:ascii="Arial" w:hAnsi="Arial" w:cs="Arial"/>
          <w:sz w:val="20"/>
          <w:szCs w:val="20"/>
        </w:rPr>
        <w:t>o</w:t>
      </w:r>
      <w:r w:rsidRPr="00054476">
        <w:rPr>
          <w:rFonts w:ascii="Arial" w:hAnsi="Arial" w:cs="Arial"/>
          <w:sz w:val="20"/>
          <w:szCs w:val="20"/>
        </w:rPr>
        <w:t xml:space="preserve"> na </w:t>
      </w:r>
      <w:r w:rsidRPr="00155303">
        <w:rPr>
          <w:rFonts w:ascii="Arial" w:hAnsi="Arial" w:cs="Arial"/>
          <w:b/>
          <w:i/>
          <w:sz w:val="20"/>
          <w:szCs w:val="20"/>
        </w:rPr>
        <w:t>nevyhovující nabídku vzdělávání na trhu</w:t>
      </w:r>
      <w:r w:rsidR="00D6251F">
        <w:rPr>
          <w:rFonts w:ascii="Arial" w:hAnsi="Arial" w:cs="Arial"/>
          <w:sz w:val="20"/>
          <w:szCs w:val="20"/>
        </w:rPr>
        <w:t xml:space="preserve"> a </w:t>
      </w:r>
      <w:r w:rsidR="0091049C">
        <w:rPr>
          <w:rFonts w:ascii="Arial" w:hAnsi="Arial" w:cs="Arial"/>
          <w:sz w:val="20"/>
          <w:szCs w:val="20"/>
        </w:rPr>
        <w:t>6 %</w:t>
      </w:r>
      <w:r w:rsidRPr="00054476">
        <w:rPr>
          <w:rFonts w:ascii="Arial" w:hAnsi="Arial" w:cs="Arial"/>
          <w:sz w:val="20"/>
          <w:szCs w:val="20"/>
        </w:rPr>
        <w:t xml:space="preserve"> uvedlo, že podnik </w:t>
      </w:r>
      <w:r w:rsidRPr="00155303">
        <w:rPr>
          <w:rFonts w:ascii="Arial" w:hAnsi="Arial" w:cs="Arial"/>
          <w:b/>
          <w:i/>
          <w:sz w:val="20"/>
          <w:szCs w:val="20"/>
        </w:rPr>
        <w:t>kladl na vzdělávání zaměstnanců velký důraz již v uplynulých několika letech</w:t>
      </w:r>
      <w:r w:rsidRPr="00054476">
        <w:rPr>
          <w:rFonts w:ascii="Arial" w:hAnsi="Arial" w:cs="Arial"/>
          <w:sz w:val="20"/>
          <w:szCs w:val="20"/>
        </w:rPr>
        <w:t xml:space="preserve">. Oba tyto faktory opět častěji uváděly větší podniky než ty menší a podniky </w:t>
      </w:r>
      <w:r w:rsidR="00A13EE0" w:rsidRPr="00A13EE0">
        <w:rPr>
          <w:rFonts w:ascii="Arial" w:hAnsi="Arial" w:cs="Arial"/>
          <w:sz w:val="20"/>
          <w:szCs w:val="20"/>
        </w:rPr>
        <w:t>pod zahraniční kontrolou než podniky domácí</w:t>
      </w:r>
      <w:r w:rsidRPr="00054476">
        <w:rPr>
          <w:rFonts w:ascii="Arial" w:hAnsi="Arial" w:cs="Arial"/>
          <w:sz w:val="20"/>
          <w:szCs w:val="20"/>
        </w:rPr>
        <w:t xml:space="preserve">. </w:t>
      </w:r>
    </w:p>
    <w:p w14:paraId="22FBF859" w14:textId="42414A86" w:rsidR="00054476" w:rsidRPr="00054476" w:rsidRDefault="00054476" w:rsidP="00054476">
      <w:pPr>
        <w:pStyle w:val="Odstavecseseznamem"/>
        <w:numPr>
          <w:ilvl w:val="0"/>
          <w:numId w:val="22"/>
        </w:numPr>
        <w:spacing w:after="120" w:line="259" w:lineRule="auto"/>
        <w:jc w:val="both"/>
        <w:rPr>
          <w:rFonts w:ascii="Arial" w:hAnsi="Arial" w:cs="Arial"/>
          <w:sz w:val="20"/>
          <w:szCs w:val="20"/>
        </w:rPr>
      </w:pPr>
      <w:r w:rsidRPr="00054476">
        <w:rPr>
          <w:rFonts w:ascii="Arial" w:hAnsi="Arial" w:cs="Arial"/>
          <w:sz w:val="20"/>
          <w:szCs w:val="20"/>
        </w:rPr>
        <w:t xml:space="preserve">Celkově lze říci, že dvě třetiny podniků nezaznamenaly </w:t>
      </w:r>
      <w:r w:rsidRPr="00155303">
        <w:rPr>
          <w:rFonts w:ascii="Arial" w:hAnsi="Arial" w:cs="Arial"/>
          <w:b/>
          <w:i/>
          <w:sz w:val="20"/>
          <w:szCs w:val="20"/>
        </w:rPr>
        <w:t>žádná omezení nebo jen ta spojená s pandemií covid-19</w:t>
      </w:r>
      <w:r w:rsidRPr="00054476">
        <w:rPr>
          <w:rFonts w:ascii="Arial" w:hAnsi="Arial" w:cs="Arial"/>
          <w:sz w:val="20"/>
          <w:szCs w:val="20"/>
        </w:rPr>
        <w:t xml:space="preserve">. Týkalo se to více malých podniků než těch větších a o něco více také podniků </w:t>
      </w:r>
      <w:r w:rsidR="00A13EE0">
        <w:rPr>
          <w:rFonts w:ascii="Arial" w:hAnsi="Arial" w:cs="Arial"/>
          <w:sz w:val="20"/>
          <w:szCs w:val="20"/>
        </w:rPr>
        <w:t>domácích</w:t>
      </w:r>
      <w:r w:rsidRPr="00054476">
        <w:rPr>
          <w:rFonts w:ascii="Arial" w:hAnsi="Arial" w:cs="Arial"/>
          <w:sz w:val="20"/>
          <w:szCs w:val="20"/>
        </w:rPr>
        <w:t xml:space="preserve"> než těch </w:t>
      </w:r>
      <w:r w:rsidR="00A13EE0">
        <w:rPr>
          <w:rFonts w:ascii="Arial" w:hAnsi="Arial" w:cs="Arial"/>
          <w:sz w:val="20"/>
          <w:szCs w:val="20"/>
        </w:rPr>
        <w:t>pod zahraniční kontrolou</w:t>
      </w:r>
      <w:r w:rsidRPr="00054476">
        <w:rPr>
          <w:rFonts w:ascii="Arial" w:hAnsi="Arial" w:cs="Arial"/>
          <w:sz w:val="20"/>
          <w:szCs w:val="20"/>
        </w:rPr>
        <w:t>.</w:t>
      </w:r>
    </w:p>
    <w:p w14:paraId="37733391" w14:textId="77777777" w:rsidR="00054476" w:rsidRPr="00054476" w:rsidRDefault="00054476" w:rsidP="00054476">
      <w:pPr>
        <w:pStyle w:val="Odstavecseseznamem"/>
        <w:numPr>
          <w:ilvl w:val="0"/>
          <w:numId w:val="22"/>
        </w:numPr>
        <w:spacing w:after="120" w:line="259" w:lineRule="auto"/>
        <w:jc w:val="both"/>
        <w:rPr>
          <w:rFonts w:ascii="Arial" w:hAnsi="Arial" w:cs="Arial"/>
          <w:sz w:val="20"/>
          <w:szCs w:val="20"/>
        </w:rPr>
      </w:pPr>
      <w:r w:rsidRPr="00054476">
        <w:rPr>
          <w:rFonts w:ascii="Arial" w:hAnsi="Arial" w:cs="Arial"/>
          <w:sz w:val="20"/>
          <w:szCs w:val="20"/>
        </w:rPr>
        <w:t xml:space="preserve">Nejvyšší podíl odpovědi, že podnik neevidoval </w:t>
      </w:r>
      <w:r w:rsidRPr="00155303">
        <w:rPr>
          <w:rFonts w:ascii="Arial" w:hAnsi="Arial" w:cs="Arial"/>
          <w:sz w:val="20"/>
          <w:szCs w:val="20"/>
        </w:rPr>
        <w:t>žádná omezení nesouvisející s pandemií covid-19</w:t>
      </w:r>
      <w:r w:rsidRPr="00054476">
        <w:rPr>
          <w:rFonts w:ascii="Arial" w:hAnsi="Arial" w:cs="Arial"/>
          <w:sz w:val="20"/>
          <w:szCs w:val="20"/>
        </w:rPr>
        <w:t xml:space="preserve">, byl zaznamenán mezi podniky z oblasti </w:t>
      </w:r>
      <w:r w:rsidRPr="00054476">
        <w:rPr>
          <w:rFonts w:ascii="Arial" w:hAnsi="Arial" w:cs="Arial"/>
          <w:i/>
          <w:sz w:val="20"/>
          <w:szCs w:val="20"/>
        </w:rPr>
        <w:t>kulturní, zábavní a rekreační činnosti</w:t>
      </w:r>
      <w:r w:rsidRPr="00054476">
        <w:rPr>
          <w:rFonts w:ascii="Arial" w:hAnsi="Arial" w:cs="Arial"/>
          <w:sz w:val="20"/>
          <w:szCs w:val="20"/>
        </w:rPr>
        <w:t xml:space="preserve"> a z oblasti </w:t>
      </w:r>
      <w:r w:rsidRPr="00054476">
        <w:rPr>
          <w:rFonts w:ascii="Arial" w:hAnsi="Arial" w:cs="Arial"/>
          <w:i/>
          <w:sz w:val="20"/>
          <w:szCs w:val="20"/>
        </w:rPr>
        <w:t>dopravy a skladování</w:t>
      </w:r>
      <w:r w:rsidRPr="00054476">
        <w:rPr>
          <w:rFonts w:ascii="Arial" w:hAnsi="Arial" w:cs="Arial"/>
          <w:sz w:val="20"/>
          <w:szCs w:val="20"/>
        </w:rPr>
        <w:t xml:space="preserve"> (v obou se tak vyjádřily bezmála čtyři pětiny podniků). Naopak v oblasti </w:t>
      </w:r>
      <w:r w:rsidRPr="00054476">
        <w:rPr>
          <w:rFonts w:ascii="Arial" w:hAnsi="Arial" w:cs="Arial"/>
          <w:i/>
          <w:sz w:val="20"/>
          <w:szCs w:val="20"/>
        </w:rPr>
        <w:t>informační a komunikační činnosti</w:t>
      </w:r>
      <w:r w:rsidRPr="00054476">
        <w:rPr>
          <w:rFonts w:ascii="Arial" w:hAnsi="Arial" w:cs="Arial"/>
          <w:sz w:val="20"/>
          <w:szCs w:val="20"/>
        </w:rPr>
        <w:t xml:space="preserve"> a v oblasti </w:t>
      </w:r>
      <w:r w:rsidRPr="00054476">
        <w:rPr>
          <w:rFonts w:ascii="Arial" w:hAnsi="Arial" w:cs="Arial"/>
          <w:i/>
          <w:sz w:val="20"/>
          <w:szCs w:val="20"/>
        </w:rPr>
        <w:t>peněžnictví a pojišťovnictví</w:t>
      </w:r>
      <w:r w:rsidRPr="00054476">
        <w:rPr>
          <w:rFonts w:ascii="Arial" w:hAnsi="Arial" w:cs="Arial"/>
          <w:sz w:val="20"/>
          <w:szCs w:val="20"/>
        </w:rPr>
        <w:t xml:space="preserve"> bylo takových podniků jen necelé tři pětiny. Podniky z oblastí </w:t>
      </w:r>
      <w:r w:rsidRPr="00054476">
        <w:rPr>
          <w:rFonts w:ascii="Arial" w:hAnsi="Arial" w:cs="Arial"/>
          <w:i/>
          <w:sz w:val="20"/>
          <w:szCs w:val="20"/>
        </w:rPr>
        <w:t>informační a komunikační činnosti</w:t>
      </w:r>
      <w:r w:rsidRPr="00054476">
        <w:rPr>
          <w:rFonts w:ascii="Arial" w:hAnsi="Arial" w:cs="Arial"/>
          <w:sz w:val="20"/>
          <w:szCs w:val="20"/>
        </w:rPr>
        <w:t xml:space="preserve"> a </w:t>
      </w:r>
      <w:r w:rsidRPr="00054476">
        <w:rPr>
          <w:rFonts w:ascii="Arial" w:hAnsi="Arial" w:cs="Arial"/>
          <w:i/>
          <w:sz w:val="20"/>
          <w:szCs w:val="20"/>
        </w:rPr>
        <w:t>peněžnictví a pojišťovnictví</w:t>
      </w:r>
      <w:r w:rsidRPr="00054476">
        <w:rPr>
          <w:rFonts w:ascii="Arial" w:hAnsi="Arial" w:cs="Arial"/>
          <w:sz w:val="20"/>
          <w:szCs w:val="20"/>
        </w:rPr>
        <w:t xml:space="preserve"> naopak zaznamenaly nejvyšší podíly odpovědí, že jejich zaměstnanci podniku čelili </w:t>
      </w:r>
      <w:r w:rsidRPr="00054476">
        <w:rPr>
          <w:rFonts w:ascii="Arial" w:hAnsi="Arial" w:cs="Arial"/>
          <w:b/>
          <w:sz w:val="20"/>
          <w:szCs w:val="20"/>
        </w:rPr>
        <w:t>vysokému pracovnímu zatížení a nedostatku času na vzdělávání</w:t>
      </w:r>
      <w:r w:rsidRPr="00054476">
        <w:rPr>
          <w:rFonts w:ascii="Arial" w:hAnsi="Arial" w:cs="Arial"/>
          <w:sz w:val="20"/>
          <w:szCs w:val="20"/>
        </w:rPr>
        <w:t xml:space="preserve"> spolu s tím, že podniky </w:t>
      </w:r>
      <w:r w:rsidRPr="00054476">
        <w:rPr>
          <w:rFonts w:ascii="Arial" w:hAnsi="Arial" w:cs="Arial"/>
          <w:b/>
          <w:sz w:val="20"/>
          <w:szCs w:val="20"/>
        </w:rPr>
        <w:t>kladly na vzdělávání zaměstnanců velký důraz již v uplynulých několika letech</w:t>
      </w:r>
      <w:r w:rsidRPr="00054476">
        <w:rPr>
          <w:rFonts w:ascii="Arial" w:hAnsi="Arial" w:cs="Arial"/>
          <w:sz w:val="20"/>
          <w:szCs w:val="20"/>
        </w:rPr>
        <w:t>.</w:t>
      </w:r>
    </w:p>
    <w:p w14:paraId="598E1538" w14:textId="4D026516" w:rsidR="00054476" w:rsidRPr="00054476" w:rsidRDefault="00054476" w:rsidP="00054476">
      <w:pPr>
        <w:pStyle w:val="Odstavecseseznamem"/>
        <w:numPr>
          <w:ilvl w:val="0"/>
          <w:numId w:val="22"/>
        </w:numPr>
        <w:spacing w:after="120" w:line="259" w:lineRule="auto"/>
        <w:jc w:val="both"/>
        <w:rPr>
          <w:rFonts w:ascii="Arial" w:hAnsi="Arial" w:cs="Arial"/>
          <w:sz w:val="20"/>
          <w:szCs w:val="20"/>
        </w:rPr>
      </w:pPr>
      <w:r w:rsidRPr="00054476">
        <w:rPr>
          <w:rFonts w:ascii="Arial" w:hAnsi="Arial" w:cs="Arial"/>
          <w:sz w:val="20"/>
          <w:szCs w:val="20"/>
        </w:rPr>
        <w:t xml:space="preserve">Polovina podniků </w:t>
      </w:r>
      <w:r w:rsidRPr="00054476">
        <w:rPr>
          <w:rFonts w:ascii="Arial" w:hAnsi="Arial" w:cs="Arial"/>
          <w:b/>
          <w:sz w:val="20"/>
          <w:szCs w:val="20"/>
        </w:rPr>
        <w:t>nezajišťujících vzdělávání</w:t>
      </w:r>
      <w:r w:rsidRPr="00054476">
        <w:rPr>
          <w:rFonts w:ascii="Arial" w:hAnsi="Arial" w:cs="Arial"/>
          <w:sz w:val="20"/>
          <w:szCs w:val="20"/>
        </w:rPr>
        <w:t xml:space="preserve"> uvedla, že vzdělávání zaměstnanců nebylo potřeba, protože </w:t>
      </w:r>
      <w:r w:rsidRPr="00155303">
        <w:rPr>
          <w:rFonts w:ascii="Arial" w:hAnsi="Arial" w:cs="Arial"/>
          <w:b/>
          <w:i/>
          <w:sz w:val="20"/>
          <w:szCs w:val="20"/>
        </w:rPr>
        <w:t>stávající kvalifikace, dovednosti a schopnosti zaměstnanců odpovídaly aktuálním potřebám podniku</w:t>
      </w:r>
      <w:r w:rsidR="00D6251F">
        <w:rPr>
          <w:rFonts w:ascii="Arial" w:hAnsi="Arial" w:cs="Arial"/>
          <w:sz w:val="20"/>
          <w:szCs w:val="20"/>
        </w:rPr>
        <w:t xml:space="preserve"> (53 %). Celkem 22</w:t>
      </w:r>
      <w:r w:rsidR="0091049C">
        <w:rPr>
          <w:rFonts w:ascii="Arial" w:hAnsi="Arial" w:cs="Arial"/>
          <w:sz w:val="20"/>
          <w:szCs w:val="20"/>
        </w:rPr>
        <w:t> %</w:t>
      </w:r>
      <w:r w:rsidRPr="00054476">
        <w:rPr>
          <w:rFonts w:ascii="Arial" w:hAnsi="Arial" w:cs="Arial"/>
          <w:sz w:val="20"/>
          <w:szCs w:val="20"/>
        </w:rPr>
        <w:t xml:space="preserve"> také uvedlo, že nezajišťovalo vzdělávání (ať již výhradně, či nikoliv) </w:t>
      </w:r>
      <w:r w:rsidRPr="00054476">
        <w:rPr>
          <w:rFonts w:ascii="Arial" w:hAnsi="Arial" w:cs="Arial"/>
          <w:b/>
          <w:sz w:val="20"/>
          <w:szCs w:val="20"/>
        </w:rPr>
        <w:t>z </w:t>
      </w:r>
      <w:r w:rsidRPr="00155303">
        <w:rPr>
          <w:rFonts w:ascii="Arial" w:hAnsi="Arial" w:cs="Arial"/>
          <w:b/>
          <w:i/>
          <w:sz w:val="20"/>
          <w:szCs w:val="20"/>
        </w:rPr>
        <w:t>důvodů souvisejících s epidemií onemocnění COVID-19</w:t>
      </w:r>
      <w:r w:rsidRPr="00054476">
        <w:rPr>
          <w:rFonts w:ascii="Arial" w:hAnsi="Arial" w:cs="Arial"/>
          <w:sz w:val="20"/>
          <w:szCs w:val="20"/>
        </w:rPr>
        <w:t>. Ostatní důvody, které byly podnikům v dotazníku nabídnuty, uvedlo vždy jen méně ne</w:t>
      </w:r>
      <w:r w:rsidR="00D6251F">
        <w:rPr>
          <w:rFonts w:ascii="Arial" w:hAnsi="Arial" w:cs="Arial"/>
          <w:sz w:val="20"/>
          <w:szCs w:val="20"/>
        </w:rPr>
        <w:t>ž 5 % těchto podniků oproti 28</w:t>
      </w:r>
      <w:r w:rsidRPr="00054476">
        <w:rPr>
          <w:rFonts w:ascii="Arial" w:hAnsi="Arial" w:cs="Arial"/>
          <w:sz w:val="20"/>
          <w:szCs w:val="20"/>
        </w:rPr>
        <w:t xml:space="preserve"> % těch, které označily, že k nezajišťování vzdělávání je vedly jiné, v dotazníku již nespecifikované, důvody.  </w:t>
      </w:r>
    </w:p>
    <w:p w14:paraId="1A9F7503" w14:textId="32161E24" w:rsidR="00D97F15" w:rsidRDefault="00D97F15" w:rsidP="00D97F15">
      <w:pPr>
        <w:pStyle w:val="Nadpis2"/>
        <w:spacing w:after="120"/>
      </w:pPr>
      <w:bookmarkStart w:id="20" w:name="_Toc126664227"/>
      <w:r>
        <w:lastRenderedPageBreak/>
        <w:t>4.1 Omezení v účasti ve vzdělávání</w:t>
      </w:r>
      <w:bookmarkEnd w:id="20"/>
    </w:p>
    <w:p w14:paraId="19BD2619" w14:textId="6066D4C5" w:rsidR="00632657" w:rsidRDefault="00CF25C3" w:rsidP="009F089A">
      <w:pPr>
        <w:spacing w:after="120"/>
        <w:jc w:val="both"/>
      </w:pPr>
      <w:r>
        <w:t>Jak již bylo uvedeno, v</w:t>
      </w:r>
      <w:r w:rsidR="005B1C06">
        <w:t> šetření CVTS byly</w:t>
      </w:r>
      <w:r w:rsidR="00632657">
        <w:t xml:space="preserve"> podniky </w:t>
      </w:r>
      <w:r w:rsidR="00736467">
        <w:t>zajišťující vzdělávání</w:t>
      </w:r>
      <w:r w:rsidR="00277F80">
        <w:t>,</w:t>
      </w:r>
      <w:r w:rsidR="00D6251F">
        <w:t xml:space="preserve"> tj. 86</w:t>
      </w:r>
      <w:r w:rsidR="005B1C06">
        <w:t> % ze všech podniků,</w:t>
      </w:r>
      <w:r w:rsidR="00736467">
        <w:t xml:space="preserve"> </w:t>
      </w:r>
      <w:r w:rsidR="00632657">
        <w:t xml:space="preserve">tázány na </w:t>
      </w:r>
      <w:r w:rsidR="00736467">
        <w:t xml:space="preserve">pociťovaná </w:t>
      </w:r>
      <w:r w:rsidR="00632657">
        <w:t>omezení</w:t>
      </w:r>
      <w:r w:rsidR="00736467">
        <w:t xml:space="preserve"> ve vzdělávání zaměstnanců</w:t>
      </w:r>
      <w:r w:rsidR="00632657">
        <w:t xml:space="preserve">. </w:t>
      </w:r>
      <w:r w:rsidR="005E145B">
        <w:t>Zde je dobré připomenout</w:t>
      </w:r>
      <w:r w:rsidR="00632657">
        <w:t>, že sledovaný rok 2020 byl poznamenaný pandemií covid-19 a s ní spojeným uzavíráním vybraných podniků a dalšími doprovodnými opatřeními</w:t>
      </w:r>
      <w:r w:rsidR="005E145B">
        <w:t>.</w:t>
      </w:r>
      <w:r w:rsidR="00632657">
        <w:t xml:space="preserve"> </w:t>
      </w:r>
      <w:r w:rsidR="005E145B">
        <w:t xml:space="preserve">Z tohoto důvodu </w:t>
      </w:r>
      <w:r w:rsidR="00632657">
        <w:t xml:space="preserve">byla </w:t>
      </w:r>
      <w:r>
        <w:t xml:space="preserve">v této vlně šetření </w:t>
      </w:r>
      <w:r w:rsidR="00632657">
        <w:t>do dotazníku přidána i otázka, která se věnuje vyloženě omezením spojeným s pandemií.</w:t>
      </w:r>
      <w:r w:rsidR="00736467">
        <w:t xml:space="preserve"> Odpovědi na tuto otázku ukazuje tabulka 4.1. </w:t>
      </w:r>
    </w:p>
    <w:p w14:paraId="06DA7FAF" w14:textId="5BF1A913" w:rsidR="009F089A" w:rsidRDefault="00E95EA9" w:rsidP="009F089A">
      <w:pPr>
        <w:spacing w:after="120"/>
        <w:jc w:val="both"/>
      </w:pPr>
      <w:r>
        <w:t xml:space="preserve">Jako </w:t>
      </w:r>
      <w:r w:rsidR="00E94E8B">
        <w:t>limitující</w:t>
      </w:r>
      <w:r>
        <w:t xml:space="preserve"> faktor při vzdělávání zaměstnanců </w:t>
      </w:r>
      <w:r w:rsidR="00767523">
        <w:t>označila</w:t>
      </w:r>
      <w:r>
        <w:t xml:space="preserve"> pandemii covid-19 polovina podniků zajišťujících </w:t>
      </w:r>
      <w:r w:rsidR="00D6251F">
        <w:t>vzdělávání (51 %). Celkem 23</w:t>
      </w:r>
      <w:r>
        <w:t> % podniků zajišťujících vzdělávání omezi</w:t>
      </w:r>
      <w:r w:rsidR="00D6251F">
        <w:t>lo počet vzdělávaných osob, 21</w:t>
      </w:r>
      <w:r>
        <w:t xml:space="preserve"> % </w:t>
      </w:r>
      <w:r w:rsidR="00767523">
        <w:t>snížilo</w:t>
      </w:r>
      <w:r>
        <w:t xml:space="preserve"> počet vzdělávacích aktivit či přistoupilo ke krác</w:t>
      </w:r>
      <w:r w:rsidR="00D6251F">
        <w:t>ení probírané látky. Celkem 12</w:t>
      </w:r>
      <w:r>
        <w:t xml:space="preserve"> % (také) muselo snížit finanční prostředky </w:t>
      </w:r>
      <w:r w:rsidR="00D6251F">
        <w:t>na vzdělávání a 11</w:t>
      </w:r>
      <w:r>
        <w:t> % přistoupilo ke vzdělávání formou samostatného studia či e-learningu, popř. navýšilo podíl takového vzdělávání. Vyšší náklady na vzdělávání (např. z důvodu nutnosti rozdělit vzdělávané n</w:t>
      </w:r>
      <w:r w:rsidR="00D6251F">
        <w:t>a menší skupinky) vynaložila 3</w:t>
      </w:r>
      <w:r>
        <w:t xml:space="preserve"> % podniků. Nakonec jiné dopady </w:t>
      </w:r>
      <w:r w:rsidR="00D6251F">
        <w:t>než vyjmenované zaznamenalo 11</w:t>
      </w:r>
      <w:r>
        <w:t xml:space="preserve"> % podniků zajišťujících vzdělávání. </w:t>
      </w:r>
    </w:p>
    <w:p w14:paraId="79F31A0D" w14:textId="7CF3F327" w:rsidR="00E95EA9" w:rsidRDefault="00E95EA9" w:rsidP="009F089A">
      <w:pPr>
        <w:spacing w:after="120"/>
        <w:jc w:val="both"/>
      </w:pPr>
      <w:r>
        <w:t xml:space="preserve">S výjimkou poslední kategorie (tj. „jiných“ dopadů) přitom platí, že </w:t>
      </w:r>
      <w:r w:rsidRPr="009F089A">
        <w:rPr>
          <w:b/>
          <w:i/>
        </w:rPr>
        <w:t>s rostoucím počtem zaměstnanců</w:t>
      </w:r>
      <w:r>
        <w:t xml:space="preserve"> přibývá podniků, které daná omezení zaznamenaly, a naopak ubývá těch, které nezaznamenaly žádná omezení. V kategorii podniků zajišťujících vzdělávání s 250 a více zaměstnanci tak byla jen necelá desetina těch, které nezaznamenaly žádné dopady (kromě dodržování preventivních opatření). Oproti tomu v kategorii </w:t>
      </w:r>
      <w:r w:rsidRPr="00BA5E21">
        <w:t>podniků zajišťujících vzdělávání s</w:t>
      </w:r>
      <w:r>
        <w:t> 10</w:t>
      </w:r>
      <w:r w:rsidR="005D2EA4">
        <w:t>–</w:t>
      </w:r>
      <w:r>
        <w:t>19 zaměstnanci tvořily</w:t>
      </w:r>
      <w:r w:rsidR="00D6251F">
        <w:t xml:space="preserve"> takové podniky tři pětiny (59</w:t>
      </w:r>
      <w:r>
        <w:t xml:space="preserve"> %). To je vcelku pochopitelné vzhledem ke skutečnosti, že setkávání se v malé skupině nebylo v době pandemie tak rizikové, jako když se v podniku potkával velký počet zaměstnanců, příp. mohlo-li dojít mezi vzdělávanými skupinkami zaměstnanců k přenosu nemoci přes školitele. </w:t>
      </w:r>
    </w:p>
    <w:p w14:paraId="35F7E634" w14:textId="526F4AC9" w:rsidR="00E95EA9" w:rsidRDefault="00E95EA9" w:rsidP="00CF25C3">
      <w:pPr>
        <w:spacing w:after="120"/>
        <w:jc w:val="both"/>
      </w:pPr>
      <w:r>
        <w:t xml:space="preserve">Dále si lze všimnout, že všechny možnosti v nabídce (vyjma „jiných“ omezení) byly také častěji uváděny </w:t>
      </w:r>
      <w:r w:rsidR="0083763F">
        <w:rPr>
          <w:b/>
          <w:i/>
        </w:rPr>
        <w:t xml:space="preserve">podniky </w:t>
      </w:r>
      <w:r w:rsidR="00A13EE0">
        <w:rPr>
          <w:b/>
          <w:i/>
        </w:rPr>
        <w:t>pod zahraniční kontrolou</w:t>
      </w:r>
      <w:r>
        <w:t xml:space="preserve"> ve srovnání podniky</w:t>
      </w:r>
      <w:r w:rsidR="00A13EE0">
        <w:t xml:space="preserve"> domácími</w:t>
      </w:r>
      <w:r>
        <w:t xml:space="preserve">. Mezi </w:t>
      </w:r>
      <w:r w:rsidR="00A13EE0">
        <w:t>domácími</w:t>
      </w:r>
      <w:r>
        <w:t xml:space="preserve"> podniky zajišť</w:t>
      </w:r>
      <w:r w:rsidR="00D6251F">
        <w:t>ujícími vzdělávání tak bylo 52</w:t>
      </w:r>
      <w:r>
        <w:t> % těch, které v souvislosti s pandemií nepociťovaly žádná omezení (vyjma dodržování preventivních opatření) opro</w:t>
      </w:r>
      <w:r w:rsidR="00B403D2">
        <w:t>ti 30</w:t>
      </w:r>
      <w:r w:rsidR="00A13EE0">
        <w:t> % takových podniků pod zahraniční kontrolou.</w:t>
      </w:r>
    </w:p>
    <w:p w14:paraId="569196DB" w14:textId="2DFE9C3F" w:rsidR="00BD2C60" w:rsidRDefault="00CF27D4" w:rsidP="00BD2C60">
      <w:pPr>
        <w:jc w:val="both"/>
      </w:pPr>
      <w:r>
        <w:t xml:space="preserve">Jednotlivá </w:t>
      </w:r>
      <w:r w:rsidRPr="00CF27D4">
        <w:rPr>
          <w:b/>
          <w:i/>
        </w:rPr>
        <w:t>odvětví</w:t>
      </w:r>
      <w:r>
        <w:t xml:space="preserve"> jsou dále v tabulce 4.1 řazena podle podílu odpovědi, že pandemie covid-19 neměla na vzdělávání v podnicích jiné dopady než ty, že podniky musely při vzdělávání dodržovat preventivní opatření. Jak je zřejmé, </w:t>
      </w:r>
      <w:r w:rsidR="0083763F">
        <w:t>omezení spojená s pandemií</w:t>
      </w:r>
      <w:r w:rsidR="00BD2C60">
        <w:t xml:space="preserve"> cov</w:t>
      </w:r>
      <w:r w:rsidR="0083763F">
        <w:t xml:space="preserve">id-19 </w:t>
      </w:r>
      <w:r w:rsidR="00BD2C60">
        <w:t xml:space="preserve">pociťovaly v největší míře podniky s hlavní ekonomickou činností v oblasti </w:t>
      </w:r>
      <w:r w:rsidR="00BD2C60" w:rsidRPr="00E95EA9">
        <w:rPr>
          <w:i/>
        </w:rPr>
        <w:t>peněžnictví a pojišťovnictví</w:t>
      </w:r>
      <w:r w:rsidR="00D6251F">
        <w:t xml:space="preserve"> (72</w:t>
      </w:r>
      <w:r w:rsidR="00BD2C60">
        <w:t xml:space="preserve"> % z nich), v oblasti </w:t>
      </w:r>
      <w:r w:rsidR="00BD2C60" w:rsidRPr="00E95EA9">
        <w:rPr>
          <w:i/>
        </w:rPr>
        <w:t>informační a komunikační činnosti</w:t>
      </w:r>
      <w:r w:rsidR="00757927">
        <w:t xml:space="preserve"> (70 </w:t>
      </w:r>
      <w:r w:rsidR="00BD2C60">
        <w:t xml:space="preserve">%) a v oblasti </w:t>
      </w:r>
      <w:r w:rsidR="00BD2C60" w:rsidRPr="00E95EA9">
        <w:rPr>
          <w:i/>
        </w:rPr>
        <w:t>profesní, vědecké a technické činnosti</w:t>
      </w:r>
      <w:r w:rsidR="00D6251F">
        <w:t xml:space="preserve"> (62</w:t>
      </w:r>
      <w:r w:rsidR="00BD2C60">
        <w:t xml:space="preserve"> %). Naopak nejméně dotčené pandemií bylo vzdělávání zaměstnanců v podnicích z oblasti </w:t>
      </w:r>
      <w:r w:rsidR="00BD2C60" w:rsidRPr="00E95EA9">
        <w:rPr>
          <w:i/>
        </w:rPr>
        <w:t>dopravy a skladování</w:t>
      </w:r>
      <w:r w:rsidR="00D6251F">
        <w:t xml:space="preserve"> (dopady pociťovalo jen 38</w:t>
      </w:r>
      <w:r w:rsidR="00BD2C60">
        <w:t xml:space="preserve"> % podniků zajišťujících vzdělávání), z oblasti </w:t>
      </w:r>
      <w:r w:rsidR="00BD2C60" w:rsidRPr="00E95EA9">
        <w:rPr>
          <w:i/>
        </w:rPr>
        <w:t xml:space="preserve">stavebnictví </w:t>
      </w:r>
      <w:r w:rsidR="00D6251F">
        <w:t>(42</w:t>
      </w:r>
      <w:r w:rsidR="00BD2C60">
        <w:t xml:space="preserve"> %)  a z oblasti </w:t>
      </w:r>
      <w:r w:rsidR="00BD2C60" w:rsidRPr="00E95EA9">
        <w:rPr>
          <w:i/>
        </w:rPr>
        <w:t>nemovitostí a administrativy</w:t>
      </w:r>
      <w:r w:rsidR="00D6251F">
        <w:t xml:space="preserve"> (43</w:t>
      </w:r>
      <w:r w:rsidR="00BD2C60">
        <w:t xml:space="preserve"> %). Podniky z oblasti </w:t>
      </w:r>
      <w:r w:rsidR="00BD2C60" w:rsidRPr="00E95EA9">
        <w:rPr>
          <w:i/>
        </w:rPr>
        <w:t>peněžnictví a pojišťovnictví</w:t>
      </w:r>
      <w:r w:rsidR="00BD2C60">
        <w:t xml:space="preserve"> také v největší míře uváděly, že musely sníž</w:t>
      </w:r>
      <w:r w:rsidR="00D6251F">
        <w:t>it počet vzdělávaných osob (36</w:t>
      </w:r>
      <w:r w:rsidR="00BD2C60">
        <w:t> %</w:t>
      </w:r>
      <w:r w:rsidR="00D6251F">
        <w:t>), snížit rozsah vzdělávání (3</w:t>
      </w:r>
      <w:r w:rsidR="00BD2C60">
        <w:t xml:space="preserve">8 %) a zavést či zvýšit rozsah samostatného studia či e-learningu (39 %). Omezit finanční prostředky na vzdělávání musely v největší míře podniky zaměřené na </w:t>
      </w:r>
      <w:r w:rsidR="00BD2C60" w:rsidRPr="00E95EA9">
        <w:rPr>
          <w:i/>
        </w:rPr>
        <w:t>ubytování, stravování a pohostinství</w:t>
      </w:r>
      <w:r w:rsidR="00D6251F">
        <w:t xml:space="preserve"> (20</w:t>
      </w:r>
      <w:r w:rsidR="00BD2C60">
        <w:t xml:space="preserve"> %), které byly pro povahu svého podnikání opatřeními spojenými s pandemií dotčeny více než jiné. Mezi podniky z oblasti </w:t>
      </w:r>
      <w:r w:rsidR="00BD2C60" w:rsidRPr="00E95EA9">
        <w:rPr>
          <w:i/>
        </w:rPr>
        <w:t>stavebnictví</w:t>
      </w:r>
      <w:r w:rsidR="00BD2C60">
        <w:t xml:space="preserve"> zajišťujícími vzdělávání zas byl nejvyšší podíl těch, které musely naopak na</w:t>
      </w:r>
      <w:r w:rsidR="00D6251F">
        <w:t>výšit náklady na vzdělávání (6</w:t>
      </w:r>
      <w:r w:rsidR="00BD2C60">
        <w:t> %). Tyto podniky pak v souladu s tím v nejmenší míře uváděly, že snížily finanční prostředky na vzdělávání (4 %), jakož i že přistoupili k samostudiu či e-learningu, nebo navýšily</w:t>
      </w:r>
      <w:r w:rsidR="00D6251F">
        <w:t xml:space="preserve"> rozsah takového vzdělávání (5</w:t>
      </w:r>
      <w:r w:rsidR="00BD2C60">
        <w:t> %).</w:t>
      </w:r>
    </w:p>
    <w:p w14:paraId="4C8FCF8E" w14:textId="77777777" w:rsidR="00BD2C60" w:rsidRDefault="00BD2C60" w:rsidP="00CF25C3">
      <w:pPr>
        <w:spacing w:after="120"/>
        <w:jc w:val="both"/>
      </w:pPr>
    </w:p>
    <w:p w14:paraId="794C9788" w14:textId="1D730900" w:rsidR="00260187" w:rsidRDefault="003237E9" w:rsidP="003237E9">
      <w:pPr>
        <w:keepNext/>
        <w:spacing w:after="0"/>
        <w:rPr>
          <w:b/>
        </w:rPr>
      </w:pPr>
      <w:r>
        <w:rPr>
          <w:b/>
        </w:rPr>
        <w:lastRenderedPageBreak/>
        <w:t>Tab.</w:t>
      </w:r>
      <w:r w:rsidR="0091701C">
        <w:rPr>
          <w:b/>
        </w:rPr>
        <w:t xml:space="preserve"> </w:t>
      </w:r>
      <w:r w:rsidR="00736467" w:rsidRPr="00736467">
        <w:rPr>
          <w:b/>
        </w:rPr>
        <w:t xml:space="preserve">4.1 </w:t>
      </w:r>
      <w:r>
        <w:rPr>
          <w:b/>
        </w:rPr>
        <w:t>Podniky</w:t>
      </w:r>
      <w:r w:rsidR="0091701C">
        <w:rPr>
          <w:b/>
        </w:rPr>
        <w:t xml:space="preserve"> </w:t>
      </w:r>
      <w:r>
        <w:rPr>
          <w:b/>
        </w:rPr>
        <w:t>s uvedenými</w:t>
      </w:r>
      <w:r w:rsidR="00736467" w:rsidRPr="00736467">
        <w:rPr>
          <w:b/>
        </w:rPr>
        <w:t xml:space="preserve"> dopady </w:t>
      </w:r>
      <w:r>
        <w:rPr>
          <w:b/>
        </w:rPr>
        <w:t>epidemie</w:t>
      </w:r>
      <w:r w:rsidR="00736467" w:rsidRPr="00736467">
        <w:rPr>
          <w:b/>
        </w:rPr>
        <w:t xml:space="preserve"> COVID-19 na vzděl</w:t>
      </w:r>
      <w:r>
        <w:rPr>
          <w:b/>
        </w:rPr>
        <w:t>ávání zaměstnanců, 2020</w:t>
      </w:r>
    </w:p>
    <w:p w14:paraId="760B2911" w14:textId="2E53777A" w:rsidR="003237E9" w:rsidRPr="003237E9" w:rsidRDefault="003237E9" w:rsidP="00BD2C60">
      <w:pPr>
        <w:keepNext/>
        <w:spacing w:after="120"/>
      </w:pPr>
      <w:r w:rsidRPr="003237E9">
        <w:t>(v % z podniků zajišťujících vzdělávání)</w:t>
      </w:r>
    </w:p>
    <w:tbl>
      <w:tblPr>
        <w:tblW w:w="9628" w:type="dxa"/>
        <w:tblLayout w:type="fixed"/>
        <w:tblCellMar>
          <w:left w:w="70" w:type="dxa"/>
          <w:right w:w="70" w:type="dxa"/>
        </w:tblCellMar>
        <w:tblLook w:val="04A0" w:firstRow="1" w:lastRow="0" w:firstColumn="1" w:lastColumn="0" w:noHBand="0" w:noVBand="1"/>
      </w:tblPr>
      <w:tblGrid>
        <w:gridCol w:w="2755"/>
        <w:gridCol w:w="784"/>
        <w:gridCol w:w="992"/>
        <w:gridCol w:w="1134"/>
        <w:gridCol w:w="1134"/>
        <w:gridCol w:w="851"/>
        <w:gridCol w:w="850"/>
        <w:gridCol w:w="1128"/>
      </w:tblGrid>
      <w:tr w:rsidR="00736467" w:rsidRPr="00260187" w14:paraId="5763CB35" w14:textId="77777777" w:rsidTr="00736467">
        <w:trPr>
          <w:trHeight w:val="1995"/>
        </w:trPr>
        <w:tc>
          <w:tcPr>
            <w:tcW w:w="2755" w:type="dxa"/>
            <w:tcBorders>
              <w:top w:val="single" w:sz="4" w:space="0" w:color="auto"/>
              <w:left w:val="single" w:sz="4" w:space="0" w:color="auto"/>
              <w:bottom w:val="single" w:sz="4" w:space="0" w:color="auto"/>
              <w:right w:val="single" w:sz="4" w:space="0" w:color="auto"/>
            </w:tcBorders>
            <w:shd w:val="clear" w:color="000000" w:fill="7FB0DD"/>
            <w:noWrap/>
            <w:vAlign w:val="center"/>
            <w:hideMark/>
          </w:tcPr>
          <w:p w14:paraId="0595116E" w14:textId="77777777" w:rsidR="00260187" w:rsidRPr="00260187" w:rsidRDefault="00260187" w:rsidP="00BD2C60">
            <w:pPr>
              <w:keepNext/>
              <w:spacing w:after="0" w:line="240" w:lineRule="auto"/>
              <w:jc w:val="center"/>
              <w:rPr>
                <w:rFonts w:cs="Arial"/>
                <w:b/>
                <w:bCs/>
                <w:color w:val="000000"/>
                <w:sz w:val="16"/>
                <w:szCs w:val="16"/>
              </w:rPr>
            </w:pPr>
            <w:r w:rsidRPr="00260187">
              <w:rPr>
                <w:rFonts w:cs="Arial"/>
                <w:b/>
                <w:bCs/>
                <w:color w:val="000000"/>
                <w:sz w:val="16"/>
                <w:szCs w:val="16"/>
              </w:rPr>
              <w:t> </w:t>
            </w:r>
          </w:p>
        </w:tc>
        <w:tc>
          <w:tcPr>
            <w:tcW w:w="784" w:type="dxa"/>
            <w:tcBorders>
              <w:top w:val="single" w:sz="4" w:space="0" w:color="auto"/>
              <w:left w:val="nil"/>
              <w:bottom w:val="single" w:sz="4" w:space="0" w:color="auto"/>
              <w:right w:val="single" w:sz="4" w:space="0" w:color="auto"/>
            </w:tcBorders>
            <w:shd w:val="clear" w:color="000000" w:fill="7FB0DD"/>
            <w:vAlign w:val="center"/>
            <w:hideMark/>
          </w:tcPr>
          <w:p w14:paraId="42CA57F1" w14:textId="63A35682" w:rsidR="00260187" w:rsidRPr="00260187" w:rsidRDefault="006026BF" w:rsidP="00BD2C60">
            <w:pPr>
              <w:keepNext/>
              <w:spacing w:after="0" w:line="240" w:lineRule="auto"/>
              <w:jc w:val="center"/>
              <w:rPr>
                <w:rFonts w:cs="Arial"/>
                <w:b/>
                <w:bCs/>
                <w:color w:val="000000"/>
                <w:sz w:val="16"/>
                <w:szCs w:val="16"/>
              </w:rPr>
            </w:pPr>
            <w:r>
              <w:rPr>
                <w:rFonts w:cs="Arial"/>
                <w:b/>
                <w:bCs/>
                <w:color w:val="000000"/>
                <w:sz w:val="16"/>
                <w:szCs w:val="16"/>
              </w:rPr>
              <w:t>M</w:t>
            </w:r>
            <w:r w:rsidR="00260187" w:rsidRPr="00260187">
              <w:rPr>
                <w:rFonts w:cs="Arial"/>
                <w:b/>
                <w:bCs/>
                <w:color w:val="000000"/>
                <w:sz w:val="16"/>
                <w:szCs w:val="16"/>
              </w:rPr>
              <w:t>enší počet vzdělá-vajících se osob</w:t>
            </w:r>
          </w:p>
        </w:tc>
        <w:tc>
          <w:tcPr>
            <w:tcW w:w="992" w:type="dxa"/>
            <w:tcBorders>
              <w:top w:val="single" w:sz="4" w:space="0" w:color="auto"/>
              <w:left w:val="nil"/>
              <w:bottom w:val="single" w:sz="4" w:space="0" w:color="auto"/>
              <w:right w:val="single" w:sz="4" w:space="0" w:color="auto"/>
            </w:tcBorders>
            <w:shd w:val="clear" w:color="000000" w:fill="7FB0DD"/>
            <w:vAlign w:val="center"/>
            <w:hideMark/>
          </w:tcPr>
          <w:p w14:paraId="679C8E1E" w14:textId="59FC7F1A" w:rsidR="00260187" w:rsidRPr="00260187" w:rsidRDefault="006026BF" w:rsidP="00BD2C60">
            <w:pPr>
              <w:keepNext/>
              <w:spacing w:after="0" w:line="240" w:lineRule="auto"/>
              <w:jc w:val="center"/>
              <w:rPr>
                <w:rFonts w:cs="Arial"/>
                <w:b/>
                <w:bCs/>
                <w:color w:val="000000"/>
                <w:sz w:val="16"/>
                <w:szCs w:val="16"/>
              </w:rPr>
            </w:pPr>
            <w:r>
              <w:rPr>
                <w:rFonts w:cs="Arial"/>
                <w:b/>
                <w:bCs/>
                <w:color w:val="000000"/>
                <w:sz w:val="16"/>
                <w:szCs w:val="16"/>
              </w:rPr>
              <w:t>M</w:t>
            </w:r>
            <w:r w:rsidR="00260187" w:rsidRPr="00260187">
              <w:rPr>
                <w:rFonts w:cs="Arial"/>
                <w:b/>
                <w:bCs/>
                <w:color w:val="000000"/>
                <w:sz w:val="16"/>
                <w:szCs w:val="16"/>
              </w:rPr>
              <w:t>enší počet vzdělá-vacích aktivit či krácení probírané látky</w:t>
            </w:r>
          </w:p>
        </w:tc>
        <w:tc>
          <w:tcPr>
            <w:tcW w:w="1134" w:type="dxa"/>
            <w:tcBorders>
              <w:top w:val="single" w:sz="4" w:space="0" w:color="auto"/>
              <w:left w:val="nil"/>
              <w:bottom w:val="single" w:sz="4" w:space="0" w:color="auto"/>
              <w:right w:val="single" w:sz="4" w:space="0" w:color="auto"/>
            </w:tcBorders>
            <w:shd w:val="clear" w:color="000000" w:fill="7FB0DD"/>
            <w:vAlign w:val="center"/>
            <w:hideMark/>
          </w:tcPr>
          <w:p w14:paraId="7C04FF5E" w14:textId="2B1495B5" w:rsidR="00260187" w:rsidRPr="00260187" w:rsidRDefault="006026BF" w:rsidP="00BD2C60">
            <w:pPr>
              <w:keepNext/>
              <w:spacing w:after="0" w:line="240" w:lineRule="auto"/>
              <w:jc w:val="center"/>
              <w:rPr>
                <w:rFonts w:cs="Arial"/>
                <w:b/>
                <w:bCs/>
                <w:color w:val="000000"/>
                <w:sz w:val="16"/>
                <w:szCs w:val="16"/>
              </w:rPr>
            </w:pPr>
            <w:r>
              <w:rPr>
                <w:rFonts w:cs="Arial"/>
                <w:b/>
                <w:bCs/>
                <w:color w:val="000000"/>
                <w:sz w:val="16"/>
                <w:szCs w:val="16"/>
              </w:rPr>
              <w:t>S</w:t>
            </w:r>
            <w:r w:rsidR="00736467">
              <w:rPr>
                <w:rFonts w:cs="Arial"/>
                <w:b/>
                <w:bCs/>
                <w:color w:val="000000"/>
                <w:sz w:val="16"/>
                <w:szCs w:val="16"/>
              </w:rPr>
              <w:t>nížení finančních prostředků</w:t>
            </w:r>
            <w:r w:rsidR="00260187" w:rsidRPr="00260187">
              <w:rPr>
                <w:rFonts w:cs="Arial"/>
                <w:b/>
                <w:bCs/>
                <w:color w:val="000000"/>
                <w:sz w:val="16"/>
                <w:szCs w:val="16"/>
              </w:rPr>
              <w:t>, které bylo možné vyhradit na vzdělávání</w:t>
            </w:r>
          </w:p>
        </w:tc>
        <w:tc>
          <w:tcPr>
            <w:tcW w:w="1134" w:type="dxa"/>
            <w:tcBorders>
              <w:top w:val="single" w:sz="4" w:space="0" w:color="auto"/>
              <w:left w:val="nil"/>
              <w:bottom w:val="single" w:sz="4" w:space="0" w:color="auto"/>
              <w:right w:val="single" w:sz="4" w:space="0" w:color="auto"/>
            </w:tcBorders>
            <w:shd w:val="clear" w:color="000000" w:fill="7FB0DD"/>
            <w:vAlign w:val="center"/>
            <w:hideMark/>
          </w:tcPr>
          <w:p w14:paraId="095DAD08" w14:textId="3127E47E" w:rsidR="00230786" w:rsidRDefault="006026BF" w:rsidP="00BD2C60">
            <w:pPr>
              <w:keepNext/>
              <w:spacing w:after="0" w:line="240" w:lineRule="auto"/>
              <w:jc w:val="center"/>
              <w:rPr>
                <w:rFonts w:cs="Arial"/>
                <w:b/>
                <w:bCs/>
                <w:color w:val="000000"/>
                <w:sz w:val="16"/>
                <w:szCs w:val="16"/>
              </w:rPr>
            </w:pPr>
            <w:r>
              <w:rPr>
                <w:rFonts w:cs="Arial"/>
                <w:b/>
                <w:bCs/>
                <w:color w:val="000000"/>
                <w:sz w:val="16"/>
                <w:szCs w:val="16"/>
              </w:rPr>
              <w:t>P</w:t>
            </w:r>
            <w:r w:rsidR="00260187" w:rsidRPr="00260187">
              <w:rPr>
                <w:rFonts w:cs="Arial"/>
                <w:b/>
                <w:bCs/>
                <w:color w:val="000000"/>
                <w:sz w:val="16"/>
                <w:szCs w:val="16"/>
              </w:rPr>
              <w:t>řistoupení k</w:t>
            </w:r>
            <w:r w:rsidR="00230786">
              <w:rPr>
                <w:rFonts w:cs="Arial"/>
                <w:b/>
                <w:bCs/>
                <w:color w:val="000000"/>
                <w:sz w:val="16"/>
                <w:szCs w:val="16"/>
              </w:rPr>
              <w:t> </w:t>
            </w:r>
            <w:r w:rsidR="00260187" w:rsidRPr="00260187">
              <w:rPr>
                <w:rFonts w:cs="Arial"/>
                <w:b/>
                <w:bCs/>
                <w:color w:val="000000"/>
                <w:sz w:val="16"/>
                <w:szCs w:val="16"/>
              </w:rPr>
              <w:t>samostat</w:t>
            </w:r>
            <w:r w:rsidR="00230786">
              <w:rPr>
                <w:rFonts w:cs="Arial"/>
                <w:b/>
                <w:bCs/>
                <w:color w:val="000000"/>
                <w:sz w:val="16"/>
                <w:szCs w:val="16"/>
              </w:rPr>
              <w:t>-</w:t>
            </w:r>
            <w:r w:rsidR="00260187" w:rsidRPr="00260187">
              <w:rPr>
                <w:rFonts w:cs="Arial"/>
                <w:b/>
                <w:bCs/>
                <w:color w:val="000000"/>
                <w:sz w:val="16"/>
                <w:szCs w:val="16"/>
              </w:rPr>
              <w:t>nému studiu či</w:t>
            </w:r>
            <w:r w:rsidR="00230786">
              <w:rPr>
                <w:rFonts w:cs="Arial"/>
                <w:b/>
                <w:bCs/>
                <w:color w:val="000000"/>
                <w:sz w:val="16"/>
                <w:szCs w:val="16"/>
              </w:rPr>
              <w:t xml:space="preserve">  </w:t>
            </w:r>
          </w:p>
          <w:p w14:paraId="66C5BD9F" w14:textId="53DE11CC" w:rsidR="00260187" w:rsidRPr="00260187" w:rsidRDefault="00260187" w:rsidP="00BD2C60">
            <w:pPr>
              <w:keepNext/>
              <w:spacing w:after="0" w:line="240" w:lineRule="auto"/>
              <w:jc w:val="center"/>
              <w:rPr>
                <w:rFonts w:cs="Arial"/>
                <w:b/>
                <w:bCs/>
                <w:color w:val="000000"/>
                <w:sz w:val="16"/>
                <w:szCs w:val="16"/>
              </w:rPr>
            </w:pPr>
            <w:r w:rsidRPr="00260187">
              <w:rPr>
                <w:rFonts w:cs="Arial"/>
                <w:b/>
                <w:bCs/>
                <w:color w:val="000000"/>
                <w:sz w:val="16"/>
                <w:szCs w:val="16"/>
              </w:rPr>
              <w:t>e-learningu, příp. navýšení jeho podílu</w:t>
            </w:r>
          </w:p>
        </w:tc>
        <w:tc>
          <w:tcPr>
            <w:tcW w:w="851" w:type="dxa"/>
            <w:tcBorders>
              <w:top w:val="single" w:sz="4" w:space="0" w:color="auto"/>
              <w:left w:val="nil"/>
              <w:bottom w:val="single" w:sz="4" w:space="0" w:color="auto"/>
              <w:right w:val="single" w:sz="4" w:space="0" w:color="auto"/>
            </w:tcBorders>
            <w:shd w:val="clear" w:color="000000" w:fill="7FB0DD"/>
            <w:vAlign w:val="center"/>
            <w:hideMark/>
          </w:tcPr>
          <w:p w14:paraId="4B085BFF" w14:textId="12BBB28E" w:rsidR="00260187" w:rsidRPr="00260187" w:rsidRDefault="006026BF" w:rsidP="001B1EFF">
            <w:pPr>
              <w:keepNext/>
              <w:spacing w:after="0" w:line="240" w:lineRule="auto"/>
              <w:jc w:val="center"/>
              <w:rPr>
                <w:rFonts w:cs="Arial"/>
                <w:b/>
                <w:bCs/>
                <w:color w:val="000000"/>
                <w:sz w:val="16"/>
                <w:szCs w:val="16"/>
              </w:rPr>
            </w:pPr>
            <w:r>
              <w:rPr>
                <w:rFonts w:cs="Arial"/>
                <w:b/>
                <w:bCs/>
                <w:color w:val="000000"/>
                <w:sz w:val="16"/>
                <w:szCs w:val="16"/>
              </w:rPr>
              <w:t>V</w:t>
            </w:r>
            <w:r w:rsidR="00260187" w:rsidRPr="00260187">
              <w:rPr>
                <w:rFonts w:cs="Arial"/>
                <w:b/>
                <w:bCs/>
                <w:color w:val="000000"/>
                <w:sz w:val="16"/>
                <w:szCs w:val="16"/>
              </w:rPr>
              <w:t>yšší náklady na vzdělá</w:t>
            </w:r>
            <w:r w:rsidR="00736467">
              <w:rPr>
                <w:rFonts w:cs="Arial"/>
                <w:b/>
                <w:bCs/>
                <w:color w:val="000000"/>
                <w:sz w:val="16"/>
                <w:szCs w:val="16"/>
              </w:rPr>
              <w:t>-</w:t>
            </w:r>
            <w:r w:rsidR="00260187" w:rsidRPr="00260187">
              <w:rPr>
                <w:rFonts w:cs="Arial"/>
                <w:b/>
                <w:bCs/>
                <w:color w:val="000000"/>
                <w:sz w:val="16"/>
                <w:szCs w:val="16"/>
              </w:rPr>
              <w:t>vání</w:t>
            </w:r>
            <w:r w:rsidR="00B777E6">
              <w:rPr>
                <w:rFonts w:cs="Arial"/>
                <w:b/>
                <w:bCs/>
                <w:color w:val="000000"/>
                <w:sz w:val="16"/>
                <w:szCs w:val="16"/>
              </w:rPr>
              <w:t xml:space="preserve"> </w:t>
            </w:r>
            <w:r w:rsidR="001B1EFF">
              <w:rPr>
                <w:rStyle w:val="Znakapoznpodarou"/>
                <w:rFonts w:cs="Arial"/>
                <w:b/>
                <w:bCs/>
                <w:color w:val="000000"/>
                <w:sz w:val="16"/>
                <w:szCs w:val="16"/>
              </w:rPr>
              <w:footnoteReference w:id="9"/>
            </w:r>
            <w:r w:rsidR="00260187" w:rsidRPr="00260187">
              <w:rPr>
                <w:rFonts w:cs="Arial"/>
                <w:b/>
                <w:bCs/>
                <w:color w:val="000000"/>
                <w:sz w:val="16"/>
                <w:szCs w:val="16"/>
              </w:rPr>
              <w:t xml:space="preserve"> </w:t>
            </w:r>
          </w:p>
        </w:tc>
        <w:tc>
          <w:tcPr>
            <w:tcW w:w="850" w:type="dxa"/>
            <w:tcBorders>
              <w:top w:val="single" w:sz="4" w:space="0" w:color="auto"/>
              <w:left w:val="nil"/>
              <w:bottom w:val="single" w:sz="4" w:space="0" w:color="auto"/>
              <w:right w:val="single" w:sz="4" w:space="0" w:color="auto"/>
            </w:tcBorders>
            <w:shd w:val="clear" w:color="000000" w:fill="7FB0DD"/>
            <w:vAlign w:val="center"/>
            <w:hideMark/>
          </w:tcPr>
          <w:p w14:paraId="1ABE1A4F" w14:textId="1F2E786A" w:rsidR="00260187" w:rsidRPr="00260187" w:rsidRDefault="006026BF" w:rsidP="00BD2C60">
            <w:pPr>
              <w:keepNext/>
              <w:spacing w:after="0" w:line="240" w:lineRule="auto"/>
              <w:jc w:val="center"/>
              <w:rPr>
                <w:rFonts w:cs="Arial"/>
                <w:b/>
                <w:bCs/>
                <w:color w:val="000000"/>
                <w:sz w:val="16"/>
                <w:szCs w:val="16"/>
              </w:rPr>
            </w:pPr>
            <w:r>
              <w:rPr>
                <w:rFonts w:cs="Arial"/>
                <w:b/>
                <w:bCs/>
                <w:color w:val="000000"/>
                <w:sz w:val="16"/>
                <w:szCs w:val="16"/>
              </w:rPr>
              <w:t>J</w:t>
            </w:r>
            <w:r w:rsidR="00260187" w:rsidRPr="00260187">
              <w:rPr>
                <w:rFonts w:cs="Arial"/>
                <w:b/>
                <w:bCs/>
                <w:color w:val="000000"/>
                <w:sz w:val="16"/>
                <w:szCs w:val="16"/>
              </w:rPr>
              <w:t>iné dopady než výše uvedené</w:t>
            </w:r>
          </w:p>
        </w:tc>
        <w:tc>
          <w:tcPr>
            <w:tcW w:w="1128" w:type="dxa"/>
            <w:tcBorders>
              <w:top w:val="single" w:sz="4" w:space="0" w:color="auto"/>
              <w:left w:val="nil"/>
              <w:bottom w:val="single" w:sz="4" w:space="0" w:color="auto"/>
              <w:right w:val="single" w:sz="4" w:space="0" w:color="auto"/>
            </w:tcBorders>
            <w:shd w:val="clear" w:color="000000" w:fill="7FB0DD"/>
            <w:vAlign w:val="center"/>
            <w:hideMark/>
          </w:tcPr>
          <w:p w14:paraId="0A0405EB" w14:textId="37A3EB6B" w:rsidR="00260187" w:rsidRPr="00260187" w:rsidRDefault="006026BF" w:rsidP="00BD2C60">
            <w:pPr>
              <w:keepNext/>
              <w:spacing w:after="0" w:line="240" w:lineRule="auto"/>
              <w:jc w:val="center"/>
              <w:rPr>
                <w:rFonts w:cs="Arial"/>
                <w:b/>
                <w:bCs/>
                <w:color w:val="000000"/>
                <w:sz w:val="16"/>
                <w:szCs w:val="16"/>
              </w:rPr>
            </w:pPr>
            <w:r>
              <w:rPr>
                <w:rFonts w:cs="Arial"/>
                <w:b/>
                <w:bCs/>
                <w:color w:val="000000"/>
                <w:sz w:val="16"/>
                <w:szCs w:val="16"/>
              </w:rPr>
              <w:t>Ž</w:t>
            </w:r>
            <w:r w:rsidR="00260187" w:rsidRPr="00260187">
              <w:rPr>
                <w:rFonts w:cs="Arial"/>
                <w:b/>
                <w:bCs/>
                <w:color w:val="000000"/>
                <w:sz w:val="16"/>
                <w:szCs w:val="16"/>
              </w:rPr>
              <w:t>ádné (kromě dodržování preventiv-ních opatření)</w:t>
            </w:r>
          </w:p>
        </w:tc>
      </w:tr>
      <w:tr w:rsidR="00736467" w:rsidRPr="00260187" w14:paraId="0E6FA318"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2A778AFE" w14:textId="77777777" w:rsidR="00260187" w:rsidRPr="00260187" w:rsidRDefault="00260187" w:rsidP="00BD2C60">
            <w:pPr>
              <w:keepNext/>
              <w:spacing w:after="0" w:line="240" w:lineRule="auto"/>
              <w:rPr>
                <w:rFonts w:cs="Arial"/>
                <w:b/>
                <w:bCs/>
                <w:sz w:val="16"/>
                <w:szCs w:val="16"/>
              </w:rPr>
            </w:pPr>
            <w:r w:rsidRPr="00260187">
              <w:rPr>
                <w:rFonts w:cs="Arial"/>
                <w:b/>
                <w:bCs/>
                <w:sz w:val="16"/>
                <w:szCs w:val="16"/>
              </w:rPr>
              <w:t>Celkem</w:t>
            </w:r>
          </w:p>
        </w:tc>
        <w:tc>
          <w:tcPr>
            <w:tcW w:w="784" w:type="dxa"/>
            <w:tcBorders>
              <w:top w:val="nil"/>
              <w:left w:val="nil"/>
              <w:bottom w:val="single" w:sz="4" w:space="0" w:color="auto"/>
              <w:right w:val="single" w:sz="4" w:space="0" w:color="auto"/>
            </w:tcBorders>
            <w:shd w:val="clear" w:color="auto" w:fill="auto"/>
            <w:noWrap/>
            <w:vAlign w:val="center"/>
            <w:hideMark/>
          </w:tcPr>
          <w:p w14:paraId="471C0AD7"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23,2</w:t>
            </w:r>
          </w:p>
        </w:tc>
        <w:tc>
          <w:tcPr>
            <w:tcW w:w="992" w:type="dxa"/>
            <w:tcBorders>
              <w:top w:val="nil"/>
              <w:left w:val="nil"/>
              <w:bottom w:val="single" w:sz="4" w:space="0" w:color="auto"/>
              <w:right w:val="single" w:sz="4" w:space="0" w:color="auto"/>
            </w:tcBorders>
            <w:shd w:val="clear" w:color="auto" w:fill="auto"/>
            <w:noWrap/>
            <w:vAlign w:val="center"/>
            <w:hideMark/>
          </w:tcPr>
          <w:p w14:paraId="19D8A868"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21,3</w:t>
            </w:r>
          </w:p>
        </w:tc>
        <w:tc>
          <w:tcPr>
            <w:tcW w:w="1134" w:type="dxa"/>
            <w:tcBorders>
              <w:top w:val="nil"/>
              <w:left w:val="nil"/>
              <w:bottom w:val="single" w:sz="4" w:space="0" w:color="auto"/>
              <w:right w:val="single" w:sz="4" w:space="0" w:color="auto"/>
            </w:tcBorders>
            <w:shd w:val="clear" w:color="auto" w:fill="auto"/>
            <w:noWrap/>
            <w:vAlign w:val="center"/>
            <w:hideMark/>
          </w:tcPr>
          <w:p w14:paraId="27C17081"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4305CCB8"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11,4</w:t>
            </w:r>
          </w:p>
        </w:tc>
        <w:tc>
          <w:tcPr>
            <w:tcW w:w="851" w:type="dxa"/>
            <w:tcBorders>
              <w:top w:val="nil"/>
              <w:left w:val="nil"/>
              <w:bottom w:val="single" w:sz="4" w:space="0" w:color="auto"/>
              <w:right w:val="single" w:sz="4" w:space="0" w:color="auto"/>
            </w:tcBorders>
            <w:shd w:val="clear" w:color="auto" w:fill="auto"/>
            <w:noWrap/>
            <w:vAlign w:val="center"/>
            <w:hideMark/>
          </w:tcPr>
          <w:p w14:paraId="508B901A"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3,1</w:t>
            </w:r>
          </w:p>
        </w:tc>
        <w:tc>
          <w:tcPr>
            <w:tcW w:w="850" w:type="dxa"/>
            <w:tcBorders>
              <w:top w:val="nil"/>
              <w:left w:val="nil"/>
              <w:bottom w:val="single" w:sz="4" w:space="0" w:color="auto"/>
              <w:right w:val="single" w:sz="4" w:space="0" w:color="auto"/>
            </w:tcBorders>
            <w:shd w:val="clear" w:color="auto" w:fill="auto"/>
            <w:noWrap/>
            <w:vAlign w:val="center"/>
            <w:hideMark/>
          </w:tcPr>
          <w:p w14:paraId="15240672"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11,3</w:t>
            </w:r>
          </w:p>
        </w:tc>
        <w:tc>
          <w:tcPr>
            <w:tcW w:w="1128" w:type="dxa"/>
            <w:tcBorders>
              <w:top w:val="nil"/>
              <w:left w:val="nil"/>
              <w:bottom w:val="single" w:sz="4" w:space="0" w:color="auto"/>
              <w:right w:val="single" w:sz="4" w:space="0" w:color="auto"/>
            </w:tcBorders>
            <w:shd w:val="clear" w:color="auto" w:fill="auto"/>
            <w:noWrap/>
            <w:vAlign w:val="center"/>
            <w:hideMark/>
          </w:tcPr>
          <w:p w14:paraId="22180474" w14:textId="77777777" w:rsidR="00260187" w:rsidRPr="00447376" w:rsidRDefault="00260187" w:rsidP="00BD2C60">
            <w:pPr>
              <w:keepNext/>
              <w:spacing w:after="0" w:line="240" w:lineRule="auto"/>
              <w:jc w:val="right"/>
              <w:rPr>
                <w:rFonts w:cs="Arial"/>
                <w:b/>
                <w:color w:val="000000"/>
                <w:sz w:val="16"/>
                <w:szCs w:val="16"/>
              </w:rPr>
            </w:pPr>
            <w:r w:rsidRPr="00447376">
              <w:rPr>
                <w:rFonts w:cs="Arial"/>
                <w:b/>
                <w:color w:val="000000"/>
                <w:sz w:val="16"/>
                <w:szCs w:val="16"/>
              </w:rPr>
              <w:t>48,8</w:t>
            </w:r>
          </w:p>
        </w:tc>
      </w:tr>
      <w:tr w:rsidR="00260187" w:rsidRPr="00260187" w14:paraId="3C67E2C1" w14:textId="77777777" w:rsidTr="00736467">
        <w:trPr>
          <w:trHeight w:val="300"/>
        </w:trPr>
        <w:tc>
          <w:tcPr>
            <w:tcW w:w="9628"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6BD09819" w14:textId="77777777" w:rsidR="00260187" w:rsidRPr="00260187" w:rsidRDefault="00260187" w:rsidP="00BD2C60">
            <w:pPr>
              <w:keepNext/>
              <w:spacing w:after="0" w:line="240" w:lineRule="auto"/>
              <w:rPr>
                <w:rFonts w:cs="Arial"/>
                <w:b/>
                <w:bCs/>
                <w:sz w:val="16"/>
                <w:szCs w:val="16"/>
              </w:rPr>
            </w:pPr>
            <w:r w:rsidRPr="00260187">
              <w:rPr>
                <w:rFonts w:cs="Arial"/>
                <w:b/>
                <w:bCs/>
                <w:sz w:val="16"/>
                <w:szCs w:val="16"/>
              </w:rPr>
              <w:t xml:space="preserve">podle počtu zaměstnanců </w:t>
            </w:r>
          </w:p>
        </w:tc>
      </w:tr>
      <w:tr w:rsidR="00736467" w:rsidRPr="00260187" w14:paraId="76B476DA"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7872E0B3" w14:textId="77777777" w:rsidR="00260187" w:rsidRPr="00260187" w:rsidRDefault="00260187" w:rsidP="00BD2C60">
            <w:pPr>
              <w:keepNext/>
              <w:spacing w:after="0" w:line="240" w:lineRule="auto"/>
              <w:rPr>
                <w:rFonts w:cs="Arial"/>
                <w:sz w:val="16"/>
                <w:szCs w:val="16"/>
              </w:rPr>
            </w:pPr>
            <w:r w:rsidRPr="00260187">
              <w:rPr>
                <w:rFonts w:cs="Arial"/>
                <w:sz w:val="16"/>
                <w:szCs w:val="16"/>
              </w:rPr>
              <w:t>10–19 zaměstnanců</w:t>
            </w:r>
          </w:p>
        </w:tc>
        <w:tc>
          <w:tcPr>
            <w:tcW w:w="784" w:type="dxa"/>
            <w:tcBorders>
              <w:top w:val="nil"/>
              <w:left w:val="nil"/>
              <w:bottom w:val="single" w:sz="4" w:space="0" w:color="auto"/>
              <w:right w:val="single" w:sz="4" w:space="0" w:color="auto"/>
            </w:tcBorders>
            <w:shd w:val="clear" w:color="auto" w:fill="auto"/>
            <w:noWrap/>
            <w:vAlign w:val="center"/>
            <w:hideMark/>
          </w:tcPr>
          <w:p w14:paraId="6A232404"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13,8</w:t>
            </w:r>
          </w:p>
        </w:tc>
        <w:tc>
          <w:tcPr>
            <w:tcW w:w="992" w:type="dxa"/>
            <w:tcBorders>
              <w:top w:val="nil"/>
              <w:left w:val="nil"/>
              <w:bottom w:val="single" w:sz="4" w:space="0" w:color="auto"/>
              <w:right w:val="single" w:sz="4" w:space="0" w:color="auto"/>
            </w:tcBorders>
            <w:shd w:val="clear" w:color="auto" w:fill="auto"/>
            <w:noWrap/>
            <w:vAlign w:val="center"/>
            <w:hideMark/>
          </w:tcPr>
          <w:p w14:paraId="6129AA5B"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16795D65"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9,1</w:t>
            </w:r>
          </w:p>
        </w:tc>
        <w:tc>
          <w:tcPr>
            <w:tcW w:w="1134" w:type="dxa"/>
            <w:tcBorders>
              <w:top w:val="nil"/>
              <w:left w:val="nil"/>
              <w:bottom w:val="single" w:sz="4" w:space="0" w:color="auto"/>
              <w:right w:val="single" w:sz="4" w:space="0" w:color="auto"/>
            </w:tcBorders>
            <w:shd w:val="clear" w:color="auto" w:fill="auto"/>
            <w:noWrap/>
            <w:vAlign w:val="center"/>
            <w:hideMark/>
          </w:tcPr>
          <w:p w14:paraId="4900BA97"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7,2</w:t>
            </w:r>
          </w:p>
        </w:tc>
        <w:tc>
          <w:tcPr>
            <w:tcW w:w="851" w:type="dxa"/>
            <w:tcBorders>
              <w:top w:val="nil"/>
              <w:left w:val="nil"/>
              <w:bottom w:val="single" w:sz="4" w:space="0" w:color="auto"/>
              <w:right w:val="single" w:sz="4" w:space="0" w:color="auto"/>
            </w:tcBorders>
            <w:shd w:val="clear" w:color="auto" w:fill="auto"/>
            <w:noWrap/>
            <w:vAlign w:val="center"/>
            <w:hideMark/>
          </w:tcPr>
          <w:p w14:paraId="3C0316F6"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center"/>
            <w:hideMark/>
          </w:tcPr>
          <w:p w14:paraId="5D94A89E"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11,3</w:t>
            </w:r>
          </w:p>
        </w:tc>
        <w:tc>
          <w:tcPr>
            <w:tcW w:w="1128" w:type="dxa"/>
            <w:tcBorders>
              <w:top w:val="nil"/>
              <w:left w:val="nil"/>
              <w:bottom w:val="single" w:sz="4" w:space="0" w:color="auto"/>
              <w:right w:val="single" w:sz="4" w:space="0" w:color="auto"/>
            </w:tcBorders>
            <w:shd w:val="clear" w:color="auto" w:fill="auto"/>
            <w:noWrap/>
            <w:vAlign w:val="center"/>
            <w:hideMark/>
          </w:tcPr>
          <w:p w14:paraId="2B1599A7"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59,2</w:t>
            </w:r>
          </w:p>
        </w:tc>
      </w:tr>
      <w:tr w:rsidR="00736467" w:rsidRPr="00260187" w14:paraId="6F8B45B5"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04408B93" w14:textId="77777777" w:rsidR="00260187" w:rsidRPr="00260187" w:rsidRDefault="00260187" w:rsidP="00BD2C60">
            <w:pPr>
              <w:keepNext/>
              <w:spacing w:after="0" w:line="240" w:lineRule="auto"/>
              <w:rPr>
                <w:rFonts w:cs="Arial"/>
                <w:sz w:val="16"/>
                <w:szCs w:val="16"/>
              </w:rPr>
            </w:pPr>
            <w:r w:rsidRPr="00260187">
              <w:rPr>
                <w:rFonts w:cs="Arial"/>
                <w:sz w:val="16"/>
                <w:szCs w:val="16"/>
              </w:rPr>
              <w:t>20–49 zaměstnanců</w:t>
            </w:r>
          </w:p>
        </w:tc>
        <w:tc>
          <w:tcPr>
            <w:tcW w:w="784" w:type="dxa"/>
            <w:tcBorders>
              <w:top w:val="nil"/>
              <w:left w:val="nil"/>
              <w:bottom w:val="single" w:sz="4" w:space="0" w:color="auto"/>
              <w:right w:val="single" w:sz="4" w:space="0" w:color="auto"/>
            </w:tcBorders>
            <w:shd w:val="clear" w:color="auto" w:fill="auto"/>
            <w:noWrap/>
            <w:vAlign w:val="center"/>
            <w:hideMark/>
          </w:tcPr>
          <w:p w14:paraId="3B373BFA"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20,2</w:t>
            </w:r>
          </w:p>
        </w:tc>
        <w:tc>
          <w:tcPr>
            <w:tcW w:w="992" w:type="dxa"/>
            <w:tcBorders>
              <w:top w:val="nil"/>
              <w:left w:val="nil"/>
              <w:bottom w:val="single" w:sz="4" w:space="0" w:color="auto"/>
              <w:right w:val="single" w:sz="4" w:space="0" w:color="auto"/>
            </w:tcBorders>
            <w:shd w:val="clear" w:color="auto" w:fill="auto"/>
            <w:noWrap/>
            <w:vAlign w:val="center"/>
            <w:hideMark/>
          </w:tcPr>
          <w:p w14:paraId="5104BACA"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18,2</w:t>
            </w:r>
          </w:p>
        </w:tc>
        <w:tc>
          <w:tcPr>
            <w:tcW w:w="1134" w:type="dxa"/>
            <w:tcBorders>
              <w:top w:val="nil"/>
              <w:left w:val="nil"/>
              <w:bottom w:val="single" w:sz="4" w:space="0" w:color="auto"/>
              <w:right w:val="single" w:sz="4" w:space="0" w:color="auto"/>
            </w:tcBorders>
            <w:shd w:val="clear" w:color="auto" w:fill="auto"/>
            <w:noWrap/>
            <w:vAlign w:val="center"/>
            <w:hideMark/>
          </w:tcPr>
          <w:p w14:paraId="3D7EB079"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10,6</w:t>
            </w:r>
          </w:p>
        </w:tc>
        <w:tc>
          <w:tcPr>
            <w:tcW w:w="1134" w:type="dxa"/>
            <w:tcBorders>
              <w:top w:val="nil"/>
              <w:left w:val="nil"/>
              <w:bottom w:val="single" w:sz="4" w:space="0" w:color="auto"/>
              <w:right w:val="single" w:sz="4" w:space="0" w:color="auto"/>
            </w:tcBorders>
            <w:shd w:val="clear" w:color="auto" w:fill="auto"/>
            <w:noWrap/>
            <w:vAlign w:val="center"/>
            <w:hideMark/>
          </w:tcPr>
          <w:p w14:paraId="4044EAAC"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EEBA4B9"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2,7</w:t>
            </w:r>
          </w:p>
        </w:tc>
        <w:tc>
          <w:tcPr>
            <w:tcW w:w="850" w:type="dxa"/>
            <w:tcBorders>
              <w:top w:val="nil"/>
              <w:left w:val="nil"/>
              <w:bottom w:val="single" w:sz="4" w:space="0" w:color="auto"/>
              <w:right w:val="single" w:sz="4" w:space="0" w:color="auto"/>
            </w:tcBorders>
            <w:shd w:val="clear" w:color="auto" w:fill="auto"/>
            <w:noWrap/>
            <w:vAlign w:val="center"/>
            <w:hideMark/>
          </w:tcPr>
          <w:p w14:paraId="211B17B0"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11,7</w:t>
            </w:r>
          </w:p>
        </w:tc>
        <w:tc>
          <w:tcPr>
            <w:tcW w:w="1128" w:type="dxa"/>
            <w:tcBorders>
              <w:top w:val="nil"/>
              <w:left w:val="nil"/>
              <w:bottom w:val="single" w:sz="4" w:space="0" w:color="auto"/>
              <w:right w:val="single" w:sz="4" w:space="0" w:color="auto"/>
            </w:tcBorders>
            <w:shd w:val="clear" w:color="auto" w:fill="auto"/>
            <w:noWrap/>
            <w:vAlign w:val="center"/>
            <w:hideMark/>
          </w:tcPr>
          <w:p w14:paraId="2768838B"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51,4</w:t>
            </w:r>
          </w:p>
        </w:tc>
      </w:tr>
      <w:tr w:rsidR="00736467" w:rsidRPr="00260187" w14:paraId="75D6EAF7"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4CFE2544" w14:textId="77777777" w:rsidR="00260187" w:rsidRPr="00260187" w:rsidRDefault="00260187" w:rsidP="00BD2C60">
            <w:pPr>
              <w:keepNext/>
              <w:spacing w:after="0" w:line="240" w:lineRule="auto"/>
              <w:rPr>
                <w:rFonts w:cs="Arial"/>
                <w:sz w:val="16"/>
                <w:szCs w:val="16"/>
              </w:rPr>
            </w:pPr>
            <w:r w:rsidRPr="00260187">
              <w:rPr>
                <w:rFonts w:cs="Arial"/>
                <w:sz w:val="16"/>
                <w:szCs w:val="16"/>
              </w:rPr>
              <w:t>50–249 zaměstnanců</w:t>
            </w:r>
          </w:p>
        </w:tc>
        <w:tc>
          <w:tcPr>
            <w:tcW w:w="784" w:type="dxa"/>
            <w:tcBorders>
              <w:top w:val="nil"/>
              <w:left w:val="nil"/>
              <w:bottom w:val="single" w:sz="4" w:space="0" w:color="auto"/>
              <w:right w:val="single" w:sz="4" w:space="0" w:color="auto"/>
            </w:tcBorders>
            <w:shd w:val="clear" w:color="auto" w:fill="auto"/>
            <w:noWrap/>
            <w:vAlign w:val="center"/>
            <w:hideMark/>
          </w:tcPr>
          <w:p w14:paraId="4CE88CED"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39,8</w:t>
            </w:r>
          </w:p>
        </w:tc>
        <w:tc>
          <w:tcPr>
            <w:tcW w:w="992" w:type="dxa"/>
            <w:tcBorders>
              <w:top w:val="nil"/>
              <w:left w:val="nil"/>
              <w:bottom w:val="single" w:sz="4" w:space="0" w:color="auto"/>
              <w:right w:val="single" w:sz="4" w:space="0" w:color="auto"/>
            </w:tcBorders>
            <w:shd w:val="clear" w:color="auto" w:fill="auto"/>
            <w:noWrap/>
            <w:vAlign w:val="center"/>
            <w:hideMark/>
          </w:tcPr>
          <w:p w14:paraId="1073372B"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35,0</w:t>
            </w:r>
          </w:p>
        </w:tc>
        <w:tc>
          <w:tcPr>
            <w:tcW w:w="1134" w:type="dxa"/>
            <w:tcBorders>
              <w:top w:val="nil"/>
              <w:left w:val="nil"/>
              <w:bottom w:val="single" w:sz="4" w:space="0" w:color="auto"/>
              <w:right w:val="single" w:sz="4" w:space="0" w:color="auto"/>
            </w:tcBorders>
            <w:shd w:val="clear" w:color="auto" w:fill="auto"/>
            <w:noWrap/>
            <w:vAlign w:val="center"/>
            <w:hideMark/>
          </w:tcPr>
          <w:p w14:paraId="2F1822A5"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4BF5EC5B"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17,2</w:t>
            </w:r>
          </w:p>
        </w:tc>
        <w:tc>
          <w:tcPr>
            <w:tcW w:w="851" w:type="dxa"/>
            <w:tcBorders>
              <w:top w:val="nil"/>
              <w:left w:val="nil"/>
              <w:bottom w:val="single" w:sz="4" w:space="0" w:color="auto"/>
              <w:right w:val="single" w:sz="4" w:space="0" w:color="auto"/>
            </w:tcBorders>
            <w:shd w:val="clear" w:color="auto" w:fill="auto"/>
            <w:noWrap/>
            <w:vAlign w:val="center"/>
            <w:hideMark/>
          </w:tcPr>
          <w:p w14:paraId="347945C9"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14:paraId="2B770AFC"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10,9</w:t>
            </w:r>
          </w:p>
        </w:tc>
        <w:tc>
          <w:tcPr>
            <w:tcW w:w="1128" w:type="dxa"/>
            <w:tcBorders>
              <w:top w:val="nil"/>
              <w:left w:val="nil"/>
              <w:bottom w:val="single" w:sz="4" w:space="0" w:color="auto"/>
              <w:right w:val="single" w:sz="4" w:space="0" w:color="auto"/>
            </w:tcBorders>
            <w:shd w:val="clear" w:color="auto" w:fill="auto"/>
            <w:noWrap/>
            <w:vAlign w:val="center"/>
            <w:hideMark/>
          </w:tcPr>
          <w:p w14:paraId="10ED2CA8"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30,4</w:t>
            </w:r>
          </w:p>
        </w:tc>
      </w:tr>
      <w:tr w:rsidR="00736467" w:rsidRPr="00260187" w14:paraId="6BD004D4"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5100FFF0" w14:textId="77777777" w:rsidR="00260187" w:rsidRPr="00260187" w:rsidRDefault="00260187" w:rsidP="00BD2C60">
            <w:pPr>
              <w:keepNext/>
              <w:spacing w:after="0" w:line="240" w:lineRule="auto"/>
              <w:rPr>
                <w:rFonts w:cs="Arial"/>
                <w:sz w:val="16"/>
                <w:szCs w:val="16"/>
              </w:rPr>
            </w:pPr>
            <w:r w:rsidRPr="00260187">
              <w:rPr>
                <w:rFonts w:cs="Arial"/>
                <w:sz w:val="16"/>
                <w:szCs w:val="16"/>
              </w:rPr>
              <w:t>250 a více zaměstnanců</w:t>
            </w:r>
          </w:p>
        </w:tc>
        <w:tc>
          <w:tcPr>
            <w:tcW w:w="784" w:type="dxa"/>
            <w:tcBorders>
              <w:top w:val="nil"/>
              <w:left w:val="nil"/>
              <w:bottom w:val="single" w:sz="4" w:space="0" w:color="auto"/>
              <w:right w:val="single" w:sz="4" w:space="0" w:color="auto"/>
            </w:tcBorders>
            <w:shd w:val="clear" w:color="auto" w:fill="auto"/>
            <w:noWrap/>
            <w:vAlign w:val="center"/>
            <w:hideMark/>
          </w:tcPr>
          <w:p w14:paraId="2E677DEB"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63,8</w:t>
            </w:r>
          </w:p>
        </w:tc>
        <w:tc>
          <w:tcPr>
            <w:tcW w:w="992" w:type="dxa"/>
            <w:tcBorders>
              <w:top w:val="nil"/>
              <w:left w:val="nil"/>
              <w:bottom w:val="single" w:sz="4" w:space="0" w:color="auto"/>
              <w:right w:val="single" w:sz="4" w:space="0" w:color="auto"/>
            </w:tcBorders>
            <w:shd w:val="clear" w:color="auto" w:fill="auto"/>
            <w:noWrap/>
            <w:vAlign w:val="center"/>
            <w:hideMark/>
          </w:tcPr>
          <w:p w14:paraId="53567125"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58,1</w:t>
            </w:r>
          </w:p>
        </w:tc>
        <w:tc>
          <w:tcPr>
            <w:tcW w:w="1134" w:type="dxa"/>
            <w:tcBorders>
              <w:top w:val="nil"/>
              <w:left w:val="nil"/>
              <w:bottom w:val="single" w:sz="4" w:space="0" w:color="auto"/>
              <w:right w:val="single" w:sz="4" w:space="0" w:color="auto"/>
            </w:tcBorders>
            <w:shd w:val="clear" w:color="auto" w:fill="auto"/>
            <w:noWrap/>
            <w:vAlign w:val="center"/>
            <w:hideMark/>
          </w:tcPr>
          <w:p w14:paraId="363F6AF0"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27,7</w:t>
            </w:r>
          </w:p>
        </w:tc>
        <w:tc>
          <w:tcPr>
            <w:tcW w:w="1134" w:type="dxa"/>
            <w:tcBorders>
              <w:top w:val="nil"/>
              <w:left w:val="nil"/>
              <w:bottom w:val="single" w:sz="4" w:space="0" w:color="auto"/>
              <w:right w:val="single" w:sz="4" w:space="0" w:color="auto"/>
            </w:tcBorders>
            <w:shd w:val="clear" w:color="auto" w:fill="auto"/>
            <w:noWrap/>
            <w:vAlign w:val="center"/>
            <w:hideMark/>
          </w:tcPr>
          <w:p w14:paraId="39F65281"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37,4</w:t>
            </w:r>
          </w:p>
        </w:tc>
        <w:tc>
          <w:tcPr>
            <w:tcW w:w="851" w:type="dxa"/>
            <w:tcBorders>
              <w:top w:val="nil"/>
              <w:left w:val="nil"/>
              <w:bottom w:val="single" w:sz="4" w:space="0" w:color="auto"/>
              <w:right w:val="single" w:sz="4" w:space="0" w:color="auto"/>
            </w:tcBorders>
            <w:shd w:val="clear" w:color="auto" w:fill="auto"/>
            <w:noWrap/>
            <w:vAlign w:val="center"/>
            <w:hideMark/>
          </w:tcPr>
          <w:p w14:paraId="39C7E61F"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9,4</w:t>
            </w:r>
          </w:p>
        </w:tc>
        <w:tc>
          <w:tcPr>
            <w:tcW w:w="850" w:type="dxa"/>
            <w:tcBorders>
              <w:top w:val="nil"/>
              <w:left w:val="nil"/>
              <w:bottom w:val="single" w:sz="4" w:space="0" w:color="auto"/>
              <w:right w:val="single" w:sz="4" w:space="0" w:color="auto"/>
            </w:tcBorders>
            <w:shd w:val="clear" w:color="auto" w:fill="auto"/>
            <w:noWrap/>
            <w:vAlign w:val="center"/>
            <w:hideMark/>
          </w:tcPr>
          <w:p w14:paraId="44D40323"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10,8</w:t>
            </w:r>
          </w:p>
        </w:tc>
        <w:tc>
          <w:tcPr>
            <w:tcW w:w="1128" w:type="dxa"/>
            <w:tcBorders>
              <w:top w:val="nil"/>
              <w:left w:val="nil"/>
              <w:bottom w:val="single" w:sz="4" w:space="0" w:color="auto"/>
              <w:right w:val="single" w:sz="4" w:space="0" w:color="auto"/>
            </w:tcBorders>
            <w:shd w:val="clear" w:color="auto" w:fill="auto"/>
            <w:noWrap/>
            <w:vAlign w:val="center"/>
            <w:hideMark/>
          </w:tcPr>
          <w:p w14:paraId="14892152" w14:textId="77777777" w:rsidR="00260187" w:rsidRPr="00260187" w:rsidRDefault="00260187" w:rsidP="00BD2C60">
            <w:pPr>
              <w:keepNext/>
              <w:spacing w:after="0" w:line="240" w:lineRule="auto"/>
              <w:jc w:val="right"/>
              <w:rPr>
                <w:rFonts w:cs="Arial"/>
                <w:color w:val="000000"/>
                <w:sz w:val="16"/>
                <w:szCs w:val="16"/>
              </w:rPr>
            </w:pPr>
            <w:r w:rsidRPr="00260187">
              <w:rPr>
                <w:rFonts w:cs="Arial"/>
                <w:color w:val="000000"/>
                <w:sz w:val="16"/>
                <w:szCs w:val="16"/>
              </w:rPr>
              <w:t>9,5</w:t>
            </w:r>
          </w:p>
        </w:tc>
      </w:tr>
      <w:tr w:rsidR="00260187" w:rsidRPr="00260187" w14:paraId="516892EC" w14:textId="77777777" w:rsidTr="00736467">
        <w:trPr>
          <w:trHeight w:val="300"/>
        </w:trPr>
        <w:tc>
          <w:tcPr>
            <w:tcW w:w="9628"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26562224" w14:textId="13E7205C" w:rsidR="00260187" w:rsidRPr="00260187" w:rsidRDefault="00A241ED" w:rsidP="00BD2C60">
            <w:pPr>
              <w:keepNext/>
              <w:spacing w:after="0" w:line="240" w:lineRule="auto"/>
              <w:rPr>
                <w:rFonts w:cs="Arial"/>
                <w:b/>
                <w:bCs/>
                <w:sz w:val="16"/>
                <w:szCs w:val="16"/>
              </w:rPr>
            </w:pPr>
            <w:r w:rsidRPr="00A241ED">
              <w:rPr>
                <w:rFonts w:cs="Arial"/>
                <w:b/>
                <w:bCs/>
                <w:sz w:val="16"/>
                <w:szCs w:val="16"/>
              </w:rPr>
              <w:t>podle vlastnictví</w:t>
            </w:r>
          </w:p>
        </w:tc>
      </w:tr>
      <w:tr w:rsidR="00552396" w:rsidRPr="00260187" w14:paraId="69A5A176" w14:textId="77777777" w:rsidTr="00552396">
        <w:trPr>
          <w:trHeight w:val="300"/>
        </w:trPr>
        <w:tc>
          <w:tcPr>
            <w:tcW w:w="2755" w:type="dxa"/>
            <w:tcBorders>
              <w:top w:val="nil"/>
              <w:left w:val="single" w:sz="4" w:space="0" w:color="auto"/>
              <w:bottom w:val="single" w:sz="4" w:space="0" w:color="auto"/>
              <w:right w:val="single" w:sz="4" w:space="0" w:color="auto"/>
            </w:tcBorders>
            <w:shd w:val="clear" w:color="000000" w:fill="FFFFFF"/>
            <w:noWrap/>
            <w:vAlign w:val="center"/>
            <w:hideMark/>
          </w:tcPr>
          <w:p w14:paraId="33D94B64" w14:textId="31989746" w:rsidR="00552396" w:rsidRPr="00552396" w:rsidRDefault="00552396" w:rsidP="00552396">
            <w:pPr>
              <w:keepNext/>
              <w:spacing w:after="0" w:line="240" w:lineRule="auto"/>
              <w:rPr>
                <w:rFonts w:cs="Arial"/>
                <w:sz w:val="16"/>
                <w:szCs w:val="16"/>
              </w:rPr>
            </w:pPr>
            <w:r w:rsidRPr="00552396">
              <w:rPr>
                <w:sz w:val="16"/>
                <w:szCs w:val="16"/>
              </w:rPr>
              <w:t>domácí podniky</w:t>
            </w:r>
          </w:p>
        </w:tc>
        <w:tc>
          <w:tcPr>
            <w:tcW w:w="784" w:type="dxa"/>
            <w:tcBorders>
              <w:top w:val="nil"/>
              <w:left w:val="nil"/>
              <w:bottom w:val="single" w:sz="4" w:space="0" w:color="auto"/>
              <w:right w:val="single" w:sz="4" w:space="0" w:color="auto"/>
            </w:tcBorders>
            <w:shd w:val="clear" w:color="auto" w:fill="auto"/>
            <w:noWrap/>
            <w:vAlign w:val="center"/>
            <w:hideMark/>
          </w:tcPr>
          <w:p w14:paraId="322E0522"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14:paraId="2A87BFF8"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18,4</w:t>
            </w:r>
          </w:p>
        </w:tc>
        <w:tc>
          <w:tcPr>
            <w:tcW w:w="1134" w:type="dxa"/>
            <w:tcBorders>
              <w:top w:val="nil"/>
              <w:left w:val="nil"/>
              <w:bottom w:val="single" w:sz="4" w:space="0" w:color="auto"/>
              <w:right w:val="single" w:sz="4" w:space="0" w:color="auto"/>
            </w:tcBorders>
            <w:shd w:val="clear" w:color="auto" w:fill="auto"/>
            <w:noWrap/>
            <w:vAlign w:val="center"/>
            <w:hideMark/>
          </w:tcPr>
          <w:p w14:paraId="34DC6609"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643320D"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8,3</w:t>
            </w:r>
          </w:p>
        </w:tc>
        <w:tc>
          <w:tcPr>
            <w:tcW w:w="851" w:type="dxa"/>
            <w:tcBorders>
              <w:top w:val="nil"/>
              <w:left w:val="nil"/>
              <w:bottom w:val="single" w:sz="4" w:space="0" w:color="auto"/>
              <w:right w:val="single" w:sz="4" w:space="0" w:color="auto"/>
            </w:tcBorders>
            <w:shd w:val="clear" w:color="auto" w:fill="auto"/>
            <w:noWrap/>
            <w:vAlign w:val="center"/>
            <w:hideMark/>
          </w:tcPr>
          <w:p w14:paraId="5AE3DAD6"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2,7</w:t>
            </w:r>
          </w:p>
        </w:tc>
        <w:tc>
          <w:tcPr>
            <w:tcW w:w="850" w:type="dxa"/>
            <w:tcBorders>
              <w:top w:val="nil"/>
              <w:left w:val="nil"/>
              <w:bottom w:val="single" w:sz="4" w:space="0" w:color="auto"/>
              <w:right w:val="single" w:sz="4" w:space="0" w:color="auto"/>
            </w:tcBorders>
            <w:shd w:val="clear" w:color="auto" w:fill="auto"/>
            <w:noWrap/>
            <w:vAlign w:val="center"/>
            <w:hideMark/>
          </w:tcPr>
          <w:p w14:paraId="724F33D5"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11,5</w:t>
            </w:r>
          </w:p>
        </w:tc>
        <w:tc>
          <w:tcPr>
            <w:tcW w:w="1128" w:type="dxa"/>
            <w:tcBorders>
              <w:top w:val="nil"/>
              <w:left w:val="nil"/>
              <w:bottom w:val="single" w:sz="4" w:space="0" w:color="auto"/>
              <w:right w:val="single" w:sz="4" w:space="0" w:color="auto"/>
            </w:tcBorders>
            <w:shd w:val="clear" w:color="auto" w:fill="auto"/>
            <w:noWrap/>
            <w:vAlign w:val="center"/>
            <w:hideMark/>
          </w:tcPr>
          <w:p w14:paraId="63846864"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52,4</w:t>
            </w:r>
          </w:p>
        </w:tc>
      </w:tr>
      <w:tr w:rsidR="00552396" w:rsidRPr="00260187" w14:paraId="42C63CAA" w14:textId="77777777" w:rsidTr="00552396">
        <w:trPr>
          <w:trHeight w:val="300"/>
        </w:trPr>
        <w:tc>
          <w:tcPr>
            <w:tcW w:w="2755" w:type="dxa"/>
            <w:tcBorders>
              <w:top w:val="nil"/>
              <w:left w:val="single" w:sz="4" w:space="0" w:color="auto"/>
              <w:bottom w:val="single" w:sz="4" w:space="0" w:color="auto"/>
              <w:right w:val="single" w:sz="4" w:space="0" w:color="auto"/>
            </w:tcBorders>
            <w:shd w:val="clear" w:color="000000" w:fill="FFFFFF"/>
            <w:noWrap/>
            <w:vAlign w:val="center"/>
            <w:hideMark/>
          </w:tcPr>
          <w:p w14:paraId="1230239B" w14:textId="298920F7" w:rsidR="00552396" w:rsidRPr="00552396" w:rsidRDefault="00552396" w:rsidP="00552396">
            <w:pPr>
              <w:keepNext/>
              <w:spacing w:after="0" w:line="240" w:lineRule="auto"/>
              <w:rPr>
                <w:rFonts w:cs="Arial"/>
                <w:sz w:val="16"/>
                <w:szCs w:val="16"/>
              </w:rPr>
            </w:pPr>
            <w:r w:rsidRPr="00552396">
              <w:rPr>
                <w:sz w:val="16"/>
                <w:szCs w:val="16"/>
              </w:rPr>
              <w:t>podniky pod zahraniční kontrolou</w:t>
            </w:r>
          </w:p>
        </w:tc>
        <w:tc>
          <w:tcPr>
            <w:tcW w:w="784" w:type="dxa"/>
            <w:tcBorders>
              <w:top w:val="nil"/>
              <w:left w:val="nil"/>
              <w:bottom w:val="single" w:sz="4" w:space="0" w:color="auto"/>
              <w:right w:val="single" w:sz="4" w:space="0" w:color="auto"/>
            </w:tcBorders>
            <w:shd w:val="clear" w:color="auto" w:fill="auto"/>
            <w:noWrap/>
            <w:vAlign w:val="center"/>
            <w:hideMark/>
          </w:tcPr>
          <w:p w14:paraId="5BD2AED3"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35,8</w:t>
            </w:r>
          </w:p>
        </w:tc>
        <w:tc>
          <w:tcPr>
            <w:tcW w:w="992" w:type="dxa"/>
            <w:tcBorders>
              <w:top w:val="nil"/>
              <w:left w:val="nil"/>
              <w:bottom w:val="single" w:sz="4" w:space="0" w:color="auto"/>
              <w:right w:val="single" w:sz="4" w:space="0" w:color="auto"/>
            </w:tcBorders>
            <w:shd w:val="clear" w:color="auto" w:fill="auto"/>
            <w:noWrap/>
            <w:vAlign w:val="center"/>
            <w:hideMark/>
          </w:tcPr>
          <w:p w14:paraId="3C89B35D"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09B2C10B"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21,1</w:t>
            </w:r>
          </w:p>
        </w:tc>
        <w:tc>
          <w:tcPr>
            <w:tcW w:w="1134" w:type="dxa"/>
            <w:tcBorders>
              <w:top w:val="nil"/>
              <w:left w:val="nil"/>
              <w:bottom w:val="single" w:sz="4" w:space="0" w:color="auto"/>
              <w:right w:val="single" w:sz="4" w:space="0" w:color="auto"/>
            </w:tcBorders>
            <w:shd w:val="clear" w:color="auto" w:fill="auto"/>
            <w:noWrap/>
            <w:vAlign w:val="center"/>
            <w:hideMark/>
          </w:tcPr>
          <w:p w14:paraId="29A476B3"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27,8</w:t>
            </w:r>
          </w:p>
        </w:tc>
        <w:tc>
          <w:tcPr>
            <w:tcW w:w="851" w:type="dxa"/>
            <w:tcBorders>
              <w:top w:val="nil"/>
              <w:left w:val="nil"/>
              <w:bottom w:val="single" w:sz="4" w:space="0" w:color="auto"/>
              <w:right w:val="single" w:sz="4" w:space="0" w:color="auto"/>
            </w:tcBorders>
            <w:shd w:val="clear" w:color="auto" w:fill="auto"/>
            <w:noWrap/>
            <w:vAlign w:val="center"/>
            <w:hideMark/>
          </w:tcPr>
          <w:p w14:paraId="256A713E"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14:paraId="7F87248C"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10,4</w:t>
            </w:r>
          </w:p>
        </w:tc>
        <w:tc>
          <w:tcPr>
            <w:tcW w:w="1128" w:type="dxa"/>
            <w:tcBorders>
              <w:top w:val="nil"/>
              <w:left w:val="nil"/>
              <w:bottom w:val="single" w:sz="4" w:space="0" w:color="auto"/>
              <w:right w:val="single" w:sz="4" w:space="0" w:color="auto"/>
            </w:tcBorders>
            <w:shd w:val="clear" w:color="auto" w:fill="auto"/>
            <w:noWrap/>
            <w:vAlign w:val="center"/>
            <w:hideMark/>
          </w:tcPr>
          <w:p w14:paraId="7E920491" w14:textId="77777777" w:rsidR="00552396" w:rsidRPr="00260187" w:rsidRDefault="00552396" w:rsidP="00552396">
            <w:pPr>
              <w:keepNext/>
              <w:spacing w:after="0" w:line="240" w:lineRule="auto"/>
              <w:jc w:val="right"/>
              <w:rPr>
                <w:rFonts w:cs="Arial"/>
                <w:color w:val="000000"/>
                <w:sz w:val="16"/>
                <w:szCs w:val="16"/>
              </w:rPr>
            </w:pPr>
            <w:r w:rsidRPr="00260187">
              <w:rPr>
                <w:rFonts w:cs="Arial"/>
                <w:color w:val="000000"/>
                <w:sz w:val="16"/>
                <w:szCs w:val="16"/>
              </w:rPr>
              <w:t>29,7</w:t>
            </w:r>
          </w:p>
        </w:tc>
      </w:tr>
      <w:tr w:rsidR="00260187" w:rsidRPr="00260187" w14:paraId="3589744A" w14:textId="77777777" w:rsidTr="00736467">
        <w:trPr>
          <w:trHeight w:val="300"/>
        </w:trPr>
        <w:tc>
          <w:tcPr>
            <w:tcW w:w="9628"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4A1227B0" w14:textId="4E20E10D" w:rsidR="00260187" w:rsidRPr="00260187" w:rsidRDefault="00F476A4" w:rsidP="00BD2C60">
            <w:pPr>
              <w:keepNext/>
              <w:spacing w:after="0" w:line="240" w:lineRule="auto"/>
              <w:rPr>
                <w:rFonts w:cs="Arial"/>
                <w:b/>
                <w:bCs/>
                <w:sz w:val="16"/>
                <w:szCs w:val="16"/>
              </w:rPr>
            </w:pPr>
            <w:r w:rsidRPr="00F476A4">
              <w:rPr>
                <w:rFonts w:cs="Arial"/>
                <w:b/>
                <w:bCs/>
                <w:sz w:val="16"/>
                <w:szCs w:val="16"/>
              </w:rPr>
              <w:t>podle odvětvové sekce (CZ-NACE)</w:t>
            </w:r>
          </w:p>
        </w:tc>
      </w:tr>
      <w:tr w:rsidR="00736467" w:rsidRPr="00260187" w14:paraId="1D94E820"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753EFD31"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Peněžnictví a pojišťovnictví</w:t>
            </w:r>
          </w:p>
        </w:tc>
        <w:tc>
          <w:tcPr>
            <w:tcW w:w="784" w:type="dxa"/>
            <w:tcBorders>
              <w:top w:val="nil"/>
              <w:left w:val="nil"/>
              <w:bottom w:val="single" w:sz="4" w:space="0" w:color="auto"/>
              <w:right w:val="single" w:sz="4" w:space="0" w:color="auto"/>
            </w:tcBorders>
            <w:shd w:val="clear" w:color="auto" w:fill="auto"/>
            <w:noWrap/>
            <w:vAlign w:val="center"/>
            <w:hideMark/>
          </w:tcPr>
          <w:p w14:paraId="0C84377E" w14:textId="77777777" w:rsidR="00260187" w:rsidRPr="0040636F" w:rsidRDefault="00260187" w:rsidP="00260187">
            <w:pPr>
              <w:spacing w:after="0" w:line="240" w:lineRule="auto"/>
              <w:jc w:val="right"/>
              <w:rPr>
                <w:rFonts w:cs="Arial"/>
                <w:b/>
                <w:color w:val="00B050"/>
                <w:sz w:val="16"/>
                <w:szCs w:val="16"/>
              </w:rPr>
            </w:pPr>
            <w:r w:rsidRPr="0040636F">
              <w:rPr>
                <w:rFonts w:cs="Arial"/>
                <w:b/>
                <w:color w:val="00B050"/>
                <w:sz w:val="16"/>
                <w:szCs w:val="16"/>
              </w:rPr>
              <w:t>35,8</w:t>
            </w:r>
          </w:p>
        </w:tc>
        <w:tc>
          <w:tcPr>
            <w:tcW w:w="992" w:type="dxa"/>
            <w:tcBorders>
              <w:top w:val="nil"/>
              <w:left w:val="nil"/>
              <w:bottom w:val="single" w:sz="4" w:space="0" w:color="auto"/>
              <w:right w:val="single" w:sz="4" w:space="0" w:color="auto"/>
            </w:tcBorders>
            <w:shd w:val="clear" w:color="auto" w:fill="auto"/>
            <w:noWrap/>
            <w:vAlign w:val="center"/>
            <w:hideMark/>
          </w:tcPr>
          <w:p w14:paraId="47518576" w14:textId="77777777" w:rsidR="00260187" w:rsidRPr="0040636F" w:rsidRDefault="00260187" w:rsidP="00260187">
            <w:pPr>
              <w:spacing w:after="0" w:line="240" w:lineRule="auto"/>
              <w:jc w:val="right"/>
              <w:rPr>
                <w:rFonts w:cs="Arial"/>
                <w:b/>
                <w:color w:val="00B050"/>
                <w:sz w:val="16"/>
                <w:szCs w:val="16"/>
              </w:rPr>
            </w:pPr>
            <w:r w:rsidRPr="0040636F">
              <w:rPr>
                <w:rFonts w:cs="Arial"/>
                <w:b/>
                <w:color w:val="00B050"/>
                <w:sz w:val="16"/>
                <w:szCs w:val="16"/>
              </w:rPr>
              <w:t>37,8</w:t>
            </w:r>
          </w:p>
        </w:tc>
        <w:tc>
          <w:tcPr>
            <w:tcW w:w="1134" w:type="dxa"/>
            <w:tcBorders>
              <w:top w:val="nil"/>
              <w:left w:val="nil"/>
              <w:bottom w:val="single" w:sz="4" w:space="0" w:color="auto"/>
              <w:right w:val="single" w:sz="4" w:space="0" w:color="auto"/>
            </w:tcBorders>
            <w:shd w:val="clear" w:color="auto" w:fill="auto"/>
            <w:noWrap/>
            <w:vAlign w:val="center"/>
            <w:hideMark/>
          </w:tcPr>
          <w:p w14:paraId="1D79CB8C"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64827EDE" w14:textId="77777777" w:rsidR="00260187" w:rsidRPr="0040636F" w:rsidRDefault="00260187" w:rsidP="00260187">
            <w:pPr>
              <w:spacing w:after="0" w:line="240" w:lineRule="auto"/>
              <w:jc w:val="right"/>
              <w:rPr>
                <w:rFonts w:cs="Arial"/>
                <w:b/>
                <w:color w:val="00B050"/>
                <w:sz w:val="16"/>
                <w:szCs w:val="16"/>
              </w:rPr>
            </w:pPr>
            <w:r w:rsidRPr="0040636F">
              <w:rPr>
                <w:rFonts w:cs="Arial"/>
                <w:b/>
                <w:color w:val="00B050"/>
                <w:sz w:val="16"/>
                <w:szCs w:val="16"/>
              </w:rPr>
              <w:t>39,0</w:t>
            </w:r>
          </w:p>
        </w:tc>
        <w:tc>
          <w:tcPr>
            <w:tcW w:w="851" w:type="dxa"/>
            <w:tcBorders>
              <w:top w:val="nil"/>
              <w:left w:val="nil"/>
              <w:bottom w:val="single" w:sz="4" w:space="0" w:color="auto"/>
              <w:right w:val="single" w:sz="4" w:space="0" w:color="auto"/>
            </w:tcBorders>
            <w:shd w:val="clear" w:color="auto" w:fill="auto"/>
            <w:noWrap/>
            <w:vAlign w:val="center"/>
            <w:hideMark/>
          </w:tcPr>
          <w:p w14:paraId="7D49EFA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4,1</w:t>
            </w:r>
          </w:p>
        </w:tc>
        <w:tc>
          <w:tcPr>
            <w:tcW w:w="850" w:type="dxa"/>
            <w:tcBorders>
              <w:top w:val="nil"/>
              <w:left w:val="nil"/>
              <w:bottom w:val="single" w:sz="4" w:space="0" w:color="auto"/>
              <w:right w:val="single" w:sz="4" w:space="0" w:color="auto"/>
            </w:tcBorders>
            <w:shd w:val="clear" w:color="auto" w:fill="auto"/>
            <w:noWrap/>
            <w:vAlign w:val="center"/>
            <w:hideMark/>
          </w:tcPr>
          <w:p w14:paraId="187BADD1"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9,2</w:t>
            </w:r>
          </w:p>
        </w:tc>
        <w:tc>
          <w:tcPr>
            <w:tcW w:w="1128" w:type="dxa"/>
            <w:tcBorders>
              <w:top w:val="nil"/>
              <w:left w:val="nil"/>
              <w:bottom w:val="single" w:sz="4" w:space="0" w:color="auto"/>
              <w:right w:val="single" w:sz="4" w:space="0" w:color="auto"/>
            </w:tcBorders>
            <w:shd w:val="clear" w:color="auto" w:fill="auto"/>
            <w:noWrap/>
            <w:vAlign w:val="center"/>
            <w:hideMark/>
          </w:tcPr>
          <w:p w14:paraId="5BC7DDCD"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28,3</w:t>
            </w:r>
          </w:p>
        </w:tc>
      </w:tr>
      <w:tr w:rsidR="00736467" w:rsidRPr="00260187" w14:paraId="3B882EC6"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7499E79E"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Informační a komunikační činnosti</w:t>
            </w:r>
          </w:p>
        </w:tc>
        <w:tc>
          <w:tcPr>
            <w:tcW w:w="784" w:type="dxa"/>
            <w:tcBorders>
              <w:top w:val="nil"/>
              <w:left w:val="nil"/>
              <w:bottom w:val="single" w:sz="4" w:space="0" w:color="auto"/>
              <w:right w:val="single" w:sz="4" w:space="0" w:color="auto"/>
            </w:tcBorders>
            <w:shd w:val="clear" w:color="auto" w:fill="auto"/>
            <w:noWrap/>
            <w:vAlign w:val="center"/>
            <w:hideMark/>
          </w:tcPr>
          <w:p w14:paraId="4F5789FD"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30,6</w:t>
            </w:r>
          </w:p>
        </w:tc>
        <w:tc>
          <w:tcPr>
            <w:tcW w:w="992" w:type="dxa"/>
            <w:tcBorders>
              <w:top w:val="nil"/>
              <w:left w:val="nil"/>
              <w:bottom w:val="single" w:sz="4" w:space="0" w:color="auto"/>
              <w:right w:val="single" w:sz="4" w:space="0" w:color="auto"/>
            </w:tcBorders>
            <w:shd w:val="clear" w:color="auto" w:fill="auto"/>
            <w:noWrap/>
            <w:vAlign w:val="center"/>
            <w:hideMark/>
          </w:tcPr>
          <w:p w14:paraId="6C5596D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27,8</w:t>
            </w:r>
          </w:p>
        </w:tc>
        <w:tc>
          <w:tcPr>
            <w:tcW w:w="1134" w:type="dxa"/>
            <w:tcBorders>
              <w:top w:val="nil"/>
              <w:left w:val="nil"/>
              <w:bottom w:val="single" w:sz="4" w:space="0" w:color="auto"/>
              <w:right w:val="single" w:sz="4" w:space="0" w:color="auto"/>
            </w:tcBorders>
            <w:shd w:val="clear" w:color="auto" w:fill="auto"/>
            <w:noWrap/>
            <w:vAlign w:val="center"/>
            <w:hideMark/>
          </w:tcPr>
          <w:p w14:paraId="2A88671C"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4DE86F38"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30,8</w:t>
            </w:r>
          </w:p>
        </w:tc>
        <w:tc>
          <w:tcPr>
            <w:tcW w:w="851" w:type="dxa"/>
            <w:tcBorders>
              <w:top w:val="nil"/>
              <w:left w:val="nil"/>
              <w:bottom w:val="single" w:sz="4" w:space="0" w:color="auto"/>
              <w:right w:val="single" w:sz="4" w:space="0" w:color="auto"/>
            </w:tcBorders>
            <w:shd w:val="clear" w:color="auto" w:fill="auto"/>
            <w:noWrap/>
            <w:vAlign w:val="center"/>
            <w:hideMark/>
          </w:tcPr>
          <w:p w14:paraId="68FF8D3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2,2</w:t>
            </w:r>
          </w:p>
        </w:tc>
        <w:tc>
          <w:tcPr>
            <w:tcW w:w="850" w:type="dxa"/>
            <w:tcBorders>
              <w:top w:val="nil"/>
              <w:left w:val="nil"/>
              <w:bottom w:val="single" w:sz="4" w:space="0" w:color="auto"/>
              <w:right w:val="single" w:sz="4" w:space="0" w:color="auto"/>
            </w:tcBorders>
            <w:shd w:val="clear" w:color="auto" w:fill="auto"/>
            <w:noWrap/>
            <w:vAlign w:val="center"/>
            <w:hideMark/>
          </w:tcPr>
          <w:p w14:paraId="2ED9309A"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11,2</w:t>
            </w:r>
          </w:p>
        </w:tc>
        <w:tc>
          <w:tcPr>
            <w:tcW w:w="1128" w:type="dxa"/>
            <w:tcBorders>
              <w:top w:val="nil"/>
              <w:left w:val="nil"/>
              <w:bottom w:val="single" w:sz="4" w:space="0" w:color="auto"/>
              <w:right w:val="single" w:sz="4" w:space="0" w:color="auto"/>
            </w:tcBorders>
            <w:shd w:val="clear" w:color="auto" w:fill="auto"/>
            <w:noWrap/>
            <w:vAlign w:val="center"/>
            <w:hideMark/>
          </w:tcPr>
          <w:p w14:paraId="5D2A5192"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30,0</w:t>
            </w:r>
          </w:p>
        </w:tc>
      </w:tr>
      <w:tr w:rsidR="00736467" w:rsidRPr="00260187" w14:paraId="2DC4A16F"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72772882"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Profesní, vědecké a technické činnosti</w:t>
            </w:r>
          </w:p>
        </w:tc>
        <w:tc>
          <w:tcPr>
            <w:tcW w:w="784" w:type="dxa"/>
            <w:tcBorders>
              <w:top w:val="nil"/>
              <w:left w:val="nil"/>
              <w:bottom w:val="single" w:sz="4" w:space="0" w:color="auto"/>
              <w:right w:val="single" w:sz="4" w:space="0" w:color="auto"/>
            </w:tcBorders>
            <w:shd w:val="clear" w:color="auto" w:fill="auto"/>
            <w:noWrap/>
            <w:vAlign w:val="center"/>
            <w:hideMark/>
          </w:tcPr>
          <w:p w14:paraId="605A0779"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25,1</w:t>
            </w:r>
          </w:p>
        </w:tc>
        <w:tc>
          <w:tcPr>
            <w:tcW w:w="992" w:type="dxa"/>
            <w:tcBorders>
              <w:top w:val="nil"/>
              <w:left w:val="nil"/>
              <w:bottom w:val="single" w:sz="4" w:space="0" w:color="auto"/>
              <w:right w:val="single" w:sz="4" w:space="0" w:color="auto"/>
            </w:tcBorders>
            <w:shd w:val="clear" w:color="auto" w:fill="auto"/>
            <w:noWrap/>
            <w:vAlign w:val="center"/>
            <w:hideMark/>
          </w:tcPr>
          <w:p w14:paraId="78DD9DB9"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28,0</w:t>
            </w:r>
          </w:p>
        </w:tc>
        <w:tc>
          <w:tcPr>
            <w:tcW w:w="1134" w:type="dxa"/>
            <w:tcBorders>
              <w:top w:val="nil"/>
              <w:left w:val="nil"/>
              <w:bottom w:val="single" w:sz="4" w:space="0" w:color="auto"/>
              <w:right w:val="single" w:sz="4" w:space="0" w:color="auto"/>
            </w:tcBorders>
            <w:shd w:val="clear" w:color="auto" w:fill="auto"/>
            <w:noWrap/>
            <w:vAlign w:val="center"/>
            <w:hideMark/>
          </w:tcPr>
          <w:p w14:paraId="68F8AA3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14,8</w:t>
            </w:r>
          </w:p>
        </w:tc>
        <w:tc>
          <w:tcPr>
            <w:tcW w:w="1134" w:type="dxa"/>
            <w:tcBorders>
              <w:top w:val="nil"/>
              <w:left w:val="nil"/>
              <w:bottom w:val="single" w:sz="4" w:space="0" w:color="auto"/>
              <w:right w:val="single" w:sz="4" w:space="0" w:color="auto"/>
            </w:tcBorders>
            <w:shd w:val="clear" w:color="auto" w:fill="auto"/>
            <w:noWrap/>
            <w:vAlign w:val="center"/>
            <w:hideMark/>
          </w:tcPr>
          <w:p w14:paraId="26A69197"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16,2</w:t>
            </w:r>
          </w:p>
        </w:tc>
        <w:tc>
          <w:tcPr>
            <w:tcW w:w="851" w:type="dxa"/>
            <w:tcBorders>
              <w:top w:val="nil"/>
              <w:left w:val="nil"/>
              <w:bottom w:val="single" w:sz="4" w:space="0" w:color="auto"/>
              <w:right w:val="single" w:sz="4" w:space="0" w:color="auto"/>
            </w:tcBorders>
            <w:shd w:val="clear" w:color="auto" w:fill="auto"/>
            <w:noWrap/>
            <w:vAlign w:val="center"/>
            <w:hideMark/>
          </w:tcPr>
          <w:p w14:paraId="5F2C1BA1"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center"/>
            <w:hideMark/>
          </w:tcPr>
          <w:p w14:paraId="3A2CDE28"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13,3</w:t>
            </w:r>
          </w:p>
        </w:tc>
        <w:tc>
          <w:tcPr>
            <w:tcW w:w="1128" w:type="dxa"/>
            <w:tcBorders>
              <w:top w:val="nil"/>
              <w:left w:val="nil"/>
              <w:bottom w:val="single" w:sz="4" w:space="0" w:color="auto"/>
              <w:right w:val="single" w:sz="4" w:space="0" w:color="auto"/>
            </w:tcBorders>
            <w:shd w:val="clear" w:color="auto" w:fill="auto"/>
            <w:noWrap/>
            <w:vAlign w:val="center"/>
            <w:hideMark/>
          </w:tcPr>
          <w:p w14:paraId="6653893C"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37,6</w:t>
            </w:r>
          </w:p>
        </w:tc>
      </w:tr>
      <w:tr w:rsidR="00736467" w:rsidRPr="00260187" w14:paraId="3B6F7335"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6B71E29C"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Průmysl</w:t>
            </w:r>
          </w:p>
        </w:tc>
        <w:tc>
          <w:tcPr>
            <w:tcW w:w="784" w:type="dxa"/>
            <w:tcBorders>
              <w:top w:val="nil"/>
              <w:left w:val="nil"/>
              <w:bottom w:val="single" w:sz="4" w:space="0" w:color="auto"/>
              <w:right w:val="single" w:sz="4" w:space="0" w:color="auto"/>
            </w:tcBorders>
            <w:shd w:val="clear" w:color="auto" w:fill="auto"/>
            <w:noWrap/>
            <w:vAlign w:val="center"/>
            <w:hideMark/>
          </w:tcPr>
          <w:p w14:paraId="0B0F58DC"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27,8</w:t>
            </w:r>
          </w:p>
        </w:tc>
        <w:tc>
          <w:tcPr>
            <w:tcW w:w="992" w:type="dxa"/>
            <w:tcBorders>
              <w:top w:val="nil"/>
              <w:left w:val="nil"/>
              <w:bottom w:val="single" w:sz="4" w:space="0" w:color="auto"/>
              <w:right w:val="single" w:sz="4" w:space="0" w:color="auto"/>
            </w:tcBorders>
            <w:shd w:val="clear" w:color="auto" w:fill="auto"/>
            <w:noWrap/>
            <w:vAlign w:val="center"/>
            <w:hideMark/>
          </w:tcPr>
          <w:p w14:paraId="66D0AFD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27,2</w:t>
            </w:r>
          </w:p>
        </w:tc>
        <w:tc>
          <w:tcPr>
            <w:tcW w:w="1134" w:type="dxa"/>
            <w:tcBorders>
              <w:top w:val="nil"/>
              <w:left w:val="nil"/>
              <w:bottom w:val="single" w:sz="4" w:space="0" w:color="auto"/>
              <w:right w:val="single" w:sz="4" w:space="0" w:color="auto"/>
            </w:tcBorders>
            <w:shd w:val="clear" w:color="auto" w:fill="auto"/>
            <w:noWrap/>
            <w:vAlign w:val="center"/>
            <w:hideMark/>
          </w:tcPr>
          <w:p w14:paraId="6EF67C42"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12,8</w:t>
            </w:r>
          </w:p>
        </w:tc>
        <w:tc>
          <w:tcPr>
            <w:tcW w:w="1134" w:type="dxa"/>
            <w:tcBorders>
              <w:top w:val="nil"/>
              <w:left w:val="nil"/>
              <w:bottom w:val="single" w:sz="4" w:space="0" w:color="auto"/>
              <w:right w:val="single" w:sz="4" w:space="0" w:color="auto"/>
            </w:tcBorders>
            <w:shd w:val="clear" w:color="auto" w:fill="auto"/>
            <w:noWrap/>
            <w:vAlign w:val="center"/>
            <w:hideMark/>
          </w:tcPr>
          <w:p w14:paraId="0109CFD0"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10,5</w:t>
            </w:r>
          </w:p>
        </w:tc>
        <w:tc>
          <w:tcPr>
            <w:tcW w:w="851" w:type="dxa"/>
            <w:tcBorders>
              <w:top w:val="nil"/>
              <w:left w:val="nil"/>
              <w:bottom w:val="single" w:sz="4" w:space="0" w:color="auto"/>
              <w:right w:val="single" w:sz="4" w:space="0" w:color="auto"/>
            </w:tcBorders>
            <w:shd w:val="clear" w:color="auto" w:fill="auto"/>
            <w:noWrap/>
            <w:vAlign w:val="center"/>
            <w:hideMark/>
          </w:tcPr>
          <w:p w14:paraId="70761E53"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3,9</w:t>
            </w:r>
          </w:p>
        </w:tc>
        <w:tc>
          <w:tcPr>
            <w:tcW w:w="850" w:type="dxa"/>
            <w:tcBorders>
              <w:top w:val="nil"/>
              <w:left w:val="nil"/>
              <w:bottom w:val="single" w:sz="4" w:space="0" w:color="auto"/>
              <w:right w:val="single" w:sz="4" w:space="0" w:color="auto"/>
            </w:tcBorders>
            <w:shd w:val="clear" w:color="auto" w:fill="auto"/>
            <w:noWrap/>
            <w:vAlign w:val="center"/>
            <w:hideMark/>
          </w:tcPr>
          <w:p w14:paraId="7E764618"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10,8</w:t>
            </w:r>
          </w:p>
        </w:tc>
        <w:tc>
          <w:tcPr>
            <w:tcW w:w="1128" w:type="dxa"/>
            <w:tcBorders>
              <w:top w:val="nil"/>
              <w:left w:val="nil"/>
              <w:bottom w:val="single" w:sz="4" w:space="0" w:color="auto"/>
              <w:right w:val="single" w:sz="4" w:space="0" w:color="auto"/>
            </w:tcBorders>
            <w:shd w:val="clear" w:color="auto" w:fill="auto"/>
            <w:noWrap/>
            <w:vAlign w:val="center"/>
            <w:hideMark/>
          </w:tcPr>
          <w:p w14:paraId="1A6BFA5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45,3</w:t>
            </w:r>
          </w:p>
        </w:tc>
      </w:tr>
      <w:tr w:rsidR="00736467" w:rsidRPr="00260187" w14:paraId="77CD8926"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DA39A69" w14:textId="5EC5B785" w:rsidR="00260187" w:rsidRPr="00260187" w:rsidRDefault="00A6321C" w:rsidP="00260187">
            <w:pPr>
              <w:spacing w:after="0" w:line="240" w:lineRule="auto"/>
              <w:rPr>
                <w:rFonts w:cs="Arial"/>
                <w:color w:val="000000"/>
                <w:sz w:val="16"/>
                <w:szCs w:val="16"/>
              </w:rPr>
            </w:pPr>
            <w:r w:rsidRPr="00A6321C">
              <w:rPr>
                <w:rFonts w:cs="Arial"/>
                <w:color w:val="000000"/>
                <w:sz w:val="16"/>
                <w:szCs w:val="16"/>
              </w:rPr>
              <w:t>Obchod; opravy motorových vozidel</w:t>
            </w:r>
          </w:p>
        </w:tc>
        <w:tc>
          <w:tcPr>
            <w:tcW w:w="784" w:type="dxa"/>
            <w:tcBorders>
              <w:top w:val="nil"/>
              <w:left w:val="nil"/>
              <w:bottom w:val="single" w:sz="4" w:space="0" w:color="auto"/>
              <w:right w:val="single" w:sz="4" w:space="0" w:color="auto"/>
            </w:tcBorders>
            <w:shd w:val="clear" w:color="auto" w:fill="auto"/>
            <w:noWrap/>
            <w:vAlign w:val="center"/>
            <w:hideMark/>
          </w:tcPr>
          <w:p w14:paraId="48678609"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20,6</w:t>
            </w:r>
          </w:p>
        </w:tc>
        <w:tc>
          <w:tcPr>
            <w:tcW w:w="992" w:type="dxa"/>
            <w:tcBorders>
              <w:top w:val="nil"/>
              <w:left w:val="nil"/>
              <w:bottom w:val="single" w:sz="4" w:space="0" w:color="auto"/>
              <w:right w:val="single" w:sz="4" w:space="0" w:color="auto"/>
            </w:tcBorders>
            <w:shd w:val="clear" w:color="auto" w:fill="auto"/>
            <w:noWrap/>
            <w:vAlign w:val="center"/>
            <w:hideMark/>
          </w:tcPr>
          <w:p w14:paraId="468DE39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18,8</w:t>
            </w:r>
          </w:p>
        </w:tc>
        <w:tc>
          <w:tcPr>
            <w:tcW w:w="1134" w:type="dxa"/>
            <w:tcBorders>
              <w:top w:val="nil"/>
              <w:left w:val="nil"/>
              <w:bottom w:val="single" w:sz="4" w:space="0" w:color="auto"/>
              <w:right w:val="single" w:sz="4" w:space="0" w:color="auto"/>
            </w:tcBorders>
            <w:shd w:val="clear" w:color="auto" w:fill="auto"/>
            <w:noWrap/>
            <w:vAlign w:val="center"/>
            <w:hideMark/>
          </w:tcPr>
          <w:p w14:paraId="4C609C93"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31639E40"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14,8</w:t>
            </w:r>
          </w:p>
        </w:tc>
        <w:tc>
          <w:tcPr>
            <w:tcW w:w="851" w:type="dxa"/>
            <w:tcBorders>
              <w:top w:val="nil"/>
              <w:left w:val="nil"/>
              <w:bottom w:val="single" w:sz="4" w:space="0" w:color="auto"/>
              <w:right w:val="single" w:sz="4" w:space="0" w:color="auto"/>
            </w:tcBorders>
            <w:shd w:val="clear" w:color="auto" w:fill="auto"/>
            <w:noWrap/>
            <w:vAlign w:val="center"/>
            <w:hideMark/>
          </w:tcPr>
          <w:p w14:paraId="55BAD7D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1,8</w:t>
            </w:r>
          </w:p>
        </w:tc>
        <w:tc>
          <w:tcPr>
            <w:tcW w:w="850" w:type="dxa"/>
            <w:tcBorders>
              <w:top w:val="nil"/>
              <w:left w:val="nil"/>
              <w:bottom w:val="single" w:sz="4" w:space="0" w:color="auto"/>
              <w:right w:val="single" w:sz="4" w:space="0" w:color="auto"/>
            </w:tcBorders>
            <w:shd w:val="clear" w:color="auto" w:fill="auto"/>
            <w:noWrap/>
            <w:vAlign w:val="center"/>
            <w:hideMark/>
          </w:tcPr>
          <w:p w14:paraId="7BF71DB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10,7</w:t>
            </w:r>
          </w:p>
        </w:tc>
        <w:tc>
          <w:tcPr>
            <w:tcW w:w="1128" w:type="dxa"/>
            <w:tcBorders>
              <w:top w:val="nil"/>
              <w:left w:val="nil"/>
              <w:bottom w:val="single" w:sz="4" w:space="0" w:color="auto"/>
              <w:right w:val="single" w:sz="4" w:space="0" w:color="auto"/>
            </w:tcBorders>
            <w:shd w:val="clear" w:color="auto" w:fill="auto"/>
            <w:noWrap/>
            <w:vAlign w:val="center"/>
            <w:hideMark/>
          </w:tcPr>
          <w:p w14:paraId="523C8BD7"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50,3</w:t>
            </w:r>
          </w:p>
        </w:tc>
      </w:tr>
      <w:tr w:rsidR="00736467" w:rsidRPr="00260187" w14:paraId="12481352"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2313730A" w14:textId="161AB0DA" w:rsidR="00260187" w:rsidRPr="00260187" w:rsidRDefault="00A6321C" w:rsidP="00260187">
            <w:pPr>
              <w:spacing w:after="0" w:line="240" w:lineRule="auto"/>
              <w:rPr>
                <w:rFonts w:cs="Arial"/>
                <w:color w:val="000000"/>
                <w:sz w:val="16"/>
                <w:szCs w:val="16"/>
              </w:rPr>
            </w:pPr>
            <w:r w:rsidRPr="00A6321C">
              <w:rPr>
                <w:rFonts w:cs="Arial"/>
                <w:color w:val="000000"/>
                <w:sz w:val="16"/>
                <w:szCs w:val="16"/>
              </w:rPr>
              <w:t>Ubytování, stravování a pohostinství</w:t>
            </w:r>
          </w:p>
        </w:tc>
        <w:tc>
          <w:tcPr>
            <w:tcW w:w="784" w:type="dxa"/>
            <w:tcBorders>
              <w:top w:val="nil"/>
              <w:left w:val="nil"/>
              <w:bottom w:val="single" w:sz="4" w:space="0" w:color="auto"/>
              <w:right w:val="single" w:sz="4" w:space="0" w:color="auto"/>
            </w:tcBorders>
            <w:shd w:val="clear" w:color="auto" w:fill="auto"/>
            <w:noWrap/>
            <w:vAlign w:val="center"/>
            <w:hideMark/>
          </w:tcPr>
          <w:p w14:paraId="3C310067"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22,7</w:t>
            </w:r>
          </w:p>
        </w:tc>
        <w:tc>
          <w:tcPr>
            <w:tcW w:w="992" w:type="dxa"/>
            <w:tcBorders>
              <w:top w:val="nil"/>
              <w:left w:val="nil"/>
              <w:bottom w:val="single" w:sz="4" w:space="0" w:color="auto"/>
              <w:right w:val="single" w:sz="4" w:space="0" w:color="auto"/>
            </w:tcBorders>
            <w:shd w:val="clear" w:color="auto" w:fill="auto"/>
            <w:noWrap/>
            <w:vAlign w:val="center"/>
            <w:hideMark/>
          </w:tcPr>
          <w:p w14:paraId="3EE94AF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13,4</w:t>
            </w:r>
          </w:p>
        </w:tc>
        <w:tc>
          <w:tcPr>
            <w:tcW w:w="1134" w:type="dxa"/>
            <w:tcBorders>
              <w:top w:val="nil"/>
              <w:left w:val="nil"/>
              <w:bottom w:val="single" w:sz="4" w:space="0" w:color="auto"/>
              <w:right w:val="single" w:sz="4" w:space="0" w:color="auto"/>
            </w:tcBorders>
            <w:shd w:val="clear" w:color="auto" w:fill="auto"/>
            <w:noWrap/>
            <w:vAlign w:val="center"/>
            <w:hideMark/>
          </w:tcPr>
          <w:p w14:paraId="16EE57AD" w14:textId="77777777" w:rsidR="00260187" w:rsidRPr="0040636F" w:rsidRDefault="00260187" w:rsidP="00260187">
            <w:pPr>
              <w:spacing w:after="0" w:line="240" w:lineRule="auto"/>
              <w:jc w:val="right"/>
              <w:rPr>
                <w:rFonts w:cs="Arial"/>
                <w:b/>
                <w:color w:val="000000"/>
                <w:sz w:val="16"/>
                <w:szCs w:val="16"/>
              </w:rPr>
            </w:pPr>
            <w:r w:rsidRPr="0040636F">
              <w:rPr>
                <w:rFonts w:cs="Arial"/>
                <w:b/>
                <w:color w:val="00B050"/>
                <w:sz w:val="16"/>
                <w:szCs w:val="16"/>
              </w:rPr>
              <w:t>20,3</w:t>
            </w:r>
          </w:p>
        </w:tc>
        <w:tc>
          <w:tcPr>
            <w:tcW w:w="1134" w:type="dxa"/>
            <w:tcBorders>
              <w:top w:val="nil"/>
              <w:left w:val="nil"/>
              <w:bottom w:val="single" w:sz="4" w:space="0" w:color="auto"/>
              <w:right w:val="single" w:sz="4" w:space="0" w:color="auto"/>
            </w:tcBorders>
            <w:shd w:val="clear" w:color="auto" w:fill="auto"/>
            <w:noWrap/>
            <w:vAlign w:val="center"/>
            <w:hideMark/>
          </w:tcPr>
          <w:p w14:paraId="50A64F2E"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5,1</w:t>
            </w:r>
          </w:p>
        </w:tc>
        <w:tc>
          <w:tcPr>
            <w:tcW w:w="851" w:type="dxa"/>
            <w:tcBorders>
              <w:top w:val="nil"/>
              <w:left w:val="nil"/>
              <w:bottom w:val="single" w:sz="4" w:space="0" w:color="auto"/>
              <w:right w:val="single" w:sz="4" w:space="0" w:color="auto"/>
            </w:tcBorders>
            <w:shd w:val="clear" w:color="auto" w:fill="auto"/>
            <w:noWrap/>
            <w:vAlign w:val="center"/>
            <w:hideMark/>
          </w:tcPr>
          <w:p w14:paraId="17386E8E" w14:textId="77777777" w:rsidR="00260187" w:rsidRPr="006D1B9F" w:rsidRDefault="00260187" w:rsidP="00260187">
            <w:pPr>
              <w:spacing w:after="0" w:line="240" w:lineRule="auto"/>
              <w:jc w:val="right"/>
              <w:rPr>
                <w:rFonts w:cs="Arial"/>
                <w:b/>
                <w:color w:val="000000"/>
                <w:sz w:val="16"/>
                <w:szCs w:val="16"/>
              </w:rPr>
            </w:pPr>
            <w:r w:rsidRPr="006D1B9F">
              <w:rPr>
                <w:rFonts w:cs="Arial"/>
                <w:b/>
                <w:color w:val="C00000"/>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14:paraId="6AF60511" w14:textId="77777777" w:rsidR="00260187" w:rsidRPr="0040636F" w:rsidRDefault="00260187" w:rsidP="00260187">
            <w:pPr>
              <w:spacing w:after="0" w:line="240" w:lineRule="auto"/>
              <w:jc w:val="right"/>
              <w:rPr>
                <w:rFonts w:cs="Arial"/>
                <w:b/>
                <w:color w:val="000000"/>
                <w:sz w:val="16"/>
                <w:szCs w:val="16"/>
              </w:rPr>
            </w:pPr>
            <w:r w:rsidRPr="0040636F">
              <w:rPr>
                <w:rFonts w:cs="Arial"/>
                <w:b/>
                <w:color w:val="00B050"/>
                <w:sz w:val="16"/>
                <w:szCs w:val="16"/>
              </w:rPr>
              <w:t>15,4</w:t>
            </w:r>
          </w:p>
        </w:tc>
        <w:tc>
          <w:tcPr>
            <w:tcW w:w="1128" w:type="dxa"/>
            <w:tcBorders>
              <w:top w:val="nil"/>
              <w:left w:val="nil"/>
              <w:bottom w:val="single" w:sz="4" w:space="0" w:color="auto"/>
              <w:right w:val="single" w:sz="4" w:space="0" w:color="auto"/>
            </w:tcBorders>
            <w:shd w:val="clear" w:color="auto" w:fill="auto"/>
            <w:noWrap/>
            <w:vAlign w:val="center"/>
            <w:hideMark/>
          </w:tcPr>
          <w:p w14:paraId="7B2D41F3"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51,0</w:t>
            </w:r>
          </w:p>
        </w:tc>
      </w:tr>
      <w:tr w:rsidR="00736467" w:rsidRPr="00260187" w14:paraId="6B491CA5"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7219F6FF"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Kulturní, zábavní a rekreační činnosti</w:t>
            </w:r>
          </w:p>
        </w:tc>
        <w:tc>
          <w:tcPr>
            <w:tcW w:w="784" w:type="dxa"/>
            <w:tcBorders>
              <w:top w:val="nil"/>
              <w:left w:val="nil"/>
              <w:bottom w:val="single" w:sz="4" w:space="0" w:color="auto"/>
              <w:right w:val="single" w:sz="4" w:space="0" w:color="auto"/>
            </w:tcBorders>
            <w:shd w:val="clear" w:color="auto" w:fill="auto"/>
            <w:noWrap/>
            <w:vAlign w:val="center"/>
            <w:hideMark/>
          </w:tcPr>
          <w:p w14:paraId="6925760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35,6</w:t>
            </w:r>
          </w:p>
        </w:tc>
        <w:tc>
          <w:tcPr>
            <w:tcW w:w="992" w:type="dxa"/>
            <w:tcBorders>
              <w:top w:val="nil"/>
              <w:left w:val="nil"/>
              <w:bottom w:val="single" w:sz="4" w:space="0" w:color="auto"/>
              <w:right w:val="single" w:sz="4" w:space="0" w:color="auto"/>
            </w:tcBorders>
            <w:shd w:val="clear" w:color="auto" w:fill="auto"/>
            <w:noWrap/>
            <w:vAlign w:val="center"/>
            <w:hideMark/>
          </w:tcPr>
          <w:p w14:paraId="5D2E62EE"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5796239E"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35E15877"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7,7</w:t>
            </w:r>
          </w:p>
        </w:tc>
        <w:tc>
          <w:tcPr>
            <w:tcW w:w="851" w:type="dxa"/>
            <w:tcBorders>
              <w:top w:val="nil"/>
              <w:left w:val="nil"/>
              <w:bottom w:val="single" w:sz="4" w:space="0" w:color="auto"/>
              <w:right w:val="single" w:sz="4" w:space="0" w:color="auto"/>
            </w:tcBorders>
            <w:shd w:val="clear" w:color="auto" w:fill="auto"/>
            <w:noWrap/>
            <w:vAlign w:val="center"/>
            <w:hideMark/>
          </w:tcPr>
          <w:p w14:paraId="210B8E92"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14:paraId="53693980"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5,5</w:t>
            </w:r>
          </w:p>
        </w:tc>
        <w:tc>
          <w:tcPr>
            <w:tcW w:w="1128" w:type="dxa"/>
            <w:tcBorders>
              <w:top w:val="nil"/>
              <w:left w:val="nil"/>
              <w:bottom w:val="single" w:sz="4" w:space="0" w:color="auto"/>
              <w:right w:val="single" w:sz="4" w:space="0" w:color="auto"/>
            </w:tcBorders>
            <w:shd w:val="clear" w:color="auto" w:fill="auto"/>
            <w:noWrap/>
            <w:vAlign w:val="center"/>
            <w:hideMark/>
          </w:tcPr>
          <w:p w14:paraId="06CFC1C3"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52,9</w:t>
            </w:r>
          </w:p>
        </w:tc>
      </w:tr>
      <w:tr w:rsidR="00736467" w:rsidRPr="00260187" w14:paraId="7926ABFB" w14:textId="77777777" w:rsidTr="00736467">
        <w:trPr>
          <w:trHeight w:val="345"/>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6EDCD8BB"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Činnosti v oblasti nemovitostí a administrativy</w:t>
            </w:r>
          </w:p>
        </w:tc>
        <w:tc>
          <w:tcPr>
            <w:tcW w:w="784" w:type="dxa"/>
            <w:tcBorders>
              <w:top w:val="nil"/>
              <w:left w:val="nil"/>
              <w:bottom w:val="single" w:sz="4" w:space="0" w:color="auto"/>
              <w:right w:val="single" w:sz="4" w:space="0" w:color="auto"/>
            </w:tcBorders>
            <w:shd w:val="clear" w:color="auto" w:fill="auto"/>
            <w:noWrap/>
            <w:vAlign w:val="center"/>
            <w:hideMark/>
          </w:tcPr>
          <w:p w14:paraId="29736244"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19,0</w:t>
            </w:r>
          </w:p>
        </w:tc>
        <w:tc>
          <w:tcPr>
            <w:tcW w:w="992" w:type="dxa"/>
            <w:tcBorders>
              <w:top w:val="nil"/>
              <w:left w:val="nil"/>
              <w:bottom w:val="single" w:sz="4" w:space="0" w:color="auto"/>
              <w:right w:val="single" w:sz="4" w:space="0" w:color="auto"/>
            </w:tcBorders>
            <w:shd w:val="clear" w:color="auto" w:fill="auto"/>
            <w:noWrap/>
            <w:vAlign w:val="center"/>
            <w:hideMark/>
          </w:tcPr>
          <w:p w14:paraId="4A8D8692"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2706DE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1E34E8BF"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6,8</w:t>
            </w:r>
          </w:p>
        </w:tc>
        <w:tc>
          <w:tcPr>
            <w:tcW w:w="851" w:type="dxa"/>
            <w:tcBorders>
              <w:top w:val="nil"/>
              <w:left w:val="nil"/>
              <w:bottom w:val="single" w:sz="4" w:space="0" w:color="auto"/>
              <w:right w:val="single" w:sz="4" w:space="0" w:color="auto"/>
            </w:tcBorders>
            <w:shd w:val="clear" w:color="auto" w:fill="auto"/>
            <w:noWrap/>
            <w:vAlign w:val="center"/>
            <w:hideMark/>
          </w:tcPr>
          <w:p w14:paraId="6ED1B93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14:paraId="7EBB0D94"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12,4</w:t>
            </w:r>
          </w:p>
        </w:tc>
        <w:tc>
          <w:tcPr>
            <w:tcW w:w="1128" w:type="dxa"/>
            <w:tcBorders>
              <w:top w:val="nil"/>
              <w:left w:val="nil"/>
              <w:bottom w:val="single" w:sz="4" w:space="0" w:color="auto"/>
              <w:right w:val="single" w:sz="4" w:space="0" w:color="auto"/>
            </w:tcBorders>
            <w:shd w:val="clear" w:color="auto" w:fill="auto"/>
            <w:noWrap/>
            <w:vAlign w:val="center"/>
            <w:hideMark/>
          </w:tcPr>
          <w:p w14:paraId="6904D32F"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56,6</w:t>
            </w:r>
          </w:p>
        </w:tc>
      </w:tr>
      <w:tr w:rsidR="00736467" w:rsidRPr="00260187" w14:paraId="4F2ACB41"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BA0AA54"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Stavebnictví</w:t>
            </w:r>
          </w:p>
        </w:tc>
        <w:tc>
          <w:tcPr>
            <w:tcW w:w="784" w:type="dxa"/>
            <w:tcBorders>
              <w:top w:val="nil"/>
              <w:left w:val="nil"/>
              <w:bottom w:val="single" w:sz="4" w:space="0" w:color="auto"/>
              <w:right w:val="single" w:sz="4" w:space="0" w:color="auto"/>
            </w:tcBorders>
            <w:shd w:val="clear" w:color="auto" w:fill="auto"/>
            <w:noWrap/>
            <w:vAlign w:val="center"/>
            <w:hideMark/>
          </w:tcPr>
          <w:p w14:paraId="3DB332F4"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14,4</w:t>
            </w:r>
          </w:p>
        </w:tc>
        <w:tc>
          <w:tcPr>
            <w:tcW w:w="992" w:type="dxa"/>
            <w:tcBorders>
              <w:top w:val="nil"/>
              <w:left w:val="nil"/>
              <w:bottom w:val="single" w:sz="4" w:space="0" w:color="auto"/>
              <w:right w:val="single" w:sz="4" w:space="0" w:color="auto"/>
            </w:tcBorders>
            <w:shd w:val="clear" w:color="auto" w:fill="auto"/>
            <w:noWrap/>
            <w:vAlign w:val="center"/>
            <w:hideMark/>
          </w:tcPr>
          <w:p w14:paraId="1EB69DB3"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5ECC9472"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6967D0FF" w14:textId="77777777" w:rsidR="00260187" w:rsidRPr="00447376" w:rsidRDefault="00260187" w:rsidP="00260187">
            <w:pPr>
              <w:spacing w:after="0" w:line="240" w:lineRule="auto"/>
              <w:jc w:val="right"/>
              <w:rPr>
                <w:rFonts w:cs="Arial"/>
                <w:b/>
                <w:color w:val="000000"/>
                <w:sz w:val="16"/>
                <w:szCs w:val="16"/>
              </w:rPr>
            </w:pPr>
            <w:r w:rsidRPr="00447376">
              <w:rPr>
                <w:rFonts w:cs="Arial"/>
                <w:b/>
                <w:color w:val="FF0000"/>
                <w:sz w:val="16"/>
                <w:szCs w:val="16"/>
              </w:rPr>
              <w:t>4,6</w:t>
            </w:r>
          </w:p>
        </w:tc>
        <w:tc>
          <w:tcPr>
            <w:tcW w:w="851" w:type="dxa"/>
            <w:tcBorders>
              <w:top w:val="nil"/>
              <w:left w:val="nil"/>
              <w:bottom w:val="single" w:sz="4" w:space="0" w:color="auto"/>
              <w:right w:val="single" w:sz="4" w:space="0" w:color="auto"/>
            </w:tcBorders>
            <w:shd w:val="clear" w:color="auto" w:fill="auto"/>
            <w:noWrap/>
            <w:vAlign w:val="center"/>
            <w:hideMark/>
          </w:tcPr>
          <w:p w14:paraId="4EC9C2F1" w14:textId="77777777" w:rsidR="00260187" w:rsidRPr="0040636F" w:rsidRDefault="00260187" w:rsidP="00260187">
            <w:pPr>
              <w:spacing w:after="0" w:line="240" w:lineRule="auto"/>
              <w:jc w:val="right"/>
              <w:rPr>
                <w:rFonts w:cs="Arial"/>
                <w:b/>
                <w:color w:val="000000"/>
                <w:sz w:val="16"/>
                <w:szCs w:val="16"/>
              </w:rPr>
            </w:pPr>
            <w:r w:rsidRPr="0040636F">
              <w:rPr>
                <w:rFonts w:cs="Arial"/>
                <w:b/>
                <w:color w:val="00B050"/>
                <w:sz w:val="16"/>
                <w:szCs w:val="16"/>
              </w:rPr>
              <w:t>5,5</w:t>
            </w:r>
          </w:p>
        </w:tc>
        <w:tc>
          <w:tcPr>
            <w:tcW w:w="850" w:type="dxa"/>
            <w:tcBorders>
              <w:top w:val="nil"/>
              <w:left w:val="nil"/>
              <w:bottom w:val="single" w:sz="4" w:space="0" w:color="auto"/>
              <w:right w:val="single" w:sz="4" w:space="0" w:color="auto"/>
            </w:tcBorders>
            <w:shd w:val="clear" w:color="auto" w:fill="auto"/>
            <w:noWrap/>
            <w:vAlign w:val="center"/>
            <w:hideMark/>
          </w:tcPr>
          <w:p w14:paraId="2D487E81"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13,3</w:t>
            </w:r>
          </w:p>
        </w:tc>
        <w:tc>
          <w:tcPr>
            <w:tcW w:w="1128" w:type="dxa"/>
            <w:tcBorders>
              <w:top w:val="nil"/>
              <w:left w:val="nil"/>
              <w:bottom w:val="single" w:sz="4" w:space="0" w:color="auto"/>
              <w:right w:val="single" w:sz="4" w:space="0" w:color="auto"/>
            </w:tcBorders>
            <w:shd w:val="clear" w:color="auto" w:fill="auto"/>
            <w:noWrap/>
            <w:vAlign w:val="center"/>
            <w:hideMark/>
          </w:tcPr>
          <w:p w14:paraId="5129E45E"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58,2</w:t>
            </w:r>
          </w:p>
        </w:tc>
      </w:tr>
      <w:tr w:rsidR="00736467" w:rsidRPr="00260187" w14:paraId="6BD28D41" w14:textId="77777777" w:rsidTr="00736467">
        <w:trPr>
          <w:trHeight w:val="300"/>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7C4660A" w14:textId="77777777" w:rsidR="00260187" w:rsidRPr="00260187" w:rsidRDefault="00260187" w:rsidP="00260187">
            <w:pPr>
              <w:spacing w:after="0" w:line="240" w:lineRule="auto"/>
              <w:rPr>
                <w:rFonts w:cs="Arial"/>
                <w:color w:val="000000"/>
                <w:sz w:val="16"/>
                <w:szCs w:val="16"/>
              </w:rPr>
            </w:pPr>
            <w:r w:rsidRPr="00260187">
              <w:rPr>
                <w:rFonts w:cs="Arial"/>
                <w:color w:val="000000"/>
                <w:sz w:val="16"/>
                <w:szCs w:val="16"/>
              </w:rPr>
              <w:t>Doprava a skladování</w:t>
            </w:r>
          </w:p>
        </w:tc>
        <w:tc>
          <w:tcPr>
            <w:tcW w:w="784" w:type="dxa"/>
            <w:tcBorders>
              <w:top w:val="nil"/>
              <w:left w:val="nil"/>
              <w:bottom w:val="single" w:sz="4" w:space="0" w:color="auto"/>
              <w:right w:val="single" w:sz="4" w:space="0" w:color="auto"/>
            </w:tcBorders>
            <w:shd w:val="clear" w:color="auto" w:fill="auto"/>
            <w:noWrap/>
            <w:vAlign w:val="center"/>
            <w:hideMark/>
          </w:tcPr>
          <w:p w14:paraId="048B56E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16,9</w:t>
            </w:r>
          </w:p>
        </w:tc>
        <w:tc>
          <w:tcPr>
            <w:tcW w:w="992" w:type="dxa"/>
            <w:tcBorders>
              <w:top w:val="nil"/>
              <w:left w:val="nil"/>
              <w:bottom w:val="single" w:sz="4" w:space="0" w:color="auto"/>
              <w:right w:val="single" w:sz="4" w:space="0" w:color="auto"/>
            </w:tcBorders>
            <w:shd w:val="clear" w:color="auto" w:fill="auto"/>
            <w:noWrap/>
            <w:vAlign w:val="center"/>
            <w:hideMark/>
          </w:tcPr>
          <w:p w14:paraId="70921B35"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13,7</w:t>
            </w:r>
          </w:p>
        </w:tc>
        <w:tc>
          <w:tcPr>
            <w:tcW w:w="1134" w:type="dxa"/>
            <w:tcBorders>
              <w:top w:val="nil"/>
              <w:left w:val="nil"/>
              <w:bottom w:val="single" w:sz="4" w:space="0" w:color="auto"/>
              <w:right w:val="single" w:sz="4" w:space="0" w:color="auto"/>
            </w:tcBorders>
            <w:shd w:val="clear" w:color="auto" w:fill="auto"/>
            <w:noWrap/>
            <w:vAlign w:val="center"/>
            <w:hideMark/>
          </w:tcPr>
          <w:p w14:paraId="302AB60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14:paraId="71968C26"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5,9</w:t>
            </w:r>
          </w:p>
        </w:tc>
        <w:tc>
          <w:tcPr>
            <w:tcW w:w="851" w:type="dxa"/>
            <w:tcBorders>
              <w:top w:val="nil"/>
              <w:left w:val="nil"/>
              <w:bottom w:val="single" w:sz="4" w:space="0" w:color="auto"/>
              <w:right w:val="single" w:sz="4" w:space="0" w:color="auto"/>
            </w:tcBorders>
            <w:shd w:val="clear" w:color="auto" w:fill="auto"/>
            <w:noWrap/>
            <w:vAlign w:val="center"/>
            <w:hideMark/>
          </w:tcPr>
          <w:p w14:paraId="378B8AF0"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4,2</w:t>
            </w:r>
          </w:p>
        </w:tc>
        <w:tc>
          <w:tcPr>
            <w:tcW w:w="850" w:type="dxa"/>
            <w:tcBorders>
              <w:top w:val="nil"/>
              <w:left w:val="nil"/>
              <w:bottom w:val="single" w:sz="4" w:space="0" w:color="auto"/>
              <w:right w:val="single" w:sz="4" w:space="0" w:color="auto"/>
            </w:tcBorders>
            <w:shd w:val="clear" w:color="auto" w:fill="auto"/>
            <w:noWrap/>
            <w:vAlign w:val="center"/>
            <w:hideMark/>
          </w:tcPr>
          <w:p w14:paraId="7F5DD9D9"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8,0</w:t>
            </w:r>
          </w:p>
        </w:tc>
        <w:tc>
          <w:tcPr>
            <w:tcW w:w="1128" w:type="dxa"/>
            <w:tcBorders>
              <w:top w:val="nil"/>
              <w:left w:val="nil"/>
              <w:bottom w:val="single" w:sz="4" w:space="0" w:color="auto"/>
              <w:right w:val="single" w:sz="4" w:space="0" w:color="auto"/>
            </w:tcBorders>
            <w:shd w:val="clear" w:color="auto" w:fill="auto"/>
            <w:noWrap/>
            <w:vAlign w:val="center"/>
            <w:hideMark/>
          </w:tcPr>
          <w:p w14:paraId="4E7B50AB" w14:textId="77777777" w:rsidR="00260187" w:rsidRPr="00260187" w:rsidRDefault="00260187" w:rsidP="00260187">
            <w:pPr>
              <w:spacing w:after="0" w:line="240" w:lineRule="auto"/>
              <w:jc w:val="right"/>
              <w:rPr>
                <w:rFonts w:cs="Arial"/>
                <w:color w:val="000000"/>
                <w:sz w:val="16"/>
                <w:szCs w:val="16"/>
              </w:rPr>
            </w:pPr>
            <w:r w:rsidRPr="00260187">
              <w:rPr>
                <w:rFonts w:cs="Arial"/>
                <w:color w:val="000000"/>
                <w:sz w:val="16"/>
                <w:szCs w:val="16"/>
              </w:rPr>
              <w:t>62,4</w:t>
            </w:r>
          </w:p>
        </w:tc>
      </w:tr>
    </w:tbl>
    <w:p w14:paraId="6F50FD32" w14:textId="5F30FAAE" w:rsidR="00BD2C60" w:rsidRPr="0083763F" w:rsidRDefault="009C4714" w:rsidP="0083763F">
      <w:pPr>
        <w:spacing w:before="120" w:after="120"/>
        <w:jc w:val="right"/>
        <w:rPr>
          <w:szCs w:val="20"/>
        </w:rPr>
      </w:pPr>
      <w:r w:rsidRPr="003D1467">
        <w:rPr>
          <w:szCs w:val="20"/>
        </w:rPr>
        <w:t>Zdroj: ČSÚ</w:t>
      </w:r>
    </w:p>
    <w:p w14:paraId="04603EF1" w14:textId="32326EFD" w:rsidR="00273F6B" w:rsidRDefault="00273F6B" w:rsidP="005600C0">
      <w:pPr>
        <w:spacing w:after="120"/>
        <w:jc w:val="both"/>
      </w:pPr>
      <w:r>
        <w:t xml:space="preserve">Kromě omezení spojených s pandemií covid-19 byly u podniků zajišťujících vzdělávání zjišťovány i </w:t>
      </w:r>
      <w:r w:rsidRPr="00273F6B">
        <w:t>další faktory om</w:t>
      </w:r>
      <w:r>
        <w:t>ezující vzdělávání zaměstnanců</w:t>
      </w:r>
      <w:r w:rsidR="0083763F">
        <w:t>, viz tabulku 4.2a</w:t>
      </w:r>
      <w:r>
        <w:t>.</w:t>
      </w:r>
      <w:r w:rsidR="0091701C">
        <w:t xml:space="preserve"> </w:t>
      </w:r>
    </w:p>
    <w:p w14:paraId="1D165DFE" w14:textId="6F985E34" w:rsidR="005600C0" w:rsidRDefault="005600C0" w:rsidP="003503EE">
      <w:pPr>
        <w:spacing w:after="120"/>
        <w:jc w:val="both"/>
      </w:pPr>
      <w:r>
        <w:t>Z možností, které dostaly podniky zajišťující vzdělávání na výběr, jich nejvyšší podíl (desetina) uvedl, že z</w:t>
      </w:r>
      <w:r w:rsidRPr="0091701C">
        <w:t xml:space="preserve">aměstnanci podniku čelili </w:t>
      </w:r>
      <w:r w:rsidRPr="00452C6D">
        <w:rPr>
          <w:b/>
        </w:rPr>
        <w:t>vysokému pracovnímu zatížení a nedostatku času</w:t>
      </w:r>
      <w:r w:rsidRPr="0091701C">
        <w:t xml:space="preserve"> na vzdělávání.</w:t>
      </w:r>
      <w:r>
        <w:t xml:space="preserve"> To platilo zejména pro větší firmy, s růstem velikosti podniku dle počtu zaměstnanců p</w:t>
      </w:r>
      <w:r w:rsidR="00D6251F">
        <w:t>odíl této odpovědi rostl (od 9</w:t>
      </w:r>
      <w:r w:rsidR="00B777E6">
        <w:t> % u </w:t>
      </w:r>
      <w:r>
        <w:t>podniků s 10 až 19 zaměstnan</w:t>
      </w:r>
      <w:r w:rsidR="00D6251F">
        <w:t>ci až po 20</w:t>
      </w:r>
      <w:r>
        <w:t xml:space="preserve"> % u podniků s 250 a více zaměstnanci). Také si na nedostatek času častěji stěžovaly podniky </w:t>
      </w:r>
      <w:r w:rsidR="009C0C6B">
        <w:t>se zahraniční kontrolou</w:t>
      </w:r>
      <w:r w:rsidR="00D6251F">
        <w:t xml:space="preserve"> (15</w:t>
      </w:r>
      <w:r>
        <w:t xml:space="preserve"> % z nich) než </w:t>
      </w:r>
      <w:r w:rsidR="009C0C6B">
        <w:t>domácí podniky</w:t>
      </w:r>
      <w:r w:rsidR="00D6251F">
        <w:t xml:space="preserve"> (10</w:t>
      </w:r>
      <w:r>
        <w:t> % z nich).</w:t>
      </w:r>
    </w:p>
    <w:p w14:paraId="7E209F1A" w14:textId="2C4B88DB" w:rsidR="005600C0" w:rsidRDefault="005600C0" w:rsidP="003503EE">
      <w:pPr>
        <w:spacing w:after="120"/>
        <w:jc w:val="both"/>
      </w:pPr>
      <w:r>
        <w:t>Sedm procent podniků zajišťujících vzdělávání si také stěžoval</w:t>
      </w:r>
      <w:r w:rsidR="00813686">
        <w:t>o</w:t>
      </w:r>
      <w:r>
        <w:t xml:space="preserve"> na </w:t>
      </w:r>
      <w:r w:rsidRPr="00276F79">
        <w:rPr>
          <w:b/>
        </w:rPr>
        <w:t>nevyhovující nabídku vzdělávání na trhu</w:t>
      </w:r>
      <w:r w:rsidR="00447376">
        <w:t xml:space="preserve"> a </w:t>
      </w:r>
      <w:r w:rsidR="00D6251F">
        <w:t>šest procent</w:t>
      </w:r>
      <w:r>
        <w:t xml:space="preserve"> uvedlo, že </w:t>
      </w:r>
      <w:r w:rsidRPr="00730959">
        <w:t>p</w:t>
      </w:r>
      <w:r w:rsidRPr="0091701C">
        <w:t xml:space="preserve">odnik </w:t>
      </w:r>
      <w:r w:rsidRPr="00276F79">
        <w:rPr>
          <w:b/>
        </w:rPr>
        <w:t>kladl na vzdělávání zaměstnanců velký důraz již v uplynulých několika letech</w:t>
      </w:r>
      <w:r w:rsidRPr="00730959">
        <w:t>.</w:t>
      </w:r>
      <w:r>
        <w:t xml:space="preserve"> Oba tyto faktory opět častěji uváděly větší podniky než ty menší a podniky </w:t>
      </w:r>
      <w:r w:rsidR="009C0C6B">
        <w:t>pod zahraniční kontrolou</w:t>
      </w:r>
      <w:r>
        <w:t xml:space="preserve"> než podniky </w:t>
      </w:r>
      <w:r w:rsidR="009C0C6B">
        <w:t>domácí</w:t>
      </w:r>
      <w:r w:rsidR="00447376">
        <w:t>. Ostatní omezující vlivy již</w:t>
      </w:r>
      <w:r>
        <w:t xml:space="preserve"> uvedlo </w:t>
      </w:r>
      <w:r w:rsidR="00D6251F">
        <w:t>méně než 5 % podniků. Celkem 4</w:t>
      </w:r>
      <w:r w:rsidR="00B777E6">
        <w:t> % podniků upřednostňovala</w:t>
      </w:r>
      <w:r>
        <w:t xml:space="preserve"> p</w:t>
      </w:r>
      <w:r w:rsidRPr="0091701C">
        <w:t xml:space="preserve">řed zajišťováním vzdělávání pro stávající zaměstnance </w:t>
      </w:r>
      <w:r w:rsidRPr="00D6251F">
        <w:rPr>
          <w:b/>
        </w:rPr>
        <w:t>přijímání nových pracovníků s potřebnou kvalifikací, dovednostmi či schopnostmi</w:t>
      </w:r>
      <w:r w:rsidRPr="00730959">
        <w:t>.</w:t>
      </w:r>
      <w:r>
        <w:t xml:space="preserve"> To platilo zejména pro skupinu podniků s 50</w:t>
      </w:r>
      <w:r w:rsidR="00447376">
        <w:t>–</w:t>
      </w:r>
      <w:r w:rsidR="00D6251F">
        <w:t xml:space="preserve">249 </w:t>
      </w:r>
      <w:r w:rsidR="00D6251F">
        <w:lastRenderedPageBreak/>
        <w:t>zaměstnanci (uvedlo tak 5,</w:t>
      </w:r>
      <w:r>
        <w:t xml:space="preserve">% z nich), v ostatních velikostních skupinách byl podíl této odpovědi kolem 4 %. Také to více platilo pro </w:t>
      </w:r>
      <w:r w:rsidR="009C0C6B">
        <w:t>domácí</w:t>
      </w:r>
      <w:r w:rsidR="00D6251F">
        <w:t xml:space="preserve"> podniky (4</w:t>
      </w:r>
      <w:r>
        <w:t xml:space="preserve"> %) než pro ty </w:t>
      </w:r>
      <w:r w:rsidR="009C0C6B">
        <w:t>se zahraniční kontrolou</w:t>
      </w:r>
      <w:r w:rsidR="00D6251F">
        <w:t xml:space="preserve"> (3</w:t>
      </w:r>
      <w:r>
        <w:t xml:space="preserve"> %). Obdobný podíl podniků si pak stěžoval na </w:t>
      </w:r>
      <w:r w:rsidRPr="00276F79">
        <w:rPr>
          <w:b/>
        </w:rPr>
        <w:t>vysoké náklady spojené se vzděláváním</w:t>
      </w:r>
      <w:r>
        <w:t xml:space="preserve"> (4 %). S růstem velikosti podniku dle počtu zaměstnanců p</w:t>
      </w:r>
      <w:r w:rsidR="00D6251F">
        <w:t>odíl této odpovědi stoupá (z 3</w:t>
      </w:r>
      <w:r>
        <w:t> % podni</w:t>
      </w:r>
      <w:r w:rsidR="00D6251F">
        <w:t>ků s 10-19 zaměstnanci až na 7</w:t>
      </w:r>
      <w:r>
        <w:t> %</w:t>
      </w:r>
      <w:r w:rsidRPr="00730959">
        <w:t xml:space="preserve"> </w:t>
      </w:r>
      <w:r w:rsidR="006D1B9F">
        <w:t>podniků s </w:t>
      </w:r>
      <w:r>
        <w:t>250 a více zaměst</w:t>
      </w:r>
      <w:r w:rsidRPr="00730959">
        <w:t>na</w:t>
      </w:r>
      <w:r>
        <w:t>nci). Také je tato odpověď častější u podniků s vrcholovým vlastníkem z cizí zem</w:t>
      </w:r>
      <w:r w:rsidR="00D6251F">
        <w:t>ě (5</w:t>
      </w:r>
      <w:r w:rsidR="000F09F2">
        <w:t> %) než z České republiky</w:t>
      </w:r>
      <w:r w:rsidR="00D6251F">
        <w:t xml:space="preserve"> (4</w:t>
      </w:r>
      <w:r>
        <w:t> %). Odpověď, že p</w:t>
      </w:r>
      <w:r w:rsidRPr="0091701C">
        <w:t xml:space="preserve">odnik se </w:t>
      </w:r>
      <w:r w:rsidRPr="00476F2E">
        <w:rPr>
          <w:b/>
        </w:rPr>
        <w:t xml:space="preserve">spíše zaměřoval na podporu počátečního odborného vzdělání </w:t>
      </w:r>
      <w:r w:rsidRPr="0091701C">
        <w:t>než na vzdělávání zaměstnanců</w:t>
      </w:r>
      <w:r>
        <w:t xml:space="preserve">, uvedly již jen dvě procenta podniků zajišťujících vzdělávání a odpověď, že </w:t>
      </w:r>
      <w:r w:rsidRPr="00476F2E">
        <w:rPr>
          <w:b/>
        </w:rPr>
        <w:t>podnik měl potíže s identifikací vzdělávacích potřeb</w:t>
      </w:r>
      <w:r>
        <w:t xml:space="preserve"> zaměstnanců, jen 1,5 %.</w:t>
      </w:r>
      <w:r w:rsidR="009D13FA">
        <w:t xml:space="preserve"> Obojí bylo přitom opět častěji uváděné velkými podniky než těmi malými.</w:t>
      </w:r>
      <w:r w:rsidR="00D6251F">
        <w:t xml:space="preserve"> Celkem 11</w:t>
      </w:r>
      <w:r>
        <w:t xml:space="preserve"> % podniků zajišťujících vzdělávání zmínilo, že zaznamenaly </w:t>
      </w:r>
      <w:r w:rsidR="00C04554">
        <w:t>(</w:t>
      </w:r>
      <w:r>
        <w:t>i</w:t>
      </w:r>
      <w:r w:rsidR="00C04554">
        <w:t>)</w:t>
      </w:r>
      <w:r>
        <w:t xml:space="preserve"> jiné než v nabídce uvedené důvody omezení vzdělávání. </w:t>
      </w:r>
    </w:p>
    <w:p w14:paraId="6ED30C7C" w14:textId="6B442DF6" w:rsidR="005600C0" w:rsidRDefault="005600C0" w:rsidP="003503EE">
      <w:pPr>
        <w:spacing w:after="120"/>
        <w:jc w:val="both"/>
      </w:pPr>
      <w:r>
        <w:t xml:space="preserve">Celkově lze říci, že dvě třetiny podniků nezaznamenaly </w:t>
      </w:r>
      <w:r w:rsidRPr="007C2E04">
        <w:rPr>
          <w:b/>
        </w:rPr>
        <w:t>žádná omezení nebo jen ta spojená s pandemií covid-19</w:t>
      </w:r>
      <w:r w:rsidR="00C04554">
        <w:t xml:space="preserve"> (viz tabulku 4.2a</w:t>
      </w:r>
      <w:r>
        <w:t>). Týkalo</w:t>
      </w:r>
      <w:r w:rsidR="00D6251F">
        <w:t xml:space="preserve"> se to více malých podniků (70</w:t>
      </w:r>
      <w:r>
        <w:t> % podniků s 10</w:t>
      </w:r>
      <w:r w:rsidR="00C04554">
        <w:t>–</w:t>
      </w:r>
      <w:r>
        <w:t>19 zam</w:t>
      </w:r>
      <w:r w:rsidR="00D6251F">
        <w:t>ěstnanci) než těch větších (49</w:t>
      </w:r>
      <w:r>
        <w:t xml:space="preserve"> % podniků s 250 a více zaměstnanci) a o něco více také podniků </w:t>
      </w:r>
      <w:r w:rsidR="00A13EE0">
        <w:t>domácích</w:t>
      </w:r>
      <w:r w:rsidR="00D6251F">
        <w:t xml:space="preserve"> (68</w:t>
      </w:r>
      <w:r>
        <w:t xml:space="preserve"> %) než těch </w:t>
      </w:r>
      <w:r w:rsidR="00A13EE0">
        <w:t>pod zahraniční kontrolou</w:t>
      </w:r>
      <w:r w:rsidR="00D6251F">
        <w:t xml:space="preserve"> (60</w:t>
      </w:r>
      <w:r w:rsidR="003503EE">
        <w:t> %).</w:t>
      </w:r>
    </w:p>
    <w:p w14:paraId="366CF1DB" w14:textId="77777777" w:rsidR="003503EE" w:rsidRDefault="003237E9" w:rsidP="003503EE">
      <w:pPr>
        <w:keepNext/>
        <w:spacing w:after="0"/>
        <w:jc w:val="both"/>
        <w:rPr>
          <w:b/>
        </w:rPr>
      </w:pPr>
      <w:r>
        <w:rPr>
          <w:b/>
        </w:rPr>
        <w:t>Tab.</w:t>
      </w:r>
      <w:r w:rsidR="0091701C" w:rsidRPr="0091701C">
        <w:rPr>
          <w:b/>
        </w:rPr>
        <w:t xml:space="preserve"> 4.2</w:t>
      </w:r>
      <w:r w:rsidR="00310FE5">
        <w:rPr>
          <w:b/>
        </w:rPr>
        <w:t>a</w:t>
      </w:r>
      <w:r w:rsidR="0091701C" w:rsidRPr="0091701C">
        <w:rPr>
          <w:b/>
        </w:rPr>
        <w:t xml:space="preserve"> </w:t>
      </w:r>
      <w:r w:rsidR="003503EE">
        <w:rPr>
          <w:b/>
        </w:rPr>
        <w:t>Podniky s uvedenými</w:t>
      </w:r>
      <w:r w:rsidR="0091701C" w:rsidRPr="0091701C">
        <w:rPr>
          <w:b/>
        </w:rPr>
        <w:t xml:space="preserve"> další</w:t>
      </w:r>
      <w:r w:rsidR="003503EE">
        <w:rPr>
          <w:b/>
        </w:rPr>
        <w:t>mi</w:t>
      </w:r>
      <w:r w:rsidR="0091701C" w:rsidRPr="0091701C">
        <w:rPr>
          <w:b/>
        </w:rPr>
        <w:t xml:space="preserve"> faktory omezující</w:t>
      </w:r>
      <w:r w:rsidR="003503EE">
        <w:rPr>
          <w:b/>
        </w:rPr>
        <w:t>mi vzdělávání zaměstnanců</w:t>
      </w:r>
      <w:r w:rsidR="003503EE">
        <w:rPr>
          <w:rStyle w:val="Znakapoznpodarou"/>
          <w:b/>
        </w:rPr>
        <w:footnoteReference w:id="10"/>
      </w:r>
      <w:r w:rsidR="003503EE">
        <w:rPr>
          <w:b/>
        </w:rPr>
        <w:t>, 2020</w:t>
      </w:r>
      <w:r w:rsidR="0091701C" w:rsidRPr="0091701C">
        <w:rPr>
          <w:b/>
        </w:rPr>
        <w:t xml:space="preserve"> </w:t>
      </w:r>
    </w:p>
    <w:p w14:paraId="7ADAEE8B" w14:textId="5F3CB500" w:rsidR="0091701C" w:rsidRPr="003503EE" w:rsidRDefault="003503EE" w:rsidP="00BD2C60">
      <w:pPr>
        <w:keepNext/>
        <w:spacing w:after="120"/>
        <w:jc w:val="both"/>
      </w:pPr>
      <w:r w:rsidRPr="003503EE">
        <w:t>(</w:t>
      </w:r>
      <w:r w:rsidR="0091701C" w:rsidRPr="003503EE">
        <w:t>v %</w:t>
      </w:r>
      <w:r w:rsidRPr="003503EE">
        <w:t xml:space="preserve"> z podniků zajišťujících vzdělávání</w:t>
      </w:r>
      <w:r w:rsidR="0091701C" w:rsidRPr="003503EE">
        <w:t>)</w:t>
      </w:r>
    </w:p>
    <w:tbl>
      <w:tblPr>
        <w:tblW w:w="9633" w:type="dxa"/>
        <w:tblInd w:w="-5" w:type="dxa"/>
        <w:tblCellMar>
          <w:left w:w="70" w:type="dxa"/>
          <w:right w:w="70" w:type="dxa"/>
        </w:tblCellMar>
        <w:tblLook w:val="04A0" w:firstRow="1" w:lastRow="0" w:firstColumn="1" w:lastColumn="0" w:noHBand="0" w:noVBand="1"/>
      </w:tblPr>
      <w:tblGrid>
        <w:gridCol w:w="4111"/>
        <w:gridCol w:w="861"/>
        <w:gridCol w:w="702"/>
        <w:gridCol w:w="860"/>
        <w:gridCol w:w="731"/>
        <w:gridCol w:w="746"/>
        <w:gridCol w:w="741"/>
        <w:gridCol w:w="881"/>
      </w:tblGrid>
      <w:tr w:rsidR="00452C6D" w:rsidRPr="00452C6D" w14:paraId="60570E49" w14:textId="77777777" w:rsidTr="00452C6D">
        <w:trPr>
          <w:trHeight w:val="582"/>
        </w:trPr>
        <w:tc>
          <w:tcPr>
            <w:tcW w:w="4111" w:type="dxa"/>
            <w:vMerge w:val="restart"/>
            <w:tcBorders>
              <w:top w:val="single" w:sz="4" w:space="0" w:color="auto"/>
              <w:left w:val="single" w:sz="4" w:space="0" w:color="auto"/>
              <w:bottom w:val="single" w:sz="4" w:space="0" w:color="auto"/>
              <w:right w:val="single" w:sz="4" w:space="0" w:color="auto"/>
            </w:tcBorders>
            <w:shd w:val="clear" w:color="000000" w:fill="7FB0DD"/>
            <w:noWrap/>
            <w:vAlign w:val="center"/>
            <w:hideMark/>
          </w:tcPr>
          <w:p w14:paraId="3476190D" w14:textId="77777777" w:rsidR="00452C6D" w:rsidRPr="00452C6D" w:rsidRDefault="00452C6D" w:rsidP="00BD2C60">
            <w:pPr>
              <w:keepNext/>
              <w:spacing w:after="0" w:line="240" w:lineRule="auto"/>
              <w:jc w:val="center"/>
              <w:rPr>
                <w:rFonts w:cs="Arial"/>
                <w:color w:val="000000"/>
                <w:sz w:val="16"/>
                <w:szCs w:val="16"/>
              </w:rPr>
            </w:pPr>
            <w:r w:rsidRPr="00452C6D">
              <w:rPr>
                <w:rFonts w:cs="Arial"/>
                <w:color w:val="000000"/>
                <w:sz w:val="16"/>
                <w:szCs w:val="16"/>
              </w:rPr>
              <w:t> </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7FB0DD"/>
            <w:vAlign w:val="center"/>
            <w:hideMark/>
          </w:tcPr>
          <w:p w14:paraId="31ABCDEF"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Celkem</w:t>
            </w:r>
          </w:p>
        </w:tc>
        <w:tc>
          <w:tcPr>
            <w:tcW w:w="3039" w:type="dxa"/>
            <w:gridSpan w:val="4"/>
            <w:tcBorders>
              <w:top w:val="single" w:sz="4" w:space="0" w:color="auto"/>
              <w:left w:val="nil"/>
              <w:bottom w:val="single" w:sz="4" w:space="0" w:color="auto"/>
              <w:right w:val="single" w:sz="4" w:space="0" w:color="auto"/>
            </w:tcBorders>
            <w:shd w:val="clear" w:color="000000" w:fill="7FB0DD"/>
            <w:noWrap/>
            <w:vAlign w:val="center"/>
            <w:hideMark/>
          </w:tcPr>
          <w:p w14:paraId="270804DF"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podle počtu zaměstnanců</w:t>
            </w:r>
          </w:p>
        </w:tc>
        <w:tc>
          <w:tcPr>
            <w:tcW w:w="1622" w:type="dxa"/>
            <w:gridSpan w:val="2"/>
            <w:tcBorders>
              <w:top w:val="single" w:sz="4" w:space="0" w:color="auto"/>
              <w:left w:val="nil"/>
              <w:bottom w:val="single" w:sz="4" w:space="0" w:color="auto"/>
              <w:right w:val="single" w:sz="4" w:space="0" w:color="auto"/>
            </w:tcBorders>
            <w:shd w:val="clear" w:color="000000" w:fill="7FB0DD"/>
            <w:vAlign w:val="center"/>
            <w:hideMark/>
          </w:tcPr>
          <w:p w14:paraId="79AF9794" w14:textId="05492CE5" w:rsidR="00452C6D" w:rsidRPr="00452C6D" w:rsidRDefault="006C1649" w:rsidP="00BD2C60">
            <w:pPr>
              <w:keepNext/>
              <w:spacing w:after="0" w:line="240" w:lineRule="auto"/>
              <w:jc w:val="center"/>
              <w:rPr>
                <w:rFonts w:cs="Arial"/>
                <w:b/>
                <w:bCs/>
                <w:color w:val="000000"/>
                <w:sz w:val="16"/>
                <w:szCs w:val="16"/>
              </w:rPr>
            </w:pPr>
            <w:r>
              <w:rPr>
                <w:rFonts w:cs="Arial"/>
                <w:b/>
                <w:bCs/>
                <w:color w:val="000000"/>
                <w:sz w:val="16"/>
                <w:szCs w:val="16"/>
              </w:rPr>
              <w:t>p</w:t>
            </w:r>
            <w:r w:rsidR="00552396">
              <w:rPr>
                <w:rFonts w:cs="Arial"/>
                <w:b/>
                <w:bCs/>
                <w:color w:val="000000"/>
                <w:sz w:val="16"/>
                <w:szCs w:val="16"/>
              </w:rPr>
              <w:t>odniky domácí vs. pod zahraniční kontrolou</w:t>
            </w:r>
          </w:p>
        </w:tc>
      </w:tr>
      <w:tr w:rsidR="00452C6D" w:rsidRPr="00452C6D" w14:paraId="0F2D5885" w14:textId="77777777" w:rsidTr="00452C6D">
        <w:trPr>
          <w:trHeight w:val="253"/>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06CBFABD" w14:textId="77777777" w:rsidR="00452C6D" w:rsidRPr="00452C6D" w:rsidRDefault="00452C6D" w:rsidP="00BD2C60">
            <w:pPr>
              <w:keepNext/>
              <w:spacing w:after="0" w:line="240" w:lineRule="auto"/>
              <w:rPr>
                <w:rFonts w:cs="Arial"/>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5A5ECD92" w14:textId="77777777" w:rsidR="00452C6D" w:rsidRPr="00452C6D" w:rsidRDefault="00452C6D" w:rsidP="00BD2C60">
            <w:pPr>
              <w:keepNext/>
              <w:spacing w:after="0" w:line="240" w:lineRule="auto"/>
              <w:rPr>
                <w:rFonts w:cs="Arial"/>
                <w:b/>
                <w:bCs/>
                <w:color w:val="000000"/>
                <w:sz w:val="16"/>
                <w:szCs w:val="16"/>
              </w:rPr>
            </w:pPr>
          </w:p>
        </w:tc>
        <w:tc>
          <w:tcPr>
            <w:tcW w:w="702" w:type="dxa"/>
            <w:tcBorders>
              <w:top w:val="nil"/>
              <w:left w:val="nil"/>
              <w:bottom w:val="single" w:sz="4" w:space="0" w:color="auto"/>
              <w:right w:val="single" w:sz="4" w:space="0" w:color="auto"/>
            </w:tcBorders>
            <w:shd w:val="clear" w:color="000000" w:fill="7FB0DD"/>
            <w:noWrap/>
            <w:vAlign w:val="center"/>
            <w:hideMark/>
          </w:tcPr>
          <w:p w14:paraId="02013AA0"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10–19</w:t>
            </w:r>
          </w:p>
        </w:tc>
        <w:tc>
          <w:tcPr>
            <w:tcW w:w="860" w:type="dxa"/>
            <w:tcBorders>
              <w:top w:val="nil"/>
              <w:left w:val="nil"/>
              <w:bottom w:val="single" w:sz="4" w:space="0" w:color="auto"/>
              <w:right w:val="single" w:sz="4" w:space="0" w:color="auto"/>
            </w:tcBorders>
            <w:shd w:val="clear" w:color="000000" w:fill="7FB0DD"/>
            <w:noWrap/>
            <w:vAlign w:val="center"/>
            <w:hideMark/>
          </w:tcPr>
          <w:p w14:paraId="0432C4C6"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20–49</w:t>
            </w:r>
          </w:p>
        </w:tc>
        <w:tc>
          <w:tcPr>
            <w:tcW w:w="731" w:type="dxa"/>
            <w:tcBorders>
              <w:top w:val="nil"/>
              <w:left w:val="nil"/>
              <w:bottom w:val="single" w:sz="4" w:space="0" w:color="auto"/>
              <w:right w:val="single" w:sz="4" w:space="0" w:color="auto"/>
            </w:tcBorders>
            <w:shd w:val="clear" w:color="000000" w:fill="7FB0DD"/>
            <w:noWrap/>
            <w:vAlign w:val="center"/>
            <w:hideMark/>
          </w:tcPr>
          <w:p w14:paraId="2AB39FB3"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50–249</w:t>
            </w:r>
          </w:p>
        </w:tc>
        <w:tc>
          <w:tcPr>
            <w:tcW w:w="746" w:type="dxa"/>
            <w:tcBorders>
              <w:top w:val="nil"/>
              <w:left w:val="nil"/>
              <w:bottom w:val="single" w:sz="4" w:space="0" w:color="auto"/>
              <w:right w:val="single" w:sz="4" w:space="0" w:color="auto"/>
            </w:tcBorders>
            <w:shd w:val="clear" w:color="000000" w:fill="7FB0DD"/>
            <w:noWrap/>
            <w:vAlign w:val="center"/>
            <w:hideMark/>
          </w:tcPr>
          <w:p w14:paraId="4802503D" w14:textId="77777777" w:rsidR="00452C6D" w:rsidRPr="00452C6D" w:rsidRDefault="00452C6D" w:rsidP="00BD2C60">
            <w:pPr>
              <w:keepNext/>
              <w:spacing w:after="0" w:line="240" w:lineRule="auto"/>
              <w:jc w:val="center"/>
              <w:rPr>
                <w:rFonts w:cs="Arial"/>
                <w:b/>
                <w:bCs/>
                <w:color w:val="000000"/>
                <w:sz w:val="16"/>
                <w:szCs w:val="16"/>
              </w:rPr>
            </w:pPr>
            <w:r w:rsidRPr="00452C6D">
              <w:rPr>
                <w:rFonts w:cs="Arial"/>
                <w:b/>
                <w:bCs/>
                <w:color w:val="000000"/>
                <w:sz w:val="16"/>
                <w:szCs w:val="16"/>
              </w:rPr>
              <w:t>250+</w:t>
            </w:r>
          </w:p>
        </w:tc>
        <w:tc>
          <w:tcPr>
            <w:tcW w:w="741" w:type="dxa"/>
            <w:tcBorders>
              <w:top w:val="nil"/>
              <w:left w:val="nil"/>
              <w:bottom w:val="single" w:sz="4" w:space="0" w:color="auto"/>
              <w:right w:val="single" w:sz="4" w:space="0" w:color="auto"/>
            </w:tcBorders>
            <w:shd w:val="clear" w:color="000000" w:fill="7FB0DD"/>
            <w:noWrap/>
            <w:vAlign w:val="center"/>
            <w:hideMark/>
          </w:tcPr>
          <w:p w14:paraId="1BCD03ED" w14:textId="5165768A" w:rsidR="00452C6D" w:rsidRPr="00452C6D" w:rsidRDefault="00552396" w:rsidP="00BD2C60">
            <w:pPr>
              <w:keepNext/>
              <w:spacing w:after="0" w:line="240" w:lineRule="auto"/>
              <w:jc w:val="center"/>
              <w:rPr>
                <w:rFonts w:cs="Arial"/>
                <w:b/>
                <w:bCs/>
                <w:color w:val="000000"/>
                <w:sz w:val="16"/>
                <w:szCs w:val="16"/>
              </w:rPr>
            </w:pPr>
            <w:r>
              <w:rPr>
                <w:rFonts w:cs="Arial"/>
                <w:b/>
                <w:bCs/>
                <w:color w:val="000000"/>
                <w:sz w:val="16"/>
                <w:szCs w:val="16"/>
              </w:rPr>
              <w:t>domácí</w:t>
            </w:r>
          </w:p>
        </w:tc>
        <w:tc>
          <w:tcPr>
            <w:tcW w:w="881" w:type="dxa"/>
            <w:tcBorders>
              <w:top w:val="nil"/>
              <w:left w:val="nil"/>
              <w:bottom w:val="single" w:sz="4" w:space="0" w:color="auto"/>
              <w:right w:val="single" w:sz="4" w:space="0" w:color="auto"/>
            </w:tcBorders>
            <w:shd w:val="clear" w:color="000000" w:fill="7FB0DD"/>
            <w:noWrap/>
            <w:vAlign w:val="center"/>
            <w:hideMark/>
          </w:tcPr>
          <w:p w14:paraId="231C491B" w14:textId="548C89BE" w:rsidR="00452C6D" w:rsidRPr="00452C6D" w:rsidRDefault="00552396" w:rsidP="00BD2C60">
            <w:pPr>
              <w:keepNext/>
              <w:spacing w:after="0" w:line="240" w:lineRule="auto"/>
              <w:jc w:val="center"/>
              <w:rPr>
                <w:rFonts w:cs="Arial"/>
                <w:b/>
                <w:bCs/>
                <w:color w:val="000000"/>
                <w:sz w:val="16"/>
                <w:szCs w:val="16"/>
              </w:rPr>
            </w:pPr>
            <w:r>
              <w:rPr>
                <w:rFonts w:cs="Arial"/>
                <w:b/>
                <w:bCs/>
                <w:color w:val="000000"/>
                <w:sz w:val="16"/>
                <w:szCs w:val="16"/>
              </w:rPr>
              <w:t>ostatní</w:t>
            </w:r>
          </w:p>
        </w:tc>
      </w:tr>
      <w:tr w:rsidR="00452C6D" w:rsidRPr="00452C6D" w14:paraId="1EBF1693" w14:textId="77777777" w:rsidTr="00452C6D">
        <w:trPr>
          <w:trHeight w:val="37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9A99346" w14:textId="4C717999" w:rsidR="00452C6D" w:rsidRPr="00452C6D" w:rsidRDefault="00C04554" w:rsidP="00BD2C60">
            <w:pPr>
              <w:keepNext/>
              <w:spacing w:after="0" w:line="240" w:lineRule="auto"/>
              <w:rPr>
                <w:rFonts w:cs="Arial"/>
                <w:color w:val="000000"/>
                <w:sz w:val="16"/>
                <w:szCs w:val="16"/>
              </w:rPr>
            </w:pPr>
            <w:r>
              <w:rPr>
                <w:rFonts w:cs="Arial"/>
                <w:color w:val="000000"/>
                <w:sz w:val="16"/>
                <w:szCs w:val="16"/>
              </w:rPr>
              <w:t>V</w:t>
            </w:r>
            <w:r w:rsidRPr="00452C6D">
              <w:rPr>
                <w:rFonts w:cs="Arial"/>
                <w:color w:val="000000"/>
                <w:sz w:val="16"/>
                <w:szCs w:val="16"/>
              </w:rPr>
              <w:t xml:space="preserve">ysoké pracovní zatížení </w:t>
            </w:r>
            <w:r>
              <w:rPr>
                <w:rFonts w:cs="Arial"/>
                <w:color w:val="000000"/>
                <w:sz w:val="16"/>
                <w:szCs w:val="16"/>
              </w:rPr>
              <w:t xml:space="preserve">zaměstnanců </w:t>
            </w:r>
            <w:r w:rsidRPr="00452C6D">
              <w:rPr>
                <w:rFonts w:cs="Arial"/>
                <w:color w:val="000000"/>
                <w:sz w:val="16"/>
                <w:szCs w:val="16"/>
              </w:rPr>
              <w:t>a nedostat</w:t>
            </w:r>
            <w:r>
              <w:rPr>
                <w:rFonts w:cs="Arial"/>
                <w:color w:val="000000"/>
                <w:sz w:val="16"/>
                <w:szCs w:val="16"/>
              </w:rPr>
              <w:t>e</w:t>
            </w:r>
            <w:r w:rsidRPr="00452C6D">
              <w:rPr>
                <w:rFonts w:cs="Arial"/>
                <w:color w:val="000000"/>
                <w:sz w:val="16"/>
                <w:szCs w:val="16"/>
              </w:rPr>
              <w:t>k času na vzdělávání</w:t>
            </w:r>
          </w:p>
        </w:tc>
        <w:tc>
          <w:tcPr>
            <w:tcW w:w="861" w:type="dxa"/>
            <w:tcBorders>
              <w:top w:val="nil"/>
              <w:left w:val="nil"/>
              <w:bottom w:val="single" w:sz="4" w:space="0" w:color="auto"/>
              <w:right w:val="single" w:sz="4" w:space="0" w:color="auto"/>
            </w:tcBorders>
            <w:shd w:val="clear" w:color="auto" w:fill="auto"/>
            <w:noWrap/>
            <w:vAlign w:val="center"/>
            <w:hideMark/>
          </w:tcPr>
          <w:p w14:paraId="5983BDAB"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10,4</w:t>
            </w:r>
          </w:p>
        </w:tc>
        <w:tc>
          <w:tcPr>
            <w:tcW w:w="702" w:type="dxa"/>
            <w:tcBorders>
              <w:top w:val="nil"/>
              <w:left w:val="nil"/>
              <w:bottom w:val="single" w:sz="4" w:space="0" w:color="auto"/>
              <w:right w:val="single" w:sz="4" w:space="0" w:color="auto"/>
            </w:tcBorders>
            <w:shd w:val="clear" w:color="auto" w:fill="auto"/>
            <w:noWrap/>
            <w:vAlign w:val="center"/>
            <w:hideMark/>
          </w:tcPr>
          <w:p w14:paraId="2E102FC6"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9,1</w:t>
            </w:r>
          </w:p>
        </w:tc>
        <w:tc>
          <w:tcPr>
            <w:tcW w:w="860" w:type="dxa"/>
            <w:tcBorders>
              <w:top w:val="nil"/>
              <w:left w:val="nil"/>
              <w:bottom w:val="single" w:sz="4" w:space="0" w:color="auto"/>
              <w:right w:val="single" w:sz="4" w:space="0" w:color="auto"/>
            </w:tcBorders>
            <w:shd w:val="clear" w:color="auto" w:fill="auto"/>
            <w:noWrap/>
            <w:vAlign w:val="center"/>
            <w:hideMark/>
          </w:tcPr>
          <w:p w14:paraId="3E0592ED"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8,9</w:t>
            </w:r>
          </w:p>
        </w:tc>
        <w:tc>
          <w:tcPr>
            <w:tcW w:w="731" w:type="dxa"/>
            <w:tcBorders>
              <w:top w:val="nil"/>
              <w:left w:val="nil"/>
              <w:bottom w:val="single" w:sz="4" w:space="0" w:color="auto"/>
              <w:right w:val="single" w:sz="4" w:space="0" w:color="auto"/>
            </w:tcBorders>
            <w:shd w:val="clear" w:color="auto" w:fill="auto"/>
            <w:noWrap/>
            <w:vAlign w:val="center"/>
            <w:hideMark/>
          </w:tcPr>
          <w:p w14:paraId="76E25953"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13,3</w:t>
            </w:r>
          </w:p>
        </w:tc>
        <w:tc>
          <w:tcPr>
            <w:tcW w:w="746" w:type="dxa"/>
            <w:tcBorders>
              <w:top w:val="nil"/>
              <w:left w:val="nil"/>
              <w:bottom w:val="single" w:sz="4" w:space="0" w:color="auto"/>
              <w:right w:val="single" w:sz="4" w:space="0" w:color="auto"/>
            </w:tcBorders>
            <w:shd w:val="clear" w:color="auto" w:fill="auto"/>
            <w:noWrap/>
            <w:vAlign w:val="center"/>
            <w:hideMark/>
          </w:tcPr>
          <w:p w14:paraId="6489AD13"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19,8</w:t>
            </w:r>
          </w:p>
        </w:tc>
        <w:tc>
          <w:tcPr>
            <w:tcW w:w="741" w:type="dxa"/>
            <w:tcBorders>
              <w:top w:val="nil"/>
              <w:left w:val="nil"/>
              <w:bottom w:val="single" w:sz="4" w:space="0" w:color="auto"/>
              <w:right w:val="single" w:sz="4" w:space="0" w:color="auto"/>
            </w:tcBorders>
            <w:shd w:val="clear" w:color="auto" w:fill="auto"/>
            <w:noWrap/>
            <w:vAlign w:val="center"/>
            <w:hideMark/>
          </w:tcPr>
          <w:p w14:paraId="10C1AFB6"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9,5</w:t>
            </w:r>
          </w:p>
        </w:tc>
        <w:tc>
          <w:tcPr>
            <w:tcW w:w="881" w:type="dxa"/>
            <w:tcBorders>
              <w:top w:val="nil"/>
              <w:left w:val="nil"/>
              <w:bottom w:val="single" w:sz="4" w:space="0" w:color="auto"/>
              <w:right w:val="single" w:sz="4" w:space="0" w:color="auto"/>
            </w:tcBorders>
            <w:shd w:val="clear" w:color="auto" w:fill="auto"/>
            <w:noWrap/>
            <w:vAlign w:val="center"/>
            <w:hideMark/>
          </w:tcPr>
          <w:p w14:paraId="717E8B9E"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14,6</w:t>
            </w:r>
          </w:p>
        </w:tc>
      </w:tr>
      <w:tr w:rsidR="00452C6D" w:rsidRPr="00452C6D" w14:paraId="46009DE6" w14:textId="77777777" w:rsidTr="00452C6D">
        <w:trPr>
          <w:trHeight w:val="25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3D1C7B7" w14:textId="342A7896" w:rsidR="00452C6D" w:rsidRPr="00452C6D" w:rsidRDefault="00C04554" w:rsidP="00BD2C60">
            <w:pPr>
              <w:keepNext/>
              <w:spacing w:after="0" w:line="240" w:lineRule="auto"/>
              <w:rPr>
                <w:rFonts w:cs="Arial"/>
                <w:color w:val="000000"/>
                <w:sz w:val="16"/>
                <w:szCs w:val="16"/>
              </w:rPr>
            </w:pPr>
            <w:r>
              <w:rPr>
                <w:rFonts w:cs="Arial"/>
                <w:color w:val="000000"/>
                <w:sz w:val="16"/>
                <w:szCs w:val="16"/>
              </w:rPr>
              <w:t>Pro podnik nevyhovující d</w:t>
            </w:r>
            <w:r w:rsidR="00452C6D" w:rsidRPr="00452C6D">
              <w:rPr>
                <w:rFonts w:cs="Arial"/>
                <w:color w:val="000000"/>
                <w:sz w:val="16"/>
                <w:szCs w:val="16"/>
              </w:rPr>
              <w:t>ostupná nabídka vzděláván</w:t>
            </w:r>
            <w:r>
              <w:rPr>
                <w:rFonts w:cs="Arial"/>
                <w:color w:val="000000"/>
                <w:sz w:val="16"/>
                <w:szCs w:val="16"/>
              </w:rPr>
              <w:t>í</w:t>
            </w:r>
          </w:p>
        </w:tc>
        <w:tc>
          <w:tcPr>
            <w:tcW w:w="861" w:type="dxa"/>
            <w:tcBorders>
              <w:top w:val="nil"/>
              <w:left w:val="nil"/>
              <w:bottom w:val="single" w:sz="4" w:space="0" w:color="auto"/>
              <w:right w:val="single" w:sz="4" w:space="0" w:color="auto"/>
            </w:tcBorders>
            <w:shd w:val="clear" w:color="auto" w:fill="auto"/>
            <w:noWrap/>
            <w:vAlign w:val="center"/>
            <w:hideMark/>
          </w:tcPr>
          <w:p w14:paraId="41E787CE" w14:textId="33B7336B"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7</w:t>
            </w:r>
            <w:r>
              <w:rPr>
                <w:rFonts w:cs="Arial"/>
                <w:color w:val="000000"/>
                <w:sz w:val="16"/>
                <w:szCs w:val="16"/>
              </w:rPr>
              <w:t>,0</w:t>
            </w:r>
          </w:p>
        </w:tc>
        <w:tc>
          <w:tcPr>
            <w:tcW w:w="702" w:type="dxa"/>
            <w:tcBorders>
              <w:top w:val="nil"/>
              <w:left w:val="nil"/>
              <w:bottom w:val="single" w:sz="4" w:space="0" w:color="auto"/>
              <w:right w:val="single" w:sz="4" w:space="0" w:color="auto"/>
            </w:tcBorders>
            <w:shd w:val="clear" w:color="auto" w:fill="auto"/>
            <w:noWrap/>
            <w:vAlign w:val="center"/>
            <w:hideMark/>
          </w:tcPr>
          <w:p w14:paraId="6A51B8E2"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5,5</w:t>
            </w:r>
          </w:p>
        </w:tc>
        <w:tc>
          <w:tcPr>
            <w:tcW w:w="860" w:type="dxa"/>
            <w:tcBorders>
              <w:top w:val="nil"/>
              <w:left w:val="nil"/>
              <w:bottom w:val="single" w:sz="4" w:space="0" w:color="auto"/>
              <w:right w:val="single" w:sz="4" w:space="0" w:color="auto"/>
            </w:tcBorders>
            <w:shd w:val="clear" w:color="auto" w:fill="auto"/>
            <w:noWrap/>
            <w:vAlign w:val="center"/>
            <w:hideMark/>
          </w:tcPr>
          <w:p w14:paraId="5C2EA824"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6,1</w:t>
            </w:r>
          </w:p>
        </w:tc>
        <w:tc>
          <w:tcPr>
            <w:tcW w:w="731" w:type="dxa"/>
            <w:tcBorders>
              <w:top w:val="nil"/>
              <w:left w:val="nil"/>
              <w:bottom w:val="single" w:sz="4" w:space="0" w:color="auto"/>
              <w:right w:val="single" w:sz="4" w:space="0" w:color="auto"/>
            </w:tcBorders>
            <w:shd w:val="clear" w:color="auto" w:fill="auto"/>
            <w:noWrap/>
            <w:vAlign w:val="center"/>
            <w:hideMark/>
          </w:tcPr>
          <w:p w14:paraId="04F55874"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10,6</w:t>
            </w:r>
          </w:p>
        </w:tc>
        <w:tc>
          <w:tcPr>
            <w:tcW w:w="746" w:type="dxa"/>
            <w:tcBorders>
              <w:top w:val="nil"/>
              <w:left w:val="nil"/>
              <w:bottom w:val="single" w:sz="4" w:space="0" w:color="auto"/>
              <w:right w:val="single" w:sz="4" w:space="0" w:color="auto"/>
            </w:tcBorders>
            <w:shd w:val="clear" w:color="auto" w:fill="auto"/>
            <w:noWrap/>
            <w:vAlign w:val="center"/>
            <w:hideMark/>
          </w:tcPr>
          <w:p w14:paraId="534F18C8"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12,9</w:t>
            </w:r>
          </w:p>
        </w:tc>
        <w:tc>
          <w:tcPr>
            <w:tcW w:w="741" w:type="dxa"/>
            <w:tcBorders>
              <w:top w:val="nil"/>
              <w:left w:val="nil"/>
              <w:bottom w:val="single" w:sz="4" w:space="0" w:color="auto"/>
              <w:right w:val="single" w:sz="4" w:space="0" w:color="auto"/>
            </w:tcBorders>
            <w:shd w:val="clear" w:color="auto" w:fill="auto"/>
            <w:noWrap/>
            <w:vAlign w:val="center"/>
            <w:hideMark/>
          </w:tcPr>
          <w:p w14:paraId="1C7684CE"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6,5</w:t>
            </w:r>
          </w:p>
        </w:tc>
        <w:tc>
          <w:tcPr>
            <w:tcW w:w="881" w:type="dxa"/>
            <w:tcBorders>
              <w:top w:val="nil"/>
              <w:left w:val="nil"/>
              <w:bottom w:val="single" w:sz="4" w:space="0" w:color="auto"/>
              <w:right w:val="single" w:sz="4" w:space="0" w:color="auto"/>
            </w:tcBorders>
            <w:shd w:val="clear" w:color="auto" w:fill="auto"/>
            <w:noWrap/>
            <w:vAlign w:val="center"/>
            <w:hideMark/>
          </w:tcPr>
          <w:p w14:paraId="09D185A4"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9,8</w:t>
            </w:r>
          </w:p>
        </w:tc>
      </w:tr>
      <w:tr w:rsidR="00452C6D" w:rsidRPr="00452C6D" w14:paraId="54C33098" w14:textId="77777777" w:rsidTr="00452C6D">
        <w:trPr>
          <w:trHeight w:val="37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0B658AC" w14:textId="77B6D075" w:rsidR="00452C6D" w:rsidRPr="00452C6D" w:rsidRDefault="00C04554" w:rsidP="00C04554">
            <w:pPr>
              <w:keepNext/>
              <w:spacing w:after="0" w:line="240" w:lineRule="auto"/>
              <w:rPr>
                <w:rFonts w:cs="Arial"/>
                <w:color w:val="000000"/>
                <w:sz w:val="16"/>
                <w:szCs w:val="16"/>
              </w:rPr>
            </w:pPr>
            <w:r>
              <w:rPr>
                <w:rFonts w:cs="Arial"/>
                <w:color w:val="000000"/>
                <w:sz w:val="16"/>
                <w:szCs w:val="16"/>
              </w:rPr>
              <w:t>V</w:t>
            </w:r>
            <w:r w:rsidRPr="00452C6D">
              <w:rPr>
                <w:rFonts w:cs="Arial"/>
                <w:color w:val="000000"/>
                <w:sz w:val="16"/>
                <w:szCs w:val="16"/>
              </w:rPr>
              <w:t xml:space="preserve">elký důraz </w:t>
            </w:r>
            <w:r>
              <w:rPr>
                <w:rFonts w:cs="Arial"/>
                <w:color w:val="000000"/>
                <w:sz w:val="16"/>
                <w:szCs w:val="16"/>
              </w:rPr>
              <w:t>podniku na vzdělávání zaměstnanců</w:t>
            </w:r>
            <w:r w:rsidRPr="00452C6D">
              <w:rPr>
                <w:rFonts w:cs="Arial"/>
                <w:color w:val="000000"/>
                <w:sz w:val="16"/>
                <w:szCs w:val="16"/>
              </w:rPr>
              <w:t xml:space="preserve"> v </w:t>
            </w:r>
            <w:r>
              <w:rPr>
                <w:rFonts w:cs="Arial"/>
                <w:color w:val="000000"/>
                <w:sz w:val="16"/>
                <w:szCs w:val="16"/>
              </w:rPr>
              <w:t>předchozích</w:t>
            </w:r>
            <w:r w:rsidRPr="00452C6D">
              <w:rPr>
                <w:rFonts w:cs="Arial"/>
                <w:color w:val="000000"/>
                <w:sz w:val="16"/>
                <w:szCs w:val="16"/>
              </w:rPr>
              <w:t xml:space="preserve"> letech</w:t>
            </w:r>
          </w:p>
        </w:tc>
        <w:tc>
          <w:tcPr>
            <w:tcW w:w="861" w:type="dxa"/>
            <w:tcBorders>
              <w:top w:val="nil"/>
              <w:left w:val="nil"/>
              <w:bottom w:val="single" w:sz="4" w:space="0" w:color="auto"/>
              <w:right w:val="single" w:sz="4" w:space="0" w:color="auto"/>
            </w:tcBorders>
            <w:shd w:val="clear" w:color="auto" w:fill="auto"/>
            <w:noWrap/>
            <w:vAlign w:val="center"/>
            <w:hideMark/>
          </w:tcPr>
          <w:p w14:paraId="0E748957"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5,6</w:t>
            </w:r>
          </w:p>
        </w:tc>
        <w:tc>
          <w:tcPr>
            <w:tcW w:w="702" w:type="dxa"/>
            <w:tcBorders>
              <w:top w:val="nil"/>
              <w:left w:val="nil"/>
              <w:bottom w:val="single" w:sz="4" w:space="0" w:color="auto"/>
              <w:right w:val="single" w:sz="4" w:space="0" w:color="auto"/>
            </w:tcBorders>
            <w:shd w:val="clear" w:color="auto" w:fill="auto"/>
            <w:noWrap/>
            <w:vAlign w:val="center"/>
            <w:hideMark/>
          </w:tcPr>
          <w:p w14:paraId="27C593B1"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4,4</w:t>
            </w:r>
          </w:p>
        </w:tc>
        <w:tc>
          <w:tcPr>
            <w:tcW w:w="860" w:type="dxa"/>
            <w:tcBorders>
              <w:top w:val="nil"/>
              <w:left w:val="nil"/>
              <w:bottom w:val="single" w:sz="4" w:space="0" w:color="auto"/>
              <w:right w:val="single" w:sz="4" w:space="0" w:color="auto"/>
            </w:tcBorders>
            <w:shd w:val="clear" w:color="auto" w:fill="auto"/>
            <w:noWrap/>
            <w:vAlign w:val="center"/>
            <w:hideMark/>
          </w:tcPr>
          <w:p w14:paraId="61BFB2E8"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4,4</w:t>
            </w:r>
          </w:p>
        </w:tc>
        <w:tc>
          <w:tcPr>
            <w:tcW w:w="731" w:type="dxa"/>
            <w:tcBorders>
              <w:top w:val="nil"/>
              <w:left w:val="nil"/>
              <w:bottom w:val="single" w:sz="4" w:space="0" w:color="auto"/>
              <w:right w:val="single" w:sz="4" w:space="0" w:color="auto"/>
            </w:tcBorders>
            <w:shd w:val="clear" w:color="auto" w:fill="auto"/>
            <w:noWrap/>
            <w:vAlign w:val="center"/>
            <w:hideMark/>
          </w:tcPr>
          <w:p w14:paraId="123F64AC"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8,3</w:t>
            </w:r>
          </w:p>
        </w:tc>
        <w:tc>
          <w:tcPr>
            <w:tcW w:w="746" w:type="dxa"/>
            <w:tcBorders>
              <w:top w:val="nil"/>
              <w:left w:val="nil"/>
              <w:bottom w:val="single" w:sz="4" w:space="0" w:color="auto"/>
              <w:right w:val="single" w:sz="4" w:space="0" w:color="auto"/>
            </w:tcBorders>
            <w:shd w:val="clear" w:color="auto" w:fill="auto"/>
            <w:noWrap/>
            <w:vAlign w:val="center"/>
            <w:hideMark/>
          </w:tcPr>
          <w:p w14:paraId="2505CDAA"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13,2</w:t>
            </w:r>
          </w:p>
        </w:tc>
        <w:tc>
          <w:tcPr>
            <w:tcW w:w="741" w:type="dxa"/>
            <w:tcBorders>
              <w:top w:val="nil"/>
              <w:left w:val="nil"/>
              <w:bottom w:val="single" w:sz="4" w:space="0" w:color="auto"/>
              <w:right w:val="single" w:sz="4" w:space="0" w:color="auto"/>
            </w:tcBorders>
            <w:shd w:val="clear" w:color="auto" w:fill="auto"/>
            <w:noWrap/>
            <w:vAlign w:val="center"/>
            <w:hideMark/>
          </w:tcPr>
          <w:p w14:paraId="6AAFA88E"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4,7</w:t>
            </w:r>
          </w:p>
        </w:tc>
        <w:tc>
          <w:tcPr>
            <w:tcW w:w="881" w:type="dxa"/>
            <w:tcBorders>
              <w:top w:val="nil"/>
              <w:left w:val="nil"/>
              <w:bottom w:val="single" w:sz="4" w:space="0" w:color="auto"/>
              <w:right w:val="single" w:sz="4" w:space="0" w:color="auto"/>
            </w:tcBorders>
            <w:shd w:val="clear" w:color="auto" w:fill="auto"/>
            <w:noWrap/>
            <w:vAlign w:val="center"/>
            <w:hideMark/>
          </w:tcPr>
          <w:p w14:paraId="6FE23975"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9,9</w:t>
            </w:r>
          </w:p>
        </w:tc>
      </w:tr>
      <w:tr w:rsidR="00452C6D" w:rsidRPr="00452C6D" w14:paraId="365D26DC" w14:textId="77777777" w:rsidTr="00452C6D">
        <w:trPr>
          <w:trHeight w:val="37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F2C110E" w14:textId="72ED47B1" w:rsidR="00452C6D" w:rsidRPr="00452C6D" w:rsidRDefault="00C04554" w:rsidP="00BD2C60">
            <w:pPr>
              <w:keepNext/>
              <w:spacing w:after="0" w:line="240" w:lineRule="auto"/>
              <w:rPr>
                <w:rFonts w:cs="Arial"/>
                <w:color w:val="000000"/>
                <w:sz w:val="16"/>
                <w:szCs w:val="16"/>
              </w:rPr>
            </w:pPr>
            <w:r>
              <w:rPr>
                <w:rFonts w:cs="Arial"/>
                <w:color w:val="000000"/>
                <w:sz w:val="16"/>
                <w:szCs w:val="16"/>
              </w:rPr>
              <w:t xml:space="preserve">Upřednostňování přijímání </w:t>
            </w:r>
            <w:r w:rsidRPr="00452C6D">
              <w:rPr>
                <w:rFonts w:cs="Arial"/>
                <w:color w:val="000000"/>
                <w:sz w:val="16"/>
                <w:szCs w:val="16"/>
              </w:rPr>
              <w:t xml:space="preserve">nových </w:t>
            </w:r>
            <w:r>
              <w:rPr>
                <w:rFonts w:cs="Arial"/>
                <w:color w:val="000000"/>
                <w:sz w:val="16"/>
                <w:szCs w:val="16"/>
              </w:rPr>
              <w:t xml:space="preserve">kvalifikovaných, resp. schopných </w:t>
            </w:r>
            <w:r w:rsidRPr="00452C6D">
              <w:rPr>
                <w:rFonts w:cs="Arial"/>
                <w:color w:val="000000"/>
                <w:sz w:val="16"/>
                <w:szCs w:val="16"/>
              </w:rPr>
              <w:t xml:space="preserve">pracovníků </w:t>
            </w:r>
            <w:r>
              <w:rPr>
                <w:rFonts w:cs="Arial"/>
                <w:color w:val="000000"/>
                <w:sz w:val="16"/>
                <w:szCs w:val="16"/>
              </w:rPr>
              <w:t>p</w:t>
            </w:r>
            <w:r w:rsidRPr="00452C6D">
              <w:rPr>
                <w:rFonts w:cs="Arial"/>
                <w:color w:val="000000"/>
                <w:sz w:val="16"/>
                <w:szCs w:val="16"/>
              </w:rPr>
              <w:t xml:space="preserve">řed </w:t>
            </w:r>
            <w:r>
              <w:rPr>
                <w:rFonts w:cs="Arial"/>
                <w:color w:val="000000"/>
                <w:sz w:val="16"/>
                <w:szCs w:val="16"/>
              </w:rPr>
              <w:t xml:space="preserve">poskytováním </w:t>
            </w:r>
            <w:r w:rsidRPr="00452C6D">
              <w:rPr>
                <w:rFonts w:cs="Arial"/>
                <w:color w:val="000000"/>
                <w:sz w:val="16"/>
                <w:szCs w:val="16"/>
              </w:rPr>
              <w:t>vzdělávání pro stávající zaměstnance</w:t>
            </w:r>
          </w:p>
        </w:tc>
        <w:tc>
          <w:tcPr>
            <w:tcW w:w="861" w:type="dxa"/>
            <w:tcBorders>
              <w:top w:val="nil"/>
              <w:left w:val="nil"/>
              <w:bottom w:val="single" w:sz="4" w:space="0" w:color="auto"/>
              <w:right w:val="single" w:sz="4" w:space="0" w:color="auto"/>
            </w:tcBorders>
            <w:shd w:val="clear" w:color="auto" w:fill="auto"/>
            <w:noWrap/>
            <w:vAlign w:val="center"/>
            <w:hideMark/>
          </w:tcPr>
          <w:p w14:paraId="38973E1F"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4,3</w:t>
            </w:r>
          </w:p>
        </w:tc>
        <w:tc>
          <w:tcPr>
            <w:tcW w:w="702" w:type="dxa"/>
            <w:tcBorders>
              <w:top w:val="nil"/>
              <w:left w:val="nil"/>
              <w:bottom w:val="single" w:sz="4" w:space="0" w:color="auto"/>
              <w:right w:val="single" w:sz="4" w:space="0" w:color="auto"/>
            </w:tcBorders>
            <w:shd w:val="clear" w:color="auto" w:fill="auto"/>
            <w:noWrap/>
            <w:vAlign w:val="center"/>
            <w:hideMark/>
          </w:tcPr>
          <w:p w14:paraId="1D3704A7" w14:textId="431C5E2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w:t>
            </w:r>
            <w:r>
              <w:rPr>
                <w:rFonts w:cs="Arial"/>
                <w:color w:val="000000"/>
                <w:sz w:val="16"/>
                <w:szCs w:val="16"/>
              </w:rPr>
              <w:t>,0</w:t>
            </w:r>
          </w:p>
        </w:tc>
        <w:tc>
          <w:tcPr>
            <w:tcW w:w="860" w:type="dxa"/>
            <w:tcBorders>
              <w:top w:val="nil"/>
              <w:left w:val="nil"/>
              <w:bottom w:val="single" w:sz="4" w:space="0" w:color="auto"/>
              <w:right w:val="single" w:sz="4" w:space="0" w:color="auto"/>
            </w:tcBorders>
            <w:shd w:val="clear" w:color="auto" w:fill="auto"/>
            <w:noWrap/>
            <w:vAlign w:val="center"/>
            <w:hideMark/>
          </w:tcPr>
          <w:p w14:paraId="62BA48E4"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4,1</w:t>
            </w:r>
          </w:p>
        </w:tc>
        <w:tc>
          <w:tcPr>
            <w:tcW w:w="731" w:type="dxa"/>
            <w:tcBorders>
              <w:top w:val="nil"/>
              <w:left w:val="nil"/>
              <w:bottom w:val="single" w:sz="4" w:space="0" w:color="auto"/>
              <w:right w:val="single" w:sz="4" w:space="0" w:color="auto"/>
            </w:tcBorders>
            <w:shd w:val="clear" w:color="auto" w:fill="auto"/>
            <w:noWrap/>
            <w:vAlign w:val="center"/>
            <w:hideMark/>
          </w:tcPr>
          <w:p w14:paraId="1F8B44F2"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5,4</w:t>
            </w:r>
          </w:p>
        </w:tc>
        <w:tc>
          <w:tcPr>
            <w:tcW w:w="746" w:type="dxa"/>
            <w:tcBorders>
              <w:top w:val="nil"/>
              <w:left w:val="nil"/>
              <w:bottom w:val="single" w:sz="4" w:space="0" w:color="auto"/>
              <w:right w:val="single" w:sz="4" w:space="0" w:color="auto"/>
            </w:tcBorders>
            <w:shd w:val="clear" w:color="auto" w:fill="auto"/>
            <w:noWrap/>
            <w:vAlign w:val="center"/>
            <w:hideMark/>
          </w:tcPr>
          <w:p w14:paraId="3CE0C3E4"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4,3</w:t>
            </w:r>
          </w:p>
        </w:tc>
        <w:tc>
          <w:tcPr>
            <w:tcW w:w="741" w:type="dxa"/>
            <w:tcBorders>
              <w:top w:val="nil"/>
              <w:left w:val="nil"/>
              <w:bottom w:val="single" w:sz="4" w:space="0" w:color="auto"/>
              <w:right w:val="single" w:sz="4" w:space="0" w:color="auto"/>
            </w:tcBorders>
            <w:shd w:val="clear" w:color="auto" w:fill="auto"/>
            <w:noWrap/>
            <w:vAlign w:val="center"/>
            <w:hideMark/>
          </w:tcPr>
          <w:p w14:paraId="15C7E2B7"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4,5</w:t>
            </w:r>
          </w:p>
        </w:tc>
        <w:tc>
          <w:tcPr>
            <w:tcW w:w="881" w:type="dxa"/>
            <w:tcBorders>
              <w:top w:val="nil"/>
              <w:left w:val="nil"/>
              <w:bottom w:val="single" w:sz="4" w:space="0" w:color="auto"/>
              <w:right w:val="single" w:sz="4" w:space="0" w:color="auto"/>
            </w:tcBorders>
            <w:shd w:val="clear" w:color="auto" w:fill="auto"/>
            <w:noWrap/>
            <w:vAlign w:val="center"/>
            <w:hideMark/>
          </w:tcPr>
          <w:p w14:paraId="305134A3" w14:textId="77777777" w:rsidR="00452C6D" w:rsidRPr="00452C6D" w:rsidRDefault="00452C6D" w:rsidP="00BD2C60">
            <w:pPr>
              <w:keepNext/>
              <w:spacing w:after="0" w:line="240" w:lineRule="auto"/>
              <w:jc w:val="right"/>
              <w:rPr>
                <w:rFonts w:cs="Arial"/>
                <w:color w:val="000000"/>
                <w:sz w:val="16"/>
                <w:szCs w:val="16"/>
              </w:rPr>
            </w:pPr>
            <w:r w:rsidRPr="00452C6D">
              <w:rPr>
                <w:rFonts w:cs="Arial"/>
                <w:color w:val="000000"/>
                <w:sz w:val="16"/>
                <w:szCs w:val="16"/>
              </w:rPr>
              <w:t>3,4</w:t>
            </w:r>
          </w:p>
        </w:tc>
      </w:tr>
      <w:tr w:rsidR="00C04554" w:rsidRPr="00452C6D" w14:paraId="7531EFE3" w14:textId="77777777" w:rsidTr="00452C6D">
        <w:trPr>
          <w:trHeight w:val="25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EA89100" w14:textId="2E588430" w:rsidR="00C04554" w:rsidRPr="00452C6D" w:rsidRDefault="00C04554" w:rsidP="00C04554">
            <w:pPr>
              <w:spacing w:after="0" w:line="240" w:lineRule="auto"/>
              <w:rPr>
                <w:rFonts w:cs="Arial"/>
                <w:color w:val="000000"/>
                <w:sz w:val="16"/>
                <w:szCs w:val="16"/>
              </w:rPr>
            </w:pPr>
            <w:r>
              <w:rPr>
                <w:rFonts w:cs="Arial"/>
                <w:color w:val="000000"/>
                <w:sz w:val="16"/>
                <w:szCs w:val="16"/>
              </w:rPr>
              <w:t xml:space="preserve">Příliš </w:t>
            </w:r>
            <w:r w:rsidRPr="00452C6D">
              <w:rPr>
                <w:rFonts w:cs="Arial"/>
                <w:color w:val="000000"/>
                <w:sz w:val="16"/>
                <w:szCs w:val="16"/>
              </w:rPr>
              <w:t xml:space="preserve">vysoké </w:t>
            </w:r>
            <w:r>
              <w:rPr>
                <w:rFonts w:cs="Arial"/>
                <w:color w:val="000000"/>
                <w:sz w:val="16"/>
                <w:szCs w:val="16"/>
              </w:rPr>
              <w:t>n</w:t>
            </w:r>
            <w:r w:rsidRPr="00452C6D">
              <w:rPr>
                <w:rFonts w:cs="Arial"/>
                <w:color w:val="000000"/>
                <w:sz w:val="16"/>
                <w:szCs w:val="16"/>
              </w:rPr>
              <w:t>áklady na vzdělávání zaměstnanců</w:t>
            </w:r>
          </w:p>
        </w:tc>
        <w:tc>
          <w:tcPr>
            <w:tcW w:w="861" w:type="dxa"/>
            <w:tcBorders>
              <w:top w:val="nil"/>
              <w:left w:val="nil"/>
              <w:bottom w:val="single" w:sz="4" w:space="0" w:color="auto"/>
              <w:right w:val="single" w:sz="4" w:space="0" w:color="auto"/>
            </w:tcBorders>
            <w:shd w:val="clear" w:color="auto" w:fill="auto"/>
            <w:noWrap/>
            <w:vAlign w:val="center"/>
            <w:hideMark/>
          </w:tcPr>
          <w:p w14:paraId="13CF86FE" w14:textId="484DF2D6"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4</w:t>
            </w:r>
            <w:r>
              <w:rPr>
                <w:rFonts w:cs="Arial"/>
                <w:color w:val="000000"/>
                <w:sz w:val="16"/>
                <w:szCs w:val="16"/>
              </w:rPr>
              <w:t>,0</w:t>
            </w:r>
          </w:p>
        </w:tc>
        <w:tc>
          <w:tcPr>
            <w:tcW w:w="702" w:type="dxa"/>
            <w:tcBorders>
              <w:top w:val="nil"/>
              <w:left w:val="nil"/>
              <w:bottom w:val="single" w:sz="4" w:space="0" w:color="auto"/>
              <w:right w:val="single" w:sz="4" w:space="0" w:color="auto"/>
            </w:tcBorders>
            <w:shd w:val="clear" w:color="auto" w:fill="auto"/>
            <w:noWrap/>
            <w:vAlign w:val="center"/>
            <w:hideMark/>
          </w:tcPr>
          <w:p w14:paraId="1B7A7785"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3,2</w:t>
            </w:r>
          </w:p>
        </w:tc>
        <w:tc>
          <w:tcPr>
            <w:tcW w:w="860" w:type="dxa"/>
            <w:tcBorders>
              <w:top w:val="nil"/>
              <w:left w:val="nil"/>
              <w:bottom w:val="single" w:sz="4" w:space="0" w:color="auto"/>
              <w:right w:val="single" w:sz="4" w:space="0" w:color="auto"/>
            </w:tcBorders>
            <w:shd w:val="clear" w:color="auto" w:fill="auto"/>
            <w:noWrap/>
            <w:vAlign w:val="center"/>
            <w:hideMark/>
          </w:tcPr>
          <w:p w14:paraId="4447FA77"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4,4</w:t>
            </w:r>
          </w:p>
        </w:tc>
        <w:tc>
          <w:tcPr>
            <w:tcW w:w="731" w:type="dxa"/>
            <w:tcBorders>
              <w:top w:val="nil"/>
              <w:left w:val="nil"/>
              <w:bottom w:val="single" w:sz="4" w:space="0" w:color="auto"/>
              <w:right w:val="single" w:sz="4" w:space="0" w:color="auto"/>
            </w:tcBorders>
            <w:shd w:val="clear" w:color="auto" w:fill="auto"/>
            <w:noWrap/>
            <w:vAlign w:val="center"/>
            <w:hideMark/>
          </w:tcPr>
          <w:p w14:paraId="18607635"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4,6</w:t>
            </w:r>
          </w:p>
        </w:tc>
        <w:tc>
          <w:tcPr>
            <w:tcW w:w="746" w:type="dxa"/>
            <w:tcBorders>
              <w:top w:val="nil"/>
              <w:left w:val="nil"/>
              <w:bottom w:val="single" w:sz="4" w:space="0" w:color="auto"/>
              <w:right w:val="single" w:sz="4" w:space="0" w:color="auto"/>
            </w:tcBorders>
            <w:shd w:val="clear" w:color="auto" w:fill="auto"/>
            <w:noWrap/>
            <w:vAlign w:val="center"/>
            <w:hideMark/>
          </w:tcPr>
          <w:p w14:paraId="47A393F7"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6,6</w:t>
            </w:r>
          </w:p>
        </w:tc>
        <w:tc>
          <w:tcPr>
            <w:tcW w:w="741" w:type="dxa"/>
            <w:tcBorders>
              <w:top w:val="nil"/>
              <w:left w:val="nil"/>
              <w:bottom w:val="single" w:sz="4" w:space="0" w:color="auto"/>
              <w:right w:val="single" w:sz="4" w:space="0" w:color="auto"/>
            </w:tcBorders>
            <w:shd w:val="clear" w:color="auto" w:fill="auto"/>
            <w:noWrap/>
            <w:vAlign w:val="center"/>
            <w:hideMark/>
          </w:tcPr>
          <w:p w14:paraId="697033DC"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3,8</w:t>
            </w:r>
          </w:p>
        </w:tc>
        <w:tc>
          <w:tcPr>
            <w:tcW w:w="881" w:type="dxa"/>
            <w:tcBorders>
              <w:top w:val="nil"/>
              <w:left w:val="nil"/>
              <w:bottom w:val="single" w:sz="4" w:space="0" w:color="auto"/>
              <w:right w:val="single" w:sz="4" w:space="0" w:color="auto"/>
            </w:tcBorders>
            <w:shd w:val="clear" w:color="auto" w:fill="auto"/>
            <w:noWrap/>
            <w:vAlign w:val="center"/>
            <w:hideMark/>
          </w:tcPr>
          <w:p w14:paraId="1082638E"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5,1</w:t>
            </w:r>
          </w:p>
        </w:tc>
      </w:tr>
      <w:tr w:rsidR="00C04554" w:rsidRPr="00452C6D" w14:paraId="3B5AF384" w14:textId="77777777" w:rsidTr="00452C6D">
        <w:trPr>
          <w:trHeight w:val="37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7CCC53D" w14:textId="6D00F7FA" w:rsidR="00C04554" w:rsidRPr="00452C6D" w:rsidRDefault="00A74466" w:rsidP="00C04554">
            <w:pPr>
              <w:spacing w:after="0" w:line="240" w:lineRule="auto"/>
              <w:rPr>
                <w:rFonts w:cs="Arial"/>
                <w:color w:val="000000"/>
                <w:sz w:val="16"/>
                <w:szCs w:val="16"/>
              </w:rPr>
            </w:pPr>
            <w:r>
              <w:rPr>
                <w:rFonts w:cs="Arial"/>
                <w:color w:val="000000"/>
                <w:sz w:val="16"/>
                <w:szCs w:val="16"/>
              </w:rPr>
              <w:t>Zaměření</w:t>
            </w:r>
            <w:r w:rsidRPr="00452C6D">
              <w:rPr>
                <w:rFonts w:cs="Arial"/>
                <w:color w:val="000000"/>
                <w:sz w:val="16"/>
                <w:szCs w:val="16"/>
              </w:rPr>
              <w:t xml:space="preserve"> se spíše na podporu počátečního odborného vzdělání než na vzdělávání zaměstnanců</w:t>
            </w:r>
          </w:p>
        </w:tc>
        <w:tc>
          <w:tcPr>
            <w:tcW w:w="861" w:type="dxa"/>
            <w:tcBorders>
              <w:top w:val="nil"/>
              <w:left w:val="nil"/>
              <w:bottom w:val="single" w:sz="4" w:space="0" w:color="auto"/>
              <w:right w:val="single" w:sz="4" w:space="0" w:color="auto"/>
            </w:tcBorders>
            <w:shd w:val="clear" w:color="auto" w:fill="auto"/>
            <w:noWrap/>
            <w:vAlign w:val="center"/>
            <w:hideMark/>
          </w:tcPr>
          <w:p w14:paraId="25B76CAF" w14:textId="1E518E23"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2</w:t>
            </w:r>
            <w:r>
              <w:rPr>
                <w:rFonts w:cs="Arial"/>
                <w:color w:val="000000"/>
                <w:sz w:val="16"/>
                <w:szCs w:val="16"/>
              </w:rPr>
              <w:t>,0</w:t>
            </w:r>
          </w:p>
        </w:tc>
        <w:tc>
          <w:tcPr>
            <w:tcW w:w="702" w:type="dxa"/>
            <w:tcBorders>
              <w:top w:val="nil"/>
              <w:left w:val="nil"/>
              <w:bottom w:val="single" w:sz="4" w:space="0" w:color="auto"/>
              <w:right w:val="single" w:sz="4" w:space="0" w:color="auto"/>
            </w:tcBorders>
            <w:shd w:val="clear" w:color="auto" w:fill="auto"/>
            <w:noWrap/>
            <w:vAlign w:val="center"/>
            <w:hideMark/>
          </w:tcPr>
          <w:p w14:paraId="08D13FE8"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1,8</w:t>
            </w:r>
          </w:p>
        </w:tc>
        <w:tc>
          <w:tcPr>
            <w:tcW w:w="860" w:type="dxa"/>
            <w:tcBorders>
              <w:top w:val="nil"/>
              <w:left w:val="nil"/>
              <w:bottom w:val="single" w:sz="4" w:space="0" w:color="auto"/>
              <w:right w:val="single" w:sz="4" w:space="0" w:color="auto"/>
            </w:tcBorders>
            <w:shd w:val="clear" w:color="auto" w:fill="auto"/>
            <w:noWrap/>
            <w:vAlign w:val="center"/>
            <w:hideMark/>
          </w:tcPr>
          <w:p w14:paraId="5E8D61F3"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1,7</w:t>
            </w:r>
          </w:p>
        </w:tc>
        <w:tc>
          <w:tcPr>
            <w:tcW w:w="731" w:type="dxa"/>
            <w:tcBorders>
              <w:top w:val="nil"/>
              <w:left w:val="nil"/>
              <w:bottom w:val="single" w:sz="4" w:space="0" w:color="auto"/>
              <w:right w:val="single" w:sz="4" w:space="0" w:color="auto"/>
            </w:tcBorders>
            <w:shd w:val="clear" w:color="auto" w:fill="auto"/>
            <w:noWrap/>
            <w:vAlign w:val="center"/>
            <w:hideMark/>
          </w:tcPr>
          <w:p w14:paraId="70F389BB"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2,7</w:t>
            </w:r>
          </w:p>
        </w:tc>
        <w:tc>
          <w:tcPr>
            <w:tcW w:w="746" w:type="dxa"/>
            <w:tcBorders>
              <w:top w:val="nil"/>
              <w:left w:val="nil"/>
              <w:bottom w:val="single" w:sz="4" w:space="0" w:color="auto"/>
              <w:right w:val="single" w:sz="4" w:space="0" w:color="auto"/>
            </w:tcBorders>
            <w:shd w:val="clear" w:color="auto" w:fill="auto"/>
            <w:noWrap/>
            <w:vAlign w:val="center"/>
            <w:hideMark/>
          </w:tcPr>
          <w:p w14:paraId="49F7BEB3"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3,5</w:t>
            </w:r>
          </w:p>
        </w:tc>
        <w:tc>
          <w:tcPr>
            <w:tcW w:w="741" w:type="dxa"/>
            <w:tcBorders>
              <w:top w:val="nil"/>
              <w:left w:val="nil"/>
              <w:bottom w:val="single" w:sz="4" w:space="0" w:color="auto"/>
              <w:right w:val="single" w:sz="4" w:space="0" w:color="auto"/>
            </w:tcBorders>
            <w:shd w:val="clear" w:color="auto" w:fill="auto"/>
            <w:noWrap/>
            <w:vAlign w:val="center"/>
            <w:hideMark/>
          </w:tcPr>
          <w:p w14:paraId="405BA4EE" w14:textId="19BEFA1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2</w:t>
            </w:r>
            <w:r>
              <w:rPr>
                <w:rFonts w:cs="Arial"/>
                <w:color w:val="000000"/>
                <w:sz w:val="16"/>
                <w:szCs w:val="16"/>
              </w:rPr>
              <w:t>,0</w:t>
            </w:r>
          </w:p>
        </w:tc>
        <w:tc>
          <w:tcPr>
            <w:tcW w:w="881" w:type="dxa"/>
            <w:tcBorders>
              <w:top w:val="nil"/>
              <w:left w:val="nil"/>
              <w:bottom w:val="single" w:sz="4" w:space="0" w:color="auto"/>
              <w:right w:val="single" w:sz="4" w:space="0" w:color="auto"/>
            </w:tcBorders>
            <w:shd w:val="clear" w:color="auto" w:fill="auto"/>
            <w:noWrap/>
            <w:vAlign w:val="center"/>
            <w:hideMark/>
          </w:tcPr>
          <w:p w14:paraId="16D31861"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2,3</w:t>
            </w:r>
          </w:p>
        </w:tc>
      </w:tr>
      <w:tr w:rsidR="00C04554" w:rsidRPr="00452C6D" w14:paraId="3934B26D" w14:textId="77777777" w:rsidTr="00452C6D">
        <w:trPr>
          <w:trHeight w:val="25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B3CE439" w14:textId="45B1EAF4" w:rsidR="00C04554" w:rsidRPr="00452C6D" w:rsidRDefault="00A74466" w:rsidP="00C04554">
            <w:pPr>
              <w:spacing w:after="0" w:line="240" w:lineRule="auto"/>
              <w:rPr>
                <w:rFonts w:cs="Arial"/>
                <w:color w:val="000000"/>
                <w:sz w:val="16"/>
                <w:szCs w:val="16"/>
              </w:rPr>
            </w:pPr>
            <w:r>
              <w:rPr>
                <w:rFonts w:cs="Arial"/>
                <w:color w:val="000000"/>
                <w:sz w:val="16"/>
                <w:szCs w:val="16"/>
              </w:rPr>
              <w:t>P</w:t>
            </w:r>
            <w:r w:rsidR="00C04554" w:rsidRPr="00452C6D">
              <w:rPr>
                <w:rFonts w:cs="Arial"/>
                <w:color w:val="000000"/>
                <w:sz w:val="16"/>
                <w:szCs w:val="16"/>
              </w:rPr>
              <w:t xml:space="preserve">otíže s identifikací </w:t>
            </w:r>
            <w:r>
              <w:rPr>
                <w:rFonts w:cs="Arial"/>
                <w:color w:val="000000"/>
                <w:sz w:val="16"/>
                <w:szCs w:val="16"/>
              </w:rPr>
              <w:t>vzdělávacích potřeb zaměstnanců v rámci podniku</w:t>
            </w:r>
          </w:p>
        </w:tc>
        <w:tc>
          <w:tcPr>
            <w:tcW w:w="861" w:type="dxa"/>
            <w:tcBorders>
              <w:top w:val="nil"/>
              <w:left w:val="nil"/>
              <w:bottom w:val="single" w:sz="4" w:space="0" w:color="auto"/>
              <w:right w:val="single" w:sz="4" w:space="0" w:color="auto"/>
            </w:tcBorders>
            <w:shd w:val="clear" w:color="auto" w:fill="auto"/>
            <w:noWrap/>
            <w:vAlign w:val="center"/>
            <w:hideMark/>
          </w:tcPr>
          <w:p w14:paraId="5A0C2D4E"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1,5</w:t>
            </w:r>
          </w:p>
        </w:tc>
        <w:tc>
          <w:tcPr>
            <w:tcW w:w="702" w:type="dxa"/>
            <w:tcBorders>
              <w:top w:val="nil"/>
              <w:left w:val="nil"/>
              <w:bottom w:val="single" w:sz="4" w:space="0" w:color="auto"/>
              <w:right w:val="single" w:sz="4" w:space="0" w:color="auto"/>
            </w:tcBorders>
            <w:shd w:val="clear" w:color="auto" w:fill="auto"/>
            <w:noWrap/>
            <w:vAlign w:val="center"/>
            <w:hideMark/>
          </w:tcPr>
          <w:p w14:paraId="2032F7EF"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1,3</w:t>
            </w:r>
          </w:p>
        </w:tc>
        <w:tc>
          <w:tcPr>
            <w:tcW w:w="860" w:type="dxa"/>
            <w:tcBorders>
              <w:top w:val="nil"/>
              <w:left w:val="nil"/>
              <w:bottom w:val="single" w:sz="4" w:space="0" w:color="auto"/>
              <w:right w:val="single" w:sz="4" w:space="0" w:color="auto"/>
            </w:tcBorders>
            <w:shd w:val="clear" w:color="auto" w:fill="auto"/>
            <w:noWrap/>
            <w:vAlign w:val="center"/>
            <w:hideMark/>
          </w:tcPr>
          <w:p w14:paraId="5E5E4332"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1,5</w:t>
            </w:r>
          </w:p>
        </w:tc>
        <w:tc>
          <w:tcPr>
            <w:tcW w:w="731" w:type="dxa"/>
            <w:tcBorders>
              <w:top w:val="nil"/>
              <w:left w:val="nil"/>
              <w:bottom w:val="single" w:sz="4" w:space="0" w:color="auto"/>
              <w:right w:val="single" w:sz="4" w:space="0" w:color="auto"/>
            </w:tcBorders>
            <w:shd w:val="clear" w:color="auto" w:fill="auto"/>
            <w:noWrap/>
            <w:vAlign w:val="center"/>
            <w:hideMark/>
          </w:tcPr>
          <w:p w14:paraId="6144B7EB"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1,6</w:t>
            </w:r>
          </w:p>
        </w:tc>
        <w:tc>
          <w:tcPr>
            <w:tcW w:w="746" w:type="dxa"/>
            <w:tcBorders>
              <w:top w:val="nil"/>
              <w:left w:val="nil"/>
              <w:bottom w:val="single" w:sz="4" w:space="0" w:color="auto"/>
              <w:right w:val="single" w:sz="4" w:space="0" w:color="auto"/>
            </w:tcBorders>
            <w:shd w:val="clear" w:color="auto" w:fill="auto"/>
            <w:noWrap/>
            <w:vAlign w:val="center"/>
            <w:hideMark/>
          </w:tcPr>
          <w:p w14:paraId="24509BA6"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2,3</w:t>
            </w:r>
          </w:p>
        </w:tc>
        <w:tc>
          <w:tcPr>
            <w:tcW w:w="741" w:type="dxa"/>
            <w:tcBorders>
              <w:top w:val="nil"/>
              <w:left w:val="nil"/>
              <w:bottom w:val="single" w:sz="4" w:space="0" w:color="auto"/>
              <w:right w:val="single" w:sz="4" w:space="0" w:color="auto"/>
            </w:tcBorders>
            <w:shd w:val="clear" w:color="auto" w:fill="auto"/>
            <w:noWrap/>
            <w:vAlign w:val="center"/>
            <w:hideMark/>
          </w:tcPr>
          <w:p w14:paraId="436FEAA6"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1,6</w:t>
            </w:r>
          </w:p>
        </w:tc>
        <w:tc>
          <w:tcPr>
            <w:tcW w:w="881" w:type="dxa"/>
            <w:tcBorders>
              <w:top w:val="nil"/>
              <w:left w:val="nil"/>
              <w:bottom w:val="single" w:sz="4" w:space="0" w:color="auto"/>
              <w:right w:val="single" w:sz="4" w:space="0" w:color="auto"/>
            </w:tcBorders>
            <w:shd w:val="clear" w:color="auto" w:fill="auto"/>
            <w:noWrap/>
            <w:vAlign w:val="center"/>
            <w:hideMark/>
          </w:tcPr>
          <w:p w14:paraId="3789B6C0" w14:textId="0DCF9D6E"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w:t>
            </w:r>
            <w:r>
              <w:rPr>
                <w:rFonts w:cs="Arial"/>
                <w:color w:val="000000"/>
                <w:sz w:val="16"/>
                <w:szCs w:val="16"/>
              </w:rPr>
              <w:t>,0</w:t>
            </w:r>
          </w:p>
        </w:tc>
      </w:tr>
      <w:tr w:rsidR="00C04554" w:rsidRPr="00452C6D" w14:paraId="043F8C93" w14:textId="77777777" w:rsidTr="00452C6D">
        <w:trPr>
          <w:trHeight w:val="25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5ADCECC" w14:textId="7E4246AD" w:rsidR="00C04554" w:rsidRPr="00452C6D" w:rsidRDefault="00A74466" w:rsidP="00A74466">
            <w:pPr>
              <w:spacing w:after="0" w:line="240" w:lineRule="auto"/>
              <w:rPr>
                <w:rFonts w:cs="Arial"/>
                <w:color w:val="000000"/>
                <w:sz w:val="16"/>
                <w:szCs w:val="16"/>
              </w:rPr>
            </w:pPr>
            <w:r>
              <w:rPr>
                <w:rFonts w:cs="Arial"/>
                <w:color w:val="000000"/>
                <w:sz w:val="16"/>
                <w:szCs w:val="16"/>
              </w:rPr>
              <w:t>J</w:t>
            </w:r>
            <w:r w:rsidR="00C04554" w:rsidRPr="00452C6D">
              <w:rPr>
                <w:rFonts w:cs="Arial"/>
                <w:color w:val="000000"/>
                <w:sz w:val="16"/>
                <w:szCs w:val="16"/>
              </w:rPr>
              <w:t>iné důvody</w:t>
            </w:r>
            <w:r>
              <w:rPr>
                <w:rFonts w:cs="Arial"/>
                <w:color w:val="000000"/>
                <w:sz w:val="16"/>
                <w:szCs w:val="16"/>
              </w:rPr>
              <w:t xml:space="preserve"> k omezení vzdělávání zaměstnanců</w:t>
            </w:r>
          </w:p>
        </w:tc>
        <w:tc>
          <w:tcPr>
            <w:tcW w:w="861" w:type="dxa"/>
            <w:tcBorders>
              <w:top w:val="nil"/>
              <w:left w:val="nil"/>
              <w:bottom w:val="single" w:sz="4" w:space="0" w:color="auto"/>
              <w:right w:val="single" w:sz="4" w:space="0" w:color="auto"/>
            </w:tcBorders>
            <w:shd w:val="clear" w:color="auto" w:fill="auto"/>
            <w:noWrap/>
            <w:vAlign w:val="center"/>
            <w:hideMark/>
          </w:tcPr>
          <w:p w14:paraId="67E341B9"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11,4</w:t>
            </w:r>
          </w:p>
        </w:tc>
        <w:tc>
          <w:tcPr>
            <w:tcW w:w="702" w:type="dxa"/>
            <w:tcBorders>
              <w:top w:val="nil"/>
              <w:left w:val="nil"/>
              <w:bottom w:val="single" w:sz="4" w:space="0" w:color="auto"/>
              <w:right w:val="single" w:sz="4" w:space="0" w:color="auto"/>
            </w:tcBorders>
            <w:shd w:val="clear" w:color="auto" w:fill="auto"/>
            <w:noWrap/>
            <w:vAlign w:val="center"/>
            <w:hideMark/>
          </w:tcPr>
          <w:p w14:paraId="145D3957"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9,3</w:t>
            </w:r>
          </w:p>
        </w:tc>
        <w:tc>
          <w:tcPr>
            <w:tcW w:w="860" w:type="dxa"/>
            <w:tcBorders>
              <w:top w:val="nil"/>
              <w:left w:val="nil"/>
              <w:bottom w:val="single" w:sz="4" w:space="0" w:color="auto"/>
              <w:right w:val="single" w:sz="4" w:space="0" w:color="auto"/>
            </w:tcBorders>
            <w:shd w:val="clear" w:color="auto" w:fill="auto"/>
            <w:noWrap/>
            <w:vAlign w:val="center"/>
            <w:hideMark/>
          </w:tcPr>
          <w:p w14:paraId="576D7DFE"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11,3</w:t>
            </w:r>
          </w:p>
        </w:tc>
        <w:tc>
          <w:tcPr>
            <w:tcW w:w="731" w:type="dxa"/>
            <w:tcBorders>
              <w:top w:val="nil"/>
              <w:left w:val="nil"/>
              <w:bottom w:val="single" w:sz="4" w:space="0" w:color="auto"/>
              <w:right w:val="single" w:sz="4" w:space="0" w:color="auto"/>
            </w:tcBorders>
            <w:shd w:val="clear" w:color="auto" w:fill="auto"/>
            <w:noWrap/>
            <w:vAlign w:val="center"/>
            <w:hideMark/>
          </w:tcPr>
          <w:p w14:paraId="1E876CBE"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14,3</w:t>
            </w:r>
          </w:p>
        </w:tc>
        <w:tc>
          <w:tcPr>
            <w:tcW w:w="746" w:type="dxa"/>
            <w:tcBorders>
              <w:top w:val="nil"/>
              <w:left w:val="nil"/>
              <w:bottom w:val="single" w:sz="4" w:space="0" w:color="auto"/>
              <w:right w:val="single" w:sz="4" w:space="0" w:color="auto"/>
            </w:tcBorders>
            <w:shd w:val="clear" w:color="auto" w:fill="auto"/>
            <w:noWrap/>
            <w:vAlign w:val="center"/>
            <w:hideMark/>
          </w:tcPr>
          <w:p w14:paraId="4C6364FA"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18,9</w:t>
            </w:r>
          </w:p>
        </w:tc>
        <w:tc>
          <w:tcPr>
            <w:tcW w:w="741" w:type="dxa"/>
            <w:tcBorders>
              <w:top w:val="nil"/>
              <w:left w:val="nil"/>
              <w:bottom w:val="single" w:sz="4" w:space="0" w:color="auto"/>
              <w:right w:val="single" w:sz="4" w:space="0" w:color="auto"/>
            </w:tcBorders>
            <w:shd w:val="clear" w:color="auto" w:fill="auto"/>
            <w:noWrap/>
            <w:vAlign w:val="center"/>
            <w:hideMark/>
          </w:tcPr>
          <w:p w14:paraId="1C25AE41"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10,7</w:t>
            </w:r>
          </w:p>
        </w:tc>
        <w:tc>
          <w:tcPr>
            <w:tcW w:w="881" w:type="dxa"/>
            <w:tcBorders>
              <w:top w:val="nil"/>
              <w:left w:val="nil"/>
              <w:bottom w:val="single" w:sz="4" w:space="0" w:color="auto"/>
              <w:right w:val="single" w:sz="4" w:space="0" w:color="auto"/>
            </w:tcBorders>
            <w:shd w:val="clear" w:color="auto" w:fill="auto"/>
            <w:noWrap/>
            <w:vAlign w:val="center"/>
            <w:hideMark/>
          </w:tcPr>
          <w:p w14:paraId="6C9AA883"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14,7</w:t>
            </w:r>
          </w:p>
        </w:tc>
      </w:tr>
      <w:tr w:rsidR="00C04554" w:rsidRPr="00452C6D" w14:paraId="5C81292F" w14:textId="77777777" w:rsidTr="00452C6D">
        <w:trPr>
          <w:trHeight w:val="37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50094EF" w14:textId="7985876A" w:rsidR="00C04554" w:rsidRPr="00452C6D" w:rsidRDefault="00A74466" w:rsidP="00C04554">
            <w:pPr>
              <w:spacing w:after="0" w:line="240" w:lineRule="auto"/>
              <w:rPr>
                <w:rFonts w:cs="Arial"/>
                <w:color w:val="000000"/>
                <w:sz w:val="16"/>
                <w:szCs w:val="16"/>
              </w:rPr>
            </w:pPr>
            <w:r>
              <w:rPr>
                <w:rFonts w:cs="Arial"/>
                <w:color w:val="000000"/>
                <w:sz w:val="16"/>
                <w:szCs w:val="16"/>
              </w:rPr>
              <w:t>Ž</w:t>
            </w:r>
            <w:r w:rsidR="00C04554" w:rsidRPr="00452C6D">
              <w:rPr>
                <w:rFonts w:cs="Arial"/>
                <w:color w:val="000000"/>
                <w:sz w:val="16"/>
                <w:szCs w:val="16"/>
              </w:rPr>
              <w:t xml:space="preserve">ádná další omezení (tj. vedle těch spojených </w:t>
            </w:r>
            <w:r w:rsidR="00536E61">
              <w:rPr>
                <w:rFonts w:cs="Arial"/>
                <w:color w:val="000000"/>
                <w:sz w:val="16"/>
                <w:szCs w:val="16"/>
              </w:rPr>
              <w:t>s </w:t>
            </w:r>
            <w:r>
              <w:rPr>
                <w:rFonts w:cs="Arial"/>
                <w:color w:val="000000"/>
                <w:sz w:val="16"/>
                <w:szCs w:val="16"/>
              </w:rPr>
              <w:t>epidemií onemocnění COVID-19)</w:t>
            </w:r>
          </w:p>
        </w:tc>
        <w:tc>
          <w:tcPr>
            <w:tcW w:w="861" w:type="dxa"/>
            <w:tcBorders>
              <w:top w:val="nil"/>
              <w:left w:val="nil"/>
              <w:bottom w:val="single" w:sz="4" w:space="0" w:color="auto"/>
              <w:right w:val="single" w:sz="4" w:space="0" w:color="auto"/>
            </w:tcBorders>
            <w:shd w:val="clear" w:color="auto" w:fill="auto"/>
            <w:noWrap/>
            <w:vAlign w:val="center"/>
            <w:hideMark/>
          </w:tcPr>
          <w:p w14:paraId="525E4AC6"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66,4</w:t>
            </w:r>
          </w:p>
        </w:tc>
        <w:tc>
          <w:tcPr>
            <w:tcW w:w="702" w:type="dxa"/>
            <w:tcBorders>
              <w:top w:val="nil"/>
              <w:left w:val="nil"/>
              <w:bottom w:val="single" w:sz="4" w:space="0" w:color="auto"/>
              <w:right w:val="single" w:sz="4" w:space="0" w:color="auto"/>
            </w:tcBorders>
            <w:shd w:val="clear" w:color="auto" w:fill="auto"/>
            <w:noWrap/>
            <w:vAlign w:val="center"/>
            <w:hideMark/>
          </w:tcPr>
          <w:p w14:paraId="06675F61"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70,1</w:t>
            </w:r>
          </w:p>
        </w:tc>
        <w:tc>
          <w:tcPr>
            <w:tcW w:w="860" w:type="dxa"/>
            <w:tcBorders>
              <w:top w:val="nil"/>
              <w:left w:val="nil"/>
              <w:bottom w:val="single" w:sz="4" w:space="0" w:color="auto"/>
              <w:right w:val="single" w:sz="4" w:space="0" w:color="auto"/>
            </w:tcBorders>
            <w:shd w:val="clear" w:color="auto" w:fill="auto"/>
            <w:noWrap/>
            <w:vAlign w:val="center"/>
            <w:hideMark/>
          </w:tcPr>
          <w:p w14:paraId="46C2D0B9"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68,6</w:t>
            </w:r>
          </w:p>
        </w:tc>
        <w:tc>
          <w:tcPr>
            <w:tcW w:w="731" w:type="dxa"/>
            <w:tcBorders>
              <w:top w:val="nil"/>
              <w:left w:val="nil"/>
              <w:bottom w:val="single" w:sz="4" w:space="0" w:color="auto"/>
              <w:right w:val="single" w:sz="4" w:space="0" w:color="auto"/>
            </w:tcBorders>
            <w:shd w:val="clear" w:color="auto" w:fill="auto"/>
            <w:noWrap/>
            <w:vAlign w:val="center"/>
            <w:hideMark/>
          </w:tcPr>
          <w:p w14:paraId="3ACE23CC"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58,7</w:t>
            </w:r>
          </w:p>
        </w:tc>
        <w:tc>
          <w:tcPr>
            <w:tcW w:w="746" w:type="dxa"/>
            <w:tcBorders>
              <w:top w:val="nil"/>
              <w:left w:val="nil"/>
              <w:bottom w:val="single" w:sz="4" w:space="0" w:color="auto"/>
              <w:right w:val="single" w:sz="4" w:space="0" w:color="auto"/>
            </w:tcBorders>
            <w:shd w:val="clear" w:color="auto" w:fill="auto"/>
            <w:noWrap/>
            <w:vAlign w:val="center"/>
            <w:hideMark/>
          </w:tcPr>
          <w:p w14:paraId="114013BE"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49,1</w:t>
            </w:r>
          </w:p>
        </w:tc>
        <w:tc>
          <w:tcPr>
            <w:tcW w:w="741" w:type="dxa"/>
            <w:tcBorders>
              <w:top w:val="nil"/>
              <w:left w:val="nil"/>
              <w:bottom w:val="single" w:sz="4" w:space="0" w:color="auto"/>
              <w:right w:val="single" w:sz="4" w:space="0" w:color="auto"/>
            </w:tcBorders>
            <w:shd w:val="clear" w:color="auto" w:fill="auto"/>
            <w:noWrap/>
            <w:vAlign w:val="center"/>
            <w:hideMark/>
          </w:tcPr>
          <w:p w14:paraId="62421033"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67,7</w:t>
            </w:r>
          </w:p>
        </w:tc>
        <w:tc>
          <w:tcPr>
            <w:tcW w:w="881" w:type="dxa"/>
            <w:tcBorders>
              <w:top w:val="nil"/>
              <w:left w:val="nil"/>
              <w:bottom w:val="single" w:sz="4" w:space="0" w:color="auto"/>
              <w:right w:val="single" w:sz="4" w:space="0" w:color="auto"/>
            </w:tcBorders>
            <w:shd w:val="clear" w:color="auto" w:fill="auto"/>
            <w:noWrap/>
            <w:vAlign w:val="center"/>
            <w:hideMark/>
          </w:tcPr>
          <w:p w14:paraId="1B746CDD" w14:textId="77777777" w:rsidR="00C04554" w:rsidRPr="00452C6D" w:rsidRDefault="00C04554" w:rsidP="00C04554">
            <w:pPr>
              <w:spacing w:after="0" w:line="240" w:lineRule="auto"/>
              <w:jc w:val="right"/>
              <w:rPr>
                <w:rFonts w:cs="Arial"/>
                <w:color w:val="000000"/>
                <w:sz w:val="16"/>
                <w:szCs w:val="16"/>
              </w:rPr>
            </w:pPr>
            <w:r w:rsidRPr="00452C6D">
              <w:rPr>
                <w:rFonts w:cs="Arial"/>
                <w:color w:val="000000"/>
                <w:sz w:val="16"/>
                <w:szCs w:val="16"/>
              </w:rPr>
              <w:t>59,8</w:t>
            </w:r>
          </w:p>
        </w:tc>
      </w:tr>
    </w:tbl>
    <w:p w14:paraId="58D52A10" w14:textId="36ECA444" w:rsidR="00F27FE0" w:rsidRPr="009C4714" w:rsidRDefault="009C4714" w:rsidP="009C4714">
      <w:pPr>
        <w:spacing w:before="120" w:after="120"/>
        <w:jc w:val="right"/>
        <w:rPr>
          <w:szCs w:val="20"/>
        </w:rPr>
      </w:pPr>
      <w:r w:rsidRPr="003D1467">
        <w:rPr>
          <w:szCs w:val="20"/>
        </w:rPr>
        <w:t>Zdroj: ČSÚ</w:t>
      </w:r>
    </w:p>
    <w:p w14:paraId="7497825D" w14:textId="3AA9EB41" w:rsidR="00D97F15" w:rsidRDefault="00310FE5" w:rsidP="00F3536D">
      <w:pPr>
        <w:spacing w:after="0"/>
        <w:jc w:val="both"/>
      </w:pPr>
      <w:r>
        <w:t xml:space="preserve">Podívejme se ještě na dělení </w:t>
      </w:r>
      <w:r w:rsidRPr="009F089A">
        <w:rPr>
          <w:b/>
          <w:i/>
        </w:rPr>
        <w:t>dle hlavní ekonomické činnosti podniku</w:t>
      </w:r>
      <w:r>
        <w:t>. Jednotlivá od</w:t>
      </w:r>
      <w:r w:rsidR="003F7FCD">
        <w:t>větví jsou v tabulce 4.2b řazena</w:t>
      </w:r>
      <w:r>
        <w:t xml:space="preserve"> dle podílu odpovědi, že </w:t>
      </w:r>
      <w:r w:rsidR="003F7FCD">
        <w:t xml:space="preserve">podniky </w:t>
      </w:r>
      <w:r w:rsidRPr="00310FE5">
        <w:t>nezaznamenaly žádná omezení nebo jen ta spojená s pandemií covid-19</w:t>
      </w:r>
      <w:r w:rsidR="00DC0D0A">
        <w:t>.</w:t>
      </w:r>
      <w:r w:rsidR="00D97F15">
        <w:t xml:space="preserve"> Ja</w:t>
      </w:r>
      <w:r w:rsidR="00395689">
        <w:t>k je patrné, nejvyšší podíl</w:t>
      </w:r>
      <w:r w:rsidR="00D97F15">
        <w:t xml:space="preserve"> odpovědi</w:t>
      </w:r>
      <w:r w:rsidR="00395689">
        <w:t xml:space="preserve">, že podnik neevidoval </w:t>
      </w:r>
      <w:r w:rsidR="00395689" w:rsidRPr="00395689">
        <w:rPr>
          <w:b/>
        </w:rPr>
        <w:t xml:space="preserve">žádná </w:t>
      </w:r>
      <w:r w:rsidR="009D13FA">
        <w:rPr>
          <w:b/>
        </w:rPr>
        <w:t xml:space="preserve">(další) </w:t>
      </w:r>
      <w:r w:rsidR="00395689" w:rsidRPr="00395689">
        <w:rPr>
          <w:b/>
        </w:rPr>
        <w:t>omezení</w:t>
      </w:r>
      <w:r w:rsidR="00395689">
        <w:t>,</w:t>
      </w:r>
      <w:r w:rsidR="00D97F15">
        <w:t xml:space="preserve"> byl zaznamenán mezi podniky z oblasti </w:t>
      </w:r>
      <w:r w:rsidR="00D97F15" w:rsidRPr="009F089A">
        <w:rPr>
          <w:i/>
        </w:rPr>
        <w:t>kulturní, zábavní a rekreační činnosti</w:t>
      </w:r>
      <w:r w:rsidR="00D97F15">
        <w:t xml:space="preserve"> a z oblasti </w:t>
      </w:r>
      <w:r w:rsidR="00D97F15" w:rsidRPr="009F089A">
        <w:rPr>
          <w:i/>
        </w:rPr>
        <w:t>dopravy a skladování</w:t>
      </w:r>
      <w:r w:rsidR="003F7FCD">
        <w:t xml:space="preserve"> (v </w:t>
      </w:r>
      <w:r w:rsidR="00D97F15">
        <w:t xml:space="preserve">obou se tak vyjádřily bezmála čtyři pětiny podniků). Naopak v oblasti </w:t>
      </w:r>
      <w:r w:rsidR="00D97F15" w:rsidRPr="009F089A">
        <w:rPr>
          <w:i/>
        </w:rPr>
        <w:t>informační a komunikační činnosti</w:t>
      </w:r>
      <w:r w:rsidR="00D97F15">
        <w:t xml:space="preserve"> a v oblasti </w:t>
      </w:r>
      <w:r w:rsidR="00D97F15" w:rsidRPr="009F089A">
        <w:rPr>
          <w:i/>
        </w:rPr>
        <w:t>peněžnictví a pojišťovnictví</w:t>
      </w:r>
      <w:r w:rsidR="00BB4C40">
        <w:t xml:space="preserve"> byly</w:t>
      </w:r>
      <w:r w:rsidR="00D97F15">
        <w:t xml:space="preserve"> takových podniků jen necelé tři pětiny. Podniky z oblastí </w:t>
      </w:r>
      <w:r w:rsidR="00D97F15" w:rsidRPr="009F089A">
        <w:rPr>
          <w:i/>
        </w:rPr>
        <w:t>informační a komunikační činnosti</w:t>
      </w:r>
      <w:r w:rsidR="00D97F15">
        <w:t xml:space="preserve"> a </w:t>
      </w:r>
      <w:r w:rsidR="00D97F15" w:rsidRPr="009F089A">
        <w:rPr>
          <w:i/>
        </w:rPr>
        <w:t>peněžnictví a pojišťovnictví</w:t>
      </w:r>
      <w:r w:rsidR="00D97F15">
        <w:t xml:space="preserve"> </w:t>
      </w:r>
      <w:r w:rsidR="009D13FA">
        <w:t>tak</w:t>
      </w:r>
      <w:r w:rsidR="00395689">
        <w:t xml:space="preserve"> </w:t>
      </w:r>
      <w:r w:rsidR="00D97F15">
        <w:t>zaznamenaly nejvyšší podíly odpovědí, že jejich z</w:t>
      </w:r>
      <w:r w:rsidR="00D97F15" w:rsidRPr="00534770">
        <w:t xml:space="preserve">aměstnanci podniku čelili </w:t>
      </w:r>
      <w:r w:rsidR="00D97F15" w:rsidRPr="00395689">
        <w:rPr>
          <w:b/>
        </w:rPr>
        <w:t xml:space="preserve">vysokému pracovnímu zatížení a nedostatku času na vzdělávání </w:t>
      </w:r>
      <w:r w:rsidR="006C4F14">
        <w:t>(17 %, resp. 18</w:t>
      </w:r>
      <w:r w:rsidR="00D97F15">
        <w:t> %) spolu s tím, že p</w:t>
      </w:r>
      <w:r w:rsidR="00D97F15" w:rsidRPr="00534770">
        <w:t>odnik</w:t>
      </w:r>
      <w:r w:rsidR="00D97F15">
        <w:t>y</w:t>
      </w:r>
      <w:r w:rsidR="00D97F15" w:rsidRPr="00534770">
        <w:t xml:space="preserve"> </w:t>
      </w:r>
      <w:r w:rsidR="00D97F15" w:rsidRPr="0088652E">
        <w:rPr>
          <w:b/>
        </w:rPr>
        <w:t>kladly na vzdělávání zaměstnanců velký důraz již v uplynulých několika letech</w:t>
      </w:r>
      <w:r w:rsidR="006C4F14">
        <w:t xml:space="preserve"> (10 %, resp. 8</w:t>
      </w:r>
      <w:r w:rsidR="00D97F15">
        <w:t> %). Rozdíly mezi nimi však najdeme v odpovědi, že p</w:t>
      </w:r>
      <w:r w:rsidR="00D97F15" w:rsidRPr="006207A0">
        <w:t xml:space="preserve">odnik se </w:t>
      </w:r>
      <w:r w:rsidR="00D97F15" w:rsidRPr="0088652E">
        <w:rPr>
          <w:b/>
        </w:rPr>
        <w:t>spíše zaměřoval na podporu počátečního odborného vzdělání</w:t>
      </w:r>
      <w:r w:rsidR="00D97F15" w:rsidRPr="006207A0">
        <w:t xml:space="preserve"> než na vzdělávání zaměstnanců.</w:t>
      </w:r>
      <w:r w:rsidR="00D97F15">
        <w:t xml:space="preserve"> Mezi podniky z oblasti </w:t>
      </w:r>
      <w:r w:rsidR="00D97F15" w:rsidRPr="009F089A">
        <w:rPr>
          <w:i/>
        </w:rPr>
        <w:t>peněžnictví a pojišťovnictví</w:t>
      </w:r>
      <w:r w:rsidR="00D97F15">
        <w:t xml:space="preserve"> zajišťujících vzdělávání zaměstnanců zaznamenala tato odpověď ze v</w:t>
      </w:r>
      <w:r w:rsidR="006C4F14">
        <w:t>šech odvětví nejvyšší podíl (5</w:t>
      </w:r>
      <w:r w:rsidR="00D97F15">
        <w:t xml:space="preserve"> %), mezi podniky z oblasti </w:t>
      </w:r>
      <w:r w:rsidR="00D97F15" w:rsidRPr="009F089A">
        <w:rPr>
          <w:i/>
        </w:rPr>
        <w:t>informační a komunikační činnosti</w:t>
      </w:r>
      <w:r w:rsidR="006C4F14">
        <w:t xml:space="preserve"> naopak nejnižší (necelé 1</w:t>
      </w:r>
      <w:r w:rsidR="00D97F15">
        <w:t> %). P</w:t>
      </w:r>
      <w:r w:rsidR="00D97F15" w:rsidRPr="006207A0">
        <w:t xml:space="preserve">odniky z oblasti </w:t>
      </w:r>
      <w:r w:rsidR="00D97F15" w:rsidRPr="009F089A">
        <w:rPr>
          <w:i/>
        </w:rPr>
        <w:t>informační a komunikační činnosti</w:t>
      </w:r>
      <w:r w:rsidR="00D97F15">
        <w:t xml:space="preserve"> zajišťující</w:t>
      </w:r>
      <w:r w:rsidR="00D97F15" w:rsidRPr="006207A0">
        <w:t xml:space="preserve"> vzdělávání </w:t>
      </w:r>
      <w:r w:rsidR="00D97F15">
        <w:t xml:space="preserve">naopak ze všech podniků nejčastěji </w:t>
      </w:r>
      <w:r w:rsidR="00D97F15">
        <w:lastRenderedPageBreak/>
        <w:t xml:space="preserve">uváděly jako faktor omezující vzdělávání, že </w:t>
      </w:r>
      <w:r w:rsidR="00D97F15" w:rsidRPr="0088652E">
        <w:rPr>
          <w:b/>
        </w:rPr>
        <w:t>před zajišťováním vzdělávání pro stávající zaměstnance upřednostňovaly přijímání nových pracovníků</w:t>
      </w:r>
      <w:r w:rsidR="00D97F15">
        <w:t xml:space="preserve"> s </w:t>
      </w:r>
      <w:r w:rsidR="00D97F15" w:rsidRPr="006207A0">
        <w:t>potřebnou kvalifikací, dovednostmi či schopnostmi</w:t>
      </w:r>
      <w:r w:rsidR="006C4F14">
        <w:t xml:space="preserve"> (7</w:t>
      </w:r>
      <w:r w:rsidR="00D97F15">
        <w:t xml:space="preserve"> %), naopak z podniků v oblasti </w:t>
      </w:r>
      <w:r w:rsidR="00D97F15" w:rsidRPr="009F089A">
        <w:rPr>
          <w:i/>
        </w:rPr>
        <w:t xml:space="preserve">kulturní, zábavní a rekreační činnosti </w:t>
      </w:r>
      <w:r w:rsidR="00D97F15">
        <w:t>se ta</w:t>
      </w:r>
      <w:r w:rsidR="006C4F14">
        <w:t>k</w:t>
      </w:r>
      <w:r w:rsidR="00B777E6">
        <w:t xml:space="preserve"> vyjádřil nejmenší podíl (necelá</w:t>
      </w:r>
      <w:r w:rsidR="006C4F14">
        <w:t xml:space="preserve"> 3</w:t>
      </w:r>
      <w:r w:rsidR="00D97F15">
        <w:t xml:space="preserve"> %). </w:t>
      </w:r>
      <w:r w:rsidR="00D97F15" w:rsidRPr="006207A0">
        <w:t xml:space="preserve">Podniky z oblasti </w:t>
      </w:r>
      <w:r w:rsidR="00D97F15" w:rsidRPr="009F089A">
        <w:rPr>
          <w:i/>
        </w:rPr>
        <w:t>informační a komunikační činnosti</w:t>
      </w:r>
      <w:r w:rsidR="00D97F15" w:rsidRPr="006207A0">
        <w:t xml:space="preserve"> </w:t>
      </w:r>
      <w:r w:rsidR="00D97F15">
        <w:t xml:space="preserve">si také relativně častěji stěžovaly na </w:t>
      </w:r>
      <w:r w:rsidR="00D97F15" w:rsidRPr="00106A3E">
        <w:rPr>
          <w:b/>
        </w:rPr>
        <w:t>nevyhovující dostupnou nabídku vzdělávání</w:t>
      </w:r>
      <w:r w:rsidR="00D97F15">
        <w:t xml:space="preserve"> (10 %), ještě vyšší podíl této odpovědi však najdeme mezi podniky</w:t>
      </w:r>
      <w:r w:rsidR="00D97F15" w:rsidRPr="006207A0">
        <w:t xml:space="preserve"> z oblasti </w:t>
      </w:r>
      <w:r w:rsidR="00D97F15" w:rsidRPr="009F089A">
        <w:rPr>
          <w:i/>
        </w:rPr>
        <w:t>profesní, vědeck</w:t>
      </w:r>
      <w:r w:rsidR="00106A3E" w:rsidRPr="009F089A">
        <w:rPr>
          <w:i/>
        </w:rPr>
        <w:t>é a technické činnosti</w:t>
      </w:r>
      <w:r w:rsidR="006C4F14">
        <w:t xml:space="preserve"> (11</w:t>
      </w:r>
      <w:r w:rsidR="00106A3E">
        <w:t> </w:t>
      </w:r>
      <w:r w:rsidR="00D97F15">
        <w:t xml:space="preserve">%). S tímto problémem se naopak nejméně potýkaly podniky z oblasti </w:t>
      </w:r>
      <w:r w:rsidR="00D97F15" w:rsidRPr="009F089A">
        <w:rPr>
          <w:i/>
        </w:rPr>
        <w:t>ubytování, stravování a pohostinství</w:t>
      </w:r>
      <w:r w:rsidR="00D97F15">
        <w:t xml:space="preserve"> a </w:t>
      </w:r>
      <w:r w:rsidR="00D97F15" w:rsidRPr="009F089A">
        <w:rPr>
          <w:i/>
        </w:rPr>
        <w:t>kulturní, zábavní a rekreační činnosti</w:t>
      </w:r>
      <w:r w:rsidR="00D97F15">
        <w:t xml:space="preserve"> (</w:t>
      </w:r>
      <w:r w:rsidR="00B777E6">
        <w:t xml:space="preserve">obojí </w:t>
      </w:r>
      <w:r w:rsidR="006C4F14">
        <w:t>3</w:t>
      </w:r>
      <w:r w:rsidR="00D97F15">
        <w:t xml:space="preserve"> %). Pro podniky z oblasti </w:t>
      </w:r>
      <w:r w:rsidR="00D97F15" w:rsidRPr="009F089A">
        <w:rPr>
          <w:i/>
        </w:rPr>
        <w:t>ubytování, stravování a pohostinství</w:t>
      </w:r>
      <w:r w:rsidR="00D97F15">
        <w:t xml:space="preserve"> tak byl mnohem větším problémem, že </w:t>
      </w:r>
      <w:r w:rsidR="00D97F15" w:rsidRPr="00106A3E">
        <w:rPr>
          <w:b/>
        </w:rPr>
        <w:t>náklady na vzdělávání pro ně byly příliš vysoké</w:t>
      </w:r>
      <w:r w:rsidR="00D97F15">
        <w:t xml:space="preserve"> (uvedlo tak </w:t>
      </w:r>
      <w:r w:rsidR="006C4F14">
        <w:t>8</w:t>
      </w:r>
      <w:r w:rsidR="00D97F15">
        <w:t xml:space="preserve"> %), v nejmenší míře tento problém pociťovaly podniky z oblasti </w:t>
      </w:r>
      <w:r w:rsidR="00D97F15" w:rsidRPr="009F089A">
        <w:rPr>
          <w:i/>
        </w:rPr>
        <w:t>dopravy a skladování</w:t>
      </w:r>
      <w:r w:rsidR="00D97F15">
        <w:t xml:space="preserve"> (uvedlo tak </w:t>
      </w:r>
      <w:r w:rsidR="006C4F14">
        <w:t>2</w:t>
      </w:r>
      <w:r w:rsidR="00D97F15">
        <w:t xml:space="preserve"> % z nich). Podniky z oblasti </w:t>
      </w:r>
      <w:r w:rsidR="00D97F15" w:rsidRPr="009F089A">
        <w:rPr>
          <w:i/>
        </w:rPr>
        <w:t>ubytování, stravování a pohostinství</w:t>
      </w:r>
      <w:r w:rsidR="00D97F15">
        <w:t xml:space="preserve"> také v největší míře uváděly, že </w:t>
      </w:r>
      <w:r w:rsidR="00D97F15" w:rsidRPr="00106A3E">
        <w:rPr>
          <w:b/>
        </w:rPr>
        <w:t>měly problém s identifikací vzdělávacích potřeb zaměstnanců</w:t>
      </w:r>
      <w:r w:rsidR="00D97F15">
        <w:t xml:space="preserve"> (3,5 %), naopak pro podniky z oblasti </w:t>
      </w:r>
      <w:r w:rsidR="00D97F15" w:rsidRPr="009F089A">
        <w:rPr>
          <w:i/>
        </w:rPr>
        <w:t>stavebnictví</w:t>
      </w:r>
      <w:r w:rsidR="00D97F15">
        <w:t xml:space="preserve"> byl tento problém zcela marginální (uvedlo tak 0,2 %). Nakonec, téměř pětina podniků</w:t>
      </w:r>
      <w:r w:rsidR="00D97F15" w:rsidRPr="00FA387F">
        <w:t xml:space="preserve"> z oblasti </w:t>
      </w:r>
      <w:r w:rsidR="00D97F15" w:rsidRPr="009F089A">
        <w:rPr>
          <w:i/>
        </w:rPr>
        <w:t>ubytování, stravování a pohostinství</w:t>
      </w:r>
      <w:r w:rsidR="00D97F15">
        <w:t xml:space="preserve"> zajišťujících vzdělávání uvedla, že k omezení vzdělávání u nich vedly </w:t>
      </w:r>
      <w:r w:rsidR="00D97F15" w:rsidRPr="00106A3E">
        <w:rPr>
          <w:b/>
        </w:rPr>
        <w:t>(také) jiné než v dotazníku vyjmenované důvody</w:t>
      </w:r>
      <w:r w:rsidR="006C4F14">
        <w:t xml:space="preserve"> (17</w:t>
      </w:r>
      <w:r w:rsidR="00D97F15">
        <w:t xml:space="preserve"> %). Nejmenší podíl této odpovědi byl opět zaznamenán ve skupině podniků z oblasti </w:t>
      </w:r>
      <w:r w:rsidR="00D97F15" w:rsidRPr="009F089A">
        <w:rPr>
          <w:i/>
        </w:rPr>
        <w:t>dopravy a skladování</w:t>
      </w:r>
      <w:r w:rsidR="00D97F15">
        <w:t xml:space="preserve"> (4 %).</w:t>
      </w:r>
    </w:p>
    <w:p w14:paraId="70A4F7FE" w14:textId="77777777" w:rsidR="00310FE5" w:rsidRDefault="00310FE5" w:rsidP="00F3536D">
      <w:pPr>
        <w:spacing w:after="0"/>
        <w:jc w:val="both"/>
      </w:pPr>
    </w:p>
    <w:p w14:paraId="549C633D" w14:textId="2E3AA11C" w:rsidR="003503EE" w:rsidRDefault="003503EE" w:rsidP="003503EE">
      <w:pPr>
        <w:keepNext/>
        <w:spacing w:after="0"/>
        <w:jc w:val="both"/>
        <w:rPr>
          <w:b/>
        </w:rPr>
      </w:pPr>
      <w:r>
        <w:rPr>
          <w:b/>
        </w:rPr>
        <w:t>Tab.</w:t>
      </w:r>
      <w:r w:rsidR="00310FE5" w:rsidRPr="0091701C">
        <w:rPr>
          <w:b/>
        </w:rPr>
        <w:t xml:space="preserve"> 4.2</w:t>
      </w:r>
      <w:r w:rsidR="00310FE5">
        <w:rPr>
          <w:b/>
        </w:rPr>
        <w:t>b</w:t>
      </w:r>
      <w:r w:rsidR="00310FE5" w:rsidRPr="0091701C">
        <w:rPr>
          <w:b/>
        </w:rPr>
        <w:t xml:space="preserve"> </w:t>
      </w:r>
      <w:r>
        <w:rPr>
          <w:b/>
        </w:rPr>
        <w:t>Podniky s uvedenými</w:t>
      </w:r>
      <w:r w:rsidRPr="0091701C">
        <w:rPr>
          <w:b/>
        </w:rPr>
        <w:t xml:space="preserve"> další</w:t>
      </w:r>
      <w:r>
        <w:rPr>
          <w:b/>
        </w:rPr>
        <w:t>mi</w:t>
      </w:r>
      <w:r w:rsidRPr="0091701C">
        <w:rPr>
          <w:b/>
        </w:rPr>
        <w:t xml:space="preserve"> faktory omezující</w:t>
      </w:r>
      <w:r>
        <w:rPr>
          <w:b/>
        </w:rPr>
        <w:t>mi vzdělávání zaměstnanců</w:t>
      </w:r>
      <w:r>
        <w:rPr>
          <w:rStyle w:val="Znakapoznpodarou"/>
          <w:b/>
        </w:rPr>
        <w:footnoteReference w:id="11"/>
      </w:r>
      <w:r>
        <w:rPr>
          <w:b/>
        </w:rPr>
        <w:t>, 2020</w:t>
      </w:r>
      <w:r w:rsidRPr="0091701C">
        <w:rPr>
          <w:b/>
        </w:rPr>
        <w:t xml:space="preserve"> </w:t>
      </w:r>
    </w:p>
    <w:p w14:paraId="6C70DB76" w14:textId="5ECC1846" w:rsidR="004B6E0E" w:rsidRPr="003503EE" w:rsidRDefault="003503EE" w:rsidP="007C2E04">
      <w:pPr>
        <w:keepNext/>
        <w:spacing w:after="120"/>
        <w:jc w:val="both"/>
      </w:pPr>
      <w:r w:rsidRPr="003503EE">
        <w:t>(v % z podniků zajišťujících vzdělávání)</w:t>
      </w:r>
    </w:p>
    <w:tbl>
      <w:tblPr>
        <w:tblW w:w="9781" w:type="dxa"/>
        <w:tblInd w:w="-5" w:type="dxa"/>
        <w:tblLayout w:type="fixed"/>
        <w:tblCellMar>
          <w:left w:w="70" w:type="dxa"/>
          <w:right w:w="70" w:type="dxa"/>
        </w:tblCellMar>
        <w:tblLook w:val="04A0" w:firstRow="1" w:lastRow="0" w:firstColumn="1" w:lastColumn="0" w:noHBand="0" w:noVBand="1"/>
      </w:tblPr>
      <w:tblGrid>
        <w:gridCol w:w="4253"/>
        <w:gridCol w:w="662"/>
        <w:gridCol w:w="514"/>
        <w:gridCol w:w="514"/>
        <w:gridCol w:w="519"/>
        <w:gridCol w:w="452"/>
        <w:gridCol w:w="698"/>
        <w:gridCol w:w="698"/>
        <w:gridCol w:w="452"/>
        <w:gridCol w:w="452"/>
        <w:gridCol w:w="567"/>
      </w:tblGrid>
      <w:tr w:rsidR="009F089A" w:rsidRPr="00395689" w14:paraId="4A94D680" w14:textId="77777777" w:rsidTr="00BB4C40">
        <w:trPr>
          <w:trHeight w:val="1773"/>
        </w:trPr>
        <w:tc>
          <w:tcPr>
            <w:tcW w:w="4253" w:type="dxa"/>
            <w:tcBorders>
              <w:top w:val="single" w:sz="4" w:space="0" w:color="auto"/>
              <w:left w:val="single" w:sz="4" w:space="0" w:color="auto"/>
              <w:bottom w:val="single" w:sz="4" w:space="0" w:color="auto"/>
              <w:right w:val="single" w:sz="4" w:space="0" w:color="auto"/>
            </w:tcBorders>
            <w:shd w:val="clear" w:color="000000" w:fill="7FB0DD"/>
            <w:vAlign w:val="center"/>
            <w:hideMark/>
          </w:tcPr>
          <w:p w14:paraId="63CC32CC" w14:textId="77777777" w:rsidR="00395689" w:rsidRDefault="00395689" w:rsidP="00395689">
            <w:pPr>
              <w:spacing w:after="0" w:line="240" w:lineRule="auto"/>
              <w:jc w:val="center"/>
              <w:rPr>
                <w:rFonts w:cs="Arial"/>
                <w:b/>
                <w:bCs/>
                <w:color w:val="000000"/>
                <w:szCs w:val="20"/>
              </w:rPr>
            </w:pPr>
            <w:r w:rsidRPr="00395689">
              <w:rPr>
                <w:rFonts w:cs="Arial"/>
                <w:b/>
                <w:bCs/>
                <w:color w:val="000000"/>
                <w:szCs w:val="20"/>
              </w:rPr>
              <w:t> </w:t>
            </w:r>
          </w:p>
          <w:p w14:paraId="6AFA67E9" w14:textId="77777777" w:rsidR="009F089A" w:rsidRDefault="009F089A" w:rsidP="00395689">
            <w:pPr>
              <w:spacing w:after="0" w:line="240" w:lineRule="auto"/>
              <w:jc w:val="center"/>
              <w:rPr>
                <w:rFonts w:cs="Arial"/>
                <w:b/>
                <w:bCs/>
                <w:color w:val="000000"/>
                <w:szCs w:val="20"/>
              </w:rPr>
            </w:pPr>
          </w:p>
          <w:p w14:paraId="5C67DBB7" w14:textId="5D5041D5" w:rsidR="009F089A" w:rsidRPr="00395689" w:rsidRDefault="009F089A" w:rsidP="00395689">
            <w:pPr>
              <w:spacing w:after="0" w:line="240" w:lineRule="auto"/>
              <w:jc w:val="center"/>
              <w:rPr>
                <w:rFonts w:cs="Arial"/>
                <w:b/>
                <w:bCs/>
                <w:color w:val="000000"/>
                <w:szCs w:val="20"/>
              </w:rPr>
            </w:pPr>
          </w:p>
        </w:tc>
        <w:tc>
          <w:tcPr>
            <w:tcW w:w="662"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3299D407" w14:textId="77777777" w:rsidR="00BB4C40" w:rsidRDefault="00395689" w:rsidP="00BB4C40">
            <w:pPr>
              <w:spacing w:after="0" w:line="240" w:lineRule="auto"/>
              <w:rPr>
                <w:rFonts w:cs="Arial"/>
                <w:b/>
                <w:bCs/>
                <w:color w:val="000000"/>
                <w:sz w:val="16"/>
                <w:szCs w:val="16"/>
              </w:rPr>
            </w:pPr>
            <w:r>
              <w:rPr>
                <w:rFonts w:cs="Arial"/>
                <w:b/>
                <w:bCs/>
                <w:color w:val="000000"/>
                <w:sz w:val="16"/>
                <w:szCs w:val="16"/>
              </w:rPr>
              <w:t xml:space="preserve"> </w:t>
            </w:r>
            <w:r w:rsidR="00BB4C40">
              <w:rPr>
                <w:rFonts w:cs="Arial"/>
                <w:b/>
                <w:bCs/>
                <w:color w:val="000000"/>
                <w:sz w:val="16"/>
                <w:szCs w:val="16"/>
              </w:rPr>
              <w:t>Informační</w:t>
            </w:r>
            <w:r w:rsidR="009F089A">
              <w:rPr>
                <w:rFonts w:cs="Arial"/>
                <w:b/>
                <w:bCs/>
                <w:color w:val="000000"/>
                <w:sz w:val="16"/>
                <w:szCs w:val="16"/>
              </w:rPr>
              <w:t xml:space="preserve"> </w:t>
            </w:r>
            <w:r w:rsidRPr="00395689">
              <w:rPr>
                <w:rFonts w:cs="Arial"/>
                <w:b/>
                <w:bCs/>
                <w:color w:val="000000"/>
                <w:sz w:val="16"/>
                <w:szCs w:val="16"/>
              </w:rPr>
              <w:t>a komu</w:t>
            </w:r>
            <w:r w:rsidR="00BB4C40">
              <w:rPr>
                <w:rFonts w:cs="Arial"/>
                <w:b/>
                <w:bCs/>
                <w:color w:val="000000"/>
                <w:sz w:val="16"/>
                <w:szCs w:val="16"/>
              </w:rPr>
              <w:t xml:space="preserve">- </w:t>
            </w:r>
          </w:p>
          <w:p w14:paraId="1764D6D2" w14:textId="26BDC7F5" w:rsidR="00395689" w:rsidRPr="00395689" w:rsidRDefault="00BB4C40" w:rsidP="00BB4C40">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 xml:space="preserve">nikační </w:t>
            </w:r>
            <w:r>
              <w:rPr>
                <w:rFonts w:cs="Arial"/>
                <w:b/>
                <w:bCs/>
                <w:color w:val="000000"/>
                <w:sz w:val="16"/>
                <w:szCs w:val="16"/>
              </w:rPr>
              <w:t>činnosti</w:t>
            </w:r>
          </w:p>
        </w:tc>
        <w:tc>
          <w:tcPr>
            <w:tcW w:w="514"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18EE2FE5" w14:textId="3B8E7D99" w:rsidR="009F089A" w:rsidRDefault="00395689" w:rsidP="00395689">
            <w:pPr>
              <w:spacing w:after="0" w:line="240" w:lineRule="auto"/>
              <w:rPr>
                <w:rFonts w:cs="Arial"/>
                <w:b/>
                <w:bCs/>
                <w:color w:val="000000"/>
                <w:sz w:val="16"/>
                <w:szCs w:val="16"/>
              </w:rPr>
            </w:pPr>
            <w:r>
              <w:rPr>
                <w:rFonts w:cs="Arial"/>
                <w:b/>
                <w:bCs/>
                <w:color w:val="000000"/>
                <w:sz w:val="16"/>
                <w:szCs w:val="16"/>
              </w:rPr>
              <w:t xml:space="preserve"> </w:t>
            </w:r>
            <w:r w:rsidRPr="00395689">
              <w:rPr>
                <w:rFonts w:cs="Arial"/>
                <w:b/>
                <w:bCs/>
                <w:color w:val="000000"/>
                <w:sz w:val="16"/>
                <w:szCs w:val="16"/>
              </w:rPr>
              <w:t xml:space="preserve">Peněžnictví </w:t>
            </w:r>
          </w:p>
          <w:p w14:paraId="1291F9E1" w14:textId="4EEA4391"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a pojišťovnictví</w:t>
            </w:r>
          </w:p>
        </w:tc>
        <w:tc>
          <w:tcPr>
            <w:tcW w:w="514"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656AC7FC" w14:textId="509D1A52" w:rsidR="009F089A" w:rsidRDefault="00395689" w:rsidP="00395689">
            <w:pPr>
              <w:spacing w:after="0" w:line="240" w:lineRule="auto"/>
              <w:rPr>
                <w:rFonts w:cs="Arial"/>
                <w:b/>
                <w:bCs/>
                <w:color w:val="000000"/>
                <w:sz w:val="16"/>
                <w:szCs w:val="16"/>
              </w:rPr>
            </w:pPr>
            <w:r>
              <w:rPr>
                <w:rFonts w:cs="Arial"/>
                <w:b/>
                <w:bCs/>
                <w:color w:val="000000"/>
                <w:sz w:val="16"/>
                <w:szCs w:val="16"/>
              </w:rPr>
              <w:t xml:space="preserve"> </w:t>
            </w:r>
            <w:r w:rsidRPr="00395689">
              <w:rPr>
                <w:rFonts w:cs="Arial"/>
                <w:b/>
                <w:bCs/>
                <w:color w:val="000000"/>
                <w:sz w:val="16"/>
                <w:szCs w:val="16"/>
              </w:rPr>
              <w:t xml:space="preserve">Profesní, vědecké </w:t>
            </w:r>
          </w:p>
          <w:p w14:paraId="052BDA13" w14:textId="56D60BBB"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a technické</w:t>
            </w:r>
            <w:r>
              <w:rPr>
                <w:rFonts w:cs="Arial"/>
                <w:b/>
                <w:bCs/>
                <w:color w:val="000000"/>
                <w:sz w:val="16"/>
                <w:szCs w:val="16"/>
              </w:rPr>
              <w:t xml:space="preserve"> </w:t>
            </w:r>
            <w:r w:rsidR="00395689" w:rsidRPr="00395689">
              <w:rPr>
                <w:rFonts w:cs="Arial"/>
                <w:b/>
                <w:bCs/>
                <w:color w:val="000000"/>
                <w:sz w:val="16"/>
                <w:szCs w:val="16"/>
              </w:rPr>
              <w:t>činnosti</w:t>
            </w:r>
          </w:p>
        </w:tc>
        <w:tc>
          <w:tcPr>
            <w:tcW w:w="519"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09BC692C" w14:textId="0901784E" w:rsidR="00395689" w:rsidRDefault="00395689" w:rsidP="00395689">
            <w:pPr>
              <w:spacing w:after="0" w:line="240" w:lineRule="auto"/>
              <w:rPr>
                <w:rFonts w:cs="Arial"/>
                <w:b/>
                <w:bCs/>
                <w:color w:val="000000"/>
                <w:sz w:val="16"/>
                <w:szCs w:val="16"/>
              </w:rPr>
            </w:pPr>
            <w:r>
              <w:rPr>
                <w:rFonts w:cs="Arial"/>
                <w:b/>
                <w:bCs/>
                <w:color w:val="000000"/>
                <w:sz w:val="16"/>
                <w:szCs w:val="16"/>
              </w:rPr>
              <w:t xml:space="preserve"> </w:t>
            </w:r>
            <w:r w:rsidRPr="00395689">
              <w:rPr>
                <w:rFonts w:cs="Arial"/>
                <w:b/>
                <w:bCs/>
                <w:color w:val="000000"/>
                <w:sz w:val="16"/>
                <w:szCs w:val="16"/>
              </w:rPr>
              <w:t xml:space="preserve">Ubytování, stravování </w:t>
            </w:r>
          </w:p>
          <w:p w14:paraId="7E59BA41" w14:textId="0F9B3A08" w:rsidR="00395689" w:rsidRPr="00395689" w:rsidRDefault="00395689" w:rsidP="00395689">
            <w:pPr>
              <w:spacing w:after="0" w:line="240" w:lineRule="auto"/>
              <w:rPr>
                <w:rFonts w:cs="Arial"/>
                <w:b/>
                <w:bCs/>
                <w:color w:val="000000"/>
                <w:sz w:val="16"/>
                <w:szCs w:val="16"/>
              </w:rPr>
            </w:pPr>
            <w:r>
              <w:rPr>
                <w:rFonts w:cs="Arial"/>
                <w:b/>
                <w:bCs/>
                <w:color w:val="000000"/>
                <w:sz w:val="16"/>
                <w:szCs w:val="16"/>
              </w:rPr>
              <w:t xml:space="preserve"> a</w:t>
            </w:r>
            <w:r w:rsidRPr="00395689">
              <w:rPr>
                <w:rFonts w:cs="Arial"/>
                <w:b/>
                <w:bCs/>
                <w:color w:val="000000"/>
                <w:sz w:val="16"/>
                <w:szCs w:val="16"/>
              </w:rPr>
              <w:t xml:space="preserve"> pohostinství</w:t>
            </w:r>
          </w:p>
        </w:tc>
        <w:tc>
          <w:tcPr>
            <w:tcW w:w="452"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534B4806" w14:textId="7DD508E1" w:rsidR="00395689" w:rsidRPr="00395689" w:rsidRDefault="00395689" w:rsidP="00395689">
            <w:pPr>
              <w:spacing w:after="0" w:line="240" w:lineRule="auto"/>
              <w:rPr>
                <w:rFonts w:cs="Arial"/>
                <w:b/>
                <w:bCs/>
                <w:color w:val="000000"/>
                <w:sz w:val="16"/>
                <w:szCs w:val="16"/>
              </w:rPr>
            </w:pPr>
            <w:r>
              <w:rPr>
                <w:rFonts w:cs="Arial"/>
                <w:b/>
                <w:bCs/>
                <w:color w:val="000000"/>
                <w:sz w:val="16"/>
                <w:szCs w:val="16"/>
              </w:rPr>
              <w:t xml:space="preserve"> </w:t>
            </w:r>
            <w:r w:rsidRPr="00395689">
              <w:rPr>
                <w:rFonts w:cs="Arial"/>
                <w:b/>
                <w:bCs/>
                <w:color w:val="000000"/>
                <w:sz w:val="16"/>
                <w:szCs w:val="16"/>
              </w:rPr>
              <w:t>Průmysl</w:t>
            </w:r>
          </w:p>
        </w:tc>
        <w:tc>
          <w:tcPr>
            <w:tcW w:w="698"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35DA130B" w14:textId="122D7640" w:rsidR="009F089A"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 xml:space="preserve">Velkoobchod </w:t>
            </w:r>
          </w:p>
          <w:p w14:paraId="0628605C" w14:textId="6FFD352B" w:rsid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 xml:space="preserve">a maloobchod; </w:t>
            </w:r>
          </w:p>
          <w:p w14:paraId="0A16E420" w14:textId="2BC5DDA6" w:rsidR="00395689" w:rsidRPr="00395689" w:rsidRDefault="00395689" w:rsidP="00395689">
            <w:pPr>
              <w:spacing w:after="0" w:line="240" w:lineRule="auto"/>
              <w:rPr>
                <w:rFonts w:cs="Arial"/>
                <w:b/>
                <w:bCs/>
                <w:color w:val="000000"/>
                <w:sz w:val="16"/>
                <w:szCs w:val="16"/>
              </w:rPr>
            </w:pPr>
            <w:r>
              <w:rPr>
                <w:rFonts w:cs="Arial"/>
                <w:b/>
                <w:bCs/>
                <w:color w:val="000000"/>
                <w:sz w:val="16"/>
                <w:szCs w:val="16"/>
              </w:rPr>
              <w:t xml:space="preserve"> </w:t>
            </w:r>
            <w:r w:rsidRPr="00395689">
              <w:rPr>
                <w:rFonts w:cs="Arial"/>
                <w:b/>
                <w:bCs/>
                <w:color w:val="000000"/>
                <w:sz w:val="16"/>
                <w:szCs w:val="16"/>
              </w:rPr>
              <w:t>opravy vozidel</w:t>
            </w:r>
          </w:p>
        </w:tc>
        <w:tc>
          <w:tcPr>
            <w:tcW w:w="698"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7F1214D8" w14:textId="6C73A694" w:rsidR="009F089A"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 xml:space="preserve">Činnosti v oblasti </w:t>
            </w:r>
          </w:p>
          <w:p w14:paraId="434CB1C2" w14:textId="3CBD0DDE" w:rsidR="00395689" w:rsidRDefault="009F089A" w:rsidP="00395689">
            <w:pPr>
              <w:spacing w:after="0" w:line="240" w:lineRule="auto"/>
              <w:rPr>
                <w:rFonts w:cs="Arial"/>
                <w:b/>
                <w:bCs/>
                <w:color w:val="000000"/>
                <w:sz w:val="16"/>
                <w:szCs w:val="16"/>
              </w:rPr>
            </w:pPr>
            <w:r>
              <w:rPr>
                <w:rFonts w:cs="Arial"/>
                <w:b/>
                <w:bCs/>
                <w:color w:val="000000"/>
                <w:sz w:val="16"/>
                <w:szCs w:val="16"/>
              </w:rPr>
              <w:t xml:space="preserve">  n</w:t>
            </w:r>
            <w:r w:rsidR="00395689" w:rsidRPr="00395689">
              <w:rPr>
                <w:rFonts w:cs="Arial"/>
                <w:b/>
                <w:bCs/>
                <w:color w:val="000000"/>
                <w:sz w:val="16"/>
                <w:szCs w:val="16"/>
              </w:rPr>
              <w:t xml:space="preserve">emovitostí </w:t>
            </w:r>
          </w:p>
          <w:p w14:paraId="2B3A6037" w14:textId="492C8767"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a administrativy</w:t>
            </w:r>
          </w:p>
        </w:tc>
        <w:tc>
          <w:tcPr>
            <w:tcW w:w="452"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7989E77B" w14:textId="23EA1D81"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Stavebnictví</w:t>
            </w:r>
          </w:p>
        </w:tc>
        <w:tc>
          <w:tcPr>
            <w:tcW w:w="452"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3A826128" w14:textId="63F16A92"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Doprava a skladování</w:t>
            </w:r>
          </w:p>
        </w:tc>
        <w:tc>
          <w:tcPr>
            <w:tcW w:w="567" w:type="dxa"/>
            <w:tcBorders>
              <w:top w:val="single" w:sz="4" w:space="0" w:color="auto"/>
              <w:left w:val="nil"/>
              <w:bottom w:val="single" w:sz="4" w:space="0" w:color="auto"/>
              <w:right w:val="single" w:sz="4" w:space="0" w:color="auto"/>
            </w:tcBorders>
            <w:shd w:val="clear" w:color="000000" w:fill="7FB0DD"/>
            <w:textDirection w:val="btLr"/>
            <w:vAlign w:val="center"/>
            <w:hideMark/>
          </w:tcPr>
          <w:p w14:paraId="2073FDCE" w14:textId="1F7F3966" w:rsidR="009F089A"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 xml:space="preserve">Kulturní, zábavní </w:t>
            </w:r>
          </w:p>
          <w:p w14:paraId="36D5FE98" w14:textId="1A76F25E" w:rsidR="00395689" w:rsidRPr="00395689" w:rsidRDefault="009F089A" w:rsidP="00395689">
            <w:pPr>
              <w:spacing w:after="0" w:line="240" w:lineRule="auto"/>
              <w:rPr>
                <w:rFonts w:cs="Arial"/>
                <w:b/>
                <w:bCs/>
                <w:color w:val="000000"/>
                <w:sz w:val="16"/>
                <w:szCs w:val="16"/>
              </w:rPr>
            </w:pPr>
            <w:r>
              <w:rPr>
                <w:rFonts w:cs="Arial"/>
                <w:b/>
                <w:bCs/>
                <w:color w:val="000000"/>
                <w:sz w:val="16"/>
                <w:szCs w:val="16"/>
              </w:rPr>
              <w:t xml:space="preserve"> </w:t>
            </w:r>
            <w:r w:rsidR="00395689" w:rsidRPr="00395689">
              <w:rPr>
                <w:rFonts w:cs="Arial"/>
                <w:b/>
                <w:bCs/>
                <w:color w:val="000000"/>
                <w:sz w:val="16"/>
                <w:szCs w:val="16"/>
              </w:rPr>
              <w:t>a rekreační činnosti</w:t>
            </w:r>
          </w:p>
        </w:tc>
      </w:tr>
      <w:tr w:rsidR="00A74466" w:rsidRPr="00395689" w14:paraId="596B8D1A" w14:textId="77777777" w:rsidTr="00BB4C40">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AF5B8B4" w14:textId="0484B1A8" w:rsidR="00A74466" w:rsidRPr="00395689" w:rsidRDefault="00A74466" w:rsidP="00A74466">
            <w:pPr>
              <w:spacing w:after="0" w:line="240" w:lineRule="auto"/>
              <w:rPr>
                <w:rFonts w:cs="Arial"/>
                <w:color w:val="000000"/>
                <w:sz w:val="16"/>
                <w:szCs w:val="16"/>
              </w:rPr>
            </w:pPr>
            <w:r>
              <w:rPr>
                <w:rFonts w:cs="Arial"/>
                <w:color w:val="000000"/>
                <w:sz w:val="16"/>
                <w:szCs w:val="16"/>
              </w:rPr>
              <w:t>V</w:t>
            </w:r>
            <w:r w:rsidRPr="00452C6D">
              <w:rPr>
                <w:rFonts w:cs="Arial"/>
                <w:color w:val="000000"/>
                <w:sz w:val="16"/>
                <w:szCs w:val="16"/>
              </w:rPr>
              <w:t xml:space="preserve">ysoké pracovní zatížení </w:t>
            </w:r>
            <w:r>
              <w:rPr>
                <w:rFonts w:cs="Arial"/>
                <w:color w:val="000000"/>
                <w:sz w:val="16"/>
                <w:szCs w:val="16"/>
              </w:rPr>
              <w:t xml:space="preserve">zaměstnanců </w:t>
            </w:r>
            <w:r w:rsidRPr="00452C6D">
              <w:rPr>
                <w:rFonts w:cs="Arial"/>
                <w:color w:val="000000"/>
                <w:sz w:val="16"/>
                <w:szCs w:val="16"/>
              </w:rPr>
              <w:t>a nedostat</w:t>
            </w:r>
            <w:r>
              <w:rPr>
                <w:rFonts w:cs="Arial"/>
                <w:color w:val="000000"/>
                <w:sz w:val="16"/>
                <w:szCs w:val="16"/>
              </w:rPr>
              <w:t>e</w:t>
            </w:r>
            <w:r w:rsidRPr="00452C6D">
              <w:rPr>
                <w:rFonts w:cs="Arial"/>
                <w:color w:val="000000"/>
                <w:sz w:val="16"/>
                <w:szCs w:val="16"/>
              </w:rPr>
              <w:t>k času na vzdělávání</w:t>
            </w:r>
          </w:p>
        </w:tc>
        <w:tc>
          <w:tcPr>
            <w:tcW w:w="662" w:type="dxa"/>
            <w:tcBorders>
              <w:top w:val="nil"/>
              <w:left w:val="nil"/>
              <w:bottom w:val="single" w:sz="4" w:space="0" w:color="auto"/>
              <w:right w:val="single" w:sz="4" w:space="0" w:color="auto"/>
            </w:tcBorders>
            <w:shd w:val="clear" w:color="auto" w:fill="auto"/>
            <w:noWrap/>
            <w:vAlign w:val="center"/>
            <w:hideMark/>
          </w:tcPr>
          <w:p w14:paraId="4FBBA0D0" w14:textId="77777777" w:rsidR="00A74466" w:rsidRPr="00D67150" w:rsidRDefault="00A74466" w:rsidP="00A74466">
            <w:pPr>
              <w:spacing w:after="0" w:line="240" w:lineRule="auto"/>
              <w:jc w:val="right"/>
              <w:rPr>
                <w:rFonts w:cs="Arial"/>
                <w:b/>
                <w:bCs/>
                <w:color w:val="00B050"/>
                <w:sz w:val="16"/>
                <w:szCs w:val="16"/>
              </w:rPr>
            </w:pPr>
            <w:r w:rsidRPr="00D67150">
              <w:rPr>
                <w:rFonts w:cs="Arial"/>
                <w:b/>
                <w:bCs/>
                <w:color w:val="00B050"/>
                <w:sz w:val="16"/>
                <w:szCs w:val="16"/>
              </w:rPr>
              <w:t>17,4</w:t>
            </w:r>
          </w:p>
        </w:tc>
        <w:tc>
          <w:tcPr>
            <w:tcW w:w="514" w:type="dxa"/>
            <w:tcBorders>
              <w:top w:val="nil"/>
              <w:left w:val="nil"/>
              <w:bottom w:val="single" w:sz="4" w:space="0" w:color="auto"/>
              <w:right w:val="single" w:sz="4" w:space="0" w:color="auto"/>
            </w:tcBorders>
            <w:shd w:val="clear" w:color="auto" w:fill="auto"/>
            <w:noWrap/>
            <w:vAlign w:val="center"/>
            <w:hideMark/>
          </w:tcPr>
          <w:p w14:paraId="6C153A14" w14:textId="77777777" w:rsidR="00A74466" w:rsidRPr="00D67150" w:rsidRDefault="00A74466" w:rsidP="00A74466">
            <w:pPr>
              <w:spacing w:after="0" w:line="240" w:lineRule="auto"/>
              <w:jc w:val="right"/>
              <w:rPr>
                <w:rFonts w:cs="Arial"/>
                <w:b/>
                <w:bCs/>
                <w:color w:val="00B050"/>
                <w:sz w:val="16"/>
                <w:szCs w:val="16"/>
              </w:rPr>
            </w:pPr>
            <w:r w:rsidRPr="00D67150">
              <w:rPr>
                <w:rFonts w:cs="Arial"/>
                <w:b/>
                <w:bCs/>
                <w:color w:val="00B050"/>
                <w:sz w:val="16"/>
                <w:szCs w:val="16"/>
              </w:rPr>
              <w:t>17,5</w:t>
            </w:r>
          </w:p>
        </w:tc>
        <w:tc>
          <w:tcPr>
            <w:tcW w:w="514" w:type="dxa"/>
            <w:tcBorders>
              <w:top w:val="nil"/>
              <w:left w:val="nil"/>
              <w:bottom w:val="single" w:sz="4" w:space="0" w:color="auto"/>
              <w:right w:val="single" w:sz="4" w:space="0" w:color="auto"/>
            </w:tcBorders>
            <w:shd w:val="clear" w:color="auto" w:fill="auto"/>
            <w:noWrap/>
            <w:vAlign w:val="center"/>
            <w:hideMark/>
          </w:tcPr>
          <w:p w14:paraId="05620E6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9,6</w:t>
            </w:r>
          </w:p>
        </w:tc>
        <w:tc>
          <w:tcPr>
            <w:tcW w:w="519" w:type="dxa"/>
            <w:tcBorders>
              <w:top w:val="nil"/>
              <w:left w:val="nil"/>
              <w:bottom w:val="single" w:sz="4" w:space="0" w:color="auto"/>
              <w:right w:val="single" w:sz="4" w:space="0" w:color="auto"/>
            </w:tcBorders>
            <w:shd w:val="clear" w:color="auto" w:fill="auto"/>
            <w:noWrap/>
            <w:vAlign w:val="center"/>
            <w:hideMark/>
          </w:tcPr>
          <w:p w14:paraId="1DCF1FB8" w14:textId="47C60613" w:rsidR="00A74466" w:rsidRPr="006D1B9F" w:rsidRDefault="00A74466" w:rsidP="00A74466">
            <w:pPr>
              <w:spacing w:after="0" w:line="240" w:lineRule="auto"/>
              <w:jc w:val="right"/>
              <w:rPr>
                <w:rFonts w:cs="Arial"/>
                <w:b/>
                <w:color w:val="000000"/>
                <w:sz w:val="16"/>
                <w:szCs w:val="16"/>
              </w:rPr>
            </w:pPr>
            <w:r w:rsidRPr="006D1B9F">
              <w:rPr>
                <w:rFonts w:cs="Arial"/>
                <w:b/>
                <w:color w:val="C00000"/>
                <w:sz w:val="16"/>
                <w:szCs w:val="16"/>
              </w:rPr>
              <w:t>6,0</w:t>
            </w:r>
          </w:p>
        </w:tc>
        <w:tc>
          <w:tcPr>
            <w:tcW w:w="452" w:type="dxa"/>
            <w:tcBorders>
              <w:top w:val="nil"/>
              <w:left w:val="nil"/>
              <w:bottom w:val="single" w:sz="4" w:space="0" w:color="auto"/>
              <w:right w:val="single" w:sz="4" w:space="0" w:color="auto"/>
            </w:tcBorders>
            <w:shd w:val="clear" w:color="auto" w:fill="auto"/>
            <w:noWrap/>
            <w:vAlign w:val="center"/>
            <w:hideMark/>
          </w:tcPr>
          <w:p w14:paraId="2E00A651"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11,5</w:t>
            </w:r>
          </w:p>
        </w:tc>
        <w:tc>
          <w:tcPr>
            <w:tcW w:w="698" w:type="dxa"/>
            <w:tcBorders>
              <w:top w:val="nil"/>
              <w:left w:val="nil"/>
              <w:bottom w:val="single" w:sz="4" w:space="0" w:color="auto"/>
              <w:right w:val="single" w:sz="4" w:space="0" w:color="auto"/>
            </w:tcBorders>
            <w:shd w:val="clear" w:color="auto" w:fill="auto"/>
            <w:noWrap/>
            <w:vAlign w:val="center"/>
            <w:hideMark/>
          </w:tcPr>
          <w:p w14:paraId="69F94E69"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11,6</w:t>
            </w:r>
          </w:p>
        </w:tc>
        <w:tc>
          <w:tcPr>
            <w:tcW w:w="698" w:type="dxa"/>
            <w:tcBorders>
              <w:top w:val="nil"/>
              <w:left w:val="nil"/>
              <w:bottom w:val="single" w:sz="4" w:space="0" w:color="auto"/>
              <w:right w:val="single" w:sz="4" w:space="0" w:color="auto"/>
            </w:tcBorders>
            <w:shd w:val="clear" w:color="auto" w:fill="auto"/>
            <w:noWrap/>
            <w:vAlign w:val="center"/>
            <w:hideMark/>
          </w:tcPr>
          <w:p w14:paraId="1C41FBF2"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5,6</w:t>
            </w:r>
          </w:p>
        </w:tc>
        <w:tc>
          <w:tcPr>
            <w:tcW w:w="452" w:type="dxa"/>
            <w:tcBorders>
              <w:top w:val="nil"/>
              <w:left w:val="nil"/>
              <w:bottom w:val="single" w:sz="4" w:space="0" w:color="auto"/>
              <w:right w:val="single" w:sz="4" w:space="0" w:color="auto"/>
            </w:tcBorders>
            <w:shd w:val="clear" w:color="auto" w:fill="auto"/>
            <w:noWrap/>
            <w:vAlign w:val="center"/>
            <w:hideMark/>
          </w:tcPr>
          <w:p w14:paraId="2A6B38A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8,5</w:t>
            </w:r>
          </w:p>
        </w:tc>
        <w:tc>
          <w:tcPr>
            <w:tcW w:w="452" w:type="dxa"/>
            <w:tcBorders>
              <w:top w:val="nil"/>
              <w:left w:val="nil"/>
              <w:bottom w:val="single" w:sz="4" w:space="0" w:color="auto"/>
              <w:right w:val="single" w:sz="4" w:space="0" w:color="auto"/>
            </w:tcBorders>
            <w:shd w:val="clear" w:color="auto" w:fill="auto"/>
            <w:noWrap/>
            <w:vAlign w:val="center"/>
            <w:hideMark/>
          </w:tcPr>
          <w:p w14:paraId="6E69FC71"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14:paraId="730672B5"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10,5</w:t>
            </w:r>
          </w:p>
        </w:tc>
      </w:tr>
      <w:tr w:rsidR="00A74466" w:rsidRPr="006D1B9F" w14:paraId="0D7291B9" w14:textId="77777777" w:rsidTr="00BB4C40">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E110853" w14:textId="276C3802" w:rsidR="00A74466" w:rsidRPr="00395689" w:rsidRDefault="00A74466" w:rsidP="00A74466">
            <w:pPr>
              <w:spacing w:after="0" w:line="240" w:lineRule="auto"/>
              <w:rPr>
                <w:rFonts w:cs="Arial"/>
                <w:color w:val="000000"/>
                <w:sz w:val="16"/>
                <w:szCs w:val="16"/>
              </w:rPr>
            </w:pPr>
            <w:r>
              <w:rPr>
                <w:rFonts w:cs="Arial"/>
                <w:color w:val="000000"/>
                <w:sz w:val="16"/>
                <w:szCs w:val="16"/>
              </w:rPr>
              <w:t>Pro podnik nevyhovující d</w:t>
            </w:r>
            <w:r w:rsidRPr="00452C6D">
              <w:rPr>
                <w:rFonts w:cs="Arial"/>
                <w:color w:val="000000"/>
                <w:sz w:val="16"/>
                <w:szCs w:val="16"/>
              </w:rPr>
              <w:t>ostupná nabídka vzděláván</w:t>
            </w:r>
            <w:r>
              <w:rPr>
                <w:rFonts w:cs="Arial"/>
                <w:color w:val="000000"/>
                <w:sz w:val="16"/>
                <w:szCs w:val="16"/>
              </w:rPr>
              <w:t>í</w:t>
            </w:r>
          </w:p>
        </w:tc>
        <w:tc>
          <w:tcPr>
            <w:tcW w:w="662" w:type="dxa"/>
            <w:tcBorders>
              <w:top w:val="nil"/>
              <w:left w:val="nil"/>
              <w:bottom w:val="single" w:sz="4" w:space="0" w:color="auto"/>
              <w:right w:val="single" w:sz="4" w:space="0" w:color="auto"/>
            </w:tcBorders>
            <w:shd w:val="clear" w:color="auto" w:fill="auto"/>
            <w:noWrap/>
            <w:vAlign w:val="center"/>
            <w:hideMark/>
          </w:tcPr>
          <w:p w14:paraId="3E78FE84" w14:textId="0B509D65"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10</w:t>
            </w:r>
            <w:r>
              <w:rPr>
                <w:rFonts w:cs="Arial"/>
                <w:color w:val="000000"/>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14:paraId="42C8E7C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8,2</w:t>
            </w:r>
          </w:p>
        </w:tc>
        <w:tc>
          <w:tcPr>
            <w:tcW w:w="514" w:type="dxa"/>
            <w:tcBorders>
              <w:top w:val="nil"/>
              <w:left w:val="nil"/>
              <w:bottom w:val="single" w:sz="4" w:space="0" w:color="auto"/>
              <w:right w:val="single" w:sz="4" w:space="0" w:color="auto"/>
            </w:tcBorders>
            <w:shd w:val="clear" w:color="auto" w:fill="auto"/>
            <w:noWrap/>
            <w:vAlign w:val="center"/>
            <w:hideMark/>
          </w:tcPr>
          <w:p w14:paraId="3071286B"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11,3</w:t>
            </w:r>
          </w:p>
        </w:tc>
        <w:tc>
          <w:tcPr>
            <w:tcW w:w="519" w:type="dxa"/>
            <w:tcBorders>
              <w:top w:val="nil"/>
              <w:left w:val="nil"/>
              <w:bottom w:val="single" w:sz="4" w:space="0" w:color="auto"/>
              <w:right w:val="single" w:sz="4" w:space="0" w:color="auto"/>
            </w:tcBorders>
            <w:shd w:val="clear" w:color="auto" w:fill="auto"/>
            <w:noWrap/>
            <w:vAlign w:val="center"/>
            <w:hideMark/>
          </w:tcPr>
          <w:p w14:paraId="00286A44"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2,8</w:t>
            </w:r>
          </w:p>
        </w:tc>
        <w:tc>
          <w:tcPr>
            <w:tcW w:w="452" w:type="dxa"/>
            <w:tcBorders>
              <w:top w:val="nil"/>
              <w:left w:val="nil"/>
              <w:bottom w:val="single" w:sz="4" w:space="0" w:color="auto"/>
              <w:right w:val="single" w:sz="4" w:space="0" w:color="auto"/>
            </w:tcBorders>
            <w:shd w:val="clear" w:color="auto" w:fill="auto"/>
            <w:noWrap/>
            <w:vAlign w:val="center"/>
            <w:hideMark/>
          </w:tcPr>
          <w:p w14:paraId="29815A91"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7,9</w:t>
            </w:r>
          </w:p>
        </w:tc>
        <w:tc>
          <w:tcPr>
            <w:tcW w:w="698" w:type="dxa"/>
            <w:tcBorders>
              <w:top w:val="nil"/>
              <w:left w:val="nil"/>
              <w:bottom w:val="single" w:sz="4" w:space="0" w:color="auto"/>
              <w:right w:val="single" w:sz="4" w:space="0" w:color="auto"/>
            </w:tcBorders>
            <w:shd w:val="clear" w:color="auto" w:fill="auto"/>
            <w:noWrap/>
            <w:vAlign w:val="center"/>
            <w:hideMark/>
          </w:tcPr>
          <w:p w14:paraId="627C386E"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5,7</w:t>
            </w:r>
          </w:p>
        </w:tc>
        <w:tc>
          <w:tcPr>
            <w:tcW w:w="698" w:type="dxa"/>
            <w:tcBorders>
              <w:top w:val="nil"/>
              <w:left w:val="nil"/>
              <w:bottom w:val="single" w:sz="4" w:space="0" w:color="auto"/>
              <w:right w:val="single" w:sz="4" w:space="0" w:color="auto"/>
            </w:tcBorders>
            <w:shd w:val="clear" w:color="auto" w:fill="auto"/>
            <w:noWrap/>
            <w:vAlign w:val="center"/>
            <w:hideMark/>
          </w:tcPr>
          <w:p w14:paraId="528DAE5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3,7</w:t>
            </w:r>
          </w:p>
        </w:tc>
        <w:tc>
          <w:tcPr>
            <w:tcW w:w="452" w:type="dxa"/>
            <w:tcBorders>
              <w:top w:val="nil"/>
              <w:left w:val="nil"/>
              <w:bottom w:val="single" w:sz="4" w:space="0" w:color="auto"/>
              <w:right w:val="single" w:sz="4" w:space="0" w:color="auto"/>
            </w:tcBorders>
            <w:shd w:val="clear" w:color="auto" w:fill="auto"/>
            <w:noWrap/>
            <w:vAlign w:val="center"/>
            <w:hideMark/>
          </w:tcPr>
          <w:p w14:paraId="2065823E"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8,2</w:t>
            </w:r>
          </w:p>
        </w:tc>
        <w:tc>
          <w:tcPr>
            <w:tcW w:w="452" w:type="dxa"/>
            <w:tcBorders>
              <w:top w:val="nil"/>
              <w:left w:val="nil"/>
              <w:bottom w:val="single" w:sz="4" w:space="0" w:color="auto"/>
              <w:right w:val="single" w:sz="4" w:space="0" w:color="auto"/>
            </w:tcBorders>
            <w:shd w:val="clear" w:color="auto" w:fill="auto"/>
            <w:noWrap/>
            <w:vAlign w:val="center"/>
            <w:hideMark/>
          </w:tcPr>
          <w:p w14:paraId="71424110"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5,2</w:t>
            </w:r>
          </w:p>
        </w:tc>
        <w:tc>
          <w:tcPr>
            <w:tcW w:w="567" w:type="dxa"/>
            <w:tcBorders>
              <w:top w:val="nil"/>
              <w:left w:val="nil"/>
              <w:bottom w:val="single" w:sz="4" w:space="0" w:color="auto"/>
              <w:right w:val="single" w:sz="4" w:space="0" w:color="auto"/>
            </w:tcBorders>
            <w:shd w:val="clear" w:color="auto" w:fill="auto"/>
            <w:noWrap/>
            <w:vAlign w:val="center"/>
            <w:hideMark/>
          </w:tcPr>
          <w:p w14:paraId="15C6FA07" w14:textId="77777777" w:rsidR="00A74466" w:rsidRPr="006D1B9F" w:rsidRDefault="00A74466" w:rsidP="00A74466">
            <w:pPr>
              <w:spacing w:after="0" w:line="240" w:lineRule="auto"/>
              <w:jc w:val="right"/>
              <w:rPr>
                <w:rFonts w:cs="Arial"/>
                <w:b/>
                <w:color w:val="C00000"/>
                <w:sz w:val="16"/>
                <w:szCs w:val="16"/>
              </w:rPr>
            </w:pPr>
            <w:r w:rsidRPr="006D1B9F">
              <w:rPr>
                <w:rFonts w:cs="Arial"/>
                <w:b/>
                <w:color w:val="C00000"/>
                <w:sz w:val="16"/>
                <w:szCs w:val="16"/>
              </w:rPr>
              <w:t>2,9</w:t>
            </w:r>
          </w:p>
        </w:tc>
      </w:tr>
      <w:tr w:rsidR="00A74466" w:rsidRPr="00395689" w14:paraId="3D1B7A68" w14:textId="77777777" w:rsidTr="00BB4C40">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F4D1C01" w14:textId="7E4B927D" w:rsidR="00A74466" w:rsidRPr="00395689" w:rsidRDefault="00A74466" w:rsidP="00A74466">
            <w:pPr>
              <w:spacing w:after="0" w:line="240" w:lineRule="auto"/>
              <w:rPr>
                <w:rFonts w:cs="Arial"/>
                <w:color w:val="000000"/>
                <w:sz w:val="16"/>
                <w:szCs w:val="16"/>
              </w:rPr>
            </w:pPr>
            <w:r>
              <w:rPr>
                <w:rFonts w:cs="Arial"/>
                <w:color w:val="000000"/>
                <w:sz w:val="16"/>
                <w:szCs w:val="16"/>
              </w:rPr>
              <w:t>V</w:t>
            </w:r>
            <w:r w:rsidRPr="00452C6D">
              <w:rPr>
                <w:rFonts w:cs="Arial"/>
                <w:color w:val="000000"/>
                <w:sz w:val="16"/>
                <w:szCs w:val="16"/>
              </w:rPr>
              <w:t xml:space="preserve">elký důraz </w:t>
            </w:r>
            <w:r>
              <w:rPr>
                <w:rFonts w:cs="Arial"/>
                <w:color w:val="000000"/>
                <w:sz w:val="16"/>
                <w:szCs w:val="16"/>
              </w:rPr>
              <w:t>podniku na vzdělávání zaměstnanců</w:t>
            </w:r>
            <w:r w:rsidRPr="00452C6D">
              <w:rPr>
                <w:rFonts w:cs="Arial"/>
                <w:color w:val="000000"/>
                <w:sz w:val="16"/>
                <w:szCs w:val="16"/>
              </w:rPr>
              <w:t xml:space="preserve"> v </w:t>
            </w:r>
            <w:r>
              <w:rPr>
                <w:rFonts w:cs="Arial"/>
                <w:color w:val="000000"/>
                <w:sz w:val="16"/>
                <w:szCs w:val="16"/>
              </w:rPr>
              <w:t>předchozích</w:t>
            </w:r>
            <w:r w:rsidRPr="00452C6D">
              <w:rPr>
                <w:rFonts w:cs="Arial"/>
                <w:color w:val="000000"/>
                <w:sz w:val="16"/>
                <w:szCs w:val="16"/>
              </w:rPr>
              <w:t xml:space="preserve"> letech</w:t>
            </w:r>
          </w:p>
        </w:tc>
        <w:tc>
          <w:tcPr>
            <w:tcW w:w="662" w:type="dxa"/>
            <w:tcBorders>
              <w:top w:val="nil"/>
              <w:left w:val="nil"/>
              <w:bottom w:val="single" w:sz="4" w:space="0" w:color="auto"/>
              <w:right w:val="single" w:sz="4" w:space="0" w:color="auto"/>
            </w:tcBorders>
            <w:shd w:val="clear" w:color="auto" w:fill="auto"/>
            <w:noWrap/>
            <w:vAlign w:val="center"/>
            <w:hideMark/>
          </w:tcPr>
          <w:p w14:paraId="4C383C3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7,9</w:t>
            </w:r>
          </w:p>
        </w:tc>
        <w:tc>
          <w:tcPr>
            <w:tcW w:w="514" w:type="dxa"/>
            <w:tcBorders>
              <w:top w:val="nil"/>
              <w:left w:val="nil"/>
              <w:bottom w:val="single" w:sz="4" w:space="0" w:color="auto"/>
              <w:right w:val="single" w:sz="4" w:space="0" w:color="auto"/>
            </w:tcBorders>
            <w:shd w:val="clear" w:color="auto" w:fill="auto"/>
            <w:noWrap/>
            <w:vAlign w:val="center"/>
            <w:hideMark/>
          </w:tcPr>
          <w:p w14:paraId="246BBCF7"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10,2</w:t>
            </w:r>
          </w:p>
        </w:tc>
        <w:tc>
          <w:tcPr>
            <w:tcW w:w="514" w:type="dxa"/>
            <w:tcBorders>
              <w:top w:val="nil"/>
              <w:left w:val="nil"/>
              <w:bottom w:val="single" w:sz="4" w:space="0" w:color="auto"/>
              <w:right w:val="single" w:sz="4" w:space="0" w:color="auto"/>
            </w:tcBorders>
            <w:shd w:val="clear" w:color="auto" w:fill="auto"/>
            <w:noWrap/>
            <w:vAlign w:val="center"/>
            <w:hideMark/>
          </w:tcPr>
          <w:p w14:paraId="543D0A2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6,6</w:t>
            </w:r>
          </w:p>
        </w:tc>
        <w:tc>
          <w:tcPr>
            <w:tcW w:w="519" w:type="dxa"/>
            <w:tcBorders>
              <w:top w:val="nil"/>
              <w:left w:val="nil"/>
              <w:bottom w:val="single" w:sz="4" w:space="0" w:color="auto"/>
              <w:right w:val="single" w:sz="4" w:space="0" w:color="auto"/>
            </w:tcBorders>
            <w:shd w:val="clear" w:color="auto" w:fill="auto"/>
            <w:noWrap/>
            <w:vAlign w:val="center"/>
            <w:hideMark/>
          </w:tcPr>
          <w:p w14:paraId="44BC2DE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6,1</w:t>
            </w:r>
          </w:p>
        </w:tc>
        <w:tc>
          <w:tcPr>
            <w:tcW w:w="452" w:type="dxa"/>
            <w:tcBorders>
              <w:top w:val="nil"/>
              <w:left w:val="nil"/>
              <w:bottom w:val="single" w:sz="4" w:space="0" w:color="auto"/>
              <w:right w:val="single" w:sz="4" w:space="0" w:color="auto"/>
            </w:tcBorders>
            <w:shd w:val="clear" w:color="auto" w:fill="auto"/>
            <w:noWrap/>
            <w:vAlign w:val="center"/>
            <w:hideMark/>
          </w:tcPr>
          <w:p w14:paraId="0239AA5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6,9</w:t>
            </w:r>
          </w:p>
        </w:tc>
        <w:tc>
          <w:tcPr>
            <w:tcW w:w="698" w:type="dxa"/>
            <w:tcBorders>
              <w:top w:val="nil"/>
              <w:left w:val="nil"/>
              <w:bottom w:val="single" w:sz="4" w:space="0" w:color="auto"/>
              <w:right w:val="single" w:sz="4" w:space="0" w:color="auto"/>
            </w:tcBorders>
            <w:shd w:val="clear" w:color="auto" w:fill="auto"/>
            <w:noWrap/>
            <w:vAlign w:val="center"/>
            <w:hideMark/>
          </w:tcPr>
          <w:p w14:paraId="7947D67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5,7</w:t>
            </w:r>
          </w:p>
        </w:tc>
        <w:tc>
          <w:tcPr>
            <w:tcW w:w="698" w:type="dxa"/>
            <w:tcBorders>
              <w:top w:val="nil"/>
              <w:left w:val="nil"/>
              <w:bottom w:val="single" w:sz="4" w:space="0" w:color="auto"/>
              <w:right w:val="single" w:sz="4" w:space="0" w:color="auto"/>
            </w:tcBorders>
            <w:shd w:val="clear" w:color="auto" w:fill="auto"/>
            <w:noWrap/>
            <w:vAlign w:val="center"/>
            <w:hideMark/>
          </w:tcPr>
          <w:p w14:paraId="53FC7D49" w14:textId="437410D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w:t>
            </w:r>
            <w:r>
              <w:rPr>
                <w:rFonts w:cs="Arial"/>
                <w:color w:val="000000"/>
                <w:sz w:val="16"/>
                <w:szCs w:val="16"/>
              </w:rPr>
              <w:t>,0</w:t>
            </w:r>
          </w:p>
        </w:tc>
        <w:tc>
          <w:tcPr>
            <w:tcW w:w="452" w:type="dxa"/>
            <w:tcBorders>
              <w:top w:val="nil"/>
              <w:left w:val="nil"/>
              <w:bottom w:val="single" w:sz="4" w:space="0" w:color="auto"/>
              <w:right w:val="single" w:sz="4" w:space="0" w:color="auto"/>
            </w:tcBorders>
            <w:shd w:val="clear" w:color="auto" w:fill="auto"/>
            <w:noWrap/>
            <w:vAlign w:val="center"/>
            <w:hideMark/>
          </w:tcPr>
          <w:p w14:paraId="185F3E7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3,6</w:t>
            </w:r>
          </w:p>
        </w:tc>
        <w:tc>
          <w:tcPr>
            <w:tcW w:w="452" w:type="dxa"/>
            <w:tcBorders>
              <w:top w:val="nil"/>
              <w:left w:val="nil"/>
              <w:bottom w:val="single" w:sz="4" w:space="0" w:color="auto"/>
              <w:right w:val="single" w:sz="4" w:space="0" w:color="auto"/>
            </w:tcBorders>
            <w:shd w:val="clear" w:color="auto" w:fill="auto"/>
            <w:noWrap/>
            <w:vAlign w:val="center"/>
            <w:hideMark/>
          </w:tcPr>
          <w:p w14:paraId="18EB8EF5"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2,3</w:t>
            </w:r>
          </w:p>
        </w:tc>
        <w:tc>
          <w:tcPr>
            <w:tcW w:w="567" w:type="dxa"/>
            <w:tcBorders>
              <w:top w:val="nil"/>
              <w:left w:val="nil"/>
              <w:bottom w:val="single" w:sz="4" w:space="0" w:color="auto"/>
              <w:right w:val="single" w:sz="4" w:space="0" w:color="auto"/>
            </w:tcBorders>
            <w:shd w:val="clear" w:color="auto" w:fill="auto"/>
            <w:noWrap/>
            <w:vAlign w:val="center"/>
            <w:hideMark/>
          </w:tcPr>
          <w:p w14:paraId="1FD803EE" w14:textId="541B2D7C"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0</w:t>
            </w:r>
            <w:r>
              <w:rPr>
                <w:rFonts w:cs="Arial"/>
                <w:b/>
                <w:bCs/>
                <w:color w:val="FF0000"/>
                <w:sz w:val="16"/>
                <w:szCs w:val="16"/>
              </w:rPr>
              <w:t>,0</w:t>
            </w:r>
          </w:p>
        </w:tc>
      </w:tr>
      <w:tr w:rsidR="00A74466" w:rsidRPr="00395689" w14:paraId="212FC05B" w14:textId="77777777" w:rsidTr="00BB4C40">
        <w:trPr>
          <w:trHeight w:val="6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233C36B" w14:textId="0F1F57AE" w:rsidR="00A74466" w:rsidRPr="00395689" w:rsidRDefault="00A74466" w:rsidP="00A74466">
            <w:pPr>
              <w:spacing w:after="0" w:line="240" w:lineRule="auto"/>
              <w:rPr>
                <w:rFonts w:cs="Arial"/>
                <w:color w:val="000000"/>
                <w:sz w:val="16"/>
                <w:szCs w:val="16"/>
              </w:rPr>
            </w:pPr>
            <w:r>
              <w:rPr>
                <w:rFonts w:cs="Arial"/>
                <w:color w:val="000000"/>
                <w:sz w:val="16"/>
                <w:szCs w:val="16"/>
              </w:rPr>
              <w:t xml:space="preserve">Upřednostňování přijímání </w:t>
            </w:r>
            <w:r w:rsidRPr="00452C6D">
              <w:rPr>
                <w:rFonts w:cs="Arial"/>
                <w:color w:val="000000"/>
                <w:sz w:val="16"/>
                <w:szCs w:val="16"/>
              </w:rPr>
              <w:t xml:space="preserve">nových </w:t>
            </w:r>
            <w:r>
              <w:rPr>
                <w:rFonts w:cs="Arial"/>
                <w:color w:val="000000"/>
                <w:sz w:val="16"/>
                <w:szCs w:val="16"/>
              </w:rPr>
              <w:t xml:space="preserve">kvalifikovaných, resp. schopných </w:t>
            </w:r>
            <w:r w:rsidRPr="00452C6D">
              <w:rPr>
                <w:rFonts w:cs="Arial"/>
                <w:color w:val="000000"/>
                <w:sz w:val="16"/>
                <w:szCs w:val="16"/>
              </w:rPr>
              <w:t xml:space="preserve">pracovníků </w:t>
            </w:r>
            <w:r>
              <w:rPr>
                <w:rFonts w:cs="Arial"/>
                <w:color w:val="000000"/>
                <w:sz w:val="16"/>
                <w:szCs w:val="16"/>
              </w:rPr>
              <w:t>p</w:t>
            </w:r>
            <w:r w:rsidRPr="00452C6D">
              <w:rPr>
                <w:rFonts w:cs="Arial"/>
                <w:color w:val="000000"/>
                <w:sz w:val="16"/>
                <w:szCs w:val="16"/>
              </w:rPr>
              <w:t xml:space="preserve">řed </w:t>
            </w:r>
            <w:r>
              <w:rPr>
                <w:rFonts w:cs="Arial"/>
                <w:color w:val="000000"/>
                <w:sz w:val="16"/>
                <w:szCs w:val="16"/>
              </w:rPr>
              <w:t xml:space="preserve">poskytováním </w:t>
            </w:r>
            <w:r w:rsidRPr="00452C6D">
              <w:rPr>
                <w:rFonts w:cs="Arial"/>
                <w:color w:val="000000"/>
                <w:sz w:val="16"/>
                <w:szCs w:val="16"/>
              </w:rPr>
              <w:t>vzdělávání pro stávající zaměstnance</w:t>
            </w:r>
          </w:p>
        </w:tc>
        <w:tc>
          <w:tcPr>
            <w:tcW w:w="662" w:type="dxa"/>
            <w:tcBorders>
              <w:top w:val="nil"/>
              <w:left w:val="nil"/>
              <w:bottom w:val="single" w:sz="4" w:space="0" w:color="auto"/>
              <w:right w:val="single" w:sz="4" w:space="0" w:color="auto"/>
            </w:tcBorders>
            <w:shd w:val="clear" w:color="auto" w:fill="auto"/>
            <w:noWrap/>
            <w:vAlign w:val="center"/>
            <w:hideMark/>
          </w:tcPr>
          <w:p w14:paraId="76DCBF54" w14:textId="77777777" w:rsidR="00A74466" w:rsidRPr="00D67150" w:rsidRDefault="00A74466" w:rsidP="00A74466">
            <w:pPr>
              <w:spacing w:after="0" w:line="240" w:lineRule="auto"/>
              <w:jc w:val="right"/>
              <w:rPr>
                <w:rFonts w:cs="Arial"/>
                <w:b/>
                <w:bCs/>
                <w:color w:val="00B050"/>
                <w:sz w:val="16"/>
                <w:szCs w:val="16"/>
              </w:rPr>
            </w:pPr>
            <w:r w:rsidRPr="00D67150">
              <w:rPr>
                <w:rFonts w:cs="Arial"/>
                <w:b/>
                <w:bCs/>
                <w:color w:val="00B050"/>
                <w:sz w:val="16"/>
                <w:szCs w:val="16"/>
              </w:rPr>
              <w:t>6,8</w:t>
            </w:r>
          </w:p>
        </w:tc>
        <w:tc>
          <w:tcPr>
            <w:tcW w:w="514" w:type="dxa"/>
            <w:tcBorders>
              <w:top w:val="nil"/>
              <w:left w:val="nil"/>
              <w:bottom w:val="single" w:sz="4" w:space="0" w:color="auto"/>
              <w:right w:val="single" w:sz="4" w:space="0" w:color="auto"/>
            </w:tcBorders>
            <w:shd w:val="clear" w:color="auto" w:fill="auto"/>
            <w:noWrap/>
            <w:vAlign w:val="center"/>
            <w:hideMark/>
          </w:tcPr>
          <w:p w14:paraId="0DA4E318"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3,2</w:t>
            </w:r>
          </w:p>
        </w:tc>
        <w:tc>
          <w:tcPr>
            <w:tcW w:w="514" w:type="dxa"/>
            <w:tcBorders>
              <w:top w:val="nil"/>
              <w:left w:val="nil"/>
              <w:bottom w:val="single" w:sz="4" w:space="0" w:color="auto"/>
              <w:right w:val="single" w:sz="4" w:space="0" w:color="auto"/>
            </w:tcBorders>
            <w:shd w:val="clear" w:color="auto" w:fill="auto"/>
            <w:noWrap/>
            <w:vAlign w:val="center"/>
            <w:hideMark/>
          </w:tcPr>
          <w:p w14:paraId="09A8C0A7"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3,8</w:t>
            </w:r>
          </w:p>
        </w:tc>
        <w:tc>
          <w:tcPr>
            <w:tcW w:w="519" w:type="dxa"/>
            <w:tcBorders>
              <w:top w:val="nil"/>
              <w:left w:val="nil"/>
              <w:bottom w:val="single" w:sz="4" w:space="0" w:color="auto"/>
              <w:right w:val="single" w:sz="4" w:space="0" w:color="auto"/>
            </w:tcBorders>
            <w:shd w:val="clear" w:color="auto" w:fill="auto"/>
            <w:noWrap/>
            <w:vAlign w:val="center"/>
            <w:hideMark/>
          </w:tcPr>
          <w:p w14:paraId="29F36B3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5,6</w:t>
            </w:r>
          </w:p>
        </w:tc>
        <w:tc>
          <w:tcPr>
            <w:tcW w:w="452" w:type="dxa"/>
            <w:tcBorders>
              <w:top w:val="nil"/>
              <w:left w:val="nil"/>
              <w:bottom w:val="single" w:sz="4" w:space="0" w:color="auto"/>
              <w:right w:val="single" w:sz="4" w:space="0" w:color="auto"/>
            </w:tcBorders>
            <w:shd w:val="clear" w:color="auto" w:fill="auto"/>
            <w:noWrap/>
            <w:vAlign w:val="center"/>
            <w:hideMark/>
          </w:tcPr>
          <w:p w14:paraId="7A65A8D9"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4,2</w:t>
            </w:r>
          </w:p>
        </w:tc>
        <w:tc>
          <w:tcPr>
            <w:tcW w:w="698" w:type="dxa"/>
            <w:tcBorders>
              <w:top w:val="nil"/>
              <w:left w:val="nil"/>
              <w:bottom w:val="single" w:sz="4" w:space="0" w:color="auto"/>
              <w:right w:val="single" w:sz="4" w:space="0" w:color="auto"/>
            </w:tcBorders>
            <w:shd w:val="clear" w:color="auto" w:fill="auto"/>
            <w:noWrap/>
            <w:vAlign w:val="center"/>
            <w:hideMark/>
          </w:tcPr>
          <w:p w14:paraId="290B74AF"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3,9</w:t>
            </w:r>
          </w:p>
        </w:tc>
        <w:tc>
          <w:tcPr>
            <w:tcW w:w="698" w:type="dxa"/>
            <w:tcBorders>
              <w:top w:val="nil"/>
              <w:left w:val="nil"/>
              <w:bottom w:val="single" w:sz="4" w:space="0" w:color="auto"/>
              <w:right w:val="single" w:sz="4" w:space="0" w:color="auto"/>
            </w:tcBorders>
            <w:shd w:val="clear" w:color="auto" w:fill="auto"/>
            <w:noWrap/>
            <w:vAlign w:val="center"/>
            <w:hideMark/>
          </w:tcPr>
          <w:p w14:paraId="37882E1F"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5,5</w:t>
            </w:r>
          </w:p>
        </w:tc>
        <w:tc>
          <w:tcPr>
            <w:tcW w:w="452" w:type="dxa"/>
            <w:tcBorders>
              <w:top w:val="nil"/>
              <w:left w:val="nil"/>
              <w:bottom w:val="single" w:sz="4" w:space="0" w:color="auto"/>
              <w:right w:val="single" w:sz="4" w:space="0" w:color="auto"/>
            </w:tcBorders>
            <w:shd w:val="clear" w:color="auto" w:fill="auto"/>
            <w:noWrap/>
            <w:vAlign w:val="center"/>
            <w:hideMark/>
          </w:tcPr>
          <w:p w14:paraId="7E5E3F3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3,4</w:t>
            </w:r>
          </w:p>
        </w:tc>
        <w:tc>
          <w:tcPr>
            <w:tcW w:w="452" w:type="dxa"/>
            <w:tcBorders>
              <w:top w:val="nil"/>
              <w:left w:val="nil"/>
              <w:bottom w:val="single" w:sz="4" w:space="0" w:color="auto"/>
              <w:right w:val="single" w:sz="4" w:space="0" w:color="auto"/>
            </w:tcBorders>
            <w:shd w:val="clear" w:color="auto" w:fill="auto"/>
            <w:noWrap/>
            <w:vAlign w:val="center"/>
            <w:hideMark/>
          </w:tcPr>
          <w:p w14:paraId="00AC06AA"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14:paraId="6288479A"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2,7</w:t>
            </w:r>
          </w:p>
        </w:tc>
      </w:tr>
      <w:tr w:rsidR="00A74466" w:rsidRPr="00395689" w14:paraId="3422EEDD" w14:textId="77777777" w:rsidTr="00BB4C40">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FF32718" w14:textId="263805F2" w:rsidR="00A74466" w:rsidRPr="00395689" w:rsidRDefault="00A74466" w:rsidP="00A74466">
            <w:pPr>
              <w:spacing w:after="0" w:line="240" w:lineRule="auto"/>
              <w:rPr>
                <w:rFonts w:cs="Arial"/>
                <w:color w:val="000000"/>
                <w:sz w:val="16"/>
                <w:szCs w:val="16"/>
              </w:rPr>
            </w:pPr>
            <w:r>
              <w:rPr>
                <w:rFonts w:cs="Arial"/>
                <w:color w:val="000000"/>
                <w:sz w:val="16"/>
                <w:szCs w:val="16"/>
              </w:rPr>
              <w:t xml:space="preserve">Příliš </w:t>
            </w:r>
            <w:r w:rsidRPr="00452C6D">
              <w:rPr>
                <w:rFonts w:cs="Arial"/>
                <w:color w:val="000000"/>
                <w:sz w:val="16"/>
                <w:szCs w:val="16"/>
              </w:rPr>
              <w:t xml:space="preserve">vysoké </w:t>
            </w:r>
            <w:r>
              <w:rPr>
                <w:rFonts w:cs="Arial"/>
                <w:color w:val="000000"/>
                <w:sz w:val="16"/>
                <w:szCs w:val="16"/>
              </w:rPr>
              <w:t>n</w:t>
            </w:r>
            <w:r w:rsidRPr="00452C6D">
              <w:rPr>
                <w:rFonts w:cs="Arial"/>
                <w:color w:val="000000"/>
                <w:sz w:val="16"/>
                <w:szCs w:val="16"/>
              </w:rPr>
              <w:t>áklady na vzdělávání zaměstnanců</w:t>
            </w:r>
          </w:p>
        </w:tc>
        <w:tc>
          <w:tcPr>
            <w:tcW w:w="662" w:type="dxa"/>
            <w:tcBorders>
              <w:top w:val="nil"/>
              <w:left w:val="nil"/>
              <w:bottom w:val="single" w:sz="4" w:space="0" w:color="auto"/>
              <w:right w:val="single" w:sz="4" w:space="0" w:color="auto"/>
            </w:tcBorders>
            <w:shd w:val="clear" w:color="auto" w:fill="auto"/>
            <w:noWrap/>
            <w:vAlign w:val="center"/>
            <w:hideMark/>
          </w:tcPr>
          <w:p w14:paraId="6E2F9AD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5,6</w:t>
            </w:r>
          </w:p>
        </w:tc>
        <w:tc>
          <w:tcPr>
            <w:tcW w:w="514" w:type="dxa"/>
            <w:tcBorders>
              <w:top w:val="nil"/>
              <w:left w:val="nil"/>
              <w:bottom w:val="single" w:sz="4" w:space="0" w:color="auto"/>
              <w:right w:val="single" w:sz="4" w:space="0" w:color="auto"/>
            </w:tcBorders>
            <w:shd w:val="clear" w:color="auto" w:fill="auto"/>
            <w:noWrap/>
            <w:vAlign w:val="center"/>
            <w:hideMark/>
          </w:tcPr>
          <w:p w14:paraId="3354CD47"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3,6</w:t>
            </w:r>
          </w:p>
        </w:tc>
        <w:tc>
          <w:tcPr>
            <w:tcW w:w="514" w:type="dxa"/>
            <w:tcBorders>
              <w:top w:val="nil"/>
              <w:left w:val="nil"/>
              <w:bottom w:val="single" w:sz="4" w:space="0" w:color="auto"/>
              <w:right w:val="single" w:sz="4" w:space="0" w:color="auto"/>
            </w:tcBorders>
            <w:shd w:val="clear" w:color="auto" w:fill="auto"/>
            <w:noWrap/>
            <w:vAlign w:val="center"/>
            <w:hideMark/>
          </w:tcPr>
          <w:p w14:paraId="5753F13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3,1</w:t>
            </w:r>
          </w:p>
        </w:tc>
        <w:tc>
          <w:tcPr>
            <w:tcW w:w="519" w:type="dxa"/>
            <w:tcBorders>
              <w:top w:val="nil"/>
              <w:left w:val="nil"/>
              <w:bottom w:val="single" w:sz="4" w:space="0" w:color="auto"/>
              <w:right w:val="single" w:sz="4" w:space="0" w:color="auto"/>
            </w:tcBorders>
            <w:shd w:val="clear" w:color="auto" w:fill="auto"/>
            <w:noWrap/>
            <w:vAlign w:val="center"/>
            <w:hideMark/>
          </w:tcPr>
          <w:p w14:paraId="4A5A7FD6"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7,7</w:t>
            </w:r>
          </w:p>
        </w:tc>
        <w:tc>
          <w:tcPr>
            <w:tcW w:w="452" w:type="dxa"/>
            <w:tcBorders>
              <w:top w:val="nil"/>
              <w:left w:val="nil"/>
              <w:bottom w:val="single" w:sz="4" w:space="0" w:color="auto"/>
              <w:right w:val="single" w:sz="4" w:space="0" w:color="auto"/>
            </w:tcBorders>
            <w:shd w:val="clear" w:color="auto" w:fill="auto"/>
            <w:noWrap/>
            <w:vAlign w:val="center"/>
            <w:hideMark/>
          </w:tcPr>
          <w:p w14:paraId="0CE703F2"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4,4</w:t>
            </w:r>
          </w:p>
        </w:tc>
        <w:tc>
          <w:tcPr>
            <w:tcW w:w="698" w:type="dxa"/>
            <w:tcBorders>
              <w:top w:val="nil"/>
              <w:left w:val="nil"/>
              <w:bottom w:val="single" w:sz="4" w:space="0" w:color="auto"/>
              <w:right w:val="single" w:sz="4" w:space="0" w:color="auto"/>
            </w:tcBorders>
            <w:shd w:val="clear" w:color="auto" w:fill="auto"/>
            <w:noWrap/>
            <w:vAlign w:val="center"/>
            <w:hideMark/>
          </w:tcPr>
          <w:p w14:paraId="158F0E2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4,2</w:t>
            </w:r>
          </w:p>
        </w:tc>
        <w:tc>
          <w:tcPr>
            <w:tcW w:w="698" w:type="dxa"/>
            <w:tcBorders>
              <w:top w:val="nil"/>
              <w:left w:val="nil"/>
              <w:bottom w:val="single" w:sz="4" w:space="0" w:color="auto"/>
              <w:right w:val="single" w:sz="4" w:space="0" w:color="auto"/>
            </w:tcBorders>
            <w:shd w:val="clear" w:color="auto" w:fill="auto"/>
            <w:noWrap/>
            <w:vAlign w:val="center"/>
            <w:hideMark/>
          </w:tcPr>
          <w:p w14:paraId="2C1F4464"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3,6</w:t>
            </w:r>
          </w:p>
        </w:tc>
        <w:tc>
          <w:tcPr>
            <w:tcW w:w="452" w:type="dxa"/>
            <w:tcBorders>
              <w:top w:val="nil"/>
              <w:left w:val="nil"/>
              <w:bottom w:val="single" w:sz="4" w:space="0" w:color="auto"/>
              <w:right w:val="single" w:sz="4" w:space="0" w:color="auto"/>
            </w:tcBorders>
            <w:shd w:val="clear" w:color="auto" w:fill="auto"/>
            <w:noWrap/>
            <w:vAlign w:val="center"/>
            <w:hideMark/>
          </w:tcPr>
          <w:p w14:paraId="468F6FB8"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2,9</w:t>
            </w:r>
          </w:p>
        </w:tc>
        <w:tc>
          <w:tcPr>
            <w:tcW w:w="452" w:type="dxa"/>
            <w:tcBorders>
              <w:top w:val="nil"/>
              <w:left w:val="nil"/>
              <w:bottom w:val="single" w:sz="4" w:space="0" w:color="auto"/>
              <w:right w:val="single" w:sz="4" w:space="0" w:color="auto"/>
            </w:tcBorders>
            <w:shd w:val="clear" w:color="auto" w:fill="auto"/>
            <w:noWrap/>
            <w:vAlign w:val="center"/>
            <w:hideMark/>
          </w:tcPr>
          <w:p w14:paraId="07BDB2F3"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14:paraId="1386C43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2,6</w:t>
            </w:r>
          </w:p>
        </w:tc>
      </w:tr>
      <w:tr w:rsidR="00A74466" w:rsidRPr="00395689" w14:paraId="5BC0E701" w14:textId="77777777" w:rsidTr="00BB4C40">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B326F8C" w14:textId="5DC8A19F" w:rsidR="00A74466" w:rsidRPr="00395689" w:rsidRDefault="00A74466" w:rsidP="00A74466">
            <w:pPr>
              <w:spacing w:after="0" w:line="240" w:lineRule="auto"/>
              <w:rPr>
                <w:rFonts w:cs="Arial"/>
                <w:color w:val="000000"/>
                <w:sz w:val="16"/>
                <w:szCs w:val="16"/>
              </w:rPr>
            </w:pPr>
            <w:r>
              <w:rPr>
                <w:rFonts w:cs="Arial"/>
                <w:color w:val="000000"/>
                <w:sz w:val="16"/>
                <w:szCs w:val="16"/>
              </w:rPr>
              <w:t>Zaměření</w:t>
            </w:r>
            <w:r w:rsidRPr="00452C6D">
              <w:rPr>
                <w:rFonts w:cs="Arial"/>
                <w:color w:val="000000"/>
                <w:sz w:val="16"/>
                <w:szCs w:val="16"/>
              </w:rPr>
              <w:t xml:space="preserve"> se spíše na podporu počátečního odborného vzdělání než na vzdělávání zaměstnanců</w:t>
            </w:r>
          </w:p>
        </w:tc>
        <w:tc>
          <w:tcPr>
            <w:tcW w:w="662" w:type="dxa"/>
            <w:tcBorders>
              <w:top w:val="nil"/>
              <w:left w:val="nil"/>
              <w:bottom w:val="single" w:sz="4" w:space="0" w:color="auto"/>
              <w:right w:val="single" w:sz="4" w:space="0" w:color="auto"/>
            </w:tcBorders>
            <w:shd w:val="clear" w:color="auto" w:fill="auto"/>
            <w:noWrap/>
            <w:vAlign w:val="center"/>
            <w:hideMark/>
          </w:tcPr>
          <w:p w14:paraId="18EE30D8"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0,7</w:t>
            </w:r>
          </w:p>
        </w:tc>
        <w:tc>
          <w:tcPr>
            <w:tcW w:w="514" w:type="dxa"/>
            <w:tcBorders>
              <w:top w:val="nil"/>
              <w:left w:val="nil"/>
              <w:bottom w:val="single" w:sz="4" w:space="0" w:color="auto"/>
              <w:right w:val="single" w:sz="4" w:space="0" w:color="auto"/>
            </w:tcBorders>
            <w:shd w:val="clear" w:color="auto" w:fill="auto"/>
            <w:noWrap/>
            <w:vAlign w:val="center"/>
            <w:hideMark/>
          </w:tcPr>
          <w:p w14:paraId="04D47FED"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5,1</w:t>
            </w:r>
          </w:p>
        </w:tc>
        <w:tc>
          <w:tcPr>
            <w:tcW w:w="514" w:type="dxa"/>
            <w:tcBorders>
              <w:top w:val="nil"/>
              <w:left w:val="nil"/>
              <w:bottom w:val="single" w:sz="4" w:space="0" w:color="auto"/>
              <w:right w:val="single" w:sz="4" w:space="0" w:color="auto"/>
            </w:tcBorders>
            <w:shd w:val="clear" w:color="auto" w:fill="auto"/>
            <w:noWrap/>
            <w:vAlign w:val="center"/>
            <w:hideMark/>
          </w:tcPr>
          <w:p w14:paraId="673C561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2,9</w:t>
            </w:r>
          </w:p>
        </w:tc>
        <w:tc>
          <w:tcPr>
            <w:tcW w:w="519" w:type="dxa"/>
            <w:tcBorders>
              <w:top w:val="nil"/>
              <w:left w:val="nil"/>
              <w:bottom w:val="single" w:sz="4" w:space="0" w:color="auto"/>
              <w:right w:val="single" w:sz="4" w:space="0" w:color="auto"/>
            </w:tcBorders>
            <w:shd w:val="clear" w:color="auto" w:fill="auto"/>
            <w:noWrap/>
            <w:vAlign w:val="center"/>
            <w:hideMark/>
          </w:tcPr>
          <w:p w14:paraId="10BF12D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3,5</w:t>
            </w:r>
          </w:p>
        </w:tc>
        <w:tc>
          <w:tcPr>
            <w:tcW w:w="452" w:type="dxa"/>
            <w:tcBorders>
              <w:top w:val="nil"/>
              <w:left w:val="nil"/>
              <w:bottom w:val="single" w:sz="4" w:space="0" w:color="auto"/>
              <w:right w:val="single" w:sz="4" w:space="0" w:color="auto"/>
            </w:tcBorders>
            <w:shd w:val="clear" w:color="auto" w:fill="auto"/>
            <w:noWrap/>
            <w:vAlign w:val="center"/>
            <w:hideMark/>
          </w:tcPr>
          <w:p w14:paraId="0D425FD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2,5</w:t>
            </w:r>
          </w:p>
        </w:tc>
        <w:tc>
          <w:tcPr>
            <w:tcW w:w="698" w:type="dxa"/>
            <w:tcBorders>
              <w:top w:val="nil"/>
              <w:left w:val="nil"/>
              <w:bottom w:val="single" w:sz="4" w:space="0" w:color="auto"/>
              <w:right w:val="single" w:sz="4" w:space="0" w:color="auto"/>
            </w:tcBorders>
            <w:shd w:val="clear" w:color="auto" w:fill="auto"/>
            <w:noWrap/>
            <w:vAlign w:val="center"/>
            <w:hideMark/>
          </w:tcPr>
          <w:p w14:paraId="46640C4E"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1,5</w:t>
            </w:r>
          </w:p>
        </w:tc>
        <w:tc>
          <w:tcPr>
            <w:tcW w:w="698" w:type="dxa"/>
            <w:tcBorders>
              <w:top w:val="nil"/>
              <w:left w:val="nil"/>
              <w:bottom w:val="single" w:sz="4" w:space="0" w:color="auto"/>
              <w:right w:val="single" w:sz="4" w:space="0" w:color="auto"/>
            </w:tcBorders>
            <w:shd w:val="clear" w:color="auto" w:fill="auto"/>
            <w:noWrap/>
            <w:vAlign w:val="center"/>
            <w:hideMark/>
          </w:tcPr>
          <w:p w14:paraId="0738EB93" w14:textId="77777777" w:rsidR="00A74466" w:rsidRPr="006D1B9F" w:rsidRDefault="00A74466" w:rsidP="00A74466">
            <w:pPr>
              <w:spacing w:after="0" w:line="240" w:lineRule="auto"/>
              <w:jc w:val="right"/>
              <w:rPr>
                <w:rFonts w:cs="Arial"/>
                <w:b/>
                <w:color w:val="000000"/>
                <w:sz w:val="16"/>
                <w:szCs w:val="16"/>
              </w:rPr>
            </w:pPr>
            <w:r w:rsidRPr="006D1B9F">
              <w:rPr>
                <w:rFonts w:cs="Arial"/>
                <w:b/>
                <w:color w:val="C00000"/>
                <w:sz w:val="16"/>
                <w:szCs w:val="16"/>
              </w:rPr>
              <w:t>0,8</w:t>
            </w:r>
          </w:p>
        </w:tc>
        <w:tc>
          <w:tcPr>
            <w:tcW w:w="452" w:type="dxa"/>
            <w:tcBorders>
              <w:top w:val="nil"/>
              <w:left w:val="nil"/>
              <w:bottom w:val="single" w:sz="4" w:space="0" w:color="auto"/>
              <w:right w:val="single" w:sz="4" w:space="0" w:color="auto"/>
            </w:tcBorders>
            <w:shd w:val="clear" w:color="auto" w:fill="auto"/>
            <w:noWrap/>
            <w:vAlign w:val="center"/>
            <w:hideMark/>
          </w:tcPr>
          <w:p w14:paraId="2DB214B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1,4</w:t>
            </w:r>
          </w:p>
        </w:tc>
        <w:tc>
          <w:tcPr>
            <w:tcW w:w="452" w:type="dxa"/>
            <w:tcBorders>
              <w:top w:val="nil"/>
              <w:left w:val="nil"/>
              <w:bottom w:val="single" w:sz="4" w:space="0" w:color="auto"/>
              <w:right w:val="single" w:sz="4" w:space="0" w:color="auto"/>
            </w:tcBorders>
            <w:shd w:val="clear" w:color="auto" w:fill="auto"/>
            <w:noWrap/>
            <w:vAlign w:val="center"/>
            <w:hideMark/>
          </w:tcPr>
          <w:p w14:paraId="23D1475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14:paraId="2EAA7114"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2,2</w:t>
            </w:r>
          </w:p>
        </w:tc>
      </w:tr>
      <w:tr w:rsidR="00A74466" w:rsidRPr="00395689" w14:paraId="0121C77A" w14:textId="77777777" w:rsidTr="00BB4C40">
        <w:trPr>
          <w:trHeight w:val="45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6AE9EE" w14:textId="4C4E27AC" w:rsidR="00A74466" w:rsidRPr="00395689" w:rsidRDefault="00A74466" w:rsidP="00A74466">
            <w:pPr>
              <w:spacing w:after="0" w:line="240" w:lineRule="auto"/>
              <w:rPr>
                <w:rFonts w:cs="Arial"/>
                <w:color w:val="000000"/>
                <w:sz w:val="16"/>
                <w:szCs w:val="16"/>
              </w:rPr>
            </w:pPr>
            <w:r>
              <w:rPr>
                <w:rFonts w:cs="Arial"/>
                <w:color w:val="000000"/>
                <w:sz w:val="16"/>
                <w:szCs w:val="16"/>
              </w:rPr>
              <w:t>P</w:t>
            </w:r>
            <w:r w:rsidRPr="00452C6D">
              <w:rPr>
                <w:rFonts w:cs="Arial"/>
                <w:color w:val="000000"/>
                <w:sz w:val="16"/>
                <w:szCs w:val="16"/>
              </w:rPr>
              <w:t xml:space="preserve">otíže s identifikací </w:t>
            </w:r>
            <w:r>
              <w:rPr>
                <w:rFonts w:cs="Arial"/>
                <w:color w:val="000000"/>
                <w:sz w:val="16"/>
                <w:szCs w:val="16"/>
              </w:rPr>
              <w:t>vzdělávacích potřeb zaměstnanců v rámci podniku</w:t>
            </w:r>
          </w:p>
        </w:tc>
        <w:tc>
          <w:tcPr>
            <w:tcW w:w="662" w:type="dxa"/>
            <w:tcBorders>
              <w:top w:val="nil"/>
              <w:left w:val="nil"/>
              <w:bottom w:val="single" w:sz="4" w:space="0" w:color="auto"/>
              <w:right w:val="single" w:sz="4" w:space="0" w:color="auto"/>
            </w:tcBorders>
            <w:shd w:val="clear" w:color="auto" w:fill="auto"/>
            <w:noWrap/>
            <w:vAlign w:val="center"/>
            <w:hideMark/>
          </w:tcPr>
          <w:p w14:paraId="2A9D1DC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2,6</w:t>
            </w:r>
          </w:p>
        </w:tc>
        <w:tc>
          <w:tcPr>
            <w:tcW w:w="514" w:type="dxa"/>
            <w:tcBorders>
              <w:top w:val="nil"/>
              <w:left w:val="nil"/>
              <w:bottom w:val="single" w:sz="4" w:space="0" w:color="auto"/>
              <w:right w:val="single" w:sz="4" w:space="0" w:color="auto"/>
            </w:tcBorders>
            <w:shd w:val="clear" w:color="auto" w:fill="auto"/>
            <w:noWrap/>
            <w:vAlign w:val="center"/>
            <w:hideMark/>
          </w:tcPr>
          <w:p w14:paraId="688B948F"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1,8</w:t>
            </w:r>
          </w:p>
        </w:tc>
        <w:tc>
          <w:tcPr>
            <w:tcW w:w="514" w:type="dxa"/>
            <w:tcBorders>
              <w:top w:val="nil"/>
              <w:left w:val="nil"/>
              <w:bottom w:val="single" w:sz="4" w:space="0" w:color="auto"/>
              <w:right w:val="single" w:sz="4" w:space="0" w:color="auto"/>
            </w:tcBorders>
            <w:shd w:val="clear" w:color="auto" w:fill="auto"/>
            <w:noWrap/>
            <w:vAlign w:val="center"/>
            <w:hideMark/>
          </w:tcPr>
          <w:p w14:paraId="4DCF202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1,3</w:t>
            </w:r>
          </w:p>
        </w:tc>
        <w:tc>
          <w:tcPr>
            <w:tcW w:w="519" w:type="dxa"/>
            <w:tcBorders>
              <w:top w:val="nil"/>
              <w:left w:val="nil"/>
              <w:bottom w:val="single" w:sz="4" w:space="0" w:color="auto"/>
              <w:right w:val="single" w:sz="4" w:space="0" w:color="auto"/>
            </w:tcBorders>
            <w:shd w:val="clear" w:color="auto" w:fill="auto"/>
            <w:noWrap/>
            <w:vAlign w:val="center"/>
            <w:hideMark/>
          </w:tcPr>
          <w:p w14:paraId="1E11F2E1"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3,5</w:t>
            </w:r>
          </w:p>
        </w:tc>
        <w:tc>
          <w:tcPr>
            <w:tcW w:w="452" w:type="dxa"/>
            <w:tcBorders>
              <w:top w:val="nil"/>
              <w:left w:val="nil"/>
              <w:bottom w:val="single" w:sz="4" w:space="0" w:color="auto"/>
              <w:right w:val="single" w:sz="4" w:space="0" w:color="auto"/>
            </w:tcBorders>
            <w:shd w:val="clear" w:color="auto" w:fill="auto"/>
            <w:noWrap/>
            <w:vAlign w:val="center"/>
            <w:hideMark/>
          </w:tcPr>
          <w:p w14:paraId="319F72B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1,3</w:t>
            </w:r>
          </w:p>
        </w:tc>
        <w:tc>
          <w:tcPr>
            <w:tcW w:w="698" w:type="dxa"/>
            <w:tcBorders>
              <w:top w:val="nil"/>
              <w:left w:val="nil"/>
              <w:bottom w:val="single" w:sz="4" w:space="0" w:color="auto"/>
              <w:right w:val="single" w:sz="4" w:space="0" w:color="auto"/>
            </w:tcBorders>
            <w:shd w:val="clear" w:color="auto" w:fill="auto"/>
            <w:noWrap/>
            <w:vAlign w:val="center"/>
            <w:hideMark/>
          </w:tcPr>
          <w:p w14:paraId="4D017DB3"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1,6</w:t>
            </w:r>
          </w:p>
        </w:tc>
        <w:tc>
          <w:tcPr>
            <w:tcW w:w="698" w:type="dxa"/>
            <w:tcBorders>
              <w:top w:val="nil"/>
              <w:left w:val="nil"/>
              <w:bottom w:val="single" w:sz="4" w:space="0" w:color="auto"/>
              <w:right w:val="single" w:sz="4" w:space="0" w:color="auto"/>
            </w:tcBorders>
            <w:shd w:val="clear" w:color="auto" w:fill="auto"/>
            <w:noWrap/>
            <w:vAlign w:val="center"/>
            <w:hideMark/>
          </w:tcPr>
          <w:p w14:paraId="4D4008FA"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2,6</w:t>
            </w:r>
          </w:p>
        </w:tc>
        <w:tc>
          <w:tcPr>
            <w:tcW w:w="452" w:type="dxa"/>
            <w:tcBorders>
              <w:top w:val="nil"/>
              <w:left w:val="nil"/>
              <w:bottom w:val="single" w:sz="4" w:space="0" w:color="auto"/>
              <w:right w:val="single" w:sz="4" w:space="0" w:color="auto"/>
            </w:tcBorders>
            <w:shd w:val="clear" w:color="auto" w:fill="auto"/>
            <w:noWrap/>
            <w:vAlign w:val="center"/>
            <w:hideMark/>
          </w:tcPr>
          <w:p w14:paraId="2CA54D91"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0,2</w:t>
            </w:r>
          </w:p>
        </w:tc>
        <w:tc>
          <w:tcPr>
            <w:tcW w:w="452" w:type="dxa"/>
            <w:tcBorders>
              <w:top w:val="nil"/>
              <w:left w:val="nil"/>
              <w:bottom w:val="single" w:sz="4" w:space="0" w:color="auto"/>
              <w:right w:val="single" w:sz="4" w:space="0" w:color="auto"/>
            </w:tcBorders>
            <w:shd w:val="clear" w:color="auto" w:fill="auto"/>
            <w:noWrap/>
            <w:vAlign w:val="center"/>
            <w:hideMark/>
          </w:tcPr>
          <w:p w14:paraId="5C9D78F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0,9</w:t>
            </w:r>
          </w:p>
        </w:tc>
        <w:tc>
          <w:tcPr>
            <w:tcW w:w="567" w:type="dxa"/>
            <w:tcBorders>
              <w:top w:val="nil"/>
              <w:left w:val="nil"/>
              <w:bottom w:val="single" w:sz="4" w:space="0" w:color="auto"/>
              <w:right w:val="single" w:sz="4" w:space="0" w:color="auto"/>
            </w:tcBorders>
            <w:shd w:val="clear" w:color="auto" w:fill="auto"/>
            <w:noWrap/>
            <w:vAlign w:val="center"/>
            <w:hideMark/>
          </w:tcPr>
          <w:p w14:paraId="20373610"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2,4</w:t>
            </w:r>
          </w:p>
        </w:tc>
      </w:tr>
      <w:tr w:rsidR="00A74466" w:rsidRPr="00395689" w14:paraId="23395967" w14:textId="77777777" w:rsidTr="00BB4C40">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7EE47A0" w14:textId="6BA9A28F" w:rsidR="00A74466" w:rsidRPr="00395689" w:rsidRDefault="00A74466" w:rsidP="00A74466">
            <w:pPr>
              <w:spacing w:after="0" w:line="240" w:lineRule="auto"/>
              <w:rPr>
                <w:rFonts w:cs="Arial"/>
                <w:color w:val="000000"/>
                <w:sz w:val="16"/>
                <w:szCs w:val="16"/>
              </w:rPr>
            </w:pPr>
            <w:r>
              <w:rPr>
                <w:rFonts w:cs="Arial"/>
                <w:color w:val="000000"/>
                <w:sz w:val="16"/>
                <w:szCs w:val="16"/>
              </w:rPr>
              <w:t>J</w:t>
            </w:r>
            <w:r w:rsidRPr="00452C6D">
              <w:rPr>
                <w:rFonts w:cs="Arial"/>
                <w:color w:val="000000"/>
                <w:sz w:val="16"/>
                <w:szCs w:val="16"/>
              </w:rPr>
              <w:t>iné důvody</w:t>
            </w:r>
            <w:r>
              <w:rPr>
                <w:rFonts w:cs="Arial"/>
                <w:color w:val="000000"/>
                <w:sz w:val="16"/>
                <w:szCs w:val="16"/>
              </w:rPr>
              <w:t xml:space="preserve"> k omezení vzdělávání zaměstnanců</w:t>
            </w:r>
          </w:p>
        </w:tc>
        <w:tc>
          <w:tcPr>
            <w:tcW w:w="662" w:type="dxa"/>
            <w:tcBorders>
              <w:top w:val="nil"/>
              <w:left w:val="nil"/>
              <w:bottom w:val="single" w:sz="4" w:space="0" w:color="auto"/>
              <w:right w:val="single" w:sz="4" w:space="0" w:color="auto"/>
            </w:tcBorders>
            <w:shd w:val="clear" w:color="auto" w:fill="auto"/>
            <w:noWrap/>
            <w:vAlign w:val="center"/>
            <w:hideMark/>
          </w:tcPr>
          <w:p w14:paraId="5B3E705C"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10,6</w:t>
            </w:r>
          </w:p>
        </w:tc>
        <w:tc>
          <w:tcPr>
            <w:tcW w:w="514" w:type="dxa"/>
            <w:tcBorders>
              <w:top w:val="nil"/>
              <w:left w:val="nil"/>
              <w:bottom w:val="single" w:sz="4" w:space="0" w:color="auto"/>
              <w:right w:val="single" w:sz="4" w:space="0" w:color="auto"/>
            </w:tcBorders>
            <w:shd w:val="clear" w:color="auto" w:fill="auto"/>
            <w:noWrap/>
            <w:vAlign w:val="center"/>
            <w:hideMark/>
          </w:tcPr>
          <w:p w14:paraId="05695759"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9,5</w:t>
            </w:r>
          </w:p>
        </w:tc>
        <w:tc>
          <w:tcPr>
            <w:tcW w:w="514" w:type="dxa"/>
            <w:tcBorders>
              <w:top w:val="nil"/>
              <w:left w:val="nil"/>
              <w:bottom w:val="single" w:sz="4" w:space="0" w:color="auto"/>
              <w:right w:val="single" w:sz="4" w:space="0" w:color="auto"/>
            </w:tcBorders>
            <w:shd w:val="clear" w:color="auto" w:fill="auto"/>
            <w:noWrap/>
            <w:vAlign w:val="center"/>
            <w:hideMark/>
          </w:tcPr>
          <w:p w14:paraId="3548ABE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14,3</w:t>
            </w:r>
          </w:p>
        </w:tc>
        <w:tc>
          <w:tcPr>
            <w:tcW w:w="519" w:type="dxa"/>
            <w:tcBorders>
              <w:top w:val="nil"/>
              <w:left w:val="nil"/>
              <w:bottom w:val="single" w:sz="4" w:space="0" w:color="auto"/>
              <w:right w:val="single" w:sz="4" w:space="0" w:color="auto"/>
            </w:tcBorders>
            <w:shd w:val="clear" w:color="auto" w:fill="auto"/>
            <w:noWrap/>
            <w:vAlign w:val="center"/>
            <w:hideMark/>
          </w:tcPr>
          <w:p w14:paraId="3FF87E96" w14:textId="77777777" w:rsidR="00A74466" w:rsidRPr="00395689" w:rsidRDefault="00A74466" w:rsidP="00A74466">
            <w:pPr>
              <w:spacing w:after="0" w:line="240" w:lineRule="auto"/>
              <w:jc w:val="right"/>
              <w:rPr>
                <w:rFonts w:cs="Arial"/>
                <w:b/>
                <w:bCs/>
                <w:color w:val="0070C0"/>
                <w:sz w:val="16"/>
                <w:szCs w:val="16"/>
              </w:rPr>
            </w:pPr>
            <w:r w:rsidRPr="00D67150">
              <w:rPr>
                <w:rFonts w:cs="Arial"/>
                <w:b/>
                <w:bCs/>
                <w:color w:val="00B050"/>
                <w:sz w:val="16"/>
                <w:szCs w:val="16"/>
              </w:rPr>
              <w:t>17,2</w:t>
            </w:r>
          </w:p>
        </w:tc>
        <w:tc>
          <w:tcPr>
            <w:tcW w:w="452" w:type="dxa"/>
            <w:tcBorders>
              <w:top w:val="nil"/>
              <w:left w:val="nil"/>
              <w:bottom w:val="single" w:sz="4" w:space="0" w:color="auto"/>
              <w:right w:val="single" w:sz="4" w:space="0" w:color="auto"/>
            </w:tcBorders>
            <w:shd w:val="clear" w:color="auto" w:fill="auto"/>
            <w:noWrap/>
            <w:vAlign w:val="center"/>
            <w:hideMark/>
          </w:tcPr>
          <w:p w14:paraId="3B1D1204"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12,6</w:t>
            </w:r>
          </w:p>
        </w:tc>
        <w:tc>
          <w:tcPr>
            <w:tcW w:w="698" w:type="dxa"/>
            <w:tcBorders>
              <w:top w:val="nil"/>
              <w:left w:val="nil"/>
              <w:bottom w:val="single" w:sz="4" w:space="0" w:color="auto"/>
              <w:right w:val="single" w:sz="4" w:space="0" w:color="auto"/>
            </w:tcBorders>
            <w:shd w:val="clear" w:color="auto" w:fill="auto"/>
            <w:noWrap/>
            <w:vAlign w:val="center"/>
            <w:hideMark/>
          </w:tcPr>
          <w:p w14:paraId="6548EEE7"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10,6</w:t>
            </w:r>
          </w:p>
        </w:tc>
        <w:tc>
          <w:tcPr>
            <w:tcW w:w="698" w:type="dxa"/>
            <w:tcBorders>
              <w:top w:val="nil"/>
              <w:left w:val="nil"/>
              <w:bottom w:val="single" w:sz="4" w:space="0" w:color="auto"/>
              <w:right w:val="single" w:sz="4" w:space="0" w:color="auto"/>
            </w:tcBorders>
            <w:shd w:val="clear" w:color="auto" w:fill="auto"/>
            <w:noWrap/>
            <w:vAlign w:val="center"/>
            <w:hideMark/>
          </w:tcPr>
          <w:p w14:paraId="3A0210C0"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13,3</w:t>
            </w:r>
          </w:p>
        </w:tc>
        <w:tc>
          <w:tcPr>
            <w:tcW w:w="452" w:type="dxa"/>
            <w:tcBorders>
              <w:top w:val="nil"/>
              <w:left w:val="nil"/>
              <w:bottom w:val="single" w:sz="4" w:space="0" w:color="auto"/>
              <w:right w:val="single" w:sz="4" w:space="0" w:color="auto"/>
            </w:tcBorders>
            <w:shd w:val="clear" w:color="auto" w:fill="auto"/>
            <w:noWrap/>
            <w:vAlign w:val="center"/>
            <w:hideMark/>
          </w:tcPr>
          <w:p w14:paraId="7C4960C0"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8,9</w:t>
            </w:r>
          </w:p>
        </w:tc>
        <w:tc>
          <w:tcPr>
            <w:tcW w:w="452" w:type="dxa"/>
            <w:tcBorders>
              <w:top w:val="nil"/>
              <w:left w:val="nil"/>
              <w:bottom w:val="single" w:sz="4" w:space="0" w:color="auto"/>
              <w:right w:val="single" w:sz="4" w:space="0" w:color="auto"/>
            </w:tcBorders>
            <w:shd w:val="clear" w:color="auto" w:fill="auto"/>
            <w:noWrap/>
            <w:vAlign w:val="center"/>
            <w:hideMark/>
          </w:tcPr>
          <w:p w14:paraId="26119F23"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4,3</w:t>
            </w:r>
          </w:p>
        </w:tc>
        <w:tc>
          <w:tcPr>
            <w:tcW w:w="567" w:type="dxa"/>
            <w:tcBorders>
              <w:top w:val="nil"/>
              <w:left w:val="nil"/>
              <w:bottom w:val="single" w:sz="4" w:space="0" w:color="auto"/>
              <w:right w:val="single" w:sz="4" w:space="0" w:color="auto"/>
            </w:tcBorders>
            <w:shd w:val="clear" w:color="auto" w:fill="auto"/>
            <w:noWrap/>
            <w:vAlign w:val="center"/>
            <w:hideMark/>
          </w:tcPr>
          <w:p w14:paraId="0D12BF1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7,9</w:t>
            </w:r>
          </w:p>
        </w:tc>
      </w:tr>
      <w:tr w:rsidR="00A74466" w:rsidRPr="00395689" w14:paraId="1DBA7848" w14:textId="77777777" w:rsidTr="00BB4C40">
        <w:trPr>
          <w:trHeight w:val="491"/>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A2796E9" w14:textId="34D85BBF" w:rsidR="00A74466" w:rsidRPr="00395689" w:rsidRDefault="00A74466" w:rsidP="00A74466">
            <w:pPr>
              <w:spacing w:after="0" w:line="240" w:lineRule="auto"/>
              <w:rPr>
                <w:rFonts w:cs="Arial"/>
                <w:color w:val="000000"/>
                <w:sz w:val="16"/>
                <w:szCs w:val="16"/>
              </w:rPr>
            </w:pPr>
            <w:r>
              <w:rPr>
                <w:rFonts w:cs="Arial"/>
                <w:color w:val="000000"/>
                <w:sz w:val="16"/>
                <w:szCs w:val="16"/>
              </w:rPr>
              <w:t>Ž</w:t>
            </w:r>
            <w:r w:rsidRPr="00452C6D">
              <w:rPr>
                <w:rFonts w:cs="Arial"/>
                <w:color w:val="000000"/>
                <w:sz w:val="16"/>
                <w:szCs w:val="16"/>
              </w:rPr>
              <w:t xml:space="preserve">ádná další omezení (tj. vedle těch spojených </w:t>
            </w:r>
            <w:r>
              <w:rPr>
                <w:rFonts w:cs="Arial"/>
                <w:color w:val="000000"/>
                <w:sz w:val="16"/>
                <w:szCs w:val="16"/>
              </w:rPr>
              <w:t>s epidemií onemocnění COVID-19)</w:t>
            </w:r>
          </w:p>
        </w:tc>
        <w:tc>
          <w:tcPr>
            <w:tcW w:w="662" w:type="dxa"/>
            <w:tcBorders>
              <w:top w:val="nil"/>
              <w:left w:val="nil"/>
              <w:bottom w:val="single" w:sz="4" w:space="0" w:color="auto"/>
              <w:right w:val="single" w:sz="4" w:space="0" w:color="auto"/>
            </w:tcBorders>
            <w:shd w:val="clear" w:color="auto" w:fill="auto"/>
            <w:noWrap/>
            <w:vAlign w:val="center"/>
            <w:hideMark/>
          </w:tcPr>
          <w:p w14:paraId="0BD56853" w14:textId="77777777" w:rsidR="00A74466" w:rsidRPr="00395689" w:rsidRDefault="00A74466" w:rsidP="00A74466">
            <w:pPr>
              <w:spacing w:after="0" w:line="240" w:lineRule="auto"/>
              <w:jc w:val="right"/>
              <w:rPr>
                <w:rFonts w:cs="Arial"/>
                <w:b/>
                <w:bCs/>
                <w:color w:val="FF0000"/>
                <w:sz w:val="16"/>
                <w:szCs w:val="16"/>
              </w:rPr>
            </w:pPr>
            <w:r w:rsidRPr="00395689">
              <w:rPr>
                <w:rFonts w:cs="Arial"/>
                <w:b/>
                <w:bCs/>
                <w:color w:val="FF0000"/>
                <w:sz w:val="16"/>
                <w:szCs w:val="16"/>
              </w:rPr>
              <w:t>57,9</w:t>
            </w:r>
          </w:p>
        </w:tc>
        <w:tc>
          <w:tcPr>
            <w:tcW w:w="514" w:type="dxa"/>
            <w:tcBorders>
              <w:top w:val="nil"/>
              <w:left w:val="nil"/>
              <w:bottom w:val="single" w:sz="4" w:space="0" w:color="auto"/>
              <w:right w:val="single" w:sz="4" w:space="0" w:color="auto"/>
            </w:tcBorders>
            <w:shd w:val="clear" w:color="auto" w:fill="auto"/>
            <w:noWrap/>
            <w:vAlign w:val="center"/>
            <w:hideMark/>
          </w:tcPr>
          <w:p w14:paraId="150FFF69"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59,1</w:t>
            </w:r>
          </w:p>
        </w:tc>
        <w:tc>
          <w:tcPr>
            <w:tcW w:w="514" w:type="dxa"/>
            <w:tcBorders>
              <w:top w:val="nil"/>
              <w:left w:val="nil"/>
              <w:bottom w:val="single" w:sz="4" w:space="0" w:color="auto"/>
              <w:right w:val="single" w:sz="4" w:space="0" w:color="auto"/>
            </w:tcBorders>
            <w:shd w:val="clear" w:color="auto" w:fill="auto"/>
            <w:noWrap/>
            <w:vAlign w:val="center"/>
            <w:hideMark/>
          </w:tcPr>
          <w:p w14:paraId="21C62F05"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61,2</w:t>
            </w:r>
          </w:p>
        </w:tc>
        <w:tc>
          <w:tcPr>
            <w:tcW w:w="519" w:type="dxa"/>
            <w:tcBorders>
              <w:top w:val="nil"/>
              <w:left w:val="nil"/>
              <w:bottom w:val="single" w:sz="4" w:space="0" w:color="auto"/>
              <w:right w:val="single" w:sz="4" w:space="0" w:color="auto"/>
            </w:tcBorders>
            <w:shd w:val="clear" w:color="auto" w:fill="auto"/>
            <w:noWrap/>
            <w:vAlign w:val="center"/>
            <w:hideMark/>
          </w:tcPr>
          <w:p w14:paraId="4B069E6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61,2</w:t>
            </w:r>
          </w:p>
        </w:tc>
        <w:tc>
          <w:tcPr>
            <w:tcW w:w="452" w:type="dxa"/>
            <w:tcBorders>
              <w:top w:val="nil"/>
              <w:left w:val="nil"/>
              <w:bottom w:val="single" w:sz="4" w:space="0" w:color="auto"/>
              <w:right w:val="single" w:sz="4" w:space="0" w:color="auto"/>
            </w:tcBorders>
            <w:shd w:val="clear" w:color="auto" w:fill="auto"/>
            <w:noWrap/>
            <w:vAlign w:val="center"/>
            <w:hideMark/>
          </w:tcPr>
          <w:p w14:paraId="57F85346"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63,7</w:t>
            </w:r>
          </w:p>
        </w:tc>
        <w:tc>
          <w:tcPr>
            <w:tcW w:w="698" w:type="dxa"/>
            <w:tcBorders>
              <w:top w:val="nil"/>
              <w:left w:val="nil"/>
              <w:bottom w:val="single" w:sz="4" w:space="0" w:color="auto"/>
              <w:right w:val="single" w:sz="4" w:space="0" w:color="auto"/>
            </w:tcBorders>
            <w:shd w:val="clear" w:color="auto" w:fill="auto"/>
            <w:noWrap/>
            <w:vAlign w:val="center"/>
            <w:hideMark/>
          </w:tcPr>
          <w:p w14:paraId="6C9F8D8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66,2</w:t>
            </w:r>
          </w:p>
        </w:tc>
        <w:tc>
          <w:tcPr>
            <w:tcW w:w="698" w:type="dxa"/>
            <w:tcBorders>
              <w:top w:val="nil"/>
              <w:left w:val="nil"/>
              <w:bottom w:val="single" w:sz="4" w:space="0" w:color="auto"/>
              <w:right w:val="single" w:sz="4" w:space="0" w:color="auto"/>
            </w:tcBorders>
            <w:shd w:val="clear" w:color="auto" w:fill="auto"/>
            <w:noWrap/>
            <w:vAlign w:val="center"/>
            <w:hideMark/>
          </w:tcPr>
          <w:p w14:paraId="4006545B"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71,7</w:t>
            </w:r>
          </w:p>
        </w:tc>
        <w:tc>
          <w:tcPr>
            <w:tcW w:w="452" w:type="dxa"/>
            <w:tcBorders>
              <w:top w:val="nil"/>
              <w:left w:val="nil"/>
              <w:bottom w:val="single" w:sz="4" w:space="0" w:color="auto"/>
              <w:right w:val="single" w:sz="4" w:space="0" w:color="auto"/>
            </w:tcBorders>
            <w:shd w:val="clear" w:color="auto" w:fill="auto"/>
            <w:noWrap/>
            <w:vAlign w:val="center"/>
            <w:hideMark/>
          </w:tcPr>
          <w:p w14:paraId="4DDF03E5"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72,9</w:t>
            </w:r>
          </w:p>
        </w:tc>
        <w:tc>
          <w:tcPr>
            <w:tcW w:w="452" w:type="dxa"/>
            <w:tcBorders>
              <w:top w:val="nil"/>
              <w:left w:val="nil"/>
              <w:bottom w:val="single" w:sz="4" w:space="0" w:color="auto"/>
              <w:right w:val="single" w:sz="4" w:space="0" w:color="auto"/>
            </w:tcBorders>
            <w:shd w:val="clear" w:color="auto" w:fill="auto"/>
            <w:noWrap/>
            <w:vAlign w:val="center"/>
            <w:hideMark/>
          </w:tcPr>
          <w:p w14:paraId="7FA5440D" w14:textId="77777777" w:rsidR="00A74466" w:rsidRPr="00395689" w:rsidRDefault="00A74466" w:rsidP="00A74466">
            <w:pPr>
              <w:spacing w:after="0" w:line="240" w:lineRule="auto"/>
              <w:jc w:val="right"/>
              <w:rPr>
                <w:rFonts w:cs="Arial"/>
                <w:color w:val="000000"/>
                <w:sz w:val="16"/>
                <w:szCs w:val="16"/>
              </w:rPr>
            </w:pPr>
            <w:r w:rsidRPr="00395689">
              <w:rPr>
                <w:rFonts w:cs="Arial"/>
                <w:color w:val="000000"/>
                <w:sz w:val="16"/>
                <w:szCs w:val="16"/>
              </w:rPr>
              <w:t>77,3</w:t>
            </w:r>
          </w:p>
        </w:tc>
        <w:tc>
          <w:tcPr>
            <w:tcW w:w="567" w:type="dxa"/>
            <w:tcBorders>
              <w:top w:val="nil"/>
              <w:left w:val="nil"/>
              <w:bottom w:val="single" w:sz="4" w:space="0" w:color="auto"/>
              <w:right w:val="single" w:sz="4" w:space="0" w:color="auto"/>
            </w:tcBorders>
            <w:shd w:val="clear" w:color="auto" w:fill="auto"/>
            <w:noWrap/>
            <w:vAlign w:val="center"/>
            <w:hideMark/>
          </w:tcPr>
          <w:p w14:paraId="02309B17" w14:textId="77777777" w:rsidR="00A74466" w:rsidRPr="00D67150" w:rsidRDefault="00A74466" w:rsidP="00A74466">
            <w:pPr>
              <w:spacing w:after="0" w:line="240" w:lineRule="auto"/>
              <w:jc w:val="right"/>
              <w:rPr>
                <w:rFonts w:cs="Arial"/>
                <w:b/>
                <w:bCs/>
                <w:color w:val="00B050"/>
                <w:sz w:val="16"/>
                <w:szCs w:val="16"/>
              </w:rPr>
            </w:pPr>
            <w:r w:rsidRPr="00D67150">
              <w:rPr>
                <w:rFonts w:cs="Arial"/>
                <w:b/>
                <w:bCs/>
                <w:color w:val="00B050"/>
                <w:sz w:val="16"/>
                <w:szCs w:val="16"/>
              </w:rPr>
              <w:t>78,8</w:t>
            </w:r>
          </w:p>
        </w:tc>
      </w:tr>
    </w:tbl>
    <w:p w14:paraId="2953D66D" w14:textId="29CBB820" w:rsidR="004B6E0E" w:rsidRPr="009C4714" w:rsidRDefault="009C4714" w:rsidP="009C4714">
      <w:pPr>
        <w:spacing w:before="120" w:after="120"/>
        <w:jc w:val="right"/>
        <w:rPr>
          <w:szCs w:val="20"/>
        </w:rPr>
      </w:pPr>
      <w:r w:rsidRPr="003D1467">
        <w:rPr>
          <w:szCs w:val="20"/>
        </w:rPr>
        <w:t>Zdroj: ČSÚ</w:t>
      </w:r>
    </w:p>
    <w:p w14:paraId="63E3D911" w14:textId="2A2C0515" w:rsidR="00310FE5" w:rsidRDefault="00D97F15" w:rsidP="00D97F15">
      <w:pPr>
        <w:pStyle w:val="Nadpis2"/>
        <w:spacing w:after="120"/>
      </w:pPr>
      <w:bookmarkStart w:id="21" w:name="_Toc126664228"/>
      <w:r>
        <w:t>4.2 Důvody nezajišťování vzdělávání v podnicích</w:t>
      </w:r>
      <w:bookmarkEnd w:id="21"/>
    </w:p>
    <w:p w14:paraId="0E525894" w14:textId="55038B0A" w:rsidR="005B1C06" w:rsidRDefault="006C4F14" w:rsidP="00606CD5">
      <w:pPr>
        <w:spacing w:after="120"/>
        <w:jc w:val="both"/>
      </w:pPr>
      <w:r>
        <w:t>Jen 14</w:t>
      </w:r>
      <w:r w:rsidR="005B1C06">
        <w:t xml:space="preserve"> % </w:t>
      </w:r>
      <w:r w:rsidR="00106A3E">
        <w:t xml:space="preserve">podniků </w:t>
      </w:r>
      <w:r w:rsidR="005B1C06">
        <w:t>dle výsledků šetření v roce 2020 nezaji</w:t>
      </w:r>
      <w:r w:rsidR="008319F3">
        <w:t>šťovala</w:t>
      </w:r>
      <w:r w:rsidR="005B1C06">
        <w:t xml:space="preserve"> žádné vzdělávání, ať již ze zákona povinné,</w:t>
      </w:r>
      <w:r w:rsidR="00106A3E">
        <w:t xml:space="preserve"> nebo to, které si </w:t>
      </w:r>
      <w:r w:rsidR="00A032E0">
        <w:t xml:space="preserve">podniky </w:t>
      </w:r>
      <w:r w:rsidR="00106A3E">
        <w:t>samy zvolily</w:t>
      </w:r>
      <w:r w:rsidR="005B1C06">
        <w:t xml:space="preserve"> (</w:t>
      </w:r>
      <w:r w:rsidR="00106A3E">
        <w:t xml:space="preserve">pozn.: </w:t>
      </w:r>
      <w:r w:rsidR="005B1C06">
        <w:t xml:space="preserve">ze zákona povinná školení není potřeba podstupovat každý rok). Těmto podnikům pak byla položena otázka, z jakého důvodu vzdělávání nezajišťovaly.  </w:t>
      </w:r>
    </w:p>
    <w:p w14:paraId="73B9C6CB" w14:textId="2237C648" w:rsidR="00606CD5" w:rsidRDefault="0058138D" w:rsidP="00606CD5">
      <w:pPr>
        <w:spacing w:after="120"/>
        <w:jc w:val="both"/>
      </w:pPr>
      <w:r>
        <w:t xml:space="preserve">Polovina podniků nezajišťujících vzdělávání uvedla, že vzdělávání zaměstnanců nebylo potřeba, protože </w:t>
      </w:r>
      <w:r w:rsidRPr="00106A3E">
        <w:rPr>
          <w:b/>
        </w:rPr>
        <w:t>stávající kvalifikace, dovednosti a schopnosti zaměstnanců odpovídaly aktuálním potřebám podniku</w:t>
      </w:r>
      <w:r w:rsidR="006C4F14">
        <w:t xml:space="preserve"> </w:t>
      </w:r>
      <w:r w:rsidR="006C4F14">
        <w:lastRenderedPageBreak/>
        <w:t>(53</w:t>
      </w:r>
      <w:r>
        <w:t> %)</w:t>
      </w:r>
      <w:r w:rsidRPr="000D07AC">
        <w:t>.</w:t>
      </w:r>
      <w:r w:rsidR="008F3748">
        <w:t xml:space="preserve"> Celkem</w:t>
      </w:r>
      <w:r w:rsidR="006C4F14">
        <w:t xml:space="preserve"> 22</w:t>
      </w:r>
      <w:r>
        <w:t xml:space="preserve"> % jich </w:t>
      </w:r>
      <w:r w:rsidR="008F3748">
        <w:t xml:space="preserve">také uvedlo, že </w:t>
      </w:r>
      <w:r>
        <w:t xml:space="preserve">nezajišťovalo vzdělávání (ať již výhradně, či nikoliv) </w:t>
      </w:r>
      <w:r w:rsidRPr="00106A3E">
        <w:rPr>
          <w:b/>
        </w:rPr>
        <w:t>z důvodů souvisejících s epidemií onemocnění COVID-19</w:t>
      </w:r>
      <w:r>
        <w:t xml:space="preserve">. </w:t>
      </w:r>
      <w:r w:rsidR="00606CD5">
        <w:t>Podniků neza</w:t>
      </w:r>
      <w:r w:rsidR="007D1EE0">
        <w:t>jišťujících vzdělávání, které uvedly alespoň</w:t>
      </w:r>
      <w:r w:rsidR="00606CD5">
        <w:t xml:space="preserve"> jeden z těc</w:t>
      </w:r>
      <w:r w:rsidR="007D1EE0">
        <w:t>hto stěžejních důvodů, bylo 5</w:t>
      </w:r>
      <w:r w:rsidR="00B777E6">
        <w:t>6</w:t>
      </w:r>
      <w:r w:rsidR="00606CD5">
        <w:t xml:space="preserve"> %. </w:t>
      </w:r>
    </w:p>
    <w:p w14:paraId="0192FEC4" w14:textId="42372C83" w:rsidR="0058138D" w:rsidRDefault="008F3748" w:rsidP="00606CD5">
      <w:pPr>
        <w:spacing w:after="120"/>
        <w:jc w:val="both"/>
      </w:pPr>
      <w:r>
        <w:t>Ostatní</w:t>
      </w:r>
      <w:r w:rsidR="0058138D">
        <w:t xml:space="preserve"> důvody, které byly podnikům v dotazníku </w:t>
      </w:r>
      <w:r w:rsidR="00606CD5">
        <w:t>nabídnut</w:t>
      </w:r>
      <w:r w:rsidR="0058138D">
        <w:t xml:space="preserve">y, uvedlo vždy jen méně než 5 % těchto </w:t>
      </w:r>
      <w:r w:rsidR="006C4F14">
        <w:t>podniků (viz graf 4.1) oproti 28 </w:t>
      </w:r>
      <w:r w:rsidR="0058138D">
        <w:t xml:space="preserve">% těch, které označily, že k nezajišťování vzdělávání je vedly jiné, v dotazníku již nespecifikované, důvody.  </w:t>
      </w:r>
    </w:p>
    <w:p w14:paraId="5F12D3B6" w14:textId="77777777" w:rsidR="003503EE" w:rsidRPr="003503EE" w:rsidRDefault="003503EE" w:rsidP="003503EE">
      <w:pPr>
        <w:keepNext/>
        <w:spacing w:after="0"/>
        <w:jc w:val="both"/>
        <w:rPr>
          <w:b/>
        </w:rPr>
      </w:pPr>
      <w:r w:rsidRPr="003503EE">
        <w:rPr>
          <w:b/>
        </w:rPr>
        <w:t>Graf 4.1 Podniky s uvedenými překážkami znemožňujícími vzdělávání zaměstnanců, 2020</w:t>
      </w:r>
    </w:p>
    <w:p w14:paraId="69FBBA71" w14:textId="67911B1F" w:rsidR="003503EE" w:rsidRPr="003503EE" w:rsidRDefault="003503EE" w:rsidP="003503EE">
      <w:pPr>
        <w:keepNext/>
        <w:spacing w:after="120"/>
        <w:jc w:val="both"/>
      </w:pPr>
      <w:r w:rsidRPr="003503EE">
        <w:t>(</w:t>
      </w:r>
      <w:r w:rsidR="00212A82">
        <w:t xml:space="preserve">v </w:t>
      </w:r>
      <w:r w:rsidRPr="003503EE">
        <w:t>% z podniků nezajišťujících vzdělávání)</w:t>
      </w:r>
    </w:p>
    <w:p w14:paraId="6243A9AF" w14:textId="056AB704" w:rsidR="000D07AC" w:rsidRPr="00937332" w:rsidRDefault="00AB3BDE" w:rsidP="003503EE">
      <w:pPr>
        <w:keepNext/>
        <w:spacing w:after="120"/>
        <w:jc w:val="both"/>
        <w:rPr>
          <w:b/>
        </w:rPr>
      </w:pPr>
      <w:r>
        <w:rPr>
          <w:noProof/>
        </w:rPr>
        <w:drawing>
          <wp:inline distT="0" distB="0" distL="0" distR="0" wp14:anchorId="3C613A1E" wp14:editId="62AD9208">
            <wp:extent cx="6120130" cy="4200525"/>
            <wp:effectExtent l="0" t="0" r="13970"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C428AB5" w14:textId="4F238CC9" w:rsidR="009C4714" w:rsidRPr="009C4714" w:rsidRDefault="009C4714" w:rsidP="009C4714">
      <w:pPr>
        <w:spacing w:before="120" w:after="120"/>
        <w:jc w:val="right"/>
        <w:rPr>
          <w:szCs w:val="20"/>
        </w:rPr>
      </w:pPr>
      <w:r w:rsidRPr="003D1467">
        <w:rPr>
          <w:szCs w:val="20"/>
        </w:rPr>
        <w:t>Zdroj: ČSÚ</w:t>
      </w:r>
    </w:p>
    <w:p w14:paraId="2830CC62" w14:textId="416E5726" w:rsidR="003F0D5D" w:rsidRDefault="003F0D5D" w:rsidP="003F0D5D">
      <w:pPr>
        <w:spacing w:after="120"/>
        <w:jc w:val="both"/>
      </w:pPr>
      <w:r>
        <w:t>S ohledem na tyto značné rozdíly v podílech odpovědí a na již tak nízký podíl podniků nezajišťujících žádné vzdělávání si pro dělení odpovědí dle třídících proměnných vybereme pouze nejčastěji zmíněné důvody, a sice že stávající kvalifikace, dovednosti a schopnosti zaměstnanců odpovídaly aktuálním potřebám podn</w:t>
      </w:r>
      <w:r w:rsidR="003E2DB7">
        <w:t>iku</w:t>
      </w:r>
      <w:r>
        <w:t xml:space="preserve"> a že podnik nezajišťoval vzdělávání z důvodů souvisejících s epidemií onemocnění covid-19.</w:t>
      </w:r>
    </w:p>
    <w:p w14:paraId="2ADF218D" w14:textId="23348676" w:rsidR="0077533D" w:rsidRDefault="0077533D" w:rsidP="00310FE5">
      <w:pPr>
        <w:jc w:val="both"/>
      </w:pPr>
      <w:r>
        <w:t xml:space="preserve">Pokud se jedná o důvod, že </w:t>
      </w:r>
      <w:r w:rsidRPr="000D2F44">
        <w:rPr>
          <w:b/>
        </w:rPr>
        <w:t>stávající dovednosti, schopnosti a kvalifikace zaměstnanců odpovídaly potřebám podniku</w:t>
      </w:r>
      <w:r>
        <w:t>, platí, ž</w:t>
      </w:r>
      <w:r w:rsidR="009D13FA">
        <w:t>e čím více zaměstnanců podniky měly, tím byl</w:t>
      </w:r>
      <w:r>
        <w:t xml:space="preserve"> tento důvod pro nezajišťování vzdělávání v podnicích méně častý</w:t>
      </w:r>
      <w:r w:rsidR="009D13FA">
        <w:t>, viz graf 4.2</w:t>
      </w:r>
      <w:r w:rsidR="006C4F14">
        <w:t>. Uvedlo jej 56</w:t>
      </w:r>
      <w:r>
        <w:t> % podniků s 10</w:t>
      </w:r>
      <w:r w:rsidR="00BF1793">
        <w:t>–</w:t>
      </w:r>
      <w:r w:rsidR="006C4F14">
        <w:t>19 zaměstnanci oproti 15</w:t>
      </w:r>
      <w:r>
        <w:t xml:space="preserve"> % podniků s 250 a více zaměstnanci. Je pochopitelné, že při větším počtu zaměstnanců v podniku je pravděpodobnější, že alespoň někteří z nich budou vzdělávání potřebovat. Více spokojené s kvalifikací a dovednostmi zaměstnanců byly také podniky </w:t>
      </w:r>
      <w:r w:rsidR="00B166F3">
        <w:t>domácí</w:t>
      </w:r>
      <w:r w:rsidR="006C4F14">
        <w:t xml:space="preserve"> (55</w:t>
      </w:r>
      <w:r>
        <w:t xml:space="preserve"> % z těch neposkytujících vzdělávání) než podniky </w:t>
      </w:r>
      <w:r w:rsidR="00B166F3">
        <w:t>pod zahraniční kontrolou</w:t>
      </w:r>
      <w:r w:rsidR="006C4F14">
        <w:t xml:space="preserve"> (35</w:t>
      </w:r>
      <w:r>
        <w:t> %</w:t>
      </w:r>
      <w:r w:rsidRPr="0077533D">
        <w:t xml:space="preserve"> </w:t>
      </w:r>
      <w:r>
        <w:t>z těch neposkytujícíc</w:t>
      </w:r>
      <w:r w:rsidR="00C63F3E">
        <w:t>h vzdělávání). Pokud se jedná o </w:t>
      </w:r>
      <w:r>
        <w:t>dělení dle převažující ekonomické činnosti, uvedlo tento důvod nezajišťování vzdělávání téměř 70 % podniků nezajišťující</w:t>
      </w:r>
      <w:r w:rsidR="0032500D">
        <w:t>ch</w:t>
      </w:r>
      <w:r>
        <w:t xml:space="preserve"> vzdělávání působící</w:t>
      </w:r>
      <w:r w:rsidR="0032500D">
        <w:t>ch</w:t>
      </w:r>
      <w:r>
        <w:t xml:space="preserve"> v oblasti </w:t>
      </w:r>
      <w:r w:rsidRPr="00145C3A">
        <w:rPr>
          <w:i/>
        </w:rPr>
        <w:t>informační a komunikační činnosti</w:t>
      </w:r>
      <w:r>
        <w:t xml:space="preserve"> a také v oblasti </w:t>
      </w:r>
      <w:r w:rsidRPr="00145C3A">
        <w:rPr>
          <w:i/>
        </w:rPr>
        <w:t>stavebnictví</w:t>
      </w:r>
      <w:r>
        <w:t xml:space="preserve">. </w:t>
      </w:r>
      <w:r w:rsidR="0032500D">
        <w:t xml:space="preserve">U ostatních odvětví činí tento podíl 55 % a méně, nejméně pak mezi podniky nezajišťujícími vzdělávání a působícími v oblasti </w:t>
      </w:r>
      <w:r w:rsidR="0032500D" w:rsidRPr="00145C3A">
        <w:rPr>
          <w:i/>
        </w:rPr>
        <w:t>peněžnictví a pojišťovnictví</w:t>
      </w:r>
      <w:r w:rsidR="006C4F14">
        <w:t xml:space="preserve"> (30</w:t>
      </w:r>
      <w:r w:rsidR="0032500D">
        <w:t xml:space="preserve"> %). </w:t>
      </w:r>
    </w:p>
    <w:p w14:paraId="414CC6A2" w14:textId="08AEC649" w:rsidR="003503EE" w:rsidRDefault="003503EE" w:rsidP="00212A82">
      <w:pPr>
        <w:keepNext/>
        <w:spacing w:after="0"/>
        <w:jc w:val="both"/>
        <w:rPr>
          <w:b/>
        </w:rPr>
      </w:pPr>
      <w:r>
        <w:rPr>
          <w:b/>
        </w:rPr>
        <w:lastRenderedPageBreak/>
        <w:t>Graf 4.2 Podniky ne</w:t>
      </w:r>
      <w:r w:rsidRPr="003503EE">
        <w:rPr>
          <w:b/>
        </w:rPr>
        <w:t>vzdě</w:t>
      </w:r>
      <w:r>
        <w:rPr>
          <w:b/>
        </w:rPr>
        <w:t xml:space="preserve">lávající z důvodu, že </w:t>
      </w:r>
      <w:r w:rsidR="00212A82">
        <w:rPr>
          <w:b/>
        </w:rPr>
        <w:t>dovednosti zaměstnanců</w:t>
      </w:r>
      <w:r w:rsidRPr="003503EE">
        <w:rPr>
          <w:b/>
        </w:rPr>
        <w:t xml:space="preserve"> byly dostačující, 2020</w:t>
      </w:r>
    </w:p>
    <w:p w14:paraId="33F98110" w14:textId="5C0A2909" w:rsidR="00212A82" w:rsidRDefault="00212A82" w:rsidP="00FC21BE">
      <w:pPr>
        <w:keepNext/>
        <w:spacing w:after="120" w:line="240" w:lineRule="auto"/>
        <w:jc w:val="both"/>
      </w:pPr>
      <w:r w:rsidRPr="00212A82">
        <w:t>(v % z podniků nezajišťujících vzdělávání)</w:t>
      </w:r>
    </w:p>
    <w:p w14:paraId="2AEB126F" w14:textId="6F27BBF9" w:rsidR="000D07AC" w:rsidRPr="00FC21BE" w:rsidRDefault="00FC21BE" w:rsidP="00BF1793">
      <w:pPr>
        <w:keepNext/>
        <w:spacing w:after="0" w:line="240" w:lineRule="auto"/>
        <w:jc w:val="both"/>
      </w:pPr>
      <w:r>
        <w:rPr>
          <w:noProof/>
        </w:rPr>
        <w:drawing>
          <wp:inline distT="0" distB="0" distL="0" distR="0" wp14:anchorId="7E239B2D" wp14:editId="52FF10D7">
            <wp:extent cx="6086475" cy="452437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100E275" w14:textId="7143A4A5" w:rsidR="009C4714" w:rsidRPr="009C4714" w:rsidRDefault="009C4714" w:rsidP="009C4714">
      <w:pPr>
        <w:spacing w:before="120" w:after="120"/>
        <w:jc w:val="right"/>
        <w:rPr>
          <w:szCs w:val="20"/>
        </w:rPr>
      </w:pPr>
      <w:r w:rsidRPr="003D1467">
        <w:rPr>
          <w:szCs w:val="20"/>
        </w:rPr>
        <w:t>Zdroj: ČSÚ</w:t>
      </w:r>
    </w:p>
    <w:p w14:paraId="194756A9" w14:textId="1AC9D5E1" w:rsidR="0032500D" w:rsidRPr="0032500D" w:rsidRDefault="0032500D" w:rsidP="00145C3A">
      <w:pPr>
        <w:jc w:val="both"/>
      </w:pPr>
      <w:r>
        <w:t xml:space="preserve">Přejděme na podíl podniků nezajišťujících vzdělávání, které uvedly jako důvod (mj. či výhradně) </w:t>
      </w:r>
      <w:r w:rsidRPr="000D2F44">
        <w:rPr>
          <w:b/>
        </w:rPr>
        <w:t>překážky spojené s epidemií onemocnění covid-19</w:t>
      </w:r>
      <w:r w:rsidR="004E1A53">
        <w:t xml:space="preserve"> (celkově 22</w:t>
      </w:r>
      <w:r>
        <w:t> %)</w:t>
      </w:r>
      <w:r w:rsidR="009D13FA">
        <w:t>, viz graf 4.3</w:t>
      </w:r>
      <w:r>
        <w:t>. Lze říci, že od průměru za všechny podniky se zejména výrazně vychýlila skupina podniků s 250</w:t>
      </w:r>
      <w:r w:rsidR="004E1A53">
        <w:t xml:space="preserve"> a více zaměstnanci. Celkem 36</w:t>
      </w:r>
      <w:r>
        <w:t> % takto velkých podniků nezajišťujících vzdělávání uvedlo důvody spojené s</w:t>
      </w:r>
      <w:r w:rsidR="009D13FA">
        <w:t> </w:t>
      </w:r>
      <w:r>
        <w:t>pandemií</w:t>
      </w:r>
      <w:r w:rsidR="009D13FA">
        <w:t xml:space="preserve"> oproti cca pětině podniků v ostatních velikostních kategoriích</w:t>
      </w:r>
      <w:r w:rsidR="004E1A53">
        <w:t xml:space="preserve"> (21</w:t>
      </w:r>
      <w:r w:rsidR="003E2DB7">
        <w:t>–</w:t>
      </w:r>
      <w:r w:rsidR="004E1A53">
        <w:t>22</w:t>
      </w:r>
      <w:r w:rsidR="00764C1B">
        <w:t xml:space="preserve"> %)</w:t>
      </w:r>
      <w:r>
        <w:t xml:space="preserve">. Výrazně větší roli také hrály u podniků </w:t>
      </w:r>
      <w:r w:rsidR="009C0C6B">
        <w:t>pod zahraniční kontrolou</w:t>
      </w:r>
      <w:r w:rsidR="004E1A53">
        <w:t xml:space="preserve"> (38</w:t>
      </w:r>
      <w:r>
        <w:t xml:space="preserve"> %) oproti podnikům </w:t>
      </w:r>
      <w:r w:rsidR="009C0C6B">
        <w:t>domácím</w:t>
      </w:r>
      <w:r w:rsidR="004E1A53">
        <w:t xml:space="preserve"> (21</w:t>
      </w:r>
      <w:r>
        <w:t xml:space="preserve"> %). Pokud se jedná o dělení dle hlavní ekonomické činnosti podniku, pak tento důvod uvedla </w:t>
      </w:r>
      <w:r w:rsidR="003E2DB7">
        <w:t xml:space="preserve">cca </w:t>
      </w:r>
      <w:r>
        <w:t xml:space="preserve">třetina a více podniků nezajišťujících vzdělávání působících v oblasti </w:t>
      </w:r>
      <w:r w:rsidRPr="00145C3A">
        <w:rPr>
          <w:i/>
        </w:rPr>
        <w:t>kulturní, zábavní a rekreační činnosti</w:t>
      </w:r>
      <w:r w:rsidR="004E1A53">
        <w:t xml:space="preserve"> (36</w:t>
      </w:r>
      <w:r>
        <w:t xml:space="preserve"> %), profesní, </w:t>
      </w:r>
      <w:r w:rsidRPr="00145C3A">
        <w:rPr>
          <w:i/>
        </w:rPr>
        <w:t>vědecké a technické činnosti</w:t>
      </w:r>
      <w:r w:rsidR="004E1A53">
        <w:t xml:space="preserve"> (33</w:t>
      </w:r>
      <w:r>
        <w:t xml:space="preserve"> %) a v oblasti </w:t>
      </w:r>
      <w:r w:rsidRPr="00145C3A">
        <w:rPr>
          <w:i/>
        </w:rPr>
        <w:t>ubytování, stravování a pohostinství</w:t>
      </w:r>
      <w:r w:rsidR="004E1A53">
        <w:t xml:space="preserve"> (32</w:t>
      </w:r>
      <w:r>
        <w:t xml:space="preserve"> %).  </w:t>
      </w:r>
      <w:r w:rsidR="00CE5902">
        <w:t xml:space="preserve">U podniků jiných odvětví už byl tento podíl čtvrtinový a nižší, nejnižší pak mezi podniky nezajišťujícími vzdělávání věnujícími se </w:t>
      </w:r>
      <w:r w:rsidR="00CE5902" w:rsidRPr="00145C3A">
        <w:rPr>
          <w:i/>
        </w:rPr>
        <w:t>informační a komunikační činnosti</w:t>
      </w:r>
      <w:r w:rsidR="004E1A53">
        <w:t xml:space="preserve"> (12</w:t>
      </w:r>
      <w:r w:rsidR="00CE5902">
        <w:t> %).</w:t>
      </w:r>
      <w:r>
        <w:t xml:space="preserve">   </w:t>
      </w:r>
    </w:p>
    <w:p w14:paraId="62B138BA" w14:textId="639EF9E3" w:rsidR="0077533D" w:rsidRDefault="000B7D71" w:rsidP="00212A82">
      <w:pPr>
        <w:keepNext/>
        <w:spacing w:after="0"/>
        <w:jc w:val="both"/>
        <w:rPr>
          <w:b/>
        </w:rPr>
      </w:pPr>
      <w:r>
        <w:rPr>
          <w:b/>
        </w:rPr>
        <w:lastRenderedPageBreak/>
        <w:t>Graf 4.3</w:t>
      </w:r>
      <w:r w:rsidR="0077533D" w:rsidRPr="0077533D">
        <w:rPr>
          <w:b/>
        </w:rPr>
        <w:t xml:space="preserve"> </w:t>
      </w:r>
      <w:r w:rsidR="00212A82">
        <w:rPr>
          <w:b/>
        </w:rPr>
        <w:t xml:space="preserve">Podniky nevzdělávající </w:t>
      </w:r>
      <w:r w:rsidR="0077533D" w:rsidRPr="0077533D">
        <w:rPr>
          <w:b/>
        </w:rPr>
        <w:t xml:space="preserve">z důvodů souvisejících s epidemií </w:t>
      </w:r>
      <w:r w:rsidR="00212A82">
        <w:rPr>
          <w:b/>
        </w:rPr>
        <w:t>onemocnění COVID-19, 2020</w:t>
      </w:r>
    </w:p>
    <w:p w14:paraId="64E57060" w14:textId="153D9957" w:rsidR="00212A82" w:rsidRDefault="00212A82" w:rsidP="00CE5902">
      <w:pPr>
        <w:keepNext/>
        <w:spacing w:after="120"/>
        <w:jc w:val="both"/>
      </w:pPr>
      <w:r w:rsidRPr="00212A82">
        <w:t>(v % z podniků nezajišťujících vzdělávání)</w:t>
      </w:r>
    </w:p>
    <w:p w14:paraId="085250D2" w14:textId="1B94D844" w:rsidR="00310FE5" w:rsidRPr="00FC21BE" w:rsidRDefault="00FC21BE" w:rsidP="00BF1793">
      <w:pPr>
        <w:keepNext/>
        <w:spacing w:after="120"/>
        <w:jc w:val="both"/>
      </w:pPr>
      <w:r>
        <w:rPr>
          <w:noProof/>
        </w:rPr>
        <w:drawing>
          <wp:inline distT="0" distB="0" distL="0" distR="0" wp14:anchorId="27DEC2B6" wp14:editId="0E315C39">
            <wp:extent cx="6105525" cy="4391025"/>
            <wp:effectExtent l="0" t="0" r="9525" b="952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D484E36" w14:textId="6A19033D" w:rsidR="00895B48" w:rsidRPr="009C4714" w:rsidRDefault="009C4714" w:rsidP="009C4714">
      <w:pPr>
        <w:spacing w:before="120" w:after="120"/>
        <w:jc w:val="right"/>
        <w:rPr>
          <w:szCs w:val="20"/>
        </w:rPr>
      </w:pPr>
      <w:r w:rsidRPr="003D1467">
        <w:rPr>
          <w:szCs w:val="20"/>
        </w:rPr>
        <w:t>Zdroj: ČSÚ</w:t>
      </w:r>
    </w:p>
    <w:p w14:paraId="72441B3F" w14:textId="0B141E81" w:rsidR="00BD2C60" w:rsidRDefault="00BD2C60">
      <w:pPr>
        <w:spacing w:after="0" w:line="240" w:lineRule="auto"/>
        <w:rPr>
          <w:rFonts w:eastAsia="MS Gothic"/>
          <w:b/>
          <w:bCs/>
          <w:color w:val="C00000"/>
          <w:sz w:val="32"/>
          <w:szCs w:val="28"/>
        </w:rPr>
      </w:pPr>
      <w:r>
        <w:br w:type="page"/>
      </w:r>
    </w:p>
    <w:p w14:paraId="6ED6799E" w14:textId="6EAA5CC9" w:rsidR="00274775" w:rsidRDefault="00274775" w:rsidP="00274775">
      <w:pPr>
        <w:pStyle w:val="Nadpis1"/>
      </w:pPr>
      <w:bookmarkStart w:id="22" w:name="_Toc126664229"/>
      <w:r>
        <w:lastRenderedPageBreak/>
        <w:t xml:space="preserve">Kapitola 5: Zajišťování praxe </w:t>
      </w:r>
      <w:r w:rsidR="006D38D9">
        <w:t xml:space="preserve">žáků/studentů počátečního vzdělávání </w:t>
      </w:r>
      <w:r>
        <w:t>v podnicích</w:t>
      </w:r>
      <w:bookmarkEnd w:id="22"/>
    </w:p>
    <w:p w14:paraId="11B985C6" w14:textId="596622EC" w:rsidR="00D16F01" w:rsidRDefault="00182C79" w:rsidP="00182C79">
      <w:pPr>
        <w:jc w:val="both"/>
      </w:pPr>
      <w:r>
        <w:t>Spolupráce</w:t>
      </w:r>
      <w:r w:rsidRPr="00861BEF">
        <w:t xml:space="preserve"> </w:t>
      </w:r>
      <w:r w:rsidR="00C63F3E">
        <w:t>podniků</w:t>
      </w:r>
      <w:r w:rsidRPr="00861BEF">
        <w:t xml:space="preserve"> a škol může být obohacující pro obě zúčastněné instituce.</w:t>
      </w:r>
      <w:r>
        <w:t xml:space="preserve"> Školám, resp. zejména jejich studentům, spolupráce s </w:t>
      </w:r>
      <w:r w:rsidR="00C63F3E">
        <w:t>podniky</w:t>
      </w:r>
      <w:r>
        <w:t xml:space="preserve"> zajišťuje pohled do</w:t>
      </w:r>
      <w:r w:rsidRPr="00861BEF">
        <w:t xml:space="preserve"> </w:t>
      </w:r>
      <w:r>
        <w:t>praxe a přináší obohacující prvek teorie probírané ve škole. Stejně tak tento vhled pomáhá i učitelům, kteří mohou ve svých hodinách lépe reagovat na změny, které v oboru probíhají</w:t>
      </w:r>
      <w:r w:rsidR="00C63F3E">
        <w:t>,</w:t>
      </w:r>
      <w:r>
        <w:t xml:space="preserve"> a zároveň se s nimi sami seznamovat. </w:t>
      </w:r>
      <w:r w:rsidR="00C63F3E">
        <w:t xml:space="preserve">Podnikům </w:t>
      </w:r>
      <w:r>
        <w:t xml:space="preserve">může tato forma spolupráce přinášet pohled do teoretické přípravy budoucích absolventů a mohou tak lépe reagovat na jejich případné chybějící znalosti. Kromě jiného i z této situace vycházejí následné vzdělávací potřeby zaměstnanců firmy, jejichž množství a míru je tak možné spoluprací se školami částečně ovlivňovat. Zároveň mohou </w:t>
      </w:r>
      <w:r w:rsidR="00C63F3E">
        <w:t xml:space="preserve">podniky </w:t>
      </w:r>
      <w:r w:rsidR="00044F58">
        <w:t xml:space="preserve">v průběhu praxe v podniku </w:t>
      </w:r>
      <w:r>
        <w:t xml:space="preserve">vyhledávat nadané </w:t>
      </w:r>
      <w:r w:rsidR="00044F58">
        <w:t>žáky/</w:t>
      </w:r>
      <w:r>
        <w:t xml:space="preserve">studenty a případně jim nabídnout zaměstnání po absolvování školy. </w:t>
      </w:r>
      <w:r w:rsidR="00C63F3E">
        <w:t>Podniky</w:t>
      </w:r>
      <w:r>
        <w:t xml:space="preserve"> často pozitivně hodnotí možnost ovlivnit pracovní dráhu takto vybraného absolventa/nového zaměstnance ihned v počátcích, bez toho aniž by si jinde vytvořil pracovní návyky, které se s chodem konkrétní</w:t>
      </w:r>
      <w:r w:rsidR="00044F58">
        <w:t>ho podniku</w:t>
      </w:r>
      <w:r>
        <w:t xml:space="preserve"> neslučují.</w:t>
      </w:r>
    </w:p>
    <w:p w14:paraId="634D44B6" w14:textId="5051F9E2" w:rsidR="00AF7511" w:rsidRDefault="00D16F01" w:rsidP="00AF7511">
      <w:pPr>
        <w:pStyle w:val="Nadpis2"/>
        <w:spacing w:after="120"/>
      </w:pPr>
      <w:bookmarkStart w:id="23" w:name="_Toc126664230"/>
      <w:r>
        <w:t>Hlavní zjištění</w:t>
      </w:r>
      <w:bookmarkEnd w:id="23"/>
    </w:p>
    <w:p w14:paraId="2651E185" w14:textId="7F37FA85" w:rsidR="00AF7511" w:rsidRPr="00AF7511" w:rsidRDefault="004E1A53" w:rsidP="00AF7511">
      <w:pPr>
        <w:pStyle w:val="Odstavecseseznamem"/>
        <w:numPr>
          <w:ilvl w:val="0"/>
          <w:numId w:val="22"/>
        </w:numPr>
        <w:spacing w:after="160" w:line="259" w:lineRule="auto"/>
        <w:jc w:val="both"/>
        <w:rPr>
          <w:rFonts w:ascii="Arial" w:hAnsi="Arial" w:cs="Arial"/>
          <w:sz w:val="20"/>
          <w:szCs w:val="20"/>
        </w:rPr>
      </w:pPr>
      <w:r>
        <w:rPr>
          <w:rFonts w:ascii="Arial" w:hAnsi="Arial" w:cs="Arial"/>
          <w:sz w:val="20"/>
          <w:szCs w:val="20"/>
        </w:rPr>
        <w:t>Celkem 26</w:t>
      </w:r>
      <w:r w:rsidR="00AF7511" w:rsidRPr="00AF7511">
        <w:rPr>
          <w:rFonts w:ascii="Arial" w:hAnsi="Arial" w:cs="Arial"/>
          <w:sz w:val="20"/>
          <w:szCs w:val="20"/>
        </w:rPr>
        <w:t> % podniků uvedlo, že žáky/studenty na praxi</w:t>
      </w:r>
      <w:r w:rsidR="00AF7511">
        <w:rPr>
          <w:rFonts w:ascii="Arial" w:hAnsi="Arial" w:cs="Arial"/>
          <w:sz w:val="20"/>
          <w:szCs w:val="20"/>
        </w:rPr>
        <w:t xml:space="preserve"> v roce 2020 přijímaly</w:t>
      </w:r>
      <w:r w:rsidR="00AF7511" w:rsidRPr="00AF7511">
        <w:rPr>
          <w:rFonts w:ascii="Arial" w:hAnsi="Arial" w:cs="Arial"/>
          <w:sz w:val="20"/>
          <w:szCs w:val="20"/>
        </w:rPr>
        <w:t>, přičemž čím ví</w:t>
      </w:r>
      <w:r w:rsidR="000F15F3">
        <w:rPr>
          <w:rFonts w:ascii="Arial" w:hAnsi="Arial" w:cs="Arial"/>
          <w:sz w:val="20"/>
          <w:szCs w:val="20"/>
        </w:rPr>
        <w:t>ce zaměstnanců podnik měl</w:t>
      </w:r>
      <w:r w:rsidR="00E639CC">
        <w:rPr>
          <w:rFonts w:ascii="Arial" w:hAnsi="Arial" w:cs="Arial"/>
          <w:sz w:val="20"/>
          <w:szCs w:val="20"/>
        </w:rPr>
        <w:t>, tím bylo takové</w:t>
      </w:r>
      <w:r w:rsidR="003C624C">
        <w:rPr>
          <w:rFonts w:ascii="Arial" w:hAnsi="Arial" w:cs="Arial"/>
          <w:sz w:val="20"/>
          <w:szCs w:val="20"/>
        </w:rPr>
        <w:t xml:space="preserve"> počínání</w:t>
      </w:r>
      <w:r w:rsidR="00AF7511" w:rsidRPr="00AF7511">
        <w:rPr>
          <w:rFonts w:ascii="Arial" w:hAnsi="Arial" w:cs="Arial"/>
          <w:sz w:val="20"/>
          <w:szCs w:val="20"/>
        </w:rPr>
        <w:t xml:space="preserve"> běžnější. </w:t>
      </w:r>
    </w:p>
    <w:p w14:paraId="2E457845" w14:textId="4F9135F8" w:rsidR="00AF7511" w:rsidRPr="00AF7511" w:rsidRDefault="00AF7511" w:rsidP="00AF7511">
      <w:pPr>
        <w:pStyle w:val="Odstavecseseznamem"/>
        <w:numPr>
          <w:ilvl w:val="0"/>
          <w:numId w:val="22"/>
        </w:numPr>
        <w:spacing w:after="160" w:line="259" w:lineRule="auto"/>
        <w:jc w:val="both"/>
        <w:rPr>
          <w:rFonts w:ascii="Arial" w:hAnsi="Arial" w:cs="Arial"/>
          <w:sz w:val="20"/>
          <w:szCs w:val="20"/>
        </w:rPr>
      </w:pPr>
      <w:r w:rsidRPr="00AF7511">
        <w:rPr>
          <w:rFonts w:ascii="Arial" w:hAnsi="Arial" w:cs="Arial"/>
          <w:sz w:val="20"/>
          <w:szCs w:val="20"/>
        </w:rPr>
        <w:t>Co se týče dělení dle převažující</w:t>
      </w:r>
      <w:r w:rsidR="00270AB8">
        <w:rPr>
          <w:rFonts w:ascii="Arial" w:hAnsi="Arial" w:cs="Arial"/>
          <w:sz w:val="20"/>
          <w:szCs w:val="20"/>
        </w:rPr>
        <w:t xml:space="preserve"> ekonomické činnosti, bylo přijímání žáků/studentů na praxi běžné pro</w:t>
      </w:r>
      <w:r w:rsidR="002A3940">
        <w:rPr>
          <w:rFonts w:ascii="Arial" w:hAnsi="Arial" w:cs="Arial"/>
          <w:sz w:val="20"/>
          <w:szCs w:val="20"/>
        </w:rPr>
        <w:t xml:space="preserve"> více než</w:t>
      </w:r>
      <w:r w:rsidRPr="00AF7511">
        <w:rPr>
          <w:rFonts w:ascii="Arial" w:hAnsi="Arial" w:cs="Arial"/>
          <w:sz w:val="20"/>
          <w:szCs w:val="20"/>
        </w:rPr>
        <w:t xml:space="preserve"> 30 % z podniků působících ve čtyřech oblastech, a sice z oblasti </w:t>
      </w:r>
      <w:r w:rsidRPr="00AF7511">
        <w:rPr>
          <w:rFonts w:ascii="Arial" w:hAnsi="Arial" w:cs="Arial"/>
          <w:i/>
          <w:sz w:val="20"/>
          <w:szCs w:val="20"/>
        </w:rPr>
        <w:t>profesní, vědecké a technické činnosti</w:t>
      </w:r>
      <w:r w:rsidR="004E1A53">
        <w:rPr>
          <w:rFonts w:ascii="Arial" w:hAnsi="Arial" w:cs="Arial"/>
          <w:sz w:val="20"/>
          <w:szCs w:val="20"/>
        </w:rPr>
        <w:t xml:space="preserve"> (35</w:t>
      </w:r>
      <w:r w:rsidRPr="00AF7511">
        <w:rPr>
          <w:rFonts w:ascii="Arial" w:hAnsi="Arial" w:cs="Arial"/>
          <w:sz w:val="20"/>
          <w:szCs w:val="20"/>
        </w:rPr>
        <w:t xml:space="preserve"> %), </w:t>
      </w:r>
      <w:r w:rsidRPr="00AF7511">
        <w:rPr>
          <w:rFonts w:ascii="Arial" w:hAnsi="Arial" w:cs="Arial"/>
          <w:i/>
          <w:sz w:val="20"/>
          <w:szCs w:val="20"/>
        </w:rPr>
        <w:t>ubytování, stravování a pohostinství</w:t>
      </w:r>
      <w:r w:rsidRPr="00AF7511">
        <w:rPr>
          <w:rFonts w:ascii="Arial" w:hAnsi="Arial" w:cs="Arial"/>
          <w:sz w:val="20"/>
          <w:szCs w:val="20"/>
        </w:rPr>
        <w:t xml:space="preserve"> (34 %), </w:t>
      </w:r>
      <w:r w:rsidRPr="00AF7511">
        <w:rPr>
          <w:rFonts w:ascii="Arial" w:hAnsi="Arial" w:cs="Arial"/>
          <w:i/>
          <w:sz w:val="20"/>
          <w:szCs w:val="20"/>
        </w:rPr>
        <w:t>průmyslu</w:t>
      </w:r>
      <w:r w:rsidR="004E1A53">
        <w:rPr>
          <w:rFonts w:ascii="Arial" w:hAnsi="Arial" w:cs="Arial"/>
          <w:sz w:val="20"/>
          <w:szCs w:val="20"/>
        </w:rPr>
        <w:t xml:space="preserve"> (32 </w:t>
      </w:r>
      <w:r w:rsidRPr="00AF7511">
        <w:rPr>
          <w:rFonts w:ascii="Arial" w:hAnsi="Arial" w:cs="Arial"/>
          <w:sz w:val="20"/>
          <w:szCs w:val="20"/>
        </w:rPr>
        <w:t xml:space="preserve">%) a </w:t>
      </w:r>
      <w:r w:rsidRPr="00AF7511">
        <w:rPr>
          <w:rFonts w:ascii="Arial" w:hAnsi="Arial" w:cs="Arial"/>
          <w:i/>
          <w:sz w:val="20"/>
          <w:szCs w:val="20"/>
        </w:rPr>
        <w:t>informační a komunikační činnosti</w:t>
      </w:r>
      <w:r w:rsidR="004E1A53">
        <w:rPr>
          <w:rFonts w:ascii="Arial" w:hAnsi="Arial" w:cs="Arial"/>
          <w:sz w:val="20"/>
          <w:szCs w:val="20"/>
        </w:rPr>
        <w:t xml:space="preserve"> (32</w:t>
      </w:r>
      <w:r w:rsidRPr="00AF7511">
        <w:rPr>
          <w:rFonts w:ascii="Arial" w:hAnsi="Arial" w:cs="Arial"/>
          <w:sz w:val="20"/>
          <w:szCs w:val="20"/>
        </w:rPr>
        <w:t xml:space="preserve"> %). Naopak, mezi podniky působícími v oblasti </w:t>
      </w:r>
      <w:r w:rsidRPr="00AF7511">
        <w:rPr>
          <w:rFonts w:ascii="Arial" w:hAnsi="Arial" w:cs="Arial"/>
          <w:i/>
          <w:sz w:val="20"/>
          <w:szCs w:val="20"/>
        </w:rPr>
        <w:t>nemovitostí a administrativy</w:t>
      </w:r>
      <w:r w:rsidRPr="00AF7511">
        <w:rPr>
          <w:rFonts w:ascii="Arial" w:hAnsi="Arial" w:cs="Arial"/>
          <w:sz w:val="20"/>
          <w:szCs w:val="20"/>
        </w:rPr>
        <w:t xml:space="preserve"> byla tak</w:t>
      </w:r>
      <w:r w:rsidR="004E1A53">
        <w:rPr>
          <w:rFonts w:ascii="Arial" w:hAnsi="Arial" w:cs="Arial"/>
          <w:sz w:val="20"/>
          <w:szCs w:val="20"/>
        </w:rPr>
        <w:t>ových podniků jen cca desetina (11</w:t>
      </w:r>
      <w:r w:rsidRPr="00AF7511">
        <w:rPr>
          <w:rFonts w:ascii="Arial" w:hAnsi="Arial" w:cs="Arial"/>
          <w:sz w:val="20"/>
          <w:szCs w:val="20"/>
        </w:rPr>
        <w:t xml:space="preserve"> %).  </w:t>
      </w:r>
    </w:p>
    <w:p w14:paraId="3A23B773" w14:textId="38EF4C9C" w:rsidR="00AF7511" w:rsidRPr="00AF7511" w:rsidRDefault="00AF7511" w:rsidP="00AF7511">
      <w:pPr>
        <w:pStyle w:val="Odstavecseseznamem"/>
        <w:numPr>
          <w:ilvl w:val="0"/>
          <w:numId w:val="22"/>
        </w:numPr>
        <w:spacing w:after="160" w:line="259" w:lineRule="auto"/>
        <w:jc w:val="both"/>
        <w:rPr>
          <w:rFonts w:ascii="Arial" w:hAnsi="Arial" w:cs="Arial"/>
          <w:sz w:val="20"/>
          <w:szCs w:val="20"/>
        </w:rPr>
      </w:pPr>
      <w:r w:rsidRPr="00AF7511">
        <w:rPr>
          <w:rFonts w:ascii="Arial" w:hAnsi="Arial" w:cs="Arial"/>
          <w:sz w:val="20"/>
          <w:szCs w:val="20"/>
        </w:rPr>
        <w:t xml:space="preserve">Téměř dvě třetiny z podniků, které přijímaly žáky/studenty počátečního vzdělávání na praxi,  uvedly, že tak činily (mj. či výhradně) z důvodu </w:t>
      </w:r>
      <w:r w:rsidRPr="00AF7511">
        <w:rPr>
          <w:rFonts w:ascii="Arial" w:hAnsi="Arial" w:cs="Arial"/>
          <w:b/>
          <w:sz w:val="20"/>
          <w:szCs w:val="20"/>
        </w:rPr>
        <w:t>získat touto cestou kvalifikované pracovníky</w:t>
      </w:r>
      <w:r w:rsidRPr="00AF7511">
        <w:rPr>
          <w:rFonts w:ascii="Arial" w:hAnsi="Arial" w:cs="Arial"/>
          <w:sz w:val="20"/>
          <w:szCs w:val="20"/>
        </w:rPr>
        <w:t>, jejichž dovednosti budou od</w:t>
      </w:r>
      <w:r w:rsidR="004E1A53">
        <w:rPr>
          <w:rFonts w:ascii="Arial" w:hAnsi="Arial" w:cs="Arial"/>
          <w:sz w:val="20"/>
          <w:szCs w:val="20"/>
        </w:rPr>
        <w:t>povídat potřebám podniku (65</w:t>
      </w:r>
      <w:r w:rsidRPr="00AF7511">
        <w:rPr>
          <w:rFonts w:ascii="Arial" w:hAnsi="Arial" w:cs="Arial"/>
          <w:sz w:val="20"/>
          <w:szCs w:val="20"/>
        </w:rPr>
        <w:t xml:space="preserve"> %) a další třetina uvedla jako důvod mít </w:t>
      </w:r>
      <w:r w:rsidRPr="00AF7511">
        <w:rPr>
          <w:rFonts w:ascii="Arial" w:hAnsi="Arial" w:cs="Arial"/>
          <w:b/>
          <w:sz w:val="20"/>
          <w:szCs w:val="20"/>
        </w:rPr>
        <w:t>možnost výběru nejlepších žáků/studentů na praxi do řad zaměstnanců</w:t>
      </w:r>
      <w:r w:rsidR="004E1A53">
        <w:rPr>
          <w:rFonts w:ascii="Arial" w:hAnsi="Arial" w:cs="Arial"/>
          <w:sz w:val="20"/>
          <w:szCs w:val="20"/>
        </w:rPr>
        <w:t xml:space="preserve"> v podniku (34</w:t>
      </w:r>
      <w:r w:rsidRPr="00AF7511">
        <w:rPr>
          <w:rFonts w:ascii="Arial" w:hAnsi="Arial" w:cs="Arial"/>
          <w:sz w:val="20"/>
          <w:szCs w:val="20"/>
        </w:rPr>
        <w:t xml:space="preserve"> %). Téměř </w:t>
      </w:r>
      <w:r w:rsidR="00270AB8">
        <w:rPr>
          <w:rFonts w:ascii="Arial" w:hAnsi="Arial" w:cs="Arial"/>
          <w:sz w:val="20"/>
          <w:szCs w:val="20"/>
        </w:rPr>
        <w:t>čtvr</w:t>
      </w:r>
      <w:r w:rsidRPr="00AF7511">
        <w:rPr>
          <w:rFonts w:ascii="Arial" w:hAnsi="Arial" w:cs="Arial"/>
          <w:sz w:val="20"/>
          <w:szCs w:val="20"/>
        </w:rPr>
        <w:t xml:space="preserve">tinu také motivovala </w:t>
      </w:r>
      <w:r w:rsidRPr="00AF7511">
        <w:rPr>
          <w:rFonts w:ascii="Arial" w:hAnsi="Arial" w:cs="Arial"/>
          <w:b/>
          <w:sz w:val="20"/>
          <w:szCs w:val="20"/>
        </w:rPr>
        <w:t>možnost využít kapacity žáků/studentů již během jejich počátečního odborného vzdělávání</w:t>
      </w:r>
      <w:r w:rsidR="004E1A53">
        <w:rPr>
          <w:rFonts w:ascii="Arial" w:hAnsi="Arial" w:cs="Arial"/>
          <w:sz w:val="20"/>
          <w:szCs w:val="20"/>
        </w:rPr>
        <w:t xml:space="preserve"> (24</w:t>
      </w:r>
      <w:r w:rsidRPr="00AF7511">
        <w:rPr>
          <w:rFonts w:ascii="Arial" w:hAnsi="Arial" w:cs="Arial"/>
          <w:sz w:val="20"/>
          <w:szCs w:val="20"/>
        </w:rPr>
        <w:t xml:space="preserve"> %) a necelou desetinu pak snaha </w:t>
      </w:r>
      <w:r w:rsidRPr="00AF7511">
        <w:rPr>
          <w:rFonts w:ascii="Arial" w:hAnsi="Arial" w:cs="Arial"/>
          <w:b/>
          <w:sz w:val="20"/>
          <w:szCs w:val="20"/>
        </w:rPr>
        <w:t>vyhnout se při nabírání nových pracovníků možné neshodě mezi jejich dovednostmi a potřebami podniku</w:t>
      </w:r>
      <w:r w:rsidR="004E1A53">
        <w:rPr>
          <w:rFonts w:ascii="Arial" w:hAnsi="Arial" w:cs="Arial"/>
          <w:sz w:val="20"/>
          <w:szCs w:val="20"/>
        </w:rPr>
        <w:t xml:space="preserve"> (8</w:t>
      </w:r>
      <w:r w:rsidRPr="00AF7511">
        <w:rPr>
          <w:rFonts w:ascii="Arial" w:hAnsi="Arial" w:cs="Arial"/>
          <w:sz w:val="20"/>
          <w:szCs w:val="20"/>
        </w:rPr>
        <w:t xml:space="preserve"> %). </w:t>
      </w:r>
    </w:p>
    <w:p w14:paraId="07417C17" w14:textId="0FA8BDA1" w:rsidR="00AF7511" w:rsidRPr="00AF7511" w:rsidRDefault="00AF7511" w:rsidP="00AF7511">
      <w:pPr>
        <w:pStyle w:val="Odstavecseseznamem"/>
        <w:numPr>
          <w:ilvl w:val="0"/>
          <w:numId w:val="22"/>
        </w:numPr>
        <w:spacing w:after="160" w:line="259" w:lineRule="auto"/>
        <w:jc w:val="both"/>
        <w:rPr>
          <w:rFonts w:ascii="Arial" w:hAnsi="Arial" w:cs="Arial"/>
          <w:sz w:val="20"/>
          <w:szCs w:val="20"/>
        </w:rPr>
      </w:pPr>
      <w:r w:rsidRPr="00AF7511">
        <w:rPr>
          <w:rFonts w:ascii="Arial" w:hAnsi="Arial" w:cs="Arial"/>
          <w:sz w:val="20"/>
          <w:szCs w:val="20"/>
        </w:rPr>
        <w:t>Jiné důvody pak k přijímání žáků/studentů na praxi měla tře</w:t>
      </w:r>
      <w:r w:rsidR="003C6CAE">
        <w:rPr>
          <w:rFonts w:ascii="Arial" w:hAnsi="Arial" w:cs="Arial"/>
          <w:sz w:val="20"/>
          <w:szCs w:val="20"/>
        </w:rPr>
        <w:t>tina podniků, které je přijímaly</w:t>
      </w:r>
      <w:r w:rsidRPr="00AF7511">
        <w:rPr>
          <w:rFonts w:ascii="Arial" w:hAnsi="Arial" w:cs="Arial"/>
          <w:sz w:val="20"/>
          <w:szCs w:val="20"/>
        </w:rPr>
        <w:t>. Až na tyto “jiné“ důvody přitom platí, že všechny zmiňované důvody častěji uváděly velké podniky než podniky s menším počtem zaměstnanců.</w:t>
      </w:r>
    </w:p>
    <w:p w14:paraId="10723866" w14:textId="5451434F" w:rsidR="00F425FB" w:rsidRDefault="00F425FB">
      <w:pPr>
        <w:spacing w:after="0" w:line="240" w:lineRule="auto"/>
        <w:rPr>
          <w:rFonts w:eastAsia="MS Gothic"/>
          <w:b/>
          <w:bCs/>
          <w:color w:val="BC091B"/>
          <w:sz w:val="28"/>
          <w:szCs w:val="26"/>
        </w:rPr>
      </w:pPr>
      <w:r>
        <w:rPr>
          <w:rFonts w:eastAsia="MS Gothic"/>
          <w:b/>
          <w:bCs/>
          <w:color w:val="BC091B"/>
          <w:sz w:val="28"/>
          <w:szCs w:val="26"/>
        </w:rPr>
        <w:br w:type="page"/>
      </w:r>
    </w:p>
    <w:p w14:paraId="11920F40" w14:textId="773A7B12" w:rsidR="00AF7511" w:rsidRPr="00DF12E6" w:rsidRDefault="00DF12E6" w:rsidP="0004030C">
      <w:pPr>
        <w:pStyle w:val="Nadpis2"/>
        <w:spacing w:after="120"/>
      </w:pPr>
      <w:bookmarkStart w:id="24" w:name="_Toc126664231"/>
      <w:r w:rsidRPr="00DF12E6">
        <w:lastRenderedPageBreak/>
        <w:t>5.1 Míra zajišťování praxe žákům/stu</w:t>
      </w:r>
      <w:r>
        <w:t>dentům počátečního vzdělávání v </w:t>
      </w:r>
      <w:r w:rsidRPr="00DF12E6">
        <w:t>podnicích</w:t>
      </w:r>
      <w:bookmarkEnd w:id="24"/>
    </w:p>
    <w:p w14:paraId="6A098E38" w14:textId="54FB7FD2" w:rsidR="00895B48" w:rsidRDefault="00895B48" w:rsidP="00895B48">
      <w:pPr>
        <w:jc w:val="both"/>
      </w:pPr>
      <w:r>
        <w:t>V</w:t>
      </w:r>
      <w:r w:rsidR="00AF7511">
        <w:t> šetření CVTS bylo</w:t>
      </w:r>
      <w:r>
        <w:t xml:space="preserve"> zjišťováno, zda podnik přijímá žáky/studenty formálního vzdělávání na praxi a případně jaké důvody pro </w:t>
      </w:r>
      <w:r w:rsidR="004E1A53">
        <w:t>takové přijímání má. Celkem 26</w:t>
      </w:r>
      <w:r>
        <w:t> % podniků uvedlo, že žáky/stud</w:t>
      </w:r>
      <w:r w:rsidR="004B303F">
        <w:t>enty na praxi přijímá, přičemž č</w:t>
      </w:r>
      <w:r>
        <w:t>ím více zaměstn</w:t>
      </w:r>
      <w:r w:rsidR="000F15F3">
        <w:t xml:space="preserve">anců podnik měl, tím </w:t>
      </w:r>
      <w:r w:rsidR="00E639CC">
        <w:t>bylo takové počítání</w:t>
      </w:r>
      <w:r>
        <w:t xml:space="preserve"> běžnější. Uvedla tak pětina podniků s 10-19 zaměstnanci, čtvrtina podniků s 20</w:t>
      </w:r>
      <w:r w:rsidR="00E639CC">
        <w:t xml:space="preserve">–49 </w:t>
      </w:r>
      <w:r>
        <w:t xml:space="preserve">zaměstnanci, cca třetina podniků s 50-249 zaměstnanci a cca tři pětiny </w:t>
      </w:r>
      <w:r w:rsidR="00CE1F97">
        <w:t>podniků</w:t>
      </w:r>
      <w:r>
        <w:t xml:space="preserve"> s 250 a více zaměstnanci – viz graf 5.1. O něco častěji přijímaly žáky/studenty na praxi podniky </w:t>
      </w:r>
      <w:r w:rsidR="00B166F3">
        <w:t xml:space="preserve">pod zahraniční kontrolou </w:t>
      </w:r>
      <w:r>
        <w:t>(29</w:t>
      </w:r>
      <w:r w:rsidR="004E1A53">
        <w:t> </w:t>
      </w:r>
      <w:r>
        <w:t xml:space="preserve">%) než podniky </w:t>
      </w:r>
      <w:r w:rsidR="00B166F3">
        <w:t>domácí</w:t>
      </w:r>
      <w:r w:rsidR="004E1A53">
        <w:t xml:space="preserve"> (26</w:t>
      </w:r>
      <w:r>
        <w:t xml:space="preserve"> %). Co se týče dělení dle převažující ekonomické činnosti, uvedlo tak 30 % a více z podniků působících ve čtyřech oblastech, a sice z oblasti </w:t>
      </w:r>
      <w:r w:rsidRPr="00145C3A">
        <w:rPr>
          <w:i/>
        </w:rPr>
        <w:t>profesní, vědecké a technické činnosti</w:t>
      </w:r>
      <w:r w:rsidR="004E1A53">
        <w:t xml:space="preserve"> (35</w:t>
      </w:r>
      <w:r>
        <w:t xml:space="preserve"> %), </w:t>
      </w:r>
      <w:r w:rsidRPr="00145C3A">
        <w:rPr>
          <w:i/>
        </w:rPr>
        <w:t>ubytování, stravování a pohostinství</w:t>
      </w:r>
      <w:r>
        <w:t xml:space="preserve"> (34 %), </w:t>
      </w:r>
      <w:r w:rsidRPr="008F3748">
        <w:rPr>
          <w:i/>
        </w:rPr>
        <w:t>průmyslu</w:t>
      </w:r>
      <w:r w:rsidR="003E1B89">
        <w:t xml:space="preserve"> (32 </w:t>
      </w:r>
      <w:r>
        <w:t xml:space="preserve">%) a </w:t>
      </w:r>
      <w:r w:rsidRPr="008F3748">
        <w:rPr>
          <w:i/>
        </w:rPr>
        <w:t>informační a komunikační činnosti</w:t>
      </w:r>
      <w:r w:rsidR="004E1A53">
        <w:t xml:space="preserve"> (32</w:t>
      </w:r>
      <w:r>
        <w:t xml:space="preserve"> %). Naopak, mezi podniky působícími v oblasti </w:t>
      </w:r>
      <w:r w:rsidRPr="008F3748">
        <w:rPr>
          <w:i/>
        </w:rPr>
        <w:t>nemovitostí a administrativy</w:t>
      </w:r>
      <w:r>
        <w:t xml:space="preserve"> byla takových podniků jen </w:t>
      </w:r>
      <w:r w:rsidR="003E1B89">
        <w:t>cca desetina (11</w:t>
      </w:r>
      <w:r>
        <w:t xml:space="preserve"> %).  </w:t>
      </w:r>
    </w:p>
    <w:p w14:paraId="334B0AFE" w14:textId="35BA6306" w:rsidR="000B7D71" w:rsidRDefault="00D620B9" w:rsidP="00212A82">
      <w:pPr>
        <w:keepNext/>
        <w:spacing w:after="0"/>
        <w:jc w:val="both"/>
        <w:rPr>
          <w:b/>
        </w:rPr>
      </w:pPr>
      <w:r>
        <w:rPr>
          <w:b/>
        </w:rPr>
        <w:t>Graf 5.1</w:t>
      </w:r>
      <w:r w:rsidR="000B7D71" w:rsidRPr="0077533D">
        <w:rPr>
          <w:b/>
        </w:rPr>
        <w:t xml:space="preserve"> </w:t>
      </w:r>
      <w:r w:rsidR="00212A82">
        <w:rPr>
          <w:b/>
        </w:rPr>
        <w:t>P</w:t>
      </w:r>
      <w:r w:rsidR="000B7D71" w:rsidRPr="0077533D">
        <w:rPr>
          <w:b/>
        </w:rPr>
        <w:t>od</w:t>
      </w:r>
      <w:r w:rsidR="00212A82">
        <w:rPr>
          <w:b/>
        </w:rPr>
        <w:t>niky</w:t>
      </w:r>
      <w:r w:rsidR="000B7D71" w:rsidRPr="0077533D">
        <w:rPr>
          <w:b/>
        </w:rPr>
        <w:t xml:space="preserve"> </w:t>
      </w:r>
      <w:r w:rsidR="00212A82">
        <w:rPr>
          <w:b/>
        </w:rPr>
        <w:t>přijímající</w:t>
      </w:r>
      <w:r w:rsidR="000B7D71">
        <w:rPr>
          <w:b/>
        </w:rPr>
        <w:t xml:space="preserve"> žáky/studenty </w:t>
      </w:r>
      <w:r w:rsidR="00212A82">
        <w:rPr>
          <w:b/>
        </w:rPr>
        <w:t>počátečního vzdělávání na praxi, 2020</w:t>
      </w:r>
    </w:p>
    <w:p w14:paraId="4A75A5B6" w14:textId="12EF6ADC" w:rsidR="00212A82" w:rsidRDefault="00212A82" w:rsidP="000B7D71">
      <w:pPr>
        <w:keepNext/>
        <w:spacing w:after="120"/>
        <w:jc w:val="both"/>
      </w:pPr>
      <w:r w:rsidRPr="00212A82">
        <w:t>(v % ze všech podniků)</w:t>
      </w:r>
    </w:p>
    <w:p w14:paraId="072298FB" w14:textId="71361C77" w:rsidR="00654098" w:rsidRPr="006A1D9C" w:rsidRDefault="006A1D9C" w:rsidP="00E639CC">
      <w:pPr>
        <w:keepNext/>
        <w:spacing w:after="120"/>
        <w:jc w:val="both"/>
      </w:pPr>
      <w:r>
        <w:rPr>
          <w:noProof/>
        </w:rPr>
        <w:drawing>
          <wp:inline distT="0" distB="0" distL="0" distR="0" wp14:anchorId="27FBD7E8" wp14:editId="4B4B4F37">
            <wp:extent cx="6120130" cy="4612005"/>
            <wp:effectExtent l="0" t="0" r="13970" b="1714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AE588AE" w14:textId="335F9D29" w:rsidR="009C4714" w:rsidRPr="009C4714" w:rsidRDefault="009C4714" w:rsidP="009C4714">
      <w:pPr>
        <w:spacing w:before="120" w:after="120"/>
        <w:jc w:val="right"/>
        <w:rPr>
          <w:szCs w:val="20"/>
        </w:rPr>
      </w:pPr>
      <w:r w:rsidRPr="003D1467">
        <w:rPr>
          <w:szCs w:val="20"/>
        </w:rPr>
        <w:t>Zdroj: ČSÚ</w:t>
      </w:r>
    </w:p>
    <w:p w14:paraId="5CF93029" w14:textId="6408E397" w:rsidR="00F425FB" w:rsidRDefault="00F425FB" w:rsidP="00F425FB">
      <w:pPr>
        <w:spacing w:after="120"/>
        <w:jc w:val="both"/>
      </w:pPr>
      <w:r>
        <w:t xml:space="preserve">Přitom mezi roky 2015 a 2020 došlo k nepatrnému nárůstu podílu podniků </w:t>
      </w:r>
      <w:r w:rsidRPr="00F425FB">
        <w:t>přijímajících žáky/studenty počátečního vz</w:t>
      </w:r>
      <w:r w:rsidR="003E1B89">
        <w:t>dělávání na praxi, a sice z 25 % na 26</w:t>
      </w:r>
      <w:r w:rsidRPr="00F425FB">
        <w:t> %.</w:t>
      </w:r>
    </w:p>
    <w:p w14:paraId="1BC035EC" w14:textId="5648ADCA" w:rsidR="00F425FB" w:rsidRPr="00F425FB" w:rsidRDefault="00F425FB" w:rsidP="00F425FB">
      <w:pPr>
        <w:spacing w:after="120"/>
        <w:jc w:val="both"/>
      </w:pPr>
      <w:r>
        <w:t xml:space="preserve">Pokud jde o mezinárodní srovnání, </w:t>
      </w:r>
      <w:r w:rsidR="001B33E6">
        <w:t>u</w:t>
      </w:r>
      <w:r w:rsidR="000C6D7F">
        <w:t xml:space="preserve">místila se Česká republika s 26 % spolu se Slovinskem </w:t>
      </w:r>
      <w:r w:rsidR="004323C5">
        <w:t xml:space="preserve">v žebříčku </w:t>
      </w:r>
      <w:r w:rsidR="000C6D7F">
        <w:t xml:space="preserve">hned za mezinárodním průměrem za země Evropské unie, který </w:t>
      </w:r>
      <w:r w:rsidR="004323C5">
        <w:t xml:space="preserve">však </w:t>
      </w:r>
      <w:r w:rsidR="000C6D7F">
        <w:t xml:space="preserve">činil </w:t>
      </w:r>
      <w:r w:rsidR="004323C5">
        <w:t xml:space="preserve">již </w:t>
      </w:r>
      <w:r w:rsidR="003E1B89">
        <w:t>32</w:t>
      </w:r>
      <w:r w:rsidR="000C6D7F">
        <w:t> % podniků zajišťujících praxi žákům/</w:t>
      </w:r>
      <w:r w:rsidR="00EB2412">
        <w:t>studentům počátečního vzdělávání</w:t>
      </w:r>
      <w:r w:rsidR="000C6D7F">
        <w:t>. Nejvyšší podíl takových podniků byl v </w:t>
      </w:r>
      <w:r w:rsidR="00C920AF">
        <w:t>Německu</w:t>
      </w:r>
      <w:r w:rsidR="003E1B89">
        <w:t xml:space="preserve"> (59</w:t>
      </w:r>
      <w:r w:rsidR="000C6D7F">
        <w:t> %</w:t>
      </w:r>
      <w:r w:rsidR="003E1B89">
        <w:t>) a naopak nejnižší v Litvě (2</w:t>
      </w:r>
      <w:r w:rsidR="000C6D7F">
        <w:t xml:space="preserve"> %).</w:t>
      </w:r>
    </w:p>
    <w:p w14:paraId="12F663F1" w14:textId="13665C50" w:rsidR="00DF12E6" w:rsidRDefault="00F425FB" w:rsidP="003740DF">
      <w:pPr>
        <w:keepNext/>
        <w:spacing w:after="0"/>
        <w:jc w:val="both"/>
        <w:rPr>
          <w:b/>
        </w:rPr>
      </w:pPr>
      <w:r>
        <w:rPr>
          <w:b/>
        </w:rPr>
        <w:lastRenderedPageBreak/>
        <w:t>Graf 5.2</w:t>
      </w:r>
      <w:r w:rsidRPr="0077533D">
        <w:rPr>
          <w:b/>
        </w:rPr>
        <w:t xml:space="preserve"> </w:t>
      </w:r>
      <w:r w:rsidR="003740DF">
        <w:rPr>
          <w:b/>
        </w:rPr>
        <w:t>Podniky</w:t>
      </w:r>
      <w:r w:rsidRPr="0077533D">
        <w:rPr>
          <w:b/>
        </w:rPr>
        <w:t xml:space="preserve"> </w:t>
      </w:r>
      <w:r w:rsidR="003740DF">
        <w:rPr>
          <w:b/>
        </w:rPr>
        <w:t>přijímající</w:t>
      </w:r>
      <w:r>
        <w:rPr>
          <w:b/>
        </w:rPr>
        <w:t xml:space="preserve"> žáky/studenty počátečního vzdělávání na praxi </w:t>
      </w:r>
      <w:r w:rsidR="003740DF">
        <w:rPr>
          <w:b/>
        </w:rPr>
        <w:t>– mezinár. srovnání, 2020</w:t>
      </w:r>
    </w:p>
    <w:p w14:paraId="58F01FAF" w14:textId="5807FC61" w:rsidR="003740DF" w:rsidRDefault="003740DF" w:rsidP="00F425FB">
      <w:pPr>
        <w:keepNext/>
        <w:spacing w:after="120"/>
        <w:jc w:val="both"/>
      </w:pPr>
      <w:r w:rsidRPr="003740DF">
        <w:t>(v % ze všech podniků)</w:t>
      </w:r>
    </w:p>
    <w:p w14:paraId="37074B16" w14:textId="3589D419" w:rsidR="0064372C" w:rsidRDefault="00354990" w:rsidP="00354990">
      <w:pPr>
        <w:keepNext/>
        <w:spacing w:after="120"/>
        <w:jc w:val="both"/>
      </w:pPr>
      <w:r>
        <w:rPr>
          <w:noProof/>
        </w:rPr>
        <w:drawing>
          <wp:inline distT="0" distB="0" distL="0" distR="0" wp14:anchorId="3F1BDC03" wp14:editId="2FC1DB1A">
            <wp:extent cx="6019800" cy="5705475"/>
            <wp:effectExtent l="0" t="0" r="0" b="95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9C7D734" w14:textId="31BB465B" w:rsidR="000C6D7F" w:rsidRDefault="00EB2412" w:rsidP="000C6D7F">
      <w:pPr>
        <w:spacing w:before="120" w:after="120"/>
        <w:jc w:val="right"/>
        <w:rPr>
          <w:szCs w:val="20"/>
        </w:rPr>
      </w:pPr>
      <w:r>
        <w:rPr>
          <w:szCs w:val="20"/>
        </w:rPr>
        <w:t>Zdroj: Eurostat</w:t>
      </w:r>
    </w:p>
    <w:p w14:paraId="6800B74D" w14:textId="77777777" w:rsidR="000C6D7F" w:rsidRPr="000C6D7F" w:rsidRDefault="000C6D7F" w:rsidP="000C6D7F">
      <w:pPr>
        <w:spacing w:before="120" w:after="120"/>
        <w:jc w:val="right"/>
        <w:rPr>
          <w:szCs w:val="20"/>
        </w:rPr>
      </w:pPr>
    </w:p>
    <w:p w14:paraId="0C265574" w14:textId="6162E3BE" w:rsidR="00DF12E6" w:rsidRDefault="00DF12E6" w:rsidP="0064372C">
      <w:pPr>
        <w:pStyle w:val="Nadpis2"/>
        <w:spacing w:after="120"/>
      </w:pPr>
      <w:bookmarkStart w:id="25" w:name="_Toc126664232"/>
      <w:r>
        <w:t>5.2</w:t>
      </w:r>
      <w:r w:rsidRPr="00DF12E6">
        <w:t xml:space="preserve"> </w:t>
      </w:r>
      <w:r>
        <w:t>Důvody</w:t>
      </w:r>
      <w:r w:rsidRPr="00DF12E6">
        <w:t xml:space="preserve"> zajišťování praxe žákům/stu</w:t>
      </w:r>
      <w:r>
        <w:t>dentům počátečního vzdělávání v </w:t>
      </w:r>
      <w:r w:rsidRPr="00DF12E6">
        <w:t>podnicích</w:t>
      </w:r>
      <w:bookmarkEnd w:id="25"/>
    </w:p>
    <w:p w14:paraId="7B14FCEB" w14:textId="48437D9B" w:rsidR="001054ED" w:rsidRDefault="00881011" w:rsidP="00CB0519">
      <w:pPr>
        <w:jc w:val="both"/>
      </w:pPr>
      <w:r>
        <w:t>Podívejme se na důvody, které vedly podniky k nabírání žáků/studentů počátečního (formálního) vzdělávání na praxi. Téměř dvě třetiny z podniků, které přijímaly žáky/studenty po</w:t>
      </w:r>
      <w:r w:rsidR="004F00E7">
        <w:t xml:space="preserve">čátečního vzdělávání na praxi, </w:t>
      </w:r>
      <w:r w:rsidR="00CB0519">
        <w:t xml:space="preserve">uvedly, že tak činily (mj. či výhradně) z důvodu </w:t>
      </w:r>
      <w:r w:rsidR="00CB0519" w:rsidRPr="000D2F44">
        <w:rPr>
          <w:b/>
        </w:rPr>
        <w:t>získat touto cestou kvalifikované pracovníky</w:t>
      </w:r>
      <w:r w:rsidR="00CB0519" w:rsidRPr="00CB0519">
        <w:t>, jejichž dovednosti budou odpovídat potřebám podniku</w:t>
      </w:r>
      <w:r w:rsidR="003E1B89">
        <w:t xml:space="preserve"> (65</w:t>
      </w:r>
      <w:r w:rsidR="00CB0519">
        <w:t xml:space="preserve"> %) a další třetina uvedla jako důvod mít </w:t>
      </w:r>
      <w:r w:rsidR="00CB0519" w:rsidRPr="000D2F44">
        <w:rPr>
          <w:b/>
        </w:rPr>
        <w:t>možnost výběru nejlepších žáků/studentů na praxi do řad zaměstnanců</w:t>
      </w:r>
      <w:r w:rsidR="003E1B89">
        <w:t xml:space="preserve"> v podniku (34</w:t>
      </w:r>
      <w:r w:rsidR="00CB0519">
        <w:t xml:space="preserve"> %). Téměř </w:t>
      </w:r>
      <w:r w:rsidR="002231F2">
        <w:t>čtvr</w:t>
      </w:r>
      <w:r w:rsidR="00CB0519">
        <w:t xml:space="preserve">tinu také motivovala </w:t>
      </w:r>
      <w:r w:rsidR="00CB0519" w:rsidRPr="000D2F44">
        <w:rPr>
          <w:b/>
        </w:rPr>
        <w:t>možnost využít kapacity žáků/studentů již během jejich počátečního odborného vzdělávání</w:t>
      </w:r>
      <w:r w:rsidR="003E1B89">
        <w:t xml:space="preserve"> (24</w:t>
      </w:r>
      <w:r w:rsidR="00CB0519">
        <w:t xml:space="preserve"> %) a necelou desetinu pak </w:t>
      </w:r>
      <w:r w:rsidR="00CB0519" w:rsidRPr="00CB0519">
        <w:t xml:space="preserve">snaha </w:t>
      </w:r>
      <w:r w:rsidR="00CB0519" w:rsidRPr="000D2F44">
        <w:rPr>
          <w:b/>
        </w:rPr>
        <w:t>vyhnout se při nabírání nových pracovníků možné neshodě mezi jejich dovednostmi a potřebami podniku</w:t>
      </w:r>
      <w:r w:rsidR="003E1B89">
        <w:t xml:space="preserve"> (8</w:t>
      </w:r>
      <w:r w:rsidR="00CB0519">
        <w:t> %). Jiné důvody pak k přijímání žáků/studentů na praxi měla tře</w:t>
      </w:r>
      <w:r w:rsidR="009A2885">
        <w:t>tina podniků, které je přijímaly</w:t>
      </w:r>
      <w:r w:rsidR="00CB0519">
        <w:t xml:space="preserve">. Až na tyto “jiné“ důvody přitom platí, že všechny zmiňované důvody častěji uváděly velké podniky </w:t>
      </w:r>
      <w:r w:rsidR="00CB0519">
        <w:lastRenderedPageBreak/>
        <w:t>než podnik</w:t>
      </w:r>
      <w:r w:rsidR="00652B56">
        <w:t>y s menším počtem zaměstnanců</w:t>
      </w:r>
      <w:r w:rsidR="001054ED">
        <w:t>. Z výše uvedeného také</w:t>
      </w:r>
      <w:r w:rsidR="00CB0519">
        <w:t xml:space="preserve"> vyplývá, že čím větší podnik, tím více důvodů uvedl jako relevantní pro přijímání žáků/studentů počátečního vzdělávání na praxi. </w:t>
      </w:r>
    </w:p>
    <w:p w14:paraId="7C38473D" w14:textId="369736D1" w:rsidR="000038DC" w:rsidRDefault="001054ED" w:rsidP="00CB0519">
      <w:pPr>
        <w:jc w:val="both"/>
      </w:pPr>
      <w:r>
        <w:t>Kromě toho</w:t>
      </w:r>
      <w:r w:rsidR="000038DC">
        <w:t xml:space="preserve"> </w:t>
      </w:r>
      <w:r>
        <w:t xml:space="preserve">uvedly </w:t>
      </w:r>
      <w:r w:rsidR="000038DC">
        <w:t>všechny důvody (včetně</w:t>
      </w:r>
      <w:r>
        <w:t xml:space="preserve"> „jiných“ než nabízených)</w:t>
      </w:r>
      <w:r w:rsidR="000038DC">
        <w:t xml:space="preserve"> častěji podniky </w:t>
      </w:r>
      <w:r w:rsidR="005766A9">
        <w:t xml:space="preserve">pod zahraniční kontrolou </w:t>
      </w:r>
      <w:r w:rsidR="000038DC">
        <w:t xml:space="preserve">než </w:t>
      </w:r>
      <w:r w:rsidR="005766A9">
        <w:t>domácí podniky</w:t>
      </w:r>
      <w:r w:rsidR="000038DC">
        <w:t>. I tyto podniky tak měly pro přijímání žáků/studentů na praxi často více důvodů.</w:t>
      </w:r>
    </w:p>
    <w:p w14:paraId="3ABFA7E4" w14:textId="77777777" w:rsidR="003740DF" w:rsidRPr="003740DF" w:rsidRDefault="003740DF" w:rsidP="003740DF">
      <w:pPr>
        <w:keepNext/>
        <w:spacing w:after="0"/>
        <w:rPr>
          <w:b/>
        </w:rPr>
      </w:pPr>
      <w:r w:rsidRPr="003740DF">
        <w:rPr>
          <w:b/>
        </w:rPr>
        <w:t xml:space="preserve">Tab. 5.1 Podniky dle důvodů k přijímání žáků/studentů počátečního vzdělávání na praxi, 2020 </w:t>
      </w:r>
    </w:p>
    <w:p w14:paraId="0BEA2FF9" w14:textId="658499AB" w:rsidR="000C6D7F" w:rsidRPr="003740DF" w:rsidRDefault="003740DF" w:rsidP="003740DF">
      <w:pPr>
        <w:keepNext/>
        <w:spacing w:after="120"/>
      </w:pPr>
      <w:r w:rsidRPr="003740DF">
        <w:t xml:space="preserve">(v % z podniků, které žáky/studenty na praxi </w:t>
      </w:r>
      <w:r w:rsidR="000F5FC6">
        <w:t xml:space="preserve">běžně </w:t>
      </w:r>
      <w:r w:rsidRPr="003740DF">
        <w:t>přijímají)</w:t>
      </w:r>
    </w:p>
    <w:tbl>
      <w:tblPr>
        <w:tblW w:w="9639" w:type="dxa"/>
        <w:tblInd w:w="-5" w:type="dxa"/>
        <w:tblLayout w:type="fixed"/>
        <w:tblCellMar>
          <w:left w:w="70" w:type="dxa"/>
          <w:right w:w="70" w:type="dxa"/>
        </w:tblCellMar>
        <w:tblLook w:val="04A0" w:firstRow="1" w:lastRow="0" w:firstColumn="1" w:lastColumn="0" w:noHBand="0" w:noVBand="1"/>
      </w:tblPr>
      <w:tblGrid>
        <w:gridCol w:w="3402"/>
        <w:gridCol w:w="1418"/>
        <w:gridCol w:w="1276"/>
        <w:gridCol w:w="1275"/>
        <w:gridCol w:w="1418"/>
        <w:gridCol w:w="850"/>
      </w:tblGrid>
      <w:tr w:rsidR="004F00E7" w:rsidRPr="004F00E7" w14:paraId="2F82084F" w14:textId="77777777" w:rsidTr="003F53F5">
        <w:trPr>
          <w:trHeight w:val="1706"/>
        </w:trPr>
        <w:tc>
          <w:tcPr>
            <w:tcW w:w="3402" w:type="dxa"/>
            <w:tcBorders>
              <w:top w:val="single" w:sz="4" w:space="0" w:color="auto"/>
              <w:left w:val="single" w:sz="4" w:space="0" w:color="auto"/>
              <w:bottom w:val="single" w:sz="4" w:space="0" w:color="auto"/>
              <w:right w:val="single" w:sz="4" w:space="0" w:color="auto"/>
            </w:tcBorders>
            <w:shd w:val="clear" w:color="000000" w:fill="7FB0DD"/>
            <w:noWrap/>
            <w:vAlign w:val="center"/>
            <w:hideMark/>
          </w:tcPr>
          <w:p w14:paraId="7C707682" w14:textId="77777777" w:rsidR="004F00E7" w:rsidRPr="004F00E7" w:rsidRDefault="004F00E7" w:rsidP="004F00E7">
            <w:pPr>
              <w:spacing w:after="0" w:line="240" w:lineRule="auto"/>
              <w:rPr>
                <w:rFonts w:cs="Arial"/>
                <w:color w:val="000000"/>
                <w:sz w:val="16"/>
                <w:szCs w:val="16"/>
              </w:rPr>
            </w:pPr>
            <w:r w:rsidRPr="004F00E7">
              <w:rPr>
                <w:rFonts w:cs="Arial"/>
                <w:color w:val="000000"/>
                <w:sz w:val="16"/>
                <w:szCs w:val="16"/>
              </w:rPr>
              <w:t> </w:t>
            </w:r>
          </w:p>
        </w:tc>
        <w:tc>
          <w:tcPr>
            <w:tcW w:w="1418" w:type="dxa"/>
            <w:tcBorders>
              <w:top w:val="single" w:sz="4" w:space="0" w:color="auto"/>
              <w:left w:val="nil"/>
              <w:bottom w:val="single" w:sz="4" w:space="0" w:color="auto"/>
              <w:right w:val="single" w:sz="4" w:space="0" w:color="auto"/>
            </w:tcBorders>
            <w:shd w:val="clear" w:color="000000" w:fill="7FB0DD"/>
            <w:vAlign w:val="center"/>
            <w:hideMark/>
          </w:tcPr>
          <w:p w14:paraId="1772E271" w14:textId="77777777" w:rsidR="00332FCF" w:rsidRDefault="004F00E7" w:rsidP="004F00E7">
            <w:pPr>
              <w:spacing w:after="0" w:line="240" w:lineRule="auto"/>
              <w:jc w:val="center"/>
              <w:rPr>
                <w:rFonts w:cs="Arial"/>
                <w:b/>
                <w:bCs/>
                <w:color w:val="000000"/>
                <w:sz w:val="16"/>
                <w:szCs w:val="16"/>
              </w:rPr>
            </w:pPr>
            <w:r w:rsidRPr="004F00E7">
              <w:rPr>
                <w:rFonts w:cs="Arial"/>
                <w:b/>
                <w:bCs/>
                <w:color w:val="000000"/>
                <w:sz w:val="16"/>
                <w:szCs w:val="16"/>
              </w:rPr>
              <w:t xml:space="preserve">Získat touto cestou kvalifikované pracovníky </w:t>
            </w:r>
          </w:p>
          <w:p w14:paraId="017F43DB" w14:textId="130CB997" w:rsidR="004F00E7" w:rsidRPr="004F00E7" w:rsidRDefault="00332FCF" w:rsidP="004F00E7">
            <w:pPr>
              <w:spacing w:after="0" w:line="240" w:lineRule="auto"/>
              <w:jc w:val="center"/>
              <w:rPr>
                <w:rFonts w:cs="Arial"/>
                <w:b/>
                <w:bCs/>
                <w:color w:val="000000"/>
                <w:sz w:val="16"/>
                <w:szCs w:val="16"/>
              </w:rPr>
            </w:pPr>
            <w:r>
              <w:rPr>
                <w:rFonts w:cs="Arial"/>
                <w:b/>
                <w:bCs/>
                <w:color w:val="000000"/>
                <w:sz w:val="16"/>
                <w:szCs w:val="16"/>
              </w:rPr>
              <w:t>s </w:t>
            </w:r>
            <w:r w:rsidR="004F00E7" w:rsidRPr="004F00E7">
              <w:rPr>
                <w:rFonts w:cs="Arial"/>
                <w:b/>
                <w:bCs/>
                <w:color w:val="000000"/>
                <w:sz w:val="16"/>
                <w:szCs w:val="16"/>
              </w:rPr>
              <w:t>odpovídajícími dovednostmi</w:t>
            </w:r>
          </w:p>
        </w:tc>
        <w:tc>
          <w:tcPr>
            <w:tcW w:w="1276" w:type="dxa"/>
            <w:tcBorders>
              <w:top w:val="single" w:sz="4" w:space="0" w:color="auto"/>
              <w:left w:val="nil"/>
              <w:bottom w:val="single" w:sz="4" w:space="0" w:color="auto"/>
              <w:right w:val="single" w:sz="4" w:space="0" w:color="auto"/>
            </w:tcBorders>
            <w:shd w:val="clear" w:color="000000" w:fill="7FB0DD"/>
            <w:vAlign w:val="center"/>
            <w:hideMark/>
          </w:tcPr>
          <w:p w14:paraId="0A5AC7F5" w14:textId="5A9C0350" w:rsidR="004F00E7" w:rsidRPr="004F00E7" w:rsidRDefault="004F00E7" w:rsidP="004F00E7">
            <w:pPr>
              <w:spacing w:after="0" w:line="240" w:lineRule="auto"/>
              <w:jc w:val="center"/>
              <w:rPr>
                <w:rFonts w:cs="Arial"/>
                <w:b/>
                <w:bCs/>
                <w:color w:val="000000"/>
                <w:sz w:val="16"/>
                <w:szCs w:val="16"/>
              </w:rPr>
            </w:pPr>
            <w:r>
              <w:rPr>
                <w:rFonts w:cs="Arial"/>
                <w:b/>
                <w:bCs/>
                <w:color w:val="000000"/>
                <w:sz w:val="16"/>
                <w:szCs w:val="16"/>
              </w:rPr>
              <w:t>Mít možnost vybrat si</w:t>
            </w:r>
            <w:r w:rsidRPr="004F00E7">
              <w:rPr>
                <w:rFonts w:cs="Arial"/>
                <w:b/>
                <w:bCs/>
                <w:color w:val="000000"/>
                <w:sz w:val="16"/>
                <w:szCs w:val="16"/>
              </w:rPr>
              <w:t xml:space="preserve"> nejlepší</w:t>
            </w:r>
            <w:r>
              <w:rPr>
                <w:rFonts w:cs="Arial"/>
                <w:b/>
                <w:bCs/>
                <w:color w:val="000000"/>
                <w:sz w:val="16"/>
                <w:szCs w:val="16"/>
              </w:rPr>
              <w:t xml:space="preserve"> žáky/studenty</w:t>
            </w:r>
            <w:r w:rsidRPr="004F00E7">
              <w:rPr>
                <w:rFonts w:cs="Arial"/>
                <w:b/>
                <w:bCs/>
                <w:color w:val="000000"/>
                <w:sz w:val="16"/>
                <w:szCs w:val="16"/>
              </w:rPr>
              <w:t xml:space="preserve"> a za</w:t>
            </w:r>
            <w:r w:rsidR="003F53F5">
              <w:rPr>
                <w:rFonts w:cs="Arial"/>
                <w:b/>
                <w:bCs/>
                <w:color w:val="000000"/>
                <w:sz w:val="16"/>
                <w:szCs w:val="16"/>
              </w:rPr>
              <w:t>městnat je po ukončení studia v </w:t>
            </w:r>
            <w:r w:rsidRPr="004F00E7">
              <w:rPr>
                <w:rFonts w:cs="Arial"/>
                <w:b/>
                <w:bCs/>
                <w:color w:val="000000"/>
                <w:sz w:val="16"/>
                <w:szCs w:val="16"/>
              </w:rPr>
              <w:t>podniku</w:t>
            </w:r>
          </w:p>
        </w:tc>
        <w:tc>
          <w:tcPr>
            <w:tcW w:w="1275" w:type="dxa"/>
            <w:tcBorders>
              <w:top w:val="single" w:sz="4" w:space="0" w:color="auto"/>
              <w:left w:val="nil"/>
              <w:bottom w:val="single" w:sz="4" w:space="0" w:color="auto"/>
              <w:right w:val="single" w:sz="4" w:space="0" w:color="auto"/>
            </w:tcBorders>
            <w:shd w:val="clear" w:color="000000" w:fill="7FB0DD"/>
            <w:vAlign w:val="center"/>
            <w:hideMark/>
          </w:tcPr>
          <w:p w14:paraId="57B5B99A" w14:textId="77777777" w:rsidR="004F00E7" w:rsidRPr="004F00E7" w:rsidRDefault="004F00E7" w:rsidP="004F00E7">
            <w:pPr>
              <w:spacing w:after="0" w:line="240" w:lineRule="auto"/>
              <w:jc w:val="center"/>
              <w:rPr>
                <w:rFonts w:cs="Arial"/>
                <w:b/>
                <w:bCs/>
                <w:color w:val="000000"/>
                <w:sz w:val="16"/>
                <w:szCs w:val="16"/>
              </w:rPr>
            </w:pPr>
            <w:r w:rsidRPr="004F00E7">
              <w:rPr>
                <w:rFonts w:cs="Arial"/>
                <w:b/>
                <w:bCs/>
                <w:color w:val="000000"/>
                <w:sz w:val="16"/>
                <w:szCs w:val="16"/>
              </w:rPr>
              <w:t>Využít kapacity žáků/studentů již během jejich počátečního odborného vzdělávání</w:t>
            </w:r>
          </w:p>
        </w:tc>
        <w:tc>
          <w:tcPr>
            <w:tcW w:w="1418" w:type="dxa"/>
            <w:tcBorders>
              <w:top w:val="single" w:sz="4" w:space="0" w:color="auto"/>
              <w:left w:val="nil"/>
              <w:bottom w:val="single" w:sz="4" w:space="0" w:color="auto"/>
              <w:right w:val="single" w:sz="4" w:space="0" w:color="auto"/>
            </w:tcBorders>
            <w:shd w:val="clear" w:color="000000" w:fill="7FB0DD"/>
            <w:vAlign w:val="center"/>
            <w:hideMark/>
          </w:tcPr>
          <w:p w14:paraId="719E25BE" w14:textId="1A341B55" w:rsidR="004F00E7" w:rsidRPr="004F00E7" w:rsidRDefault="004F00E7" w:rsidP="004F00E7">
            <w:pPr>
              <w:spacing w:after="0" w:line="240" w:lineRule="auto"/>
              <w:jc w:val="center"/>
              <w:rPr>
                <w:rFonts w:cs="Arial"/>
                <w:b/>
                <w:bCs/>
                <w:color w:val="000000"/>
                <w:sz w:val="16"/>
                <w:szCs w:val="16"/>
              </w:rPr>
            </w:pPr>
            <w:r w:rsidRPr="004F00E7">
              <w:rPr>
                <w:rFonts w:cs="Arial"/>
                <w:b/>
                <w:bCs/>
                <w:color w:val="000000"/>
                <w:sz w:val="16"/>
                <w:szCs w:val="16"/>
              </w:rPr>
              <w:t>Touha vyhnout se při nabírání nových pracovníků možné ne</w:t>
            </w:r>
            <w:r w:rsidR="003F53F5">
              <w:rPr>
                <w:rFonts w:cs="Arial"/>
                <w:b/>
                <w:bCs/>
                <w:color w:val="000000"/>
                <w:sz w:val="16"/>
                <w:szCs w:val="16"/>
              </w:rPr>
              <w:t>shodě mezi jejich dovednostmi a </w:t>
            </w:r>
            <w:r w:rsidRPr="004F00E7">
              <w:rPr>
                <w:rFonts w:cs="Arial"/>
                <w:b/>
                <w:bCs/>
                <w:color w:val="000000"/>
                <w:sz w:val="16"/>
                <w:szCs w:val="16"/>
              </w:rPr>
              <w:t>potřebami podniku</w:t>
            </w:r>
          </w:p>
        </w:tc>
        <w:tc>
          <w:tcPr>
            <w:tcW w:w="850" w:type="dxa"/>
            <w:tcBorders>
              <w:top w:val="single" w:sz="4" w:space="0" w:color="auto"/>
              <w:left w:val="nil"/>
              <w:bottom w:val="single" w:sz="4" w:space="0" w:color="auto"/>
              <w:right w:val="single" w:sz="4" w:space="0" w:color="auto"/>
            </w:tcBorders>
            <w:shd w:val="clear" w:color="000000" w:fill="7FB0DD"/>
            <w:vAlign w:val="center"/>
            <w:hideMark/>
          </w:tcPr>
          <w:p w14:paraId="5B1AD59E" w14:textId="77777777" w:rsidR="004F00E7" w:rsidRPr="004F00E7" w:rsidRDefault="004F00E7" w:rsidP="004F00E7">
            <w:pPr>
              <w:spacing w:after="0" w:line="240" w:lineRule="auto"/>
              <w:jc w:val="center"/>
              <w:rPr>
                <w:rFonts w:cs="Arial"/>
                <w:b/>
                <w:bCs/>
                <w:color w:val="000000"/>
                <w:sz w:val="16"/>
                <w:szCs w:val="16"/>
              </w:rPr>
            </w:pPr>
            <w:r w:rsidRPr="004F00E7">
              <w:rPr>
                <w:rFonts w:cs="Arial"/>
                <w:b/>
                <w:bCs/>
                <w:color w:val="000000"/>
                <w:sz w:val="16"/>
                <w:szCs w:val="16"/>
              </w:rPr>
              <w:t>Jiné důvody</w:t>
            </w:r>
          </w:p>
        </w:tc>
      </w:tr>
      <w:tr w:rsidR="004F00E7" w:rsidRPr="004F00E7" w14:paraId="37F82880"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A85867B" w14:textId="77777777" w:rsidR="004F00E7" w:rsidRPr="004F00E7" w:rsidRDefault="004F00E7" w:rsidP="004F00E7">
            <w:pPr>
              <w:spacing w:after="0" w:line="240" w:lineRule="auto"/>
              <w:rPr>
                <w:rFonts w:cs="Arial"/>
                <w:b/>
                <w:bCs/>
                <w:color w:val="000000"/>
                <w:sz w:val="16"/>
                <w:szCs w:val="16"/>
              </w:rPr>
            </w:pPr>
            <w:r w:rsidRPr="004F00E7">
              <w:rPr>
                <w:rFonts w:cs="Arial"/>
                <w:b/>
                <w:bCs/>
                <w:color w:val="000000"/>
                <w:sz w:val="16"/>
                <w:szCs w:val="16"/>
              </w:rPr>
              <w:t>Celkem</w:t>
            </w:r>
          </w:p>
        </w:tc>
        <w:tc>
          <w:tcPr>
            <w:tcW w:w="1418" w:type="dxa"/>
            <w:tcBorders>
              <w:top w:val="nil"/>
              <w:left w:val="nil"/>
              <w:bottom w:val="single" w:sz="4" w:space="0" w:color="auto"/>
              <w:right w:val="single" w:sz="4" w:space="0" w:color="auto"/>
            </w:tcBorders>
            <w:shd w:val="clear" w:color="auto" w:fill="auto"/>
            <w:noWrap/>
            <w:vAlign w:val="center"/>
            <w:hideMark/>
          </w:tcPr>
          <w:p w14:paraId="5F84F6F8" w14:textId="77777777" w:rsidR="004F00E7" w:rsidRPr="004F00E7" w:rsidRDefault="004F00E7" w:rsidP="004F00E7">
            <w:pPr>
              <w:spacing w:after="0" w:line="240" w:lineRule="auto"/>
              <w:jc w:val="right"/>
              <w:rPr>
                <w:rFonts w:cs="Arial"/>
                <w:b/>
                <w:bCs/>
                <w:color w:val="000000"/>
                <w:sz w:val="16"/>
                <w:szCs w:val="16"/>
              </w:rPr>
            </w:pPr>
            <w:r w:rsidRPr="004F00E7">
              <w:rPr>
                <w:rFonts w:cs="Arial"/>
                <w:b/>
                <w:bCs/>
                <w:color w:val="000000"/>
                <w:sz w:val="16"/>
                <w:szCs w:val="16"/>
              </w:rPr>
              <w:t>65,2</w:t>
            </w:r>
          </w:p>
        </w:tc>
        <w:tc>
          <w:tcPr>
            <w:tcW w:w="1276" w:type="dxa"/>
            <w:tcBorders>
              <w:top w:val="nil"/>
              <w:left w:val="nil"/>
              <w:bottom w:val="single" w:sz="4" w:space="0" w:color="auto"/>
              <w:right w:val="single" w:sz="4" w:space="0" w:color="auto"/>
            </w:tcBorders>
            <w:shd w:val="clear" w:color="auto" w:fill="auto"/>
            <w:noWrap/>
            <w:vAlign w:val="center"/>
            <w:hideMark/>
          </w:tcPr>
          <w:p w14:paraId="0B038394" w14:textId="77777777" w:rsidR="004F00E7" w:rsidRPr="004F00E7" w:rsidRDefault="004F00E7" w:rsidP="004F00E7">
            <w:pPr>
              <w:spacing w:after="0" w:line="240" w:lineRule="auto"/>
              <w:jc w:val="right"/>
              <w:rPr>
                <w:rFonts w:cs="Arial"/>
                <w:b/>
                <w:bCs/>
                <w:color w:val="000000"/>
                <w:sz w:val="16"/>
                <w:szCs w:val="16"/>
              </w:rPr>
            </w:pPr>
            <w:r w:rsidRPr="004F00E7">
              <w:rPr>
                <w:rFonts w:cs="Arial"/>
                <w:b/>
                <w:bCs/>
                <w:color w:val="000000"/>
                <w:sz w:val="16"/>
                <w:szCs w:val="16"/>
              </w:rPr>
              <w:t>33,6</w:t>
            </w:r>
          </w:p>
        </w:tc>
        <w:tc>
          <w:tcPr>
            <w:tcW w:w="1275" w:type="dxa"/>
            <w:tcBorders>
              <w:top w:val="nil"/>
              <w:left w:val="nil"/>
              <w:bottom w:val="single" w:sz="4" w:space="0" w:color="auto"/>
              <w:right w:val="single" w:sz="4" w:space="0" w:color="auto"/>
            </w:tcBorders>
            <w:shd w:val="clear" w:color="auto" w:fill="auto"/>
            <w:noWrap/>
            <w:vAlign w:val="center"/>
            <w:hideMark/>
          </w:tcPr>
          <w:p w14:paraId="20DB856E" w14:textId="77777777" w:rsidR="004F00E7" w:rsidRPr="004F00E7" w:rsidRDefault="004F00E7" w:rsidP="004F00E7">
            <w:pPr>
              <w:spacing w:after="0" w:line="240" w:lineRule="auto"/>
              <w:jc w:val="right"/>
              <w:rPr>
                <w:rFonts w:cs="Arial"/>
                <w:b/>
                <w:bCs/>
                <w:color w:val="000000"/>
                <w:sz w:val="16"/>
                <w:szCs w:val="16"/>
              </w:rPr>
            </w:pPr>
            <w:r w:rsidRPr="004F00E7">
              <w:rPr>
                <w:rFonts w:cs="Arial"/>
                <w:b/>
                <w:bCs/>
                <w:color w:val="000000"/>
                <w:sz w:val="16"/>
                <w:szCs w:val="16"/>
              </w:rPr>
              <w:t>23,8</w:t>
            </w:r>
          </w:p>
        </w:tc>
        <w:tc>
          <w:tcPr>
            <w:tcW w:w="1418" w:type="dxa"/>
            <w:tcBorders>
              <w:top w:val="nil"/>
              <w:left w:val="nil"/>
              <w:bottom w:val="single" w:sz="4" w:space="0" w:color="auto"/>
              <w:right w:val="single" w:sz="4" w:space="0" w:color="auto"/>
            </w:tcBorders>
            <w:shd w:val="clear" w:color="auto" w:fill="auto"/>
            <w:noWrap/>
            <w:vAlign w:val="center"/>
            <w:hideMark/>
          </w:tcPr>
          <w:p w14:paraId="209A9D70" w14:textId="77777777" w:rsidR="004F00E7" w:rsidRPr="004F00E7" w:rsidRDefault="004F00E7" w:rsidP="004F00E7">
            <w:pPr>
              <w:spacing w:after="0" w:line="240" w:lineRule="auto"/>
              <w:jc w:val="right"/>
              <w:rPr>
                <w:rFonts w:cs="Arial"/>
                <w:b/>
                <w:bCs/>
                <w:color w:val="000000"/>
                <w:sz w:val="16"/>
                <w:szCs w:val="16"/>
              </w:rPr>
            </w:pPr>
            <w:r w:rsidRPr="004F00E7">
              <w:rPr>
                <w:rFonts w:cs="Arial"/>
                <w:b/>
                <w:bCs/>
                <w:color w:val="000000"/>
                <w:sz w:val="16"/>
                <w:szCs w:val="16"/>
              </w:rPr>
              <w:t>8,2</w:t>
            </w:r>
          </w:p>
        </w:tc>
        <w:tc>
          <w:tcPr>
            <w:tcW w:w="850" w:type="dxa"/>
            <w:tcBorders>
              <w:top w:val="nil"/>
              <w:left w:val="nil"/>
              <w:bottom w:val="single" w:sz="4" w:space="0" w:color="auto"/>
              <w:right w:val="single" w:sz="4" w:space="0" w:color="auto"/>
            </w:tcBorders>
            <w:shd w:val="clear" w:color="auto" w:fill="auto"/>
            <w:noWrap/>
            <w:vAlign w:val="center"/>
            <w:hideMark/>
          </w:tcPr>
          <w:p w14:paraId="6696884F" w14:textId="77777777" w:rsidR="004F00E7" w:rsidRPr="004F00E7" w:rsidRDefault="004F00E7" w:rsidP="004F00E7">
            <w:pPr>
              <w:spacing w:after="0" w:line="240" w:lineRule="auto"/>
              <w:jc w:val="right"/>
              <w:rPr>
                <w:rFonts w:cs="Arial"/>
                <w:b/>
                <w:bCs/>
                <w:color w:val="000000"/>
                <w:sz w:val="16"/>
                <w:szCs w:val="16"/>
              </w:rPr>
            </w:pPr>
            <w:r w:rsidRPr="004F00E7">
              <w:rPr>
                <w:rFonts w:cs="Arial"/>
                <w:b/>
                <w:bCs/>
                <w:color w:val="000000"/>
                <w:sz w:val="16"/>
                <w:szCs w:val="16"/>
              </w:rPr>
              <w:t>33,3</w:t>
            </w:r>
          </w:p>
        </w:tc>
      </w:tr>
      <w:tr w:rsidR="004F00E7" w:rsidRPr="004F00E7" w14:paraId="3349CDF0" w14:textId="77777777" w:rsidTr="00332FCF">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46367C42" w14:textId="77777777" w:rsidR="004F00E7" w:rsidRPr="004F00E7" w:rsidRDefault="004F00E7" w:rsidP="004F00E7">
            <w:pPr>
              <w:spacing w:after="0" w:line="240" w:lineRule="auto"/>
              <w:rPr>
                <w:rFonts w:cs="Arial"/>
                <w:b/>
                <w:bCs/>
                <w:color w:val="000000"/>
                <w:sz w:val="16"/>
                <w:szCs w:val="16"/>
              </w:rPr>
            </w:pPr>
            <w:r w:rsidRPr="004F00E7">
              <w:rPr>
                <w:rFonts w:cs="Arial"/>
                <w:b/>
                <w:bCs/>
                <w:color w:val="000000"/>
                <w:sz w:val="16"/>
                <w:szCs w:val="16"/>
              </w:rPr>
              <w:t xml:space="preserve">podle počtu zaměstnanců </w:t>
            </w:r>
          </w:p>
        </w:tc>
      </w:tr>
      <w:tr w:rsidR="004F00E7" w:rsidRPr="004F00E7" w14:paraId="596FB186"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6E417C" w14:textId="77777777" w:rsidR="004F00E7" w:rsidRPr="004F00E7" w:rsidRDefault="004F00E7" w:rsidP="004F00E7">
            <w:pPr>
              <w:spacing w:after="0" w:line="240" w:lineRule="auto"/>
              <w:rPr>
                <w:rFonts w:cs="Arial"/>
                <w:color w:val="000000"/>
                <w:sz w:val="16"/>
                <w:szCs w:val="16"/>
              </w:rPr>
            </w:pPr>
            <w:r w:rsidRPr="004F00E7">
              <w:rPr>
                <w:rFonts w:cs="Arial"/>
                <w:color w:val="000000"/>
                <w:sz w:val="16"/>
                <w:szCs w:val="16"/>
              </w:rPr>
              <w:t>10–19 zaměstnanců</w:t>
            </w:r>
          </w:p>
        </w:tc>
        <w:tc>
          <w:tcPr>
            <w:tcW w:w="1418" w:type="dxa"/>
            <w:tcBorders>
              <w:top w:val="nil"/>
              <w:left w:val="nil"/>
              <w:bottom w:val="single" w:sz="4" w:space="0" w:color="auto"/>
              <w:right w:val="single" w:sz="4" w:space="0" w:color="auto"/>
            </w:tcBorders>
            <w:shd w:val="clear" w:color="auto" w:fill="auto"/>
            <w:noWrap/>
            <w:vAlign w:val="center"/>
            <w:hideMark/>
          </w:tcPr>
          <w:p w14:paraId="6DD30EF5"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58,9</w:t>
            </w:r>
          </w:p>
        </w:tc>
        <w:tc>
          <w:tcPr>
            <w:tcW w:w="1276" w:type="dxa"/>
            <w:tcBorders>
              <w:top w:val="nil"/>
              <w:left w:val="nil"/>
              <w:bottom w:val="single" w:sz="4" w:space="0" w:color="auto"/>
              <w:right w:val="single" w:sz="4" w:space="0" w:color="auto"/>
            </w:tcBorders>
            <w:shd w:val="clear" w:color="auto" w:fill="auto"/>
            <w:noWrap/>
            <w:vAlign w:val="center"/>
            <w:hideMark/>
          </w:tcPr>
          <w:p w14:paraId="54F1AFD5"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28,1</w:t>
            </w:r>
          </w:p>
        </w:tc>
        <w:tc>
          <w:tcPr>
            <w:tcW w:w="1275" w:type="dxa"/>
            <w:tcBorders>
              <w:top w:val="nil"/>
              <w:left w:val="nil"/>
              <w:bottom w:val="single" w:sz="4" w:space="0" w:color="auto"/>
              <w:right w:val="single" w:sz="4" w:space="0" w:color="auto"/>
            </w:tcBorders>
            <w:shd w:val="clear" w:color="auto" w:fill="auto"/>
            <w:noWrap/>
            <w:vAlign w:val="center"/>
            <w:hideMark/>
          </w:tcPr>
          <w:p w14:paraId="56F36EB2"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23,7</w:t>
            </w:r>
          </w:p>
        </w:tc>
        <w:tc>
          <w:tcPr>
            <w:tcW w:w="1418" w:type="dxa"/>
            <w:tcBorders>
              <w:top w:val="nil"/>
              <w:left w:val="nil"/>
              <w:bottom w:val="single" w:sz="4" w:space="0" w:color="auto"/>
              <w:right w:val="single" w:sz="4" w:space="0" w:color="auto"/>
            </w:tcBorders>
            <w:shd w:val="clear" w:color="auto" w:fill="auto"/>
            <w:noWrap/>
            <w:vAlign w:val="center"/>
            <w:hideMark/>
          </w:tcPr>
          <w:p w14:paraId="53EA8738"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6752400A"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33,4</w:t>
            </w:r>
          </w:p>
        </w:tc>
      </w:tr>
      <w:tr w:rsidR="004F00E7" w:rsidRPr="004F00E7" w14:paraId="5C9BEFCC"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FA3F1E" w14:textId="77777777" w:rsidR="004F00E7" w:rsidRPr="004F00E7" w:rsidRDefault="004F00E7" w:rsidP="004F00E7">
            <w:pPr>
              <w:spacing w:after="0" w:line="240" w:lineRule="auto"/>
              <w:rPr>
                <w:rFonts w:cs="Arial"/>
                <w:color w:val="000000"/>
                <w:sz w:val="16"/>
                <w:szCs w:val="16"/>
              </w:rPr>
            </w:pPr>
            <w:r w:rsidRPr="004F00E7">
              <w:rPr>
                <w:rFonts w:cs="Arial"/>
                <w:color w:val="000000"/>
                <w:sz w:val="16"/>
                <w:szCs w:val="16"/>
              </w:rPr>
              <w:t>20–49 zaměstnanců</w:t>
            </w:r>
          </w:p>
        </w:tc>
        <w:tc>
          <w:tcPr>
            <w:tcW w:w="1418" w:type="dxa"/>
            <w:tcBorders>
              <w:top w:val="nil"/>
              <w:left w:val="nil"/>
              <w:bottom w:val="single" w:sz="4" w:space="0" w:color="auto"/>
              <w:right w:val="single" w:sz="4" w:space="0" w:color="auto"/>
            </w:tcBorders>
            <w:shd w:val="clear" w:color="auto" w:fill="auto"/>
            <w:noWrap/>
            <w:vAlign w:val="center"/>
            <w:hideMark/>
          </w:tcPr>
          <w:p w14:paraId="175428C9"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62,7</w:t>
            </w:r>
          </w:p>
        </w:tc>
        <w:tc>
          <w:tcPr>
            <w:tcW w:w="1276" w:type="dxa"/>
            <w:tcBorders>
              <w:top w:val="nil"/>
              <w:left w:val="nil"/>
              <w:bottom w:val="single" w:sz="4" w:space="0" w:color="auto"/>
              <w:right w:val="single" w:sz="4" w:space="0" w:color="auto"/>
            </w:tcBorders>
            <w:shd w:val="clear" w:color="auto" w:fill="auto"/>
            <w:noWrap/>
            <w:vAlign w:val="center"/>
            <w:hideMark/>
          </w:tcPr>
          <w:p w14:paraId="12AD540E"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30,5</w:t>
            </w:r>
          </w:p>
        </w:tc>
        <w:tc>
          <w:tcPr>
            <w:tcW w:w="1275" w:type="dxa"/>
            <w:tcBorders>
              <w:top w:val="nil"/>
              <w:left w:val="nil"/>
              <w:bottom w:val="single" w:sz="4" w:space="0" w:color="auto"/>
              <w:right w:val="single" w:sz="4" w:space="0" w:color="auto"/>
            </w:tcBorders>
            <w:shd w:val="clear" w:color="auto" w:fill="auto"/>
            <w:noWrap/>
            <w:vAlign w:val="center"/>
            <w:hideMark/>
          </w:tcPr>
          <w:p w14:paraId="1E7E56EF"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21,5</w:t>
            </w:r>
          </w:p>
        </w:tc>
        <w:tc>
          <w:tcPr>
            <w:tcW w:w="1418" w:type="dxa"/>
            <w:tcBorders>
              <w:top w:val="nil"/>
              <w:left w:val="nil"/>
              <w:bottom w:val="single" w:sz="4" w:space="0" w:color="auto"/>
              <w:right w:val="single" w:sz="4" w:space="0" w:color="auto"/>
            </w:tcBorders>
            <w:shd w:val="clear" w:color="auto" w:fill="auto"/>
            <w:noWrap/>
            <w:vAlign w:val="center"/>
            <w:hideMark/>
          </w:tcPr>
          <w:p w14:paraId="6FD9CAFD"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7,8</w:t>
            </w:r>
          </w:p>
        </w:tc>
        <w:tc>
          <w:tcPr>
            <w:tcW w:w="850" w:type="dxa"/>
            <w:tcBorders>
              <w:top w:val="nil"/>
              <w:left w:val="nil"/>
              <w:bottom w:val="single" w:sz="4" w:space="0" w:color="auto"/>
              <w:right w:val="single" w:sz="4" w:space="0" w:color="auto"/>
            </w:tcBorders>
            <w:shd w:val="clear" w:color="auto" w:fill="auto"/>
            <w:noWrap/>
            <w:vAlign w:val="center"/>
            <w:hideMark/>
          </w:tcPr>
          <w:p w14:paraId="114D46A5"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33,1</w:t>
            </w:r>
          </w:p>
        </w:tc>
      </w:tr>
      <w:tr w:rsidR="004F00E7" w:rsidRPr="004F00E7" w14:paraId="2496ED45"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4B465D" w14:textId="77777777" w:rsidR="004F00E7" w:rsidRPr="004F00E7" w:rsidRDefault="004F00E7" w:rsidP="004F00E7">
            <w:pPr>
              <w:spacing w:after="0" w:line="240" w:lineRule="auto"/>
              <w:rPr>
                <w:rFonts w:cs="Arial"/>
                <w:color w:val="000000"/>
                <w:sz w:val="16"/>
                <w:szCs w:val="16"/>
              </w:rPr>
            </w:pPr>
            <w:r w:rsidRPr="004F00E7">
              <w:rPr>
                <w:rFonts w:cs="Arial"/>
                <w:color w:val="000000"/>
                <w:sz w:val="16"/>
                <w:szCs w:val="16"/>
              </w:rPr>
              <w:t>50–249 zaměstnanců</w:t>
            </w:r>
          </w:p>
        </w:tc>
        <w:tc>
          <w:tcPr>
            <w:tcW w:w="1418" w:type="dxa"/>
            <w:tcBorders>
              <w:top w:val="nil"/>
              <w:left w:val="nil"/>
              <w:bottom w:val="single" w:sz="4" w:space="0" w:color="auto"/>
              <w:right w:val="single" w:sz="4" w:space="0" w:color="auto"/>
            </w:tcBorders>
            <w:shd w:val="clear" w:color="auto" w:fill="auto"/>
            <w:noWrap/>
            <w:vAlign w:val="center"/>
            <w:hideMark/>
          </w:tcPr>
          <w:p w14:paraId="13D75526"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6EA53D8"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38,1</w:t>
            </w:r>
          </w:p>
        </w:tc>
        <w:tc>
          <w:tcPr>
            <w:tcW w:w="1275" w:type="dxa"/>
            <w:tcBorders>
              <w:top w:val="nil"/>
              <w:left w:val="nil"/>
              <w:bottom w:val="single" w:sz="4" w:space="0" w:color="auto"/>
              <w:right w:val="single" w:sz="4" w:space="0" w:color="auto"/>
            </w:tcBorders>
            <w:shd w:val="clear" w:color="auto" w:fill="auto"/>
            <w:noWrap/>
            <w:vAlign w:val="center"/>
            <w:hideMark/>
          </w:tcPr>
          <w:p w14:paraId="269F526C"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24,7</w:t>
            </w:r>
          </w:p>
        </w:tc>
        <w:tc>
          <w:tcPr>
            <w:tcW w:w="1418" w:type="dxa"/>
            <w:tcBorders>
              <w:top w:val="nil"/>
              <w:left w:val="nil"/>
              <w:bottom w:val="single" w:sz="4" w:space="0" w:color="auto"/>
              <w:right w:val="single" w:sz="4" w:space="0" w:color="auto"/>
            </w:tcBorders>
            <w:shd w:val="clear" w:color="auto" w:fill="auto"/>
            <w:noWrap/>
            <w:vAlign w:val="center"/>
            <w:hideMark/>
          </w:tcPr>
          <w:p w14:paraId="4929C19D"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8,6</w:t>
            </w:r>
          </w:p>
        </w:tc>
        <w:tc>
          <w:tcPr>
            <w:tcW w:w="850" w:type="dxa"/>
            <w:tcBorders>
              <w:top w:val="nil"/>
              <w:left w:val="nil"/>
              <w:bottom w:val="single" w:sz="4" w:space="0" w:color="auto"/>
              <w:right w:val="single" w:sz="4" w:space="0" w:color="auto"/>
            </w:tcBorders>
            <w:shd w:val="clear" w:color="auto" w:fill="auto"/>
            <w:noWrap/>
            <w:vAlign w:val="center"/>
            <w:hideMark/>
          </w:tcPr>
          <w:p w14:paraId="61F58FB5"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32,9</w:t>
            </w:r>
          </w:p>
        </w:tc>
      </w:tr>
      <w:tr w:rsidR="004F00E7" w:rsidRPr="004F00E7" w14:paraId="34E1922F"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1933BA" w14:textId="77777777" w:rsidR="004F00E7" w:rsidRPr="004F00E7" w:rsidRDefault="004F00E7" w:rsidP="004F00E7">
            <w:pPr>
              <w:spacing w:after="0" w:line="240" w:lineRule="auto"/>
              <w:rPr>
                <w:rFonts w:cs="Arial"/>
                <w:color w:val="000000"/>
                <w:sz w:val="16"/>
                <w:szCs w:val="16"/>
              </w:rPr>
            </w:pPr>
            <w:r w:rsidRPr="004F00E7">
              <w:rPr>
                <w:rFonts w:cs="Arial"/>
                <w:color w:val="000000"/>
                <w:sz w:val="16"/>
                <w:szCs w:val="16"/>
              </w:rPr>
              <w:t>250 a více zaměstnanců</w:t>
            </w:r>
          </w:p>
        </w:tc>
        <w:tc>
          <w:tcPr>
            <w:tcW w:w="1418" w:type="dxa"/>
            <w:tcBorders>
              <w:top w:val="nil"/>
              <w:left w:val="nil"/>
              <w:bottom w:val="single" w:sz="4" w:space="0" w:color="auto"/>
              <w:right w:val="single" w:sz="4" w:space="0" w:color="auto"/>
            </w:tcBorders>
            <w:shd w:val="clear" w:color="auto" w:fill="auto"/>
            <w:noWrap/>
            <w:vAlign w:val="center"/>
            <w:hideMark/>
          </w:tcPr>
          <w:p w14:paraId="5AE2413B"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82,8</w:t>
            </w:r>
          </w:p>
        </w:tc>
        <w:tc>
          <w:tcPr>
            <w:tcW w:w="1276" w:type="dxa"/>
            <w:tcBorders>
              <w:top w:val="nil"/>
              <w:left w:val="nil"/>
              <w:bottom w:val="single" w:sz="4" w:space="0" w:color="auto"/>
              <w:right w:val="single" w:sz="4" w:space="0" w:color="auto"/>
            </w:tcBorders>
            <w:shd w:val="clear" w:color="auto" w:fill="auto"/>
            <w:noWrap/>
            <w:vAlign w:val="center"/>
            <w:hideMark/>
          </w:tcPr>
          <w:p w14:paraId="34ED6C65"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53,1</w:t>
            </w:r>
          </w:p>
        </w:tc>
        <w:tc>
          <w:tcPr>
            <w:tcW w:w="1275" w:type="dxa"/>
            <w:tcBorders>
              <w:top w:val="nil"/>
              <w:left w:val="nil"/>
              <w:bottom w:val="single" w:sz="4" w:space="0" w:color="auto"/>
              <w:right w:val="single" w:sz="4" w:space="0" w:color="auto"/>
            </w:tcBorders>
            <w:shd w:val="clear" w:color="auto" w:fill="auto"/>
            <w:noWrap/>
            <w:vAlign w:val="center"/>
            <w:hideMark/>
          </w:tcPr>
          <w:p w14:paraId="1364311E"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29,2</w:t>
            </w:r>
          </w:p>
        </w:tc>
        <w:tc>
          <w:tcPr>
            <w:tcW w:w="1418" w:type="dxa"/>
            <w:tcBorders>
              <w:top w:val="nil"/>
              <w:left w:val="nil"/>
              <w:bottom w:val="single" w:sz="4" w:space="0" w:color="auto"/>
              <w:right w:val="single" w:sz="4" w:space="0" w:color="auto"/>
            </w:tcBorders>
            <w:shd w:val="clear" w:color="auto" w:fill="auto"/>
            <w:noWrap/>
            <w:vAlign w:val="center"/>
            <w:hideMark/>
          </w:tcPr>
          <w:p w14:paraId="05BCF7E3"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12,8</w:t>
            </w:r>
          </w:p>
        </w:tc>
        <w:tc>
          <w:tcPr>
            <w:tcW w:w="850" w:type="dxa"/>
            <w:tcBorders>
              <w:top w:val="nil"/>
              <w:left w:val="nil"/>
              <w:bottom w:val="single" w:sz="4" w:space="0" w:color="auto"/>
              <w:right w:val="single" w:sz="4" w:space="0" w:color="auto"/>
            </w:tcBorders>
            <w:shd w:val="clear" w:color="auto" w:fill="auto"/>
            <w:noWrap/>
            <w:vAlign w:val="center"/>
            <w:hideMark/>
          </w:tcPr>
          <w:p w14:paraId="3D7E647B" w14:textId="77777777" w:rsidR="004F00E7" w:rsidRPr="004F00E7" w:rsidRDefault="004F00E7" w:rsidP="004F00E7">
            <w:pPr>
              <w:spacing w:after="0" w:line="240" w:lineRule="auto"/>
              <w:jc w:val="right"/>
              <w:rPr>
                <w:rFonts w:cs="Arial"/>
                <w:color w:val="000000"/>
                <w:sz w:val="16"/>
                <w:szCs w:val="16"/>
              </w:rPr>
            </w:pPr>
            <w:r w:rsidRPr="004F00E7">
              <w:rPr>
                <w:rFonts w:cs="Arial"/>
                <w:color w:val="000000"/>
                <w:sz w:val="16"/>
                <w:szCs w:val="16"/>
              </w:rPr>
              <w:t>34,5</w:t>
            </w:r>
          </w:p>
        </w:tc>
      </w:tr>
      <w:tr w:rsidR="004F00E7" w:rsidRPr="004F00E7" w14:paraId="5F8C4B2C" w14:textId="77777777" w:rsidTr="00332FCF">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4CB1E433" w14:textId="02CEB759" w:rsidR="004F00E7" w:rsidRPr="004F00E7" w:rsidRDefault="00A241ED" w:rsidP="004F00E7">
            <w:pPr>
              <w:spacing w:after="0" w:line="240" w:lineRule="auto"/>
              <w:rPr>
                <w:rFonts w:cs="Arial"/>
                <w:b/>
                <w:bCs/>
                <w:color w:val="000000"/>
                <w:sz w:val="16"/>
                <w:szCs w:val="16"/>
              </w:rPr>
            </w:pPr>
            <w:r w:rsidRPr="00A241ED">
              <w:rPr>
                <w:rFonts w:cs="Arial"/>
                <w:b/>
                <w:bCs/>
                <w:color w:val="000000"/>
                <w:sz w:val="16"/>
                <w:szCs w:val="16"/>
              </w:rPr>
              <w:t>podle vlastnictví</w:t>
            </w:r>
          </w:p>
        </w:tc>
      </w:tr>
      <w:tr w:rsidR="006C1649" w:rsidRPr="004F00E7" w14:paraId="14FD1880" w14:textId="77777777" w:rsidTr="006C1649">
        <w:trPr>
          <w:trHeight w:val="300"/>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14:paraId="242CBE3D" w14:textId="76422EFA" w:rsidR="006C1649" w:rsidRPr="006C1649" w:rsidRDefault="006C1649" w:rsidP="006C1649">
            <w:pPr>
              <w:spacing w:after="0" w:line="240" w:lineRule="auto"/>
              <w:rPr>
                <w:rFonts w:cs="Arial"/>
                <w:color w:val="000000"/>
                <w:sz w:val="16"/>
                <w:szCs w:val="16"/>
              </w:rPr>
            </w:pPr>
            <w:r w:rsidRPr="006C1649">
              <w:rPr>
                <w:sz w:val="16"/>
                <w:szCs w:val="16"/>
              </w:rPr>
              <w:t>domácí podniky</w:t>
            </w:r>
          </w:p>
        </w:tc>
        <w:tc>
          <w:tcPr>
            <w:tcW w:w="1418" w:type="dxa"/>
            <w:tcBorders>
              <w:top w:val="nil"/>
              <w:left w:val="nil"/>
              <w:bottom w:val="single" w:sz="4" w:space="0" w:color="auto"/>
              <w:right w:val="single" w:sz="4" w:space="0" w:color="auto"/>
            </w:tcBorders>
            <w:shd w:val="clear" w:color="auto" w:fill="auto"/>
            <w:noWrap/>
            <w:vAlign w:val="center"/>
            <w:hideMark/>
          </w:tcPr>
          <w:p w14:paraId="638AE92C"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63,6</w:t>
            </w:r>
          </w:p>
        </w:tc>
        <w:tc>
          <w:tcPr>
            <w:tcW w:w="1276" w:type="dxa"/>
            <w:tcBorders>
              <w:top w:val="nil"/>
              <w:left w:val="nil"/>
              <w:bottom w:val="single" w:sz="4" w:space="0" w:color="auto"/>
              <w:right w:val="single" w:sz="4" w:space="0" w:color="auto"/>
            </w:tcBorders>
            <w:shd w:val="clear" w:color="auto" w:fill="auto"/>
            <w:noWrap/>
            <w:vAlign w:val="center"/>
            <w:hideMark/>
          </w:tcPr>
          <w:p w14:paraId="632033F8"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31,6</w:t>
            </w:r>
          </w:p>
        </w:tc>
        <w:tc>
          <w:tcPr>
            <w:tcW w:w="1275" w:type="dxa"/>
            <w:tcBorders>
              <w:top w:val="nil"/>
              <w:left w:val="nil"/>
              <w:bottom w:val="single" w:sz="4" w:space="0" w:color="auto"/>
              <w:right w:val="single" w:sz="4" w:space="0" w:color="auto"/>
            </w:tcBorders>
            <w:shd w:val="clear" w:color="auto" w:fill="auto"/>
            <w:noWrap/>
            <w:vAlign w:val="center"/>
            <w:hideMark/>
          </w:tcPr>
          <w:p w14:paraId="65769C04"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23</w:t>
            </w:r>
          </w:p>
        </w:tc>
        <w:tc>
          <w:tcPr>
            <w:tcW w:w="1418" w:type="dxa"/>
            <w:tcBorders>
              <w:top w:val="nil"/>
              <w:left w:val="nil"/>
              <w:bottom w:val="single" w:sz="4" w:space="0" w:color="auto"/>
              <w:right w:val="single" w:sz="4" w:space="0" w:color="auto"/>
            </w:tcBorders>
            <w:shd w:val="clear" w:color="auto" w:fill="auto"/>
            <w:noWrap/>
            <w:vAlign w:val="center"/>
            <w:hideMark/>
          </w:tcPr>
          <w:p w14:paraId="124C2703"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14:paraId="0E81649A"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32,4</w:t>
            </w:r>
          </w:p>
        </w:tc>
      </w:tr>
      <w:tr w:rsidR="006C1649" w:rsidRPr="004F00E7" w14:paraId="4412B978" w14:textId="77777777" w:rsidTr="006C1649">
        <w:trPr>
          <w:trHeight w:val="300"/>
        </w:trPr>
        <w:tc>
          <w:tcPr>
            <w:tcW w:w="3402" w:type="dxa"/>
            <w:tcBorders>
              <w:top w:val="nil"/>
              <w:left w:val="single" w:sz="4" w:space="0" w:color="auto"/>
              <w:bottom w:val="single" w:sz="4" w:space="0" w:color="auto"/>
              <w:right w:val="single" w:sz="4" w:space="0" w:color="auto"/>
            </w:tcBorders>
            <w:shd w:val="clear" w:color="000000" w:fill="FFFFFF"/>
            <w:noWrap/>
            <w:vAlign w:val="center"/>
            <w:hideMark/>
          </w:tcPr>
          <w:p w14:paraId="4CA1B4F3" w14:textId="7ED9F4E0" w:rsidR="006C1649" w:rsidRPr="006C1649" w:rsidRDefault="006C1649" w:rsidP="006C1649">
            <w:pPr>
              <w:spacing w:after="0" w:line="240" w:lineRule="auto"/>
              <w:rPr>
                <w:rFonts w:cs="Arial"/>
                <w:color w:val="000000"/>
                <w:sz w:val="16"/>
                <w:szCs w:val="16"/>
              </w:rPr>
            </w:pPr>
            <w:r w:rsidRPr="006C1649">
              <w:rPr>
                <w:sz w:val="16"/>
                <w:szCs w:val="16"/>
              </w:rPr>
              <w:t>podniky pod zahraniční kontrolou</w:t>
            </w:r>
          </w:p>
        </w:tc>
        <w:tc>
          <w:tcPr>
            <w:tcW w:w="1418" w:type="dxa"/>
            <w:tcBorders>
              <w:top w:val="nil"/>
              <w:left w:val="nil"/>
              <w:bottom w:val="single" w:sz="4" w:space="0" w:color="auto"/>
              <w:right w:val="single" w:sz="4" w:space="0" w:color="auto"/>
            </w:tcBorders>
            <w:shd w:val="clear" w:color="auto" w:fill="auto"/>
            <w:noWrap/>
            <w:vAlign w:val="center"/>
            <w:hideMark/>
          </w:tcPr>
          <w:p w14:paraId="72A7AEEF"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73,3</w:t>
            </w:r>
          </w:p>
        </w:tc>
        <w:tc>
          <w:tcPr>
            <w:tcW w:w="1276" w:type="dxa"/>
            <w:tcBorders>
              <w:top w:val="nil"/>
              <w:left w:val="nil"/>
              <w:bottom w:val="single" w:sz="4" w:space="0" w:color="auto"/>
              <w:right w:val="single" w:sz="4" w:space="0" w:color="auto"/>
            </w:tcBorders>
            <w:shd w:val="clear" w:color="auto" w:fill="auto"/>
            <w:noWrap/>
            <w:vAlign w:val="center"/>
            <w:hideMark/>
          </w:tcPr>
          <w:p w14:paraId="25EEECCE"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43,7</w:t>
            </w:r>
          </w:p>
        </w:tc>
        <w:tc>
          <w:tcPr>
            <w:tcW w:w="1275" w:type="dxa"/>
            <w:tcBorders>
              <w:top w:val="nil"/>
              <w:left w:val="nil"/>
              <w:bottom w:val="single" w:sz="4" w:space="0" w:color="auto"/>
              <w:right w:val="single" w:sz="4" w:space="0" w:color="auto"/>
            </w:tcBorders>
            <w:shd w:val="clear" w:color="auto" w:fill="auto"/>
            <w:noWrap/>
            <w:vAlign w:val="center"/>
            <w:hideMark/>
          </w:tcPr>
          <w:p w14:paraId="59FF568D"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28,3</w:t>
            </w:r>
          </w:p>
        </w:tc>
        <w:tc>
          <w:tcPr>
            <w:tcW w:w="1418" w:type="dxa"/>
            <w:tcBorders>
              <w:top w:val="nil"/>
              <w:left w:val="nil"/>
              <w:bottom w:val="single" w:sz="4" w:space="0" w:color="auto"/>
              <w:right w:val="single" w:sz="4" w:space="0" w:color="auto"/>
            </w:tcBorders>
            <w:shd w:val="clear" w:color="auto" w:fill="auto"/>
            <w:noWrap/>
            <w:vAlign w:val="center"/>
            <w:hideMark/>
          </w:tcPr>
          <w:p w14:paraId="33A85682"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9,2</w:t>
            </w:r>
          </w:p>
        </w:tc>
        <w:tc>
          <w:tcPr>
            <w:tcW w:w="850" w:type="dxa"/>
            <w:tcBorders>
              <w:top w:val="nil"/>
              <w:left w:val="nil"/>
              <w:bottom w:val="single" w:sz="4" w:space="0" w:color="auto"/>
              <w:right w:val="single" w:sz="4" w:space="0" w:color="auto"/>
            </w:tcBorders>
            <w:shd w:val="clear" w:color="auto" w:fill="auto"/>
            <w:noWrap/>
            <w:vAlign w:val="center"/>
            <w:hideMark/>
          </w:tcPr>
          <w:p w14:paraId="5C0B99A8" w14:textId="77777777" w:rsidR="006C1649" w:rsidRPr="004F00E7" w:rsidRDefault="006C1649" w:rsidP="006C1649">
            <w:pPr>
              <w:spacing w:after="0" w:line="240" w:lineRule="auto"/>
              <w:jc w:val="right"/>
              <w:rPr>
                <w:rFonts w:cs="Arial"/>
                <w:color w:val="000000"/>
                <w:sz w:val="16"/>
                <w:szCs w:val="16"/>
              </w:rPr>
            </w:pPr>
            <w:r w:rsidRPr="004F00E7">
              <w:rPr>
                <w:rFonts w:cs="Arial"/>
                <w:color w:val="000000"/>
                <w:sz w:val="16"/>
                <w:szCs w:val="16"/>
              </w:rPr>
              <w:t>37,8</w:t>
            </w:r>
          </w:p>
        </w:tc>
      </w:tr>
      <w:tr w:rsidR="00F476A4" w:rsidRPr="004F00E7" w14:paraId="528AF4C6" w14:textId="77777777" w:rsidTr="00332FCF">
        <w:trPr>
          <w:trHeight w:val="300"/>
        </w:trPr>
        <w:tc>
          <w:tcPr>
            <w:tcW w:w="9639"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1D61F89A" w14:textId="684F90A4" w:rsidR="00F476A4" w:rsidRPr="004F00E7" w:rsidRDefault="00F476A4" w:rsidP="00F476A4">
            <w:pPr>
              <w:spacing w:after="0" w:line="240" w:lineRule="auto"/>
              <w:rPr>
                <w:rFonts w:cs="Arial"/>
                <w:b/>
                <w:bCs/>
                <w:color w:val="000000"/>
                <w:sz w:val="16"/>
                <w:szCs w:val="16"/>
              </w:rPr>
            </w:pPr>
            <w:r w:rsidRPr="00CD57BE">
              <w:rPr>
                <w:rFonts w:cs="Arial"/>
                <w:b/>
                <w:bCs/>
                <w:sz w:val="16"/>
                <w:szCs w:val="16"/>
              </w:rPr>
              <w:t xml:space="preserve">podle </w:t>
            </w:r>
            <w:r>
              <w:rPr>
                <w:rFonts w:cs="Arial"/>
                <w:b/>
                <w:bCs/>
                <w:sz w:val="16"/>
                <w:szCs w:val="16"/>
              </w:rPr>
              <w:t>odvětvové sekce (CZ-NACE)</w:t>
            </w:r>
          </w:p>
        </w:tc>
      </w:tr>
      <w:tr w:rsidR="00F476A4" w:rsidRPr="004F00E7" w14:paraId="0CBA585A" w14:textId="77777777" w:rsidTr="003F53F5">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DD3F0D"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Peněžnictví a pojišťovnictví</w:t>
            </w:r>
          </w:p>
        </w:tc>
        <w:tc>
          <w:tcPr>
            <w:tcW w:w="1418" w:type="dxa"/>
            <w:tcBorders>
              <w:top w:val="nil"/>
              <w:left w:val="nil"/>
              <w:bottom w:val="single" w:sz="4" w:space="0" w:color="auto"/>
              <w:right w:val="single" w:sz="4" w:space="0" w:color="auto"/>
            </w:tcBorders>
            <w:shd w:val="clear" w:color="auto" w:fill="auto"/>
            <w:noWrap/>
            <w:vAlign w:val="center"/>
            <w:hideMark/>
          </w:tcPr>
          <w:p w14:paraId="3DC89783"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65,2</w:t>
            </w:r>
          </w:p>
        </w:tc>
        <w:tc>
          <w:tcPr>
            <w:tcW w:w="1276" w:type="dxa"/>
            <w:tcBorders>
              <w:top w:val="nil"/>
              <w:left w:val="nil"/>
              <w:bottom w:val="single" w:sz="4" w:space="0" w:color="auto"/>
              <w:right w:val="single" w:sz="4" w:space="0" w:color="auto"/>
            </w:tcBorders>
            <w:shd w:val="clear" w:color="auto" w:fill="auto"/>
            <w:noWrap/>
            <w:vAlign w:val="center"/>
            <w:hideMark/>
          </w:tcPr>
          <w:p w14:paraId="5369427F" w14:textId="77777777" w:rsidR="00F476A4" w:rsidRPr="003E2DB7" w:rsidRDefault="00F476A4" w:rsidP="00F476A4">
            <w:pPr>
              <w:spacing w:after="0" w:line="240" w:lineRule="auto"/>
              <w:jc w:val="right"/>
              <w:rPr>
                <w:rFonts w:cs="Arial"/>
                <w:b/>
                <w:color w:val="000000"/>
                <w:sz w:val="16"/>
                <w:szCs w:val="16"/>
              </w:rPr>
            </w:pPr>
            <w:r w:rsidRPr="003E2DB7">
              <w:rPr>
                <w:rFonts w:cs="Arial"/>
                <w:b/>
                <w:color w:val="00B050"/>
                <w:sz w:val="16"/>
                <w:szCs w:val="16"/>
              </w:rPr>
              <w:t>46,9</w:t>
            </w:r>
          </w:p>
        </w:tc>
        <w:tc>
          <w:tcPr>
            <w:tcW w:w="1275" w:type="dxa"/>
            <w:tcBorders>
              <w:top w:val="nil"/>
              <w:left w:val="nil"/>
              <w:bottom w:val="single" w:sz="4" w:space="0" w:color="auto"/>
              <w:right w:val="single" w:sz="4" w:space="0" w:color="auto"/>
            </w:tcBorders>
            <w:shd w:val="clear" w:color="auto" w:fill="auto"/>
            <w:noWrap/>
            <w:vAlign w:val="center"/>
            <w:hideMark/>
          </w:tcPr>
          <w:p w14:paraId="0828EE0A" w14:textId="77777777" w:rsidR="00F476A4" w:rsidRPr="003E2DB7" w:rsidRDefault="00F476A4" w:rsidP="00F476A4">
            <w:pPr>
              <w:spacing w:after="0" w:line="240" w:lineRule="auto"/>
              <w:jc w:val="right"/>
              <w:rPr>
                <w:rFonts w:cs="Arial"/>
                <w:b/>
                <w:color w:val="000000"/>
                <w:sz w:val="16"/>
                <w:szCs w:val="16"/>
              </w:rPr>
            </w:pPr>
            <w:r w:rsidRPr="003E2DB7">
              <w:rPr>
                <w:rFonts w:cs="Arial"/>
                <w:b/>
                <w:color w:val="00B050"/>
                <w:sz w:val="16"/>
                <w:szCs w:val="16"/>
              </w:rPr>
              <w:t>41,2</w:t>
            </w:r>
          </w:p>
        </w:tc>
        <w:tc>
          <w:tcPr>
            <w:tcW w:w="1418" w:type="dxa"/>
            <w:tcBorders>
              <w:top w:val="nil"/>
              <w:left w:val="nil"/>
              <w:bottom w:val="single" w:sz="4" w:space="0" w:color="auto"/>
              <w:right w:val="single" w:sz="4" w:space="0" w:color="auto"/>
            </w:tcBorders>
            <w:shd w:val="clear" w:color="auto" w:fill="auto"/>
            <w:noWrap/>
            <w:vAlign w:val="center"/>
            <w:hideMark/>
          </w:tcPr>
          <w:p w14:paraId="25409854" w14:textId="77777777" w:rsidR="00F476A4" w:rsidRPr="004F00E7" w:rsidRDefault="00F476A4" w:rsidP="00F476A4">
            <w:pPr>
              <w:spacing w:after="0" w:line="240" w:lineRule="auto"/>
              <w:jc w:val="right"/>
              <w:rPr>
                <w:rFonts w:cs="Arial"/>
                <w:b/>
                <w:bCs/>
                <w:color w:val="0070C0"/>
                <w:sz w:val="16"/>
                <w:szCs w:val="16"/>
              </w:rPr>
            </w:pPr>
            <w:r w:rsidRPr="00D67150">
              <w:rPr>
                <w:rFonts w:cs="Arial"/>
                <w:b/>
                <w:bCs/>
                <w:color w:val="00B050"/>
                <w:sz w:val="16"/>
                <w:szCs w:val="16"/>
              </w:rPr>
              <w:t>22,2</w:t>
            </w:r>
          </w:p>
        </w:tc>
        <w:tc>
          <w:tcPr>
            <w:tcW w:w="850" w:type="dxa"/>
            <w:tcBorders>
              <w:top w:val="nil"/>
              <w:left w:val="nil"/>
              <w:bottom w:val="single" w:sz="4" w:space="0" w:color="auto"/>
              <w:right w:val="single" w:sz="4" w:space="0" w:color="auto"/>
            </w:tcBorders>
            <w:shd w:val="clear" w:color="auto" w:fill="auto"/>
            <w:noWrap/>
            <w:vAlign w:val="center"/>
            <w:hideMark/>
          </w:tcPr>
          <w:p w14:paraId="3A2085D0" w14:textId="77777777" w:rsidR="00F476A4" w:rsidRPr="003E2DB7" w:rsidRDefault="00F476A4" w:rsidP="00F476A4">
            <w:pPr>
              <w:spacing w:after="0" w:line="240" w:lineRule="auto"/>
              <w:jc w:val="right"/>
              <w:rPr>
                <w:rFonts w:cs="Arial"/>
                <w:b/>
                <w:color w:val="000000"/>
                <w:sz w:val="16"/>
                <w:szCs w:val="16"/>
              </w:rPr>
            </w:pPr>
            <w:r w:rsidRPr="003E2DB7">
              <w:rPr>
                <w:rFonts w:cs="Arial"/>
                <w:b/>
                <w:color w:val="00B050"/>
                <w:sz w:val="16"/>
                <w:szCs w:val="16"/>
              </w:rPr>
              <w:t>41,6</w:t>
            </w:r>
          </w:p>
        </w:tc>
      </w:tr>
      <w:tr w:rsidR="00F476A4" w:rsidRPr="004F00E7" w14:paraId="37FA9CDB"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3DC3BBA"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Profesní, vědecké a technické činnosti</w:t>
            </w:r>
          </w:p>
        </w:tc>
        <w:tc>
          <w:tcPr>
            <w:tcW w:w="1418" w:type="dxa"/>
            <w:tcBorders>
              <w:top w:val="nil"/>
              <w:left w:val="nil"/>
              <w:bottom w:val="single" w:sz="4" w:space="0" w:color="auto"/>
              <w:right w:val="single" w:sz="4" w:space="0" w:color="auto"/>
            </w:tcBorders>
            <w:shd w:val="clear" w:color="auto" w:fill="auto"/>
            <w:noWrap/>
            <w:vAlign w:val="center"/>
            <w:hideMark/>
          </w:tcPr>
          <w:p w14:paraId="12EC2FE8"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66,7</w:t>
            </w:r>
          </w:p>
        </w:tc>
        <w:tc>
          <w:tcPr>
            <w:tcW w:w="1276" w:type="dxa"/>
            <w:tcBorders>
              <w:top w:val="nil"/>
              <w:left w:val="nil"/>
              <w:bottom w:val="single" w:sz="4" w:space="0" w:color="auto"/>
              <w:right w:val="single" w:sz="4" w:space="0" w:color="auto"/>
            </w:tcBorders>
            <w:shd w:val="clear" w:color="auto" w:fill="auto"/>
            <w:noWrap/>
            <w:vAlign w:val="center"/>
            <w:hideMark/>
          </w:tcPr>
          <w:p w14:paraId="09F688E3"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39,9</w:t>
            </w:r>
          </w:p>
        </w:tc>
        <w:tc>
          <w:tcPr>
            <w:tcW w:w="1275" w:type="dxa"/>
            <w:tcBorders>
              <w:top w:val="nil"/>
              <w:left w:val="nil"/>
              <w:bottom w:val="single" w:sz="4" w:space="0" w:color="auto"/>
              <w:right w:val="single" w:sz="4" w:space="0" w:color="auto"/>
            </w:tcBorders>
            <w:shd w:val="clear" w:color="auto" w:fill="auto"/>
            <w:noWrap/>
            <w:vAlign w:val="center"/>
            <w:hideMark/>
          </w:tcPr>
          <w:p w14:paraId="51EE2961"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38,7</w:t>
            </w:r>
          </w:p>
        </w:tc>
        <w:tc>
          <w:tcPr>
            <w:tcW w:w="1418" w:type="dxa"/>
            <w:tcBorders>
              <w:top w:val="nil"/>
              <w:left w:val="nil"/>
              <w:bottom w:val="single" w:sz="4" w:space="0" w:color="auto"/>
              <w:right w:val="single" w:sz="4" w:space="0" w:color="auto"/>
            </w:tcBorders>
            <w:shd w:val="clear" w:color="auto" w:fill="auto"/>
            <w:noWrap/>
            <w:vAlign w:val="center"/>
            <w:hideMark/>
          </w:tcPr>
          <w:p w14:paraId="38B661EE"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11,5</w:t>
            </w:r>
          </w:p>
        </w:tc>
        <w:tc>
          <w:tcPr>
            <w:tcW w:w="850" w:type="dxa"/>
            <w:tcBorders>
              <w:top w:val="nil"/>
              <w:left w:val="nil"/>
              <w:bottom w:val="single" w:sz="4" w:space="0" w:color="auto"/>
              <w:right w:val="single" w:sz="4" w:space="0" w:color="auto"/>
            </w:tcBorders>
            <w:shd w:val="clear" w:color="auto" w:fill="auto"/>
            <w:noWrap/>
            <w:vAlign w:val="center"/>
            <w:hideMark/>
          </w:tcPr>
          <w:p w14:paraId="47D7AC52"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38,7</w:t>
            </w:r>
          </w:p>
        </w:tc>
      </w:tr>
      <w:tr w:rsidR="00F476A4" w:rsidRPr="004F00E7" w14:paraId="08FDF676"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46059F2"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Kulturní, zábavní a rekreační činnosti</w:t>
            </w:r>
          </w:p>
        </w:tc>
        <w:tc>
          <w:tcPr>
            <w:tcW w:w="1418" w:type="dxa"/>
            <w:tcBorders>
              <w:top w:val="nil"/>
              <w:left w:val="nil"/>
              <w:bottom w:val="single" w:sz="4" w:space="0" w:color="auto"/>
              <w:right w:val="single" w:sz="4" w:space="0" w:color="auto"/>
            </w:tcBorders>
            <w:shd w:val="clear" w:color="auto" w:fill="auto"/>
            <w:noWrap/>
            <w:vAlign w:val="center"/>
            <w:hideMark/>
          </w:tcPr>
          <w:p w14:paraId="1F677155" w14:textId="77777777" w:rsidR="00F476A4" w:rsidRPr="004F00E7" w:rsidRDefault="00F476A4" w:rsidP="00F476A4">
            <w:pPr>
              <w:spacing w:after="0" w:line="240" w:lineRule="auto"/>
              <w:jc w:val="right"/>
              <w:rPr>
                <w:rFonts w:cs="Arial"/>
                <w:b/>
                <w:bCs/>
                <w:color w:val="0070C0"/>
                <w:sz w:val="16"/>
                <w:szCs w:val="16"/>
              </w:rPr>
            </w:pPr>
            <w:r w:rsidRPr="00D67150">
              <w:rPr>
                <w:rFonts w:cs="Arial"/>
                <w:b/>
                <w:bCs/>
                <w:color w:val="00B050"/>
                <w:sz w:val="16"/>
                <w:szCs w:val="16"/>
              </w:rPr>
              <w:t>77,2</w:t>
            </w:r>
          </w:p>
        </w:tc>
        <w:tc>
          <w:tcPr>
            <w:tcW w:w="1276" w:type="dxa"/>
            <w:tcBorders>
              <w:top w:val="nil"/>
              <w:left w:val="nil"/>
              <w:bottom w:val="single" w:sz="4" w:space="0" w:color="auto"/>
              <w:right w:val="single" w:sz="4" w:space="0" w:color="auto"/>
            </w:tcBorders>
            <w:shd w:val="clear" w:color="auto" w:fill="auto"/>
            <w:noWrap/>
            <w:vAlign w:val="center"/>
            <w:hideMark/>
          </w:tcPr>
          <w:p w14:paraId="5E738A3E" w14:textId="77777777" w:rsidR="00F476A4" w:rsidRPr="004F00E7" w:rsidRDefault="00F476A4" w:rsidP="00F476A4">
            <w:pPr>
              <w:spacing w:after="0" w:line="240" w:lineRule="auto"/>
              <w:jc w:val="right"/>
              <w:rPr>
                <w:rFonts w:cs="Arial"/>
                <w:b/>
                <w:bCs/>
                <w:color w:val="0070C0"/>
                <w:sz w:val="16"/>
                <w:szCs w:val="16"/>
              </w:rPr>
            </w:pPr>
            <w:r w:rsidRPr="00D67150">
              <w:rPr>
                <w:rFonts w:cs="Arial"/>
                <w:b/>
                <w:bCs/>
                <w:color w:val="00B050"/>
                <w:sz w:val="16"/>
                <w:szCs w:val="16"/>
              </w:rPr>
              <w:t>47,9</w:t>
            </w:r>
          </w:p>
        </w:tc>
        <w:tc>
          <w:tcPr>
            <w:tcW w:w="1275" w:type="dxa"/>
            <w:tcBorders>
              <w:top w:val="nil"/>
              <w:left w:val="nil"/>
              <w:bottom w:val="single" w:sz="4" w:space="0" w:color="auto"/>
              <w:right w:val="single" w:sz="4" w:space="0" w:color="auto"/>
            </w:tcBorders>
            <w:shd w:val="clear" w:color="auto" w:fill="auto"/>
            <w:noWrap/>
            <w:vAlign w:val="center"/>
            <w:hideMark/>
          </w:tcPr>
          <w:p w14:paraId="118B477D"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29,5</w:t>
            </w:r>
          </w:p>
        </w:tc>
        <w:tc>
          <w:tcPr>
            <w:tcW w:w="1418" w:type="dxa"/>
            <w:tcBorders>
              <w:top w:val="nil"/>
              <w:left w:val="nil"/>
              <w:bottom w:val="single" w:sz="4" w:space="0" w:color="auto"/>
              <w:right w:val="single" w:sz="4" w:space="0" w:color="auto"/>
            </w:tcBorders>
            <w:shd w:val="clear" w:color="auto" w:fill="auto"/>
            <w:noWrap/>
            <w:vAlign w:val="center"/>
            <w:hideMark/>
          </w:tcPr>
          <w:p w14:paraId="27424D85"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14:paraId="35A4A941" w14:textId="77777777" w:rsidR="00F476A4" w:rsidRPr="004F00E7" w:rsidRDefault="00F476A4" w:rsidP="00F476A4">
            <w:pPr>
              <w:spacing w:after="0" w:line="240" w:lineRule="auto"/>
              <w:jc w:val="right"/>
              <w:rPr>
                <w:rFonts w:cs="Arial"/>
                <w:b/>
                <w:bCs/>
                <w:color w:val="FF0000"/>
                <w:sz w:val="16"/>
                <w:szCs w:val="16"/>
              </w:rPr>
            </w:pPr>
            <w:r w:rsidRPr="004F00E7">
              <w:rPr>
                <w:rFonts w:cs="Arial"/>
                <w:b/>
                <w:bCs/>
                <w:color w:val="FF0000"/>
                <w:sz w:val="16"/>
                <w:szCs w:val="16"/>
              </w:rPr>
              <w:t>23,9</w:t>
            </w:r>
          </w:p>
        </w:tc>
      </w:tr>
      <w:tr w:rsidR="00F476A4" w:rsidRPr="004F00E7" w14:paraId="3F0E0EF7"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E4CA29"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Průmysl</w:t>
            </w:r>
          </w:p>
        </w:tc>
        <w:tc>
          <w:tcPr>
            <w:tcW w:w="1418" w:type="dxa"/>
            <w:tcBorders>
              <w:top w:val="nil"/>
              <w:left w:val="nil"/>
              <w:bottom w:val="single" w:sz="4" w:space="0" w:color="auto"/>
              <w:right w:val="single" w:sz="4" w:space="0" w:color="auto"/>
            </w:tcBorders>
            <w:shd w:val="clear" w:color="auto" w:fill="auto"/>
            <w:noWrap/>
            <w:vAlign w:val="center"/>
            <w:hideMark/>
          </w:tcPr>
          <w:p w14:paraId="112C50B4"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70,2</w:t>
            </w:r>
          </w:p>
        </w:tc>
        <w:tc>
          <w:tcPr>
            <w:tcW w:w="1276" w:type="dxa"/>
            <w:tcBorders>
              <w:top w:val="nil"/>
              <w:left w:val="nil"/>
              <w:bottom w:val="single" w:sz="4" w:space="0" w:color="auto"/>
              <w:right w:val="single" w:sz="4" w:space="0" w:color="auto"/>
            </w:tcBorders>
            <w:shd w:val="clear" w:color="auto" w:fill="auto"/>
            <w:noWrap/>
            <w:vAlign w:val="center"/>
            <w:hideMark/>
          </w:tcPr>
          <w:p w14:paraId="6C20B9A4"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34,2</w:t>
            </w:r>
          </w:p>
        </w:tc>
        <w:tc>
          <w:tcPr>
            <w:tcW w:w="1275" w:type="dxa"/>
            <w:tcBorders>
              <w:top w:val="nil"/>
              <w:left w:val="nil"/>
              <w:bottom w:val="single" w:sz="4" w:space="0" w:color="auto"/>
              <w:right w:val="single" w:sz="4" w:space="0" w:color="auto"/>
            </w:tcBorders>
            <w:shd w:val="clear" w:color="auto" w:fill="auto"/>
            <w:noWrap/>
            <w:vAlign w:val="center"/>
            <w:hideMark/>
          </w:tcPr>
          <w:p w14:paraId="3E7EC7E2"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23,4</w:t>
            </w:r>
          </w:p>
        </w:tc>
        <w:tc>
          <w:tcPr>
            <w:tcW w:w="1418" w:type="dxa"/>
            <w:tcBorders>
              <w:top w:val="nil"/>
              <w:left w:val="nil"/>
              <w:bottom w:val="single" w:sz="4" w:space="0" w:color="auto"/>
              <w:right w:val="single" w:sz="4" w:space="0" w:color="auto"/>
            </w:tcBorders>
            <w:shd w:val="clear" w:color="auto" w:fill="auto"/>
            <w:noWrap/>
            <w:vAlign w:val="center"/>
            <w:hideMark/>
          </w:tcPr>
          <w:p w14:paraId="20C6F3F5"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8,8</w:t>
            </w:r>
          </w:p>
        </w:tc>
        <w:tc>
          <w:tcPr>
            <w:tcW w:w="850" w:type="dxa"/>
            <w:tcBorders>
              <w:top w:val="nil"/>
              <w:left w:val="nil"/>
              <w:bottom w:val="single" w:sz="4" w:space="0" w:color="auto"/>
              <w:right w:val="single" w:sz="4" w:space="0" w:color="auto"/>
            </w:tcBorders>
            <w:shd w:val="clear" w:color="auto" w:fill="auto"/>
            <w:noWrap/>
            <w:vAlign w:val="center"/>
            <w:hideMark/>
          </w:tcPr>
          <w:p w14:paraId="0B89C317"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32</w:t>
            </w:r>
          </w:p>
        </w:tc>
      </w:tr>
      <w:tr w:rsidR="00F476A4" w:rsidRPr="004F00E7" w14:paraId="41B66708"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960E9C2"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Ubytování, stravování a pohostinství</w:t>
            </w:r>
          </w:p>
        </w:tc>
        <w:tc>
          <w:tcPr>
            <w:tcW w:w="1418" w:type="dxa"/>
            <w:tcBorders>
              <w:top w:val="nil"/>
              <w:left w:val="nil"/>
              <w:bottom w:val="single" w:sz="4" w:space="0" w:color="auto"/>
              <w:right w:val="single" w:sz="4" w:space="0" w:color="auto"/>
            </w:tcBorders>
            <w:shd w:val="clear" w:color="auto" w:fill="auto"/>
            <w:noWrap/>
            <w:vAlign w:val="center"/>
            <w:hideMark/>
          </w:tcPr>
          <w:p w14:paraId="35F46AA7"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56,9</w:t>
            </w:r>
          </w:p>
        </w:tc>
        <w:tc>
          <w:tcPr>
            <w:tcW w:w="1276" w:type="dxa"/>
            <w:tcBorders>
              <w:top w:val="nil"/>
              <w:left w:val="nil"/>
              <w:bottom w:val="single" w:sz="4" w:space="0" w:color="auto"/>
              <w:right w:val="single" w:sz="4" w:space="0" w:color="auto"/>
            </w:tcBorders>
            <w:shd w:val="clear" w:color="auto" w:fill="auto"/>
            <w:noWrap/>
            <w:vAlign w:val="center"/>
            <w:hideMark/>
          </w:tcPr>
          <w:p w14:paraId="7CAC64D4"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36,2</w:t>
            </w:r>
          </w:p>
        </w:tc>
        <w:tc>
          <w:tcPr>
            <w:tcW w:w="1275" w:type="dxa"/>
            <w:tcBorders>
              <w:top w:val="nil"/>
              <w:left w:val="nil"/>
              <w:bottom w:val="single" w:sz="4" w:space="0" w:color="auto"/>
              <w:right w:val="single" w:sz="4" w:space="0" w:color="auto"/>
            </w:tcBorders>
            <w:shd w:val="clear" w:color="auto" w:fill="auto"/>
            <w:noWrap/>
            <w:vAlign w:val="center"/>
            <w:hideMark/>
          </w:tcPr>
          <w:p w14:paraId="7CA502E3"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33,1</w:t>
            </w:r>
          </w:p>
        </w:tc>
        <w:tc>
          <w:tcPr>
            <w:tcW w:w="1418" w:type="dxa"/>
            <w:tcBorders>
              <w:top w:val="nil"/>
              <w:left w:val="nil"/>
              <w:bottom w:val="single" w:sz="4" w:space="0" w:color="auto"/>
              <w:right w:val="single" w:sz="4" w:space="0" w:color="auto"/>
            </w:tcBorders>
            <w:shd w:val="clear" w:color="auto" w:fill="auto"/>
            <w:noWrap/>
            <w:vAlign w:val="center"/>
            <w:hideMark/>
          </w:tcPr>
          <w:p w14:paraId="616CB1A1"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9,1</w:t>
            </w:r>
          </w:p>
        </w:tc>
        <w:tc>
          <w:tcPr>
            <w:tcW w:w="850" w:type="dxa"/>
            <w:tcBorders>
              <w:top w:val="nil"/>
              <w:left w:val="nil"/>
              <w:bottom w:val="single" w:sz="4" w:space="0" w:color="auto"/>
              <w:right w:val="single" w:sz="4" w:space="0" w:color="auto"/>
            </w:tcBorders>
            <w:shd w:val="clear" w:color="auto" w:fill="auto"/>
            <w:noWrap/>
            <w:vAlign w:val="center"/>
            <w:hideMark/>
          </w:tcPr>
          <w:p w14:paraId="21E74E5F"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27,6</w:t>
            </w:r>
          </w:p>
        </w:tc>
      </w:tr>
      <w:tr w:rsidR="00F476A4" w:rsidRPr="004F00E7" w14:paraId="4F00C11E"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D9B738D"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Informační a komunikační činnosti</w:t>
            </w:r>
          </w:p>
        </w:tc>
        <w:tc>
          <w:tcPr>
            <w:tcW w:w="1418" w:type="dxa"/>
            <w:tcBorders>
              <w:top w:val="nil"/>
              <w:left w:val="nil"/>
              <w:bottom w:val="single" w:sz="4" w:space="0" w:color="auto"/>
              <w:right w:val="single" w:sz="4" w:space="0" w:color="auto"/>
            </w:tcBorders>
            <w:shd w:val="clear" w:color="auto" w:fill="auto"/>
            <w:noWrap/>
            <w:vAlign w:val="center"/>
            <w:hideMark/>
          </w:tcPr>
          <w:p w14:paraId="1FACB34E"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64,8</w:t>
            </w:r>
          </w:p>
        </w:tc>
        <w:tc>
          <w:tcPr>
            <w:tcW w:w="1276" w:type="dxa"/>
            <w:tcBorders>
              <w:top w:val="nil"/>
              <w:left w:val="nil"/>
              <w:bottom w:val="single" w:sz="4" w:space="0" w:color="auto"/>
              <w:right w:val="single" w:sz="4" w:space="0" w:color="auto"/>
            </w:tcBorders>
            <w:shd w:val="clear" w:color="auto" w:fill="auto"/>
            <w:noWrap/>
            <w:vAlign w:val="center"/>
            <w:hideMark/>
          </w:tcPr>
          <w:p w14:paraId="3F676AF6"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36,8</w:t>
            </w:r>
          </w:p>
        </w:tc>
        <w:tc>
          <w:tcPr>
            <w:tcW w:w="1275" w:type="dxa"/>
            <w:tcBorders>
              <w:top w:val="nil"/>
              <w:left w:val="nil"/>
              <w:bottom w:val="single" w:sz="4" w:space="0" w:color="auto"/>
              <w:right w:val="single" w:sz="4" w:space="0" w:color="auto"/>
            </w:tcBorders>
            <w:shd w:val="clear" w:color="auto" w:fill="auto"/>
            <w:noWrap/>
            <w:vAlign w:val="center"/>
            <w:hideMark/>
          </w:tcPr>
          <w:p w14:paraId="7D7F3EF9"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22,8</w:t>
            </w:r>
          </w:p>
        </w:tc>
        <w:tc>
          <w:tcPr>
            <w:tcW w:w="1418" w:type="dxa"/>
            <w:tcBorders>
              <w:top w:val="nil"/>
              <w:left w:val="nil"/>
              <w:bottom w:val="single" w:sz="4" w:space="0" w:color="auto"/>
              <w:right w:val="single" w:sz="4" w:space="0" w:color="auto"/>
            </w:tcBorders>
            <w:shd w:val="clear" w:color="auto" w:fill="auto"/>
            <w:noWrap/>
            <w:vAlign w:val="center"/>
            <w:hideMark/>
          </w:tcPr>
          <w:p w14:paraId="159FCDF8"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5,6</w:t>
            </w:r>
          </w:p>
        </w:tc>
        <w:tc>
          <w:tcPr>
            <w:tcW w:w="850" w:type="dxa"/>
            <w:tcBorders>
              <w:top w:val="nil"/>
              <w:left w:val="nil"/>
              <w:bottom w:val="single" w:sz="4" w:space="0" w:color="auto"/>
              <w:right w:val="single" w:sz="4" w:space="0" w:color="auto"/>
            </w:tcBorders>
            <w:shd w:val="clear" w:color="auto" w:fill="auto"/>
            <w:noWrap/>
            <w:vAlign w:val="center"/>
            <w:hideMark/>
          </w:tcPr>
          <w:p w14:paraId="2EAD7225"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32,7</w:t>
            </w:r>
          </w:p>
        </w:tc>
      </w:tr>
      <w:tr w:rsidR="00F476A4" w:rsidRPr="004F00E7" w14:paraId="5665BBD8"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AFD8745"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Doprava a skladování</w:t>
            </w:r>
          </w:p>
        </w:tc>
        <w:tc>
          <w:tcPr>
            <w:tcW w:w="1418" w:type="dxa"/>
            <w:tcBorders>
              <w:top w:val="nil"/>
              <w:left w:val="nil"/>
              <w:bottom w:val="single" w:sz="4" w:space="0" w:color="auto"/>
              <w:right w:val="single" w:sz="4" w:space="0" w:color="auto"/>
            </w:tcBorders>
            <w:shd w:val="clear" w:color="auto" w:fill="auto"/>
            <w:noWrap/>
            <w:vAlign w:val="center"/>
            <w:hideMark/>
          </w:tcPr>
          <w:p w14:paraId="1B3B4713"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56,6</w:t>
            </w:r>
          </w:p>
        </w:tc>
        <w:tc>
          <w:tcPr>
            <w:tcW w:w="1276" w:type="dxa"/>
            <w:tcBorders>
              <w:top w:val="nil"/>
              <w:left w:val="nil"/>
              <w:bottom w:val="single" w:sz="4" w:space="0" w:color="auto"/>
              <w:right w:val="single" w:sz="4" w:space="0" w:color="auto"/>
            </w:tcBorders>
            <w:shd w:val="clear" w:color="auto" w:fill="auto"/>
            <w:noWrap/>
            <w:vAlign w:val="center"/>
            <w:hideMark/>
          </w:tcPr>
          <w:p w14:paraId="4C2251AF"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29,1</w:t>
            </w:r>
          </w:p>
        </w:tc>
        <w:tc>
          <w:tcPr>
            <w:tcW w:w="1275" w:type="dxa"/>
            <w:tcBorders>
              <w:top w:val="nil"/>
              <w:left w:val="nil"/>
              <w:bottom w:val="single" w:sz="4" w:space="0" w:color="auto"/>
              <w:right w:val="single" w:sz="4" w:space="0" w:color="auto"/>
            </w:tcBorders>
            <w:shd w:val="clear" w:color="auto" w:fill="auto"/>
            <w:noWrap/>
            <w:vAlign w:val="center"/>
            <w:hideMark/>
          </w:tcPr>
          <w:p w14:paraId="5BA47FBD"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hideMark/>
          </w:tcPr>
          <w:p w14:paraId="50C55558"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8,2</w:t>
            </w:r>
          </w:p>
        </w:tc>
        <w:tc>
          <w:tcPr>
            <w:tcW w:w="850" w:type="dxa"/>
            <w:tcBorders>
              <w:top w:val="nil"/>
              <w:left w:val="nil"/>
              <w:bottom w:val="single" w:sz="4" w:space="0" w:color="auto"/>
              <w:right w:val="single" w:sz="4" w:space="0" w:color="auto"/>
            </w:tcBorders>
            <w:shd w:val="clear" w:color="auto" w:fill="auto"/>
            <w:noWrap/>
            <w:vAlign w:val="center"/>
            <w:hideMark/>
          </w:tcPr>
          <w:p w14:paraId="3D67E916"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33,2</w:t>
            </w:r>
          </w:p>
        </w:tc>
      </w:tr>
      <w:tr w:rsidR="00F476A4" w:rsidRPr="004F00E7" w14:paraId="3D227355"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E438EB"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Činnosti v oblasti nemovitostí a administrativy</w:t>
            </w:r>
          </w:p>
        </w:tc>
        <w:tc>
          <w:tcPr>
            <w:tcW w:w="1418" w:type="dxa"/>
            <w:tcBorders>
              <w:top w:val="nil"/>
              <w:left w:val="nil"/>
              <w:bottom w:val="single" w:sz="4" w:space="0" w:color="auto"/>
              <w:right w:val="single" w:sz="4" w:space="0" w:color="auto"/>
            </w:tcBorders>
            <w:shd w:val="clear" w:color="auto" w:fill="auto"/>
            <w:noWrap/>
            <w:vAlign w:val="center"/>
            <w:hideMark/>
          </w:tcPr>
          <w:p w14:paraId="296854FB" w14:textId="77777777" w:rsidR="00F476A4" w:rsidRPr="004F00E7" w:rsidRDefault="00F476A4" w:rsidP="00F476A4">
            <w:pPr>
              <w:spacing w:after="0" w:line="240" w:lineRule="auto"/>
              <w:jc w:val="right"/>
              <w:rPr>
                <w:rFonts w:cs="Arial"/>
                <w:b/>
                <w:bCs/>
                <w:color w:val="FF0000"/>
                <w:sz w:val="16"/>
                <w:szCs w:val="16"/>
              </w:rPr>
            </w:pPr>
            <w:r w:rsidRPr="004F00E7">
              <w:rPr>
                <w:rFonts w:cs="Arial"/>
                <w:b/>
                <w:bCs/>
                <w:color w:val="FF0000"/>
                <w:sz w:val="16"/>
                <w:szCs w:val="16"/>
              </w:rPr>
              <w:t>50,9</w:t>
            </w:r>
          </w:p>
        </w:tc>
        <w:tc>
          <w:tcPr>
            <w:tcW w:w="1276" w:type="dxa"/>
            <w:tcBorders>
              <w:top w:val="nil"/>
              <w:left w:val="nil"/>
              <w:bottom w:val="single" w:sz="4" w:space="0" w:color="auto"/>
              <w:right w:val="single" w:sz="4" w:space="0" w:color="auto"/>
            </w:tcBorders>
            <w:shd w:val="clear" w:color="auto" w:fill="auto"/>
            <w:noWrap/>
            <w:vAlign w:val="center"/>
            <w:hideMark/>
          </w:tcPr>
          <w:p w14:paraId="2290F136" w14:textId="77777777" w:rsidR="00F476A4" w:rsidRPr="004F00E7" w:rsidRDefault="00F476A4" w:rsidP="00F476A4">
            <w:pPr>
              <w:spacing w:after="0" w:line="240" w:lineRule="auto"/>
              <w:jc w:val="right"/>
              <w:rPr>
                <w:rFonts w:cs="Arial"/>
                <w:b/>
                <w:bCs/>
                <w:color w:val="FF0000"/>
                <w:sz w:val="16"/>
                <w:szCs w:val="16"/>
              </w:rPr>
            </w:pPr>
            <w:r w:rsidRPr="004F00E7">
              <w:rPr>
                <w:rFonts w:cs="Arial"/>
                <w:b/>
                <w:bCs/>
                <w:color w:val="FF0000"/>
                <w:sz w:val="16"/>
                <w:szCs w:val="16"/>
              </w:rPr>
              <w:t>16,1</w:t>
            </w:r>
          </w:p>
        </w:tc>
        <w:tc>
          <w:tcPr>
            <w:tcW w:w="1275" w:type="dxa"/>
            <w:tcBorders>
              <w:top w:val="nil"/>
              <w:left w:val="nil"/>
              <w:bottom w:val="single" w:sz="4" w:space="0" w:color="auto"/>
              <w:right w:val="single" w:sz="4" w:space="0" w:color="auto"/>
            </w:tcBorders>
            <w:shd w:val="clear" w:color="auto" w:fill="auto"/>
            <w:noWrap/>
            <w:vAlign w:val="center"/>
            <w:hideMark/>
          </w:tcPr>
          <w:p w14:paraId="2D8257CB" w14:textId="77777777" w:rsidR="00F476A4" w:rsidRPr="00D67150" w:rsidRDefault="00F476A4" w:rsidP="00F476A4">
            <w:pPr>
              <w:spacing w:after="0" w:line="240" w:lineRule="auto"/>
              <w:jc w:val="right"/>
              <w:rPr>
                <w:rFonts w:cs="Arial"/>
                <w:b/>
                <w:bCs/>
                <w:color w:val="00B050"/>
                <w:sz w:val="16"/>
                <w:szCs w:val="16"/>
              </w:rPr>
            </w:pPr>
            <w:r w:rsidRPr="00D67150">
              <w:rPr>
                <w:rFonts w:cs="Arial"/>
                <w:b/>
                <w:bCs/>
                <w:color w:val="00B050"/>
                <w:sz w:val="16"/>
                <w:szCs w:val="16"/>
              </w:rPr>
              <w:t>45,1</w:t>
            </w:r>
          </w:p>
        </w:tc>
        <w:tc>
          <w:tcPr>
            <w:tcW w:w="1418" w:type="dxa"/>
            <w:tcBorders>
              <w:top w:val="nil"/>
              <w:left w:val="nil"/>
              <w:bottom w:val="single" w:sz="4" w:space="0" w:color="auto"/>
              <w:right w:val="single" w:sz="4" w:space="0" w:color="auto"/>
            </w:tcBorders>
            <w:shd w:val="clear" w:color="auto" w:fill="auto"/>
            <w:noWrap/>
            <w:vAlign w:val="center"/>
            <w:hideMark/>
          </w:tcPr>
          <w:p w14:paraId="7C6EE2E8" w14:textId="77777777" w:rsidR="00F476A4" w:rsidRPr="004F00E7" w:rsidRDefault="00F476A4" w:rsidP="00F476A4">
            <w:pPr>
              <w:spacing w:after="0" w:line="240" w:lineRule="auto"/>
              <w:jc w:val="right"/>
              <w:rPr>
                <w:rFonts w:cs="Arial"/>
                <w:b/>
                <w:bCs/>
                <w:color w:val="FF0000"/>
                <w:sz w:val="16"/>
                <w:szCs w:val="16"/>
              </w:rPr>
            </w:pPr>
            <w:r w:rsidRPr="004F00E7">
              <w:rPr>
                <w:rFonts w:cs="Arial"/>
                <w:b/>
                <w:bCs/>
                <w:color w:val="FF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14:paraId="4503C828"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36,3</w:t>
            </w:r>
          </w:p>
        </w:tc>
      </w:tr>
      <w:tr w:rsidR="00F476A4" w:rsidRPr="004F00E7" w14:paraId="70E0E155"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AF64AF" w14:textId="156856A4" w:rsidR="00F476A4" w:rsidRPr="004F00E7" w:rsidRDefault="00F476A4" w:rsidP="00F476A4">
            <w:pPr>
              <w:spacing w:after="0" w:line="240" w:lineRule="auto"/>
              <w:rPr>
                <w:rFonts w:cs="Arial"/>
                <w:color w:val="000000"/>
                <w:sz w:val="16"/>
                <w:szCs w:val="16"/>
              </w:rPr>
            </w:pPr>
            <w:r w:rsidRPr="00B84CA7">
              <w:rPr>
                <w:rFonts w:cs="Arial"/>
                <w:color w:val="000000"/>
                <w:sz w:val="16"/>
                <w:szCs w:val="16"/>
              </w:rPr>
              <w:t>Obchod; opravy motorových vozidel</w:t>
            </w:r>
          </w:p>
        </w:tc>
        <w:tc>
          <w:tcPr>
            <w:tcW w:w="1418" w:type="dxa"/>
            <w:tcBorders>
              <w:top w:val="nil"/>
              <w:left w:val="nil"/>
              <w:bottom w:val="single" w:sz="4" w:space="0" w:color="auto"/>
              <w:right w:val="single" w:sz="4" w:space="0" w:color="auto"/>
            </w:tcBorders>
            <w:shd w:val="clear" w:color="auto" w:fill="auto"/>
            <w:noWrap/>
            <w:vAlign w:val="center"/>
            <w:hideMark/>
          </w:tcPr>
          <w:p w14:paraId="7CB6817C"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65,8</w:t>
            </w:r>
          </w:p>
        </w:tc>
        <w:tc>
          <w:tcPr>
            <w:tcW w:w="1276" w:type="dxa"/>
            <w:tcBorders>
              <w:top w:val="nil"/>
              <w:left w:val="nil"/>
              <w:bottom w:val="single" w:sz="4" w:space="0" w:color="auto"/>
              <w:right w:val="single" w:sz="4" w:space="0" w:color="auto"/>
            </w:tcBorders>
            <w:shd w:val="clear" w:color="auto" w:fill="auto"/>
            <w:noWrap/>
            <w:vAlign w:val="center"/>
            <w:hideMark/>
          </w:tcPr>
          <w:p w14:paraId="00927241"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34,3</w:t>
            </w:r>
          </w:p>
        </w:tc>
        <w:tc>
          <w:tcPr>
            <w:tcW w:w="1275" w:type="dxa"/>
            <w:tcBorders>
              <w:top w:val="nil"/>
              <w:left w:val="nil"/>
              <w:bottom w:val="single" w:sz="4" w:space="0" w:color="auto"/>
              <w:right w:val="single" w:sz="4" w:space="0" w:color="auto"/>
            </w:tcBorders>
            <w:shd w:val="clear" w:color="auto" w:fill="auto"/>
            <w:noWrap/>
            <w:vAlign w:val="center"/>
            <w:hideMark/>
          </w:tcPr>
          <w:p w14:paraId="0D35D300" w14:textId="77777777" w:rsidR="00F476A4" w:rsidRPr="004F00E7" w:rsidRDefault="00F476A4" w:rsidP="00F476A4">
            <w:pPr>
              <w:spacing w:after="0" w:line="240" w:lineRule="auto"/>
              <w:jc w:val="right"/>
              <w:rPr>
                <w:rFonts w:cs="Arial"/>
                <w:b/>
                <w:bCs/>
                <w:color w:val="FF0000"/>
                <w:sz w:val="16"/>
                <w:szCs w:val="16"/>
              </w:rPr>
            </w:pPr>
            <w:r w:rsidRPr="004F00E7">
              <w:rPr>
                <w:rFonts w:cs="Arial"/>
                <w:b/>
                <w:bCs/>
                <w:color w:val="FF0000"/>
                <w:sz w:val="16"/>
                <w:szCs w:val="16"/>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4EC60FE"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6,7</w:t>
            </w:r>
          </w:p>
        </w:tc>
        <w:tc>
          <w:tcPr>
            <w:tcW w:w="850" w:type="dxa"/>
            <w:tcBorders>
              <w:top w:val="nil"/>
              <w:left w:val="nil"/>
              <w:bottom w:val="single" w:sz="4" w:space="0" w:color="auto"/>
              <w:right w:val="single" w:sz="4" w:space="0" w:color="auto"/>
            </w:tcBorders>
            <w:shd w:val="clear" w:color="auto" w:fill="auto"/>
            <w:noWrap/>
            <w:vAlign w:val="center"/>
            <w:hideMark/>
          </w:tcPr>
          <w:p w14:paraId="5B51EC3E"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29,6</w:t>
            </w:r>
          </w:p>
        </w:tc>
      </w:tr>
      <w:tr w:rsidR="00F476A4" w:rsidRPr="004F00E7" w14:paraId="33F50A2F" w14:textId="77777777" w:rsidTr="003F53F5">
        <w:trPr>
          <w:trHeight w:val="30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317FC6" w14:textId="77777777" w:rsidR="00F476A4" w:rsidRPr="004F00E7" w:rsidRDefault="00F476A4" w:rsidP="00F476A4">
            <w:pPr>
              <w:spacing w:after="0" w:line="240" w:lineRule="auto"/>
              <w:rPr>
                <w:rFonts w:cs="Arial"/>
                <w:color w:val="000000"/>
                <w:sz w:val="16"/>
                <w:szCs w:val="16"/>
              </w:rPr>
            </w:pPr>
            <w:r w:rsidRPr="004F00E7">
              <w:rPr>
                <w:rFonts w:cs="Arial"/>
                <w:color w:val="000000"/>
                <w:sz w:val="16"/>
                <w:szCs w:val="16"/>
              </w:rPr>
              <w:t>Stavebnictví</w:t>
            </w:r>
          </w:p>
        </w:tc>
        <w:tc>
          <w:tcPr>
            <w:tcW w:w="1418" w:type="dxa"/>
            <w:tcBorders>
              <w:top w:val="nil"/>
              <w:left w:val="nil"/>
              <w:bottom w:val="single" w:sz="4" w:space="0" w:color="auto"/>
              <w:right w:val="single" w:sz="4" w:space="0" w:color="auto"/>
            </w:tcBorders>
            <w:shd w:val="clear" w:color="auto" w:fill="auto"/>
            <w:noWrap/>
            <w:vAlign w:val="center"/>
            <w:hideMark/>
          </w:tcPr>
          <w:p w14:paraId="4BFFBF8C"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57,3</w:t>
            </w:r>
          </w:p>
        </w:tc>
        <w:tc>
          <w:tcPr>
            <w:tcW w:w="1276" w:type="dxa"/>
            <w:tcBorders>
              <w:top w:val="nil"/>
              <w:left w:val="nil"/>
              <w:bottom w:val="single" w:sz="4" w:space="0" w:color="auto"/>
              <w:right w:val="single" w:sz="4" w:space="0" w:color="auto"/>
            </w:tcBorders>
            <w:shd w:val="clear" w:color="auto" w:fill="auto"/>
            <w:noWrap/>
            <w:vAlign w:val="center"/>
            <w:hideMark/>
          </w:tcPr>
          <w:p w14:paraId="2D643800"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25,3</w:t>
            </w:r>
          </w:p>
        </w:tc>
        <w:tc>
          <w:tcPr>
            <w:tcW w:w="1275" w:type="dxa"/>
            <w:tcBorders>
              <w:top w:val="nil"/>
              <w:left w:val="nil"/>
              <w:bottom w:val="single" w:sz="4" w:space="0" w:color="auto"/>
              <w:right w:val="single" w:sz="4" w:space="0" w:color="auto"/>
            </w:tcBorders>
            <w:shd w:val="clear" w:color="auto" w:fill="auto"/>
            <w:noWrap/>
            <w:vAlign w:val="center"/>
            <w:hideMark/>
          </w:tcPr>
          <w:p w14:paraId="78C51F2E"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13,7</w:t>
            </w:r>
          </w:p>
        </w:tc>
        <w:tc>
          <w:tcPr>
            <w:tcW w:w="1418" w:type="dxa"/>
            <w:tcBorders>
              <w:top w:val="nil"/>
              <w:left w:val="nil"/>
              <w:bottom w:val="single" w:sz="4" w:space="0" w:color="auto"/>
              <w:right w:val="single" w:sz="4" w:space="0" w:color="auto"/>
            </w:tcBorders>
            <w:shd w:val="clear" w:color="auto" w:fill="auto"/>
            <w:noWrap/>
            <w:vAlign w:val="center"/>
            <w:hideMark/>
          </w:tcPr>
          <w:p w14:paraId="3D4A16FB" w14:textId="77777777" w:rsidR="00F476A4" w:rsidRPr="004F00E7" w:rsidRDefault="00F476A4" w:rsidP="00F476A4">
            <w:pPr>
              <w:spacing w:after="0" w:line="240" w:lineRule="auto"/>
              <w:jc w:val="right"/>
              <w:rPr>
                <w:rFonts w:cs="Arial"/>
                <w:color w:val="000000"/>
                <w:sz w:val="16"/>
                <w:szCs w:val="16"/>
              </w:rPr>
            </w:pPr>
            <w:r w:rsidRPr="004F00E7">
              <w:rPr>
                <w:rFonts w:cs="Arial"/>
                <w:color w:val="000000"/>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14:paraId="5E606AFB" w14:textId="77777777" w:rsidR="00F476A4" w:rsidRPr="004F00E7" w:rsidRDefault="00F476A4" w:rsidP="00F476A4">
            <w:pPr>
              <w:spacing w:after="0" w:line="240" w:lineRule="auto"/>
              <w:jc w:val="right"/>
              <w:rPr>
                <w:rFonts w:cs="Arial"/>
                <w:b/>
                <w:bCs/>
                <w:color w:val="0070C0"/>
                <w:sz w:val="16"/>
                <w:szCs w:val="16"/>
              </w:rPr>
            </w:pPr>
            <w:r w:rsidRPr="00D67150">
              <w:rPr>
                <w:rFonts w:cs="Arial"/>
                <w:b/>
                <w:bCs/>
                <w:color w:val="00B050"/>
                <w:sz w:val="16"/>
                <w:szCs w:val="16"/>
              </w:rPr>
              <w:t>43,2</w:t>
            </w:r>
          </w:p>
        </w:tc>
      </w:tr>
    </w:tbl>
    <w:p w14:paraId="778E3B00" w14:textId="0CD4B6D4" w:rsidR="000C6D7F" w:rsidRPr="000C6D7F" w:rsidRDefault="000C6D7F" w:rsidP="000C6D7F">
      <w:pPr>
        <w:spacing w:before="120" w:after="120"/>
        <w:jc w:val="right"/>
        <w:rPr>
          <w:szCs w:val="20"/>
        </w:rPr>
      </w:pPr>
      <w:r w:rsidRPr="003D1467">
        <w:rPr>
          <w:szCs w:val="20"/>
        </w:rPr>
        <w:t>Zdroj: ČSÚ</w:t>
      </w:r>
    </w:p>
    <w:p w14:paraId="57BA2E32" w14:textId="4737FE62" w:rsidR="001054ED" w:rsidRDefault="001054ED" w:rsidP="00E11AED">
      <w:pPr>
        <w:jc w:val="both"/>
      </w:pPr>
      <w:r>
        <w:t xml:space="preserve">Pokud se jedná o dělení podniků dle převažující ekonomické činnosti, jsou v tabulce 5.1 jednotlivá odvětví seřazena dle počtu uváděných možností </w:t>
      </w:r>
      <w:r w:rsidR="00566513">
        <w:t>na jeden</w:t>
      </w:r>
      <w:r w:rsidR="00652B56">
        <w:t xml:space="preserve"> podnik, a sice od odvětví</w:t>
      </w:r>
      <w:r w:rsidR="00D03CA2">
        <w:t>, jehož</w:t>
      </w:r>
      <w:r>
        <w:t xml:space="preserve"> podniky motivovalo nejpes</w:t>
      </w:r>
      <w:r w:rsidR="00652B56">
        <w:t>třejší množství důvodů, až po to, jehož</w:t>
      </w:r>
      <w:r>
        <w:t xml:space="preserve"> podniky uváděly v průměru nejmenší množství důvodů. </w:t>
      </w:r>
    </w:p>
    <w:p w14:paraId="571097C4" w14:textId="14295BD2" w:rsidR="00E11AED" w:rsidRPr="00A450EA" w:rsidRDefault="00477326" w:rsidP="00E11AED">
      <w:pPr>
        <w:jc w:val="both"/>
      </w:pPr>
      <w:r>
        <w:t xml:space="preserve">Jak je patrné, v popředí stojí oblast </w:t>
      </w:r>
      <w:r w:rsidRPr="008F3748">
        <w:rPr>
          <w:i/>
        </w:rPr>
        <w:t>peněžnictví a pojišťovnictví</w:t>
      </w:r>
      <w:r w:rsidR="009F5CFB">
        <w:t xml:space="preserve"> (v průměru uvedly 2,2 důvodu</w:t>
      </w:r>
      <w:r w:rsidR="00E11AED">
        <w:t xml:space="preserve"> na jeden podnik)</w:t>
      </w:r>
      <w:r>
        <w:t>, jejíž podniky přijímající žáky/studenty na praxi ze všech odvětví nej</w:t>
      </w:r>
      <w:r w:rsidR="00D03CA2">
        <w:t>častěji uváděly, že je motivuje</w:t>
      </w:r>
      <w:r>
        <w:t xml:space="preserve"> </w:t>
      </w:r>
      <w:r w:rsidRPr="000D2F44">
        <w:rPr>
          <w:b/>
        </w:rPr>
        <w:t>snaha vyhnout se při nabírání nových pracovníků možné neshodě mezi jejich dovednostmi a potřebami podniku</w:t>
      </w:r>
      <w:r w:rsidR="006B7894">
        <w:t xml:space="preserve"> (22</w:t>
      </w:r>
      <w:r>
        <w:t xml:space="preserve"> % z nich) a také zaznamenaly druhý nejvyšší podíl odpovědí, že je motivuje </w:t>
      </w:r>
      <w:r w:rsidRPr="000D2F44">
        <w:rPr>
          <w:b/>
        </w:rPr>
        <w:t xml:space="preserve">možnost výběru nejlepších žáků/studentů na praxi do řad zaměstnanců </w:t>
      </w:r>
      <w:r>
        <w:t>v podni</w:t>
      </w:r>
      <w:r w:rsidR="006B7894">
        <w:t>ku (47</w:t>
      </w:r>
      <w:r w:rsidR="00D84986">
        <w:t> %),</w:t>
      </w:r>
      <w:r>
        <w:t xml:space="preserve"> možnost </w:t>
      </w:r>
      <w:r w:rsidRPr="000D2F44">
        <w:rPr>
          <w:b/>
        </w:rPr>
        <w:t>využít kapacity žáků/studentů</w:t>
      </w:r>
      <w:r w:rsidRPr="00477326">
        <w:t xml:space="preserve"> již během jejich počátečního odborného vzdělávání</w:t>
      </w:r>
      <w:r w:rsidR="006B7894">
        <w:t xml:space="preserve"> (41</w:t>
      </w:r>
      <w:r>
        <w:t> %)</w:t>
      </w:r>
      <w:r w:rsidR="006B7894">
        <w:t xml:space="preserve"> a také jiné důvody (42</w:t>
      </w:r>
      <w:r w:rsidR="00D84986">
        <w:t> %)</w:t>
      </w:r>
      <w:r>
        <w:t xml:space="preserve">. Druhou nejpestřejší škálu důvodů uvedly podniky zajišťující praxi žákům/studentům počátečního vzdělávání v oblasti </w:t>
      </w:r>
      <w:r w:rsidRPr="008F3748">
        <w:rPr>
          <w:i/>
        </w:rPr>
        <w:t>profesní, vědecké a technické činnosti</w:t>
      </w:r>
      <w:r>
        <w:t xml:space="preserve"> </w:t>
      </w:r>
      <w:r w:rsidR="00E11AED">
        <w:t xml:space="preserve">(v průměru dva důvody na podnik) </w:t>
      </w:r>
      <w:r>
        <w:t xml:space="preserve">a třetí pak podniky z oblasti </w:t>
      </w:r>
      <w:r w:rsidRPr="008F3748">
        <w:rPr>
          <w:i/>
        </w:rPr>
        <w:t>kulturní, zábavní a rekreační činnosti</w:t>
      </w:r>
      <w:r w:rsidR="00E11AED">
        <w:t xml:space="preserve"> (v průměru 1,9 důvodů na podnik)</w:t>
      </w:r>
      <w:r>
        <w:t>.</w:t>
      </w:r>
      <w:r w:rsidR="00E11AED">
        <w:t xml:space="preserve"> Ostatní podniky, tj. z jiných odvětví, </w:t>
      </w:r>
      <w:r w:rsidR="00D03CA2">
        <w:t xml:space="preserve">již uvedly </w:t>
      </w:r>
      <w:r w:rsidR="00D03CA2">
        <w:lastRenderedPageBreak/>
        <w:t>v průměru 1,5–</w:t>
      </w:r>
      <w:r w:rsidR="00E11AED">
        <w:t>1,7 důvodu na podnik.</w:t>
      </w:r>
      <w:r>
        <w:t xml:space="preserve"> </w:t>
      </w:r>
      <w:r w:rsidR="00E11AED">
        <w:t xml:space="preserve">Přitom podniky z oblasti </w:t>
      </w:r>
      <w:r w:rsidR="00E11AED" w:rsidRPr="001054ED">
        <w:rPr>
          <w:i/>
        </w:rPr>
        <w:t>kulturní, zábavní a rekreační činnosti</w:t>
      </w:r>
      <w:r w:rsidR="00E11AED">
        <w:t xml:space="preserve"> </w:t>
      </w:r>
      <w:r w:rsidR="00E513EA">
        <w:t>označi</w:t>
      </w:r>
      <w:r w:rsidR="00E11AED">
        <w:t xml:space="preserve">ly ze všech odvětví nejčastěji, že je motivuje možnost </w:t>
      </w:r>
      <w:r w:rsidR="00E11AED" w:rsidRPr="000D2F44">
        <w:rPr>
          <w:b/>
        </w:rPr>
        <w:t>získat touto cestou kvalifikované pracovníky, jejichž dovednosti budou odpovídat potřebám podniku</w:t>
      </w:r>
      <w:r w:rsidR="006B7894">
        <w:t xml:space="preserve"> (77</w:t>
      </w:r>
      <w:r w:rsidR="00E11AED">
        <w:t xml:space="preserve"> %) a </w:t>
      </w:r>
      <w:r w:rsidR="00E11AED" w:rsidRPr="000D2F44">
        <w:rPr>
          <w:b/>
        </w:rPr>
        <w:t>možnost výběru nejlepších žáků/studentů na praxi do řad zaměstnanců</w:t>
      </w:r>
      <w:r w:rsidR="00E11AED">
        <w:t xml:space="preserve"> </w:t>
      </w:r>
      <w:r w:rsidR="000D2F44">
        <w:t xml:space="preserve">podniku </w:t>
      </w:r>
      <w:r w:rsidR="006B7894">
        <w:t>(po ukončení studia) (48</w:t>
      </w:r>
      <w:r w:rsidR="00E11AED">
        <w:t xml:space="preserve"> %). Nejvyšší podíl odpovědi, že podniky přijímající žáky/studenty počátečního vzdělávání na praxi motivuje možnost </w:t>
      </w:r>
      <w:r w:rsidR="00E11AED" w:rsidRPr="000D2F44">
        <w:rPr>
          <w:b/>
        </w:rPr>
        <w:t>využít kapacity žáků/studentů již během jejich počátečního odborného vzdělávání</w:t>
      </w:r>
      <w:r w:rsidR="00E11AED">
        <w:t xml:space="preserve">, </w:t>
      </w:r>
      <w:r w:rsidR="00E513EA">
        <w:t>byl zaznamenán u podniků</w:t>
      </w:r>
      <w:r w:rsidR="00E11AED">
        <w:t xml:space="preserve"> z oblasti </w:t>
      </w:r>
      <w:r w:rsidR="00E11AED" w:rsidRPr="001054ED">
        <w:rPr>
          <w:i/>
        </w:rPr>
        <w:t>nemovitostí a administrativy</w:t>
      </w:r>
      <w:r w:rsidR="00A450EA">
        <w:rPr>
          <w:i/>
        </w:rPr>
        <w:t xml:space="preserve"> </w:t>
      </w:r>
      <w:r w:rsidR="006B7894">
        <w:t>(45</w:t>
      </w:r>
      <w:r w:rsidR="00A450EA" w:rsidRPr="00A450EA">
        <w:t> %)</w:t>
      </w:r>
      <w:r w:rsidR="001054ED" w:rsidRPr="00A450EA">
        <w:t>.</w:t>
      </w:r>
      <w:r w:rsidR="001054ED">
        <w:t xml:space="preserve"> T</w:t>
      </w:r>
      <w:r w:rsidR="000C0FCE">
        <w:t>y p</w:t>
      </w:r>
      <w:r w:rsidR="00E11AED">
        <w:t xml:space="preserve">ak na oplátku nejméně často uváděly mezi motivujícími faktory možnost </w:t>
      </w:r>
      <w:r w:rsidR="00E11AED" w:rsidRPr="00E11AED">
        <w:t>získat touto cestou kvalifikované pracovníky, jejichž dovednosti budou odpovídat potřebám podniku</w:t>
      </w:r>
      <w:r w:rsidR="006B7894">
        <w:t xml:space="preserve"> (51</w:t>
      </w:r>
      <w:r w:rsidR="00E11AED">
        <w:t> %), mít možnost výběru nejlepších žáků/student</w:t>
      </w:r>
      <w:r w:rsidR="00A450EA">
        <w:t>ů na praxi do řad zaměstnanců v </w:t>
      </w:r>
      <w:r w:rsidR="00E11AED">
        <w:t>podniku</w:t>
      </w:r>
      <w:r w:rsidR="006B7894">
        <w:t xml:space="preserve"> (po ukončení studia) (16</w:t>
      </w:r>
      <w:r w:rsidR="00D03CA2">
        <w:t> %) a rovněž</w:t>
      </w:r>
      <w:r w:rsidR="00E11AED">
        <w:t xml:space="preserve"> </w:t>
      </w:r>
      <w:r w:rsidR="000C0FCE">
        <w:t>snahu</w:t>
      </w:r>
      <w:r w:rsidR="00E11AED" w:rsidRPr="00E11AED">
        <w:t xml:space="preserve"> vyhnout se při nabírání nových pracovníků možné neshodě mezi jejich dovednostmi a potřebami podniku</w:t>
      </w:r>
      <w:r w:rsidR="006B7894">
        <w:t xml:space="preserve"> (1</w:t>
      </w:r>
      <w:r w:rsidR="00E11AED">
        <w:t> %). Celkově tak skončily v žebříčku pe</w:t>
      </w:r>
      <w:r w:rsidR="00A450EA">
        <w:t>strosti důvodů na třetí</w:t>
      </w:r>
      <w:r w:rsidR="00E11AED">
        <w:t xml:space="preserve"> nejnižší příčce. Nejmenší pestrost důvodů uvedly podniky v oblasti </w:t>
      </w:r>
      <w:r w:rsidR="00E11AED" w:rsidRPr="000C0FCE">
        <w:rPr>
          <w:i/>
        </w:rPr>
        <w:t>stavebnictví</w:t>
      </w:r>
      <w:r w:rsidR="00A450EA" w:rsidRPr="00A450EA">
        <w:rPr>
          <w:i/>
        </w:rPr>
        <w:t xml:space="preserve">, </w:t>
      </w:r>
      <w:r w:rsidR="00A450EA">
        <w:t xml:space="preserve">které však v nejvyšší míře uváděly, že je motivují (i) jiné než v nabídce uvedené důvody. Mezi těmi se přitom mohl skrývat jeden </w:t>
      </w:r>
      <w:r w:rsidR="003A5C52">
        <w:t>i </w:t>
      </w:r>
      <w:r w:rsidR="00A450EA">
        <w:t xml:space="preserve">více důvodů. </w:t>
      </w:r>
    </w:p>
    <w:bookmarkEnd w:id="18"/>
    <w:p w14:paraId="1FBE56DA" w14:textId="5172FC4D" w:rsidR="000038DC" w:rsidRPr="00E513EA" w:rsidRDefault="000038DC" w:rsidP="00E513EA">
      <w:pPr>
        <w:spacing w:after="0" w:line="240" w:lineRule="auto"/>
        <w:rPr>
          <w:rFonts w:eastAsia="MS Gothic"/>
          <w:b/>
          <w:bCs/>
          <w:color w:val="C00000"/>
          <w:sz w:val="32"/>
          <w:szCs w:val="28"/>
        </w:rPr>
      </w:pPr>
    </w:p>
    <w:sectPr w:rsidR="000038DC" w:rsidRPr="00E513EA" w:rsidSect="006F5416">
      <w:headerReference w:type="even" r:id="rId41"/>
      <w:headerReference w:type="default" r:id="rId42"/>
      <w:footerReference w:type="even" r:id="rId43"/>
      <w:footerReference w:type="default" r:id="rId4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8560" w14:textId="77777777" w:rsidR="00695E0D" w:rsidRDefault="00695E0D" w:rsidP="00E71A58">
      <w:r>
        <w:separator/>
      </w:r>
    </w:p>
  </w:endnote>
  <w:endnote w:type="continuationSeparator" w:id="0">
    <w:p w14:paraId="62936BA8" w14:textId="77777777" w:rsidR="00695E0D" w:rsidRDefault="00695E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270E" w14:textId="75554F97" w:rsidR="00695E0D" w:rsidRPr="00932443" w:rsidRDefault="00695E0D" w:rsidP="00A418BC">
    <w:pPr>
      <w:pStyle w:val="Zpat"/>
      <w:rPr>
        <w:szCs w:val="16"/>
      </w:rPr>
    </w:pPr>
    <w:r>
      <w:rPr>
        <w:szCs w:val="16"/>
        <w:lang w:eastAsia="cs-CZ"/>
      </w:rPr>
      <w:drawing>
        <wp:anchor distT="0" distB="0" distL="114300" distR="114300" simplePos="0" relativeHeight="251659776" behindDoc="0" locked="0" layoutInCell="1" allowOverlap="1" wp14:anchorId="44869E7E" wp14:editId="7B7B3158">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E93A26">
      <w:rPr>
        <w:szCs w:val="16"/>
      </w:rPr>
      <w:t>6</w:t>
    </w:r>
    <w:r w:rsidRPr="00932443">
      <w:rPr>
        <w:szCs w:val="16"/>
      </w:rPr>
      <w:fldChar w:fldCharType="end"/>
    </w:r>
    <w:r w:rsidRPr="00932443">
      <w:rPr>
        <w:szCs w:val="16"/>
      </w:rPr>
      <w:tab/>
    </w:r>
    <w:r>
      <w:rPr>
        <w:rStyle w:val="ZpatCha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BFAD" w14:textId="371B33BC" w:rsidR="00695E0D" w:rsidRPr="00932443" w:rsidRDefault="00695E0D" w:rsidP="00A418BC">
    <w:pPr>
      <w:pStyle w:val="Zpat"/>
      <w:rPr>
        <w:szCs w:val="16"/>
      </w:rPr>
    </w:pPr>
    <w:r>
      <w:rPr>
        <w:szCs w:val="16"/>
        <w:lang w:eastAsia="cs-CZ"/>
      </w:rPr>
      <w:drawing>
        <wp:anchor distT="0" distB="0" distL="114300" distR="114300" simplePos="0" relativeHeight="251657728" behindDoc="0" locked="0" layoutInCell="1" allowOverlap="1" wp14:anchorId="4020FA8D" wp14:editId="4C38B72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93A26">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4591" w14:textId="77777777" w:rsidR="00695E0D" w:rsidRDefault="00695E0D" w:rsidP="00E71A58">
      <w:r>
        <w:separator/>
      </w:r>
    </w:p>
  </w:footnote>
  <w:footnote w:type="continuationSeparator" w:id="0">
    <w:p w14:paraId="6596C192" w14:textId="77777777" w:rsidR="00695E0D" w:rsidRDefault="00695E0D" w:rsidP="00E71A58">
      <w:r>
        <w:continuationSeparator/>
      </w:r>
    </w:p>
  </w:footnote>
  <w:footnote w:id="1">
    <w:p w14:paraId="24671CD1" w14:textId="129A5AEA" w:rsidR="00695E0D" w:rsidRPr="005453EA" w:rsidRDefault="00695E0D" w:rsidP="005453EA">
      <w:pPr>
        <w:pStyle w:val="Textpoznpodarou"/>
        <w:rPr>
          <w:rFonts w:ascii="Arial" w:hAnsi="Arial" w:cs="Arial"/>
          <w:sz w:val="18"/>
          <w:szCs w:val="18"/>
        </w:rPr>
      </w:pPr>
      <w:r>
        <w:rPr>
          <w:rStyle w:val="Znakapoznpodarou"/>
        </w:rPr>
        <w:footnoteRef/>
      </w:r>
      <w:r>
        <w:t xml:space="preserve"> </w:t>
      </w:r>
      <w:r w:rsidRPr="005453EA">
        <w:rPr>
          <w:rFonts w:ascii="Arial" w:hAnsi="Arial" w:cs="Arial"/>
          <w:sz w:val="18"/>
          <w:szCs w:val="18"/>
        </w:rPr>
        <w:t>Podniky měly uvést jednoho až tři hlavní poskytovatele vzhledem k počtu hodin, které strávili zaměstnanci podniku vzděláváním v externích kurzech/školeních uvedených poskytovatelů.</w:t>
      </w:r>
      <w:r w:rsidRPr="00983F17">
        <w:t xml:space="preserve"> </w:t>
      </w:r>
      <w:r>
        <w:rPr>
          <w:rFonts w:ascii="Arial" w:hAnsi="Arial" w:cs="Arial"/>
          <w:sz w:val="18"/>
          <w:szCs w:val="18"/>
        </w:rPr>
        <w:t>Údaje vypovídají o podílu</w:t>
      </w:r>
      <w:r w:rsidRPr="00983F17">
        <w:rPr>
          <w:rFonts w:ascii="Arial" w:hAnsi="Arial" w:cs="Arial"/>
          <w:sz w:val="18"/>
          <w:szCs w:val="18"/>
        </w:rPr>
        <w:t xml:space="preserve"> z podniků zajišťujících externí kurzy/školení</w:t>
      </w:r>
      <w:r>
        <w:rPr>
          <w:rFonts w:ascii="Arial" w:hAnsi="Arial" w:cs="Arial"/>
          <w:sz w:val="18"/>
          <w:szCs w:val="18"/>
        </w:rPr>
        <w:t>.</w:t>
      </w:r>
    </w:p>
  </w:footnote>
  <w:footnote w:id="2">
    <w:p w14:paraId="7AA9D26E" w14:textId="39FCF7F5" w:rsidR="00695E0D" w:rsidRPr="005D5054" w:rsidRDefault="00695E0D">
      <w:pPr>
        <w:pStyle w:val="Textpoznpodarou"/>
        <w:rPr>
          <w:rFonts w:ascii="Arial" w:hAnsi="Arial" w:cs="Arial"/>
          <w:sz w:val="18"/>
          <w:szCs w:val="18"/>
        </w:rPr>
      </w:pPr>
      <w:r w:rsidRPr="005D5054">
        <w:rPr>
          <w:rStyle w:val="Znakapoznpodarou"/>
          <w:rFonts w:ascii="Arial" w:hAnsi="Arial" w:cs="Arial"/>
          <w:sz w:val="18"/>
          <w:szCs w:val="18"/>
        </w:rPr>
        <w:footnoteRef/>
      </w:r>
      <w:r w:rsidRPr="005D5054">
        <w:rPr>
          <w:rFonts w:ascii="Arial" w:hAnsi="Arial" w:cs="Arial"/>
          <w:sz w:val="18"/>
          <w:szCs w:val="18"/>
        </w:rPr>
        <w:t xml:space="preserve"> V tomto odvětví jako v jediném byl vyšší podíl podniků, které v rozpočtu automaticky počítají s útratou na vzdělávání, než které plánují vzdělávání zaměstnanců po věcné stránce.</w:t>
      </w:r>
    </w:p>
  </w:footnote>
  <w:footnote w:id="3">
    <w:p w14:paraId="18B8A6EB" w14:textId="3DD98037" w:rsidR="00695E0D" w:rsidRPr="00F72976" w:rsidRDefault="00695E0D">
      <w:pPr>
        <w:pStyle w:val="Textpoznpodarou"/>
        <w:rPr>
          <w:rFonts w:ascii="Arial" w:hAnsi="Arial" w:cs="Arial"/>
          <w:sz w:val="18"/>
          <w:szCs w:val="18"/>
        </w:rPr>
      </w:pPr>
      <w:r w:rsidRPr="00F72976">
        <w:rPr>
          <w:rStyle w:val="Znakapoznpodarou"/>
          <w:rFonts w:ascii="Arial" w:hAnsi="Arial" w:cs="Arial"/>
          <w:sz w:val="18"/>
          <w:szCs w:val="18"/>
        </w:rPr>
        <w:footnoteRef/>
      </w:r>
      <w:r w:rsidRPr="00F72976">
        <w:rPr>
          <w:rFonts w:ascii="Arial" w:hAnsi="Arial" w:cs="Arial"/>
          <w:sz w:val="18"/>
          <w:szCs w:val="18"/>
        </w:rPr>
        <w:t xml:space="preserve"> </w:t>
      </w:r>
      <w:r>
        <w:rPr>
          <w:rFonts w:ascii="Arial" w:hAnsi="Arial" w:cs="Arial"/>
          <w:sz w:val="18"/>
          <w:szCs w:val="18"/>
        </w:rPr>
        <w:t>d</w:t>
      </w:r>
      <w:r w:rsidRPr="00F72976">
        <w:rPr>
          <w:rFonts w:ascii="Arial" w:hAnsi="Arial" w:cs="Arial"/>
          <w:sz w:val="18"/>
          <w:szCs w:val="18"/>
        </w:rPr>
        <w:t xml:space="preserve">le </w:t>
      </w:r>
      <w:r>
        <w:rPr>
          <w:rFonts w:ascii="Arial" w:hAnsi="Arial" w:cs="Arial"/>
          <w:sz w:val="18"/>
          <w:szCs w:val="18"/>
        </w:rPr>
        <w:t xml:space="preserve">počtu hodin strávených zaměstnanci vzděláváním v dané oblasti; </w:t>
      </w:r>
      <w:r w:rsidRPr="00162A90">
        <w:rPr>
          <w:rFonts w:ascii="Arial" w:hAnsi="Arial" w:cs="Arial"/>
          <w:sz w:val="18"/>
          <w:szCs w:val="18"/>
        </w:rPr>
        <w:t>podíl z podniků zajišťujících nepovinné kurzy/školení</w:t>
      </w:r>
    </w:p>
  </w:footnote>
  <w:footnote w:id="4">
    <w:p w14:paraId="51A30EA5" w14:textId="41E23F52" w:rsidR="00695E0D" w:rsidRDefault="00695E0D">
      <w:pPr>
        <w:pStyle w:val="Textpoznpodarou"/>
      </w:pPr>
      <w:r>
        <w:rPr>
          <w:rStyle w:val="Znakapoznpodarou"/>
        </w:rPr>
        <w:footnoteRef/>
      </w:r>
      <w:r>
        <w:t xml:space="preserve"> </w:t>
      </w:r>
      <w:r>
        <w:rPr>
          <w:rFonts w:ascii="Arial" w:hAnsi="Arial" w:cs="Arial"/>
          <w:sz w:val="18"/>
          <w:szCs w:val="18"/>
        </w:rPr>
        <w:t>p</w:t>
      </w:r>
      <w:r w:rsidRPr="00162A90">
        <w:rPr>
          <w:rFonts w:ascii="Arial" w:hAnsi="Arial" w:cs="Arial"/>
          <w:sz w:val="18"/>
          <w:szCs w:val="18"/>
        </w:rPr>
        <w:t>odíl z podniků, které se k otázce vyjádřily, tj. 89,9 % všech podniků.</w:t>
      </w:r>
      <w:r>
        <w:t xml:space="preserve"> </w:t>
      </w:r>
    </w:p>
  </w:footnote>
  <w:footnote w:id="5">
    <w:p w14:paraId="2C5833D2" w14:textId="69928EBE" w:rsidR="00695E0D" w:rsidRPr="00925D0A" w:rsidRDefault="00695E0D">
      <w:pPr>
        <w:pStyle w:val="Textpoznpodarou"/>
        <w:rPr>
          <w:rFonts w:ascii="Arial" w:hAnsi="Arial" w:cs="Arial"/>
          <w:sz w:val="18"/>
          <w:szCs w:val="18"/>
        </w:rPr>
      </w:pPr>
      <w:r w:rsidRPr="00925D0A">
        <w:rPr>
          <w:rStyle w:val="Znakapoznpodarou"/>
          <w:rFonts w:ascii="Arial" w:hAnsi="Arial" w:cs="Arial"/>
          <w:sz w:val="18"/>
          <w:szCs w:val="18"/>
        </w:rPr>
        <w:footnoteRef/>
      </w:r>
      <w:r w:rsidRPr="00925D0A">
        <w:rPr>
          <w:rFonts w:ascii="Arial" w:hAnsi="Arial" w:cs="Arial"/>
          <w:sz w:val="18"/>
          <w:szCs w:val="18"/>
        </w:rPr>
        <w:t xml:space="preserve"> Připomeňme, že podniky měly označit jednu až tři dovednosti (ať již </w:t>
      </w:r>
      <w:r>
        <w:rPr>
          <w:rFonts w:ascii="Arial" w:hAnsi="Arial" w:cs="Arial"/>
          <w:sz w:val="18"/>
          <w:szCs w:val="18"/>
        </w:rPr>
        <w:t xml:space="preserve">druhu </w:t>
      </w:r>
      <w:r w:rsidRPr="00925D0A">
        <w:rPr>
          <w:rFonts w:ascii="Arial" w:hAnsi="Arial" w:cs="Arial"/>
          <w:sz w:val="18"/>
          <w:szCs w:val="18"/>
        </w:rPr>
        <w:t>„soft skills“</w:t>
      </w:r>
      <w:r>
        <w:rPr>
          <w:rFonts w:ascii="Arial" w:hAnsi="Arial" w:cs="Arial"/>
          <w:sz w:val="18"/>
          <w:szCs w:val="18"/>
        </w:rPr>
        <w:t xml:space="preserve"> či</w:t>
      </w:r>
      <w:r w:rsidRPr="00925D0A">
        <w:rPr>
          <w:rFonts w:ascii="Arial" w:hAnsi="Arial" w:cs="Arial"/>
          <w:sz w:val="18"/>
          <w:szCs w:val="18"/>
        </w:rPr>
        <w:t xml:space="preserve"> „hard skills“), kterým zaměstnanci podniku věnovali nejvíce hodin vzdělávání.</w:t>
      </w:r>
    </w:p>
  </w:footnote>
  <w:footnote w:id="6">
    <w:p w14:paraId="255A6030" w14:textId="2E3E11F0" w:rsidR="00695E0D" w:rsidRDefault="00695E0D">
      <w:pPr>
        <w:pStyle w:val="Textpoznpodarou"/>
      </w:pPr>
      <w:r>
        <w:rPr>
          <w:rStyle w:val="Znakapoznpodarou"/>
        </w:rPr>
        <w:footnoteRef/>
      </w:r>
      <w:r>
        <w:t xml:space="preserve"> </w:t>
      </w:r>
      <w:r>
        <w:rPr>
          <w:rFonts w:ascii="Arial" w:hAnsi="Arial" w:cs="Arial"/>
          <w:sz w:val="16"/>
          <w:szCs w:val="16"/>
        </w:rPr>
        <w:t>P</w:t>
      </w:r>
      <w:r w:rsidRPr="00A76773">
        <w:rPr>
          <w:rFonts w:ascii="Arial" w:hAnsi="Arial" w:cs="Arial"/>
          <w:sz w:val="16"/>
          <w:szCs w:val="16"/>
        </w:rPr>
        <w:t>odniky mohly vybírat jednu až tři stěžejní dovednosti pro rozvoj podniku</w:t>
      </w:r>
      <w:r>
        <w:rPr>
          <w:rFonts w:ascii="Arial" w:hAnsi="Arial" w:cs="Arial"/>
          <w:sz w:val="16"/>
          <w:szCs w:val="16"/>
        </w:rPr>
        <w:t xml:space="preserve"> ze všech nabízených možností (tj. „hard skills“ i „soft skills“)</w:t>
      </w:r>
      <w:r w:rsidRPr="00A76773">
        <w:rPr>
          <w:rFonts w:ascii="Arial" w:hAnsi="Arial" w:cs="Arial"/>
          <w:sz w:val="16"/>
          <w:szCs w:val="16"/>
        </w:rPr>
        <w:t>.</w:t>
      </w:r>
    </w:p>
  </w:footnote>
  <w:footnote w:id="7">
    <w:p w14:paraId="5539F494" w14:textId="48164419" w:rsidR="00695E0D" w:rsidRDefault="00695E0D" w:rsidP="002E28E3">
      <w:pPr>
        <w:pStyle w:val="Textpoznpodarou"/>
      </w:pPr>
      <w:r>
        <w:rPr>
          <w:rStyle w:val="Znakapoznpodarou"/>
        </w:rPr>
        <w:footnoteRef/>
      </w:r>
      <w:r>
        <w:t xml:space="preserve"> </w:t>
      </w:r>
      <w:r w:rsidRPr="00250B95">
        <w:rPr>
          <w:rFonts w:ascii="Arial" w:hAnsi="Arial" w:cs="Arial"/>
          <w:sz w:val="16"/>
          <w:szCs w:val="16"/>
        </w:rPr>
        <w:t>Podniky mohly vybírat jednu až tři stěžejní dovednosti pro rozvoj podniku ze všech nabízených možností (tj. „hard skills“ i „soft skills“).</w:t>
      </w:r>
    </w:p>
  </w:footnote>
  <w:footnote w:id="8">
    <w:p w14:paraId="1E884DA8" w14:textId="5465EE89" w:rsidR="00695E0D" w:rsidRPr="00353588" w:rsidRDefault="00695E0D" w:rsidP="00353588">
      <w:pPr>
        <w:pStyle w:val="Textpoznpodarou"/>
        <w:rPr>
          <w:rFonts w:ascii="Arial" w:hAnsi="Arial" w:cs="Arial"/>
          <w:sz w:val="18"/>
          <w:szCs w:val="18"/>
        </w:rPr>
      </w:pPr>
      <w:r w:rsidRPr="00353588">
        <w:rPr>
          <w:rStyle w:val="Znakapoznpodarou"/>
          <w:rFonts w:ascii="Arial" w:hAnsi="Arial" w:cs="Arial"/>
          <w:sz w:val="18"/>
          <w:szCs w:val="18"/>
        </w:rPr>
        <w:footnoteRef/>
      </w:r>
      <w:r w:rsidRPr="00353588">
        <w:rPr>
          <w:rFonts w:ascii="Arial" w:hAnsi="Arial" w:cs="Arial"/>
          <w:sz w:val="18"/>
          <w:szCs w:val="18"/>
        </w:rPr>
        <w:t xml:space="preserve"> P</w:t>
      </w:r>
      <w:r>
        <w:rPr>
          <w:rFonts w:ascii="Arial" w:hAnsi="Arial" w:cs="Arial"/>
          <w:sz w:val="18"/>
          <w:szCs w:val="18"/>
        </w:rPr>
        <w:t>ro srovnání připomeňme, že p</w:t>
      </w:r>
      <w:r w:rsidRPr="00353588">
        <w:rPr>
          <w:rFonts w:ascii="Arial" w:hAnsi="Arial" w:cs="Arial"/>
          <w:sz w:val="18"/>
          <w:szCs w:val="18"/>
        </w:rPr>
        <w:t>odíl podniků z oblasti ubytování, stravování a pohostinství,</w:t>
      </w:r>
      <w:r>
        <w:rPr>
          <w:rFonts w:ascii="Arial" w:hAnsi="Arial" w:cs="Arial"/>
          <w:sz w:val="18"/>
          <w:szCs w:val="18"/>
        </w:rPr>
        <w:t xml:space="preserve"> jakož i z oblasti stavebnictví, pro které </w:t>
      </w:r>
      <w:r w:rsidRPr="00353588">
        <w:rPr>
          <w:rFonts w:ascii="Arial" w:hAnsi="Arial" w:cs="Arial"/>
          <w:sz w:val="18"/>
          <w:szCs w:val="18"/>
        </w:rPr>
        <w:t>byla znalost cizích jazyků stěžejní či jednou se stěžejních náplní kurzů/školení, byl desetinový oproti více než pětinovému podílu v ostatních odvětvích</w:t>
      </w:r>
      <w:r>
        <w:rPr>
          <w:rFonts w:ascii="Arial" w:hAnsi="Arial" w:cs="Arial"/>
          <w:sz w:val="18"/>
          <w:szCs w:val="18"/>
        </w:rPr>
        <w:t>.</w:t>
      </w:r>
    </w:p>
  </w:footnote>
  <w:footnote w:id="9">
    <w:p w14:paraId="0A9B939E" w14:textId="290D51A5" w:rsidR="00695E0D" w:rsidRPr="001B1EFF" w:rsidRDefault="00695E0D">
      <w:pPr>
        <w:pStyle w:val="Textpoznpodarou"/>
        <w:rPr>
          <w:rFonts w:ascii="Arial" w:hAnsi="Arial" w:cs="Arial"/>
          <w:sz w:val="16"/>
          <w:szCs w:val="16"/>
        </w:rPr>
      </w:pPr>
      <w:r w:rsidRPr="001B1EFF">
        <w:rPr>
          <w:rStyle w:val="Znakapoznpodarou"/>
          <w:rFonts w:ascii="Arial" w:hAnsi="Arial" w:cs="Arial"/>
          <w:sz w:val="16"/>
          <w:szCs w:val="16"/>
        </w:rPr>
        <w:footnoteRef/>
      </w:r>
      <w:r w:rsidRPr="001B1EFF">
        <w:rPr>
          <w:rFonts w:ascii="Arial" w:hAnsi="Arial" w:cs="Arial"/>
          <w:sz w:val="16"/>
          <w:szCs w:val="16"/>
        </w:rPr>
        <w:t xml:space="preserve"> </w:t>
      </w:r>
      <w:r w:rsidRPr="001B1EFF">
        <w:rPr>
          <w:rFonts w:ascii="Arial" w:hAnsi="Arial" w:cs="Arial"/>
          <w:bCs/>
          <w:color w:val="000000"/>
          <w:sz w:val="16"/>
          <w:szCs w:val="16"/>
        </w:rPr>
        <w:t>např. z důvodu rozdělení na menší skupiny</w:t>
      </w:r>
    </w:p>
  </w:footnote>
  <w:footnote w:id="10">
    <w:p w14:paraId="7B2A640F" w14:textId="7C2C93E8" w:rsidR="00695E0D" w:rsidRPr="003503EE" w:rsidRDefault="00695E0D">
      <w:pPr>
        <w:pStyle w:val="Textpoznpodarou"/>
        <w:rPr>
          <w:rFonts w:ascii="Arial" w:hAnsi="Arial" w:cs="Arial"/>
          <w:sz w:val="18"/>
          <w:szCs w:val="18"/>
        </w:rPr>
      </w:pPr>
      <w:r w:rsidRPr="003503EE">
        <w:rPr>
          <w:rStyle w:val="Znakapoznpodarou"/>
          <w:rFonts w:ascii="Arial" w:hAnsi="Arial" w:cs="Arial"/>
          <w:sz w:val="18"/>
          <w:szCs w:val="18"/>
        </w:rPr>
        <w:footnoteRef/>
      </w:r>
      <w:r w:rsidRPr="003503EE">
        <w:rPr>
          <w:rFonts w:ascii="Arial" w:hAnsi="Arial" w:cs="Arial"/>
          <w:sz w:val="18"/>
          <w:szCs w:val="18"/>
        </w:rPr>
        <w:t xml:space="preserve"> tj. kromě těch souvisejících s pandemií onemocnění COVID-19</w:t>
      </w:r>
    </w:p>
  </w:footnote>
  <w:footnote w:id="11">
    <w:p w14:paraId="79F1AC63" w14:textId="77777777" w:rsidR="00695E0D" w:rsidRPr="003503EE" w:rsidRDefault="00695E0D" w:rsidP="003503EE">
      <w:pPr>
        <w:pStyle w:val="Textpoznpodarou"/>
        <w:rPr>
          <w:rFonts w:ascii="Arial" w:hAnsi="Arial" w:cs="Arial"/>
          <w:sz w:val="18"/>
          <w:szCs w:val="18"/>
        </w:rPr>
      </w:pPr>
      <w:r w:rsidRPr="003503EE">
        <w:rPr>
          <w:rStyle w:val="Znakapoznpodarou"/>
          <w:rFonts w:ascii="Arial" w:hAnsi="Arial" w:cs="Arial"/>
          <w:sz w:val="18"/>
          <w:szCs w:val="18"/>
        </w:rPr>
        <w:footnoteRef/>
      </w:r>
      <w:r w:rsidRPr="003503EE">
        <w:rPr>
          <w:rFonts w:ascii="Arial" w:hAnsi="Arial" w:cs="Arial"/>
          <w:sz w:val="18"/>
          <w:szCs w:val="18"/>
        </w:rPr>
        <w:t xml:space="preserve"> tj. kromě těch souvisejících s pandemií onemocnění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5BA4" w14:textId="3E75ACC3" w:rsidR="00695E0D" w:rsidRPr="005859FB" w:rsidRDefault="00695E0D" w:rsidP="005859FB">
    <w:pPr>
      <w:pStyle w:val="Zhlav"/>
    </w:pPr>
    <w:r>
      <w:t>Vzdělávání zaměstnanců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1019" w14:textId="3018DB91" w:rsidR="00695E0D" w:rsidRPr="006F5416" w:rsidRDefault="00695E0D" w:rsidP="00937AE2">
    <w:pPr>
      <w:pStyle w:val="Zhlav"/>
    </w:pPr>
    <w:r>
      <w:t>Vzdělávání zaměstnanců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32D4"/>
    <w:multiLevelType w:val="hybridMultilevel"/>
    <w:tmpl w:val="865A8EB2"/>
    <w:lvl w:ilvl="0" w:tplc="F68AA2A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E1677E"/>
    <w:multiLevelType w:val="hybridMultilevel"/>
    <w:tmpl w:val="0BC03324"/>
    <w:lvl w:ilvl="0" w:tplc="51BAAE8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8D4AED"/>
    <w:multiLevelType w:val="hybridMultilevel"/>
    <w:tmpl w:val="891EC2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427518"/>
    <w:multiLevelType w:val="hybridMultilevel"/>
    <w:tmpl w:val="BD72456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A02997"/>
    <w:multiLevelType w:val="hybridMultilevel"/>
    <w:tmpl w:val="9BA0E040"/>
    <w:lvl w:ilvl="0" w:tplc="9564BCF6">
      <w:start w:val="4"/>
      <w:numFmt w:val="bullet"/>
      <w:lvlText w:val=""/>
      <w:lvlJc w:val="left"/>
      <w:pPr>
        <w:ind w:left="720" w:hanging="360"/>
      </w:pPr>
      <w:rPr>
        <w:rFonts w:ascii="Symbol" w:eastAsiaTheme="minorHAnsi" w:hAnsi="Symbo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1D3139"/>
    <w:multiLevelType w:val="hybridMultilevel"/>
    <w:tmpl w:val="B7468BBC"/>
    <w:lvl w:ilvl="0" w:tplc="E18A0900">
      <w:start w:val="1"/>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572934"/>
    <w:multiLevelType w:val="multilevel"/>
    <w:tmpl w:val="C02E27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3E18D8"/>
    <w:multiLevelType w:val="hybridMultilevel"/>
    <w:tmpl w:val="89806270"/>
    <w:lvl w:ilvl="0" w:tplc="578C2E4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353796B"/>
    <w:multiLevelType w:val="hybridMultilevel"/>
    <w:tmpl w:val="B86EC8CA"/>
    <w:lvl w:ilvl="0" w:tplc="04349362">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6"/>
  </w:num>
  <w:num w:numId="14">
    <w:abstractNumId w:val="21"/>
  </w:num>
  <w:num w:numId="15">
    <w:abstractNumId w:val="13"/>
  </w:num>
  <w:num w:numId="16">
    <w:abstractNumId w:val="10"/>
  </w:num>
  <w:num w:numId="17">
    <w:abstractNumId w:val="20"/>
  </w:num>
  <w:num w:numId="18">
    <w:abstractNumId w:val="19"/>
  </w:num>
  <w:num w:numId="19">
    <w:abstractNumId w:val="12"/>
  </w:num>
  <w:num w:numId="20">
    <w:abstractNumId w:val="1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12"/>
    <w:rsid w:val="000009DF"/>
    <w:rsid w:val="0000209D"/>
    <w:rsid w:val="000026B1"/>
    <w:rsid w:val="00002954"/>
    <w:rsid w:val="00002AA6"/>
    <w:rsid w:val="00002D74"/>
    <w:rsid w:val="000031F2"/>
    <w:rsid w:val="000038DC"/>
    <w:rsid w:val="00004450"/>
    <w:rsid w:val="00004D5A"/>
    <w:rsid w:val="000050C6"/>
    <w:rsid w:val="000050FD"/>
    <w:rsid w:val="000056D5"/>
    <w:rsid w:val="00005702"/>
    <w:rsid w:val="00006993"/>
    <w:rsid w:val="00007555"/>
    <w:rsid w:val="0000767A"/>
    <w:rsid w:val="00010702"/>
    <w:rsid w:val="000117A4"/>
    <w:rsid w:val="00011E21"/>
    <w:rsid w:val="00012274"/>
    <w:rsid w:val="00012510"/>
    <w:rsid w:val="000129C3"/>
    <w:rsid w:val="00013D6B"/>
    <w:rsid w:val="00013F31"/>
    <w:rsid w:val="00014499"/>
    <w:rsid w:val="00014F55"/>
    <w:rsid w:val="0001598A"/>
    <w:rsid w:val="00016992"/>
    <w:rsid w:val="00017BDF"/>
    <w:rsid w:val="00017D11"/>
    <w:rsid w:val="00020858"/>
    <w:rsid w:val="00020A11"/>
    <w:rsid w:val="00021636"/>
    <w:rsid w:val="00021C40"/>
    <w:rsid w:val="0002202D"/>
    <w:rsid w:val="000234D6"/>
    <w:rsid w:val="00023AA4"/>
    <w:rsid w:val="00023D29"/>
    <w:rsid w:val="00024EB8"/>
    <w:rsid w:val="000259A0"/>
    <w:rsid w:val="00026389"/>
    <w:rsid w:val="00031209"/>
    <w:rsid w:val="00031AE0"/>
    <w:rsid w:val="000322EF"/>
    <w:rsid w:val="0003250A"/>
    <w:rsid w:val="00033EFE"/>
    <w:rsid w:val="00033FA8"/>
    <w:rsid w:val="00033FCD"/>
    <w:rsid w:val="0003587B"/>
    <w:rsid w:val="0003595E"/>
    <w:rsid w:val="000367D8"/>
    <w:rsid w:val="000369C3"/>
    <w:rsid w:val="00036C45"/>
    <w:rsid w:val="00036ED8"/>
    <w:rsid w:val="00036F0B"/>
    <w:rsid w:val="0003718B"/>
    <w:rsid w:val="0004030C"/>
    <w:rsid w:val="00040343"/>
    <w:rsid w:val="00040875"/>
    <w:rsid w:val="0004121F"/>
    <w:rsid w:val="000413F5"/>
    <w:rsid w:val="00041C8C"/>
    <w:rsid w:val="00041CEC"/>
    <w:rsid w:val="000421D8"/>
    <w:rsid w:val="00042719"/>
    <w:rsid w:val="00043865"/>
    <w:rsid w:val="0004467E"/>
    <w:rsid w:val="00044F58"/>
    <w:rsid w:val="00045028"/>
    <w:rsid w:val="000456A5"/>
    <w:rsid w:val="000459D5"/>
    <w:rsid w:val="00046372"/>
    <w:rsid w:val="00046430"/>
    <w:rsid w:val="0004694F"/>
    <w:rsid w:val="000473B9"/>
    <w:rsid w:val="0004758E"/>
    <w:rsid w:val="0005014B"/>
    <w:rsid w:val="000512A3"/>
    <w:rsid w:val="00051EBB"/>
    <w:rsid w:val="0005201B"/>
    <w:rsid w:val="000522E4"/>
    <w:rsid w:val="000532DE"/>
    <w:rsid w:val="00054476"/>
    <w:rsid w:val="00054851"/>
    <w:rsid w:val="0005560B"/>
    <w:rsid w:val="0005583F"/>
    <w:rsid w:val="000564AE"/>
    <w:rsid w:val="00056F13"/>
    <w:rsid w:val="00056F30"/>
    <w:rsid w:val="000600CC"/>
    <w:rsid w:val="000610E1"/>
    <w:rsid w:val="00062EC5"/>
    <w:rsid w:val="00062F22"/>
    <w:rsid w:val="000631CF"/>
    <w:rsid w:val="00064844"/>
    <w:rsid w:val="000648BE"/>
    <w:rsid w:val="00064903"/>
    <w:rsid w:val="00064A90"/>
    <w:rsid w:val="00065051"/>
    <w:rsid w:val="0006559B"/>
    <w:rsid w:val="00065939"/>
    <w:rsid w:val="00065D55"/>
    <w:rsid w:val="000661CF"/>
    <w:rsid w:val="00066F37"/>
    <w:rsid w:val="00070303"/>
    <w:rsid w:val="000711DA"/>
    <w:rsid w:val="000712B3"/>
    <w:rsid w:val="00072D5C"/>
    <w:rsid w:val="00072FC0"/>
    <w:rsid w:val="00074945"/>
    <w:rsid w:val="00076D6E"/>
    <w:rsid w:val="000774BB"/>
    <w:rsid w:val="000779B9"/>
    <w:rsid w:val="00077BD2"/>
    <w:rsid w:val="00081DD4"/>
    <w:rsid w:val="00082393"/>
    <w:rsid w:val="0008263E"/>
    <w:rsid w:val="00082C19"/>
    <w:rsid w:val="00083744"/>
    <w:rsid w:val="00083E6D"/>
    <w:rsid w:val="0008474B"/>
    <w:rsid w:val="00084828"/>
    <w:rsid w:val="000851C8"/>
    <w:rsid w:val="00085395"/>
    <w:rsid w:val="00085FF4"/>
    <w:rsid w:val="00086A75"/>
    <w:rsid w:val="00086B00"/>
    <w:rsid w:val="00087634"/>
    <w:rsid w:val="00087CAE"/>
    <w:rsid w:val="00087D9B"/>
    <w:rsid w:val="00087F2B"/>
    <w:rsid w:val="0009074B"/>
    <w:rsid w:val="000910EB"/>
    <w:rsid w:val="000917DE"/>
    <w:rsid w:val="000917FC"/>
    <w:rsid w:val="00091BCC"/>
    <w:rsid w:val="00091C9F"/>
    <w:rsid w:val="00091D15"/>
    <w:rsid w:val="00091E88"/>
    <w:rsid w:val="00092EDC"/>
    <w:rsid w:val="00094075"/>
    <w:rsid w:val="000961E2"/>
    <w:rsid w:val="000974D1"/>
    <w:rsid w:val="0009799E"/>
    <w:rsid w:val="000A025C"/>
    <w:rsid w:val="000A0794"/>
    <w:rsid w:val="000A1183"/>
    <w:rsid w:val="000A256D"/>
    <w:rsid w:val="000A3A2C"/>
    <w:rsid w:val="000A4DB4"/>
    <w:rsid w:val="000A5FDA"/>
    <w:rsid w:val="000A6708"/>
    <w:rsid w:val="000B1029"/>
    <w:rsid w:val="000B1FBB"/>
    <w:rsid w:val="000B238D"/>
    <w:rsid w:val="000B30FA"/>
    <w:rsid w:val="000B3396"/>
    <w:rsid w:val="000B3675"/>
    <w:rsid w:val="000B3A31"/>
    <w:rsid w:val="000B3F52"/>
    <w:rsid w:val="000B4AD2"/>
    <w:rsid w:val="000B55B4"/>
    <w:rsid w:val="000B5943"/>
    <w:rsid w:val="000B6250"/>
    <w:rsid w:val="000B6A02"/>
    <w:rsid w:val="000B6C47"/>
    <w:rsid w:val="000B741A"/>
    <w:rsid w:val="000B759D"/>
    <w:rsid w:val="000B7D71"/>
    <w:rsid w:val="000C0F14"/>
    <w:rsid w:val="000C0FCE"/>
    <w:rsid w:val="000C129E"/>
    <w:rsid w:val="000C12F5"/>
    <w:rsid w:val="000C14A1"/>
    <w:rsid w:val="000C2171"/>
    <w:rsid w:val="000C2A76"/>
    <w:rsid w:val="000C2FE5"/>
    <w:rsid w:val="000C3103"/>
    <w:rsid w:val="000C3380"/>
    <w:rsid w:val="000C3408"/>
    <w:rsid w:val="000C353B"/>
    <w:rsid w:val="000C3637"/>
    <w:rsid w:val="000C3B3D"/>
    <w:rsid w:val="000C49BD"/>
    <w:rsid w:val="000C61DB"/>
    <w:rsid w:val="000C6AFD"/>
    <w:rsid w:val="000C6D7F"/>
    <w:rsid w:val="000C78D0"/>
    <w:rsid w:val="000D07AC"/>
    <w:rsid w:val="000D0F6D"/>
    <w:rsid w:val="000D12AB"/>
    <w:rsid w:val="000D2F44"/>
    <w:rsid w:val="000D421D"/>
    <w:rsid w:val="000D471A"/>
    <w:rsid w:val="000D5637"/>
    <w:rsid w:val="000D648E"/>
    <w:rsid w:val="000D67F4"/>
    <w:rsid w:val="000E0123"/>
    <w:rsid w:val="000E028D"/>
    <w:rsid w:val="000E18EE"/>
    <w:rsid w:val="000E219F"/>
    <w:rsid w:val="000E257A"/>
    <w:rsid w:val="000E305F"/>
    <w:rsid w:val="000E34EE"/>
    <w:rsid w:val="000E3B6B"/>
    <w:rsid w:val="000E6FBD"/>
    <w:rsid w:val="000F08DE"/>
    <w:rsid w:val="000F09F2"/>
    <w:rsid w:val="000F0ABB"/>
    <w:rsid w:val="000F15F3"/>
    <w:rsid w:val="000F22D6"/>
    <w:rsid w:val="000F27F7"/>
    <w:rsid w:val="000F281C"/>
    <w:rsid w:val="000F2B5C"/>
    <w:rsid w:val="000F2D0F"/>
    <w:rsid w:val="000F4153"/>
    <w:rsid w:val="000F42DB"/>
    <w:rsid w:val="000F4596"/>
    <w:rsid w:val="000F4C96"/>
    <w:rsid w:val="000F51EF"/>
    <w:rsid w:val="000F5CBB"/>
    <w:rsid w:val="000F5FC6"/>
    <w:rsid w:val="000F5FF8"/>
    <w:rsid w:val="000F6286"/>
    <w:rsid w:val="00100F5C"/>
    <w:rsid w:val="00102C63"/>
    <w:rsid w:val="00102D0D"/>
    <w:rsid w:val="00103093"/>
    <w:rsid w:val="00103103"/>
    <w:rsid w:val="00103F99"/>
    <w:rsid w:val="0010437D"/>
    <w:rsid w:val="00104C4C"/>
    <w:rsid w:val="001054ED"/>
    <w:rsid w:val="00105E3B"/>
    <w:rsid w:val="00106680"/>
    <w:rsid w:val="00106A3E"/>
    <w:rsid w:val="00106FEC"/>
    <w:rsid w:val="0010799D"/>
    <w:rsid w:val="001115F3"/>
    <w:rsid w:val="00112232"/>
    <w:rsid w:val="001124FA"/>
    <w:rsid w:val="001125B3"/>
    <w:rsid w:val="00112736"/>
    <w:rsid w:val="00112DCF"/>
    <w:rsid w:val="001130E6"/>
    <w:rsid w:val="00113341"/>
    <w:rsid w:val="0011414E"/>
    <w:rsid w:val="0011559C"/>
    <w:rsid w:val="00116F05"/>
    <w:rsid w:val="001207BB"/>
    <w:rsid w:val="00120CA7"/>
    <w:rsid w:val="001210D7"/>
    <w:rsid w:val="0012192F"/>
    <w:rsid w:val="0012250C"/>
    <w:rsid w:val="00122C16"/>
    <w:rsid w:val="001245E3"/>
    <w:rsid w:val="00124713"/>
    <w:rsid w:val="00125217"/>
    <w:rsid w:val="00125B2F"/>
    <w:rsid w:val="00125D69"/>
    <w:rsid w:val="001301C4"/>
    <w:rsid w:val="00130ABD"/>
    <w:rsid w:val="001313EE"/>
    <w:rsid w:val="00131A45"/>
    <w:rsid w:val="001322DD"/>
    <w:rsid w:val="001325E0"/>
    <w:rsid w:val="0013367E"/>
    <w:rsid w:val="001337D0"/>
    <w:rsid w:val="00133F68"/>
    <w:rsid w:val="001344B6"/>
    <w:rsid w:val="00134C78"/>
    <w:rsid w:val="001350AD"/>
    <w:rsid w:val="001352DA"/>
    <w:rsid w:val="00135B02"/>
    <w:rsid w:val="00135B65"/>
    <w:rsid w:val="00135E64"/>
    <w:rsid w:val="0013654C"/>
    <w:rsid w:val="00136A68"/>
    <w:rsid w:val="001405FA"/>
    <w:rsid w:val="001425C3"/>
    <w:rsid w:val="001430AD"/>
    <w:rsid w:val="00143103"/>
    <w:rsid w:val="001432ED"/>
    <w:rsid w:val="001437FE"/>
    <w:rsid w:val="00144CC4"/>
    <w:rsid w:val="001454E8"/>
    <w:rsid w:val="001456D0"/>
    <w:rsid w:val="00145C3A"/>
    <w:rsid w:val="00146597"/>
    <w:rsid w:val="00147A96"/>
    <w:rsid w:val="0015028C"/>
    <w:rsid w:val="00150385"/>
    <w:rsid w:val="00150D28"/>
    <w:rsid w:val="001526C3"/>
    <w:rsid w:val="00152CDD"/>
    <w:rsid w:val="00152EE4"/>
    <w:rsid w:val="001532A2"/>
    <w:rsid w:val="001549EC"/>
    <w:rsid w:val="00154DF8"/>
    <w:rsid w:val="00154E7D"/>
    <w:rsid w:val="00155303"/>
    <w:rsid w:val="0015575E"/>
    <w:rsid w:val="00156D16"/>
    <w:rsid w:val="0015735B"/>
    <w:rsid w:val="001603E4"/>
    <w:rsid w:val="00161083"/>
    <w:rsid w:val="00161404"/>
    <w:rsid w:val="00161691"/>
    <w:rsid w:val="00161CF1"/>
    <w:rsid w:val="0016256B"/>
    <w:rsid w:val="00162A90"/>
    <w:rsid w:val="00162DAF"/>
    <w:rsid w:val="00163793"/>
    <w:rsid w:val="00165363"/>
    <w:rsid w:val="00165554"/>
    <w:rsid w:val="0016566D"/>
    <w:rsid w:val="00165A63"/>
    <w:rsid w:val="0016710C"/>
    <w:rsid w:val="00167ED3"/>
    <w:rsid w:val="00167F5B"/>
    <w:rsid w:val="001706D6"/>
    <w:rsid w:val="001710FD"/>
    <w:rsid w:val="001714F2"/>
    <w:rsid w:val="001719CB"/>
    <w:rsid w:val="00171A39"/>
    <w:rsid w:val="00171AB7"/>
    <w:rsid w:val="001720A3"/>
    <w:rsid w:val="00172128"/>
    <w:rsid w:val="00172F94"/>
    <w:rsid w:val="00173F33"/>
    <w:rsid w:val="00175720"/>
    <w:rsid w:val="001764DA"/>
    <w:rsid w:val="001800A7"/>
    <w:rsid w:val="00180AF0"/>
    <w:rsid w:val="00180B35"/>
    <w:rsid w:val="00180C3A"/>
    <w:rsid w:val="00181007"/>
    <w:rsid w:val="001810E3"/>
    <w:rsid w:val="0018265D"/>
    <w:rsid w:val="00182836"/>
    <w:rsid w:val="00182C79"/>
    <w:rsid w:val="00184B08"/>
    <w:rsid w:val="00184DA9"/>
    <w:rsid w:val="00185010"/>
    <w:rsid w:val="001859DA"/>
    <w:rsid w:val="00187F5D"/>
    <w:rsid w:val="00190D64"/>
    <w:rsid w:val="00190F5D"/>
    <w:rsid w:val="001921A2"/>
    <w:rsid w:val="001928AC"/>
    <w:rsid w:val="00192FD9"/>
    <w:rsid w:val="00193657"/>
    <w:rsid w:val="00193677"/>
    <w:rsid w:val="00195221"/>
    <w:rsid w:val="00196337"/>
    <w:rsid w:val="001970A5"/>
    <w:rsid w:val="001A05D8"/>
    <w:rsid w:val="001A06B4"/>
    <w:rsid w:val="001A06C3"/>
    <w:rsid w:val="001A0A6E"/>
    <w:rsid w:val="001A3486"/>
    <w:rsid w:val="001A3AF5"/>
    <w:rsid w:val="001A4D56"/>
    <w:rsid w:val="001A4E80"/>
    <w:rsid w:val="001A5099"/>
    <w:rsid w:val="001A552F"/>
    <w:rsid w:val="001A5FB5"/>
    <w:rsid w:val="001A67BF"/>
    <w:rsid w:val="001A79B9"/>
    <w:rsid w:val="001B02BF"/>
    <w:rsid w:val="001B08D3"/>
    <w:rsid w:val="001B0FE4"/>
    <w:rsid w:val="001B1027"/>
    <w:rsid w:val="001B15CC"/>
    <w:rsid w:val="001B1637"/>
    <w:rsid w:val="001B1EFF"/>
    <w:rsid w:val="001B267B"/>
    <w:rsid w:val="001B2768"/>
    <w:rsid w:val="001B2A54"/>
    <w:rsid w:val="001B2CA9"/>
    <w:rsid w:val="001B3110"/>
    <w:rsid w:val="001B33E6"/>
    <w:rsid w:val="001B373F"/>
    <w:rsid w:val="001B4729"/>
    <w:rsid w:val="001B4F24"/>
    <w:rsid w:val="001B5BEF"/>
    <w:rsid w:val="001B5D9B"/>
    <w:rsid w:val="001B6C09"/>
    <w:rsid w:val="001B760A"/>
    <w:rsid w:val="001B7B0D"/>
    <w:rsid w:val="001B7D45"/>
    <w:rsid w:val="001C05CD"/>
    <w:rsid w:val="001C0B47"/>
    <w:rsid w:val="001C0E7F"/>
    <w:rsid w:val="001C2608"/>
    <w:rsid w:val="001C26E8"/>
    <w:rsid w:val="001C34EE"/>
    <w:rsid w:val="001C3868"/>
    <w:rsid w:val="001C7478"/>
    <w:rsid w:val="001C7C35"/>
    <w:rsid w:val="001C7D93"/>
    <w:rsid w:val="001C7E4C"/>
    <w:rsid w:val="001D00F3"/>
    <w:rsid w:val="001D0882"/>
    <w:rsid w:val="001D0E9E"/>
    <w:rsid w:val="001D1345"/>
    <w:rsid w:val="001D15A5"/>
    <w:rsid w:val="001D223D"/>
    <w:rsid w:val="001D2643"/>
    <w:rsid w:val="001D3014"/>
    <w:rsid w:val="001D3A55"/>
    <w:rsid w:val="001D3DF1"/>
    <w:rsid w:val="001D4165"/>
    <w:rsid w:val="001D492A"/>
    <w:rsid w:val="001D56FE"/>
    <w:rsid w:val="001D68B2"/>
    <w:rsid w:val="001D69DC"/>
    <w:rsid w:val="001D6D8B"/>
    <w:rsid w:val="001D7EE6"/>
    <w:rsid w:val="001D7FE0"/>
    <w:rsid w:val="001E07F5"/>
    <w:rsid w:val="001E1584"/>
    <w:rsid w:val="001E238F"/>
    <w:rsid w:val="001E3828"/>
    <w:rsid w:val="001E4332"/>
    <w:rsid w:val="001E5A35"/>
    <w:rsid w:val="001E5D08"/>
    <w:rsid w:val="001E6244"/>
    <w:rsid w:val="001E6D43"/>
    <w:rsid w:val="001E79C5"/>
    <w:rsid w:val="001F12FA"/>
    <w:rsid w:val="001F1388"/>
    <w:rsid w:val="001F1585"/>
    <w:rsid w:val="001F16D9"/>
    <w:rsid w:val="001F2164"/>
    <w:rsid w:val="001F274C"/>
    <w:rsid w:val="001F3983"/>
    <w:rsid w:val="001F4158"/>
    <w:rsid w:val="001F4597"/>
    <w:rsid w:val="001F5135"/>
    <w:rsid w:val="001F559C"/>
    <w:rsid w:val="001F612F"/>
    <w:rsid w:val="001F6190"/>
    <w:rsid w:val="00200886"/>
    <w:rsid w:val="0020091B"/>
    <w:rsid w:val="00201203"/>
    <w:rsid w:val="002013DA"/>
    <w:rsid w:val="002014A3"/>
    <w:rsid w:val="00202A2D"/>
    <w:rsid w:val="00202EB2"/>
    <w:rsid w:val="00203E1E"/>
    <w:rsid w:val="002041CD"/>
    <w:rsid w:val="00204DA1"/>
    <w:rsid w:val="00204FDE"/>
    <w:rsid w:val="00205D2D"/>
    <w:rsid w:val="00206724"/>
    <w:rsid w:val="00207344"/>
    <w:rsid w:val="00211120"/>
    <w:rsid w:val="00211611"/>
    <w:rsid w:val="002118B9"/>
    <w:rsid w:val="0021267E"/>
    <w:rsid w:val="00212A82"/>
    <w:rsid w:val="00214ED2"/>
    <w:rsid w:val="00214F7C"/>
    <w:rsid w:val="00215001"/>
    <w:rsid w:val="0021603A"/>
    <w:rsid w:val="00216B72"/>
    <w:rsid w:val="00216DA0"/>
    <w:rsid w:val="00217C5B"/>
    <w:rsid w:val="002210BD"/>
    <w:rsid w:val="0022124D"/>
    <w:rsid w:val="00221292"/>
    <w:rsid w:val="0022139E"/>
    <w:rsid w:val="002217B5"/>
    <w:rsid w:val="00221E83"/>
    <w:rsid w:val="002220EC"/>
    <w:rsid w:val="002231CC"/>
    <w:rsid w:val="002231F2"/>
    <w:rsid w:val="00223B46"/>
    <w:rsid w:val="00223CFB"/>
    <w:rsid w:val="002252E0"/>
    <w:rsid w:val="002255F6"/>
    <w:rsid w:val="0022580E"/>
    <w:rsid w:val="0022681B"/>
    <w:rsid w:val="00226A91"/>
    <w:rsid w:val="00227766"/>
    <w:rsid w:val="00227850"/>
    <w:rsid w:val="00227A53"/>
    <w:rsid w:val="00230643"/>
    <w:rsid w:val="00230786"/>
    <w:rsid w:val="00230C6E"/>
    <w:rsid w:val="00230D5A"/>
    <w:rsid w:val="0023118E"/>
    <w:rsid w:val="00231874"/>
    <w:rsid w:val="00233109"/>
    <w:rsid w:val="00233137"/>
    <w:rsid w:val="00233DA6"/>
    <w:rsid w:val="0023453F"/>
    <w:rsid w:val="00235806"/>
    <w:rsid w:val="00236443"/>
    <w:rsid w:val="00236C95"/>
    <w:rsid w:val="00236D42"/>
    <w:rsid w:val="002415B7"/>
    <w:rsid w:val="00241924"/>
    <w:rsid w:val="00241D78"/>
    <w:rsid w:val="00241E94"/>
    <w:rsid w:val="00241F86"/>
    <w:rsid w:val="002425D9"/>
    <w:rsid w:val="00243563"/>
    <w:rsid w:val="002436BA"/>
    <w:rsid w:val="00243B3A"/>
    <w:rsid w:val="00244A15"/>
    <w:rsid w:val="00247319"/>
    <w:rsid w:val="0024799E"/>
    <w:rsid w:val="00247FB4"/>
    <w:rsid w:val="00250B95"/>
    <w:rsid w:val="00251922"/>
    <w:rsid w:val="002523E9"/>
    <w:rsid w:val="002535BC"/>
    <w:rsid w:val="00253C0F"/>
    <w:rsid w:val="00254402"/>
    <w:rsid w:val="00254ED2"/>
    <w:rsid w:val="00255CD0"/>
    <w:rsid w:val="00256F7E"/>
    <w:rsid w:val="00257D71"/>
    <w:rsid w:val="00260187"/>
    <w:rsid w:val="002602E7"/>
    <w:rsid w:val="0026075B"/>
    <w:rsid w:val="00261B88"/>
    <w:rsid w:val="00261FA0"/>
    <w:rsid w:val="00262B1F"/>
    <w:rsid w:val="0026319C"/>
    <w:rsid w:val="002633D1"/>
    <w:rsid w:val="00263AF5"/>
    <w:rsid w:val="00263D62"/>
    <w:rsid w:val="00263D67"/>
    <w:rsid w:val="002651FD"/>
    <w:rsid w:val="00265B9E"/>
    <w:rsid w:val="00270163"/>
    <w:rsid w:val="002709AC"/>
    <w:rsid w:val="00270AB8"/>
    <w:rsid w:val="00270AF2"/>
    <w:rsid w:val="00270D37"/>
    <w:rsid w:val="00270F4B"/>
    <w:rsid w:val="00271465"/>
    <w:rsid w:val="0027160F"/>
    <w:rsid w:val="00271F00"/>
    <w:rsid w:val="002737BE"/>
    <w:rsid w:val="00273F6B"/>
    <w:rsid w:val="0027456E"/>
    <w:rsid w:val="00274775"/>
    <w:rsid w:val="00275F01"/>
    <w:rsid w:val="00276169"/>
    <w:rsid w:val="00276DD2"/>
    <w:rsid w:val="00276F79"/>
    <w:rsid w:val="002777BE"/>
    <w:rsid w:val="00277F80"/>
    <w:rsid w:val="00280ACF"/>
    <w:rsid w:val="00280B02"/>
    <w:rsid w:val="002814F4"/>
    <w:rsid w:val="00282237"/>
    <w:rsid w:val="00284002"/>
    <w:rsid w:val="0028505C"/>
    <w:rsid w:val="0028535B"/>
    <w:rsid w:val="00285412"/>
    <w:rsid w:val="002856DB"/>
    <w:rsid w:val="00287859"/>
    <w:rsid w:val="002879F5"/>
    <w:rsid w:val="00287C53"/>
    <w:rsid w:val="00290CCE"/>
    <w:rsid w:val="0029203C"/>
    <w:rsid w:val="002921A5"/>
    <w:rsid w:val="00292969"/>
    <w:rsid w:val="00294E81"/>
    <w:rsid w:val="002950B3"/>
    <w:rsid w:val="0029557F"/>
    <w:rsid w:val="002962CB"/>
    <w:rsid w:val="00296FD7"/>
    <w:rsid w:val="002A00BE"/>
    <w:rsid w:val="002A059C"/>
    <w:rsid w:val="002A0636"/>
    <w:rsid w:val="002A138B"/>
    <w:rsid w:val="002A15DC"/>
    <w:rsid w:val="002A1622"/>
    <w:rsid w:val="002A16D4"/>
    <w:rsid w:val="002A230C"/>
    <w:rsid w:val="002A245C"/>
    <w:rsid w:val="002A2746"/>
    <w:rsid w:val="002A3940"/>
    <w:rsid w:val="002A411C"/>
    <w:rsid w:val="002A4F7B"/>
    <w:rsid w:val="002A548E"/>
    <w:rsid w:val="002B0758"/>
    <w:rsid w:val="002B1785"/>
    <w:rsid w:val="002B3951"/>
    <w:rsid w:val="002B3A9F"/>
    <w:rsid w:val="002B4097"/>
    <w:rsid w:val="002B4DD5"/>
    <w:rsid w:val="002B4ECE"/>
    <w:rsid w:val="002B5656"/>
    <w:rsid w:val="002B5BBB"/>
    <w:rsid w:val="002B5BEA"/>
    <w:rsid w:val="002B636D"/>
    <w:rsid w:val="002B6B6E"/>
    <w:rsid w:val="002B73FD"/>
    <w:rsid w:val="002B7648"/>
    <w:rsid w:val="002B7DA7"/>
    <w:rsid w:val="002C03E6"/>
    <w:rsid w:val="002C111E"/>
    <w:rsid w:val="002C18C3"/>
    <w:rsid w:val="002C23B9"/>
    <w:rsid w:val="002C43BD"/>
    <w:rsid w:val="002C4B6C"/>
    <w:rsid w:val="002C5C25"/>
    <w:rsid w:val="002C60D3"/>
    <w:rsid w:val="002C6538"/>
    <w:rsid w:val="002C6907"/>
    <w:rsid w:val="002C78B4"/>
    <w:rsid w:val="002D0E59"/>
    <w:rsid w:val="002D182D"/>
    <w:rsid w:val="002D19C0"/>
    <w:rsid w:val="002D1B1C"/>
    <w:rsid w:val="002D1DE5"/>
    <w:rsid w:val="002D23AB"/>
    <w:rsid w:val="002D29A6"/>
    <w:rsid w:val="002D29BD"/>
    <w:rsid w:val="002D41B1"/>
    <w:rsid w:val="002D5FC9"/>
    <w:rsid w:val="002D612E"/>
    <w:rsid w:val="002D64AE"/>
    <w:rsid w:val="002D6E13"/>
    <w:rsid w:val="002D74C7"/>
    <w:rsid w:val="002E02A1"/>
    <w:rsid w:val="002E0731"/>
    <w:rsid w:val="002E247C"/>
    <w:rsid w:val="002E26D6"/>
    <w:rsid w:val="002E27B7"/>
    <w:rsid w:val="002E28E3"/>
    <w:rsid w:val="002E2D1F"/>
    <w:rsid w:val="002E3CFA"/>
    <w:rsid w:val="002E3F80"/>
    <w:rsid w:val="002E4875"/>
    <w:rsid w:val="002E4E4C"/>
    <w:rsid w:val="002E5226"/>
    <w:rsid w:val="002E6D27"/>
    <w:rsid w:val="002E6D52"/>
    <w:rsid w:val="002F0C16"/>
    <w:rsid w:val="002F17ED"/>
    <w:rsid w:val="002F1BFB"/>
    <w:rsid w:val="002F3688"/>
    <w:rsid w:val="002F3B0B"/>
    <w:rsid w:val="002F41E8"/>
    <w:rsid w:val="002F47F1"/>
    <w:rsid w:val="002F558C"/>
    <w:rsid w:val="002F5698"/>
    <w:rsid w:val="002F5A49"/>
    <w:rsid w:val="002F64E9"/>
    <w:rsid w:val="002F6628"/>
    <w:rsid w:val="002F6C29"/>
    <w:rsid w:val="002F72C4"/>
    <w:rsid w:val="002F74ED"/>
    <w:rsid w:val="00302221"/>
    <w:rsid w:val="00302A46"/>
    <w:rsid w:val="00303DEA"/>
    <w:rsid w:val="00304771"/>
    <w:rsid w:val="00304AB8"/>
    <w:rsid w:val="003052D4"/>
    <w:rsid w:val="00305D31"/>
    <w:rsid w:val="003064B9"/>
    <w:rsid w:val="00306AFC"/>
    <w:rsid w:val="00306B9B"/>
    <w:rsid w:val="00306C5B"/>
    <w:rsid w:val="003107F5"/>
    <w:rsid w:val="00310FE5"/>
    <w:rsid w:val="003115F7"/>
    <w:rsid w:val="00311FF8"/>
    <w:rsid w:val="00312793"/>
    <w:rsid w:val="00313CE8"/>
    <w:rsid w:val="00314806"/>
    <w:rsid w:val="00314F7B"/>
    <w:rsid w:val="00315A97"/>
    <w:rsid w:val="003165E0"/>
    <w:rsid w:val="00316BB8"/>
    <w:rsid w:val="00316DF1"/>
    <w:rsid w:val="003179AB"/>
    <w:rsid w:val="003209D6"/>
    <w:rsid w:val="00321184"/>
    <w:rsid w:val="00321924"/>
    <w:rsid w:val="00321FC5"/>
    <w:rsid w:val="0032270C"/>
    <w:rsid w:val="0032326A"/>
    <w:rsid w:val="003237E9"/>
    <w:rsid w:val="00323B86"/>
    <w:rsid w:val="00323E14"/>
    <w:rsid w:val="00323EF3"/>
    <w:rsid w:val="00324B63"/>
    <w:rsid w:val="0032500D"/>
    <w:rsid w:val="00325C6E"/>
    <w:rsid w:val="00325F75"/>
    <w:rsid w:val="0032656E"/>
    <w:rsid w:val="00327107"/>
    <w:rsid w:val="00327CB2"/>
    <w:rsid w:val="00327CB6"/>
    <w:rsid w:val="00330210"/>
    <w:rsid w:val="0033084C"/>
    <w:rsid w:val="00331500"/>
    <w:rsid w:val="00331F80"/>
    <w:rsid w:val="00332190"/>
    <w:rsid w:val="003323A1"/>
    <w:rsid w:val="00332B32"/>
    <w:rsid w:val="00332FCF"/>
    <w:rsid w:val="0033440D"/>
    <w:rsid w:val="003347EF"/>
    <w:rsid w:val="003377AF"/>
    <w:rsid w:val="00337DB8"/>
    <w:rsid w:val="00340705"/>
    <w:rsid w:val="00340799"/>
    <w:rsid w:val="0034095F"/>
    <w:rsid w:val="0034118E"/>
    <w:rsid w:val="00341D4B"/>
    <w:rsid w:val="00341E22"/>
    <w:rsid w:val="00342ED2"/>
    <w:rsid w:val="00343373"/>
    <w:rsid w:val="003435DA"/>
    <w:rsid w:val="00344668"/>
    <w:rsid w:val="00345CBF"/>
    <w:rsid w:val="00346020"/>
    <w:rsid w:val="003462D9"/>
    <w:rsid w:val="00346648"/>
    <w:rsid w:val="003466E9"/>
    <w:rsid w:val="003469A7"/>
    <w:rsid w:val="003503EE"/>
    <w:rsid w:val="00350828"/>
    <w:rsid w:val="00350C8D"/>
    <w:rsid w:val="00351746"/>
    <w:rsid w:val="003518C1"/>
    <w:rsid w:val="0035303F"/>
    <w:rsid w:val="00353588"/>
    <w:rsid w:val="00354158"/>
    <w:rsid w:val="00354990"/>
    <w:rsid w:val="00354B7E"/>
    <w:rsid w:val="00355CCF"/>
    <w:rsid w:val="003560A5"/>
    <w:rsid w:val="003572D9"/>
    <w:rsid w:val="00357A9C"/>
    <w:rsid w:val="00360C86"/>
    <w:rsid w:val="00361C42"/>
    <w:rsid w:val="003630D1"/>
    <w:rsid w:val="0036391F"/>
    <w:rsid w:val="00363E22"/>
    <w:rsid w:val="003657F3"/>
    <w:rsid w:val="00365CC1"/>
    <w:rsid w:val="00366D15"/>
    <w:rsid w:val="0036730E"/>
    <w:rsid w:val="00367C55"/>
    <w:rsid w:val="00367EFD"/>
    <w:rsid w:val="00370218"/>
    <w:rsid w:val="00370E55"/>
    <w:rsid w:val="00370F12"/>
    <w:rsid w:val="00370F6F"/>
    <w:rsid w:val="0037191E"/>
    <w:rsid w:val="00371F82"/>
    <w:rsid w:val="0037313F"/>
    <w:rsid w:val="003731F2"/>
    <w:rsid w:val="003740DF"/>
    <w:rsid w:val="003750D3"/>
    <w:rsid w:val="0037582E"/>
    <w:rsid w:val="00375A1E"/>
    <w:rsid w:val="0037628A"/>
    <w:rsid w:val="00376DED"/>
    <w:rsid w:val="00377D23"/>
    <w:rsid w:val="00380129"/>
    <w:rsid w:val="003818DC"/>
    <w:rsid w:val="0038386A"/>
    <w:rsid w:val="00383B35"/>
    <w:rsid w:val="00384327"/>
    <w:rsid w:val="00384853"/>
    <w:rsid w:val="003849B1"/>
    <w:rsid w:val="00385324"/>
    <w:rsid w:val="00385CF8"/>
    <w:rsid w:val="00385D98"/>
    <w:rsid w:val="00385F7B"/>
    <w:rsid w:val="00386026"/>
    <w:rsid w:val="003865D4"/>
    <w:rsid w:val="00386648"/>
    <w:rsid w:val="00386913"/>
    <w:rsid w:val="0038765F"/>
    <w:rsid w:val="00390B55"/>
    <w:rsid w:val="00390D6B"/>
    <w:rsid w:val="003920E0"/>
    <w:rsid w:val="0039216A"/>
    <w:rsid w:val="003922A9"/>
    <w:rsid w:val="00393B15"/>
    <w:rsid w:val="00394935"/>
    <w:rsid w:val="00395689"/>
    <w:rsid w:val="003A0AD5"/>
    <w:rsid w:val="003A0DBA"/>
    <w:rsid w:val="003A151B"/>
    <w:rsid w:val="003A2B4D"/>
    <w:rsid w:val="003A3808"/>
    <w:rsid w:val="003A3897"/>
    <w:rsid w:val="003A3BF4"/>
    <w:rsid w:val="003A4117"/>
    <w:rsid w:val="003A4175"/>
    <w:rsid w:val="003A478C"/>
    <w:rsid w:val="003A4975"/>
    <w:rsid w:val="003A5525"/>
    <w:rsid w:val="003A5C52"/>
    <w:rsid w:val="003A6B38"/>
    <w:rsid w:val="003A7054"/>
    <w:rsid w:val="003A73ED"/>
    <w:rsid w:val="003A78F5"/>
    <w:rsid w:val="003B0994"/>
    <w:rsid w:val="003B3BDD"/>
    <w:rsid w:val="003B4074"/>
    <w:rsid w:val="003B4194"/>
    <w:rsid w:val="003B41E7"/>
    <w:rsid w:val="003B4D71"/>
    <w:rsid w:val="003B5A32"/>
    <w:rsid w:val="003B6803"/>
    <w:rsid w:val="003B7A27"/>
    <w:rsid w:val="003C0201"/>
    <w:rsid w:val="003C1047"/>
    <w:rsid w:val="003C1626"/>
    <w:rsid w:val="003C210A"/>
    <w:rsid w:val="003C23F0"/>
    <w:rsid w:val="003C29D4"/>
    <w:rsid w:val="003C3490"/>
    <w:rsid w:val="003C3F4C"/>
    <w:rsid w:val="003C43C9"/>
    <w:rsid w:val="003C60D5"/>
    <w:rsid w:val="003C624C"/>
    <w:rsid w:val="003C670D"/>
    <w:rsid w:val="003C6725"/>
    <w:rsid w:val="003C6CAE"/>
    <w:rsid w:val="003C72EB"/>
    <w:rsid w:val="003D002C"/>
    <w:rsid w:val="003D1467"/>
    <w:rsid w:val="003D1722"/>
    <w:rsid w:val="003D1AB2"/>
    <w:rsid w:val="003D1D17"/>
    <w:rsid w:val="003D1D86"/>
    <w:rsid w:val="003D2891"/>
    <w:rsid w:val="003D2C5E"/>
    <w:rsid w:val="003D3B6C"/>
    <w:rsid w:val="003D3E71"/>
    <w:rsid w:val="003D4408"/>
    <w:rsid w:val="003D475C"/>
    <w:rsid w:val="003D49C4"/>
    <w:rsid w:val="003D55A8"/>
    <w:rsid w:val="003D5685"/>
    <w:rsid w:val="003D6580"/>
    <w:rsid w:val="003D6920"/>
    <w:rsid w:val="003D6DB0"/>
    <w:rsid w:val="003D75F8"/>
    <w:rsid w:val="003E1B34"/>
    <w:rsid w:val="003E1B89"/>
    <w:rsid w:val="003E1F40"/>
    <w:rsid w:val="003E2DB7"/>
    <w:rsid w:val="003E399E"/>
    <w:rsid w:val="003E423A"/>
    <w:rsid w:val="003E4C91"/>
    <w:rsid w:val="003E544A"/>
    <w:rsid w:val="003E6406"/>
    <w:rsid w:val="003F00C0"/>
    <w:rsid w:val="003F03F3"/>
    <w:rsid w:val="003F042C"/>
    <w:rsid w:val="003F0D5D"/>
    <w:rsid w:val="003F1933"/>
    <w:rsid w:val="003F21C9"/>
    <w:rsid w:val="003F313C"/>
    <w:rsid w:val="003F321E"/>
    <w:rsid w:val="003F32BA"/>
    <w:rsid w:val="003F341D"/>
    <w:rsid w:val="003F4AD5"/>
    <w:rsid w:val="003F4B2C"/>
    <w:rsid w:val="003F53F5"/>
    <w:rsid w:val="003F551C"/>
    <w:rsid w:val="003F56BD"/>
    <w:rsid w:val="003F5A69"/>
    <w:rsid w:val="003F6C8E"/>
    <w:rsid w:val="003F79D4"/>
    <w:rsid w:val="003F79F8"/>
    <w:rsid w:val="003F7CBF"/>
    <w:rsid w:val="003F7D23"/>
    <w:rsid w:val="003F7FCD"/>
    <w:rsid w:val="00400FBD"/>
    <w:rsid w:val="0040115E"/>
    <w:rsid w:val="004021EF"/>
    <w:rsid w:val="0040636F"/>
    <w:rsid w:val="004064C7"/>
    <w:rsid w:val="004064CE"/>
    <w:rsid w:val="00406BFC"/>
    <w:rsid w:val="004078AB"/>
    <w:rsid w:val="00407A3A"/>
    <w:rsid w:val="00407C13"/>
    <w:rsid w:val="00410638"/>
    <w:rsid w:val="004122AC"/>
    <w:rsid w:val="00412D31"/>
    <w:rsid w:val="004148A0"/>
    <w:rsid w:val="004148D5"/>
    <w:rsid w:val="0041531C"/>
    <w:rsid w:val="004154EA"/>
    <w:rsid w:val="00415C5A"/>
    <w:rsid w:val="00417A74"/>
    <w:rsid w:val="0042049A"/>
    <w:rsid w:val="0042072E"/>
    <w:rsid w:val="004212A0"/>
    <w:rsid w:val="004217B2"/>
    <w:rsid w:val="004226B9"/>
    <w:rsid w:val="00424838"/>
    <w:rsid w:val="004259A4"/>
    <w:rsid w:val="004277D2"/>
    <w:rsid w:val="004279CC"/>
    <w:rsid w:val="004305E9"/>
    <w:rsid w:val="004312B1"/>
    <w:rsid w:val="0043159F"/>
    <w:rsid w:val="00431664"/>
    <w:rsid w:val="004323C5"/>
    <w:rsid w:val="00432466"/>
    <w:rsid w:val="00432A58"/>
    <w:rsid w:val="004333D3"/>
    <w:rsid w:val="004340E2"/>
    <w:rsid w:val="00434617"/>
    <w:rsid w:val="004347BB"/>
    <w:rsid w:val="0043524B"/>
    <w:rsid w:val="00435A4B"/>
    <w:rsid w:val="00435E99"/>
    <w:rsid w:val="004361CB"/>
    <w:rsid w:val="004370BF"/>
    <w:rsid w:val="00437F64"/>
    <w:rsid w:val="00440553"/>
    <w:rsid w:val="00440900"/>
    <w:rsid w:val="00441212"/>
    <w:rsid w:val="004414E2"/>
    <w:rsid w:val="00441BB7"/>
    <w:rsid w:val="00442BA0"/>
    <w:rsid w:val="00443055"/>
    <w:rsid w:val="00443FCB"/>
    <w:rsid w:val="004441A0"/>
    <w:rsid w:val="004452E3"/>
    <w:rsid w:val="00445EAB"/>
    <w:rsid w:val="00446283"/>
    <w:rsid w:val="00447376"/>
    <w:rsid w:val="00450719"/>
    <w:rsid w:val="00450D65"/>
    <w:rsid w:val="00451517"/>
    <w:rsid w:val="0045190F"/>
    <w:rsid w:val="004519A4"/>
    <w:rsid w:val="00451FB6"/>
    <w:rsid w:val="00452C6D"/>
    <w:rsid w:val="00453B74"/>
    <w:rsid w:val="00454D57"/>
    <w:rsid w:val="0045502E"/>
    <w:rsid w:val="004555A7"/>
    <w:rsid w:val="004558D6"/>
    <w:rsid w:val="00457EC5"/>
    <w:rsid w:val="00460FB3"/>
    <w:rsid w:val="00461452"/>
    <w:rsid w:val="004615E9"/>
    <w:rsid w:val="00465AD1"/>
    <w:rsid w:val="004668C5"/>
    <w:rsid w:val="004674B4"/>
    <w:rsid w:val="004676AB"/>
    <w:rsid w:val="00467B66"/>
    <w:rsid w:val="0047094E"/>
    <w:rsid w:val="0047094F"/>
    <w:rsid w:val="004710EF"/>
    <w:rsid w:val="00471995"/>
    <w:rsid w:val="00472920"/>
    <w:rsid w:val="00472C32"/>
    <w:rsid w:val="00472DF3"/>
    <w:rsid w:val="00473099"/>
    <w:rsid w:val="0047385C"/>
    <w:rsid w:val="004741AD"/>
    <w:rsid w:val="00474C68"/>
    <w:rsid w:val="0047521B"/>
    <w:rsid w:val="004759BC"/>
    <w:rsid w:val="00476240"/>
    <w:rsid w:val="00476432"/>
    <w:rsid w:val="00476439"/>
    <w:rsid w:val="00476555"/>
    <w:rsid w:val="0047671E"/>
    <w:rsid w:val="00476D37"/>
    <w:rsid w:val="00476F2E"/>
    <w:rsid w:val="00477326"/>
    <w:rsid w:val="0047735C"/>
    <w:rsid w:val="004776BC"/>
    <w:rsid w:val="004777C3"/>
    <w:rsid w:val="00477981"/>
    <w:rsid w:val="00477DCB"/>
    <w:rsid w:val="0048051B"/>
    <w:rsid w:val="00480931"/>
    <w:rsid w:val="0048139F"/>
    <w:rsid w:val="00481E40"/>
    <w:rsid w:val="00482A74"/>
    <w:rsid w:val="00482D4C"/>
    <w:rsid w:val="0048304D"/>
    <w:rsid w:val="0048310F"/>
    <w:rsid w:val="00483630"/>
    <w:rsid w:val="00484195"/>
    <w:rsid w:val="00484444"/>
    <w:rsid w:val="004845F6"/>
    <w:rsid w:val="004846AB"/>
    <w:rsid w:val="00484ECE"/>
    <w:rsid w:val="00485633"/>
    <w:rsid w:val="004859DF"/>
    <w:rsid w:val="00485E1A"/>
    <w:rsid w:val="004864B7"/>
    <w:rsid w:val="004868C1"/>
    <w:rsid w:val="004900FF"/>
    <w:rsid w:val="00490CE7"/>
    <w:rsid w:val="0049134D"/>
    <w:rsid w:val="004915CB"/>
    <w:rsid w:val="00491C63"/>
    <w:rsid w:val="004924DC"/>
    <w:rsid w:val="004938A3"/>
    <w:rsid w:val="00493FB0"/>
    <w:rsid w:val="00494032"/>
    <w:rsid w:val="00494CE2"/>
    <w:rsid w:val="00497F1C"/>
    <w:rsid w:val="004A06C7"/>
    <w:rsid w:val="004A1095"/>
    <w:rsid w:val="004A14E4"/>
    <w:rsid w:val="004A29A0"/>
    <w:rsid w:val="004A2C68"/>
    <w:rsid w:val="004A3212"/>
    <w:rsid w:val="004A39E5"/>
    <w:rsid w:val="004A4CD3"/>
    <w:rsid w:val="004A61C5"/>
    <w:rsid w:val="004A6219"/>
    <w:rsid w:val="004A657F"/>
    <w:rsid w:val="004A6769"/>
    <w:rsid w:val="004A7323"/>
    <w:rsid w:val="004A77DF"/>
    <w:rsid w:val="004B091C"/>
    <w:rsid w:val="004B1190"/>
    <w:rsid w:val="004B11C6"/>
    <w:rsid w:val="004B1417"/>
    <w:rsid w:val="004B1E81"/>
    <w:rsid w:val="004B257C"/>
    <w:rsid w:val="004B303F"/>
    <w:rsid w:val="004B3310"/>
    <w:rsid w:val="004B3710"/>
    <w:rsid w:val="004B4219"/>
    <w:rsid w:val="004B4398"/>
    <w:rsid w:val="004B46E8"/>
    <w:rsid w:val="004B4A61"/>
    <w:rsid w:val="004B55B7"/>
    <w:rsid w:val="004B5727"/>
    <w:rsid w:val="004B59BC"/>
    <w:rsid w:val="004B5AEC"/>
    <w:rsid w:val="004B6468"/>
    <w:rsid w:val="004B6681"/>
    <w:rsid w:val="004B6906"/>
    <w:rsid w:val="004B6E0E"/>
    <w:rsid w:val="004B7046"/>
    <w:rsid w:val="004B7D50"/>
    <w:rsid w:val="004B7EF6"/>
    <w:rsid w:val="004C045F"/>
    <w:rsid w:val="004C048E"/>
    <w:rsid w:val="004C0561"/>
    <w:rsid w:val="004C07FA"/>
    <w:rsid w:val="004C0824"/>
    <w:rsid w:val="004C0AD8"/>
    <w:rsid w:val="004C171D"/>
    <w:rsid w:val="004C1A41"/>
    <w:rsid w:val="004C274B"/>
    <w:rsid w:val="004C384C"/>
    <w:rsid w:val="004C3867"/>
    <w:rsid w:val="004C426D"/>
    <w:rsid w:val="004C4CD0"/>
    <w:rsid w:val="004C4F78"/>
    <w:rsid w:val="004C540F"/>
    <w:rsid w:val="004C5D51"/>
    <w:rsid w:val="004C62E1"/>
    <w:rsid w:val="004C67DA"/>
    <w:rsid w:val="004C70DC"/>
    <w:rsid w:val="004C737D"/>
    <w:rsid w:val="004C7888"/>
    <w:rsid w:val="004D0211"/>
    <w:rsid w:val="004D0794"/>
    <w:rsid w:val="004D0963"/>
    <w:rsid w:val="004D17F6"/>
    <w:rsid w:val="004D1B6E"/>
    <w:rsid w:val="004D1CCB"/>
    <w:rsid w:val="004D22C0"/>
    <w:rsid w:val="004D265E"/>
    <w:rsid w:val="004D2910"/>
    <w:rsid w:val="004D2A8C"/>
    <w:rsid w:val="004D4307"/>
    <w:rsid w:val="004D556B"/>
    <w:rsid w:val="004D5B7D"/>
    <w:rsid w:val="004D60D5"/>
    <w:rsid w:val="004D7AF2"/>
    <w:rsid w:val="004E0056"/>
    <w:rsid w:val="004E0A54"/>
    <w:rsid w:val="004E1A53"/>
    <w:rsid w:val="004E1C47"/>
    <w:rsid w:val="004E28ED"/>
    <w:rsid w:val="004E346A"/>
    <w:rsid w:val="004E48DF"/>
    <w:rsid w:val="004E4B10"/>
    <w:rsid w:val="004E543C"/>
    <w:rsid w:val="004E5A65"/>
    <w:rsid w:val="004E66F1"/>
    <w:rsid w:val="004E6B07"/>
    <w:rsid w:val="004E6C86"/>
    <w:rsid w:val="004E79A9"/>
    <w:rsid w:val="004F00E7"/>
    <w:rsid w:val="004F06F5"/>
    <w:rsid w:val="004F092A"/>
    <w:rsid w:val="004F11A0"/>
    <w:rsid w:val="004F19A0"/>
    <w:rsid w:val="004F1B02"/>
    <w:rsid w:val="004F1EBD"/>
    <w:rsid w:val="004F33A0"/>
    <w:rsid w:val="004F6230"/>
    <w:rsid w:val="004F6FD4"/>
    <w:rsid w:val="004F77D6"/>
    <w:rsid w:val="005009C9"/>
    <w:rsid w:val="00500A8A"/>
    <w:rsid w:val="005014D1"/>
    <w:rsid w:val="00504DF0"/>
    <w:rsid w:val="005059CD"/>
    <w:rsid w:val="00505A3F"/>
    <w:rsid w:val="00505AEB"/>
    <w:rsid w:val="0050610D"/>
    <w:rsid w:val="005069FE"/>
    <w:rsid w:val="00506AF6"/>
    <w:rsid w:val="00506B7E"/>
    <w:rsid w:val="00507A97"/>
    <w:rsid w:val="00510068"/>
    <w:rsid w:val="00510840"/>
    <w:rsid w:val="005108C0"/>
    <w:rsid w:val="00511873"/>
    <w:rsid w:val="00512A2F"/>
    <w:rsid w:val="00513B7E"/>
    <w:rsid w:val="00514267"/>
    <w:rsid w:val="00515AD4"/>
    <w:rsid w:val="00515C74"/>
    <w:rsid w:val="00516090"/>
    <w:rsid w:val="00516487"/>
    <w:rsid w:val="005166A1"/>
    <w:rsid w:val="0052007E"/>
    <w:rsid w:val="00520319"/>
    <w:rsid w:val="005207AA"/>
    <w:rsid w:val="00520920"/>
    <w:rsid w:val="00521013"/>
    <w:rsid w:val="00522D7D"/>
    <w:rsid w:val="0052337A"/>
    <w:rsid w:val="005239EA"/>
    <w:rsid w:val="005244A3"/>
    <w:rsid w:val="00524981"/>
    <w:rsid w:val="00525137"/>
    <w:rsid w:val="005251DD"/>
    <w:rsid w:val="005257ED"/>
    <w:rsid w:val="00525FFC"/>
    <w:rsid w:val="00526384"/>
    <w:rsid w:val="00526565"/>
    <w:rsid w:val="005277DE"/>
    <w:rsid w:val="00527B11"/>
    <w:rsid w:val="00527F80"/>
    <w:rsid w:val="005302AB"/>
    <w:rsid w:val="00530D76"/>
    <w:rsid w:val="00532911"/>
    <w:rsid w:val="00532CE7"/>
    <w:rsid w:val="00532E6A"/>
    <w:rsid w:val="0053324C"/>
    <w:rsid w:val="00533B1A"/>
    <w:rsid w:val="00534355"/>
    <w:rsid w:val="00534770"/>
    <w:rsid w:val="00534A28"/>
    <w:rsid w:val="00536E61"/>
    <w:rsid w:val="00537086"/>
    <w:rsid w:val="005370C4"/>
    <w:rsid w:val="005372CF"/>
    <w:rsid w:val="00541508"/>
    <w:rsid w:val="00541BBF"/>
    <w:rsid w:val="005422E2"/>
    <w:rsid w:val="005432F2"/>
    <w:rsid w:val="00543A02"/>
    <w:rsid w:val="005453EA"/>
    <w:rsid w:val="00545528"/>
    <w:rsid w:val="00545E45"/>
    <w:rsid w:val="005465CB"/>
    <w:rsid w:val="00550EA0"/>
    <w:rsid w:val="00552396"/>
    <w:rsid w:val="005524F6"/>
    <w:rsid w:val="00552D10"/>
    <w:rsid w:val="0055327E"/>
    <w:rsid w:val="005547A9"/>
    <w:rsid w:val="005556E4"/>
    <w:rsid w:val="0055586A"/>
    <w:rsid w:val="0055599F"/>
    <w:rsid w:val="00556556"/>
    <w:rsid w:val="00556B98"/>
    <w:rsid w:val="00556D68"/>
    <w:rsid w:val="00557FDA"/>
    <w:rsid w:val="005600C0"/>
    <w:rsid w:val="00560A16"/>
    <w:rsid w:val="00560FD5"/>
    <w:rsid w:val="00560FD8"/>
    <w:rsid w:val="00561F02"/>
    <w:rsid w:val="0056217C"/>
    <w:rsid w:val="00562411"/>
    <w:rsid w:val="00562981"/>
    <w:rsid w:val="005647BF"/>
    <w:rsid w:val="00564AA1"/>
    <w:rsid w:val="00564B8A"/>
    <w:rsid w:val="005658FE"/>
    <w:rsid w:val="0056647F"/>
    <w:rsid w:val="00566513"/>
    <w:rsid w:val="0056671B"/>
    <w:rsid w:val="00566C30"/>
    <w:rsid w:val="00566DB2"/>
    <w:rsid w:val="00567BF8"/>
    <w:rsid w:val="00567C89"/>
    <w:rsid w:val="0057039B"/>
    <w:rsid w:val="00570A11"/>
    <w:rsid w:val="00570A93"/>
    <w:rsid w:val="00571E5F"/>
    <w:rsid w:val="0057364B"/>
    <w:rsid w:val="00573A3B"/>
    <w:rsid w:val="00574773"/>
    <w:rsid w:val="005766A9"/>
    <w:rsid w:val="00576730"/>
    <w:rsid w:val="00576802"/>
    <w:rsid w:val="005770FC"/>
    <w:rsid w:val="00577D68"/>
    <w:rsid w:val="00577F43"/>
    <w:rsid w:val="0058138D"/>
    <w:rsid w:val="00581E84"/>
    <w:rsid w:val="00582B45"/>
    <w:rsid w:val="00582D45"/>
    <w:rsid w:val="00583FFD"/>
    <w:rsid w:val="00584360"/>
    <w:rsid w:val="00585357"/>
    <w:rsid w:val="005859FB"/>
    <w:rsid w:val="0058622A"/>
    <w:rsid w:val="00586579"/>
    <w:rsid w:val="00586CA0"/>
    <w:rsid w:val="005911BE"/>
    <w:rsid w:val="00591232"/>
    <w:rsid w:val="005912E7"/>
    <w:rsid w:val="00591F79"/>
    <w:rsid w:val="005921FF"/>
    <w:rsid w:val="00593152"/>
    <w:rsid w:val="0059439A"/>
    <w:rsid w:val="00594F9D"/>
    <w:rsid w:val="005956BF"/>
    <w:rsid w:val="0059635A"/>
    <w:rsid w:val="005964FA"/>
    <w:rsid w:val="005973F7"/>
    <w:rsid w:val="00597650"/>
    <w:rsid w:val="00597A4F"/>
    <w:rsid w:val="00597CB4"/>
    <w:rsid w:val="00597D35"/>
    <w:rsid w:val="00597F44"/>
    <w:rsid w:val="005A10F2"/>
    <w:rsid w:val="005A16D1"/>
    <w:rsid w:val="005A1896"/>
    <w:rsid w:val="005A21E0"/>
    <w:rsid w:val="005A28FF"/>
    <w:rsid w:val="005A3DF8"/>
    <w:rsid w:val="005A4018"/>
    <w:rsid w:val="005A40F7"/>
    <w:rsid w:val="005A435A"/>
    <w:rsid w:val="005A4745"/>
    <w:rsid w:val="005A4DB5"/>
    <w:rsid w:val="005A5387"/>
    <w:rsid w:val="005A53F8"/>
    <w:rsid w:val="005A5549"/>
    <w:rsid w:val="005A5B2B"/>
    <w:rsid w:val="005A5F01"/>
    <w:rsid w:val="005A7595"/>
    <w:rsid w:val="005A7DC6"/>
    <w:rsid w:val="005B0664"/>
    <w:rsid w:val="005B1160"/>
    <w:rsid w:val="005B121D"/>
    <w:rsid w:val="005B1C06"/>
    <w:rsid w:val="005B2851"/>
    <w:rsid w:val="005B2ADE"/>
    <w:rsid w:val="005B5339"/>
    <w:rsid w:val="005B66B9"/>
    <w:rsid w:val="005B7266"/>
    <w:rsid w:val="005C00E4"/>
    <w:rsid w:val="005C06ED"/>
    <w:rsid w:val="005C07E2"/>
    <w:rsid w:val="005C0816"/>
    <w:rsid w:val="005C2B85"/>
    <w:rsid w:val="005C2C7C"/>
    <w:rsid w:val="005C48A1"/>
    <w:rsid w:val="005C5DF4"/>
    <w:rsid w:val="005C5FA9"/>
    <w:rsid w:val="005C6012"/>
    <w:rsid w:val="005C6A99"/>
    <w:rsid w:val="005C78CC"/>
    <w:rsid w:val="005C7E65"/>
    <w:rsid w:val="005D0A47"/>
    <w:rsid w:val="005D1E23"/>
    <w:rsid w:val="005D20B6"/>
    <w:rsid w:val="005D213D"/>
    <w:rsid w:val="005D2CF3"/>
    <w:rsid w:val="005D2D0E"/>
    <w:rsid w:val="005D2EA4"/>
    <w:rsid w:val="005D3B87"/>
    <w:rsid w:val="005D3C3F"/>
    <w:rsid w:val="005D3F36"/>
    <w:rsid w:val="005D5054"/>
    <w:rsid w:val="005D5802"/>
    <w:rsid w:val="005D7890"/>
    <w:rsid w:val="005D7896"/>
    <w:rsid w:val="005E0D48"/>
    <w:rsid w:val="005E0EA4"/>
    <w:rsid w:val="005E0FEF"/>
    <w:rsid w:val="005E1184"/>
    <w:rsid w:val="005E145B"/>
    <w:rsid w:val="005E2B98"/>
    <w:rsid w:val="005E4C42"/>
    <w:rsid w:val="005E565A"/>
    <w:rsid w:val="005E5D8D"/>
    <w:rsid w:val="005E62C0"/>
    <w:rsid w:val="005E682A"/>
    <w:rsid w:val="005E7C78"/>
    <w:rsid w:val="005E7F0B"/>
    <w:rsid w:val="005F1DD4"/>
    <w:rsid w:val="005F21D1"/>
    <w:rsid w:val="005F2E2B"/>
    <w:rsid w:val="005F3EB1"/>
    <w:rsid w:val="005F425D"/>
    <w:rsid w:val="005F47F0"/>
    <w:rsid w:val="005F4BD4"/>
    <w:rsid w:val="005F5469"/>
    <w:rsid w:val="00600922"/>
    <w:rsid w:val="00600991"/>
    <w:rsid w:val="00601A76"/>
    <w:rsid w:val="00601B56"/>
    <w:rsid w:val="00601DBC"/>
    <w:rsid w:val="006026BF"/>
    <w:rsid w:val="00602738"/>
    <w:rsid w:val="006033F3"/>
    <w:rsid w:val="00603B3F"/>
    <w:rsid w:val="00604307"/>
    <w:rsid w:val="0060487F"/>
    <w:rsid w:val="00604EAD"/>
    <w:rsid w:val="00605947"/>
    <w:rsid w:val="0060595A"/>
    <w:rsid w:val="00605DA7"/>
    <w:rsid w:val="006068B6"/>
    <w:rsid w:val="00606CD5"/>
    <w:rsid w:val="00607517"/>
    <w:rsid w:val="0061011B"/>
    <w:rsid w:val="006104FB"/>
    <w:rsid w:val="00610A6E"/>
    <w:rsid w:val="00610DCE"/>
    <w:rsid w:val="0061139F"/>
    <w:rsid w:val="006113F2"/>
    <w:rsid w:val="00611862"/>
    <w:rsid w:val="00612868"/>
    <w:rsid w:val="00612A2F"/>
    <w:rsid w:val="00612F79"/>
    <w:rsid w:val="00613B69"/>
    <w:rsid w:val="00614279"/>
    <w:rsid w:val="00614C13"/>
    <w:rsid w:val="006156B1"/>
    <w:rsid w:val="00615EAD"/>
    <w:rsid w:val="00616E05"/>
    <w:rsid w:val="00617310"/>
    <w:rsid w:val="00617559"/>
    <w:rsid w:val="006207A0"/>
    <w:rsid w:val="006224A6"/>
    <w:rsid w:val="00622A88"/>
    <w:rsid w:val="00623816"/>
    <w:rsid w:val="00623B24"/>
    <w:rsid w:val="00624093"/>
    <w:rsid w:val="00625A5B"/>
    <w:rsid w:val="00626B5A"/>
    <w:rsid w:val="00631A36"/>
    <w:rsid w:val="006323A4"/>
    <w:rsid w:val="00632657"/>
    <w:rsid w:val="0063288A"/>
    <w:rsid w:val="006328A5"/>
    <w:rsid w:val="00633690"/>
    <w:rsid w:val="00633BB4"/>
    <w:rsid w:val="00635B0D"/>
    <w:rsid w:val="0063655E"/>
    <w:rsid w:val="0063694F"/>
    <w:rsid w:val="00637C49"/>
    <w:rsid w:val="006401AF"/>
    <w:rsid w:val="006404A7"/>
    <w:rsid w:val="00640A36"/>
    <w:rsid w:val="00641312"/>
    <w:rsid w:val="0064273C"/>
    <w:rsid w:val="006434EB"/>
    <w:rsid w:val="0064372C"/>
    <w:rsid w:val="00643F07"/>
    <w:rsid w:val="00644652"/>
    <w:rsid w:val="006446D5"/>
    <w:rsid w:val="006449B8"/>
    <w:rsid w:val="00644E4F"/>
    <w:rsid w:val="006451E4"/>
    <w:rsid w:val="006459C9"/>
    <w:rsid w:val="00645B33"/>
    <w:rsid w:val="00646C45"/>
    <w:rsid w:val="00646DBE"/>
    <w:rsid w:val="0064700C"/>
    <w:rsid w:val="00647176"/>
    <w:rsid w:val="006474CA"/>
    <w:rsid w:val="0065031F"/>
    <w:rsid w:val="00651007"/>
    <w:rsid w:val="00651667"/>
    <w:rsid w:val="006516CB"/>
    <w:rsid w:val="00651766"/>
    <w:rsid w:val="00652057"/>
    <w:rsid w:val="00652B56"/>
    <w:rsid w:val="00653FB4"/>
    <w:rsid w:val="00654098"/>
    <w:rsid w:val="006542B9"/>
    <w:rsid w:val="00654C2C"/>
    <w:rsid w:val="006554E1"/>
    <w:rsid w:val="00655A7E"/>
    <w:rsid w:val="0065797A"/>
    <w:rsid w:val="00657E87"/>
    <w:rsid w:val="00657FC5"/>
    <w:rsid w:val="006601F2"/>
    <w:rsid w:val="006602B2"/>
    <w:rsid w:val="00661A5F"/>
    <w:rsid w:val="0066204E"/>
    <w:rsid w:val="006631E4"/>
    <w:rsid w:val="00663890"/>
    <w:rsid w:val="00664803"/>
    <w:rsid w:val="00664C80"/>
    <w:rsid w:val="00665701"/>
    <w:rsid w:val="00665BA4"/>
    <w:rsid w:val="00666763"/>
    <w:rsid w:val="00667954"/>
    <w:rsid w:val="006679B7"/>
    <w:rsid w:val="00667AF2"/>
    <w:rsid w:val="006710C9"/>
    <w:rsid w:val="00671A24"/>
    <w:rsid w:val="00672A9B"/>
    <w:rsid w:val="00673AC9"/>
    <w:rsid w:val="0067425E"/>
    <w:rsid w:val="0067441C"/>
    <w:rsid w:val="00674483"/>
    <w:rsid w:val="00674938"/>
    <w:rsid w:val="00674ADC"/>
    <w:rsid w:val="00674D89"/>
    <w:rsid w:val="00675844"/>
    <w:rsid w:val="00675A30"/>
    <w:rsid w:val="00675E37"/>
    <w:rsid w:val="0067613A"/>
    <w:rsid w:val="00676AA2"/>
    <w:rsid w:val="00676CC8"/>
    <w:rsid w:val="00677072"/>
    <w:rsid w:val="00677935"/>
    <w:rsid w:val="0068051C"/>
    <w:rsid w:val="00680CF4"/>
    <w:rsid w:val="0068174E"/>
    <w:rsid w:val="00681DCE"/>
    <w:rsid w:val="006824C6"/>
    <w:rsid w:val="0068260E"/>
    <w:rsid w:val="00682FEB"/>
    <w:rsid w:val="00683F3C"/>
    <w:rsid w:val="006855E6"/>
    <w:rsid w:val="00686382"/>
    <w:rsid w:val="00687BFD"/>
    <w:rsid w:val="00687E51"/>
    <w:rsid w:val="00690DB2"/>
    <w:rsid w:val="00691399"/>
    <w:rsid w:val="00692076"/>
    <w:rsid w:val="00692667"/>
    <w:rsid w:val="0069309F"/>
    <w:rsid w:val="0069347A"/>
    <w:rsid w:val="00693910"/>
    <w:rsid w:val="00694677"/>
    <w:rsid w:val="00695BEF"/>
    <w:rsid w:val="00695C83"/>
    <w:rsid w:val="00695E0D"/>
    <w:rsid w:val="006964CE"/>
    <w:rsid w:val="0069706C"/>
    <w:rsid w:val="00697750"/>
    <w:rsid w:val="006977F6"/>
    <w:rsid w:val="00697A13"/>
    <w:rsid w:val="00697A3A"/>
    <w:rsid w:val="00697D69"/>
    <w:rsid w:val="006A071F"/>
    <w:rsid w:val="006A0AD8"/>
    <w:rsid w:val="006A0E34"/>
    <w:rsid w:val="006A109C"/>
    <w:rsid w:val="006A140D"/>
    <w:rsid w:val="006A1D9C"/>
    <w:rsid w:val="006A2F0B"/>
    <w:rsid w:val="006A3A1C"/>
    <w:rsid w:val="006A3A46"/>
    <w:rsid w:val="006A574B"/>
    <w:rsid w:val="006A5807"/>
    <w:rsid w:val="006A6F1E"/>
    <w:rsid w:val="006A787D"/>
    <w:rsid w:val="006A7B1C"/>
    <w:rsid w:val="006B155E"/>
    <w:rsid w:val="006B3132"/>
    <w:rsid w:val="006B344A"/>
    <w:rsid w:val="006B4D4F"/>
    <w:rsid w:val="006B5118"/>
    <w:rsid w:val="006B6F44"/>
    <w:rsid w:val="006B7894"/>
    <w:rsid w:val="006B78D8"/>
    <w:rsid w:val="006B791E"/>
    <w:rsid w:val="006B7FF7"/>
    <w:rsid w:val="006C02D4"/>
    <w:rsid w:val="006C045E"/>
    <w:rsid w:val="006C113F"/>
    <w:rsid w:val="006C123E"/>
    <w:rsid w:val="006C1649"/>
    <w:rsid w:val="006C1714"/>
    <w:rsid w:val="006C1B5D"/>
    <w:rsid w:val="006C25BC"/>
    <w:rsid w:val="006C40B8"/>
    <w:rsid w:val="006C435E"/>
    <w:rsid w:val="006C46E7"/>
    <w:rsid w:val="006C48E4"/>
    <w:rsid w:val="006C4F14"/>
    <w:rsid w:val="006C56D4"/>
    <w:rsid w:val="006C6924"/>
    <w:rsid w:val="006C70CB"/>
    <w:rsid w:val="006C785B"/>
    <w:rsid w:val="006C7CA6"/>
    <w:rsid w:val="006C7E08"/>
    <w:rsid w:val="006D02AC"/>
    <w:rsid w:val="006D1923"/>
    <w:rsid w:val="006D1B9F"/>
    <w:rsid w:val="006D1BE2"/>
    <w:rsid w:val="006D1C4D"/>
    <w:rsid w:val="006D22F7"/>
    <w:rsid w:val="006D29E3"/>
    <w:rsid w:val="006D2F03"/>
    <w:rsid w:val="006D38D9"/>
    <w:rsid w:val="006D3D19"/>
    <w:rsid w:val="006D3E8A"/>
    <w:rsid w:val="006D4462"/>
    <w:rsid w:val="006D5470"/>
    <w:rsid w:val="006D551A"/>
    <w:rsid w:val="006D55DF"/>
    <w:rsid w:val="006D5AB7"/>
    <w:rsid w:val="006D61F6"/>
    <w:rsid w:val="006D64E2"/>
    <w:rsid w:val="006D6D8D"/>
    <w:rsid w:val="006D7525"/>
    <w:rsid w:val="006D774B"/>
    <w:rsid w:val="006E049F"/>
    <w:rsid w:val="006E0507"/>
    <w:rsid w:val="006E0594"/>
    <w:rsid w:val="006E07FD"/>
    <w:rsid w:val="006E0B4B"/>
    <w:rsid w:val="006E0F4C"/>
    <w:rsid w:val="006E15B3"/>
    <w:rsid w:val="006E279A"/>
    <w:rsid w:val="006E2ADF"/>
    <w:rsid w:val="006E2B19"/>
    <w:rsid w:val="006E313B"/>
    <w:rsid w:val="006E3258"/>
    <w:rsid w:val="006E3277"/>
    <w:rsid w:val="006E32A1"/>
    <w:rsid w:val="006E4EA1"/>
    <w:rsid w:val="006E502F"/>
    <w:rsid w:val="006E54EC"/>
    <w:rsid w:val="006E5D21"/>
    <w:rsid w:val="006E5E0F"/>
    <w:rsid w:val="006E6395"/>
    <w:rsid w:val="006E63F2"/>
    <w:rsid w:val="006E6518"/>
    <w:rsid w:val="006E6D7E"/>
    <w:rsid w:val="006E702A"/>
    <w:rsid w:val="006E7356"/>
    <w:rsid w:val="006E73CC"/>
    <w:rsid w:val="006F0003"/>
    <w:rsid w:val="006F049A"/>
    <w:rsid w:val="006F0537"/>
    <w:rsid w:val="006F07EA"/>
    <w:rsid w:val="006F12D8"/>
    <w:rsid w:val="006F150B"/>
    <w:rsid w:val="006F1EF7"/>
    <w:rsid w:val="006F2A2E"/>
    <w:rsid w:val="006F3A08"/>
    <w:rsid w:val="006F3F8E"/>
    <w:rsid w:val="006F4256"/>
    <w:rsid w:val="006F4DCF"/>
    <w:rsid w:val="006F5416"/>
    <w:rsid w:val="006F57AF"/>
    <w:rsid w:val="006F5D76"/>
    <w:rsid w:val="006F7137"/>
    <w:rsid w:val="006F7B40"/>
    <w:rsid w:val="00700BF3"/>
    <w:rsid w:val="0070253C"/>
    <w:rsid w:val="007028C4"/>
    <w:rsid w:val="00703AA4"/>
    <w:rsid w:val="00703C14"/>
    <w:rsid w:val="00703E54"/>
    <w:rsid w:val="0070548C"/>
    <w:rsid w:val="00705A85"/>
    <w:rsid w:val="00705C42"/>
    <w:rsid w:val="00705CCF"/>
    <w:rsid w:val="00706789"/>
    <w:rsid w:val="00706AD4"/>
    <w:rsid w:val="0070742B"/>
    <w:rsid w:val="007078E1"/>
    <w:rsid w:val="007140BE"/>
    <w:rsid w:val="007164A4"/>
    <w:rsid w:val="00716502"/>
    <w:rsid w:val="00716F56"/>
    <w:rsid w:val="00717F46"/>
    <w:rsid w:val="007211F5"/>
    <w:rsid w:val="0072209E"/>
    <w:rsid w:val="0072462E"/>
    <w:rsid w:val="0072483C"/>
    <w:rsid w:val="00725699"/>
    <w:rsid w:val="00725AB1"/>
    <w:rsid w:val="00725BB5"/>
    <w:rsid w:val="00725F62"/>
    <w:rsid w:val="00726AF9"/>
    <w:rsid w:val="00727C2C"/>
    <w:rsid w:val="00730047"/>
    <w:rsid w:val="00730183"/>
    <w:rsid w:val="00730959"/>
    <w:rsid w:val="00730AE8"/>
    <w:rsid w:val="00731B27"/>
    <w:rsid w:val="00731FBB"/>
    <w:rsid w:val="007327FE"/>
    <w:rsid w:val="0073328C"/>
    <w:rsid w:val="00733ACD"/>
    <w:rsid w:val="0073426E"/>
    <w:rsid w:val="007359FA"/>
    <w:rsid w:val="00736467"/>
    <w:rsid w:val="00736542"/>
    <w:rsid w:val="00737861"/>
    <w:rsid w:val="00737881"/>
    <w:rsid w:val="00737BFE"/>
    <w:rsid w:val="00737BFF"/>
    <w:rsid w:val="00740857"/>
    <w:rsid w:val="00741358"/>
    <w:rsid w:val="00741493"/>
    <w:rsid w:val="007417E5"/>
    <w:rsid w:val="00742298"/>
    <w:rsid w:val="00742C9A"/>
    <w:rsid w:val="007431D5"/>
    <w:rsid w:val="00743769"/>
    <w:rsid w:val="00743B43"/>
    <w:rsid w:val="00744640"/>
    <w:rsid w:val="00746E70"/>
    <w:rsid w:val="00750D9B"/>
    <w:rsid w:val="00752180"/>
    <w:rsid w:val="00752CE6"/>
    <w:rsid w:val="007530E2"/>
    <w:rsid w:val="0075333A"/>
    <w:rsid w:val="00753854"/>
    <w:rsid w:val="007539A9"/>
    <w:rsid w:val="007545D1"/>
    <w:rsid w:val="00755202"/>
    <w:rsid w:val="00755D3A"/>
    <w:rsid w:val="00756108"/>
    <w:rsid w:val="007565CF"/>
    <w:rsid w:val="00756665"/>
    <w:rsid w:val="00756F12"/>
    <w:rsid w:val="007578D3"/>
    <w:rsid w:val="00757927"/>
    <w:rsid w:val="0075793E"/>
    <w:rsid w:val="00757C8A"/>
    <w:rsid w:val="007609C6"/>
    <w:rsid w:val="007615EC"/>
    <w:rsid w:val="0076171D"/>
    <w:rsid w:val="0076175D"/>
    <w:rsid w:val="00761B7D"/>
    <w:rsid w:val="0076309B"/>
    <w:rsid w:val="00763145"/>
    <w:rsid w:val="0076320E"/>
    <w:rsid w:val="007638BC"/>
    <w:rsid w:val="00764326"/>
    <w:rsid w:val="00764C1B"/>
    <w:rsid w:val="00764F49"/>
    <w:rsid w:val="0076521E"/>
    <w:rsid w:val="00765856"/>
    <w:rsid w:val="007660BB"/>
    <w:rsid w:val="007661E9"/>
    <w:rsid w:val="007667B6"/>
    <w:rsid w:val="00766E66"/>
    <w:rsid w:val="0076714F"/>
    <w:rsid w:val="0076747E"/>
    <w:rsid w:val="00767523"/>
    <w:rsid w:val="00767EB8"/>
    <w:rsid w:val="00773731"/>
    <w:rsid w:val="00774213"/>
    <w:rsid w:val="00775132"/>
    <w:rsid w:val="0077533D"/>
    <w:rsid w:val="00775D00"/>
    <w:rsid w:val="00775DD3"/>
    <w:rsid w:val="00776169"/>
    <w:rsid w:val="00776527"/>
    <w:rsid w:val="00777DE0"/>
    <w:rsid w:val="0078078A"/>
    <w:rsid w:val="007809C2"/>
    <w:rsid w:val="00780EF1"/>
    <w:rsid w:val="00780F58"/>
    <w:rsid w:val="00781313"/>
    <w:rsid w:val="00781543"/>
    <w:rsid w:val="00781971"/>
    <w:rsid w:val="007822A7"/>
    <w:rsid w:val="007825CF"/>
    <w:rsid w:val="00783ABF"/>
    <w:rsid w:val="00784111"/>
    <w:rsid w:val="00784EA7"/>
    <w:rsid w:val="00786086"/>
    <w:rsid w:val="00786A92"/>
    <w:rsid w:val="00787E76"/>
    <w:rsid w:val="0079044F"/>
    <w:rsid w:val="00790764"/>
    <w:rsid w:val="00790CE1"/>
    <w:rsid w:val="00790F40"/>
    <w:rsid w:val="0079116F"/>
    <w:rsid w:val="00791CDB"/>
    <w:rsid w:val="0079254D"/>
    <w:rsid w:val="007925AD"/>
    <w:rsid w:val="00792798"/>
    <w:rsid w:val="00792912"/>
    <w:rsid w:val="00792D9D"/>
    <w:rsid w:val="00793462"/>
    <w:rsid w:val="00793731"/>
    <w:rsid w:val="00793BE9"/>
    <w:rsid w:val="00794071"/>
    <w:rsid w:val="0079432E"/>
    <w:rsid w:val="0079453C"/>
    <w:rsid w:val="0079466B"/>
    <w:rsid w:val="00794677"/>
    <w:rsid w:val="00795E5C"/>
    <w:rsid w:val="007963F4"/>
    <w:rsid w:val="0079704D"/>
    <w:rsid w:val="0079785C"/>
    <w:rsid w:val="00797B9E"/>
    <w:rsid w:val="007A00F0"/>
    <w:rsid w:val="007A123E"/>
    <w:rsid w:val="007A12B7"/>
    <w:rsid w:val="007A3120"/>
    <w:rsid w:val="007A3852"/>
    <w:rsid w:val="007A4559"/>
    <w:rsid w:val="007A4AC7"/>
    <w:rsid w:val="007A502A"/>
    <w:rsid w:val="007A5E39"/>
    <w:rsid w:val="007A64BE"/>
    <w:rsid w:val="007A6A37"/>
    <w:rsid w:val="007A71E5"/>
    <w:rsid w:val="007A7C30"/>
    <w:rsid w:val="007B1CC4"/>
    <w:rsid w:val="007B2325"/>
    <w:rsid w:val="007B352D"/>
    <w:rsid w:val="007B4B2D"/>
    <w:rsid w:val="007B5184"/>
    <w:rsid w:val="007B5262"/>
    <w:rsid w:val="007B5543"/>
    <w:rsid w:val="007B6689"/>
    <w:rsid w:val="007B763E"/>
    <w:rsid w:val="007B7947"/>
    <w:rsid w:val="007B7EF6"/>
    <w:rsid w:val="007C06B7"/>
    <w:rsid w:val="007C1197"/>
    <w:rsid w:val="007C1AB1"/>
    <w:rsid w:val="007C1CF4"/>
    <w:rsid w:val="007C1D85"/>
    <w:rsid w:val="007C2E04"/>
    <w:rsid w:val="007C3970"/>
    <w:rsid w:val="007C3D62"/>
    <w:rsid w:val="007C4476"/>
    <w:rsid w:val="007C5117"/>
    <w:rsid w:val="007C5318"/>
    <w:rsid w:val="007C5AD2"/>
    <w:rsid w:val="007C6E00"/>
    <w:rsid w:val="007C79C9"/>
    <w:rsid w:val="007D0F30"/>
    <w:rsid w:val="007D1EE0"/>
    <w:rsid w:val="007D21BE"/>
    <w:rsid w:val="007D40DF"/>
    <w:rsid w:val="007D61D5"/>
    <w:rsid w:val="007D654B"/>
    <w:rsid w:val="007D6964"/>
    <w:rsid w:val="007D747C"/>
    <w:rsid w:val="007E1DAD"/>
    <w:rsid w:val="007E2849"/>
    <w:rsid w:val="007E2CCE"/>
    <w:rsid w:val="007E33A1"/>
    <w:rsid w:val="007E3ADB"/>
    <w:rsid w:val="007E4968"/>
    <w:rsid w:val="007E579F"/>
    <w:rsid w:val="007E60A6"/>
    <w:rsid w:val="007E6C1D"/>
    <w:rsid w:val="007E722A"/>
    <w:rsid w:val="007E7DA8"/>
    <w:rsid w:val="007E7E61"/>
    <w:rsid w:val="007F00E7"/>
    <w:rsid w:val="007F0845"/>
    <w:rsid w:val="007F0B36"/>
    <w:rsid w:val="007F0C1F"/>
    <w:rsid w:val="007F0EEA"/>
    <w:rsid w:val="007F0F44"/>
    <w:rsid w:val="007F1328"/>
    <w:rsid w:val="007F2918"/>
    <w:rsid w:val="007F2B29"/>
    <w:rsid w:val="007F3792"/>
    <w:rsid w:val="007F43D7"/>
    <w:rsid w:val="007F5CDE"/>
    <w:rsid w:val="007F66C3"/>
    <w:rsid w:val="007F7251"/>
    <w:rsid w:val="007F773C"/>
    <w:rsid w:val="007F7756"/>
    <w:rsid w:val="00800D34"/>
    <w:rsid w:val="008018C6"/>
    <w:rsid w:val="008026EB"/>
    <w:rsid w:val="00802E27"/>
    <w:rsid w:val="00803022"/>
    <w:rsid w:val="008033E5"/>
    <w:rsid w:val="00803E0A"/>
    <w:rsid w:val="008046E3"/>
    <w:rsid w:val="00805BAD"/>
    <w:rsid w:val="00806055"/>
    <w:rsid w:val="00806BB0"/>
    <w:rsid w:val="00807051"/>
    <w:rsid w:val="00807739"/>
    <w:rsid w:val="00807C82"/>
    <w:rsid w:val="008111F7"/>
    <w:rsid w:val="00811FCF"/>
    <w:rsid w:val="00812A2E"/>
    <w:rsid w:val="00813686"/>
    <w:rsid w:val="00815282"/>
    <w:rsid w:val="00815862"/>
    <w:rsid w:val="00816905"/>
    <w:rsid w:val="00820D0D"/>
    <w:rsid w:val="00820E21"/>
    <w:rsid w:val="00821CC7"/>
    <w:rsid w:val="00821FF6"/>
    <w:rsid w:val="00822C4D"/>
    <w:rsid w:val="008237DA"/>
    <w:rsid w:val="00823EFB"/>
    <w:rsid w:val="00824828"/>
    <w:rsid w:val="008259F4"/>
    <w:rsid w:val="00825C0B"/>
    <w:rsid w:val="00825C4D"/>
    <w:rsid w:val="00825D36"/>
    <w:rsid w:val="00825E53"/>
    <w:rsid w:val="008262CE"/>
    <w:rsid w:val="0082649F"/>
    <w:rsid w:val="00830C39"/>
    <w:rsid w:val="0083143E"/>
    <w:rsid w:val="008319F3"/>
    <w:rsid w:val="00831CDE"/>
    <w:rsid w:val="0083216D"/>
    <w:rsid w:val="0083420B"/>
    <w:rsid w:val="00834304"/>
    <w:rsid w:val="00834FAA"/>
    <w:rsid w:val="0083509A"/>
    <w:rsid w:val="00835C56"/>
    <w:rsid w:val="00836086"/>
    <w:rsid w:val="00836E96"/>
    <w:rsid w:val="0083763F"/>
    <w:rsid w:val="00837655"/>
    <w:rsid w:val="008378ED"/>
    <w:rsid w:val="00837B49"/>
    <w:rsid w:val="00840090"/>
    <w:rsid w:val="00840579"/>
    <w:rsid w:val="00842887"/>
    <w:rsid w:val="00842F19"/>
    <w:rsid w:val="00843694"/>
    <w:rsid w:val="008439AD"/>
    <w:rsid w:val="00843E28"/>
    <w:rsid w:val="00843E2C"/>
    <w:rsid w:val="008440A3"/>
    <w:rsid w:val="00844AFF"/>
    <w:rsid w:val="00844D3B"/>
    <w:rsid w:val="00844F6F"/>
    <w:rsid w:val="00845562"/>
    <w:rsid w:val="00846BFD"/>
    <w:rsid w:val="0084708F"/>
    <w:rsid w:val="00847787"/>
    <w:rsid w:val="008477C8"/>
    <w:rsid w:val="008479D6"/>
    <w:rsid w:val="0085114D"/>
    <w:rsid w:val="00852217"/>
    <w:rsid w:val="00852B7E"/>
    <w:rsid w:val="00852E72"/>
    <w:rsid w:val="008544AB"/>
    <w:rsid w:val="00855408"/>
    <w:rsid w:val="00855D26"/>
    <w:rsid w:val="00855FE3"/>
    <w:rsid w:val="00856AFE"/>
    <w:rsid w:val="00856D65"/>
    <w:rsid w:val="00856E24"/>
    <w:rsid w:val="008576E9"/>
    <w:rsid w:val="00857B9B"/>
    <w:rsid w:val="008614E3"/>
    <w:rsid w:val="00861AE8"/>
    <w:rsid w:val="00861B41"/>
    <w:rsid w:val="00861F55"/>
    <w:rsid w:val="00862B65"/>
    <w:rsid w:val="00862E24"/>
    <w:rsid w:val="00863152"/>
    <w:rsid w:val="00863434"/>
    <w:rsid w:val="00863B35"/>
    <w:rsid w:val="00863C3F"/>
    <w:rsid w:val="00864945"/>
    <w:rsid w:val="00864BCD"/>
    <w:rsid w:val="00864CB6"/>
    <w:rsid w:val="00865E4C"/>
    <w:rsid w:val="00866489"/>
    <w:rsid w:val="008664AD"/>
    <w:rsid w:val="00866B8E"/>
    <w:rsid w:val="00867384"/>
    <w:rsid w:val="00867861"/>
    <w:rsid w:val="008701E4"/>
    <w:rsid w:val="0087080F"/>
    <w:rsid w:val="00870A7F"/>
    <w:rsid w:val="008716FA"/>
    <w:rsid w:val="008737D3"/>
    <w:rsid w:val="00874235"/>
    <w:rsid w:val="008749E0"/>
    <w:rsid w:val="00874D59"/>
    <w:rsid w:val="00875626"/>
    <w:rsid w:val="00875A32"/>
    <w:rsid w:val="00876086"/>
    <w:rsid w:val="0087647D"/>
    <w:rsid w:val="00876690"/>
    <w:rsid w:val="00876733"/>
    <w:rsid w:val="0088001A"/>
    <w:rsid w:val="0088047D"/>
    <w:rsid w:val="00881011"/>
    <w:rsid w:val="0088120C"/>
    <w:rsid w:val="008814AF"/>
    <w:rsid w:val="008819D2"/>
    <w:rsid w:val="00881DC8"/>
    <w:rsid w:val="0088296A"/>
    <w:rsid w:val="00882C57"/>
    <w:rsid w:val="00883D79"/>
    <w:rsid w:val="00884DC5"/>
    <w:rsid w:val="0088652E"/>
    <w:rsid w:val="00886C33"/>
    <w:rsid w:val="00886FB3"/>
    <w:rsid w:val="008873D4"/>
    <w:rsid w:val="008874BD"/>
    <w:rsid w:val="00887574"/>
    <w:rsid w:val="00890637"/>
    <w:rsid w:val="00890C63"/>
    <w:rsid w:val="0089106C"/>
    <w:rsid w:val="008919C0"/>
    <w:rsid w:val="00891D6A"/>
    <w:rsid w:val="00892551"/>
    <w:rsid w:val="00892900"/>
    <w:rsid w:val="008938B0"/>
    <w:rsid w:val="00893E85"/>
    <w:rsid w:val="00894031"/>
    <w:rsid w:val="0089426A"/>
    <w:rsid w:val="008948D7"/>
    <w:rsid w:val="00894AE9"/>
    <w:rsid w:val="008951EA"/>
    <w:rsid w:val="00895B48"/>
    <w:rsid w:val="0089618C"/>
    <w:rsid w:val="00897362"/>
    <w:rsid w:val="00897878"/>
    <w:rsid w:val="00897D09"/>
    <w:rsid w:val="00897F49"/>
    <w:rsid w:val="00897FCC"/>
    <w:rsid w:val="008A2232"/>
    <w:rsid w:val="008A233B"/>
    <w:rsid w:val="008A2DFF"/>
    <w:rsid w:val="008A41C7"/>
    <w:rsid w:val="008A509B"/>
    <w:rsid w:val="008A657D"/>
    <w:rsid w:val="008A662C"/>
    <w:rsid w:val="008A6B0C"/>
    <w:rsid w:val="008A75BC"/>
    <w:rsid w:val="008A75BD"/>
    <w:rsid w:val="008B0AD9"/>
    <w:rsid w:val="008B1D5C"/>
    <w:rsid w:val="008B2117"/>
    <w:rsid w:val="008B2876"/>
    <w:rsid w:val="008B2D7F"/>
    <w:rsid w:val="008B2F9E"/>
    <w:rsid w:val="008B3029"/>
    <w:rsid w:val="008B3E2E"/>
    <w:rsid w:val="008B4624"/>
    <w:rsid w:val="008B4825"/>
    <w:rsid w:val="008B4C2F"/>
    <w:rsid w:val="008B57CF"/>
    <w:rsid w:val="008B6CBD"/>
    <w:rsid w:val="008B7B1C"/>
    <w:rsid w:val="008B7C02"/>
    <w:rsid w:val="008B7D2B"/>
    <w:rsid w:val="008C0049"/>
    <w:rsid w:val="008C069D"/>
    <w:rsid w:val="008C0D63"/>
    <w:rsid w:val="008C0E88"/>
    <w:rsid w:val="008C177C"/>
    <w:rsid w:val="008C26D9"/>
    <w:rsid w:val="008C3787"/>
    <w:rsid w:val="008C39DE"/>
    <w:rsid w:val="008C4073"/>
    <w:rsid w:val="008C4FB2"/>
    <w:rsid w:val="008C5D60"/>
    <w:rsid w:val="008C5E8B"/>
    <w:rsid w:val="008C61BA"/>
    <w:rsid w:val="008C6B28"/>
    <w:rsid w:val="008C70B1"/>
    <w:rsid w:val="008D130E"/>
    <w:rsid w:val="008D14F5"/>
    <w:rsid w:val="008D1E6A"/>
    <w:rsid w:val="008D204F"/>
    <w:rsid w:val="008D2A16"/>
    <w:rsid w:val="008D4C38"/>
    <w:rsid w:val="008D6345"/>
    <w:rsid w:val="008D6C23"/>
    <w:rsid w:val="008D7892"/>
    <w:rsid w:val="008D7F6C"/>
    <w:rsid w:val="008E02AB"/>
    <w:rsid w:val="008E0C87"/>
    <w:rsid w:val="008E0E9C"/>
    <w:rsid w:val="008E2325"/>
    <w:rsid w:val="008E2C57"/>
    <w:rsid w:val="008E31FF"/>
    <w:rsid w:val="008E40AD"/>
    <w:rsid w:val="008E4359"/>
    <w:rsid w:val="008E44D0"/>
    <w:rsid w:val="008E469F"/>
    <w:rsid w:val="008E64DD"/>
    <w:rsid w:val="008E6D38"/>
    <w:rsid w:val="008E6F06"/>
    <w:rsid w:val="008E7B8B"/>
    <w:rsid w:val="008F029B"/>
    <w:rsid w:val="008F15A4"/>
    <w:rsid w:val="008F1CAE"/>
    <w:rsid w:val="008F3748"/>
    <w:rsid w:val="008F3929"/>
    <w:rsid w:val="008F3F37"/>
    <w:rsid w:val="008F3FC9"/>
    <w:rsid w:val="008F41A4"/>
    <w:rsid w:val="008F4B9C"/>
    <w:rsid w:val="008F4DF0"/>
    <w:rsid w:val="008F560C"/>
    <w:rsid w:val="008F585B"/>
    <w:rsid w:val="008F706B"/>
    <w:rsid w:val="008F70A6"/>
    <w:rsid w:val="008F711D"/>
    <w:rsid w:val="008F7BB3"/>
    <w:rsid w:val="009003A8"/>
    <w:rsid w:val="00900FAC"/>
    <w:rsid w:val="00901010"/>
    <w:rsid w:val="00901750"/>
    <w:rsid w:val="00902500"/>
    <w:rsid w:val="00902A0A"/>
    <w:rsid w:val="00902EFF"/>
    <w:rsid w:val="00904A3E"/>
    <w:rsid w:val="00905358"/>
    <w:rsid w:val="00905623"/>
    <w:rsid w:val="00906401"/>
    <w:rsid w:val="00907168"/>
    <w:rsid w:val="009077D9"/>
    <w:rsid w:val="009102D6"/>
    <w:rsid w:val="0091049C"/>
    <w:rsid w:val="0091155E"/>
    <w:rsid w:val="009119E1"/>
    <w:rsid w:val="009123B8"/>
    <w:rsid w:val="00912A92"/>
    <w:rsid w:val="009137FD"/>
    <w:rsid w:val="0091489A"/>
    <w:rsid w:val="009153A6"/>
    <w:rsid w:val="00916363"/>
    <w:rsid w:val="0091701C"/>
    <w:rsid w:val="0091728D"/>
    <w:rsid w:val="0092016E"/>
    <w:rsid w:val="009204F9"/>
    <w:rsid w:val="00920B74"/>
    <w:rsid w:val="0092171C"/>
    <w:rsid w:val="0092180B"/>
    <w:rsid w:val="00921E0E"/>
    <w:rsid w:val="00921F14"/>
    <w:rsid w:val="0092269D"/>
    <w:rsid w:val="00924243"/>
    <w:rsid w:val="00924AC8"/>
    <w:rsid w:val="0092597A"/>
    <w:rsid w:val="00925B09"/>
    <w:rsid w:val="00925D0A"/>
    <w:rsid w:val="009260ED"/>
    <w:rsid w:val="00927074"/>
    <w:rsid w:val="00927F1E"/>
    <w:rsid w:val="0093045A"/>
    <w:rsid w:val="00931216"/>
    <w:rsid w:val="00931360"/>
    <w:rsid w:val="00931E2D"/>
    <w:rsid w:val="00932443"/>
    <w:rsid w:val="00932CF9"/>
    <w:rsid w:val="009334D3"/>
    <w:rsid w:val="00933A78"/>
    <w:rsid w:val="009340FD"/>
    <w:rsid w:val="00934CB7"/>
    <w:rsid w:val="00937332"/>
    <w:rsid w:val="00937AE2"/>
    <w:rsid w:val="00940058"/>
    <w:rsid w:val="00940432"/>
    <w:rsid w:val="009411BF"/>
    <w:rsid w:val="009413C3"/>
    <w:rsid w:val="00941617"/>
    <w:rsid w:val="009417D9"/>
    <w:rsid w:val="0094427A"/>
    <w:rsid w:val="00944331"/>
    <w:rsid w:val="0094591D"/>
    <w:rsid w:val="00946C2B"/>
    <w:rsid w:val="0095105D"/>
    <w:rsid w:val="0095179C"/>
    <w:rsid w:val="00953BC7"/>
    <w:rsid w:val="00955ED8"/>
    <w:rsid w:val="0095613B"/>
    <w:rsid w:val="00956B96"/>
    <w:rsid w:val="00956FCF"/>
    <w:rsid w:val="00957206"/>
    <w:rsid w:val="00960451"/>
    <w:rsid w:val="00960A67"/>
    <w:rsid w:val="00961B51"/>
    <w:rsid w:val="00961D85"/>
    <w:rsid w:val="00962D52"/>
    <w:rsid w:val="00962F10"/>
    <w:rsid w:val="00963599"/>
    <w:rsid w:val="00964897"/>
    <w:rsid w:val="00964BB3"/>
    <w:rsid w:val="0096524B"/>
    <w:rsid w:val="00965E09"/>
    <w:rsid w:val="009666A6"/>
    <w:rsid w:val="00967556"/>
    <w:rsid w:val="00967CB9"/>
    <w:rsid w:val="0097126A"/>
    <w:rsid w:val="009716B7"/>
    <w:rsid w:val="00971D2C"/>
    <w:rsid w:val="009728F8"/>
    <w:rsid w:val="00973AB4"/>
    <w:rsid w:val="00973ED6"/>
    <w:rsid w:val="009746BF"/>
    <w:rsid w:val="00974923"/>
    <w:rsid w:val="00974C26"/>
    <w:rsid w:val="00975EB3"/>
    <w:rsid w:val="00976DD8"/>
    <w:rsid w:val="00976EF8"/>
    <w:rsid w:val="00980A74"/>
    <w:rsid w:val="00980C44"/>
    <w:rsid w:val="00980D3D"/>
    <w:rsid w:val="00980E0D"/>
    <w:rsid w:val="009821A9"/>
    <w:rsid w:val="00982385"/>
    <w:rsid w:val="00983686"/>
    <w:rsid w:val="00983847"/>
    <w:rsid w:val="00983F17"/>
    <w:rsid w:val="00984B93"/>
    <w:rsid w:val="00985CFA"/>
    <w:rsid w:val="00986217"/>
    <w:rsid w:val="00986E0F"/>
    <w:rsid w:val="00987317"/>
    <w:rsid w:val="009873D7"/>
    <w:rsid w:val="00987A30"/>
    <w:rsid w:val="00987CB8"/>
    <w:rsid w:val="009900AC"/>
    <w:rsid w:val="0099086B"/>
    <w:rsid w:val="00990AD8"/>
    <w:rsid w:val="00990FD3"/>
    <w:rsid w:val="009919D2"/>
    <w:rsid w:val="00992CF3"/>
    <w:rsid w:val="00994128"/>
    <w:rsid w:val="00994385"/>
    <w:rsid w:val="009943A7"/>
    <w:rsid w:val="0099493D"/>
    <w:rsid w:val="00994C26"/>
    <w:rsid w:val="009968D6"/>
    <w:rsid w:val="00996D65"/>
    <w:rsid w:val="0099746B"/>
    <w:rsid w:val="009A08D1"/>
    <w:rsid w:val="009A0D37"/>
    <w:rsid w:val="009A0F7E"/>
    <w:rsid w:val="009A1CAB"/>
    <w:rsid w:val="009A1F93"/>
    <w:rsid w:val="009A2885"/>
    <w:rsid w:val="009A33AF"/>
    <w:rsid w:val="009A3B3E"/>
    <w:rsid w:val="009A60D1"/>
    <w:rsid w:val="009A6A3A"/>
    <w:rsid w:val="009A72FB"/>
    <w:rsid w:val="009A7A3A"/>
    <w:rsid w:val="009B0ADC"/>
    <w:rsid w:val="009B3A89"/>
    <w:rsid w:val="009B431C"/>
    <w:rsid w:val="009B5030"/>
    <w:rsid w:val="009B545D"/>
    <w:rsid w:val="009B54FC"/>
    <w:rsid w:val="009B63BB"/>
    <w:rsid w:val="009B682E"/>
    <w:rsid w:val="009B6FD3"/>
    <w:rsid w:val="009B770E"/>
    <w:rsid w:val="009C0C6B"/>
    <w:rsid w:val="009C161E"/>
    <w:rsid w:val="009C1750"/>
    <w:rsid w:val="009C1924"/>
    <w:rsid w:val="009C1BF6"/>
    <w:rsid w:val="009C2E29"/>
    <w:rsid w:val="009C43F4"/>
    <w:rsid w:val="009C4714"/>
    <w:rsid w:val="009C5365"/>
    <w:rsid w:val="009C554B"/>
    <w:rsid w:val="009C58D3"/>
    <w:rsid w:val="009C719E"/>
    <w:rsid w:val="009C75AC"/>
    <w:rsid w:val="009D13FA"/>
    <w:rsid w:val="009D20A4"/>
    <w:rsid w:val="009D29B8"/>
    <w:rsid w:val="009D2E6F"/>
    <w:rsid w:val="009D3312"/>
    <w:rsid w:val="009D384B"/>
    <w:rsid w:val="009D39B2"/>
    <w:rsid w:val="009D3ACD"/>
    <w:rsid w:val="009D4635"/>
    <w:rsid w:val="009D465D"/>
    <w:rsid w:val="009D49E6"/>
    <w:rsid w:val="009D4B0B"/>
    <w:rsid w:val="009D5E94"/>
    <w:rsid w:val="009D61BD"/>
    <w:rsid w:val="009D6447"/>
    <w:rsid w:val="009D6745"/>
    <w:rsid w:val="009D76C5"/>
    <w:rsid w:val="009E0C36"/>
    <w:rsid w:val="009E0D38"/>
    <w:rsid w:val="009E157B"/>
    <w:rsid w:val="009E1E30"/>
    <w:rsid w:val="009E22C3"/>
    <w:rsid w:val="009E28B0"/>
    <w:rsid w:val="009E2B1F"/>
    <w:rsid w:val="009E34DE"/>
    <w:rsid w:val="009E3798"/>
    <w:rsid w:val="009E4708"/>
    <w:rsid w:val="009E47D2"/>
    <w:rsid w:val="009E4D9A"/>
    <w:rsid w:val="009E4F4B"/>
    <w:rsid w:val="009E5273"/>
    <w:rsid w:val="009E5353"/>
    <w:rsid w:val="009E5B0F"/>
    <w:rsid w:val="009E5DDB"/>
    <w:rsid w:val="009E6027"/>
    <w:rsid w:val="009E685E"/>
    <w:rsid w:val="009E7EBC"/>
    <w:rsid w:val="009F0181"/>
    <w:rsid w:val="009F089A"/>
    <w:rsid w:val="009F0BC4"/>
    <w:rsid w:val="009F0F9B"/>
    <w:rsid w:val="009F2DDE"/>
    <w:rsid w:val="009F420E"/>
    <w:rsid w:val="009F4311"/>
    <w:rsid w:val="009F4A16"/>
    <w:rsid w:val="009F4CA7"/>
    <w:rsid w:val="009F4FF3"/>
    <w:rsid w:val="009F4FF9"/>
    <w:rsid w:val="009F58DA"/>
    <w:rsid w:val="009F5902"/>
    <w:rsid w:val="009F5CFB"/>
    <w:rsid w:val="009F5F1A"/>
    <w:rsid w:val="009F7060"/>
    <w:rsid w:val="009F73CF"/>
    <w:rsid w:val="009F77E6"/>
    <w:rsid w:val="00A0029C"/>
    <w:rsid w:val="00A007BE"/>
    <w:rsid w:val="00A01694"/>
    <w:rsid w:val="00A019D7"/>
    <w:rsid w:val="00A0215E"/>
    <w:rsid w:val="00A0237F"/>
    <w:rsid w:val="00A02C6B"/>
    <w:rsid w:val="00A032E0"/>
    <w:rsid w:val="00A037C7"/>
    <w:rsid w:val="00A03F6D"/>
    <w:rsid w:val="00A04FF2"/>
    <w:rsid w:val="00A066F8"/>
    <w:rsid w:val="00A06ACB"/>
    <w:rsid w:val="00A07DDE"/>
    <w:rsid w:val="00A10300"/>
    <w:rsid w:val="00A10D66"/>
    <w:rsid w:val="00A11293"/>
    <w:rsid w:val="00A1213F"/>
    <w:rsid w:val="00A12895"/>
    <w:rsid w:val="00A128EE"/>
    <w:rsid w:val="00A13266"/>
    <w:rsid w:val="00A137DA"/>
    <w:rsid w:val="00A13EE0"/>
    <w:rsid w:val="00A14114"/>
    <w:rsid w:val="00A153D6"/>
    <w:rsid w:val="00A16131"/>
    <w:rsid w:val="00A16413"/>
    <w:rsid w:val="00A166DA"/>
    <w:rsid w:val="00A16AA6"/>
    <w:rsid w:val="00A16B2D"/>
    <w:rsid w:val="00A17956"/>
    <w:rsid w:val="00A20649"/>
    <w:rsid w:val="00A216A0"/>
    <w:rsid w:val="00A21E7D"/>
    <w:rsid w:val="00A2281F"/>
    <w:rsid w:val="00A22821"/>
    <w:rsid w:val="00A22ADD"/>
    <w:rsid w:val="00A22B84"/>
    <w:rsid w:val="00A23943"/>
    <w:rsid w:val="00A23E43"/>
    <w:rsid w:val="00A23EB2"/>
    <w:rsid w:val="00A23EBA"/>
    <w:rsid w:val="00A23EC6"/>
    <w:rsid w:val="00A2415A"/>
    <w:rsid w:val="00A241ED"/>
    <w:rsid w:val="00A2440B"/>
    <w:rsid w:val="00A24565"/>
    <w:rsid w:val="00A253BB"/>
    <w:rsid w:val="00A257A1"/>
    <w:rsid w:val="00A25C87"/>
    <w:rsid w:val="00A26719"/>
    <w:rsid w:val="00A26CAF"/>
    <w:rsid w:val="00A272D1"/>
    <w:rsid w:val="00A278D8"/>
    <w:rsid w:val="00A302E6"/>
    <w:rsid w:val="00A303E5"/>
    <w:rsid w:val="00A30F65"/>
    <w:rsid w:val="00A315CE"/>
    <w:rsid w:val="00A31802"/>
    <w:rsid w:val="00A32242"/>
    <w:rsid w:val="00A32746"/>
    <w:rsid w:val="00A32AB8"/>
    <w:rsid w:val="00A33477"/>
    <w:rsid w:val="00A35754"/>
    <w:rsid w:val="00A3601F"/>
    <w:rsid w:val="00A3783A"/>
    <w:rsid w:val="00A418BC"/>
    <w:rsid w:val="00A43B73"/>
    <w:rsid w:val="00A44A95"/>
    <w:rsid w:val="00A450EA"/>
    <w:rsid w:val="00A46DE0"/>
    <w:rsid w:val="00A47483"/>
    <w:rsid w:val="00A47CC9"/>
    <w:rsid w:val="00A50557"/>
    <w:rsid w:val="00A50BC8"/>
    <w:rsid w:val="00A50D73"/>
    <w:rsid w:val="00A50E7E"/>
    <w:rsid w:val="00A50F93"/>
    <w:rsid w:val="00A51641"/>
    <w:rsid w:val="00A526A8"/>
    <w:rsid w:val="00A52CAD"/>
    <w:rsid w:val="00A53FC7"/>
    <w:rsid w:val="00A54049"/>
    <w:rsid w:val="00A549B5"/>
    <w:rsid w:val="00A55AD2"/>
    <w:rsid w:val="00A61F79"/>
    <w:rsid w:val="00A62CE1"/>
    <w:rsid w:val="00A6312A"/>
    <w:rsid w:val="00A6321C"/>
    <w:rsid w:val="00A63BBF"/>
    <w:rsid w:val="00A63BD8"/>
    <w:rsid w:val="00A63DBF"/>
    <w:rsid w:val="00A63F9F"/>
    <w:rsid w:val="00A64358"/>
    <w:rsid w:val="00A651B7"/>
    <w:rsid w:val="00A65763"/>
    <w:rsid w:val="00A659A0"/>
    <w:rsid w:val="00A65D20"/>
    <w:rsid w:val="00A65D75"/>
    <w:rsid w:val="00A67010"/>
    <w:rsid w:val="00A6741E"/>
    <w:rsid w:val="00A675A2"/>
    <w:rsid w:val="00A675CE"/>
    <w:rsid w:val="00A67C12"/>
    <w:rsid w:val="00A70867"/>
    <w:rsid w:val="00A7163A"/>
    <w:rsid w:val="00A73264"/>
    <w:rsid w:val="00A74466"/>
    <w:rsid w:val="00A74F9F"/>
    <w:rsid w:val="00A75E40"/>
    <w:rsid w:val="00A760DA"/>
    <w:rsid w:val="00A76773"/>
    <w:rsid w:val="00A77D1D"/>
    <w:rsid w:val="00A8049F"/>
    <w:rsid w:val="00A8140B"/>
    <w:rsid w:val="00A81533"/>
    <w:rsid w:val="00A81553"/>
    <w:rsid w:val="00A81F47"/>
    <w:rsid w:val="00A82704"/>
    <w:rsid w:val="00A8381E"/>
    <w:rsid w:val="00A83D70"/>
    <w:rsid w:val="00A8427E"/>
    <w:rsid w:val="00A84CFC"/>
    <w:rsid w:val="00A853C0"/>
    <w:rsid w:val="00A8566E"/>
    <w:rsid w:val="00A857C0"/>
    <w:rsid w:val="00A85952"/>
    <w:rsid w:val="00A86EE0"/>
    <w:rsid w:val="00A87415"/>
    <w:rsid w:val="00A87568"/>
    <w:rsid w:val="00A87643"/>
    <w:rsid w:val="00A90149"/>
    <w:rsid w:val="00A905FD"/>
    <w:rsid w:val="00A912FB"/>
    <w:rsid w:val="00A918A5"/>
    <w:rsid w:val="00A9246D"/>
    <w:rsid w:val="00A93330"/>
    <w:rsid w:val="00A93E6D"/>
    <w:rsid w:val="00A93ECC"/>
    <w:rsid w:val="00A9454D"/>
    <w:rsid w:val="00A95388"/>
    <w:rsid w:val="00A970E0"/>
    <w:rsid w:val="00AA0BD9"/>
    <w:rsid w:val="00AA2850"/>
    <w:rsid w:val="00AA2996"/>
    <w:rsid w:val="00AA2A4B"/>
    <w:rsid w:val="00AA3CCD"/>
    <w:rsid w:val="00AA4283"/>
    <w:rsid w:val="00AA52BF"/>
    <w:rsid w:val="00AA559A"/>
    <w:rsid w:val="00AA5630"/>
    <w:rsid w:val="00AA6078"/>
    <w:rsid w:val="00AA765A"/>
    <w:rsid w:val="00AB070A"/>
    <w:rsid w:val="00AB0787"/>
    <w:rsid w:val="00AB0BD2"/>
    <w:rsid w:val="00AB1A99"/>
    <w:rsid w:val="00AB1C66"/>
    <w:rsid w:val="00AB2AF1"/>
    <w:rsid w:val="00AB3BDE"/>
    <w:rsid w:val="00AB3F54"/>
    <w:rsid w:val="00AB5E95"/>
    <w:rsid w:val="00AB6565"/>
    <w:rsid w:val="00AB73B3"/>
    <w:rsid w:val="00AB775E"/>
    <w:rsid w:val="00AB7BDE"/>
    <w:rsid w:val="00AB7E90"/>
    <w:rsid w:val="00AC0E45"/>
    <w:rsid w:val="00AC1AA3"/>
    <w:rsid w:val="00AC2657"/>
    <w:rsid w:val="00AC39E7"/>
    <w:rsid w:val="00AC4010"/>
    <w:rsid w:val="00AC4B87"/>
    <w:rsid w:val="00AC769E"/>
    <w:rsid w:val="00AC7933"/>
    <w:rsid w:val="00AC7DE1"/>
    <w:rsid w:val="00AD15F3"/>
    <w:rsid w:val="00AD19D1"/>
    <w:rsid w:val="00AD306C"/>
    <w:rsid w:val="00AD362B"/>
    <w:rsid w:val="00AD3C1C"/>
    <w:rsid w:val="00AD425D"/>
    <w:rsid w:val="00AD43A0"/>
    <w:rsid w:val="00AD478A"/>
    <w:rsid w:val="00AD4794"/>
    <w:rsid w:val="00AD479C"/>
    <w:rsid w:val="00AD4BEB"/>
    <w:rsid w:val="00AD4D36"/>
    <w:rsid w:val="00AD53D8"/>
    <w:rsid w:val="00AD5482"/>
    <w:rsid w:val="00AD68AD"/>
    <w:rsid w:val="00AD6B02"/>
    <w:rsid w:val="00AD6F93"/>
    <w:rsid w:val="00AD7CDF"/>
    <w:rsid w:val="00AE09B3"/>
    <w:rsid w:val="00AE134E"/>
    <w:rsid w:val="00AE13E3"/>
    <w:rsid w:val="00AE1A83"/>
    <w:rsid w:val="00AE2487"/>
    <w:rsid w:val="00AE37DE"/>
    <w:rsid w:val="00AE39B0"/>
    <w:rsid w:val="00AE6DBA"/>
    <w:rsid w:val="00AF03D1"/>
    <w:rsid w:val="00AF0C36"/>
    <w:rsid w:val="00AF332B"/>
    <w:rsid w:val="00AF50E3"/>
    <w:rsid w:val="00AF52FD"/>
    <w:rsid w:val="00AF5EA5"/>
    <w:rsid w:val="00AF699B"/>
    <w:rsid w:val="00AF7377"/>
    <w:rsid w:val="00AF7511"/>
    <w:rsid w:val="00AF7A65"/>
    <w:rsid w:val="00B00913"/>
    <w:rsid w:val="00B01436"/>
    <w:rsid w:val="00B01593"/>
    <w:rsid w:val="00B049C2"/>
    <w:rsid w:val="00B04AE7"/>
    <w:rsid w:val="00B05EF3"/>
    <w:rsid w:val="00B10397"/>
    <w:rsid w:val="00B10827"/>
    <w:rsid w:val="00B10A4D"/>
    <w:rsid w:val="00B114AD"/>
    <w:rsid w:val="00B1170B"/>
    <w:rsid w:val="00B11E54"/>
    <w:rsid w:val="00B130C2"/>
    <w:rsid w:val="00B13743"/>
    <w:rsid w:val="00B1434A"/>
    <w:rsid w:val="00B1556B"/>
    <w:rsid w:val="00B159AB"/>
    <w:rsid w:val="00B166F3"/>
    <w:rsid w:val="00B16C12"/>
    <w:rsid w:val="00B17124"/>
    <w:rsid w:val="00B17B4A"/>
    <w:rsid w:val="00B17C70"/>
    <w:rsid w:val="00B17E71"/>
    <w:rsid w:val="00B17FDE"/>
    <w:rsid w:val="00B202AE"/>
    <w:rsid w:val="00B206E0"/>
    <w:rsid w:val="00B20843"/>
    <w:rsid w:val="00B224C2"/>
    <w:rsid w:val="00B22645"/>
    <w:rsid w:val="00B22B13"/>
    <w:rsid w:val="00B2346F"/>
    <w:rsid w:val="00B2379C"/>
    <w:rsid w:val="00B2426E"/>
    <w:rsid w:val="00B2488B"/>
    <w:rsid w:val="00B254E9"/>
    <w:rsid w:val="00B25606"/>
    <w:rsid w:val="00B25709"/>
    <w:rsid w:val="00B25740"/>
    <w:rsid w:val="00B25AE7"/>
    <w:rsid w:val="00B2687D"/>
    <w:rsid w:val="00B26D77"/>
    <w:rsid w:val="00B270AD"/>
    <w:rsid w:val="00B2747E"/>
    <w:rsid w:val="00B277E5"/>
    <w:rsid w:val="00B30560"/>
    <w:rsid w:val="00B305E0"/>
    <w:rsid w:val="00B30BF2"/>
    <w:rsid w:val="00B30D77"/>
    <w:rsid w:val="00B30FF3"/>
    <w:rsid w:val="00B319BF"/>
    <w:rsid w:val="00B32123"/>
    <w:rsid w:val="00B322B8"/>
    <w:rsid w:val="00B32316"/>
    <w:rsid w:val="00B324B0"/>
    <w:rsid w:val="00B32DDB"/>
    <w:rsid w:val="00B34138"/>
    <w:rsid w:val="00B34528"/>
    <w:rsid w:val="00B35603"/>
    <w:rsid w:val="00B35EBA"/>
    <w:rsid w:val="00B375FB"/>
    <w:rsid w:val="00B37E7E"/>
    <w:rsid w:val="00B402FC"/>
    <w:rsid w:val="00B403D2"/>
    <w:rsid w:val="00B404FB"/>
    <w:rsid w:val="00B40548"/>
    <w:rsid w:val="00B414E6"/>
    <w:rsid w:val="00B4167E"/>
    <w:rsid w:val="00B41B8A"/>
    <w:rsid w:val="00B41EDF"/>
    <w:rsid w:val="00B436C0"/>
    <w:rsid w:val="00B44087"/>
    <w:rsid w:val="00B46604"/>
    <w:rsid w:val="00B469F5"/>
    <w:rsid w:val="00B46FAF"/>
    <w:rsid w:val="00B500F5"/>
    <w:rsid w:val="00B50212"/>
    <w:rsid w:val="00B50DD3"/>
    <w:rsid w:val="00B530CD"/>
    <w:rsid w:val="00B5462B"/>
    <w:rsid w:val="00B546C2"/>
    <w:rsid w:val="00B55B2B"/>
    <w:rsid w:val="00B55F5E"/>
    <w:rsid w:val="00B5752E"/>
    <w:rsid w:val="00B57926"/>
    <w:rsid w:val="00B62DF6"/>
    <w:rsid w:val="00B63879"/>
    <w:rsid w:val="00B63A11"/>
    <w:rsid w:val="00B64393"/>
    <w:rsid w:val="00B64C24"/>
    <w:rsid w:val="00B64FC3"/>
    <w:rsid w:val="00B6608F"/>
    <w:rsid w:val="00B66E68"/>
    <w:rsid w:val="00B66FC9"/>
    <w:rsid w:val="00B67229"/>
    <w:rsid w:val="00B679FB"/>
    <w:rsid w:val="00B67F8E"/>
    <w:rsid w:val="00B705AA"/>
    <w:rsid w:val="00B710B4"/>
    <w:rsid w:val="00B735DA"/>
    <w:rsid w:val="00B74104"/>
    <w:rsid w:val="00B744C2"/>
    <w:rsid w:val="00B74518"/>
    <w:rsid w:val="00B74B8F"/>
    <w:rsid w:val="00B74F7C"/>
    <w:rsid w:val="00B75A6F"/>
    <w:rsid w:val="00B7617F"/>
    <w:rsid w:val="00B7631E"/>
    <w:rsid w:val="00B763CE"/>
    <w:rsid w:val="00B76D1E"/>
    <w:rsid w:val="00B777E6"/>
    <w:rsid w:val="00B7794F"/>
    <w:rsid w:val="00B803C9"/>
    <w:rsid w:val="00B80485"/>
    <w:rsid w:val="00B80EC6"/>
    <w:rsid w:val="00B81138"/>
    <w:rsid w:val="00B827F5"/>
    <w:rsid w:val="00B82855"/>
    <w:rsid w:val="00B83A3F"/>
    <w:rsid w:val="00B84CA7"/>
    <w:rsid w:val="00B85002"/>
    <w:rsid w:val="00B85965"/>
    <w:rsid w:val="00B86080"/>
    <w:rsid w:val="00B8726E"/>
    <w:rsid w:val="00B8770C"/>
    <w:rsid w:val="00B9064E"/>
    <w:rsid w:val="00B9104B"/>
    <w:rsid w:val="00B9263A"/>
    <w:rsid w:val="00B92A24"/>
    <w:rsid w:val="00B92D1D"/>
    <w:rsid w:val="00B92DD7"/>
    <w:rsid w:val="00B92E48"/>
    <w:rsid w:val="00B93526"/>
    <w:rsid w:val="00B938C5"/>
    <w:rsid w:val="00B941A5"/>
    <w:rsid w:val="00B94C0A"/>
    <w:rsid w:val="00B95940"/>
    <w:rsid w:val="00BA16F7"/>
    <w:rsid w:val="00BA33BD"/>
    <w:rsid w:val="00BA3BF9"/>
    <w:rsid w:val="00BA4060"/>
    <w:rsid w:val="00BA51C2"/>
    <w:rsid w:val="00BA5E21"/>
    <w:rsid w:val="00BA62EE"/>
    <w:rsid w:val="00BA65AB"/>
    <w:rsid w:val="00BA74FC"/>
    <w:rsid w:val="00BB073E"/>
    <w:rsid w:val="00BB3181"/>
    <w:rsid w:val="00BB3668"/>
    <w:rsid w:val="00BB46F3"/>
    <w:rsid w:val="00BB4C40"/>
    <w:rsid w:val="00BB4CB1"/>
    <w:rsid w:val="00BB4F98"/>
    <w:rsid w:val="00BB5500"/>
    <w:rsid w:val="00BB5D0E"/>
    <w:rsid w:val="00BB79B0"/>
    <w:rsid w:val="00BB7E73"/>
    <w:rsid w:val="00BC05D1"/>
    <w:rsid w:val="00BC1EB9"/>
    <w:rsid w:val="00BC2A0B"/>
    <w:rsid w:val="00BC3D92"/>
    <w:rsid w:val="00BC3EB2"/>
    <w:rsid w:val="00BC40EB"/>
    <w:rsid w:val="00BC47BA"/>
    <w:rsid w:val="00BC5623"/>
    <w:rsid w:val="00BC5BC4"/>
    <w:rsid w:val="00BC650D"/>
    <w:rsid w:val="00BC6B40"/>
    <w:rsid w:val="00BC6C8D"/>
    <w:rsid w:val="00BC7154"/>
    <w:rsid w:val="00BD0155"/>
    <w:rsid w:val="00BD12F7"/>
    <w:rsid w:val="00BD215A"/>
    <w:rsid w:val="00BD2217"/>
    <w:rsid w:val="00BD2C60"/>
    <w:rsid w:val="00BD3339"/>
    <w:rsid w:val="00BD366B"/>
    <w:rsid w:val="00BD3D66"/>
    <w:rsid w:val="00BD3DB6"/>
    <w:rsid w:val="00BD47A6"/>
    <w:rsid w:val="00BD536B"/>
    <w:rsid w:val="00BD57AB"/>
    <w:rsid w:val="00BD6D50"/>
    <w:rsid w:val="00BD723D"/>
    <w:rsid w:val="00BE01A0"/>
    <w:rsid w:val="00BE0761"/>
    <w:rsid w:val="00BE1230"/>
    <w:rsid w:val="00BE13B3"/>
    <w:rsid w:val="00BE18B9"/>
    <w:rsid w:val="00BE2424"/>
    <w:rsid w:val="00BE2427"/>
    <w:rsid w:val="00BE2495"/>
    <w:rsid w:val="00BE5673"/>
    <w:rsid w:val="00BE65BD"/>
    <w:rsid w:val="00BE6BD1"/>
    <w:rsid w:val="00BE6E22"/>
    <w:rsid w:val="00BE6ECE"/>
    <w:rsid w:val="00BE7BBD"/>
    <w:rsid w:val="00BF0D37"/>
    <w:rsid w:val="00BF0EF8"/>
    <w:rsid w:val="00BF1543"/>
    <w:rsid w:val="00BF1578"/>
    <w:rsid w:val="00BF1793"/>
    <w:rsid w:val="00BF1DA3"/>
    <w:rsid w:val="00BF1F88"/>
    <w:rsid w:val="00BF277F"/>
    <w:rsid w:val="00BF2C6C"/>
    <w:rsid w:val="00BF3795"/>
    <w:rsid w:val="00BF4B10"/>
    <w:rsid w:val="00BF4E3D"/>
    <w:rsid w:val="00BF5A0C"/>
    <w:rsid w:val="00BF631C"/>
    <w:rsid w:val="00BF6435"/>
    <w:rsid w:val="00BF6539"/>
    <w:rsid w:val="00BF668B"/>
    <w:rsid w:val="00BF7F41"/>
    <w:rsid w:val="00C00098"/>
    <w:rsid w:val="00C002F4"/>
    <w:rsid w:val="00C00D76"/>
    <w:rsid w:val="00C0105C"/>
    <w:rsid w:val="00C01061"/>
    <w:rsid w:val="00C018F3"/>
    <w:rsid w:val="00C0347C"/>
    <w:rsid w:val="00C04554"/>
    <w:rsid w:val="00C054C2"/>
    <w:rsid w:val="00C060F0"/>
    <w:rsid w:val="00C06CCA"/>
    <w:rsid w:val="00C07DEE"/>
    <w:rsid w:val="00C11A0B"/>
    <w:rsid w:val="00C129E5"/>
    <w:rsid w:val="00C13495"/>
    <w:rsid w:val="00C1452B"/>
    <w:rsid w:val="00C151F0"/>
    <w:rsid w:val="00C15656"/>
    <w:rsid w:val="00C159CB"/>
    <w:rsid w:val="00C164FA"/>
    <w:rsid w:val="00C16859"/>
    <w:rsid w:val="00C16E95"/>
    <w:rsid w:val="00C17490"/>
    <w:rsid w:val="00C200FA"/>
    <w:rsid w:val="00C20769"/>
    <w:rsid w:val="00C21B0F"/>
    <w:rsid w:val="00C21F94"/>
    <w:rsid w:val="00C22AC1"/>
    <w:rsid w:val="00C22DC5"/>
    <w:rsid w:val="00C22E3D"/>
    <w:rsid w:val="00C27913"/>
    <w:rsid w:val="00C27ECC"/>
    <w:rsid w:val="00C30B6E"/>
    <w:rsid w:val="00C31320"/>
    <w:rsid w:val="00C321F3"/>
    <w:rsid w:val="00C3368F"/>
    <w:rsid w:val="00C33851"/>
    <w:rsid w:val="00C33B68"/>
    <w:rsid w:val="00C33CD5"/>
    <w:rsid w:val="00C350BB"/>
    <w:rsid w:val="00C35ABD"/>
    <w:rsid w:val="00C36590"/>
    <w:rsid w:val="00C36A79"/>
    <w:rsid w:val="00C36AE9"/>
    <w:rsid w:val="00C36DD5"/>
    <w:rsid w:val="00C36ECC"/>
    <w:rsid w:val="00C377A5"/>
    <w:rsid w:val="00C40296"/>
    <w:rsid w:val="00C405D4"/>
    <w:rsid w:val="00C41364"/>
    <w:rsid w:val="00C41B26"/>
    <w:rsid w:val="00C41EE8"/>
    <w:rsid w:val="00C42661"/>
    <w:rsid w:val="00C435E2"/>
    <w:rsid w:val="00C435F3"/>
    <w:rsid w:val="00C43F18"/>
    <w:rsid w:val="00C440A8"/>
    <w:rsid w:val="00C4513B"/>
    <w:rsid w:val="00C46260"/>
    <w:rsid w:val="00C5058F"/>
    <w:rsid w:val="00C50C66"/>
    <w:rsid w:val="00C52533"/>
    <w:rsid w:val="00C529E1"/>
    <w:rsid w:val="00C529FE"/>
    <w:rsid w:val="00C5305A"/>
    <w:rsid w:val="00C53BD5"/>
    <w:rsid w:val="00C53C00"/>
    <w:rsid w:val="00C54697"/>
    <w:rsid w:val="00C54948"/>
    <w:rsid w:val="00C54AEE"/>
    <w:rsid w:val="00C54C03"/>
    <w:rsid w:val="00C55023"/>
    <w:rsid w:val="00C55F3E"/>
    <w:rsid w:val="00C56D37"/>
    <w:rsid w:val="00C5775C"/>
    <w:rsid w:val="00C629E9"/>
    <w:rsid w:val="00C63203"/>
    <w:rsid w:val="00C635EE"/>
    <w:rsid w:val="00C63A95"/>
    <w:rsid w:val="00C63F3E"/>
    <w:rsid w:val="00C6409E"/>
    <w:rsid w:val="00C6455D"/>
    <w:rsid w:val="00C64657"/>
    <w:rsid w:val="00C655C0"/>
    <w:rsid w:val="00C656AA"/>
    <w:rsid w:val="00C66933"/>
    <w:rsid w:val="00C67100"/>
    <w:rsid w:val="00C674BA"/>
    <w:rsid w:val="00C67551"/>
    <w:rsid w:val="00C7109D"/>
    <w:rsid w:val="00C719C3"/>
    <w:rsid w:val="00C734DA"/>
    <w:rsid w:val="00C73885"/>
    <w:rsid w:val="00C73895"/>
    <w:rsid w:val="00C74154"/>
    <w:rsid w:val="00C747B1"/>
    <w:rsid w:val="00C7492F"/>
    <w:rsid w:val="00C74AAF"/>
    <w:rsid w:val="00C75024"/>
    <w:rsid w:val="00C75C10"/>
    <w:rsid w:val="00C76518"/>
    <w:rsid w:val="00C76869"/>
    <w:rsid w:val="00C76C60"/>
    <w:rsid w:val="00C778C6"/>
    <w:rsid w:val="00C77964"/>
    <w:rsid w:val="00C77CF8"/>
    <w:rsid w:val="00C80E75"/>
    <w:rsid w:val="00C8143B"/>
    <w:rsid w:val="00C81593"/>
    <w:rsid w:val="00C82191"/>
    <w:rsid w:val="00C8311E"/>
    <w:rsid w:val="00C8397F"/>
    <w:rsid w:val="00C83C52"/>
    <w:rsid w:val="00C842AC"/>
    <w:rsid w:val="00C8545A"/>
    <w:rsid w:val="00C85BFF"/>
    <w:rsid w:val="00C87D2F"/>
    <w:rsid w:val="00C87E10"/>
    <w:rsid w:val="00C90CF4"/>
    <w:rsid w:val="00C9124A"/>
    <w:rsid w:val="00C91DD5"/>
    <w:rsid w:val="00C920AF"/>
    <w:rsid w:val="00C92523"/>
    <w:rsid w:val="00C9253E"/>
    <w:rsid w:val="00C9265F"/>
    <w:rsid w:val="00C92AEA"/>
    <w:rsid w:val="00C92EB6"/>
    <w:rsid w:val="00C9317D"/>
    <w:rsid w:val="00C9334C"/>
    <w:rsid w:val="00C93389"/>
    <w:rsid w:val="00C93DAD"/>
    <w:rsid w:val="00C97566"/>
    <w:rsid w:val="00C9760F"/>
    <w:rsid w:val="00C97ACE"/>
    <w:rsid w:val="00CA07D1"/>
    <w:rsid w:val="00CA19A9"/>
    <w:rsid w:val="00CA1EAF"/>
    <w:rsid w:val="00CA26C6"/>
    <w:rsid w:val="00CA3F86"/>
    <w:rsid w:val="00CA4D0C"/>
    <w:rsid w:val="00CA54C8"/>
    <w:rsid w:val="00CA6088"/>
    <w:rsid w:val="00CA645D"/>
    <w:rsid w:val="00CA663A"/>
    <w:rsid w:val="00CA6E63"/>
    <w:rsid w:val="00CA7170"/>
    <w:rsid w:val="00CA77E6"/>
    <w:rsid w:val="00CB0332"/>
    <w:rsid w:val="00CB0519"/>
    <w:rsid w:val="00CB0820"/>
    <w:rsid w:val="00CB0CCF"/>
    <w:rsid w:val="00CB1944"/>
    <w:rsid w:val="00CB2810"/>
    <w:rsid w:val="00CB30CE"/>
    <w:rsid w:val="00CB4229"/>
    <w:rsid w:val="00CB4434"/>
    <w:rsid w:val="00CB47C0"/>
    <w:rsid w:val="00CB4930"/>
    <w:rsid w:val="00CB5FDE"/>
    <w:rsid w:val="00CB6743"/>
    <w:rsid w:val="00CB6B48"/>
    <w:rsid w:val="00CB7204"/>
    <w:rsid w:val="00CC05BF"/>
    <w:rsid w:val="00CC0F51"/>
    <w:rsid w:val="00CC1230"/>
    <w:rsid w:val="00CC2A83"/>
    <w:rsid w:val="00CC2E7D"/>
    <w:rsid w:val="00CC45FC"/>
    <w:rsid w:val="00CC6003"/>
    <w:rsid w:val="00CC6E7E"/>
    <w:rsid w:val="00CD067E"/>
    <w:rsid w:val="00CD10A5"/>
    <w:rsid w:val="00CD1560"/>
    <w:rsid w:val="00CD1661"/>
    <w:rsid w:val="00CD1CF3"/>
    <w:rsid w:val="00CD2076"/>
    <w:rsid w:val="00CD2729"/>
    <w:rsid w:val="00CD374B"/>
    <w:rsid w:val="00CD3D1E"/>
    <w:rsid w:val="00CD43FB"/>
    <w:rsid w:val="00CD4965"/>
    <w:rsid w:val="00CD57BE"/>
    <w:rsid w:val="00CD5ED1"/>
    <w:rsid w:val="00CD6C14"/>
    <w:rsid w:val="00CD7BEB"/>
    <w:rsid w:val="00CE1234"/>
    <w:rsid w:val="00CE1D97"/>
    <w:rsid w:val="00CE1F97"/>
    <w:rsid w:val="00CE21B0"/>
    <w:rsid w:val="00CE236C"/>
    <w:rsid w:val="00CE2E77"/>
    <w:rsid w:val="00CE3254"/>
    <w:rsid w:val="00CE3554"/>
    <w:rsid w:val="00CE36FD"/>
    <w:rsid w:val="00CE3862"/>
    <w:rsid w:val="00CE427F"/>
    <w:rsid w:val="00CE5902"/>
    <w:rsid w:val="00CE670B"/>
    <w:rsid w:val="00CE72A2"/>
    <w:rsid w:val="00CF0AC8"/>
    <w:rsid w:val="00CF0EEF"/>
    <w:rsid w:val="00CF2338"/>
    <w:rsid w:val="00CF25C3"/>
    <w:rsid w:val="00CF27D4"/>
    <w:rsid w:val="00CF27F9"/>
    <w:rsid w:val="00CF2AB4"/>
    <w:rsid w:val="00CF3B10"/>
    <w:rsid w:val="00CF4241"/>
    <w:rsid w:val="00CF4455"/>
    <w:rsid w:val="00CF4ADA"/>
    <w:rsid w:val="00CF51EC"/>
    <w:rsid w:val="00CF5FA9"/>
    <w:rsid w:val="00CF6172"/>
    <w:rsid w:val="00CF6778"/>
    <w:rsid w:val="00CF68F6"/>
    <w:rsid w:val="00CF6BBF"/>
    <w:rsid w:val="00CF70BD"/>
    <w:rsid w:val="00CF7159"/>
    <w:rsid w:val="00CF72A7"/>
    <w:rsid w:val="00CF7303"/>
    <w:rsid w:val="00CF7338"/>
    <w:rsid w:val="00CF73AE"/>
    <w:rsid w:val="00D01EE5"/>
    <w:rsid w:val="00D0203C"/>
    <w:rsid w:val="00D0291B"/>
    <w:rsid w:val="00D03CA2"/>
    <w:rsid w:val="00D040DD"/>
    <w:rsid w:val="00D05238"/>
    <w:rsid w:val="00D05DD3"/>
    <w:rsid w:val="00D05F98"/>
    <w:rsid w:val="00D06A5E"/>
    <w:rsid w:val="00D06DA3"/>
    <w:rsid w:val="00D077FD"/>
    <w:rsid w:val="00D07AE5"/>
    <w:rsid w:val="00D105FB"/>
    <w:rsid w:val="00D10B73"/>
    <w:rsid w:val="00D10C36"/>
    <w:rsid w:val="00D10FE5"/>
    <w:rsid w:val="00D1194E"/>
    <w:rsid w:val="00D12107"/>
    <w:rsid w:val="00D12ED9"/>
    <w:rsid w:val="00D12F18"/>
    <w:rsid w:val="00D13103"/>
    <w:rsid w:val="00D13986"/>
    <w:rsid w:val="00D147BA"/>
    <w:rsid w:val="00D15BED"/>
    <w:rsid w:val="00D16F01"/>
    <w:rsid w:val="00D17170"/>
    <w:rsid w:val="00D21B68"/>
    <w:rsid w:val="00D21C8C"/>
    <w:rsid w:val="00D222BB"/>
    <w:rsid w:val="00D230B5"/>
    <w:rsid w:val="00D235B7"/>
    <w:rsid w:val="00D23CB7"/>
    <w:rsid w:val="00D23D3E"/>
    <w:rsid w:val="00D251CD"/>
    <w:rsid w:val="00D25F28"/>
    <w:rsid w:val="00D265CF"/>
    <w:rsid w:val="00D26AEA"/>
    <w:rsid w:val="00D26C4E"/>
    <w:rsid w:val="00D27347"/>
    <w:rsid w:val="00D27515"/>
    <w:rsid w:val="00D27973"/>
    <w:rsid w:val="00D279FE"/>
    <w:rsid w:val="00D27C4D"/>
    <w:rsid w:val="00D30F9D"/>
    <w:rsid w:val="00D322CC"/>
    <w:rsid w:val="00D33C33"/>
    <w:rsid w:val="00D3434E"/>
    <w:rsid w:val="00D34355"/>
    <w:rsid w:val="00D343F5"/>
    <w:rsid w:val="00D346C3"/>
    <w:rsid w:val="00D347A6"/>
    <w:rsid w:val="00D34E98"/>
    <w:rsid w:val="00D35512"/>
    <w:rsid w:val="00D3552F"/>
    <w:rsid w:val="00D356DB"/>
    <w:rsid w:val="00D3576C"/>
    <w:rsid w:val="00D36129"/>
    <w:rsid w:val="00D37171"/>
    <w:rsid w:val="00D37886"/>
    <w:rsid w:val="00D40515"/>
    <w:rsid w:val="00D4181F"/>
    <w:rsid w:val="00D42CCA"/>
    <w:rsid w:val="00D4579E"/>
    <w:rsid w:val="00D463D4"/>
    <w:rsid w:val="00D4645C"/>
    <w:rsid w:val="00D469C1"/>
    <w:rsid w:val="00D46EA5"/>
    <w:rsid w:val="00D47B79"/>
    <w:rsid w:val="00D47E5F"/>
    <w:rsid w:val="00D5097D"/>
    <w:rsid w:val="00D50F46"/>
    <w:rsid w:val="00D51FA5"/>
    <w:rsid w:val="00D5363B"/>
    <w:rsid w:val="00D549EB"/>
    <w:rsid w:val="00D54D3E"/>
    <w:rsid w:val="00D54FF6"/>
    <w:rsid w:val="00D55479"/>
    <w:rsid w:val="00D55B06"/>
    <w:rsid w:val="00D55DB1"/>
    <w:rsid w:val="00D561C3"/>
    <w:rsid w:val="00D56504"/>
    <w:rsid w:val="00D56CD4"/>
    <w:rsid w:val="00D56DBD"/>
    <w:rsid w:val="00D56EB1"/>
    <w:rsid w:val="00D60538"/>
    <w:rsid w:val="00D60D58"/>
    <w:rsid w:val="00D6181E"/>
    <w:rsid w:val="00D61FD0"/>
    <w:rsid w:val="00D620B9"/>
    <w:rsid w:val="00D6251F"/>
    <w:rsid w:val="00D63CB4"/>
    <w:rsid w:val="00D63F63"/>
    <w:rsid w:val="00D64050"/>
    <w:rsid w:val="00D64541"/>
    <w:rsid w:val="00D65631"/>
    <w:rsid w:val="00D66223"/>
    <w:rsid w:val="00D66AA4"/>
    <w:rsid w:val="00D67150"/>
    <w:rsid w:val="00D7428C"/>
    <w:rsid w:val="00D74353"/>
    <w:rsid w:val="00D7485A"/>
    <w:rsid w:val="00D74A8A"/>
    <w:rsid w:val="00D74C43"/>
    <w:rsid w:val="00D74D79"/>
    <w:rsid w:val="00D7596C"/>
    <w:rsid w:val="00D761B1"/>
    <w:rsid w:val="00D765E4"/>
    <w:rsid w:val="00D773B1"/>
    <w:rsid w:val="00D80743"/>
    <w:rsid w:val="00D8084C"/>
    <w:rsid w:val="00D80BF8"/>
    <w:rsid w:val="00D8240D"/>
    <w:rsid w:val="00D830E8"/>
    <w:rsid w:val="00D83116"/>
    <w:rsid w:val="00D8357D"/>
    <w:rsid w:val="00D84986"/>
    <w:rsid w:val="00D84A46"/>
    <w:rsid w:val="00D861CC"/>
    <w:rsid w:val="00D86831"/>
    <w:rsid w:val="00D87F2E"/>
    <w:rsid w:val="00D908DE"/>
    <w:rsid w:val="00D90C09"/>
    <w:rsid w:val="00D91045"/>
    <w:rsid w:val="00D9113E"/>
    <w:rsid w:val="00D91B71"/>
    <w:rsid w:val="00D92018"/>
    <w:rsid w:val="00D93BF6"/>
    <w:rsid w:val="00D94BA0"/>
    <w:rsid w:val="00D9514C"/>
    <w:rsid w:val="00D951D0"/>
    <w:rsid w:val="00D95AEA"/>
    <w:rsid w:val="00D96D3A"/>
    <w:rsid w:val="00D96DD0"/>
    <w:rsid w:val="00D97F15"/>
    <w:rsid w:val="00DA0972"/>
    <w:rsid w:val="00DA114F"/>
    <w:rsid w:val="00DA17E9"/>
    <w:rsid w:val="00DA1F73"/>
    <w:rsid w:val="00DA42AC"/>
    <w:rsid w:val="00DA4497"/>
    <w:rsid w:val="00DA46A4"/>
    <w:rsid w:val="00DA491A"/>
    <w:rsid w:val="00DA6216"/>
    <w:rsid w:val="00DA6250"/>
    <w:rsid w:val="00DA7C0C"/>
    <w:rsid w:val="00DB00A9"/>
    <w:rsid w:val="00DB0296"/>
    <w:rsid w:val="00DB0A08"/>
    <w:rsid w:val="00DB200A"/>
    <w:rsid w:val="00DB2053"/>
    <w:rsid w:val="00DB2EC8"/>
    <w:rsid w:val="00DB3D28"/>
    <w:rsid w:val="00DB54C7"/>
    <w:rsid w:val="00DB560E"/>
    <w:rsid w:val="00DB5D5B"/>
    <w:rsid w:val="00DB6DB5"/>
    <w:rsid w:val="00DB747E"/>
    <w:rsid w:val="00DC017F"/>
    <w:rsid w:val="00DC0D0A"/>
    <w:rsid w:val="00DC16DD"/>
    <w:rsid w:val="00DC1BB2"/>
    <w:rsid w:val="00DC1C8F"/>
    <w:rsid w:val="00DC1D4C"/>
    <w:rsid w:val="00DC2A28"/>
    <w:rsid w:val="00DC2C40"/>
    <w:rsid w:val="00DC3846"/>
    <w:rsid w:val="00DC3A95"/>
    <w:rsid w:val="00DC4BE3"/>
    <w:rsid w:val="00DC4FB4"/>
    <w:rsid w:val="00DC5B3B"/>
    <w:rsid w:val="00DC6920"/>
    <w:rsid w:val="00DC6DEB"/>
    <w:rsid w:val="00DD129F"/>
    <w:rsid w:val="00DD2702"/>
    <w:rsid w:val="00DD2DEC"/>
    <w:rsid w:val="00DD2F6B"/>
    <w:rsid w:val="00DD4EA5"/>
    <w:rsid w:val="00DD51D4"/>
    <w:rsid w:val="00DD5695"/>
    <w:rsid w:val="00DD56D9"/>
    <w:rsid w:val="00DD60DD"/>
    <w:rsid w:val="00DD6FD9"/>
    <w:rsid w:val="00DD7093"/>
    <w:rsid w:val="00DE0131"/>
    <w:rsid w:val="00DE1B3B"/>
    <w:rsid w:val="00DE2B8D"/>
    <w:rsid w:val="00DE2E4C"/>
    <w:rsid w:val="00DE3364"/>
    <w:rsid w:val="00DE36CB"/>
    <w:rsid w:val="00DE3A91"/>
    <w:rsid w:val="00DE4933"/>
    <w:rsid w:val="00DE4D44"/>
    <w:rsid w:val="00DE5304"/>
    <w:rsid w:val="00DE6B3F"/>
    <w:rsid w:val="00DE6B7C"/>
    <w:rsid w:val="00DE6E08"/>
    <w:rsid w:val="00DE77E6"/>
    <w:rsid w:val="00DF12E6"/>
    <w:rsid w:val="00DF3477"/>
    <w:rsid w:val="00DF3DE7"/>
    <w:rsid w:val="00DF40F7"/>
    <w:rsid w:val="00DF42FF"/>
    <w:rsid w:val="00DF4636"/>
    <w:rsid w:val="00DF4680"/>
    <w:rsid w:val="00DF4FB7"/>
    <w:rsid w:val="00DF5C90"/>
    <w:rsid w:val="00DF603C"/>
    <w:rsid w:val="00DF62FC"/>
    <w:rsid w:val="00DF6738"/>
    <w:rsid w:val="00DF67E3"/>
    <w:rsid w:val="00DF796D"/>
    <w:rsid w:val="00DF7D5A"/>
    <w:rsid w:val="00E009CD"/>
    <w:rsid w:val="00E01473"/>
    <w:rsid w:val="00E01B2A"/>
    <w:rsid w:val="00E01C0E"/>
    <w:rsid w:val="00E02346"/>
    <w:rsid w:val="00E02CAC"/>
    <w:rsid w:val="00E03F9A"/>
    <w:rsid w:val="00E04694"/>
    <w:rsid w:val="00E048E2"/>
    <w:rsid w:val="00E056FA"/>
    <w:rsid w:val="00E074C6"/>
    <w:rsid w:val="00E07C13"/>
    <w:rsid w:val="00E07C9D"/>
    <w:rsid w:val="00E10733"/>
    <w:rsid w:val="00E11419"/>
    <w:rsid w:val="00E11AED"/>
    <w:rsid w:val="00E12B1E"/>
    <w:rsid w:val="00E12C34"/>
    <w:rsid w:val="00E13316"/>
    <w:rsid w:val="00E1368B"/>
    <w:rsid w:val="00E14885"/>
    <w:rsid w:val="00E14A62"/>
    <w:rsid w:val="00E15503"/>
    <w:rsid w:val="00E16105"/>
    <w:rsid w:val="00E17262"/>
    <w:rsid w:val="00E1747A"/>
    <w:rsid w:val="00E20D1A"/>
    <w:rsid w:val="00E20E76"/>
    <w:rsid w:val="00E21C8F"/>
    <w:rsid w:val="00E24A9E"/>
    <w:rsid w:val="00E24E4A"/>
    <w:rsid w:val="00E2501D"/>
    <w:rsid w:val="00E253A2"/>
    <w:rsid w:val="00E25A61"/>
    <w:rsid w:val="00E26411"/>
    <w:rsid w:val="00E26CC7"/>
    <w:rsid w:val="00E276D1"/>
    <w:rsid w:val="00E27CE6"/>
    <w:rsid w:val="00E27D6C"/>
    <w:rsid w:val="00E30151"/>
    <w:rsid w:val="00E30ECA"/>
    <w:rsid w:val="00E31011"/>
    <w:rsid w:val="00E31193"/>
    <w:rsid w:val="00E3175A"/>
    <w:rsid w:val="00E317EF"/>
    <w:rsid w:val="00E322C8"/>
    <w:rsid w:val="00E32873"/>
    <w:rsid w:val="00E3309D"/>
    <w:rsid w:val="00E337FB"/>
    <w:rsid w:val="00E33D31"/>
    <w:rsid w:val="00E34FDA"/>
    <w:rsid w:val="00E3543A"/>
    <w:rsid w:val="00E35689"/>
    <w:rsid w:val="00E3621C"/>
    <w:rsid w:val="00E3792E"/>
    <w:rsid w:val="00E37EC9"/>
    <w:rsid w:val="00E40EDE"/>
    <w:rsid w:val="00E419EF"/>
    <w:rsid w:val="00E41A97"/>
    <w:rsid w:val="00E425E3"/>
    <w:rsid w:val="00E4498A"/>
    <w:rsid w:val="00E44BA2"/>
    <w:rsid w:val="00E45675"/>
    <w:rsid w:val="00E47E16"/>
    <w:rsid w:val="00E50156"/>
    <w:rsid w:val="00E5068B"/>
    <w:rsid w:val="00E50834"/>
    <w:rsid w:val="00E513EA"/>
    <w:rsid w:val="00E519E4"/>
    <w:rsid w:val="00E51E41"/>
    <w:rsid w:val="00E525B7"/>
    <w:rsid w:val="00E528E0"/>
    <w:rsid w:val="00E53470"/>
    <w:rsid w:val="00E539F6"/>
    <w:rsid w:val="00E53E70"/>
    <w:rsid w:val="00E54004"/>
    <w:rsid w:val="00E5443E"/>
    <w:rsid w:val="00E54455"/>
    <w:rsid w:val="00E54A2F"/>
    <w:rsid w:val="00E54D47"/>
    <w:rsid w:val="00E5516A"/>
    <w:rsid w:val="00E5585A"/>
    <w:rsid w:val="00E55F53"/>
    <w:rsid w:val="00E560A9"/>
    <w:rsid w:val="00E5623C"/>
    <w:rsid w:val="00E56294"/>
    <w:rsid w:val="00E57C37"/>
    <w:rsid w:val="00E57F14"/>
    <w:rsid w:val="00E6024C"/>
    <w:rsid w:val="00E60853"/>
    <w:rsid w:val="00E61FF4"/>
    <w:rsid w:val="00E622A4"/>
    <w:rsid w:val="00E62996"/>
    <w:rsid w:val="00E639CC"/>
    <w:rsid w:val="00E63E64"/>
    <w:rsid w:val="00E64A4E"/>
    <w:rsid w:val="00E6519D"/>
    <w:rsid w:val="00E65954"/>
    <w:rsid w:val="00E666C3"/>
    <w:rsid w:val="00E6673A"/>
    <w:rsid w:val="00E66D13"/>
    <w:rsid w:val="00E66D62"/>
    <w:rsid w:val="00E67696"/>
    <w:rsid w:val="00E71A16"/>
    <w:rsid w:val="00E71A58"/>
    <w:rsid w:val="00E7272C"/>
    <w:rsid w:val="00E72A7A"/>
    <w:rsid w:val="00E72E53"/>
    <w:rsid w:val="00E72EFE"/>
    <w:rsid w:val="00E757AE"/>
    <w:rsid w:val="00E75C94"/>
    <w:rsid w:val="00E75CB2"/>
    <w:rsid w:val="00E75E92"/>
    <w:rsid w:val="00E75F1B"/>
    <w:rsid w:val="00E7691C"/>
    <w:rsid w:val="00E76BA2"/>
    <w:rsid w:val="00E77C07"/>
    <w:rsid w:val="00E83223"/>
    <w:rsid w:val="00E8343F"/>
    <w:rsid w:val="00E83560"/>
    <w:rsid w:val="00E86775"/>
    <w:rsid w:val="00E86E4A"/>
    <w:rsid w:val="00E87117"/>
    <w:rsid w:val="00E878C4"/>
    <w:rsid w:val="00E9070E"/>
    <w:rsid w:val="00E90836"/>
    <w:rsid w:val="00E90D90"/>
    <w:rsid w:val="00E92137"/>
    <w:rsid w:val="00E93820"/>
    <w:rsid w:val="00E93A26"/>
    <w:rsid w:val="00E94344"/>
    <w:rsid w:val="00E94690"/>
    <w:rsid w:val="00E94780"/>
    <w:rsid w:val="00E94E8B"/>
    <w:rsid w:val="00E956AE"/>
    <w:rsid w:val="00E95EA9"/>
    <w:rsid w:val="00E96034"/>
    <w:rsid w:val="00E96ACA"/>
    <w:rsid w:val="00E9739F"/>
    <w:rsid w:val="00E973D2"/>
    <w:rsid w:val="00E97E4E"/>
    <w:rsid w:val="00EA0255"/>
    <w:rsid w:val="00EA0C68"/>
    <w:rsid w:val="00EA1042"/>
    <w:rsid w:val="00EA2C94"/>
    <w:rsid w:val="00EA2E6C"/>
    <w:rsid w:val="00EA32BC"/>
    <w:rsid w:val="00EA3FCB"/>
    <w:rsid w:val="00EA43FD"/>
    <w:rsid w:val="00EA4AE7"/>
    <w:rsid w:val="00EA5C81"/>
    <w:rsid w:val="00EA64C7"/>
    <w:rsid w:val="00EA6CB1"/>
    <w:rsid w:val="00EA7E4C"/>
    <w:rsid w:val="00EB05AD"/>
    <w:rsid w:val="00EB1AEB"/>
    <w:rsid w:val="00EB1C38"/>
    <w:rsid w:val="00EB1E81"/>
    <w:rsid w:val="00EB2412"/>
    <w:rsid w:val="00EB3140"/>
    <w:rsid w:val="00EB3C65"/>
    <w:rsid w:val="00EB4511"/>
    <w:rsid w:val="00EB5489"/>
    <w:rsid w:val="00EB5A25"/>
    <w:rsid w:val="00EB67EF"/>
    <w:rsid w:val="00EB70EC"/>
    <w:rsid w:val="00EB736D"/>
    <w:rsid w:val="00EC00B3"/>
    <w:rsid w:val="00EC03D7"/>
    <w:rsid w:val="00EC0FF3"/>
    <w:rsid w:val="00EC1885"/>
    <w:rsid w:val="00EC20E8"/>
    <w:rsid w:val="00EC312F"/>
    <w:rsid w:val="00EC31DB"/>
    <w:rsid w:val="00EC3220"/>
    <w:rsid w:val="00EC3A74"/>
    <w:rsid w:val="00EC5218"/>
    <w:rsid w:val="00EC53A0"/>
    <w:rsid w:val="00EC639B"/>
    <w:rsid w:val="00EC67A4"/>
    <w:rsid w:val="00EC750A"/>
    <w:rsid w:val="00EC7E98"/>
    <w:rsid w:val="00ED0547"/>
    <w:rsid w:val="00ED161E"/>
    <w:rsid w:val="00ED1D90"/>
    <w:rsid w:val="00ED2C74"/>
    <w:rsid w:val="00ED4166"/>
    <w:rsid w:val="00ED4D0E"/>
    <w:rsid w:val="00ED62C6"/>
    <w:rsid w:val="00ED64C1"/>
    <w:rsid w:val="00ED76BB"/>
    <w:rsid w:val="00EE06BC"/>
    <w:rsid w:val="00EE1B52"/>
    <w:rsid w:val="00EE20B1"/>
    <w:rsid w:val="00EE24F2"/>
    <w:rsid w:val="00EE3446"/>
    <w:rsid w:val="00EE3E78"/>
    <w:rsid w:val="00EE4B1B"/>
    <w:rsid w:val="00EE4E5E"/>
    <w:rsid w:val="00EE500F"/>
    <w:rsid w:val="00EE669F"/>
    <w:rsid w:val="00EE720E"/>
    <w:rsid w:val="00EE743A"/>
    <w:rsid w:val="00EE7EAD"/>
    <w:rsid w:val="00EF0488"/>
    <w:rsid w:val="00EF05B5"/>
    <w:rsid w:val="00EF05F9"/>
    <w:rsid w:val="00EF0CF6"/>
    <w:rsid w:val="00EF1109"/>
    <w:rsid w:val="00EF150D"/>
    <w:rsid w:val="00EF1975"/>
    <w:rsid w:val="00EF1F5A"/>
    <w:rsid w:val="00EF467D"/>
    <w:rsid w:val="00EF47BF"/>
    <w:rsid w:val="00EF4C92"/>
    <w:rsid w:val="00EF6922"/>
    <w:rsid w:val="00EF73DD"/>
    <w:rsid w:val="00EF7D91"/>
    <w:rsid w:val="00F00C8B"/>
    <w:rsid w:val="00F01056"/>
    <w:rsid w:val="00F024CB"/>
    <w:rsid w:val="00F02C35"/>
    <w:rsid w:val="00F04811"/>
    <w:rsid w:val="00F0488C"/>
    <w:rsid w:val="00F05F5E"/>
    <w:rsid w:val="00F06CE2"/>
    <w:rsid w:val="00F07AA9"/>
    <w:rsid w:val="00F07B5F"/>
    <w:rsid w:val="00F07BDE"/>
    <w:rsid w:val="00F10EA8"/>
    <w:rsid w:val="00F10F11"/>
    <w:rsid w:val="00F112A1"/>
    <w:rsid w:val="00F11AAF"/>
    <w:rsid w:val="00F13389"/>
    <w:rsid w:val="00F13842"/>
    <w:rsid w:val="00F13BAC"/>
    <w:rsid w:val="00F14B7E"/>
    <w:rsid w:val="00F15AAA"/>
    <w:rsid w:val="00F15BEF"/>
    <w:rsid w:val="00F160A2"/>
    <w:rsid w:val="00F16AB6"/>
    <w:rsid w:val="00F16D65"/>
    <w:rsid w:val="00F16F36"/>
    <w:rsid w:val="00F1715D"/>
    <w:rsid w:val="00F176DE"/>
    <w:rsid w:val="00F21755"/>
    <w:rsid w:val="00F217BB"/>
    <w:rsid w:val="00F21AE9"/>
    <w:rsid w:val="00F21E2A"/>
    <w:rsid w:val="00F224C1"/>
    <w:rsid w:val="00F22798"/>
    <w:rsid w:val="00F229CF"/>
    <w:rsid w:val="00F240A9"/>
    <w:rsid w:val="00F24407"/>
    <w:rsid w:val="00F244A4"/>
    <w:rsid w:val="00F24FAA"/>
    <w:rsid w:val="00F2534C"/>
    <w:rsid w:val="00F258C3"/>
    <w:rsid w:val="00F25C27"/>
    <w:rsid w:val="00F262BF"/>
    <w:rsid w:val="00F26D00"/>
    <w:rsid w:val="00F27FE0"/>
    <w:rsid w:val="00F30709"/>
    <w:rsid w:val="00F31090"/>
    <w:rsid w:val="00F31C5C"/>
    <w:rsid w:val="00F31D46"/>
    <w:rsid w:val="00F32735"/>
    <w:rsid w:val="00F32E8C"/>
    <w:rsid w:val="00F32F52"/>
    <w:rsid w:val="00F332EF"/>
    <w:rsid w:val="00F335F0"/>
    <w:rsid w:val="00F3364D"/>
    <w:rsid w:val="00F33AAA"/>
    <w:rsid w:val="00F341B2"/>
    <w:rsid w:val="00F3536D"/>
    <w:rsid w:val="00F35931"/>
    <w:rsid w:val="00F36ECA"/>
    <w:rsid w:val="00F405ED"/>
    <w:rsid w:val="00F40ECF"/>
    <w:rsid w:val="00F4172A"/>
    <w:rsid w:val="00F424D3"/>
    <w:rsid w:val="00F425FB"/>
    <w:rsid w:val="00F42674"/>
    <w:rsid w:val="00F437CC"/>
    <w:rsid w:val="00F4384B"/>
    <w:rsid w:val="00F44A37"/>
    <w:rsid w:val="00F45E4C"/>
    <w:rsid w:val="00F47067"/>
    <w:rsid w:val="00F476A4"/>
    <w:rsid w:val="00F476BD"/>
    <w:rsid w:val="00F50488"/>
    <w:rsid w:val="00F50800"/>
    <w:rsid w:val="00F50D49"/>
    <w:rsid w:val="00F50F9C"/>
    <w:rsid w:val="00F51A59"/>
    <w:rsid w:val="00F5231E"/>
    <w:rsid w:val="00F525EB"/>
    <w:rsid w:val="00F5271A"/>
    <w:rsid w:val="00F52CC3"/>
    <w:rsid w:val="00F52DDE"/>
    <w:rsid w:val="00F533EE"/>
    <w:rsid w:val="00F53CD1"/>
    <w:rsid w:val="00F54510"/>
    <w:rsid w:val="00F55577"/>
    <w:rsid w:val="00F557C6"/>
    <w:rsid w:val="00F562DC"/>
    <w:rsid w:val="00F5645E"/>
    <w:rsid w:val="00F56E07"/>
    <w:rsid w:val="00F57536"/>
    <w:rsid w:val="00F57735"/>
    <w:rsid w:val="00F57C5F"/>
    <w:rsid w:val="00F60049"/>
    <w:rsid w:val="00F6038C"/>
    <w:rsid w:val="00F619A9"/>
    <w:rsid w:val="00F62279"/>
    <w:rsid w:val="00F62818"/>
    <w:rsid w:val="00F638C1"/>
    <w:rsid w:val="00F63DDE"/>
    <w:rsid w:val="00F63FB7"/>
    <w:rsid w:val="00F6410F"/>
    <w:rsid w:val="00F644FD"/>
    <w:rsid w:val="00F646F7"/>
    <w:rsid w:val="00F649D2"/>
    <w:rsid w:val="00F64A2E"/>
    <w:rsid w:val="00F64BCC"/>
    <w:rsid w:val="00F65359"/>
    <w:rsid w:val="00F655E5"/>
    <w:rsid w:val="00F6602B"/>
    <w:rsid w:val="00F66871"/>
    <w:rsid w:val="00F66C16"/>
    <w:rsid w:val="00F67170"/>
    <w:rsid w:val="00F67275"/>
    <w:rsid w:val="00F708F5"/>
    <w:rsid w:val="00F71565"/>
    <w:rsid w:val="00F7181C"/>
    <w:rsid w:val="00F71C04"/>
    <w:rsid w:val="00F7260E"/>
    <w:rsid w:val="00F72976"/>
    <w:rsid w:val="00F72A45"/>
    <w:rsid w:val="00F72E1C"/>
    <w:rsid w:val="00F73A0C"/>
    <w:rsid w:val="00F7524D"/>
    <w:rsid w:val="00F756DB"/>
    <w:rsid w:val="00F7589A"/>
    <w:rsid w:val="00F759C1"/>
    <w:rsid w:val="00F7650F"/>
    <w:rsid w:val="00F76DF1"/>
    <w:rsid w:val="00F81C62"/>
    <w:rsid w:val="00F81D2E"/>
    <w:rsid w:val="00F8241E"/>
    <w:rsid w:val="00F82643"/>
    <w:rsid w:val="00F8377E"/>
    <w:rsid w:val="00F83B06"/>
    <w:rsid w:val="00F84568"/>
    <w:rsid w:val="00F84C50"/>
    <w:rsid w:val="00F85066"/>
    <w:rsid w:val="00F85073"/>
    <w:rsid w:val="00F85243"/>
    <w:rsid w:val="00F85750"/>
    <w:rsid w:val="00F85CBA"/>
    <w:rsid w:val="00F86F09"/>
    <w:rsid w:val="00F87C65"/>
    <w:rsid w:val="00F900F5"/>
    <w:rsid w:val="00F90247"/>
    <w:rsid w:val="00F9129D"/>
    <w:rsid w:val="00F9139D"/>
    <w:rsid w:val="00F9212D"/>
    <w:rsid w:val="00F93AE3"/>
    <w:rsid w:val="00F94151"/>
    <w:rsid w:val="00F955D5"/>
    <w:rsid w:val="00F96DEA"/>
    <w:rsid w:val="00F9748B"/>
    <w:rsid w:val="00F9780B"/>
    <w:rsid w:val="00F97AA1"/>
    <w:rsid w:val="00F97AB8"/>
    <w:rsid w:val="00FA003F"/>
    <w:rsid w:val="00FA104E"/>
    <w:rsid w:val="00FA11D4"/>
    <w:rsid w:val="00FA1BC1"/>
    <w:rsid w:val="00FA20BF"/>
    <w:rsid w:val="00FA29C5"/>
    <w:rsid w:val="00FA2FCB"/>
    <w:rsid w:val="00FA3371"/>
    <w:rsid w:val="00FA3561"/>
    <w:rsid w:val="00FA3640"/>
    <w:rsid w:val="00FA387F"/>
    <w:rsid w:val="00FA43FB"/>
    <w:rsid w:val="00FA4454"/>
    <w:rsid w:val="00FA4FC9"/>
    <w:rsid w:val="00FA5C16"/>
    <w:rsid w:val="00FA5D4D"/>
    <w:rsid w:val="00FA74C5"/>
    <w:rsid w:val="00FA7769"/>
    <w:rsid w:val="00FA7981"/>
    <w:rsid w:val="00FA7ABE"/>
    <w:rsid w:val="00FB02C7"/>
    <w:rsid w:val="00FB0947"/>
    <w:rsid w:val="00FB0DE1"/>
    <w:rsid w:val="00FB0EE2"/>
    <w:rsid w:val="00FB0FFC"/>
    <w:rsid w:val="00FB1537"/>
    <w:rsid w:val="00FB1DA3"/>
    <w:rsid w:val="00FB37A0"/>
    <w:rsid w:val="00FB509F"/>
    <w:rsid w:val="00FB542E"/>
    <w:rsid w:val="00FB55A4"/>
    <w:rsid w:val="00FB625B"/>
    <w:rsid w:val="00FB74A7"/>
    <w:rsid w:val="00FC03F1"/>
    <w:rsid w:val="00FC070C"/>
    <w:rsid w:val="00FC0E27"/>
    <w:rsid w:val="00FC0E5F"/>
    <w:rsid w:val="00FC1A95"/>
    <w:rsid w:val="00FC21BE"/>
    <w:rsid w:val="00FC393F"/>
    <w:rsid w:val="00FC3D5B"/>
    <w:rsid w:val="00FC4021"/>
    <w:rsid w:val="00FC43AD"/>
    <w:rsid w:val="00FC4FD9"/>
    <w:rsid w:val="00FC54AF"/>
    <w:rsid w:val="00FC56DE"/>
    <w:rsid w:val="00FC684B"/>
    <w:rsid w:val="00FD095C"/>
    <w:rsid w:val="00FD0D4E"/>
    <w:rsid w:val="00FD1C01"/>
    <w:rsid w:val="00FD1C6E"/>
    <w:rsid w:val="00FD1E73"/>
    <w:rsid w:val="00FD25CE"/>
    <w:rsid w:val="00FD3265"/>
    <w:rsid w:val="00FD3AF6"/>
    <w:rsid w:val="00FD52C1"/>
    <w:rsid w:val="00FD5721"/>
    <w:rsid w:val="00FD6260"/>
    <w:rsid w:val="00FD72FB"/>
    <w:rsid w:val="00FD763A"/>
    <w:rsid w:val="00FE090A"/>
    <w:rsid w:val="00FE0E28"/>
    <w:rsid w:val="00FE1249"/>
    <w:rsid w:val="00FE1FDB"/>
    <w:rsid w:val="00FE2718"/>
    <w:rsid w:val="00FE2F78"/>
    <w:rsid w:val="00FE2FDF"/>
    <w:rsid w:val="00FE3064"/>
    <w:rsid w:val="00FE3AFE"/>
    <w:rsid w:val="00FE3EA2"/>
    <w:rsid w:val="00FE43D2"/>
    <w:rsid w:val="00FE478B"/>
    <w:rsid w:val="00FE5881"/>
    <w:rsid w:val="00FE6B6F"/>
    <w:rsid w:val="00FE6BA1"/>
    <w:rsid w:val="00FE7186"/>
    <w:rsid w:val="00FE7756"/>
    <w:rsid w:val="00FF0857"/>
    <w:rsid w:val="00FF1DFF"/>
    <w:rsid w:val="00FF23D7"/>
    <w:rsid w:val="00FF2919"/>
    <w:rsid w:val="00FF33A4"/>
    <w:rsid w:val="00FF41F8"/>
    <w:rsid w:val="00FF6885"/>
    <w:rsid w:val="00FF6B7E"/>
    <w:rsid w:val="00FF7372"/>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8B6EB46"/>
  <w15:docId w15:val="{9D165140-9593-479F-A9AB-181866B6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478B"/>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qFormat/>
    <w:rsid w:val="00A67C12"/>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unhideWhenUsed/>
    <w:rsid w:val="00A67C12"/>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A67C12"/>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A67C12"/>
    <w:rPr>
      <w:vertAlign w:val="superscript"/>
    </w:rPr>
  </w:style>
  <w:style w:type="character" w:customStyle="1" w:styleId="ZkladntextodsazenChar">
    <w:name w:val="Základní text odsazený Char"/>
    <w:basedOn w:val="Standardnpsmoodstavce"/>
    <w:link w:val="Zkladntextodsazen"/>
    <w:semiHidden/>
    <w:rsid w:val="00A67C12"/>
    <w:rPr>
      <w:rFonts w:ascii="Arial" w:eastAsia="Times New Roman" w:hAnsi="Arial" w:cs="Arial"/>
      <w:szCs w:val="24"/>
      <w:lang w:eastAsia="cs-CZ"/>
    </w:rPr>
  </w:style>
  <w:style w:type="paragraph" w:styleId="Zkladntextodsazen">
    <w:name w:val="Body Text Indent"/>
    <w:basedOn w:val="Normln"/>
    <w:link w:val="ZkladntextodsazenChar"/>
    <w:semiHidden/>
    <w:rsid w:val="00A67C12"/>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0" w:line="240" w:lineRule="auto"/>
      <w:ind w:firstLine="709"/>
      <w:jc w:val="both"/>
    </w:pPr>
    <w:rPr>
      <w:rFonts w:cs="Arial"/>
    </w:rPr>
  </w:style>
  <w:style w:type="character" w:styleId="Odkaznakoment">
    <w:name w:val="annotation reference"/>
    <w:basedOn w:val="Standardnpsmoodstavce"/>
    <w:uiPriority w:val="99"/>
    <w:semiHidden/>
    <w:unhideWhenUsed/>
    <w:rsid w:val="005859FB"/>
    <w:rPr>
      <w:sz w:val="16"/>
      <w:szCs w:val="16"/>
    </w:rPr>
  </w:style>
  <w:style w:type="paragraph" w:styleId="Textkomente">
    <w:name w:val="annotation text"/>
    <w:basedOn w:val="Normln"/>
    <w:link w:val="TextkomenteChar"/>
    <w:uiPriority w:val="99"/>
    <w:unhideWhenUsed/>
    <w:rsid w:val="005859FB"/>
    <w:pPr>
      <w:spacing w:line="240" w:lineRule="auto"/>
    </w:pPr>
    <w:rPr>
      <w:szCs w:val="20"/>
    </w:rPr>
  </w:style>
  <w:style w:type="character" w:customStyle="1" w:styleId="TextkomenteChar">
    <w:name w:val="Text komentáře Char"/>
    <w:basedOn w:val="Standardnpsmoodstavce"/>
    <w:link w:val="Textkomente"/>
    <w:uiPriority w:val="99"/>
    <w:rsid w:val="005859F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5859FB"/>
    <w:rPr>
      <w:b/>
      <w:bCs/>
    </w:rPr>
  </w:style>
  <w:style w:type="character" w:customStyle="1" w:styleId="PedmtkomenteChar">
    <w:name w:val="Předmět komentáře Char"/>
    <w:basedOn w:val="TextkomenteChar"/>
    <w:link w:val="Pedmtkomente"/>
    <w:uiPriority w:val="99"/>
    <w:semiHidden/>
    <w:rsid w:val="005859FB"/>
    <w:rPr>
      <w:rFonts w:ascii="Arial" w:eastAsia="Times New Roman" w:hAnsi="Arial"/>
      <w:b/>
      <w:bCs/>
      <w:lang w:eastAsia="cs-CZ"/>
    </w:rPr>
  </w:style>
  <w:style w:type="paragraph" w:styleId="Normlnweb">
    <w:name w:val="Normal (Web)"/>
    <w:basedOn w:val="Normln"/>
    <w:uiPriority w:val="99"/>
    <w:semiHidden/>
    <w:unhideWhenUsed/>
    <w:rsid w:val="00FF6B7E"/>
    <w:pPr>
      <w:spacing w:before="100" w:beforeAutospacing="1" w:after="100" w:afterAutospacing="1" w:line="240" w:lineRule="auto"/>
    </w:pPr>
    <w:rPr>
      <w:rFonts w:ascii="Times New Roman" w:eastAsiaTheme="minorEastAsia" w:hAnsi="Times New Roman"/>
      <w:sz w:val="24"/>
    </w:rPr>
  </w:style>
  <w:style w:type="character" w:styleId="AkronymHTML">
    <w:name w:val="HTML Acronym"/>
    <w:basedOn w:val="Standardnpsmoodstavce"/>
    <w:uiPriority w:val="99"/>
    <w:semiHidden/>
    <w:unhideWhenUsed/>
    <w:rsid w:val="00FF6B7E"/>
  </w:style>
  <w:style w:type="character" w:styleId="Sledovanodkaz">
    <w:name w:val="FollowedHyperlink"/>
    <w:basedOn w:val="Standardnpsmoodstavce"/>
    <w:uiPriority w:val="99"/>
    <w:semiHidden/>
    <w:unhideWhenUsed/>
    <w:rsid w:val="00FF6B7E"/>
    <w:rPr>
      <w:color w:val="800080" w:themeColor="followedHyperlink"/>
      <w:u w:val="single"/>
    </w:rPr>
  </w:style>
  <w:style w:type="paragraph" w:styleId="Revize">
    <w:name w:val="Revision"/>
    <w:hidden/>
    <w:uiPriority w:val="99"/>
    <w:semiHidden/>
    <w:rsid w:val="00FF6B7E"/>
    <w:rPr>
      <w:rFonts w:asciiTheme="minorHAnsi" w:eastAsiaTheme="minorHAnsi" w:hAnsiTheme="minorHAnsi" w:cstheme="minorBidi"/>
      <w:sz w:val="22"/>
      <w:szCs w:val="22"/>
    </w:rPr>
  </w:style>
  <w:style w:type="table" w:customStyle="1" w:styleId="Tabulkasmkou4zvraznn21">
    <w:name w:val="Tabulka s mřížkou 4 – zvýraznění 21"/>
    <w:basedOn w:val="Normlntabulka"/>
    <w:uiPriority w:val="49"/>
    <w:rsid w:val="00FF6B7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FA7769"/>
    <w:pPr>
      <w:autoSpaceDE w:val="0"/>
      <w:autoSpaceDN w:val="0"/>
      <w:adjustRightInd w:val="0"/>
    </w:pPr>
    <w:rPr>
      <w:rFonts w:cs="Calibri"/>
      <w:color w:val="000000"/>
      <w:sz w:val="24"/>
      <w:szCs w:val="24"/>
    </w:rPr>
  </w:style>
  <w:style w:type="table" w:styleId="Mkatabulky">
    <w:name w:val="Table Grid"/>
    <w:basedOn w:val="Normlntabulka"/>
    <w:uiPriority w:val="39"/>
    <w:rsid w:val="00FA77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0068"/>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220614">
      <w:bodyDiv w:val="1"/>
      <w:marLeft w:val="0"/>
      <w:marRight w:val="0"/>
      <w:marTop w:val="0"/>
      <w:marBottom w:val="0"/>
      <w:divBdr>
        <w:top w:val="none" w:sz="0" w:space="0" w:color="auto"/>
        <w:left w:val="none" w:sz="0" w:space="0" w:color="auto"/>
        <w:bottom w:val="none" w:sz="0" w:space="0" w:color="auto"/>
        <w:right w:val="none" w:sz="0" w:space="0" w:color="auto"/>
      </w:divBdr>
    </w:div>
    <w:div w:id="11886719">
      <w:bodyDiv w:val="1"/>
      <w:marLeft w:val="0"/>
      <w:marRight w:val="0"/>
      <w:marTop w:val="0"/>
      <w:marBottom w:val="0"/>
      <w:divBdr>
        <w:top w:val="none" w:sz="0" w:space="0" w:color="auto"/>
        <w:left w:val="none" w:sz="0" w:space="0" w:color="auto"/>
        <w:bottom w:val="none" w:sz="0" w:space="0" w:color="auto"/>
        <w:right w:val="none" w:sz="0" w:space="0" w:color="auto"/>
      </w:divBdr>
    </w:div>
    <w:div w:id="12656228">
      <w:bodyDiv w:val="1"/>
      <w:marLeft w:val="0"/>
      <w:marRight w:val="0"/>
      <w:marTop w:val="0"/>
      <w:marBottom w:val="0"/>
      <w:divBdr>
        <w:top w:val="none" w:sz="0" w:space="0" w:color="auto"/>
        <w:left w:val="none" w:sz="0" w:space="0" w:color="auto"/>
        <w:bottom w:val="none" w:sz="0" w:space="0" w:color="auto"/>
        <w:right w:val="none" w:sz="0" w:space="0" w:color="auto"/>
      </w:divBdr>
    </w:div>
    <w:div w:id="51781289">
      <w:bodyDiv w:val="1"/>
      <w:marLeft w:val="0"/>
      <w:marRight w:val="0"/>
      <w:marTop w:val="0"/>
      <w:marBottom w:val="0"/>
      <w:divBdr>
        <w:top w:val="none" w:sz="0" w:space="0" w:color="auto"/>
        <w:left w:val="none" w:sz="0" w:space="0" w:color="auto"/>
        <w:bottom w:val="none" w:sz="0" w:space="0" w:color="auto"/>
        <w:right w:val="none" w:sz="0" w:space="0" w:color="auto"/>
      </w:divBdr>
    </w:div>
    <w:div w:id="64494352">
      <w:bodyDiv w:val="1"/>
      <w:marLeft w:val="0"/>
      <w:marRight w:val="0"/>
      <w:marTop w:val="0"/>
      <w:marBottom w:val="0"/>
      <w:divBdr>
        <w:top w:val="none" w:sz="0" w:space="0" w:color="auto"/>
        <w:left w:val="none" w:sz="0" w:space="0" w:color="auto"/>
        <w:bottom w:val="none" w:sz="0" w:space="0" w:color="auto"/>
        <w:right w:val="none" w:sz="0" w:space="0" w:color="auto"/>
      </w:divBdr>
    </w:div>
    <w:div w:id="67314034">
      <w:bodyDiv w:val="1"/>
      <w:marLeft w:val="0"/>
      <w:marRight w:val="0"/>
      <w:marTop w:val="0"/>
      <w:marBottom w:val="0"/>
      <w:divBdr>
        <w:top w:val="none" w:sz="0" w:space="0" w:color="auto"/>
        <w:left w:val="none" w:sz="0" w:space="0" w:color="auto"/>
        <w:bottom w:val="none" w:sz="0" w:space="0" w:color="auto"/>
        <w:right w:val="none" w:sz="0" w:space="0" w:color="auto"/>
      </w:divBdr>
    </w:div>
    <w:div w:id="96415765">
      <w:bodyDiv w:val="1"/>
      <w:marLeft w:val="0"/>
      <w:marRight w:val="0"/>
      <w:marTop w:val="0"/>
      <w:marBottom w:val="0"/>
      <w:divBdr>
        <w:top w:val="none" w:sz="0" w:space="0" w:color="auto"/>
        <w:left w:val="none" w:sz="0" w:space="0" w:color="auto"/>
        <w:bottom w:val="none" w:sz="0" w:space="0" w:color="auto"/>
        <w:right w:val="none" w:sz="0" w:space="0" w:color="auto"/>
      </w:divBdr>
    </w:div>
    <w:div w:id="131290682">
      <w:bodyDiv w:val="1"/>
      <w:marLeft w:val="0"/>
      <w:marRight w:val="0"/>
      <w:marTop w:val="0"/>
      <w:marBottom w:val="0"/>
      <w:divBdr>
        <w:top w:val="none" w:sz="0" w:space="0" w:color="auto"/>
        <w:left w:val="none" w:sz="0" w:space="0" w:color="auto"/>
        <w:bottom w:val="none" w:sz="0" w:space="0" w:color="auto"/>
        <w:right w:val="none" w:sz="0" w:space="0" w:color="auto"/>
      </w:divBdr>
    </w:div>
    <w:div w:id="136148230">
      <w:bodyDiv w:val="1"/>
      <w:marLeft w:val="0"/>
      <w:marRight w:val="0"/>
      <w:marTop w:val="0"/>
      <w:marBottom w:val="0"/>
      <w:divBdr>
        <w:top w:val="none" w:sz="0" w:space="0" w:color="auto"/>
        <w:left w:val="none" w:sz="0" w:space="0" w:color="auto"/>
        <w:bottom w:val="none" w:sz="0" w:space="0" w:color="auto"/>
        <w:right w:val="none" w:sz="0" w:space="0" w:color="auto"/>
      </w:divBdr>
    </w:div>
    <w:div w:id="146098176">
      <w:bodyDiv w:val="1"/>
      <w:marLeft w:val="0"/>
      <w:marRight w:val="0"/>
      <w:marTop w:val="0"/>
      <w:marBottom w:val="0"/>
      <w:divBdr>
        <w:top w:val="none" w:sz="0" w:space="0" w:color="auto"/>
        <w:left w:val="none" w:sz="0" w:space="0" w:color="auto"/>
        <w:bottom w:val="none" w:sz="0" w:space="0" w:color="auto"/>
        <w:right w:val="none" w:sz="0" w:space="0" w:color="auto"/>
      </w:divBdr>
    </w:div>
    <w:div w:id="157307858">
      <w:bodyDiv w:val="1"/>
      <w:marLeft w:val="0"/>
      <w:marRight w:val="0"/>
      <w:marTop w:val="0"/>
      <w:marBottom w:val="0"/>
      <w:divBdr>
        <w:top w:val="none" w:sz="0" w:space="0" w:color="auto"/>
        <w:left w:val="none" w:sz="0" w:space="0" w:color="auto"/>
        <w:bottom w:val="none" w:sz="0" w:space="0" w:color="auto"/>
        <w:right w:val="none" w:sz="0" w:space="0" w:color="auto"/>
      </w:divBdr>
    </w:div>
    <w:div w:id="162624470">
      <w:bodyDiv w:val="1"/>
      <w:marLeft w:val="0"/>
      <w:marRight w:val="0"/>
      <w:marTop w:val="0"/>
      <w:marBottom w:val="0"/>
      <w:divBdr>
        <w:top w:val="none" w:sz="0" w:space="0" w:color="auto"/>
        <w:left w:val="none" w:sz="0" w:space="0" w:color="auto"/>
        <w:bottom w:val="none" w:sz="0" w:space="0" w:color="auto"/>
        <w:right w:val="none" w:sz="0" w:space="0" w:color="auto"/>
      </w:divBdr>
    </w:div>
    <w:div w:id="184953217">
      <w:bodyDiv w:val="1"/>
      <w:marLeft w:val="0"/>
      <w:marRight w:val="0"/>
      <w:marTop w:val="0"/>
      <w:marBottom w:val="0"/>
      <w:divBdr>
        <w:top w:val="none" w:sz="0" w:space="0" w:color="auto"/>
        <w:left w:val="none" w:sz="0" w:space="0" w:color="auto"/>
        <w:bottom w:val="none" w:sz="0" w:space="0" w:color="auto"/>
        <w:right w:val="none" w:sz="0" w:space="0" w:color="auto"/>
      </w:divBdr>
    </w:div>
    <w:div w:id="202249707">
      <w:bodyDiv w:val="1"/>
      <w:marLeft w:val="0"/>
      <w:marRight w:val="0"/>
      <w:marTop w:val="0"/>
      <w:marBottom w:val="0"/>
      <w:divBdr>
        <w:top w:val="none" w:sz="0" w:space="0" w:color="auto"/>
        <w:left w:val="none" w:sz="0" w:space="0" w:color="auto"/>
        <w:bottom w:val="none" w:sz="0" w:space="0" w:color="auto"/>
        <w:right w:val="none" w:sz="0" w:space="0" w:color="auto"/>
      </w:divBdr>
    </w:div>
    <w:div w:id="216864958">
      <w:bodyDiv w:val="1"/>
      <w:marLeft w:val="0"/>
      <w:marRight w:val="0"/>
      <w:marTop w:val="0"/>
      <w:marBottom w:val="0"/>
      <w:divBdr>
        <w:top w:val="none" w:sz="0" w:space="0" w:color="auto"/>
        <w:left w:val="none" w:sz="0" w:space="0" w:color="auto"/>
        <w:bottom w:val="none" w:sz="0" w:space="0" w:color="auto"/>
        <w:right w:val="none" w:sz="0" w:space="0" w:color="auto"/>
      </w:divBdr>
    </w:div>
    <w:div w:id="227426368">
      <w:bodyDiv w:val="1"/>
      <w:marLeft w:val="0"/>
      <w:marRight w:val="0"/>
      <w:marTop w:val="0"/>
      <w:marBottom w:val="0"/>
      <w:divBdr>
        <w:top w:val="none" w:sz="0" w:space="0" w:color="auto"/>
        <w:left w:val="none" w:sz="0" w:space="0" w:color="auto"/>
        <w:bottom w:val="none" w:sz="0" w:space="0" w:color="auto"/>
        <w:right w:val="none" w:sz="0" w:space="0" w:color="auto"/>
      </w:divBdr>
    </w:div>
    <w:div w:id="238833676">
      <w:bodyDiv w:val="1"/>
      <w:marLeft w:val="0"/>
      <w:marRight w:val="0"/>
      <w:marTop w:val="0"/>
      <w:marBottom w:val="0"/>
      <w:divBdr>
        <w:top w:val="none" w:sz="0" w:space="0" w:color="auto"/>
        <w:left w:val="none" w:sz="0" w:space="0" w:color="auto"/>
        <w:bottom w:val="none" w:sz="0" w:space="0" w:color="auto"/>
        <w:right w:val="none" w:sz="0" w:space="0" w:color="auto"/>
      </w:divBdr>
    </w:div>
    <w:div w:id="244196123">
      <w:bodyDiv w:val="1"/>
      <w:marLeft w:val="0"/>
      <w:marRight w:val="0"/>
      <w:marTop w:val="0"/>
      <w:marBottom w:val="0"/>
      <w:divBdr>
        <w:top w:val="none" w:sz="0" w:space="0" w:color="auto"/>
        <w:left w:val="none" w:sz="0" w:space="0" w:color="auto"/>
        <w:bottom w:val="none" w:sz="0" w:space="0" w:color="auto"/>
        <w:right w:val="none" w:sz="0" w:space="0" w:color="auto"/>
      </w:divBdr>
    </w:div>
    <w:div w:id="24819646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8004268">
      <w:bodyDiv w:val="1"/>
      <w:marLeft w:val="0"/>
      <w:marRight w:val="0"/>
      <w:marTop w:val="0"/>
      <w:marBottom w:val="0"/>
      <w:divBdr>
        <w:top w:val="none" w:sz="0" w:space="0" w:color="auto"/>
        <w:left w:val="none" w:sz="0" w:space="0" w:color="auto"/>
        <w:bottom w:val="none" w:sz="0" w:space="0" w:color="auto"/>
        <w:right w:val="none" w:sz="0" w:space="0" w:color="auto"/>
      </w:divBdr>
    </w:div>
    <w:div w:id="273828714">
      <w:bodyDiv w:val="1"/>
      <w:marLeft w:val="0"/>
      <w:marRight w:val="0"/>
      <w:marTop w:val="0"/>
      <w:marBottom w:val="0"/>
      <w:divBdr>
        <w:top w:val="none" w:sz="0" w:space="0" w:color="auto"/>
        <w:left w:val="none" w:sz="0" w:space="0" w:color="auto"/>
        <w:bottom w:val="none" w:sz="0" w:space="0" w:color="auto"/>
        <w:right w:val="none" w:sz="0" w:space="0" w:color="auto"/>
      </w:divBdr>
    </w:div>
    <w:div w:id="282614780">
      <w:bodyDiv w:val="1"/>
      <w:marLeft w:val="0"/>
      <w:marRight w:val="0"/>
      <w:marTop w:val="0"/>
      <w:marBottom w:val="0"/>
      <w:divBdr>
        <w:top w:val="none" w:sz="0" w:space="0" w:color="auto"/>
        <w:left w:val="none" w:sz="0" w:space="0" w:color="auto"/>
        <w:bottom w:val="none" w:sz="0" w:space="0" w:color="auto"/>
        <w:right w:val="none" w:sz="0" w:space="0" w:color="auto"/>
      </w:divBdr>
    </w:div>
    <w:div w:id="337124206">
      <w:bodyDiv w:val="1"/>
      <w:marLeft w:val="0"/>
      <w:marRight w:val="0"/>
      <w:marTop w:val="0"/>
      <w:marBottom w:val="0"/>
      <w:divBdr>
        <w:top w:val="none" w:sz="0" w:space="0" w:color="auto"/>
        <w:left w:val="none" w:sz="0" w:space="0" w:color="auto"/>
        <w:bottom w:val="none" w:sz="0" w:space="0" w:color="auto"/>
        <w:right w:val="none" w:sz="0" w:space="0" w:color="auto"/>
      </w:divBdr>
    </w:div>
    <w:div w:id="346830375">
      <w:bodyDiv w:val="1"/>
      <w:marLeft w:val="0"/>
      <w:marRight w:val="0"/>
      <w:marTop w:val="0"/>
      <w:marBottom w:val="0"/>
      <w:divBdr>
        <w:top w:val="none" w:sz="0" w:space="0" w:color="auto"/>
        <w:left w:val="none" w:sz="0" w:space="0" w:color="auto"/>
        <w:bottom w:val="none" w:sz="0" w:space="0" w:color="auto"/>
        <w:right w:val="none" w:sz="0" w:space="0" w:color="auto"/>
      </w:divBdr>
    </w:div>
    <w:div w:id="363362159">
      <w:bodyDiv w:val="1"/>
      <w:marLeft w:val="0"/>
      <w:marRight w:val="0"/>
      <w:marTop w:val="0"/>
      <w:marBottom w:val="0"/>
      <w:divBdr>
        <w:top w:val="none" w:sz="0" w:space="0" w:color="auto"/>
        <w:left w:val="none" w:sz="0" w:space="0" w:color="auto"/>
        <w:bottom w:val="none" w:sz="0" w:space="0" w:color="auto"/>
        <w:right w:val="none" w:sz="0" w:space="0" w:color="auto"/>
      </w:divBdr>
    </w:div>
    <w:div w:id="402873178">
      <w:bodyDiv w:val="1"/>
      <w:marLeft w:val="0"/>
      <w:marRight w:val="0"/>
      <w:marTop w:val="0"/>
      <w:marBottom w:val="0"/>
      <w:divBdr>
        <w:top w:val="none" w:sz="0" w:space="0" w:color="auto"/>
        <w:left w:val="none" w:sz="0" w:space="0" w:color="auto"/>
        <w:bottom w:val="none" w:sz="0" w:space="0" w:color="auto"/>
        <w:right w:val="none" w:sz="0" w:space="0" w:color="auto"/>
      </w:divBdr>
    </w:div>
    <w:div w:id="409426037">
      <w:bodyDiv w:val="1"/>
      <w:marLeft w:val="0"/>
      <w:marRight w:val="0"/>
      <w:marTop w:val="0"/>
      <w:marBottom w:val="0"/>
      <w:divBdr>
        <w:top w:val="none" w:sz="0" w:space="0" w:color="auto"/>
        <w:left w:val="none" w:sz="0" w:space="0" w:color="auto"/>
        <w:bottom w:val="none" w:sz="0" w:space="0" w:color="auto"/>
        <w:right w:val="none" w:sz="0" w:space="0" w:color="auto"/>
      </w:divBdr>
    </w:div>
    <w:div w:id="409547024">
      <w:bodyDiv w:val="1"/>
      <w:marLeft w:val="0"/>
      <w:marRight w:val="0"/>
      <w:marTop w:val="0"/>
      <w:marBottom w:val="0"/>
      <w:divBdr>
        <w:top w:val="none" w:sz="0" w:space="0" w:color="auto"/>
        <w:left w:val="none" w:sz="0" w:space="0" w:color="auto"/>
        <w:bottom w:val="none" w:sz="0" w:space="0" w:color="auto"/>
        <w:right w:val="none" w:sz="0" w:space="0" w:color="auto"/>
      </w:divBdr>
    </w:div>
    <w:div w:id="410395155">
      <w:bodyDiv w:val="1"/>
      <w:marLeft w:val="0"/>
      <w:marRight w:val="0"/>
      <w:marTop w:val="0"/>
      <w:marBottom w:val="0"/>
      <w:divBdr>
        <w:top w:val="none" w:sz="0" w:space="0" w:color="auto"/>
        <w:left w:val="none" w:sz="0" w:space="0" w:color="auto"/>
        <w:bottom w:val="none" w:sz="0" w:space="0" w:color="auto"/>
        <w:right w:val="none" w:sz="0" w:space="0" w:color="auto"/>
      </w:divBdr>
    </w:div>
    <w:div w:id="424229158">
      <w:bodyDiv w:val="1"/>
      <w:marLeft w:val="0"/>
      <w:marRight w:val="0"/>
      <w:marTop w:val="0"/>
      <w:marBottom w:val="0"/>
      <w:divBdr>
        <w:top w:val="none" w:sz="0" w:space="0" w:color="auto"/>
        <w:left w:val="none" w:sz="0" w:space="0" w:color="auto"/>
        <w:bottom w:val="none" w:sz="0" w:space="0" w:color="auto"/>
        <w:right w:val="none" w:sz="0" w:space="0" w:color="auto"/>
      </w:divBdr>
    </w:div>
    <w:div w:id="429929301">
      <w:bodyDiv w:val="1"/>
      <w:marLeft w:val="0"/>
      <w:marRight w:val="0"/>
      <w:marTop w:val="0"/>
      <w:marBottom w:val="0"/>
      <w:divBdr>
        <w:top w:val="none" w:sz="0" w:space="0" w:color="auto"/>
        <w:left w:val="none" w:sz="0" w:space="0" w:color="auto"/>
        <w:bottom w:val="none" w:sz="0" w:space="0" w:color="auto"/>
        <w:right w:val="none" w:sz="0" w:space="0" w:color="auto"/>
      </w:divBdr>
    </w:div>
    <w:div w:id="464087545">
      <w:bodyDiv w:val="1"/>
      <w:marLeft w:val="0"/>
      <w:marRight w:val="0"/>
      <w:marTop w:val="0"/>
      <w:marBottom w:val="0"/>
      <w:divBdr>
        <w:top w:val="none" w:sz="0" w:space="0" w:color="auto"/>
        <w:left w:val="none" w:sz="0" w:space="0" w:color="auto"/>
        <w:bottom w:val="none" w:sz="0" w:space="0" w:color="auto"/>
        <w:right w:val="none" w:sz="0" w:space="0" w:color="auto"/>
      </w:divBdr>
    </w:div>
    <w:div w:id="46447296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857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7741705">
      <w:bodyDiv w:val="1"/>
      <w:marLeft w:val="0"/>
      <w:marRight w:val="0"/>
      <w:marTop w:val="0"/>
      <w:marBottom w:val="0"/>
      <w:divBdr>
        <w:top w:val="none" w:sz="0" w:space="0" w:color="auto"/>
        <w:left w:val="none" w:sz="0" w:space="0" w:color="auto"/>
        <w:bottom w:val="none" w:sz="0" w:space="0" w:color="auto"/>
        <w:right w:val="none" w:sz="0" w:space="0" w:color="auto"/>
      </w:divBdr>
    </w:div>
    <w:div w:id="558059046">
      <w:bodyDiv w:val="1"/>
      <w:marLeft w:val="0"/>
      <w:marRight w:val="0"/>
      <w:marTop w:val="0"/>
      <w:marBottom w:val="0"/>
      <w:divBdr>
        <w:top w:val="none" w:sz="0" w:space="0" w:color="auto"/>
        <w:left w:val="none" w:sz="0" w:space="0" w:color="auto"/>
        <w:bottom w:val="none" w:sz="0" w:space="0" w:color="auto"/>
        <w:right w:val="none" w:sz="0" w:space="0" w:color="auto"/>
      </w:divBdr>
    </w:div>
    <w:div w:id="562447004">
      <w:bodyDiv w:val="1"/>
      <w:marLeft w:val="0"/>
      <w:marRight w:val="0"/>
      <w:marTop w:val="0"/>
      <w:marBottom w:val="0"/>
      <w:divBdr>
        <w:top w:val="none" w:sz="0" w:space="0" w:color="auto"/>
        <w:left w:val="none" w:sz="0" w:space="0" w:color="auto"/>
        <w:bottom w:val="none" w:sz="0" w:space="0" w:color="auto"/>
        <w:right w:val="none" w:sz="0" w:space="0" w:color="auto"/>
      </w:divBdr>
    </w:div>
    <w:div w:id="570388989">
      <w:bodyDiv w:val="1"/>
      <w:marLeft w:val="0"/>
      <w:marRight w:val="0"/>
      <w:marTop w:val="0"/>
      <w:marBottom w:val="0"/>
      <w:divBdr>
        <w:top w:val="none" w:sz="0" w:space="0" w:color="auto"/>
        <w:left w:val="none" w:sz="0" w:space="0" w:color="auto"/>
        <w:bottom w:val="none" w:sz="0" w:space="0" w:color="auto"/>
        <w:right w:val="none" w:sz="0" w:space="0" w:color="auto"/>
      </w:divBdr>
    </w:div>
    <w:div w:id="571165386">
      <w:bodyDiv w:val="1"/>
      <w:marLeft w:val="0"/>
      <w:marRight w:val="0"/>
      <w:marTop w:val="0"/>
      <w:marBottom w:val="0"/>
      <w:divBdr>
        <w:top w:val="none" w:sz="0" w:space="0" w:color="auto"/>
        <w:left w:val="none" w:sz="0" w:space="0" w:color="auto"/>
        <w:bottom w:val="none" w:sz="0" w:space="0" w:color="auto"/>
        <w:right w:val="none" w:sz="0" w:space="0" w:color="auto"/>
      </w:divBdr>
    </w:div>
    <w:div w:id="574508167">
      <w:bodyDiv w:val="1"/>
      <w:marLeft w:val="0"/>
      <w:marRight w:val="0"/>
      <w:marTop w:val="0"/>
      <w:marBottom w:val="0"/>
      <w:divBdr>
        <w:top w:val="none" w:sz="0" w:space="0" w:color="auto"/>
        <w:left w:val="none" w:sz="0" w:space="0" w:color="auto"/>
        <w:bottom w:val="none" w:sz="0" w:space="0" w:color="auto"/>
        <w:right w:val="none" w:sz="0" w:space="0" w:color="auto"/>
      </w:divBdr>
    </w:div>
    <w:div w:id="574826675">
      <w:bodyDiv w:val="1"/>
      <w:marLeft w:val="0"/>
      <w:marRight w:val="0"/>
      <w:marTop w:val="0"/>
      <w:marBottom w:val="0"/>
      <w:divBdr>
        <w:top w:val="none" w:sz="0" w:space="0" w:color="auto"/>
        <w:left w:val="none" w:sz="0" w:space="0" w:color="auto"/>
        <w:bottom w:val="none" w:sz="0" w:space="0" w:color="auto"/>
        <w:right w:val="none" w:sz="0" w:space="0" w:color="auto"/>
      </w:divBdr>
    </w:div>
    <w:div w:id="580021523">
      <w:bodyDiv w:val="1"/>
      <w:marLeft w:val="0"/>
      <w:marRight w:val="0"/>
      <w:marTop w:val="0"/>
      <w:marBottom w:val="0"/>
      <w:divBdr>
        <w:top w:val="none" w:sz="0" w:space="0" w:color="auto"/>
        <w:left w:val="none" w:sz="0" w:space="0" w:color="auto"/>
        <w:bottom w:val="none" w:sz="0" w:space="0" w:color="auto"/>
        <w:right w:val="none" w:sz="0" w:space="0" w:color="auto"/>
      </w:divBdr>
    </w:div>
    <w:div w:id="600839358">
      <w:bodyDiv w:val="1"/>
      <w:marLeft w:val="0"/>
      <w:marRight w:val="0"/>
      <w:marTop w:val="0"/>
      <w:marBottom w:val="0"/>
      <w:divBdr>
        <w:top w:val="none" w:sz="0" w:space="0" w:color="auto"/>
        <w:left w:val="none" w:sz="0" w:space="0" w:color="auto"/>
        <w:bottom w:val="none" w:sz="0" w:space="0" w:color="auto"/>
        <w:right w:val="none" w:sz="0" w:space="0" w:color="auto"/>
      </w:divBdr>
    </w:div>
    <w:div w:id="630401437">
      <w:bodyDiv w:val="1"/>
      <w:marLeft w:val="0"/>
      <w:marRight w:val="0"/>
      <w:marTop w:val="0"/>
      <w:marBottom w:val="0"/>
      <w:divBdr>
        <w:top w:val="none" w:sz="0" w:space="0" w:color="auto"/>
        <w:left w:val="none" w:sz="0" w:space="0" w:color="auto"/>
        <w:bottom w:val="none" w:sz="0" w:space="0" w:color="auto"/>
        <w:right w:val="none" w:sz="0" w:space="0" w:color="auto"/>
      </w:divBdr>
    </w:div>
    <w:div w:id="632712745">
      <w:bodyDiv w:val="1"/>
      <w:marLeft w:val="0"/>
      <w:marRight w:val="0"/>
      <w:marTop w:val="0"/>
      <w:marBottom w:val="0"/>
      <w:divBdr>
        <w:top w:val="none" w:sz="0" w:space="0" w:color="auto"/>
        <w:left w:val="none" w:sz="0" w:space="0" w:color="auto"/>
        <w:bottom w:val="none" w:sz="0" w:space="0" w:color="auto"/>
        <w:right w:val="none" w:sz="0" w:space="0" w:color="auto"/>
      </w:divBdr>
    </w:div>
    <w:div w:id="645672927">
      <w:bodyDiv w:val="1"/>
      <w:marLeft w:val="0"/>
      <w:marRight w:val="0"/>
      <w:marTop w:val="0"/>
      <w:marBottom w:val="0"/>
      <w:divBdr>
        <w:top w:val="none" w:sz="0" w:space="0" w:color="auto"/>
        <w:left w:val="none" w:sz="0" w:space="0" w:color="auto"/>
        <w:bottom w:val="none" w:sz="0" w:space="0" w:color="auto"/>
        <w:right w:val="none" w:sz="0" w:space="0" w:color="auto"/>
      </w:divBdr>
    </w:div>
    <w:div w:id="671493523">
      <w:bodyDiv w:val="1"/>
      <w:marLeft w:val="0"/>
      <w:marRight w:val="0"/>
      <w:marTop w:val="0"/>
      <w:marBottom w:val="0"/>
      <w:divBdr>
        <w:top w:val="none" w:sz="0" w:space="0" w:color="auto"/>
        <w:left w:val="none" w:sz="0" w:space="0" w:color="auto"/>
        <w:bottom w:val="none" w:sz="0" w:space="0" w:color="auto"/>
        <w:right w:val="none" w:sz="0" w:space="0" w:color="auto"/>
      </w:divBdr>
    </w:div>
    <w:div w:id="673993496">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3869834">
      <w:bodyDiv w:val="1"/>
      <w:marLeft w:val="0"/>
      <w:marRight w:val="0"/>
      <w:marTop w:val="0"/>
      <w:marBottom w:val="0"/>
      <w:divBdr>
        <w:top w:val="none" w:sz="0" w:space="0" w:color="auto"/>
        <w:left w:val="none" w:sz="0" w:space="0" w:color="auto"/>
        <w:bottom w:val="none" w:sz="0" w:space="0" w:color="auto"/>
        <w:right w:val="none" w:sz="0" w:space="0" w:color="auto"/>
      </w:divBdr>
    </w:div>
    <w:div w:id="712928135">
      <w:bodyDiv w:val="1"/>
      <w:marLeft w:val="0"/>
      <w:marRight w:val="0"/>
      <w:marTop w:val="0"/>
      <w:marBottom w:val="0"/>
      <w:divBdr>
        <w:top w:val="none" w:sz="0" w:space="0" w:color="auto"/>
        <w:left w:val="none" w:sz="0" w:space="0" w:color="auto"/>
        <w:bottom w:val="none" w:sz="0" w:space="0" w:color="auto"/>
        <w:right w:val="none" w:sz="0" w:space="0" w:color="auto"/>
      </w:divBdr>
    </w:div>
    <w:div w:id="722801374">
      <w:bodyDiv w:val="1"/>
      <w:marLeft w:val="0"/>
      <w:marRight w:val="0"/>
      <w:marTop w:val="0"/>
      <w:marBottom w:val="0"/>
      <w:divBdr>
        <w:top w:val="none" w:sz="0" w:space="0" w:color="auto"/>
        <w:left w:val="none" w:sz="0" w:space="0" w:color="auto"/>
        <w:bottom w:val="none" w:sz="0" w:space="0" w:color="auto"/>
        <w:right w:val="none" w:sz="0" w:space="0" w:color="auto"/>
      </w:divBdr>
    </w:div>
    <w:div w:id="729546883">
      <w:bodyDiv w:val="1"/>
      <w:marLeft w:val="0"/>
      <w:marRight w:val="0"/>
      <w:marTop w:val="0"/>
      <w:marBottom w:val="0"/>
      <w:divBdr>
        <w:top w:val="none" w:sz="0" w:space="0" w:color="auto"/>
        <w:left w:val="none" w:sz="0" w:space="0" w:color="auto"/>
        <w:bottom w:val="none" w:sz="0" w:space="0" w:color="auto"/>
        <w:right w:val="none" w:sz="0" w:space="0" w:color="auto"/>
      </w:divBdr>
    </w:div>
    <w:div w:id="730006583">
      <w:bodyDiv w:val="1"/>
      <w:marLeft w:val="0"/>
      <w:marRight w:val="0"/>
      <w:marTop w:val="0"/>
      <w:marBottom w:val="0"/>
      <w:divBdr>
        <w:top w:val="none" w:sz="0" w:space="0" w:color="auto"/>
        <w:left w:val="none" w:sz="0" w:space="0" w:color="auto"/>
        <w:bottom w:val="none" w:sz="0" w:space="0" w:color="auto"/>
        <w:right w:val="none" w:sz="0" w:space="0" w:color="auto"/>
      </w:divBdr>
    </w:div>
    <w:div w:id="735709201">
      <w:bodyDiv w:val="1"/>
      <w:marLeft w:val="0"/>
      <w:marRight w:val="0"/>
      <w:marTop w:val="0"/>
      <w:marBottom w:val="0"/>
      <w:divBdr>
        <w:top w:val="none" w:sz="0" w:space="0" w:color="auto"/>
        <w:left w:val="none" w:sz="0" w:space="0" w:color="auto"/>
        <w:bottom w:val="none" w:sz="0" w:space="0" w:color="auto"/>
        <w:right w:val="none" w:sz="0" w:space="0" w:color="auto"/>
      </w:divBdr>
    </w:div>
    <w:div w:id="776414278">
      <w:bodyDiv w:val="1"/>
      <w:marLeft w:val="0"/>
      <w:marRight w:val="0"/>
      <w:marTop w:val="0"/>
      <w:marBottom w:val="0"/>
      <w:divBdr>
        <w:top w:val="none" w:sz="0" w:space="0" w:color="auto"/>
        <w:left w:val="none" w:sz="0" w:space="0" w:color="auto"/>
        <w:bottom w:val="none" w:sz="0" w:space="0" w:color="auto"/>
        <w:right w:val="none" w:sz="0" w:space="0" w:color="auto"/>
      </w:divBdr>
    </w:div>
    <w:div w:id="780103339">
      <w:bodyDiv w:val="1"/>
      <w:marLeft w:val="0"/>
      <w:marRight w:val="0"/>
      <w:marTop w:val="0"/>
      <w:marBottom w:val="0"/>
      <w:divBdr>
        <w:top w:val="none" w:sz="0" w:space="0" w:color="auto"/>
        <w:left w:val="none" w:sz="0" w:space="0" w:color="auto"/>
        <w:bottom w:val="none" w:sz="0" w:space="0" w:color="auto"/>
        <w:right w:val="none" w:sz="0" w:space="0" w:color="auto"/>
      </w:divBdr>
    </w:div>
    <w:div w:id="814568788">
      <w:bodyDiv w:val="1"/>
      <w:marLeft w:val="0"/>
      <w:marRight w:val="0"/>
      <w:marTop w:val="0"/>
      <w:marBottom w:val="0"/>
      <w:divBdr>
        <w:top w:val="none" w:sz="0" w:space="0" w:color="auto"/>
        <w:left w:val="none" w:sz="0" w:space="0" w:color="auto"/>
        <w:bottom w:val="none" w:sz="0" w:space="0" w:color="auto"/>
        <w:right w:val="none" w:sz="0" w:space="0" w:color="auto"/>
      </w:divBdr>
    </w:div>
    <w:div w:id="820119784">
      <w:bodyDiv w:val="1"/>
      <w:marLeft w:val="0"/>
      <w:marRight w:val="0"/>
      <w:marTop w:val="0"/>
      <w:marBottom w:val="0"/>
      <w:divBdr>
        <w:top w:val="none" w:sz="0" w:space="0" w:color="auto"/>
        <w:left w:val="none" w:sz="0" w:space="0" w:color="auto"/>
        <w:bottom w:val="none" w:sz="0" w:space="0" w:color="auto"/>
        <w:right w:val="none" w:sz="0" w:space="0" w:color="auto"/>
      </w:divBdr>
    </w:div>
    <w:div w:id="821048653">
      <w:bodyDiv w:val="1"/>
      <w:marLeft w:val="0"/>
      <w:marRight w:val="0"/>
      <w:marTop w:val="0"/>
      <w:marBottom w:val="0"/>
      <w:divBdr>
        <w:top w:val="none" w:sz="0" w:space="0" w:color="auto"/>
        <w:left w:val="none" w:sz="0" w:space="0" w:color="auto"/>
        <w:bottom w:val="none" w:sz="0" w:space="0" w:color="auto"/>
        <w:right w:val="none" w:sz="0" w:space="0" w:color="auto"/>
      </w:divBdr>
    </w:div>
    <w:div w:id="836188886">
      <w:bodyDiv w:val="1"/>
      <w:marLeft w:val="0"/>
      <w:marRight w:val="0"/>
      <w:marTop w:val="0"/>
      <w:marBottom w:val="0"/>
      <w:divBdr>
        <w:top w:val="none" w:sz="0" w:space="0" w:color="auto"/>
        <w:left w:val="none" w:sz="0" w:space="0" w:color="auto"/>
        <w:bottom w:val="none" w:sz="0" w:space="0" w:color="auto"/>
        <w:right w:val="none" w:sz="0" w:space="0" w:color="auto"/>
      </w:divBdr>
    </w:div>
    <w:div w:id="841552094">
      <w:bodyDiv w:val="1"/>
      <w:marLeft w:val="0"/>
      <w:marRight w:val="0"/>
      <w:marTop w:val="0"/>
      <w:marBottom w:val="0"/>
      <w:divBdr>
        <w:top w:val="none" w:sz="0" w:space="0" w:color="auto"/>
        <w:left w:val="none" w:sz="0" w:space="0" w:color="auto"/>
        <w:bottom w:val="none" w:sz="0" w:space="0" w:color="auto"/>
        <w:right w:val="none" w:sz="0" w:space="0" w:color="auto"/>
      </w:divBdr>
    </w:div>
    <w:div w:id="847016205">
      <w:bodyDiv w:val="1"/>
      <w:marLeft w:val="0"/>
      <w:marRight w:val="0"/>
      <w:marTop w:val="0"/>
      <w:marBottom w:val="0"/>
      <w:divBdr>
        <w:top w:val="none" w:sz="0" w:space="0" w:color="auto"/>
        <w:left w:val="none" w:sz="0" w:space="0" w:color="auto"/>
        <w:bottom w:val="none" w:sz="0" w:space="0" w:color="auto"/>
        <w:right w:val="none" w:sz="0" w:space="0" w:color="auto"/>
      </w:divBdr>
    </w:div>
    <w:div w:id="860045721">
      <w:bodyDiv w:val="1"/>
      <w:marLeft w:val="0"/>
      <w:marRight w:val="0"/>
      <w:marTop w:val="0"/>
      <w:marBottom w:val="0"/>
      <w:divBdr>
        <w:top w:val="none" w:sz="0" w:space="0" w:color="auto"/>
        <w:left w:val="none" w:sz="0" w:space="0" w:color="auto"/>
        <w:bottom w:val="none" w:sz="0" w:space="0" w:color="auto"/>
        <w:right w:val="none" w:sz="0" w:space="0" w:color="auto"/>
      </w:divBdr>
    </w:div>
    <w:div w:id="880442670">
      <w:bodyDiv w:val="1"/>
      <w:marLeft w:val="0"/>
      <w:marRight w:val="0"/>
      <w:marTop w:val="0"/>
      <w:marBottom w:val="0"/>
      <w:divBdr>
        <w:top w:val="none" w:sz="0" w:space="0" w:color="auto"/>
        <w:left w:val="none" w:sz="0" w:space="0" w:color="auto"/>
        <w:bottom w:val="none" w:sz="0" w:space="0" w:color="auto"/>
        <w:right w:val="none" w:sz="0" w:space="0" w:color="auto"/>
      </w:divBdr>
    </w:div>
    <w:div w:id="886184921">
      <w:bodyDiv w:val="1"/>
      <w:marLeft w:val="0"/>
      <w:marRight w:val="0"/>
      <w:marTop w:val="0"/>
      <w:marBottom w:val="0"/>
      <w:divBdr>
        <w:top w:val="none" w:sz="0" w:space="0" w:color="auto"/>
        <w:left w:val="none" w:sz="0" w:space="0" w:color="auto"/>
        <w:bottom w:val="none" w:sz="0" w:space="0" w:color="auto"/>
        <w:right w:val="none" w:sz="0" w:space="0" w:color="auto"/>
      </w:divBdr>
    </w:div>
    <w:div w:id="890962879">
      <w:bodyDiv w:val="1"/>
      <w:marLeft w:val="0"/>
      <w:marRight w:val="0"/>
      <w:marTop w:val="0"/>
      <w:marBottom w:val="0"/>
      <w:divBdr>
        <w:top w:val="none" w:sz="0" w:space="0" w:color="auto"/>
        <w:left w:val="none" w:sz="0" w:space="0" w:color="auto"/>
        <w:bottom w:val="none" w:sz="0" w:space="0" w:color="auto"/>
        <w:right w:val="none" w:sz="0" w:space="0" w:color="auto"/>
      </w:divBdr>
    </w:div>
    <w:div w:id="936911629">
      <w:bodyDiv w:val="1"/>
      <w:marLeft w:val="0"/>
      <w:marRight w:val="0"/>
      <w:marTop w:val="0"/>
      <w:marBottom w:val="0"/>
      <w:divBdr>
        <w:top w:val="none" w:sz="0" w:space="0" w:color="auto"/>
        <w:left w:val="none" w:sz="0" w:space="0" w:color="auto"/>
        <w:bottom w:val="none" w:sz="0" w:space="0" w:color="auto"/>
        <w:right w:val="none" w:sz="0" w:space="0" w:color="auto"/>
      </w:divBdr>
    </w:div>
    <w:div w:id="945498325">
      <w:bodyDiv w:val="1"/>
      <w:marLeft w:val="0"/>
      <w:marRight w:val="0"/>
      <w:marTop w:val="0"/>
      <w:marBottom w:val="0"/>
      <w:divBdr>
        <w:top w:val="none" w:sz="0" w:space="0" w:color="auto"/>
        <w:left w:val="none" w:sz="0" w:space="0" w:color="auto"/>
        <w:bottom w:val="none" w:sz="0" w:space="0" w:color="auto"/>
        <w:right w:val="none" w:sz="0" w:space="0" w:color="auto"/>
      </w:divBdr>
    </w:div>
    <w:div w:id="958683493">
      <w:bodyDiv w:val="1"/>
      <w:marLeft w:val="0"/>
      <w:marRight w:val="0"/>
      <w:marTop w:val="0"/>
      <w:marBottom w:val="0"/>
      <w:divBdr>
        <w:top w:val="none" w:sz="0" w:space="0" w:color="auto"/>
        <w:left w:val="none" w:sz="0" w:space="0" w:color="auto"/>
        <w:bottom w:val="none" w:sz="0" w:space="0" w:color="auto"/>
        <w:right w:val="none" w:sz="0" w:space="0" w:color="auto"/>
      </w:divBdr>
    </w:div>
    <w:div w:id="962004179">
      <w:bodyDiv w:val="1"/>
      <w:marLeft w:val="0"/>
      <w:marRight w:val="0"/>
      <w:marTop w:val="0"/>
      <w:marBottom w:val="0"/>
      <w:divBdr>
        <w:top w:val="none" w:sz="0" w:space="0" w:color="auto"/>
        <w:left w:val="none" w:sz="0" w:space="0" w:color="auto"/>
        <w:bottom w:val="none" w:sz="0" w:space="0" w:color="auto"/>
        <w:right w:val="none" w:sz="0" w:space="0" w:color="auto"/>
      </w:divBdr>
    </w:div>
    <w:div w:id="969478194">
      <w:bodyDiv w:val="1"/>
      <w:marLeft w:val="0"/>
      <w:marRight w:val="0"/>
      <w:marTop w:val="0"/>
      <w:marBottom w:val="0"/>
      <w:divBdr>
        <w:top w:val="none" w:sz="0" w:space="0" w:color="auto"/>
        <w:left w:val="none" w:sz="0" w:space="0" w:color="auto"/>
        <w:bottom w:val="none" w:sz="0" w:space="0" w:color="auto"/>
        <w:right w:val="none" w:sz="0" w:space="0" w:color="auto"/>
      </w:divBdr>
    </w:div>
    <w:div w:id="980115784">
      <w:bodyDiv w:val="1"/>
      <w:marLeft w:val="0"/>
      <w:marRight w:val="0"/>
      <w:marTop w:val="0"/>
      <w:marBottom w:val="0"/>
      <w:divBdr>
        <w:top w:val="none" w:sz="0" w:space="0" w:color="auto"/>
        <w:left w:val="none" w:sz="0" w:space="0" w:color="auto"/>
        <w:bottom w:val="none" w:sz="0" w:space="0" w:color="auto"/>
        <w:right w:val="none" w:sz="0" w:space="0" w:color="auto"/>
      </w:divBdr>
    </w:div>
    <w:div w:id="996884606">
      <w:bodyDiv w:val="1"/>
      <w:marLeft w:val="0"/>
      <w:marRight w:val="0"/>
      <w:marTop w:val="0"/>
      <w:marBottom w:val="0"/>
      <w:divBdr>
        <w:top w:val="none" w:sz="0" w:space="0" w:color="auto"/>
        <w:left w:val="none" w:sz="0" w:space="0" w:color="auto"/>
        <w:bottom w:val="none" w:sz="0" w:space="0" w:color="auto"/>
        <w:right w:val="none" w:sz="0" w:space="0" w:color="auto"/>
      </w:divBdr>
    </w:div>
    <w:div w:id="1000623876">
      <w:bodyDiv w:val="1"/>
      <w:marLeft w:val="0"/>
      <w:marRight w:val="0"/>
      <w:marTop w:val="0"/>
      <w:marBottom w:val="0"/>
      <w:divBdr>
        <w:top w:val="none" w:sz="0" w:space="0" w:color="auto"/>
        <w:left w:val="none" w:sz="0" w:space="0" w:color="auto"/>
        <w:bottom w:val="none" w:sz="0" w:space="0" w:color="auto"/>
        <w:right w:val="none" w:sz="0" w:space="0" w:color="auto"/>
      </w:divBdr>
    </w:div>
    <w:div w:id="1036655908">
      <w:bodyDiv w:val="1"/>
      <w:marLeft w:val="0"/>
      <w:marRight w:val="0"/>
      <w:marTop w:val="0"/>
      <w:marBottom w:val="0"/>
      <w:divBdr>
        <w:top w:val="none" w:sz="0" w:space="0" w:color="auto"/>
        <w:left w:val="none" w:sz="0" w:space="0" w:color="auto"/>
        <w:bottom w:val="none" w:sz="0" w:space="0" w:color="auto"/>
        <w:right w:val="none" w:sz="0" w:space="0" w:color="auto"/>
      </w:divBdr>
    </w:div>
    <w:div w:id="1039089916">
      <w:bodyDiv w:val="1"/>
      <w:marLeft w:val="0"/>
      <w:marRight w:val="0"/>
      <w:marTop w:val="0"/>
      <w:marBottom w:val="0"/>
      <w:divBdr>
        <w:top w:val="none" w:sz="0" w:space="0" w:color="auto"/>
        <w:left w:val="none" w:sz="0" w:space="0" w:color="auto"/>
        <w:bottom w:val="none" w:sz="0" w:space="0" w:color="auto"/>
        <w:right w:val="none" w:sz="0" w:space="0" w:color="auto"/>
      </w:divBdr>
    </w:div>
    <w:div w:id="1040010835">
      <w:bodyDiv w:val="1"/>
      <w:marLeft w:val="0"/>
      <w:marRight w:val="0"/>
      <w:marTop w:val="0"/>
      <w:marBottom w:val="0"/>
      <w:divBdr>
        <w:top w:val="none" w:sz="0" w:space="0" w:color="auto"/>
        <w:left w:val="none" w:sz="0" w:space="0" w:color="auto"/>
        <w:bottom w:val="none" w:sz="0" w:space="0" w:color="auto"/>
        <w:right w:val="none" w:sz="0" w:space="0" w:color="auto"/>
      </w:divBdr>
    </w:div>
    <w:div w:id="1046293727">
      <w:bodyDiv w:val="1"/>
      <w:marLeft w:val="0"/>
      <w:marRight w:val="0"/>
      <w:marTop w:val="0"/>
      <w:marBottom w:val="0"/>
      <w:divBdr>
        <w:top w:val="none" w:sz="0" w:space="0" w:color="auto"/>
        <w:left w:val="none" w:sz="0" w:space="0" w:color="auto"/>
        <w:bottom w:val="none" w:sz="0" w:space="0" w:color="auto"/>
        <w:right w:val="none" w:sz="0" w:space="0" w:color="auto"/>
      </w:divBdr>
    </w:div>
    <w:div w:id="1128203033">
      <w:bodyDiv w:val="1"/>
      <w:marLeft w:val="0"/>
      <w:marRight w:val="0"/>
      <w:marTop w:val="0"/>
      <w:marBottom w:val="0"/>
      <w:divBdr>
        <w:top w:val="none" w:sz="0" w:space="0" w:color="auto"/>
        <w:left w:val="none" w:sz="0" w:space="0" w:color="auto"/>
        <w:bottom w:val="none" w:sz="0" w:space="0" w:color="auto"/>
        <w:right w:val="none" w:sz="0" w:space="0" w:color="auto"/>
      </w:divBdr>
    </w:div>
    <w:div w:id="1128552732">
      <w:bodyDiv w:val="1"/>
      <w:marLeft w:val="0"/>
      <w:marRight w:val="0"/>
      <w:marTop w:val="0"/>
      <w:marBottom w:val="0"/>
      <w:divBdr>
        <w:top w:val="none" w:sz="0" w:space="0" w:color="auto"/>
        <w:left w:val="none" w:sz="0" w:space="0" w:color="auto"/>
        <w:bottom w:val="none" w:sz="0" w:space="0" w:color="auto"/>
        <w:right w:val="none" w:sz="0" w:space="0" w:color="auto"/>
      </w:divBdr>
    </w:div>
    <w:div w:id="1141462122">
      <w:bodyDiv w:val="1"/>
      <w:marLeft w:val="0"/>
      <w:marRight w:val="0"/>
      <w:marTop w:val="0"/>
      <w:marBottom w:val="0"/>
      <w:divBdr>
        <w:top w:val="none" w:sz="0" w:space="0" w:color="auto"/>
        <w:left w:val="none" w:sz="0" w:space="0" w:color="auto"/>
        <w:bottom w:val="none" w:sz="0" w:space="0" w:color="auto"/>
        <w:right w:val="none" w:sz="0" w:space="0" w:color="auto"/>
      </w:divBdr>
    </w:div>
    <w:div w:id="1144539996">
      <w:bodyDiv w:val="1"/>
      <w:marLeft w:val="0"/>
      <w:marRight w:val="0"/>
      <w:marTop w:val="0"/>
      <w:marBottom w:val="0"/>
      <w:divBdr>
        <w:top w:val="none" w:sz="0" w:space="0" w:color="auto"/>
        <w:left w:val="none" w:sz="0" w:space="0" w:color="auto"/>
        <w:bottom w:val="none" w:sz="0" w:space="0" w:color="auto"/>
        <w:right w:val="none" w:sz="0" w:space="0" w:color="auto"/>
      </w:divBdr>
    </w:div>
    <w:div w:id="1148596055">
      <w:bodyDiv w:val="1"/>
      <w:marLeft w:val="0"/>
      <w:marRight w:val="0"/>
      <w:marTop w:val="0"/>
      <w:marBottom w:val="0"/>
      <w:divBdr>
        <w:top w:val="none" w:sz="0" w:space="0" w:color="auto"/>
        <w:left w:val="none" w:sz="0" w:space="0" w:color="auto"/>
        <w:bottom w:val="none" w:sz="0" w:space="0" w:color="auto"/>
        <w:right w:val="none" w:sz="0" w:space="0" w:color="auto"/>
      </w:divBdr>
    </w:div>
    <w:div w:id="1154489333">
      <w:bodyDiv w:val="1"/>
      <w:marLeft w:val="0"/>
      <w:marRight w:val="0"/>
      <w:marTop w:val="0"/>
      <w:marBottom w:val="0"/>
      <w:divBdr>
        <w:top w:val="none" w:sz="0" w:space="0" w:color="auto"/>
        <w:left w:val="none" w:sz="0" w:space="0" w:color="auto"/>
        <w:bottom w:val="none" w:sz="0" w:space="0" w:color="auto"/>
        <w:right w:val="none" w:sz="0" w:space="0" w:color="auto"/>
      </w:divBdr>
    </w:div>
    <w:div w:id="1162434124">
      <w:bodyDiv w:val="1"/>
      <w:marLeft w:val="0"/>
      <w:marRight w:val="0"/>
      <w:marTop w:val="0"/>
      <w:marBottom w:val="0"/>
      <w:divBdr>
        <w:top w:val="none" w:sz="0" w:space="0" w:color="auto"/>
        <w:left w:val="none" w:sz="0" w:space="0" w:color="auto"/>
        <w:bottom w:val="none" w:sz="0" w:space="0" w:color="auto"/>
        <w:right w:val="none" w:sz="0" w:space="0" w:color="auto"/>
      </w:divBdr>
    </w:div>
    <w:div w:id="1163352508">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171873653">
      <w:bodyDiv w:val="1"/>
      <w:marLeft w:val="0"/>
      <w:marRight w:val="0"/>
      <w:marTop w:val="0"/>
      <w:marBottom w:val="0"/>
      <w:divBdr>
        <w:top w:val="none" w:sz="0" w:space="0" w:color="auto"/>
        <w:left w:val="none" w:sz="0" w:space="0" w:color="auto"/>
        <w:bottom w:val="none" w:sz="0" w:space="0" w:color="auto"/>
        <w:right w:val="none" w:sz="0" w:space="0" w:color="auto"/>
      </w:divBdr>
    </w:div>
    <w:div w:id="11802680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300773">
      <w:bodyDiv w:val="1"/>
      <w:marLeft w:val="0"/>
      <w:marRight w:val="0"/>
      <w:marTop w:val="0"/>
      <w:marBottom w:val="0"/>
      <w:divBdr>
        <w:top w:val="none" w:sz="0" w:space="0" w:color="auto"/>
        <w:left w:val="none" w:sz="0" w:space="0" w:color="auto"/>
        <w:bottom w:val="none" w:sz="0" w:space="0" w:color="auto"/>
        <w:right w:val="none" w:sz="0" w:space="0" w:color="auto"/>
      </w:divBdr>
    </w:div>
    <w:div w:id="1220089556">
      <w:bodyDiv w:val="1"/>
      <w:marLeft w:val="0"/>
      <w:marRight w:val="0"/>
      <w:marTop w:val="0"/>
      <w:marBottom w:val="0"/>
      <w:divBdr>
        <w:top w:val="none" w:sz="0" w:space="0" w:color="auto"/>
        <w:left w:val="none" w:sz="0" w:space="0" w:color="auto"/>
        <w:bottom w:val="none" w:sz="0" w:space="0" w:color="auto"/>
        <w:right w:val="none" w:sz="0" w:space="0" w:color="auto"/>
      </w:divBdr>
    </w:div>
    <w:div w:id="1227765865">
      <w:bodyDiv w:val="1"/>
      <w:marLeft w:val="0"/>
      <w:marRight w:val="0"/>
      <w:marTop w:val="0"/>
      <w:marBottom w:val="0"/>
      <w:divBdr>
        <w:top w:val="none" w:sz="0" w:space="0" w:color="auto"/>
        <w:left w:val="none" w:sz="0" w:space="0" w:color="auto"/>
        <w:bottom w:val="none" w:sz="0" w:space="0" w:color="auto"/>
        <w:right w:val="none" w:sz="0" w:space="0" w:color="auto"/>
      </w:divBdr>
    </w:div>
    <w:div w:id="1238128276">
      <w:bodyDiv w:val="1"/>
      <w:marLeft w:val="0"/>
      <w:marRight w:val="0"/>
      <w:marTop w:val="0"/>
      <w:marBottom w:val="0"/>
      <w:divBdr>
        <w:top w:val="none" w:sz="0" w:space="0" w:color="auto"/>
        <w:left w:val="none" w:sz="0" w:space="0" w:color="auto"/>
        <w:bottom w:val="none" w:sz="0" w:space="0" w:color="auto"/>
        <w:right w:val="none" w:sz="0" w:space="0" w:color="auto"/>
      </w:divBdr>
    </w:div>
    <w:div w:id="1244487507">
      <w:bodyDiv w:val="1"/>
      <w:marLeft w:val="0"/>
      <w:marRight w:val="0"/>
      <w:marTop w:val="0"/>
      <w:marBottom w:val="0"/>
      <w:divBdr>
        <w:top w:val="none" w:sz="0" w:space="0" w:color="auto"/>
        <w:left w:val="none" w:sz="0" w:space="0" w:color="auto"/>
        <w:bottom w:val="none" w:sz="0" w:space="0" w:color="auto"/>
        <w:right w:val="none" w:sz="0" w:space="0" w:color="auto"/>
      </w:divBdr>
    </w:div>
    <w:div w:id="1272318759">
      <w:bodyDiv w:val="1"/>
      <w:marLeft w:val="0"/>
      <w:marRight w:val="0"/>
      <w:marTop w:val="0"/>
      <w:marBottom w:val="0"/>
      <w:divBdr>
        <w:top w:val="none" w:sz="0" w:space="0" w:color="auto"/>
        <w:left w:val="none" w:sz="0" w:space="0" w:color="auto"/>
        <w:bottom w:val="none" w:sz="0" w:space="0" w:color="auto"/>
        <w:right w:val="none" w:sz="0" w:space="0" w:color="auto"/>
      </w:divBdr>
    </w:div>
    <w:div w:id="1300262492">
      <w:bodyDiv w:val="1"/>
      <w:marLeft w:val="0"/>
      <w:marRight w:val="0"/>
      <w:marTop w:val="0"/>
      <w:marBottom w:val="0"/>
      <w:divBdr>
        <w:top w:val="none" w:sz="0" w:space="0" w:color="auto"/>
        <w:left w:val="none" w:sz="0" w:space="0" w:color="auto"/>
        <w:bottom w:val="none" w:sz="0" w:space="0" w:color="auto"/>
        <w:right w:val="none" w:sz="0" w:space="0" w:color="auto"/>
      </w:divBdr>
    </w:div>
    <w:div w:id="1300767919">
      <w:bodyDiv w:val="1"/>
      <w:marLeft w:val="0"/>
      <w:marRight w:val="0"/>
      <w:marTop w:val="0"/>
      <w:marBottom w:val="0"/>
      <w:divBdr>
        <w:top w:val="none" w:sz="0" w:space="0" w:color="auto"/>
        <w:left w:val="none" w:sz="0" w:space="0" w:color="auto"/>
        <w:bottom w:val="none" w:sz="0" w:space="0" w:color="auto"/>
        <w:right w:val="none" w:sz="0" w:space="0" w:color="auto"/>
      </w:divBdr>
    </w:div>
    <w:div w:id="1305626372">
      <w:bodyDiv w:val="1"/>
      <w:marLeft w:val="0"/>
      <w:marRight w:val="0"/>
      <w:marTop w:val="0"/>
      <w:marBottom w:val="0"/>
      <w:divBdr>
        <w:top w:val="none" w:sz="0" w:space="0" w:color="auto"/>
        <w:left w:val="none" w:sz="0" w:space="0" w:color="auto"/>
        <w:bottom w:val="none" w:sz="0" w:space="0" w:color="auto"/>
        <w:right w:val="none" w:sz="0" w:space="0" w:color="auto"/>
      </w:divBdr>
    </w:div>
    <w:div w:id="1308514224">
      <w:bodyDiv w:val="1"/>
      <w:marLeft w:val="0"/>
      <w:marRight w:val="0"/>
      <w:marTop w:val="0"/>
      <w:marBottom w:val="0"/>
      <w:divBdr>
        <w:top w:val="none" w:sz="0" w:space="0" w:color="auto"/>
        <w:left w:val="none" w:sz="0" w:space="0" w:color="auto"/>
        <w:bottom w:val="none" w:sz="0" w:space="0" w:color="auto"/>
        <w:right w:val="none" w:sz="0" w:space="0" w:color="auto"/>
      </w:divBdr>
    </w:div>
    <w:div w:id="1314796123">
      <w:bodyDiv w:val="1"/>
      <w:marLeft w:val="0"/>
      <w:marRight w:val="0"/>
      <w:marTop w:val="0"/>
      <w:marBottom w:val="0"/>
      <w:divBdr>
        <w:top w:val="none" w:sz="0" w:space="0" w:color="auto"/>
        <w:left w:val="none" w:sz="0" w:space="0" w:color="auto"/>
        <w:bottom w:val="none" w:sz="0" w:space="0" w:color="auto"/>
        <w:right w:val="none" w:sz="0" w:space="0" w:color="auto"/>
      </w:divBdr>
    </w:div>
    <w:div w:id="1316685676">
      <w:bodyDiv w:val="1"/>
      <w:marLeft w:val="0"/>
      <w:marRight w:val="0"/>
      <w:marTop w:val="0"/>
      <w:marBottom w:val="0"/>
      <w:divBdr>
        <w:top w:val="none" w:sz="0" w:space="0" w:color="auto"/>
        <w:left w:val="none" w:sz="0" w:space="0" w:color="auto"/>
        <w:bottom w:val="none" w:sz="0" w:space="0" w:color="auto"/>
        <w:right w:val="none" w:sz="0" w:space="0" w:color="auto"/>
      </w:divBdr>
    </w:div>
    <w:div w:id="1318270351">
      <w:bodyDiv w:val="1"/>
      <w:marLeft w:val="0"/>
      <w:marRight w:val="0"/>
      <w:marTop w:val="0"/>
      <w:marBottom w:val="0"/>
      <w:divBdr>
        <w:top w:val="none" w:sz="0" w:space="0" w:color="auto"/>
        <w:left w:val="none" w:sz="0" w:space="0" w:color="auto"/>
        <w:bottom w:val="none" w:sz="0" w:space="0" w:color="auto"/>
        <w:right w:val="none" w:sz="0" w:space="0" w:color="auto"/>
      </w:divBdr>
    </w:div>
    <w:div w:id="1323973162">
      <w:bodyDiv w:val="1"/>
      <w:marLeft w:val="0"/>
      <w:marRight w:val="0"/>
      <w:marTop w:val="0"/>
      <w:marBottom w:val="0"/>
      <w:divBdr>
        <w:top w:val="none" w:sz="0" w:space="0" w:color="auto"/>
        <w:left w:val="none" w:sz="0" w:space="0" w:color="auto"/>
        <w:bottom w:val="none" w:sz="0" w:space="0" w:color="auto"/>
        <w:right w:val="none" w:sz="0" w:space="0" w:color="auto"/>
      </w:divBdr>
    </w:div>
    <w:div w:id="1329364102">
      <w:bodyDiv w:val="1"/>
      <w:marLeft w:val="0"/>
      <w:marRight w:val="0"/>
      <w:marTop w:val="0"/>
      <w:marBottom w:val="0"/>
      <w:divBdr>
        <w:top w:val="none" w:sz="0" w:space="0" w:color="auto"/>
        <w:left w:val="none" w:sz="0" w:space="0" w:color="auto"/>
        <w:bottom w:val="none" w:sz="0" w:space="0" w:color="auto"/>
        <w:right w:val="none" w:sz="0" w:space="0" w:color="auto"/>
      </w:divBdr>
    </w:div>
    <w:div w:id="1339037051">
      <w:bodyDiv w:val="1"/>
      <w:marLeft w:val="0"/>
      <w:marRight w:val="0"/>
      <w:marTop w:val="0"/>
      <w:marBottom w:val="0"/>
      <w:divBdr>
        <w:top w:val="none" w:sz="0" w:space="0" w:color="auto"/>
        <w:left w:val="none" w:sz="0" w:space="0" w:color="auto"/>
        <w:bottom w:val="none" w:sz="0" w:space="0" w:color="auto"/>
        <w:right w:val="none" w:sz="0" w:space="0" w:color="auto"/>
      </w:divBdr>
    </w:div>
    <w:div w:id="1353268098">
      <w:bodyDiv w:val="1"/>
      <w:marLeft w:val="0"/>
      <w:marRight w:val="0"/>
      <w:marTop w:val="0"/>
      <w:marBottom w:val="0"/>
      <w:divBdr>
        <w:top w:val="none" w:sz="0" w:space="0" w:color="auto"/>
        <w:left w:val="none" w:sz="0" w:space="0" w:color="auto"/>
        <w:bottom w:val="none" w:sz="0" w:space="0" w:color="auto"/>
        <w:right w:val="none" w:sz="0" w:space="0" w:color="auto"/>
      </w:divBdr>
    </w:div>
    <w:div w:id="1376850352">
      <w:bodyDiv w:val="1"/>
      <w:marLeft w:val="0"/>
      <w:marRight w:val="0"/>
      <w:marTop w:val="0"/>
      <w:marBottom w:val="0"/>
      <w:divBdr>
        <w:top w:val="none" w:sz="0" w:space="0" w:color="auto"/>
        <w:left w:val="none" w:sz="0" w:space="0" w:color="auto"/>
        <w:bottom w:val="none" w:sz="0" w:space="0" w:color="auto"/>
        <w:right w:val="none" w:sz="0" w:space="0" w:color="auto"/>
      </w:divBdr>
    </w:div>
    <w:div w:id="1381974203">
      <w:bodyDiv w:val="1"/>
      <w:marLeft w:val="0"/>
      <w:marRight w:val="0"/>
      <w:marTop w:val="0"/>
      <w:marBottom w:val="0"/>
      <w:divBdr>
        <w:top w:val="none" w:sz="0" w:space="0" w:color="auto"/>
        <w:left w:val="none" w:sz="0" w:space="0" w:color="auto"/>
        <w:bottom w:val="none" w:sz="0" w:space="0" w:color="auto"/>
        <w:right w:val="none" w:sz="0" w:space="0" w:color="auto"/>
      </w:divBdr>
    </w:div>
    <w:div w:id="139173431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0171459">
      <w:bodyDiv w:val="1"/>
      <w:marLeft w:val="0"/>
      <w:marRight w:val="0"/>
      <w:marTop w:val="0"/>
      <w:marBottom w:val="0"/>
      <w:divBdr>
        <w:top w:val="none" w:sz="0" w:space="0" w:color="auto"/>
        <w:left w:val="none" w:sz="0" w:space="0" w:color="auto"/>
        <w:bottom w:val="none" w:sz="0" w:space="0" w:color="auto"/>
        <w:right w:val="none" w:sz="0" w:space="0" w:color="auto"/>
      </w:divBdr>
    </w:div>
    <w:div w:id="1421758526">
      <w:bodyDiv w:val="1"/>
      <w:marLeft w:val="0"/>
      <w:marRight w:val="0"/>
      <w:marTop w:val="0"/>
      <w:marBottom w:val="0"/>
      <w:divBdr>
        <w:top w:val="none" w:sz="0" w:space="0" w:color="auto"/>
        <w:left w:val="none" w:sz="0" w:space="0" w:color="auto"/>
        <w:bottom w:val="none" w:sz="0" w:space="0" w:color="auto"/>
        <w:right w:val="none" w:sz="0" w:space="0" w:color="auto"/>
      </w:divBdr>
    </w:div>
    <w:div w:id="1443528223">
      <w:bodyDiv w:val="1"/>
      <w:marLeft w:val="0"/>
      <w:marRight w:val="0"/>
      <w:marTop w:val="0"/>
      <w:marBottom w:val="0"/>
      <w:divBdr>
        <w:top w:val="none" w:sz="0" w:space="0" w:color="auto"/>
        <w:left w:val="none" w:sz="0" w:space="0" w:color="auto"/>
        <w:bottom w:val="none" w:sz="0" w:space="0" w:color="auto"/>
        <w:right w:val="none" w:sz="0" w:space="0" w:color="auto"/>
      </w:divBdr>
    </w:div>
    <w:div w:id="1460343825">
      <w:bodyDiv w:val="1"/>
      <w:marLeft w:val="0"/>
      <w:marRight w:val="0"/>
      <w:marTop w:val="0"/>
      <w:marBottom w:val="0"/>
      <w:divBdr>
        <w:top w:val="none" w:sz="0" w:space="0" w:color="auto"/>
        <w:left w:val="none" w:sz="0" w:space="0" w:color="auto"/>
        <w:bottom w:val="none" w:sz="0" w:space="0" w:color="auto"/>
        <w:right w:val="none" w:sz="0" w:space="0" w:color="auto"/>
      </w:divBdr>
    </w:div>
    <w:div w:id="147128914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6265347">
      <w:bodyDiv w:val="1"/>
      <w:marLeft w:val="0"/>
      <w:marRight w:val="0"/>
      <w:marTop w:val="0"/>
      <w:marBottom w:val="0"/>
      <w:divBdr>
        <w:top w:val="none" w:sz="0" w:space="0" w:color="auto"/>
        <w:left w:val="none" w:sz="0" w:space="0" w:color="auto"/>
        <w:bottom w:val="none" w:sz="0" w:space="0" w:color="auto"/>
        <w:right w:val="none" w:sz="0" w:space="0" w:color="auto"/>
      </w:divBdr>
    </w:div>
    <w:div w:id="1521164464">
      <w:bodyDiv w:val="1"/>
      <w:marLeft w:val="0"/>
      <w:marRight w:val="0"/>
      <w:marTop w:val="0"/>
      <w:marBottom w:val="0"/>
      <w:divBdr>
        <w:top w:val="none" w:sz="0" w:space="0" w:color="auto"/>
        <w:left w:val="none" w:sz="0" w:space="0" w:color="auto"/>
        <w:bottom w:val="none" w:sz="0" w:space="0" w:color="auto"/>
        <w:right w:val="none" w:sz="0" w:space="0" w:color="auto"/>
      </w:divBdr>
    </w:div>
    <w:div w:id="1525051248">
      <w:bodyDiv w:val="1"/>
      <w:marLeft w:val="0"/>
      <w:marRight w:val="0"/>
      <w:marTop w:val="0"/>
      <w:marBottom w:val="0"/>
      <w:divBdr>
        <w:top w:val="none" w:sz="0" w:space="0" w:color="auto"/>
        <w:left w:val="none" w:sz="0" w:space="0" w:color="auto"/>
        <w:bottom w:val="none" w:sz="0" w:space="0" w:color="auto"/>
        <w:right w:val="none" w:sz="0" w:space="0" w:color="auto"/>
      </w:divBdr>
    </w:div>
    <w:div w:id="1528563151">
      <w:bodyDiv w:val="1"/>
      <w:marLeft w:val="0"/>
      <w:marRight w:val="0"/>
      <w:marTop w:val="0"/>
      <w:marBottom w:val="0"/>
      <w:divBdr>
        <w:top w:val="none" w:sz="0" w:space="0" w:color="auto"/>
        <w:left w:val="none" w:sz="0" w:space="0" w:color="auto"/>
        <w:bottom w:val="none" w:sz="0" w:space="0" w:color="auto"/>
        <w:right w:val="none" w:sz="0" w:space="0" w:color="auto"/>
      </w:divBdr>
    </w:div>
    <w:div w:id="1550217535">
      <w:bodyDiv w:val="1"/>
      <w:marLeft w:val="0"/>
      <w:marRight w:val="0"/>
      <w:marTop w:val="0"/>
      <w:marBottom w:val="0"/>
      <w:divBdr>
        <w:top w:val="none" w:sz="0" w:space="0" w:color="auto"/>
        <w:left w:val="none" w:sz="0" w:space="0" w:color="auto"/>
        <w:bottom w:val="none" w:sz="0" w:space="0" w:color="auto"/>
        <w:right w:val="none" w:sz="0" w:space="0" w:color="auto"/>
      </w:divBdr>
    </w:div>
    <w:div w:id="1561667796">
      <w:bodyDiv w:val="1"/>
      <w:marLeft w:val="0"/>
      <w:marRight w:val="0"/>
      <w:marTop w:val="0"/>
      <w:marBottom w:val="0"/>
      <w:divBdr>
        <w:top w:val="none" w:sz="0" w:space="0" w:color="auto"/>
        <w:left w:val="none" w:sz="0" w:space="0" w:color="auto"/>
        <w:bottom w:val="none" w:sz="0" w:space="0" w:color="auto"/>
        <w:right w:val="none" w:sz="0" w:space="0" w:color="auto"/>
      </w:divBdr>
    </w:div>
    <w:div w:id="1604996183">
      <w:bodyDiv w:val="1"/>
      <w:marLeft w:val="0"/>
      <w:marRight w:val="0"/>
      <w:marTop w:val="0"/>
      <w:marBottom w:val="0"/>
      <w:divBdr>
        <w:top w:val="none" w:sz="0" w:space="0" w:color="auto"/>
        <w:left w:val="none" w:sz="0" w:space="0" w:color="auto"/>
        <w:bottom w:val="none" w:sz="0" w:space="0" w:color="auto"/>
        <w:right w:val="none" w:sz="0" w:space="0" w:color="auto"/>
      </w:divBdr>
    </w:div>
    <w:div w:id="1608806731">
      <w:bodyDiv w:val="1"/>
      <w:marLeft w:val="0"/>
      <w:marRight w:val="0"/>
      <w:marTop w:val="0"/>
      <w:marBottom w:val="0"/>
      <w:divBdr>
        <w:top w:val="none" w:sz="0" w:space="0" w:color="auto"/>
        <w:left w:val="none" w:sz="0" w:space="0" w:color="auto"/>
        <w:bottom w:val="none" w:sz="0" w:space="0" w:color="auto"/>
        <w:right w:val="none" w:sz="0" w:space="0" w:color="auto"/>
      </w:divBdr>
    </w:div>
    <w:div w:id="1618635397">
      <w:bodyDiv w:val="1"/>
      <w:marLeft w:val="0"/>
      <w:marRight w:val="0"/>
      <w:marTop w:val="0"/>
      <w:marBottom w:val="0"/>
      <w:divBdr>
        <w:top w:val="none" w:sz="0" w:space="0" w:color="auto"/>
        <w:left w:val="none" w:sz="0" w:space="0" w:color="auto"/>
        <w:bottom w:val="none" w:sz="0" w:space="0" w:color="auto"/>
        <w:right w:val="none" w:sz="0" w:space="0" w:color="auto"/>
      </w:divBdr>
    </w:div>
    <w:div w:id="1629048426">
      <w:bodyDiv w:val="1"/>
      <w:marLeft w:val="0"/>
      <w:marRight w:val="0"/>
      <w:marTop w:val="0"/>
      <w:marBottom w:val="0"/>
      <w:divBdr>
        <w:top w:val="none" w:sz="0" w:space="0" w:color="auto"/>
        <w:left w:val="none" w:sz="0" w:space="0" w:color="auto"/>
        <w:bottom w:val="none" w:sz="0" w:space="0" w:color="auto"/>
        <w:right w:val="none" w:sz="0" w:space="0" w:color="auto"/>
      </w:divBdr>
    </w:div>
    <w:div w:id="1653869588">
      <w:bodyDiv w:val="1"/>
      <w:marLeft w:val="0"/>
      <w:marRight w:val="0"/>
      <w:marTop w:val="0"/>
      <w:marBottom w:val="0"/>
      <w:divBdr>
        <w:top w:val="none" w:sz="0" w:space="0" w:color="auto"/>
        <w:left w:val="none" w:sz="0" w:space="0" w:color="auto"/>
        <w:bottom w:val="none" w:sz="0" w:space="0" w:color="auto"/>
        <w:right w:val="none" w:sz="0" w:space="0" w:color="auto"/>
      </w:divBdr>
    </w:div>
    <w:div w:id="1669097189">
      <w:bodyDiv w:val="1"/>
      <w:marLeft w:val="0"/>
      <w:marRight w:val="0"/>
      <w:marTop w:val="0"/>
      <w:marBottom w:val="0"/>
      <w:divBdr>
        <w:top w:val="none" w:sz="0" w:space="0" w:color="auto"/>
        <w:left w:val="none" w:sz="0" w:space="0" w:color="auto"/>
        <w:bottom w:val="none" w:sz="0" w:space="0" w:color="auto"/>
        <w:right w:val="none" w:sz="0" w:space="0" w:color="auto"/>
      </w:divBdr>
    </w:div>
    <w:div w:id="1671374116">
      <w:bodyDiv w:val="1"/>
      <w:marLeft w:val="0"/>
      <w:marRight w:val="0"/>
      <w:marTop w:val="0"/>
      <w:marBottom w:val="0"/>
      <w:divBdr>
        <w:top w:val="none" w:sz="0" w:space="0" w:color="auto"/>
        <w:left w:val="none" w:sz="0" w:space="0" w:color="auto"/>
        <w:bottom w:val="none" w:sz="0" w:space="0" w:color="auto"/>
        <w:right w:val="none" w:sz="0" w:space="0" w:color="auto"/>
      </w:divBdr>
    </w:div>
    <w:div w:id="1678925254">
      <w:bodyDiv w:val="1"/>
      <w:marLeft w:val="0"/>
      <w:marRight w:val="0"/>
      <w:marTop w:val="0"/>
      <w:marBottom w:val="0"/>
      <w:divBdr>
        <w:top w:val="none" w:sz="0" w:space="0" w:color="auto"/>
        <w:left w:val="none" w:sz="0" w:space="0" w:color="auto"/>
        <w:bottom w:val="none" w:sz="0" w:space="0" w:color="auto"/>
        <w:right w:val="none" w:sz="0" w:space="0" w:color="auto"/>
      </w:divBdr>
    </w:div>
    <w:div w:id="1684672839">
      <w:bodyDiv w:val="1"/>
      <w:marLeft w:val="0"/>
      <w:marRight w:val="0"/>
      <w:marTop w:val="0"/>
      <w:marBottom w:val="0"/>
      <w:divBdr>
        <w:top w:val="none" w:sz="0" w:space="0" w:color="auto"/>
        <w:left w:val="none" w:sz="0" w:space="0" w:color="auto"/>
        <w:bottom w:val="none" w:sz="0" w:space="0" w:color="auto"/>
        <w:right w:val="none" w:sz="0" w:space="0" w:color="auto"/>
      </w:divBdr>
    </w:div>
    <w:div w:id="1720275868">
      <w:bodyDiv w:val="1"/>
      <w:marLeft w:val="0"/>
      <w:marRight w:val="0"/>
      <w:marTop w:val="0"/>
      <w:marBottom w:val="0"/>
      <w:divBdr>
        <w:top w:val="none" w:sz="0" w:space="0" w:color="auto"/>
        <w:left w:val="none" w:sz="0" w:space="0" w:color="auto"/>
        <w:bottom w:val="none" w:sz="0" w:space="0" w:color="auto"/>
        <w:right w:val="none" w:sz="0" w:space="0" w:color="auto"/>
      </w:divBdr>
    </w:div>
    <w:div w:id="1738897017">
      <w:bodyDiv w:val="1"/>
      <w:marLeft w:val="0"/>
      <w:marRight w:val="0"/>
      <w:marTop w:val="0"/>
      <w:marBottom w:val="0"/>
      <w:divBdr>
        <w:top w:val="none" w:sz="0" w:space="0" w:color="auto"/>
        <w:left w:val="none" w:sz="0" w:space="0" w:color="auto"/>
        <w:bottom w:val="none" w:sz="0" w:space="0" w:color="auto"/>
        <w:right w:val="none" w:sz="0" w:space="0" w:color="auto"/>
      </w:divBdr>
    </w:div>
    <w:div w:id="1746029054">
      <w:bodyDiv w:val="1"/>
      <w:marLeft w:val="0"/>
      <w:marRight w:val="0"/>
      <w:marTop w:val="0"/>
      <w:marBottom w:val="0"/>
      <w:divBdr>
        <w:top w:val="none" w:sz="0" w:space="0" w:color="auto"/>
        <w:left w:val="none" w:sz="0" w:space="0" w:color="auto"/>
        <w:bottom w:val="none" w:sz="0" w:space="0" w:color="auto"/>
        <w:right w:val="none" w:sz="0" w:space="0" w:color="auto"/>
      </w:divBdr>
    </w:div>
    <w:div w:id="1763984852">
      <w:bodyDiv w:val="1"/>
      <w:marLeft w:val="0"/>
      <w:marRight w:val="0"/>
      <w:marTop w:val="0"/>
      <w:marBottom w:val="0"/>
      <w:divBdr>
        <w:top w:val="none" w:sz="0" w:space="0" w:color="auto"/>
        <w:left w:val="none" w:sz="0" w:space="0" w:color="auto"/>
        <w:bottom w:val="none" w:sz="0" w:space="0" w:color="auto"/>
        <w:right w:val="none" w:sz="0" w:space="0" w:color="auto"/>
      </w:divBdr>
    </w:div>
    <w:div w:id="1770848726">
      <w:bodyDiv w:val="1"/>
      <w:marLeft w:val="0"/>
      <w:marRight w:val="0"/>
      <w:marTop w:val="0"/>
      <w:marBottom w:val="0"/>
      <w:divBdr>
        <w:top w:val="none" w:sz="0" w:space="0" w:color="auto"/>
        <w:left w:val="none" w:sz="0" w:space="0" w:color="auto"/>
        <w:bottom w:val="none" w:sz="0" w:space="0" w:color="auto"/>
        <w:right w:val="none" w:sz="0" w:space="0" w:color="auto"/>
      </w:divBdr>
    </w:div>
    <w:div w:id="1772772089">
      <w:bodyDiv w:val="1"/>
      <w:marLeft w:val="0"/>
      <w:marRight w:val="0"/>
      <w:marTop w:val="0"/>
      <w:marBottom w:val="0"/>
      <w:divBdr>
        <w:top w:val="none" w:sz="0" w:space="0" w:color="auto"/>
        <w:left w:val="none" w:sz="0" w:space="0" w:color="auto"/>
        <w:bottom w:val="none" w:sz="0" w:space="0" w:color="auto"/>
        <w:right w:val="none" w:sz="0" w:space="0" w:color="auto"/>
      </w:divBdr>
    </w:div>
    <w:div w:id="1776635901">
      <w:bodyDiv w:val="1"/>
      <w:marLeft w:val="0"/>
      <w:marRight w:val="0"/>
      <w:marTop w:val="0"/>
      <w:marBottom w:val="0"/>
      <w:divBdr>
        <w:top w:val="none" w:sz="0" w:space="0" w:color="auto"/>
        <w:left w:val="none" w:sz="0" w:space="0" w:color="auto"/>
        <w:bottom w:val="none" w:sz="0" w:space="0" w:color="auto"/>
        <w:right w:val="none" w:sz="0" w:space="0" w:color="auto"/>
      </w:divBdr>
    </w:div>
    <w:div w:id="1782991945">
      <w:bodyDiv w:val="1"/>
      <w:marLeft w:val="0"/>
      <w:marRight w:val="0"/>
      <w:marTop w:val="0"/>
      <w:marBottom w:val="0"/>
      <w:divBdr>
        <w:top w:val="none" w:sz="0" w:space="0" w:color="auto"/>
        <w:left w:val="none" w:sz="0" w:space="0" w:color="auto"/>
        <w:bottom w:val="none" w:sz="0" w:space="0" w:color="auto"/>
        <w:right w:val="none" w:sz="0" w:space="0" w:color="auto"/>
      </w:divBdr>
    </w:div>
    <w:div w:id="1788887276">
      <w:bodyDiv w:val="1"/>
      <w:marLeft w:val="0"/>
      <w:marRight w:val="0"/>
      <w:marTop w:val="0"/>
      <w:marBottom w:val="0"/>
      <w:divBdr>
        <w:top w:val="none" w:sz="0" w:space="0" w:color="auto"/>
        <w:left w:val="none" w:sz="0" w:space="0" w:color="auto"/>
        <w:bottom w:val="none" w:sz="0" w:space="0" w:color="auto"/>
        <w:right w:val="none" w:sz="0" w:space="0" w:color="auto"/>
      </w:divBdr>
    </w:div>
    <w:div w:id="1836340726">
      <w:bodyDiv w:val="1"/>
      <w:marLeft w:val="0"/>
      <w:marRight w:val="0"/>
      <w:marTop w:val="0"/>
      <w:marBottom w:val="0"/>
      <w:divBdr>
        <w:top w:val="none" w:sz="0" w:space="0" w:color="auto"/>
        <w:left w:val="none" w:sz="0" w:space="0" w:color="auto"/>
        <w:bottom w:val="none" w:sz="0" w:space="0" w:color="auto"/>
        <w:right w:val="none" w:sz="0" w:space="0" w:color="auto"/>
      </w:divBdr>
    </w:div>
    <w:div w:id="185958827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8132396">
      <w:bodyDiv w:val="1"/>
      <w:marLeft w:val="0"/>
      <w:marRight w:val="0"/>
      <w:marTop w:val="0"/>
      <w:marBottom w:val="0"/>
      <w:divBdr>
        <w:top w:val="none" w:sz="0" w:space="0" w:color="auto"/>
        <w:left w:val="none" w:sz="0" w:space="0" w:color="auto"/>
        <w:bottom w:val="none" w:sz="0" w:space="0" w:color="auto"/>
        <w:right w:val="none" w:sz="0" w:space="0" w:color="auto"/>
      </w:divBdr>
    </w:div>
    <w:div w:id="1927373411">
      <w:bodyDiv w:val="1"/>
      <w:marLeft w:val="0"/>
      <w:marRight w:val="0"/>
      <w:marTop w:val="0"/>
      <w:marBottom w:val="0"/>
      <w:divBdr>
        <w:top w:val="none" w:sz="0" w:space="0" w:color="auto"/>
        <w:left w:val="none" w:sz="0" w:space="0" w:color="auto"/>
        <w:bottom w:val="none" w:sz="0" w:space="0" w:color="auto"/>
        <w:right w:val="none" w:sz="0" w:space="0" w:color="auto"/>
      </w:divBdr>
    </w:div>
    <w:div w:id="1929073207">
      <w:bodyDiv w:val="1"/>
      <w:marLeft w:val="0"/>
      <w:marRight w:val="0"/>
      <w:marTop w:val="0"/>
      <w:marBottom w:val="0"/>
      <w:divBdr>
        <w:top w:val="none" w:sz="0" w:space="0" w:color="auto"/>
        <w:left w:val="none" w:sz="0" w:space="0" w:color="auto"/>
        <w:bottom w:val="none" w:sz="0" w:space="0" w:color="auto"/>
        <w:right w:val="none" w:sz="0" w:space="0" w:color="auto"/>
      </w:divBdr>
    </w:div>
    <w:div w:id="1933514176">
      <w:bodyDiv w:val="1"/>
      <w:marLeft w:val="0"/>
      <w:marRight w:val="0"/>
      <w:marTop w:val="0"/>
      <w:marBottom w:val="0"/>
      <w:divBdr>
        <w:top w:val="none" w:sz="0" w:space="0" w:color="auto"/>
        <w:left w:val="none" w:sz="0" w:space="0" w:color="auto"/>
        <w:bottom w:val="none" w:sz="0" w:space="0" w:color="auto"/>
        <w:right w:val="none" w:sz="0" w:space="0" w:color="auto"/>
      </w:divBdr>
    </w:div>
    <w:div w:id="1968007998">
      <w:bodyDiv w:val="1"/>
      <w:marLeft w:val="0"/>
      <w:marRight w:val="0"/>
      <w:marTop w:val="0"/>
      <w:marBottom w:val="0"/>
      <w:divBdr>
        <w:top w:val="none" w:sz="0" w:space="0" w:color="auto"/>
        <w:left w:val="none" w:sz="0" w:space="0" w:color="auto"/>
        <w:bottom w:val="none" w:sz="0" w:space="0" w:color="auto"/>
        <w:right w:val="none" w:sz="0" w:space="0" w:color="auto"/>
      </w:divBdr>
    </w:div>
    <w:div w:id="1975677890">
      <w:bodyDiv w:val="1"/>
      <w:marLeft w:val="0"/>
      <w:marRight w:val="0"/>
      <w:marTop w:val="0"/>
      <w:marBottom w:val="0"/>
      <w:divBdr>
        <w:top w:val="none" w:sz="0" w:space="0" w:color="auto"/>
        <w:left w:val="none" w:sz="0" w:space="0" w:color="auto"/>
        <w:bottom w:val="none" w:sz="0" w:space="0" w:color="auto"/>
        <w:right w:val="none" w:sz="0" w:space="0" w:color="auto"/>
      </w:divBdr>
    </w:div>
    <w:div w:id="1982885739">
      <w:bodyDiv w:val="1"/>
      <w:marLeft w:val="0"/>
      <w:marRight w:val="0"/>
      <w:marTop w:val="0"/>
      <w:marBottom w:val="0"/>
      <w:divBdr>
        <w:top w:val="none" w:sz="0" w:space="0" w:color="auto"/>
        <w:left w:val="none" w:sz="0" w:space="0" w:color="auto"/>
        <w:bottom w:val="none" w:sz="0" w:space="0" w:color="auto"/>
        <w:right w:val="none" w:sz="0" w:space="0" w:color="auto"/>
      </w:divBdr>
    </w:div>
    <w:div w:id="2000576219">
      <w:bodyDiv w:val="1"/>
      <w:marLeft w:val="0"/>
      <w:marRight w:val="0"/>
      <w:marTop w:val="0"/>
      <w:marBottom w:val="0"/>
      <w:divBdr>
        <w:top w:val="none" w:sz="0" w:space="0" w:color="auto"/>
        <w:left w:val="none" w:sz="0" w:space="0" w:color="auto"/>
        <w:bottom w:val="none" w:sz="0" w:space="0" w:color="auto"/>
        <w:right w:val="none" w:sz="0" w:space="0" w:color="auto"/>
      </w:divBdr>
    </w:div>
    <w:div w:id="2022929766">
      <w:bodyDiv w:val="1"/>
      <w:marLeft w:val="0"/>
      <w:marRight w:val="0"/>
      <w:marTop w:val="0"/>
      <w:marBottom w:val="0"/>
      <w:divBdr>
        <w:top w:val="none" w:sz="0" w:space="0" w:color="auto"/>
        <w:left w:val="none" w:sz="0" w:space="0" w:color="auto"/>
        <w:bottom w:val="none" w:sz="0" w:space="0" w:color="auto"/>
        <w:right w:val="none" w:sz="0" w:space="0" w:color="auto"/>
      </w:divBdr>
    </w:div>
    <w:div w:id="2041321118">
      <w:bodyDiv w:val="1"/>
      <w:marLeft w:val="0"/>
      <w:marRight w:val="0"/>
      <w:marTop w:val="0"/>
      <w:marBottom w:val="0"/>
      <w:divBdr>
        <w:top w:val="none" w:sz="0" w:space="0" w:color="auto"/>
        <w:left w:val="none" w:sz="0" w:space="0" w:color="auto"/>
        <w:bottom w:val="none" w:sz="0" w:space="0" w:color="auto"/>
        <w:right w:val="none" w:sz="0" w:space="0" w:color="auto"/>
      </w:divBdr>
    </w:div>
    <w:div w:id="2052345079">
      <w:bodyDiv w:val="1"/>
      <w:marLeft w:val="0"/>
      <w:marRight w:val="0"/>
      <w:marTop w:val="0"/>
      <w:marBottom w:val="0"/>
      <w:divBdr>
        <w:top w:val="none" w:sz="0" w:space="0" w:color="auto"/>
        <w:left w:val="none" w:sz="0" w:space="0" w:color="auto"/>
        <w:bottom w:val="none" w:sz="0" w:space="0" w:color="auto"/>
        <w:right w:val="none" w:sz="0" w:space="0" w:color="auto"/>
      </w:divBdr>
    </w:div>
    <w:div w:id="2062435437">
      <w:bodyDiv w:val="1"/>
      <w:marLeft w:val="0"/>
      <w:marRight w:val="0"/>
      <w:marTop w:val="0"/>
      <w:marBottom w:val="0"/>
      <w:divBdr>
        <w:top w:val="none" w:sz="0" w:space="0" w:color="auto"/>
        <w:left w:val="none" w:sz="0" w:space="0" w:color="auto"/>
        <w:bottom w:val="none" w:sz="0" w:space="0" w:color="auto"/>
        <w:right w:val="none" w:sz="0" w:space="0" w:color="auto"/>
      </w:divBdr>
    </w:div>
    <w:div w:id="206840638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079402">
      <w:bodyDiv w:val="1"/>
      <w:marLeft w:val="0"/>
      <w:marRight w:val="0"/>
      <w:marTop w:val="0"/>
      <w:marBottom w:val="0"/>
      <w:divBdr>
        <w:top w:val="none" w:sz="0" w:space="0" w:color="auto"/>
        <w:left w:val="none" w:sz="0" w:space="0" w:color="auto"/>
        <w:bottom w:val="none" w:sz="0" w:space="0" w:color="auto"/>
        <w:right w:val="none" w:sz="0" w:space="0" w:color="auto"/>
      </w:divBdr>
    </w:div>
    <w:div w:id="2110661230">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7483241">
      <w:bodyDiv w:val="1"/>
      <w:marLeft w:val="0"/>
      <w:marRight w:val="0"/>
      <w:marTop w:val="0"/>
      <w:marBottom w:val="0"/>
      <w:divBdr>
        <w:top w:val="none" w:sz="0" w:space="0" w:color="auto"/>
        <w:left w:val="none" w:sz="0" w:space="0" w:color="auto"/>
        <w:bottom w:val="none" w:sz="0" w:space="0" w:color="auto"/>
        <w:right w:val="none" w:sz="0" w:space="0" w:color="auto"/>
      </w:divBdr>
    </w:div>
    <w:div w:id="213930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9.xml"/></Relationships>
</file>

<file path=word/charts/_rels/chart11.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0.xml"/></Relationships>
</file>

<file path=word/charts/_rels/chart12.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kasparova3676\Desktop\CVTS_kontroly\publikace_graf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kasparova3676\Desktop\CVTS_kontroly\publikace_graf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kasparova3676\Desktop\CVTS_kontroly\publikace_grafy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kasparova3676\Desktop\CVTS_kontroly\publikace_graf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kasparova3676\Desktop\CVTS_kontroly\Grafy_mezin&#225;r_&#269;a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kasparova3676\Desktop\CVTS_kontroly\publikace_graf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kasparova3676\Desktop\CVTS_kontroly\Grafy_mezin&#225;r_&#269;a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kasparova3676\Desktop\CVTS_kontroly\publikace_grafy1.xlsx" TargetMode="Externa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chartUserShapes" Target="../drawings/drawing11.xml"/></Relationships>
</file>

<file path=word/charts/_rels/chart26.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kasparova3676\Desktop\CVTS_kontroly\publikace_grafy.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30.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chartUserShapes" Target="../drawings/drawing12.xml"/></Relationships>
</file>

<file path=word/charts/_rels/chart31.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chartUserShapes" Target="../drawings/drawing13.xml"/></Relationships>
</file>

<file path=word/charts/_rels/chart32.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chartUserShapes" Target="../drawings/drawing14.xml"/></Relationships>
</file>

<file path=word/charts/_rels/chart33.xml.rels><?xml version="1.0" encoding="UTF-8" standalone="yes"?>
<Relationships xmlns="http://schemas.openxmlformats.org/package/2006/relationships"><Relationship Id="rId3" Type="http://schemas.openxmlformats.org/officeDocument/2006/relationships/oleObject" Target="file:///\\ABFS2\DATA\DATA\ZPRAC\TECHNOL\oddeleni_6301\02_Vzd&#283;l&#225;v&#225;n&#237;\04_CVTS\2020\publikace\publikace_grafy.xlsx" TargetMode="External"/><Relationship Id="rId2" Type="http://schemas.microsoft.com/office/2011/relationships/chartColorStyle" Target="colors33.xml"/><Relationship Id="rId1" Type="http://schemas.microsoft.com/office/2011/relationships/chartStyle" Target="style3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D:\kasparova3676\Desktop\CVTS_kontroly\publikace_grafy_MM.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D:\kasparova3676\Desktop\CVTS_kontroly\publikace_grafy_MM.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50899470899471"/>
          <c:y val="8.229936871273992E-2"/>
          <c:w val="0.61901678569248608"/>
          <c:h val="0.90858364034770878"/>
        </c:manualLayout>
      </c:layout>
      <c:barChart>
        <c:barDir val="bar"/>
        <c:grouping val="clustered"/>
        <c:varyColors val="0"/>
        <c:ser>
          <c:idx val="0"/>
          <c:order val="0"/>
          <c:tx>
            <c:strRef>
              <c:f>'1.1'!$B$1</c:f>
              <c:strCache>
                <c:ptCount val="1"/>
                <c:pt idx="0">
                  <c:v> Celkem</c:v>
                </c:pt>
              </c:strCache>
            </c:strRef>
          </c:tx>
          <c:spPr>
            <a:solidFill>
              <a:schemeClr val="bg1">
                <a:lumMod val="75000"/>
              </a:schemeClr>
            </a:solidFill>
            <a:ln>
              <a:noFill/>
            </a:ln>
            <a:effectLst/>
          </c:spPr>
          <c:invertIfNegative val="0"/>
          <c:dLbls>
            <c:numFmt formatCode="0\ %"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'1.1'!$A$2:$A$21</c:f>
              <c:strCache>
                <c:ptCount val="20"/>
                <c:pt idx="0">
                  <c:v>Ubytování, stravování a pohostinství</c:v>
                </c:pt>
                <c:pt idx="1">
                  <c:v>Kulturní, zábavní a rekreační činnosti </c:v>
                </c:pt>
                <c:pt idx="2">
                  <c:v>Činn. v oblasti nemovitostí a administrativy</c:v>
                </c:pt>
                <c:pt idx="3">
                  <c:v>Doprava a skladování</c:v>
                </c:pt>
                <c:pt idx="4">
                  <c:v>Stavebnictví</c:v>
                </c:pt>
                <c:pt idx="5">
                  <c:v>Obchod, opravy motor. vozidel</c:v>
                </c:pt>
                <c:pt idx="6">
                  <c:v>Průmysl </c:v>
                </c:pt>
                <c:pt idx="7">
                  <c:v>Profesní, vědecké a technické činnosti</c:v>
                </c:pt>
                <c:pt idx="8">
                  <c:v>Informační a komunikační činnosti </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'1.1'!$B$2:$B$21</c:f>
              <c:numCache>
                <c:formatCode>0%</c:formatCode>
                <c:ptCount val="20"/>
                <c:pt idx="0">
                  <c:v>0.65031108725600006</c:v>
                </c:pt>
                <c:pt idx="1">
                  <c:v>0.741626078277</c:v>
                </c:pt>
                <c:pt idx="2">
                  <c:v>0.77674047810900004</c:v>
                </c:pt>
                <c:pt idx="3">
                  <c:v>0.87454080782400001</c:v>
                </c:pt>
                <c:pt idx="4">
                  <c:v>0.90029587225800001</c:v>
                </c:pt>
                <c:pt idx="5">
                  <c:v>0.86897343297800012</c:v>
                </c:pt>
                <c:pt idx="6">
                  <c:v>0.88822590949299995</c:v>
                </c:pt>
                <c:pt idx="7">
                  <c:v>0.88194978958999992</c:v>
                </c:pt>
                <c:pt idx="8">
                  <c:v>0.91311492636799996</c:v>
                </c:pt>
                <c:pt idx="9">
                  <c:v>0.95129360498299997</c:v>
                </c:pt>
                <c:pt idx="11">
                  <c:v>0.93184525076699998</c:v>
                </c:pt>
                <c:pt idx="12">
                  <c:v>0.84656387259499999</c:v>
                </c:pt>
                <c:pt idx="14">
                  <c:v>0.98651256536000009</c:v>
                </c:pt>
                <c:pt idx="15">
                  <c:v>0.92852464725999995</c:v>
                </c:pt>
                <c:pt idx="16">
                  <c:v>0.8834267515969999</c:v>
                </c:pt>
                <c:pt idx="17">
                  <c:v>0.80515036652800009</c:v>
                </c:pt>
                <c:pt idx="19">
                  <c:v>0.85913013016700002</c:v>
                </c:pt>
              </c:numCache>
            </c:numRef>
          </c:val>
          <c:extLst>
            <c:ext xmlns:c16="http://schemas.microsoft.com/office/drawing/2014/chart" uri="{C3380CC4-5D6E-409C-BE32-E72D297353CC}">
              <c16:uniqueId val="{00000000-8DBD-4809-A660-0A79794D351F}"/>
            </c:ext>
          </c:extLst>
        </c:ser>
        <c:dLbls>
          <c:showLegendKey val="0"/>
          <c:showVal val="0"/>
          <c:showCatName val="0"/>
          <c:showSerName val="0"/>
          <c:showPercent val="0"/>
          <c:showBubbleSize val="0"/>
        </c:dLbls>
        <c:gapWidth val="40"/>
        <c:axId val="700628576"/>
        <c:axId val="700626080"/>
      </c:barChart>
      <c:barChart>
        <c:barDir val="bar"/>
        <c:grouping val="clustered"/>
        <c:varyColors val="0"/>
        <c:ser>
          <c:idx val="1"/>
          <c:order val="1"/>
          <c:tx>
            <c:strRef>
              <c:f>'1.1'!$D$1</c:f>
              <c:strCache>
                <c:ptCount val="1"/>
                <c:pt idx="0">
                  <c:v> nepovinné vzdělávání</c:v>
                </c:pt>
              </c:strCache>
            </c:strRef>
          </c:tx>
          <c:spPr>
            <a:solidFill>
              <a:srgbClr val="92D050"/>
            </a:solidFill>
            <a:ln>
              <a:solidFill>
                <a:schemeClr val="tx1"/>
              </a:solidFill>
            </a:ln>
            <a:effectLst/>
          </c:spPr>
          <c:invertIfNegative val="0"/>
          <c:dLbls>
            <c:numFmt formatCode="0\ %" sourceLinked="0"/>
            <c:spPr>
              <a:solidFill>
                <a:schemeClr val="accent6">
                  <a:lumMod val="20000"/>
                  <a:lumOff val="80000"/>
                </a:schemeClr>
              </a:solidFill>
              <a:ln>
                <a:solidFill>
                  <a:schemeClr val="bg1">
                    <a:lumMod val="50000"/>
                  </a:schemeClr>
                </a:solid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'1.1'!$A$2:$A$21</c:f>
              <c:strCache>
                <c:ptCount val="20"/>
                <c:pt idx="0">
                  <c:v>Ubytování, stravování a pohostinství</c:v>
                </c:pt>
                <c:pt idx="1">
                  <c:v>Kulturní, zábavní a rekreační činnosti </c:v>
                </c:pt>
                <c:pt idx="2">
                  <c:v>Činn. v oblasti nemovitostí a administrativy</c:v>
                </c:pt>
                <c:pt idx="3">
                  <c:v>Doprava a skladování</c:v>
                </c:pt>
                <c:pt idx="4">
                  <c:v>Stavebnictví</c:v>
                </c:pt>
                <c:pt idx="5">
                  <c:v>Obchod, opravy motor. vozidel</c:v>
                </c:pt>
                <c:pt idx="6">
                  <c:v>Průmysl </c:v>
                </c:pt>
                <c:pt idx="7">
                  <c:v>Profesní, vědecké a technické činnosti</c:v>
                </c:pt>
                <c:pt idx="8">
                  <c:v>Informační a komunikační činnosti </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'1.1'!$D$2:$D$21</c:f>
              <c:numCache>
                <c:formatCode>0%</c:formatCode>
                <c:ptCount val="20"/>
                <c:pt idx="0">
                  <c:v>0.30409665555225024</c:v>
                </c:pt>
                <c:pt idx="1">
                  <c:v>0.38892663252968046</c:v>
                </c:pt>
                <c:pt idx="2">
                  <c:v>0.44799316731291383</c:v>
                </c:pt>
                <c:pt idx="3">
                  <c:v>0.45362737503417278</c:v>
                </c:pt>
                <c:pt idx="4">
                  <c:v>0.50494954113210433</c:v>
                </c:pt>
                <c:pt idx="5">
                  <c:v>0.55894759875189437</c:v>
                </c:pt>
                <c:pt idx="6">
                  <c:v>0.62513296927731732</c:v>
                </c:pt>
                <c:pt idx="7">
                  <c:v>0.71946533004333602</c:v>
                </c:pt>
                <c:pt idx="8">
                  <c:v>0.84252953602657754</c:v>
                </c:pt>
                <c:pt idx="9">
                  <c:v>0.84864292802875474</c:v>
                </c:pt>
                <c:pt idx="11">
                  <c:v>0.81176705533102345</c:v>
                </c:pt>
                <c:pt idx="12">
                  <c:v>0.52409710176662128</c:v>
                </c:pt>
                <c:pt idx="14">
                  <c:v>0.92908855973258586</c:v>
                </c:pt>
                <c:pt idx="15">
                  <c:v>0.77386544520827261</c:v>
                </c:pt>
                <c:pt idx="16">
                  <c:v>0.56552293570076861</c:v>
                </c:pt>
                <c:pt idx="17">
                  <c:v>0.4542190660093654</c:v>
                </c:pt>
                <c:pt idx="19">
                  <c:v>0.56544338767913704</c:v>
                </c:pt>
              </c:numCache>
            </c:numRef>
          </c:val>
          <c:extLst>
            <c:ext xmlns:c16="http://schemas.microsoft.com/office/drawing/2014/chart" uri="{C3380CC4-5D6E-409C-BE32-E72D297353CC}">
              <c16:uniqueId val="{00000001-8DBD-4809-A660-0A79794D351F}"/>
            </c:ext>
          </c:extLst>
        </c:ser>
        <c:dLbls>
          <c:showLegendKey val="0"/>
          <c:showVal val="0"/>
          <c:showCatName val="0"/>
          <c:showSerName val="0"/>
          <c:showPercent val="0"/>
          <c:showBubbleSize val="0"/>
        </c:dLbls>
        <c:gapWidth val="200"/>
        <c:axId val="1981568416"/>
        <c:axId val="1981558432"/>
      </c:barChart>
      <c:catAx>
        <c:axId val="70062857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00626080"/>
        <c:crosses val="autoZero"/>
        <c:auto val="1"/>
        <c:lblAlgn val="ctr"/>
        <c:lblOffset val="100"/>
        <c:noMultiLvlLbl val="0"/>
      </c:catAx>
      <c:valAx>
        <c:axId val="700626080"/>
        <c:scaling>
          <c:orientation val="minMax"/>
          <c:max val="1"/>
        </c:scaling>
        <c:delete val="0"/>
        <c:axPos val="b"/>
        <c:numFmt formatCode="0\ %" sourceLinked="0"/>
        <c:majorTickMark val="none"/>
        <c:minorTickMark val="none"/>
        <c:tickLblPos val="none"/>
        <c:spPr>
          <a:noFill/>
          <a:ln>
            <a:solidFill>
              <a:sysClr val="window" lastClr="FFFFFF">
                <a:lumMod val="50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00628576"/>
        <c:crosses val="autoZero"/>
        <c:crossBetween val="between"/>
        <c:majorUnit val="0.1"/>
      </c:valAx>
      <c:valAx>
        <c:axId val="1981558432"/>
        <c:scaling>
          <c:orientation val="minMax"/>
        </c:scaling>
        <c:delete val="0"/>
        <c:axPos val="t"/>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981568416"/>
        <c:crosses val="max"/>
        <c:crossBetween val="between"/>
      </c:valAx>
      <c:catAx>
        <c:axId val="1981568416"/>
        <c:scaling>
          <c:orientation val="minMax"/>
        </c:scaling>
        <c:delete val="1"/>
        <c:axPos val="l"/>
        <c:numFmt formatCode="General" sourceLinked="1"/>
        <c:majorTickMark val="out"/>
        <c:minorTickMark val="none"/>
        <c:tickLblPos val="nextTo"/>
        <c:crossAx val="1981558432"/>
        <c:crosses val="autoZero"/>
        <c:auto val="1"/>
        <c:lblAlgn val="ctr"/>
        <c:lblOffset val="100"/>
        <c:noMultiLvlLbl val="0"/>
      </c:catAx>
      <c:spPr>
        <a:noFill/>
        <a:ln w="6350">
          <a:noFill/>
        </a:ln>
        <a:effectLst/>
      </c:spPr>
    </c:plotArea>
    <c:legend>
      <c:legendPos val="b"/>
      <c:layout>
        <c:manualLayout>
          <c:xMode val="edge"/>
          <c:yMode val="edge"/>
          <c:x val="0.35517993956580601"/>
          <c:y val="1.5779007340856799E-2"/>
          <c:w val="0.33184689153439151"/>
          <c:h val="3.4914629629629629E-2"/>
        </c:manualLayout>
      </c:layout>
      <c:overlay val="0"/>
      <c:spPr>
        <a:noFill/>
        <a:ln>
          <a:solidFill>
            <a:sysClr val="window" lastClr="FFFFFF">
              <a:lumMod val="50000"/>
            </a:sysClr>
          </a:solid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noFill/>
    <a:ln w="9525" cap="flat" cmpd="sng" algn="ctr">
      <a:solidFill>
        <a:schemeClr val="bg1">
          <a:lumMod val="75000"/>
        </a:scheme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D09E0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 1.10'!$I$2:$I$21</c:f>
              <c:strCache>
                <c:ptCount val="20"/>
                <c:pt idx="0">
                  <c:v>Ubytování, stravování a pohostinství</c:v>
                </c:pt>
                <c:pt idx="1">
                  <c:v>Čin. v oblasti nemovitostí a administrativy</c:v>
                </c:pt>
                <c:pt idx="2">
                  <c:v>Doprava a skladování</c:v>
                </c:pt>
                <c:pt idx="3">
                  <c:v>Kulturní, zábavní a rekreační činnosti</c:v>
                </c:pt>
                <c:pt idx="4">
                  <c:v>Stavebnictví</c:v>
                </c:pt>
                <c:pt idx="5">
                  <c:v>Oobchod; opravy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'1.9, 1.10'!$J$2:$J$21</c:f>
              <c:numCache>
                <c:formatCode>0.0%</c:formatCode>
                <c:ptCount val="20"/>
                <c:pt idx="0">
                  <c:v>0.25526053854800002</c:v>
                </c:pt>
                <c:pt idx="1">
                  <c:v>0.35194317099099998</c:v>
                </c:pt>
                <c:pt idx="2">
                  <c:v>0.47252564667900004</c:v>
                </c:pt>
                <c:pt idx="3">
                  <c:v>0.49299677835600003</c:v>
                </c:pt>
                <c:pt idx="4">
                  <c:v>0.50092778180700004</c:v>
                </c:pt>
                <c:pt idx="5">
                  <c:v>0.53521225990499999</c:v>
                </c:pt>
                <c:pt idx="6">
                  <c:v>0.54544251600400007</c:v>
                </c:pt>
                <c:pt idx="7">
                  <c:v>0.68397466146499997</c:v>
                </c:pt>
                <c:pt idx="8">
                  <c:v>0.77214089426900001</c:v>
                </c:pt>
                <c:pt idx="9">
                  <c:v>0.80660162983700001</c:v>
                </c:pt>
                <c:pt idx="11">
                  <c:v>0.72843493096200007</c:v>
                </c:pt>
                <c:pt idx="12">
                  <c:v>0.48506434925800002</c:v>
                </c:pt>
                <c:pt idx="14">
                  <c:v>0.881349759738</c:v>
                </c:pt>
                <c:pt idx="15">
                  <c:v>0.68275425532099998</c:v>
                </c:pt>
                <c:pt idx="16">
                  <c:v>0.51049552223100003</c:v>
                </c:pt>
                <c:pt idx="17">
                  <c:v>0.434677958192</c:v>
                </c:pt>
                <c:pt idx="19">
                  <c:v>0.52092513716599997</c:v>
                </c:pt>
              </c:numCache>
            </c:numRef>
          </c:val>
          <c:extLst>
            <c:ext xmlns:c16="http://schemas.microsoft.com/office/drawing/2014/chart" uri="{C3380CC4-5D6E-409C-BE32-E72D297353CC}">
              <c16:uniqueId val="{00000000-3C9F-4286-889E-714BE8576B3D}"/>
            </c:ext>
          </c:extLst>
        </c:ser>
        <c:dLbls>
          <c:showLegendKey val="0"/>
          <c:showVal val="0"/>
          <c:showCatName val="0"/>
          <c:showSerName val="0"/>
          <c:showPercent val="0"/>
          <c:showBubbleSize val="0"/>
        </c:dLbls>
        <c:gapWidth val="38"/>
        <c:axId val="567342463"/>
        <c:axId val="567344127"/>
      </c:barChart>
      <c:catAx>
        <c:axId val="5673424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67344127"/>
        <c:crosses val="autoZero"/>
        <c:auto val="1"/>
        <c:lblAlgn val="ctr"/>
        <c:lblOffset val="100"/>
        <c:noMultiLvlLbl val="0"/>
      </c:catAx>
      <c:valAx>
        <c:axId val="567344127"/>
        <c:scaling>
          <c:orientation val="minMax"/>
        </c:scaling>
        <c:delete val="0"/>
        <c:axPos val="b"/>
        <c:numFmt formatCode="0\ %" sourceLinked="0"/>
        <c:majorTickMark val="none"/>
        <c:minorTickMark val="none"/>
        <c:tickLblPos val="none"/>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67342463"/>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'1.11'!$I$2:$I$21</c:f>
              <c:strCache>
                <c:ptCount val="20"/>
                <c:pt idx="0">
                  <c:v>Ubytování, stravování a pohostinství</c:v>
                </c:pt>
                <c:pt idx="1">
                  <c:v>Doprava a skladování</c:v>
                </c:pt>
                <c:pt idx="2">
                  <c:v>Stavebnictví</c:v>
                </c:pt>
                <c:pt idx="3">
                  <c:v>Čin. v oblasti nemovitostí a administrativy</c:v>
                </c:pt>
                <c:pt idx="4">
                  <c:v>Kulturní, zábavní a rekreační činnosti</c:v>
                </c:pt>
                <c:pt idx="5">
                  <c:v>Oobchod; opravy motorových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'1.11'!$J$2:$J$21</c:f>
              <c:numCache>
                <c:formatCode>0.0%</c:formatCode>
                <c:ptCount val="20"/>
                <c:pt idx="0">
                  <c:v>0.31254956907106723</c:v>
                </c:pt>
                <c:pt idx="1">
                  <c:v>0.32880811054259029</c:v>
                </c:pt>
                <c:pt idx="2">
                  <c:v>0.36070176100389678</c:v>
                </c:pt>
                <c:pt idx="3">
                  <c:v>0.3686141667369382</c:v>
                </c:pt>
                <c:pt idx="4">
                  <c:v>0.43625090053826088</c:v>
                </c:pt>
                <c:pt idx="5">
                  <c:v>0.45837379188793248</c:v>
                </c:pt>
                <c:pt idx="6">
                  <c:v>0.51121167786715915</c:v>
                </c:pt>
                <c:pt idx="7">
                  <c:v>0.57674048089003305</c:v>
                </c:pt>
                <c:pt idx="8">
                  <c:v>0.651178847255385</c:v>
                </c:pt>
                <c:pt idx="9">
                  <c:v>0.70444866125529737</c:v>
                </c:pt>
                <c:pt idx="11">
                  <c:v>0.70604464841180847</c:v>
                </c:pt>
                <c:pt idx="12">
                  <c:v>0.41516957346128519</c:v>
                </c:pt>
                <c:pt idx="14">
                  <c:v>0.869878758110743</c:v>
                </c:pt>
                <c:pt idx="15">
                  <c:v>0.6365447404321819</c:v>
                </c:pt>
                <c:pt idx="16">
                  <c:v>0.44256021286907077</c:v>
                </c:pt>
                <c:pt idx="17">
                  <c:v>0.35498898264124462</c:v>
                </c:pt>
                <c:pt idx="19">
                  <c:v>0.46165781311371668</c:v>
                </c:pt>
              </c:numCache>
            </c:numRef>
          </c:val>
          <c:extLst>
            <c:ext xmlns:c16="http://schemas.microsoft.com/office/drawing/2014/chart" uri="{C3380CC4-5D6E-409C-BE32-E72D297353CC}">
              <c16:uniqueId val="{00000000-2E07-4FEB-8631-CF5DA05AD8D0}"/>
            </c:ext>
          </c:extLst>
        </c:ser>
        <c:dLbls>
          <c:showLegendKey val="0"/>
          <c:showVal val="0"/>
          <c:showCatName val="0"/>
          <c:showSerName val="0"/>
          <c:showPercent val="0"/>
          <c:showBubbleSize val="0"/>
        </c:dLbls>
        <c:gapWidth val="20"/>
        <c:axId val="1471561248"/>
        <c:axId val="1471561664"/>
      </c:barChart>
      <c:catAx>
        <c:axId val="147156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71561664"/>
        <c:crosses val="autoZero"/>
        <c:auto val="1"/>
        <c:lblAlgn val="ctr"/>
        <c:lblOffset val="100"/>
        <c:noMultiLvlLbl val="0"/>
      </c:catAx>
      <c:valAx>
        <c:axId val="1471561664"/>
        <c:scaling>
          <c:orientation val="minMax"/>
        </c:scaling>
        <c:delete val="0"/>
        <c:axPos val="b"/>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7156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751711156462365E-2"/>
          <c:y val="3.3182503770739065E-2"/>
          <c:w val="0.96921307227134068"/>
          <c:h val="0.85022622172228468"/>
        </c:manualLayout>
      </c:layout>
      <c:barChart>
        <c:barDir val="col"/>
        <c:grouping val="clustered"/>
        <c:varyColors val="0"/>
        <c:ser>
          <c:idx val="0"/>
          <c:order val="0"/>
          <c:tx>
            <c:strRef>
              <c:f>'1.12'!$B$1</c:f>
              <c:strCache>
                <c:ptCount val="1"/>
                <c:pt idx="0">
                  <c:v>Přezkoušením účastníka si prověří míru nabytých znalostí či dovedností.</c:v>
                </c:pt>
              </c:strCache>
            </c:strRef>
          </c:tx>
          <c:spPr>
            <a:solidFill>
              <a:srgbClr val="FF0000"/>
            </a:solidFill>
            <a:ln>
              <a:noFill/>
            </a:ln>
            <a:effectLst/>
          </c:spPr>
          <c:invertIfNegative val="0"/>
          <c:dLbls>
            <c:dLbl>
              <c:idx val="1"/>
              <c:layout>
                <c:manualLayout>
                  <c:x val="-1.2113345486647864E-2"/>
                  <c:y val="1.50829562594267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DDD-423B-AD39-C31BEFC67979}"/>
                </c:ext>
              </c:extLst>
            </c:dLbl>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'1.12'!$A$2:$A$6</c:f>
              <c:strCache>
                <c:ptCount val="5"/>
                <c:pt idx="0">
                  <c:v>CELKEM</c:v>
                </c:pt>
                <c:pt idx="1">
                  <c:v>10–19 zaměstnanců</c:v>
                </c:pt>
                <c:pt idx="2">
                  <c:v>20–49 zaměstnanců</c:v>
                </c:pt>
                <c:pt idx="3">
                  <c:v>50–249 zaměstnanců</c:v>
                </c:pt>
                <c:pt idx="4">
                  <c:v>250 a více zaměstnanců</c:v>
                </c:pt>
              </c:strCache>
            </c:strRef>
          </c:cat>
          <c:val>
            <c:numRef>
              <c:f>'1.12'!$B$2:$B$6</c:f>
              <c:numCache>
                <c:formatCode>0.0%</c:formatCode>
                <c:ptCount val="5"/>
                <c:pt idx="0">
                  <c:v>0.34360363227500001</c:v>
                </c:pt>
                <c:pt idx="1">
                  <c:v>0.339456134864</c:v>
                </c:pt>
                <c:pt idx="2">
                  <c:v>0.30081900847699999</c:v>
                </c:pt>
                <c:pt idx="3">
                  <c:v>0.33945872636899999</c:v>
                </c:pt>
                <c:pt idx="4">
                  <c:v>0.51855813990800004</c:v>
                </c:pt>
              </c:numCache>
            </c:numRef>
          </c:val>
          <c:extLst>
            <c:ext xmlns:c16="http://schemas.microsoft.com/office/drawing/2014/chart" uri="{C3380CC4-5D6E-409C-BE32-E72D297353CC}">
              <c16:uniqueId val="{00000001-3DDD-423B-AD39-C31BEFC67979}"/>
            </c:ext>
          </c:extLst>
        </c:ser>
        <c:ser>
          <c:idx val="1"/>
          <c:order val="1"/>
          <c:tx>
            <c:strRef>
              <c:f>'1.12'!$C$1</c:f>
              <c:strCache>
                <c:ptCount val="1"/>
                <c:pt idx="0">
                  <c:v>Zjišťuje spokojenost účastníků s realizovaným vzděláváním.</c:v>
                </c:pt>
              </c:strCache>
            </c:strRef>
          </c:tx>
          <c:spPr>
            <a:solidFill>
              <a:srgbClr val="92D050"/>
            </a:solidFill>
            <a:ln>
              <a:noFill/>
            </a:ln>
            <a:effectLst/>
          </c:spPr>
          <c:invertIfNegative val="0"/>
          <c:dLbls>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'1.12'!$A$2:$A$6</c:f>
              <c:strCache>
                <c:ptCount val="5"/>
                <c:pt idx="0">
                  <c:v>CELKEM</c:v>
                </c:pt>
                <c:pt idx="1">
                  <c:v>10–19 zaměstnanců</c:v>
                </c:pt>
                <c:pt idx="2">
                  <c:v>20–49 zaměstnanců</c:v>
                </c:pt>
                <c:pt idx="3">
                  <c:v>50–249 zaměstnanců</c:v>
                </c:pt>
                <c:pt idx="4">
                  <c:v>250 a více zaměstnanců</c:v>
                </c:pt>
              </c:strCache>
            </c:strRef>
          </c:cat>
          <c:val>
            <c:numRef>
              <c:f>'1.12'!$C$2:$C$6</c:f>
              <c:numCache>
                <c:formatCode>0.0%</c:formatCode>
                <c:ptCount val="5"/>
                <c:pt idx="0">
                  <c:v>0.52271127305999998</c:v>
                </c:pt>
                <c:pt idx="1">
                  <c:v>0.36891125314100004</c:v>
                </c:pt>
                <c:pt idx="2">
                  <c:v>0.49172249302600002</c:v>
                </c:pt>
                <c:pt idx="3">
                  <c:v>0.64582568797200002</c:v>
                </c:pt>
                <c:pt idx="4">
                  <c:v>0.84459466286600005</c:v>
                </c:pt>
              </c:numCache>
            </c:numRef>
          </c:val>
          <c:extLst>
            <c:ext xmlns:c16="http://schemas.microsoft.com/office/drawing/2014/chart" uri="{C3380CC4-5D6E-409C-BE32-E72D297353CC}">
              <c16:uniqueId val="{00000002-3DDD-423B-AD39-C31BEFC67979}"/>
            </c:ext>
          </c:extLst>
        </c:ser>
        <c:ser>
          <c:idx val="2"/>
          <c:order val="2"/>
          <c:tx>
            <c:strRef>
              <c:f>'1.12'!$D$1</c:f>
              <c:strCache>
                <c:ptCount val="1"/>
                <c:pt idx="0">
                  <c:v>Posuzuje jednání či výkon zaměstnanců vzhledem ke stanoveným cílům tohoto vzdělávání.</c:v>
                </c:pt>
              </c:strCache>
            </c:strRef>
          </c:tx>
          <c:spPr>
            <a:solidFill>
              <a:srgbClr val="FFC000"/>
            </a:solidFill>
            <a:ln>
              <a:noFill/>
            </a:ln>
            <a:effectLst/>
          </c:spPr>
          <c:invertIfNegative val="0"/>
          <c:dLbls>
            <c:dLbl>
              <c:idx val="1"/>
              <c:layout>
                <c:manualLayout>
                  <c:x val="6.921911706655859E-3"/>
                  <c:y val="6.033182503770739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DDD-423B-AD39-C31BEFC67979}"/>
                </c:ext>
              </c:extLst>
            </c:dLbl>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'1.12'!$A$2:$A$6</c:f>
              <c:strCache>
                <c:ptCount val="5"/>
                <c:pt idx="0">
                  <c:v>CELKEM</c:v>
                </c:pt>
                <c:pt idx="1">
                  <c:v>10–19 zaměstnanců</c:v>
                </c:pt>
                <c:pt idx="2">
                  <c:v>20–49 zaměstnanců</c:v>
                </c:pt>
                <c:pt idx="3">
                  <c:v>50–249 zaměstnanců</c:v>
                </c:pt>
                <c:pt idx="4">
                  <c:v>250 a více zaměstnanců</c:v>
                </c:pt>
              </c:strCache>
            </c:strRef>
          </c:cat>
          <c:val>
            <c:numRef>
              <c:f>'1.12'!$D$2:$D$6</c:f>
              <c:numCache>
                <c:formatCode>0.0%</c:formatCode>
                <c:ptCount val="5"/>
                <c:pt idx="0">
                  <c:v>0.37184753499000001</c:v>
                </c:pt>
                <c:pt idx="1">
                  <c:v>0.345918442632</c:v>
                </c:pt>
                <c:pt idx="2">
                  <c:v>0.350561941047</c:v>
                </c:pt>
                <c:pt idx="3">
                  <c:v>0.40198719605799998</c:v>
                </c:pt>
                <c:pt idx="4">
                  <c:v>0.454109226521</c:v>
                </c:pt>
              </c:numCache>
            </c:numRef>
          </c:val>
          <c:extLst>
            <c:ext xmlns:c16="http://schemas.microsoft.com/office/drawing/2014/chart" uri="{C3380CC4-5D6E-409C-BE32-E72D297353CC}">
              <c16:uniqueId val="{00000004-3DDD-423B-AD39-C31BEFC67979}"/>
            </c:ext>
          </c:extLst>
        </c:ser>
        <c:ser>
          <c:idx val="3"/>
          <c:order val="3"/>
          <c:tx>
            <c:strRef>
              <c:f>'1.12'!$E$1</c:f>
              <c:strCache>
                <c:ptCount val="1"/>
                <c:pt idx="0">
                  <c:v>Vyhodnocuje vliv poskytnutého vzdělávání na práci příslušného útvaru nebo na celý podnik.</c:v>
                </c:pt>
              </c:strCache>
            </c:strRef>
          </c:tx>
          <c:spPr>
            <a:solidFill>
              <a:schemeClr val="accent4">
                <a:lumMod val="50000"/>
              </a:schemeClr>
            </a:solidFill>
            <a:ln>
              <a:noFill/>
            </a:ln>
            <a:effectLst/>
          </c:spPr>
          <c:invertIfNegative val="0"/>
          <c:dLbls>
            <c:dLbl>
              <c:idx val="1"/>
              <c:layout>
                <c:manualLayout>
                  <c:x val="-1.0382867559983883E-2"/>
                  <c:y val="9.049773755656109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DDD-423B-AD39-C31BEFC67979}"/>
                </c:ext>
              </c:extLst>
            </c:dLbl>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'1.12'!$A$2:$A$6</c:f>
              <c:strCache>
                <c:ptCount val="5"/>
                <c:pt idx="0">
                  <c:v>CELKEM</c:v>
                </c:pt>
                <c:pt idx="1">
                  <c:v>10–19 zaměstnanců</c:v>
                </c:pt>
                <c:pt idx="2">
                  <c:v>20–49 zaměstnanců</c:v>
                </c:pt>
                <c:pt idx="3">
                  <c:v>50–249 zaměstnanců</c:v>
                </c:pt>
                <c:pt idx="4">
                  <c:v>250 a více zaměstnanců</c:v>
                </c:pt>
              </c:strCache>
            </c:strRef>
          </c:cat>
          <c:val>
            <c:numRef>
              <c:f>'1.12'!$E$2:$E$6</c:f>
              <c:numCache>
                <c:formatCode>0.0%</c:formatCode>
                <c:ptCount val="5"/>
                <c:pt idx="0">
                  <c:v>0.22631170939699999</c:v>
                </c:pt>
                <c:pt idx="1">
                  <c:v>0.186020702732</c:v>
                </c:pt>
                <c:pt idx="2">
                  <c:v>0.242992476299</c:v>
                </c:pt>
                <c:pt idx="3">
                  <c:v>0.24421008486200002</c:v>
                </c:pt>
                <c:pt idx="4">
                  <c:v>0.267016587458</c:v>
                </c:pt>
              </c:numCache>
            </c:numRef>
          </c:val>
          <c:extLst>
            <c:ext xmlns:c16="http://schemas.microsoft.com/office/drawing/2014/chart" uri="{C3380CC4-5D6E-409C-BE32-E72D297353CC}">
              <c16:uniqueId val="{00000006-3DDD-423B-AD39-C31BEFC67979}"/>
            </c:ext>
          </c:extLst>
        </c:ser>
        <c:ser>
          <c:idx val="4"/>
          <c:order val="4"/>
          <c:tx>
            <c:strRef>
              <c:f>'1.12'!$F$1</c:f>
              <c:strCache>
                <c:ptCount val="1"/>
                <c:pt idx="0">
                  <c:v>Používá (také) jiné metody hodnocení.</c:v>
                </c:pt>
              </c:strCache>
            </c:strRef>
          </c:tx>
          <c:spPr>
            <a:solidFill>
              <a:schemeClr val="bg1">
                <a:lumMod val="85000"/>
              </a:schemeClr>
            </a:solidFill>
            <a:ln>
              <a:noFill/>
            </a:ln>
            <a:effectLst/>
          </c:spPr>
          <c:invertIfNegative val="0"/>
          <c:dLbls>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'1.12'!$A$2:$A$6</c:f>
              <c:strCache>
                <c:ptCount val="5"/>
                <c:pt idx="0">
                  <c:v>CELKEM</c:v>
                </c:pt>
                <c:pt idx="1">
                  <c:v>10–19 zaměstnanců</c:v>
                </c:pt>
                <c:pt idx="2">
                  <c:v>20–49 zaměstnanců</c:v>
                </c:pt>
                <c:pt idx="3">
                  <c:v>50–249 zaměstnanců</c:v>
                </c:pt>
                <c:pt idx="4">
                  <c:v>250 a více zaměstnanců</c:v>
                </c:pt>
              </c:strCache>
            </c:strRef>
          </c:cat>
          <c:val>
            <c:numRef>
              <c:f>'1.12'!$F$2:$F$6</c:f>
              <c:numCache>
                <c:formatCode>0.0%</c:formatCode>
                <c:ptCount val="5"/>
                <c:pt idx="0">
                  <c:v>0.174954696518</c:v>
                </c:pt>
                <c:pt idx="1">
                  <c:v>0.18986601063399999</c:v>
                </c:pt>
                <c:pt idx="2">
                  <c:v>0.184394627541</c:v>
                </c:pt>
                <c:pt idx="3">
                  <c:v>0.156638999414</c:v>
                </c:pt>
                <c:pt idx="4">
                  <c:v>0.14016165758099999</c:v>
                </c:pt>
              </c:numCache>
            </c:numRef>
          </c:val>
          <c:extLst>
            <c:ext xmlns:c16="http://schemas.microsoft.com/office/drawing/2014/chart" uri="{C3380CC4-5D6E-409C-BE32-E72D297353CC}">
              <c16:uniqueId val="{00000007-3DDD-423B-AD39-C31BEFC67979}"/>
            </c:ext>
          </c:extLst>
        </c:ser>
        <c:dLbls>
          <c:showLegendKey val="0"/>
          <c:showVal val="0"/>
          <c:showCatName val="0"/>
          <c:showSerName val="0"/>
          <c:showPercent val="0"/>
          <c:showBubbleSize val="0"/>
        </c:dLbls>
        <c:gapWidth val="88"/>
        <c:overlap val="-11"/>
        <c:axId val="1533087616"/>
        <c:axId val="1533085536"/>
      </c:barChart>
      <c:catAx>
        <c:axId val="1533087616"/>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celkem a dle velikosti podniku</a:t>
                </a:r>
              </a:p>
            </c:rich>
          </c:tx>
          <c:layout>
            <c:manualLayout>
              <c:xMode val="edge"/>
              <c:yMode val="edge"/>
              <c:x val="0.38557743054477611"/>
              <c:y val="0.9485569300030872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3085536"/>
        <c:crosses val="autoZero"/>
        <c:auto val="1"/>
        <c:lblAlgn val="ctr"/>
        <c:lblOffset val="100"/>
        <c:noMultiLvlLbl val="0"/>
      </c:catAx>
      <c:valAx>
        <c:axId val="1533085536"/>
        <c:scaling>
          <c:orientation val="minMax"/>
          <c:max val="1"/>
        </c:scaling>
        <c:delete val="0"/>
        <c:axPos val="l"/>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33087616"/>
        <c:crosses val="autoZero"/>
        <c:crossBetween val="between"/>
      </c:valAx>
      <c:spPr>
        <a:noFill/>
        <a:ln>
          <a:noFill/>
        </a:ln>
        <a:effectLst/>
      </c:spPr>
    </c:plotArea>
    <c:legend>
      <c:legendPos val="b"/>
      <c:layout>
        <c:manualLayout>
          <c:xMode val="edge"/>
          <c:yMode val="edge"/>
          <c:x val="2.1318338009159936E-2"/>
          <c:y val="3.5066196283896185E-2"/>
          <c:w val="0.73276744121448389"/>
          <c:h val="0.2842612602621474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455230654853591"/>
          <c:y val="4.3264503441494594E-2"/>
          <c:w val="0.61925580898631805"/>
          <c:h val="0.91489869759970843"/>
        </c:manualLayout>
      </c:layout>
      <c:barChart>
        <c:barDir val="bar"/>
        <c:grouping val="clustered"/>
        <c:varyColors val="0"/>
        <c:ser>
          <c:idx val="0"/>
          <c:order val="0"/>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'1.13'!$A$3:$A$12</c:f>
              <c:strCache>
                <c:ptCount val="10"/>
                <c:pt idx="0">
                  <c:v>Doprava a skladování</c:v>
                </c:pt>
                <c:pt idx="1">
                  <c:v>Čin. v oblasti nemovitostí a administrativy</c:v>
                </c:pt>
                <c:pt idx="2">
                  <c:v>Ubytování, stravování a pohostinství</c:v>
                </c:pt>
                <c:pt idx="3">
                  <c:v>Stavebnictví</c:v>
                </c:pt>
                <c:pt idx="4">
                  <c:v>Kulturní, zábavní a rekreační činnosti</c:v>
                </c:pt>
                <c:pt idx="5">
                  <c:v>Profesní, vědecké a technické činnosti</c:v>
                </c:pt>
                <c:pt idx="6">
                  <c:v>Oobchod; opravy vozidel</c:v>
                </c:pt>
                <c:pt idx="7">
                  <c:v>Průmysl</c:v>
                </c:pt>
                <c:pt idx="8">
                  <c:v>Informační a komunikační činnosti</c:v>
                </c:pt>
                <c:pt idx="9">
                  <c:v>Peněžnictví a pojišťovnictví</c:v>
                </c:pt>
              </c:strCache>
            </c:strRef>
          </c:cat>
          <c:val>
            <c:numRef>
              <c:f>'1.13'!$B$3:$B$12</c:f>
              <c:numCache>
                <c:formatCode>0.0%</c:formatCode>
                <c:ptCount val="10"/>
                <c:pt idx="0">
                  <c:v>0.30845596185699997</c:v>
                </c:pt>
                <c:pt idx="1">
                  <c:v>0.38673383685899998</c:v>
                </c:pt>
                <c:pt idx="2">
                  <c:v>0.44661003437200003</c:v>
                </c:pt>
                <c:pt idx="3">
                  <c:v>0.464971114573</c:v>
                </c:pt>
                <c:pt idx="4">
                  <c:v>0.47807338552099998</c:v>
                </c:pt>
                <c:pt idx="5">
                  <c:v>0.49805297852800001</c:v>
                </c:pt>
                <c:pt idx="6">
                  <c:v>0.503706555424</c:v>
                </c:pt>
                <c:pt idx="7">
                  <c:v>0.58494377021699995</c:v>
                </c:pt>
                <c:pt idx="8">
                  <c:v>0.64912032097799999</c:v>
                </c:pt>
                <c:pt idx="9">
                  <c:v>0.68079835015599999</c:v>
                </c:pt>
              </c:numCache>
            </c:numRef>
          </c:val>
          <c:extLst>
            <c:ext xmlns:c16="http://schemas.microsoft.com/office/drawing/2014/chart" uri="{C3380CC4-5D6E-409C-BE32-E72D297353CC}">
              <c16:uniqueId val="{00000000-1F10-4914-BBC7-33B3A14777AB}"/>
            </c:ext>
          </c:extLst>
        </c:ser>
        <c:dLbls>
          <c:showLegendKey val="0"/>
          <c:showVal val="0"/>
          <c:showCatName val="0"/>
          <c:showSerName val="0"/>
          <c:showPercent val="0"/>
          <c:showBubbleSize val="0"/>
        </c:dLbls>
        <c:gapWidth val="56"/>
        <c:axId val="1985787200"/>
        <c:axId val="1985790944"/>
      </c:barChart>
      <c:catAx>
        <c:axId val="198578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90944"/>
        <c:crosses val="autoZero"/>
        <c:auto val="1"/>
        <c:lblAlgn val="ctr"/>
        <c:lblOffset val="100"/>
        <c:noMultiLvlLbl val="0"/>
      </c:catAx>
      <c:valAx>
        <c:axId val="1985790944"/>
        <c:scaling>
          <c:orientation val="minMax"/>
          <c:max val="1"/>
        </c:scaling>
        <c:delete val="0"/>
        <c:axPos val="b"/>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87200"/>
        <c:crosses val="autoZero"/>
        <c:crossBetween val="between"/>
      </c:valAx>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725230665185257"/>
          <c:y val="3.5341365461847386E-2"/>
          <c:w val="0.56160249907411885"/>
          <c:h val="0.8325871675679094"/>
        </c:manualLayout>
      </c:layout>
      <c:barChart>
        <c:barDir val="bar"/>
        <c:grouping val="clustered"/>
        <c:varyColors val="0"/>
        <c:ser>
          <c:idx val="0"/>
          <c:order val="0"/>
          <c:tx>
            <c:strRef>
              <c:f>List13!$B$6</c:f>
              <c:strCache>
                <c:ptCount val="1"/>
                <c:pt idx="0">
                  <c:v>ve všech podnicích</c:v>
                </c:pt>
              </c:strCache>
            </c:strRef>
          </c:tx>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List13!$A$7:$A$13</c:f>
              <c:strCache>
                <c:ptCount val="7"/>
                <c:pt idx="0">
                  <c:v>Workshopy, semináře, konference, veletrhy</c:v>
                </c:pt>
                <c:pt idx="1">
                  <c:v>Kroužky kvality, vzdělávací kroužky</c:v>
                </c:pt>
                <c:pt idx="2">
                  <c:v>Rotace zaměstnanců na pracovních místech</c:v>
                </c:pt>
                <c:pt idx="3">
                  <c:v>Zaškolování, instruktáž na pracovišti</c:v>
                </c:pt>
                <c:pt idx="4">
                  <c:v>Samostudium, e-learning</c:v>
                </c:pt>
                <c:pt idx="5">
                  <c:v>Nepovinné kurzy/školení</c:v>
                </c:pt>
                <c:pt idx="6">
                  <c:v>Povinné kurzy/školení</c:v>
                </c:pt>
              </c:strCache>
            </c:strRef>
          </c:cat>
          <c:val>
            <c:numRef>
              <c:f>List13!$B$7:$B$13</c:f>
              <c:numCache>
                <c:formatCode>0.0%</c:formatCode>
                <c:ptCount val="7"/>
                <c:pt idx="0">
                  <c:v>5.8385366304E-2</c:v>
                </c:pt>
                <c:pt idx="1">
                  <c:v>1.4480744831000002E-2</c:v>
                </c:pt>
                <c:pt idx="2">
                  <c:v>2.7351515393E-2</c:v>
                </c:pt>
                <c:pt idx="3">
                  <c:v>0.18663182533600001</c:v>
                </c:pt>
                <c:pt idx="4">
                  <c:v>0.18318760619799998</c:v>
                </c:pt>
                <c:pt idx="5">
                  <c:v>0.30002577487400001</c:v>
                </c:pt>
                <c:pt idx="6">
                  <c:v>0.75343379689800005</c:v>
                </c:pt>
              </c:numCache>
            </c:numRef>
          </c:val>
          <c:extLst>
            <c:ext xmlns:c16="http://schemas.microsoft.com/office/drawing/2014/chart" uri="{C3380CC4-5D6E-409C-BE32-E72D297353CC}">
              <c16:uniqueId val="{00000000-2B80-4CC0-9CB1-E87951EB32DE}"/>
            </c:ext>
          </c:extLst>
        </c:ser>
        <c:ser>
          <c:idx val="1"/>
          <c:order val="1"/>
          <c:tx>
            <c:strRef>
              <c:f>List13!$C$6</c:f>
              <c:strCache>
                <c:ptCount val="1"/>
                <c:pt idx="0">
                  <c:v>v podnicích zajišťujících danou formu vzdělávání </c:v>
                </c:pt>
              </c:strCache>
            </c:strRef>
          </c:tx>
          <c:spPr>
            <a:solidFill>
              <a:srgbClr val="FFCC0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List13!$A$7:$A$13</c:f>
              <c:strCache>
                <c:ptCount val="7"/>
                <c:pt idx="0">
                  <c:v>Workshopy, semináře, konference, veletrhy</c:v>
                </c:pt>
                <c:pt idx="1">
                  <c:v>Kroužky kvality, vzdělávací kroužky</c:v>
                </c:pt>
                <c:pt idx="2">
                  <c:v>Rotace zaměstnanců na pracovních místech</c:v>
                </c:pt>
                <c:pt idx="3">
                  <c:v>Zaškolování, instruktáž na pracovišti</c:v>
                </c:pt>
                <c:pt idx="4">
                  <c:v>Samostudium, e-learning</c:v>
                </c:pt>
                <c:pt idx="5">
                  <c:v>Nepovinné kurzy/školení</c:v>
                </c:pt>
                <c:pt idx="6">
                  <c:v>Povinné kurzy/školení</c:v>
                </c:pt>
              </c:strCache>
            </c:strRef>
          </c:cat>
          <c:val>
            <c:numRef>
              <c:f>List13!$C$7:$C$13</c:f>
              <c:numCache>
                <c:formatCode>0.0%</c:formatCode>
                <c:ptCount val="7"/>
                <c:pt idx="0">
                  <c:v>0.146752808412</c:v>
                </c:pt>
                <c:pt idx="1">
                  <c:v>0.149888082428</c:v>
                </c:pt>
                <c:pt idx="2">
                  <c:v>0.18959993589599999</c:v>
                </c:pt>
                <c:pt idx="3">
                  <c:v>0.37900637388899999</c:v>
                </c:pt>
                <c:pt idx="4">
                  <c:v>0.39996315029400004</c:v>
                </c:pt>
                <c:pt idx="5">
                  <c:v>0.40560194280300005</c:v>
                </c:pt>
                <c:pt idx="6">
                  <c:v>0.80889149114000003</c:v>
                </c:pt>
              </c:numCache>
            </c:numRef>
          </c:val>
          <c:extLst>
            <c:ext xmlns:c16="http://schemas.microsoft.com/office/drawing/2014/chart" uri="{C3380CC4-5D6E-409C-BE32-E72D297353CC}">
              <c16:uniqueId val="{00000001-2B80-4CC0-9CB1-E87951EB32DE}"/>
            </c:ext>
          </c:extLst>
        </c:ser>
        <c:dLbls>
          <c:showLegendKey val="0"/>
          <c:showVal val="0"/>
          <c:showCatName val="0"/>
          <c:showSerName val="0"/>
          <c:showPercent val="0"/>
          <c:showBubbleSize val="0"/>
        </c:dLbls>
        <c:gapWidth val="77"/>
        <c:axId val="501999664"/>
        <c:axId val="502004656"/>
      </c:barChart>
      <c:catAx>
        <c:axId val="50199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02004656"/>
        <c:crosses val="autoZero"/>
        <c:auto val="1"/>
        <c:lblAlgn val="ctr"/>
        <c:lblOffset val="100"/>
        <c:noMultiLvlLbl val="0"/>
      </c:catAx>
      <c:valAx>
        <c:axId val="502004656"/>
        <c:scaling>
          <c:orientation val="minMax"/>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01999664"/>
        <c:crosses val="autoZero"/>
        <c:crossBetween val="between"/>
      </c:valAx>
      <c:spPr>
        <a:noFill/>
        <a:ln>
          <a:noFill/>
        </a:ln>
        <a:effectLst/>
      </c:spPr>
    </c:plotArea>
    <c:legend>
      <c:legendPos val="b"/>
      <c:layout>
        <c:manualLayout>
          <c:xMode val="edge"/>
          <c:yMode val="edge"/>
          <c:x val="0.31024798492842476"/>
          <c:y val="0.93423400732485784"/>
          <c:w val="0.63512600035425015"/>
          <c:h val="4.936189709453400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D49D12"/>
              </a:solidFill>
              <a:ln>
                <a:noFill/>
              </a:ln>
              <a:effectLst/>
            </c:spPr>
            <c:extLst>
              <c:ext xmlns:c16="http://schemas.microsoft.com/office/drawing/2014/chart" uri="{C3380CC4-5D6E-409C-BE32-E72D297353CC}">
                <c16:uniqueId val="{00000001-E132-427A-B838-8B8867644955}"/>
              </c:ext>
            </c:extLst>
          </c:dPt>
          <c:dPt>
            <c:idx val="1"/>
            <c:invertIfNegative val="0"/>
            <c:bubble3D val="0"/>
            <c:spPr>
              <a:solidFill>
                <a:srgbClr val="D49D12"/>
              </a:solidFill>
              <a:ln>
                <a:noFill/>
              </a:ln>
              <a:effectLst/>
            </c:spPr>
            <c:extLst>
              <c:ext xmlns:c16="http://schemas.microsoft.com/office/drawing/2014/chart" uri="{C3380CC4-5D6E-409C-BE32-E72D297353CC}">
                <c16:uniqueId val="{00000003-E132-427A-B838-8B8867644955}"/>
              </c:ext>
            </c:extLst>
          </c:dPt>
          <c:dPt>
            <c:idx val="2"/>
            <c:invertIfNegative val="0"/>
            <c:bubble3D val="0"/>
            <c:spPr>
              <a:solidFill>
                <a:srgbClr val="D49D12"/>
              </a:solidFill>
              <a:ln>
                <a:noFill/>
              </a:ln>
              <a:effectLst/>
            </c:spPr>
            <c:extLst>
              <c:ext xmlns:c16="http://schemas.microsoft.com/office/drawing/2014/chart" uri="{C3380CC4-5D6E-409C-BE32-E72D297353CC}">
                <c16:uniqueId val="{00000005-E132-427A-B838-8B8867644955}"/>
              </c:ext>
            </c:extLst>
          </c:dPt>
          <c:dPt>
            <c:idx val="3"/>
            <c:invertIfNegative val="0"/>
            <c:bubble3D val="0"/>
            <c:spPr>
              <a:solidFill>
                <a:srgbClr val="D49D12"/>
              </a:solidFill>
              <a:ln>
                <a:noFill/>
              </a:ln>
              <a:effectLst/>
            </c:spPr>
            <c:extLst>
              <c:ext xmlns:c16="http://schemas.microsoft.com/office/drawing/2014/chart" uri="{C3380CC4-5D6E-409C-BE32-E72D297353CC}">
                <c16:uniqueId val="{00000007-E132-427A-B838-8B8867644955}"/>
              </c:ext>
            </c:extLst>
          </c:dPt>
          <c:dPt>
            <c:idx val="4"/>
            <c:invertIfNegative val="0"/>
            <c:bubble3D val="0"/>
            <c:spPr>
              <a:solidFill>
                <a:srgbClr val="92D050"/>
              </a:solidFill>
              <a:ln>
                <a:noFill/>
              </a:ln>
              <a:effectLst/>
            </c:spPr>
            <c:extLst>
              <c:ext xmlns:c16="http://schemas.microsoft.com/office/drawing/2014/chart" uri="{C3380CC4-5D6E-409C-BE32-E72D297353CC}">
                <c16:uniqueId val="{00000009-E132-427A-B838-8B8867644955}"/>
              </c:ext>
            </c:extLst>
          </c:dPt>
          <c:dPt>
            <c:idx val="5"/>
            <c:invertIfNegative val="0"/>
            <c:bubble3D val="0"/>
            <c:spPr>
              <a:solidFill>
                <a:srgbClr val="92D050"/>
              </a:solidFill>
              <a:ln>
                <a:noFill/>
              </a:ln>
              <a:effectLst/>
            </c:spPr>
            <c:extLst>
              <c:ext xmlns:c16="http://schemas.microsoft.com/office/drawing/2014/chart" uri="{C3380CC4-5D6E-409C-BE32-E72D297353CC}">
                <c16:uniqueId val="{0000000B-E132-427A-B838-8B8867644955}"/>
              </c:ext>
            </c:extLst>
          </c:dPt>
          <c:dPt>
            <c:idx val="6"/>
            <c:invertIfNegative val="0"/>
            <c:bubble3D val="0"/>
            <c:spPr>
              <a:solidFill>
                <a:srgbClr val="92D050"/>
              </a:solidFill>
              <a:ln>
                <a:noFill/>
              </a:ln>
              <a:effectLst/>
            </c:spPr>
            <c:extLst>
              <c:ext xmlns:c16="http://schemas.microsoft.com/office/drawing/2014/chart" uri="{C3380CC4-5D6E-409C-BE32-E72D297353CC}">
                <c16:uniqueId val="{0000000D-E132-427A-B838-8B8867644955}"/>
              </c:ext>
            </c:extLst>
          </c:dPt>
          <c:dPt>
            <c:idx val="7"/>
            <c:invertIfNegative val="0"/>
            <c:bubble3D val="0"/>
            <c:spPr>
              <a:solidFill>
                <a:srgbClr val="92D050"/>
              </a:solidFill>
              <a:ln>
                <a:noFill/>
              </a:ln>
              <a:effectLst/>
            </c:spPr>
            <c:extLst>
              <c:ext xmlns:c16="http://schemas.microsoft.com/office/drawing/2014/chart" uri="{C3380CC4-5D6E-409C-BE32-E72D297353CC}">
                <c16:uniqueId val="{0000000F-E132-427A-B838-8B8867644955}"/>
              </c:ext>
            </c:extLst>
          </c:dPt>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List14!$J$69:$K$80</c:f>
              <c:multiLvlStrCache>
                <c:ptCount val="12"/>
                <c:lvl>
                  <c:pt idx="0">
                    <c:v>250 a více zaměstnanců</c:v>
                  </c:pt>
                  <c:pt idx="1">
                    <c:v>50–249 zaměstnanců</c:v>
                  </c:pt>
                  <c:pt idx="2">
                    <c:v>20–49 zaměstnanců</c:v>
                  </c:pt>
                  <c:pt idx="3">
                    <c:v>10–19 zaměstnanců</c:v>
                  </c:pt>
                  <c:pt idx="4">
                    <c:v>250 a více zaměstnanců</c:v>
                  </c:pt>
                  <c:pt idx="5">
                    <c:v>50–249 zaměstnanců</c:v>
                  </c:pt>
                  <c:pt idx="6">
                    <c:v>20–49 zaměstnanců</c:v>
                  </c:pt>
                  <c:pt idx="7">
                    <c:v>10–19 zaměstnanců</c:v>
                  </c:pt>
                  <c:pt idx="8">
                    <c:v>250 a více zaměstnanců</c:v>
                  </c:pt>
                  <c:pt idx="9">
                    <c:v>50–249 zaměstnanců</c:v>
                  </c:pt>
                  <c:pt idx="10">
                    <c:v>20–49 zaměstnanců</c:v>
                  </c:pt>
                  <c:pt idx="11">
                    <c:v>10–19 zaměstnanců</c:v>
                  </c:pt>
                </c:lvl>
                <c:lvl>
                  <c:pt idx="0">
                    <c:v>Samostudium, 
e-learning</c:v>
                  </c:pt>
                  <c:pt idx="4">
                    <c:v>Zaškolování, instruktáž na pracovišti</c:v>
                  </c:pt>
                  <c:pt idx="8">
                    <c:v>Nepovinné  kurzy/školení</c:v>
                  </c:pt>
                </c:lvl>
              </c:multiLvlStrCache>
            </c:multiLvlStrRef>
          </c:cat>
          <c:val>
            <c:numRef>
              <c:f>List14!$L$69:$L$80</c:f>
              <c:numCache>
                <c:formatCode>0.0%</c:formatCode>
                <c:ptCount val="12"/>
                <c:pt idx="0">
                  <c:v>0.42200870722200001</c:v>
                </c:pt>
                <c:pt idx="1">
                  <c:v>0.31791388664199999</c:v>
                </c:pt>
                <c:pt idx="2">
                  <c:v>0.36191073647300004</c:v>
                </c:pt>
                <c:pt idx="3">
                  <c:v>0.41936302073299997</c:v>
                </c:pt>
                <c:pt idx="4">
                  <c:v>0.38674234353999998</c:v>
                </c:pt>
                <c:pt idx="5">
                  <c:v>0.33368363771100001</c:v>
                </c:pt>
                <c:pt idx="6">
                  <c:v>0.39614884312299997</c:v>
                </c:pt>
                <c:pt idx="7">
                  <c:v>0.47208207926999995</c:v>
                </c:pt>
                <c:pt idx="8">
                  <c:v>0.43582912554199998</c:v>
                </c:pt>
                <c:pt idx="9">
                  <c:v>0.32505149917399995</c:v>
                </c:pt>
                <c:pt idx="10">
                  <c:v>0.396697488574</c:v>
                </c:pt>
                <c:pt idx="11">
                  <c:v>0.49281479268900003</c:v>
                </c:pt>
              </c:numCache>
            </c:numRef>
          </c:val>
          <c:extLst>
            <c:ext xmlns:c16="http://schemas.microsoft.com/office/drawing/2014/chart" uri="{C3380CC4-5D6E-409C-BE32-E72D297353CC}">
              <c16:uniqueId val="{00000010-E132-427A-B838-8B8867644955}"/>
            </c:ext>
          </c:extLst>
        </c:ser>
        <c:dLbls>
          <c:showLegendKey val="0"/>
          <c:showVal val="0"/>
          <c:showCatName val="0"/>
          <c:showSerName val="0"/>
          <c:showPercent val="0"/>
          <c:showBubbleSize val="0"/>
        </c:dLbls>
        <c:gapWidth val="44"/>
        <c:axId val="660089184"/>
        <c:axId val="660089600"/>
      </c:barChart>
      <c:catAx>
        <c:axId val="660089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60089600"/>
        <c:crosses val="autoZero"/>
        <c:auto val="1"/>
        <c:lblAlgn val="ctr"/>
        <c:lblOffset val="100"/>
        <c:noMultiLvlLbl val="0"/>
      </c:catAx>
      <c:valAx>
        <c:axId val="660089600"/>
        <c:scaling>
          <c:orientation val="minMax"/>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6008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14385221078135"/>
          <c:y val="1.8486424032351241E-2"/>
          <c:w val="0.52635187428494512"/>
          <c:h val="0.96681232003711837"/>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4">
                  <a:lumMod val="50000"/>
                </a:schemeClr>
              </a:solidFill>
              <a:ln>
                <a:noFill/>
              </a:ln>
              <a:effectLst/>
            </c:spPr>
            <c:extLst>
              <c:ext xmlns:c16="http://schemas.microsoft.com/office/drawing/2014/chart" uri="{C3380CC4-5D6E-409C-BE32-E72D297353CC}">
                <c16:uniqueId val="{00000001-007D-4683-9F14-2AFF49949959}"/>
              </c:ext>
            </c:extLst>
          </c:dPt>
          <c:dPt>
            <c:idx val="1"/>
            <c:invertIfNegative val="0"/>
            <c:bubble3D val="0"/>
            <c:spPr>
              <a:solidFill>
                <a:schemeClr val="accent4">
                  <a:lumMod val="50000"/>
                </a:schemeClr>
              </a:solidFill>
              <a:ln>
                <a:noFill/>
              </a:ln>
              <a:effectLst/>
            </c:spPr>
            <c:extLst>
              <c:ext xmlns:c16="http://schemas.microsoft.com/office/drawing/2014/chart" uri="{C3380CC4-5D6E-409C-BE32-E72D297353CC}">
                <c16:uniqueId val="{00000003-007D-4683-9F14-2AFF49949959}"/>
              </c:ext>
            </c:extLst>
          </c:dPt>
          <c:dPt>
            <c:idx val="2"/>
            <c:invertIfNegative val="0"/>
            <c:bubble3D val="0"/>
            <c:spPr>
              <a:solidFill>
                <a:schemeClr val="accent4">
                  <a:lumMod val="50000"/>
                </a:schemeClr>
              </a:solidFill>
              <a:ln>
                <a:noFill/>
              </a:ln>
              <a:effectLst/>
            </c:spPr>
            <c:extLst>
              <c:ext xmlns:c16="http://schemas.microsoft.com/office/drawing/2014/chart" uri="{C3380CC4-5D6E-409C-BE32-E72D297353CC}">
                <c16:uniqueId val="{00000005-007D-4683-9F14-2AFF49949959}"/>
              </c:ext>
            </c:extLst>
          </c:dPt>
          <c:dPt>
            <c:idx val="3"/>
            <c:invertIfNegative val="0"/>
            <c:bubble3D val="0"/>
            <c:spPr>
              <a:solidFill>
                <a:schemeClr val="accent4">
                  <a:lumMod val="50000"/>
                </a:schemeClr>
              </a:solidFill>
              <a:ln>
                <a:noFill/>
              </a:ln>
              <a:effectLst/>
            </c:spPr>
            <c:extLst>
              <c:ext xmlns:c16="http://schemas.microsoft.com/office/drawing/2014/chart" uri="{C3380CC4-5D6E-409C-BE32-E72D297353CC}">
                <c16:uniqueId val="{00000007-007D-4683-9F14-2AFF49949959}"/>
              </c:ext>
            </c:extLst>
          </c:dPt>
          <c:dPt>
            <c:idx val="4"/>
            <c:invertIfNegative val="0"/>
            <c:bubble3D val="0"/>
            <c:spPr>
              <a:solidFill>
                <a:schemeClr val="accent4">
                  <a:lumMod val="50000"/>
                </a:schemeClr>
              </a:solidFill>
              <a:ln>
                <a:noFill/>
              </a:ln>
              <a:effectLst/>
            </c:spPr>
            <c:extLst>
              <c:ext xmlns:c16="http://schemas.microsoft.com/office/drawing/2014/chart" uri="{C3380CC4-5D6E-409C-BE32-E72D297353CC}">
                <c16:uniqueId val="{00000009-007D-4683-9F14-2AFF49949959}"/>
              </c:ext>
            </c:extLst>
          </c:dPt>
          <c:dPt>
            <c:idx val="5"/>
            <c:invertIfNegative val="0"/>
            <c:bubble3D val="0"/>
            <c:spPr>
              <a:solidFill>
                <a:schemeClr val="accent4">
                  <a:lumMod val="50000"/>
                </a:schemeClr>
              </a:solidFill>
              <a:ln>
                <a:noFill/>
              </a:ln>
              <a:effectLst/>
            </c:spPr>
            <c:extLst>
              <c:ext xmlns:c16="http://schemas.microsoft.com/office/drawing/2014/chart" uri="{C3380CC4-5D6E-409C-BE32-E72D297353CC}">
                <c16:uniqueId val="{0000000B-007D-4683-9F14-2AFF49949959}"/>
              </c:ext>
            </c:extLst>
          </c:dPt>
          <c:dPt>
            <c:idx val="6"/>
            <c:invertIfNegative val="0"/>
            <c:bubble3D val="0"/>
            <c:spPr>
              <a:solidFill>
                <a:schemeClr val="accent4">
                  <a:lumMod val="50000"/>
                </a:schemeClr>
              </a:solidFill>
              <a:ln>
                <a:noFill/>
              </a:ln>
              <a:effectLst/>
            </c:spPr>
            <c:extLst>
              <c:ext xmlns:c16="http://schemas.microsoft.com/office/drawing/2014/chart" uri="{C3380CC4-5D6E-409C-BE32-E72D297353CC}">
                <c16:uniqueId val="{0000000D-007D-4683-9F14-2AFF49949959}"/>
              </c:ext>
            </c:extLst>
          </c:dPt>
          <c:dPt>
            <c:idx val="7"/>
            <c:invertIfNegative val="0"/>
            <c:bubble3D val="0"/>
            <c:spPr>
              <a:solidFill>
                <a:schemeClr val="accent4">
                  <a:lumMod val="50000"/>
                </a:schemeClr>
              </a:solidFill>
              <a:ln>
                <a:noFill/>
              </a:ln>
              <a:effectLst/>
            </c:spPr>
            <c:extLst>
              <c:ext xmlns:c16="http://schemas.microsoft.com/office/drawing/2014/chart" uri="{C3380CC4-5D6E-409C-BE32-E72D297353CC}">
                <c16:uniqueId val="{0000000F-007D-4683-9F14-2AFF49949959}"/>
              </c:ext>
            </c:extLst>
          </c:dPt>
          <c:dPt>
            <c:idx val="8"/>
            <c:invertIfNegative val="0"/>
            <c:bubble3D val="0"/>
            <c:spPr>
              <a:solidFill>
                <a:schemeClr val="accent4">
                  <a:lumMod val="50000"/>
                </a:schemeClr>
              </a:solidFill>
              <a:ln>
                <a:noFill/>
              </a:ln>
              <a:effectLst/>
            </c:spPr>
            <c:extLst>
              <c:ext xmlns:c16="http://schemas.microsoft.com/office/drawing/2014/chart" uri="{C3380CC4-5D6E-409C-BE32-E72D297353CC}">
                <c16:uniqueId val="{00000011-007D-4683-9F14-2AFF49949959}"/>
              </c:ext>
            </c:extLst>
          </c:dPt>
          <c:dPt>
            <c:idx val="9"/>
            <c:invertIfNegative val="0"/>
            <c:bubble3D val="0"/>
            <c:spPr>
              <a:solidFill>
                <a:schemeClr val="accent4">
                  <a:lumMod val="50000"/>
                </a:schemeClr>
              </a:solidFill>
              <a:ln>
                <a:noFill/>
              </a:ln>
              <a:effectLst/>
            </c:spPr>
            <c:extLst>
              <c:ext xmlns:c16="http://schemas.microsoft.com/office/drawing/2014/chart" uri="{C3380CC4-5D6E-409C-BE32-E72D297353CC}">
                <c16:uniqueId val="{00000013-007D-4683-9F14-2AFF49949959}"/>
              </c:ext>
            </c:extLst>
          </c:dPt>
          <c:dPt>
            <c:idx val="10"/>
            <c:invertIfNegative val="0"/>
            <c:bubble3D val="0"/>
            <c:spPr>
              <a:solidFill>
                <a:srgbClr val="92D050"/>
              </a:solidFill>
              <a:ln>
                <a:noFill/>
              </a:ln>
              <a:effectLst/>
            </c:spPr>
            <c:extLst>
              <c:ext xmlns:c16="http://schemas.microsoft.com/office/drawing/2014/chart" uri="{C3380CC4-5D6E-409C-BE32-E72D297353CC}">
                <c16:uniqueId val="{00000015-007D-4683-9F14-2AFF49949959}"/>
              </c:ext>
            </c:extLst>
          </c:dPt>
          <c:dPt>
            <c:idx val="11"/>
            <c:invertIfNegative val="0"/>
            <c:bubble3D val="0"/>
            <c:spPr>
              <a:solidFill>
                <a:srgbClr val="92D050"/>
              </a:solidFill>
              <a:ln>
                <a:noFill/>
              </a:ln>
              <a:effectLst/>
            </c:spPr>
            <c:extLst>
              <c:ext xmlns:c16="http://schemas.microsoft.com/office/drawing/2014/chart" uri="{C3380CC4-5D6E-409C-BE32-E72D297353CC}">
                <c16:uniqueId val="{00000017-007D-4683-9F14-2AFF49949959}"/>
              </c:ext>
            </c:extLst>
          </c:dPt>
          <c:dPt>
            <c:idx val="12"/>
            <c:invertIfNegative val="0"/>
            <c:bubble3D val="0"/>
            <c:spPr>
              <a:solidFill>
                <a:srgbClr val="92D050"/>
              </a:solidFill>
              <a:ln>
                <a:noFill/>
              </a:ln>
              <a:effectLst/>
            </c:spPr>
            <c:extLst>
              <c:ext xmlns:c16="http://schemas.microsoft.com/office/drawing/2014/chart" uri="{C3380CC4-5D6E-409C-BE32-E72D297353CC}">
                <c16:uniqueId val="{00000019-007D-4683-9F14-2AFF49949959}"/>
              </c:ext>
            </c:extLst>
          </c:dPt>
          <c:dPt>
            <c:idx val="13"/>
            <c:invertIfNegative val="0"/>
            <c:bubble3D val="0"/>
            <c:spPr>
              <a:solidFill>
                <a:srgbClr val="92D050"/>
              </a:solidFill>
              <a:ln>
                <a:noFill/>
              </a:ln>
              <a:effectLst/>
            </c:spPr>
            <c:extLst>
              <c:ext xmlns:c16="http://schemas.microsoft.com/office/drawing/2014/chart" uri="{C3380CC4-5D6E-409C-BE32-E72D297353CC}">
                <c16:uniqueId val="{0000001B-007D-4683-9F14-2AFF49949959}"/>
              </c:ext>
            </c:extLst>
          </c:dPt>
          <c:dPt>
            <c:idx val="14"/>
            <c:invertIfNegative val="0"/>
            <c:bubble3D val="0"/>
            <c:spPr>
              <a:solidFill>
                <a:srgbClr val="92D050"/>
              </a:solidFill>
              <a:ln>
                <a:noFill/>
              </a:ln>
              <a:effectLst/>
            </c:spPr>
            <c:extLst>
              <c:ext xmlns:c16="http://schemas.microsoft.com/office/drawing/2014/chart" uri="{C3380CC4-5D6E-409C-BE32-E72D297353CC}">
                <c16:uniqueId val="{0000001D-007D-4683-9F14-2AFF49949959}"/>
              </c:ext>
            </c:extLst>
          </c:dPt>
          <c:dPt>
            <c:idx val="15"/>
            <c:invertIfNegative val="0"/>
            <c:bubble3D val="0"/>
            <c:spPr>
              <a:solidFill>
                <a:srgbClr val="92D050"/>
              </a:solidFill>
              <a:ln>
                <a:noFill/>
              </a:ln>
              <a:effectLst/>
            </c:spPr>
            <c:extLst>
              <c:ext xmlns:c16="http://schemas.microsoft.com/office/drawing/2014/chart" uri="{C3380CC4-5D6E-409C-BE32-E72D297353CC}">
                <c16:uniqueId val="{0000001F-007D-4683-9F14-2AFF49949959}"/>
              </c:ext>
            </c:extLst>
          </c:dPt>
          <c:dPt>
            <c:idx val="16"/>
            <c:invertIfNegative val="0"/>
            <c:bubble3D val="0"/>
            <c:spPr>
              <a:solidFill>
                <a:srgbClr val="92D050"/>
              </a:solidFill>
              <a:ln>
                <a:noFill/>
              </a:ln>
              <a:effectLst/>
            </c:spPr>
            <c:extLst>
              <c:ext xmlns:c16="http://schemas.microsoft.com/office/drawing/2014/chart" uri="{C3380CC4-5D6E-409C-BE32-E72D297353CC}">
                <c16:uniqueId val="{00000021-007D-4683-9F14-2AFF49949959}"/>
              </c:ext>
            </c:extLst>
          </c:dPt>
          <c:dPt>
            <c:idx val="17"/>
            <c:invertIfNegative val="0"/>
            <c:bubble3D val="0"/>
            <c:spPr>
              <a:solidFill>
                <a:srgbClr val="92D050"/>
              </a:solidFill>
              <a:ln>
                <a:noFill/>
              </a:ln>
              <a:effectLst/>
            </c:spPr>
            <c:extLst>
              <c:ext xmlns:c16="http://schemas.microsoft.com/office/drawing/2014/chart" uri="{C3380CC4-5D6E-409C-BE32-E72D297353CC}">
                <c16:uniqueId val="{00000023-007D-4683-9F14-2AFF49949959}"/>
              </c:ext>
            </c:extLst>
          </c:dPt>
          <c:dPt>
            <c:idx val="18"/>
            <c:invertIfNegative val="0"/>
            <c:bubble3D val="0"/>
            <c:spPr>
              <a:solidFill>
                <a:srgbClr val="92D050"/>
              </a:solidFill>
              <a:ln>
                <a:noFill/>
              </a:ln>
              <a:effectLst/>
            </c:spPr>
            <c:extLst>
              <c:ext xmlns:c16="http://schemas.microsoft.com/office/drawing/2014/chart" uri="{C3380CC4-5D6E-409C-BE32-E72D297353CC}">
                <c16:uniqueId val="{00000025-007D-4683-9F14-2AFF49949959}"/>
              </c:ext>
            </c:extLst>
          </c:dPt>
          <c:dPt>
            <c:idx val="19"/>
            <c:invertIfNegative val="0"/>
            <c:bubble3D val="0"/>
            <c:spPr>
              <a:solidFill>
                <a:srgbClr val="92D050"/>
              </a:solidFill>
              <a:ln>
                <a:noFill/>
              </a:ln>
              <a:effectLst/>
            </c:spPr>
            <c:extLst>
              <c:ext xmlns:c16="http://schemas.microsoft.com/office/drawing/2014/chart" uri="{C3380CC4-5D6E-409C-BE32-E72D297353CC}">
                <c16:uniqueId val="{00000027-007D-4683-9F14-2AFF49949959}"/>
              </c:ext>
            </c:extLst>
          </c:dPt>
          <c:dLbls>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 2.3 a další'!$AK$15:$AL$44</c:f>
              <c:multiLvlStrCache>
                <c:ptCount val="30"/>
                <c:lvl>
                  <c:pt idx="0">
                    <c:v> Peněžnictví a pojišťovnictví</c:v>
                  </c:pt>
                  <c:pt idx="1">
                    <c:v> Informační a komunikační činnosti</c:v>
                  </c:pt>
                  <c:pt idx="2">
                    <c:v> Kulturní, zábavní a rekreační činnosti</c:v>
                  </c:pt>
                  <c:pt idx="3">
                    <c:v> Doprava a skladování</c:v>
                  </c:pt>
                  <c:pt idx="4">
                    <c:v> Profesní, vědecké a technické činnosti</c:v>
                  </c:pt>
                  <c:pt idx="5">
                    <c:v> Stavebnictví</c:v>
                  </c:pt>
                  <c:pt idx="6">
                    <c:v> Průmysl</c:v>
                  </c:pt>
                  <c:pt idx="7">
                    <c:v> Činnosti v oblasti nemovitostí a administrativy</c:v>
                  </c:pt>
                  <c:pt idx="8">
                    <c:v> Ubytování, stravování a pohostinství</c:v>
                  </c:pt>
                  <c:pt idx="9">
                    <c:v> Velkoobchod a maloobchod; opravy motor. vozidel</c:v>
                  </c:pt>
                  <c:pt idx="10">
                    <c:v> Stavebnictví</c:v>
                  </c:pt>
                  <c:pt idx="11">
                    <c:v> Průmysl</c:v>
                  </c:pt>
                  <c:pt idx="12">
                    <c:v> Ubytování, stravování a pohostinství</c:v>
                  </c:pt>
                  <c:pt idx="13">
                    <c:v> Kulturní, zábavní a rekreační činnosti</c:v>
                  </c:pt>
                  <c:pt idx="14">
                    <c:v> Doprava a skladování</c:v>
                  </c:pt>
                  <c:pt idx="15">
                    <c:v> Činnosti v oblasti nemovitostí a administrativy</c:v>
                  </c:pt>
                  <c:pt idx="16">
                    <c:v> Velkoobchod a maloobchod; opravy motor. vozidel</c:v>
                  </c:pt>
                  <c:pt idx="17">
                    <c:v> Profesní, vědecké a technické činnosti</c:v>
                  </c:pt>
                  <c:pt idx="18">
                    <c:v> Informační a komunikační činnosti</c:v>
                  </c:pt>
                  <c:pt idx="19">
                    <c:v> Peněžnictví a pojišťovnictví</c:v>
                  </c:pt>
                  <c:pt idx="20">
                    <c:v> Činnosti v oblasti nemovitostí a administrativy</c:v>
                  </c:pt>
                  <c:pt idx="21">
                    <c:v> Průmysl</c:v>
                  </c:pt>
                  <c:pt idx="22">
                    <c:v> Doprava a skladování</c:v>
                  </c:pt>
                  <c:pt idx="23">
                    <c:v> Stavebnictví</c:v>
                  </c:pt>
                  <c:pt idx="24">
                    <c:v> Velkoobchod a maloobchod; opravy motor. vozidel</c:v>
                  </c:pt>
                  <c:pt idx="25">
                    <c:v> Ubytování, stravování a pohostinství</c:v>
                  </c:pt>
                  <c:pt idx="26">
                    <c:v> Kulturní, zábavní a rekreační činnosti</c:v>
                  </c:pt>
                  <c:pt idx="27">
                    <c:v> Informační a komunikační činnosti</c:v>
                  </c:pt>
                  <c:pt idx="28">
                    <c:v> Profesní, vědecké a technické činnosti</c:v>
                  </c:pt>
                  <c:pt idx="29">
                    <c:v> Peněžnictví a pojišťovnictví</c:v>
                  </c:pt>
                </c:lvl>
                <c:lvl>
                  <c:pt idx="0">
                    <c:v>Zaškolování, instruktáž na pracovišti</c:v>
                  </c:pt>
                  <c:pt idx="10">
                    <c:v>Samostudium, e-learning</c:v>
                  </c:pt>
                  <c:pt idx="20">
                    <c:v>Nepovinné  kurzy/školení</c:v>
                  </c:pt>
                </c:lvl>
              </c:multiLvlStrCache>
            </c:multiLvlStrRef>
          </c:cat>
          <c:val>
            <c:numRef>
              <c:f>'graf 2.3 a další'!$AM$15:$AM$44</c:f>
              <c:numCache>
                <c:formatCode>0.0%</c:formatCode>
                <c:ptCount val="30"/>
                <c:pt idx="0">
                  <c:v>0.28727877641900001</c:v>
                </c:pt>
                <c:pt idx="1">
                  <c:v>0.28909018383599999</c:v>
                </c:pt>
                <c:pt idx="2">
                  <c:v>0.29537151276900003</c:v>
                </c:pt>
                <c:pt idx="3">
                  <c:v>0.32063290911300002</c:v>
                </c:pt>
                <c:pt idx="4">
                  <c:v>0.33649197580200002</c:v>
                </c:pt>
                <c:pt idx="5">
                  <c:v>0.344381709624</c:v>
                </c:pt>
                <c:pt idx="6">
                  <c:v>0.37532693321999999</c:v>
                </c:pt>
                <c:pt idx="7">
                  <c:v>0.44680673763900003</c:v>
                </c:pt>
                <c:pt idx="8">
                  <c:v>0.45634750577299998</c:v>
                </c:pt>
                <c:pt idx="9">
                  <c:v>0.47182848898099999</c:v>
                </c:pt>
                <c:pt idx="10">
                  <c:v>0.26898748474400003</c:v>
                </c:pt>
                <c:pt idx="11">
                  <c:v>0.26961988123200004</c:v>
                </c:pt>
                <c:pt idx="12">
                  <c:v>0.33731504889000002</c:v>
                </c:pt>
                <c:pt idx="13">
                  <c:v>0.35962501417100001</c:v>
                </c:pt>
                <c:pt idx="14">
                  <c:v>0.44861777159100003</c:v>
                </c:pt>
                <c:pt idx="15">
                  <c:v>0.46848861585900003</c:v>
                </c:pt>
                <c:pt idx="16">
                  <c:v>0.51029773248099997</c:v>
                </c:pt>
                <c:pt idx="17">
                  <c:v>0.53496777925899996</c:v>
                </c:pt>
                <c:pt idx="18">
                  <c:v>0.61383227010100005</c:v>
                </c:pt>
                <c:pt idx="19">
                  <c:v>0.77821833819600006</c:v>
                </c:pt>
                <c:pt idx="20">
                  <c:v>0.25455209401700002</c:v>
                </c:pt>
                <c:pt idx="21">
                  <c:v>0.35591886583900001</c:v>
                </c:pt>
                <c:pt idx="22">
                  <c:v>0.387486935418</c:v>
                </c:pt>
                <c:pt idx="23">
                  <c:v>0.41566657837900001</c:v>
                </c:pt>
                <c:pt idx="24">
                  <c:v>0.42616676928499997</c:v>
                </c:pt>
                <c:pt idx="25">
                  <c:v>0.42992261489100003</c:v>
                </c:pt>
                <c:pt idx="26">
                  <c:v>0.48737387904899998</c:v>
                </c:pt>
                <c:pt idx="27">
                  <c:v>0.52836276990300002</c:v>
                </c:pt>
                <c:pt idx="28">
                  <c:v>0.56081039403299993</c:v>
                </c:pt>
                <c:pt idx="29">
                  <c:v>0.79918022046199999</c:v>
                </c:pt>
              </c:numCache>
            </c:numRef>
          </c:val>
          <c:extLst>
            <c:ext xmlns:c16="http://schemas.microsoft.com/office/drawing/2014/chart" uri="{C3380CC4-5D6E-409C-BE32-E72D297353CC}">
              <c16:uniqueId val="{00000028-007D-4683-9F14-2AFF49949959}"/>
            </c:ext>
          </c:extLst>
        </c:ser>
        <c:dLbls>
          <c:showLegendKey val="0"/>
          <c:showVal val="0"/>
          <c:showCatName val="0"/>
          <c:showSerName val="0"/>
          <c:showPercent val="0"/>
          <c:showBubbleSize val="0"/>
        </c:dLbls>
        <c:gapWidth val="57"/>
        <c:axId val="1401185423"/>
        <c:axId val="1401186255"/>
      </c:barChart>
      <c:catAx>
        <c:axId val="14011854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1186255"/>
        <c:crosses val="autoZero"/>
        <c:auto val="1"/>
        <c:lblAlgn val="ctr"/>
        <c:lblOffset val="100"/>
        <c:noMultiLvlLbl val="0"/>
      </c:catAx>
      <c:valAx>
        <c:axId val="1401186255"/>
        <c:scaling>
          <c:orientation val="minMax"/>
          <c:max val="1"/>
        </c:scaling>
        <c:delete val="0"/>
        <c:axPos val="b"/>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1185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112444536967872"/>
          <c:y val="2.0924106541063036E-2"/>
          <c:w val="0.56329067731230342"/>
          <c:h val="0.95899073038830873"/>
        </c:manualLayout>
      </c:layout>
      <c:barChart>
        <c:barDir val="bar"/>
        <c:grouping val="clustered"/>
        <c:varyColors val="0"/>
        <c:ser>
          <c:idx val="0"/>
          <c:order val="0"/>
          <c:tx>
            <c:strRef>
              <c:f>'2.4'!$B$1</c:f>
              <c:strCache>
                <c:ptCount val="1"/>
                <c:pt idx="0">
                  <c:v>podíl mužů</c:v>
                </c:pt>
              </c:strCache>
            </c:strRef>
          </c:tx>
          <c:spPr>
            <a:solidFill>
              <a:schemeClr val="accent1">
                <a:lumMod val="75000"/>
              </a:schemeClr>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'2.4'!$A$2:$A$11</c:f>
              <c:strCache>
                <c:ptCount val="10"/>
                <c:pt idx="0">
                  <c:v> Doprava a skladování   </c:v>
                </c:pt>
                <c:pt idx="1">
                  <c:v> Průmysl</c:v>
                </c:pt>
                <c:pt idx="2">
                  <c:v> Kulturní, zábavní a rekreační činnosti</c:v>
                </c:pt>
                <c:pt idx="3">
                  <c:v> Ubytování, stravování a pohostinství</c:v>
                </c:pt>
                <c:pt idx="4">
                  <c:v> Velko a maloobchod; opravy motorových vozidel</c:v>
                </c:pt>
                <c:pt idx="5">
                  <c:v> Peněžnictví a pojišťovnictví</c:v>
                </c:pt>
                <c:pt idx="6">
                  <c:v> Informační a komunikační činnosti</c:v>
                </c:pt>
                <c:pt idx="7">
                  <c:v> Profesní, vědecké a technické činnosti</c:v>
                </c:pt>
                <c:pt idx="8">
                  <c:v> Stavebnictví</c:v>
                </c:pt>
                <c:pt idx="9">
                  <c:v> Činnosti v oblasti nemovitostí a administrativy</c:v>
                </c:pt>
              </c:strCache>
            </c:strRef>
          </c:cat>
          <c:val>
            <c:numRef>
              <c:f>'2.4'!$B$2:$B$11</c:f>
              <c:numCache>
                <c:formatCode>0.0%</c:formatCode>
                <c:ptCount val="10"/>
                <c:pt idx="0">
                  <c:v>0.41151736779999998</c:v>
                </c:pt>
                <c:pt idx="1">
                  <c:v>0.369283281819</c:v>
                </c:pt>
                <c:pt idx="2">
                  <c:v>0.51694212246299998</c:v>
                </c:pt>
                <c:pt idx="3">
                  <c:v>0.43933091483600001</c:v>
                </c:pt>
                <c:pt idx="4">
                  <c:v>0.43018473087799997</c:v>
                </c:pt>
                <c:pt idx="5">
                  <c:v>0.78301902471000007</c:v>
                </c:pt>
                <c:pt idx="6">
                  <c:v>0.51947312980100002</c:v>
                </c:pt>
                <c:pt idx="7">
                  <c:v>0.53956151631799998</c:v>
                </c:pt>
                <c:pt idx="8">
                  <c:v>0.405672196047</c:v>
                </c:pt>
                <c:pt idx="9">
                  <c:v>0.195850828156</c:v>
                </c:pt>
              </c:numCache>
            </c:numRef>
          </c:val>
          <c:extLst>
            <c:ext xmlns:c16="http://schemas.microsoft.com/office/drawing/2014/chart" uri="{C3380CC4-5D6E-409C-BE32-E72D297353CC}">
              <c16:uniqueId val="{00000000-B5FA-4717-B726-2799312EFB0D}"/>
            </c:ext>
          </c:extLst>
        </c:ser>
        <c:ser>
          <c:idx val="1"/>
          <c:order val="1"/>
          <c:tx>
            <c:strRef>
              <c:f>'2.4'!$C$1</c:f>
              <c:strCache>
                <c:ptCount val="1"/>
                <c:pt idx="0">
                  <c:v>podíl žen</c:v>
                </c:pt>
              </c:strCache>
            </c:strRef>
          </c:tx>
          <c:spPr>
            <a:solidFill>
              <a:srgbClr val="FF832F"/>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'2.4'!$A$2:$A$11</c:f>
              <c:strCache>
                <c:ptCount val="10"/>
                <c:pt idx="0">
                  <c:v> Doprava a skladování   </c:v>
                </c:pt>
                <c:pt idx="1">
                  <c:v> Průmysl</c:v>
                </c:pt>
                <c:pt idx="2">
                  <c:v> Kulturní, zábavní a rekreační činnosti</c:v>
                </c:pt>
                <c:pt idx="3">
                  <c:v> Ubytování, stravování a pohostinství</c:v>
                </c:pt>
                <c:pt idx="4">
                  <c:v> Velko a maloobchod; opravy motorových vozidel</c:v>
                </c:pt>
                <c:pt idx="5">
                  <c:v> Peněžnictví a pojišťovnictví</c:v>
                </c:pt>
                <c:pt idx="6">
                  <c:v> Informační a komunikační činnosti</c:v>
                </c:pt>
                <c:pt idx="7">
                  <c:v> Profesní, vědecké a technické činnosti</c:v>
                </c:pt>
                <c:pt idx="8">
                  <c:v> Stavebnictví</c:v>
                </c:pt>
                <c:pt idx="9">
                  <c:v> Činnosti v oblasti nemovitostí a administrativy</c:v>
                </c:pt>
              </c:strCache>
            </c:strRef>
          </c:cat>
          <c:val>
            <c:numRef>
              <c:f>'2.4'!$C$2:$C$11</c:f>
              <c:numCache>
                <c:formatCode>0.0%</c:formatCode>
                <c:ptCount val="10"/>
                <c:pt idx="0">
                  <c:v>0.33933733985999998</c:v>
                </c:pt>
                <c:pt idx="1">
                  <c:v>0.32984206252100001</c:v>
                </c:pt>
                <c:pt idx="2">
                  <c:v>0.46499336350599996</c:v>
                </c:pt>
                <c:pt idx="3">
                  <c:v>0.42400135217099999</c:v>
                </c:pt>
                <c:pt idx="4">
                  <c:v>0.42328043188999998</c:v>
                </c:pt>
                <c:pt idx="5">
                  <c:v>0.80985377199800002</c:v>
                </c:pt>
                <c:pt idx="6">
                  <c:v>0.54869966155399996</c:v>
                </c:pt>
                <c:pt idx="7">
                  <c:v>0.588881756624</c:v>
                </c:pt>
                <c:pt idx="8">
                  <c:v>0.46626671058399999</c:v>
                </c:pt>
                <c:pt idx="9">
                  <c:v>0.32761745308899998</c:v>
                </c:pt>
              </c:numCache>
            </c:numRef>
          </c:val>
          <c:extLst>
            <c:ext xmlns:c16="http://schemas.microsoft.com/office/drawing/2014/chart" uri="{C3380CC4-5D6E-409C-BE32-E72D297353CC}">
              <c16:uniqueId val="{00000001-B5FA-4717-B726-2799312EFB0D}"/>
            </c:ext>
          </c:extLst>
        </c:ser>
        <c:dLbls>
          <c:showLegendKey val="0"/>
          <c:showVal val="0"/>
          <c:showCatName val="0"/>
          <c:showSerName val="0"/>
          <c:showPercent val="0"/>
          <c:showBubbleSize val="0"/>
        </c:dLbls>
        <c:gapWidth val="32"/>
        <c:axId val="1145363199"/>
        <c:axId val="1145363615"/>
      </c:barChart>
      <c:catAx>
        <c:axId val="1145363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45363615"/>
        <c:crosses val="autoZero"/>
        <c:auto val="1"/>
        <c:lblAlgn val="ctr"/>
        <c:lblOffset val="100"/>
        <c:noMultiLvlLbl val="0"/>
      </c:catAx>
      <c:valAx>
        <c:axId val="1145363615"/>
        <c:scaling>
          <c:orientation val="minMax"/>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145363199"/>
        <c:crosses val="autoZero"/>
        <c:crossBetween val="between"/>
      </c:valAx>
      <c:spPr>
        <a:noFill/>
        <a:ln>
          <a:noFill/>
        </a:ln>
        <a:effectLst/>
      </c:spPr>
    </c:plotArea>
    <c:legend>
      <c:legendPos val="b"/>
      <c:layout>
        <c:manualLayout>
          <c:xMode val="edge"/>
          <c:yMode val="edge"/>
          <c:x val="0.79558940824465374"/>
          <c:y val="0.83386032939236066"/>
          <c:w val="0.15460292932091427"/>
          <c:h val="0.11395821734404411"/>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'2.5, 2.6'!$B$3</c:f>
              <c:strCache>
                <c:ptCount val="1"/>
                <c:pt idx="0">
                  <c:v>2005</c:v>
                </c:pt>
              </c:strCache>
            </c:strRef>
          </c:tx>
          <c:spPr>
            <a:solidFill>
              <a:srgbClr val="AEC87A"/>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 2.6'!$C$2:$D$2</c:f>
              <c:strCache>
                <c:ptCount val="2"/>
                <c:pt idx="0">
                  <c:v>% ze všech zaměstnanců</c:v>
                </c:pt>
                <c:pt idx="1">
                  <c:v>% ze zaměstnanců podniků zajišťujících kurzy/školení</c:v>
                </c:pt>
              </c:strCache>
            </c:strRef>
          </c:cat>
          <c:val>
            <c:numRef>
              <c:f>'2.5, 2.6'!$C$3:$D$3</c:f>
              <c:numCache>
                <c:formatCode>0.0%</c:formatCode>
                <c:ptCount val="2"/>
                <c:pt idx="0">
                  <c:v>0.58700000000000008</c:v>
                </c:pt>
                <c:pt idx="1">
                  <c:v>0.67099999999999993</c:v>
                </c:pt>
              </c:numCache>
            </c:numRef>
          </c:val>
          <c:extLst>
            <c:ext xmlns:c16="http://schemas.microsoft.com/office/drawing/2014/chart" uri="{C3380CC4-5D6E-409C-BE32-E72D297353CC}">
              <c16:uniqueId val="{00000000-3C90-4CDF-A04B-2A15DF9DA12E}"/>
            </c:ext>
          </c:extLst>
        </c:ser>
        <c:ser>
          <c:idx val="1"/>
          <c:order val="1"/>
          <c:tx>
            <c:strRef>
              <c:f>'2.5, 2.6'!$B$4</c:f>
              <c:strCache>
                <c:ptCount val="1"/>
                <c:pt idx="0">
                  <c:v>2010</c:v>
                </c:pt>
              </c:strCache>
            </c:strRef>
          </c:tx>
          <c:spPr>
            <a:solidFill>
              <a:srgbClr val="93B64E"/>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 2.6'!$C$2:$D$2</c:f>
              <c:strCache>
                <c:ptCount val="2"/>
                <c:pt idx="0">
                  <c:v>% ze všech zaměstnanců</c:v>
                </c:pt>
                <c:pt idx="1">
                  <c:v>% ze zaměstnanců podniků zajišťujících kurzy/školení</c:v>
                </c:pt>
              </c:strCache>
            </c:strRef>
          </c:cat>
          <c:val>
            <c:numRef>
              <c:f>'2.5, 2.6'!$C$4:$D$4</c:f>
              <c:numCache>
                <c:formatCode>0.0%</c:formatCode>
                <c:ptCount val="2"/>
                <c:pt idx="0">
                  <c:v>0.60799999999999998</c:v>
                </c:pt>
                <c:pt idx="1">
                  <c:v>0.72099999999999997</c:v>
                </c:pt>
              </c:numCache>
            </c:numRef>
          </c:val>
          <c:extLst>
            <c:ext xmlns:c16="http://schemas.microsoft.com/office/drawing/2014/chart" uri="{C3380CC4-5D6E-409C-BE32-E72D297353CC}">
              <c16:uniqueId val="{00000001-3C90-4CDF-A04B-2A15DF9DA12E}"/>
            </c:ext>
          </c:extLst>
        </c:ser>
        <c:ser>
          <c:idx val="2"/>
          <c:order val="2"/>
          <c:tx>
            <c:strRef>
              <c:f>'2.5, 2.6'!$B$5</c:f>
              <c:strCache>
                <c:ptCount val="1"/>
                <c:pt idx="0">
                  <c:v>2015</c:v>
                </c:pt>
              </c:strCache>
            </c:strRef>
          </c:tx>
          <c:spPr>
            <a:solidFill>
              <a:srgbClr val="678034"/>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 2.6'!$C$2:$D$2</c:f>
              <c:strCache>
                <c:ptCount val="2"/>
                <c:pt idx="0">
                  <c:v>% ze všech zaměstnanců</c:v>
                </c:pt>
                <c:pt idx="1">
                  <c:v>% ze zaměstnanců podniků zajišťujících kurzy/školení</c:v>
                </c:pt>
              </c:strCache>
            </c:strRef>
          </c:cat>
          <c:val>
            <c:numRef>
              <c:f>'2.5, 2.6'!$C$5:$D$5</c:f>
              <c:numCache>
                <c:formatCode>0.0%</c:formatCode>
                <c:ptCount val="2"/>
                <c:pt idx="0">
                  <c:v>0.83700000000000008</c:v>
                </c:pt>
                <c:pt idx="1">
                  <c:v>0.873</c:v>
                </c:pt>
              </c:numCache>
            </c:numRef>
          </c:val>
          <c:extLst>
            <c:ext xmlns:c16="http://schemas.microsoft.com/office/drawing/2014/chart" uri="{C3380CC4-5D6E-409C-BE32-E72D297353CC}">
              <c16:uniqueId val="{00000002-3C90-4CDF-A04B-2A15DF9DA12E}"/>
            </c:ext>
          </c:extLst>
        </c:ser>
        <c:ser>
          <c:idx val="3"/>
          <c:order val="3"/>
          <c:tx>
            <c:strRef>
              <c:f>'2.5, 2.6'!$B$6</c:f>
              <c:strCache>
                <c:ptCount val="1"/>
                <c:pt idx="0">
                  <c:v>2020</c:v>
                </c:pt>
              </c:strCache>
            </c:strRef>
          </c:tx>
          <c:spPr>
            <a:solidFill>
              <a:srgbClr val="39471D"/>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'2.5, 2.6'!$C$2:$D$2</c:f>
              <c:strCache>
                <c:ptCount val="2"/>
                <c:pt idx="0">
                  <c:v>% ze všech zaměstnanců</c:v>
                </c:pt>
                <c:pt idx="1">
                  <c:v>% ze zaměstnanců podniků zajišťujících kurzy/školení</c:v>
                </c:pt>
              </c:strCache>
            </c:strRef>
          </c:cat>
          <c:val>
            <c:numRef>
              <c:f>'2.5, 2.6'!$C$6:$D$6</c:f>
              <c:numCache>
                <c:formatCode>0.0%</c:formatCode>
                <c:ptCount val="2"/>
                <c:pt idx="0">
                  <c:v>0.82799999999999996</c:v>
                </c:pt>
                <c:pt idx="1">
                  <c:v>0.88099999999999989</c:v>
                </c:pt>
              </c:numCache>
            </c:numRef>
          </c:val>
          <c:extLst>
            <c:ext xmlns:c16="http://schemas.microsoft.com/office/drawing/2014/chart" uri="{C3380CC4-5D6E-409C-BE32-E72D297353CC}">
              <c16:uniqueId val="{00000003-3C90-4CDF-A04B-2A15DF9DA12E}"/>
            </c:ext>
          </c:extLst>
        </c:ser>
        <c:dLbls>
          <c:showLegendKey val="0"/>
          <c:showVal val="0"/>
          <c:showCatName val="0"/>
          <c:showSerName val="0"/>
          <c:showPercent val="0"/>
          <c:showBubbleSize val="0"/>
        </c:dLbls>
        <c:gapWidth val="136"/>
        <c:overlap val="-15"/>
        <c:axId val="273806928"/>
        <c:axId val="273804848"/>
      </c:barChart>
      <c:catAx>
        <c:axId val="27380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73804848"/>
        <c:crosses val="autoZero"/>
        <c:auto val="1"/>
        <c:lblAlgn val="ctr"/>
        <c:lblOffset val="100"/>
        <c:noMultiLvlLbl val="0"/>
      </c:catAx>
      <c:valAx>
        <c:axId val="273804848"/>
        <c:scaling>
          <c:orientation val="minMax"/>
          <c:max val="1"/>
        </c:scaling>
        <c:delete val="0"/>
        <c:axPos val="l"/>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73806928"/>
        <c:crosses val="autoZero"/>
        <c:crossBetween val="between"/>
      </c:valAx>
      <c:spPr>
        <a:noFill/>
        <a:ln>
          <a:solidFill>
            <a:schemeClr val="bg1">
              <a:lumMod val="75000"/>
            </a:schemeClr>
          </a:solidFill>
        </a:ln>
        <a:effectLst/>
      </c:spPr>
    </c:plotArea>
    <c:legend>
      <c:legendPos val="b"/>
      <c:layout>
        <c:manualLayout>
          <c:xMode val="edge"/>
          <c:yMode val="edge"/>
          <c:x val="0.30580457535400668"/>
          <c:y val="0.90349260559297562"/>
          <c:w val="0.37196818913377955"/>
          <c:h val="6.872958588509769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74499120364838"/>
          <c:y val="1.9204393723338781E-2"/>
          <c:w val="0.71389709847912841"/>
          <c:h val="0.94458635917746436"/>
        </c:manualLayout>
      </c:layout>
      <c:barChart>
        <c:barDir val="bar"/>
        <c:grouping val="clustered"/>
        <c:varyColors val="0"/>
        <c:ser>
          <c:idx val="0"/>
          <c:order val="0"/>
          <c:tx>
            <c:strRef>
              <c:f>'2.6'!$AA$2</c:f>
              <c:strCache>
                <c:ptCount val="1"/>
                <c:pt idx="0">
                  <c:v>Celkem</c:v>
                </c:pt>
              </c:strCache>
            </c:strRef>
          </c:tx>
          <c:spPr>
            <a:solidFill>
              <a:schemeClr val="accent1">
                <a:lumMod val="60000"/>
                <a:lumOff val="40000"/>
              </a:schemeClr>
            </a:solidFill>
            <a:ln>
              <a:noFill/>
            </a:ln>
            <a:effectLst/>
          </c:spPr>
          <c:invertIfNegative val="0"/>
          <c:dPt>
            <c:idx val="17"/>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1-09F6-4D4A-A545-F738BDED3808}"/>
              </c:ext>
            </c:extLst>
          </c:dPt>
          <c:dPt>
            <c:idx val="29"/>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3-09F6-4D4A-A545-F738BDED3808}"/>
              </c:ext>
            </c:extLst>
          </c:dPt>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'2.6'!$Z$3:$Z$32</c:f>
              <c:strCache>
                <c:ptCount val="30"/>
                <c:pt idx="0">
                  <c:v>Řecko</c:v>
                </c:pt>
                <c:pt idx="1">
                  <c:v>Rumunsko</c:v>
                </c:pt>
                <c:pt idx="2">
                  <c:v>Maďarsko</c:v>
                </c:pt>
                <c:pt idx="3">
                  <c:v>Bulharsko</c:v>
                </c:pt>
                <c:pt idx="4">
                  <c:v>Chorvatsko</c:v>
                </c:pt>
                <c:pt idx="5">
                  <c:v>Srbsko</c:v>
                </c:pt>
                <c:pt idx="6">
                  <c:v>Dánsko</c:v>
                </c:pt>
                <c:pt idx="7">
                  <c:v>Litva</c:v>
                </c:pt>
                <c:pt idx="8">
                  <c:v>Malta</c:v>
                </c:pt>
                <c:pt idx="9">
                  <c:v>Polsko</c:v>
                </c:pt>
                <c:pt idx="10">
                  <c:v>Finsko</c:v>
                </c:pt>
                <c:pt idx="11">
                  <c:v>Kypr</c:v>
                </c:pt>
                <c:pt idx="12">
                  <c:v>Lotyšsko</c:v>
                </c:pt>
                <c:pt idx="13">
                  <c:v>Estonsko</c:v>
                </c:pt>
                <c:pt idx="14">
                  <c:v>Rakousko</c:v>
                </c:pt>
                <c:pt idx="15">
                  <c:v>Irsko</c:v>
                </c:pt>
                <c:pt idx="16">
                  <c:v>Nizozemsko</c:v>
                </c:pt>
                <c:pt idx="17">
                  <c:v>EU 27</c:v>
                </c:pt>
                <c:pt idx="18">
                  <c:v>Portugalsko</c:v>
                </c:pt>
                <c:pt idx="19">
                  <c:v>Německo</c:v>
                </c:pt>
                <c:pt idx="20">
                  <c:v>Itálie</c:v>
                </c:pt>
                <c:pt idx="21">
                  <c:v>Francie</c:v>
                </c:pt>
                <c:pt idx="22">
                  <c:v>Slovinsko</c:v>
                </c:pt>
                <c:pt idx="23">
                  <c:v>Slovensko</c:v>
                </c:pt>
                <c:pt idx="24">
                  <c:v>Švédsko</c:v>
                </c:pt>
                <c:pt idx="25">
                  <c:v>Belgie</c:v>
                </c:pt>
                <c:pt idx="26">
                  <c:v>Norsko</c:v>
                </c:pt>
                <c:pt idx="27">
                  <c:v>Lucembursko</c:v>
                </c:pt>
                <c:pt idx="28">
                  <c:v>Španělsko</c:v>
                </c:pt>
                <c:pt idx="29">
                  <c:v>Česko</c:v>
                </c:pt>
              </c:strCache>
            </c:strRef>
          </c:cat>
          <c:val>
            <c:numRef>
              <c:f>'2.6'!$AA$3:$AA$32</c:f>
              <c:numCache>
                <c:formatCode>0.0%</c:formatCode>
                <c:ptCount val="30"/>
                <c:pt idx="0">
                  <c:v>0.11800000000000001</c:v>
                </c:pt>
                <c:pt idx="1">
                  <c:v>0.17399999999999999</c:v>
                </c:pt>
                <c:pt idx="2">
                  <c:v>0.18100000000000002</c:v>
                </c:pt>
                <c:pt idx="3">
                  <c:v>0.23</c:v>
                </c:pt>
                <c:pt idx="4">
                  <c:v>0.24199999999999999</c:v>
                </c:pt>
                <c:pt idx="5">
                  <c:v>0.248</c:v>
                </c:pt>
                <c:pt idx="6">
                  <c:v>0.255</c:v>
                </c:pt>
                <c:pt idx="7">
                  <c:v>0.26400000000000001</c:v>
                </c:pt>
                <c:pt idx="8">
                  <c:v>0.27800000000000002</c:v>
                </c:pt>
                <c:pt idx="9">
                  <c:v>0.28800000000000003</c:v>
                </c:pt>
                <c:pt idx="10">
                  <c:v>0.29100000000000004</c:v>
                </c:pt>
                <c:pt idx="11">
                  <c:v>0.30299999999999999</c:v>
                </c:pt>
                <c:pt idx="12">
                  <c:v>0.307</c:v>
                </c:pt>
                <c:pt idx="13">
                  <c:v>0.313</c:v>
                </c:pt>
                <c:pt idx="14">
                  <c:v>0.34899999999999998</c:v>
                </c:pt>
                <c:pt idx="15">
                  <c:v>0.371</c:v>
                </c:pt>
                <c:pt idx="16">
                  <c:v>0.39200000000000002</c:v>
                </c:pt>
                <c:pt idx="17">
                  <c:v>0.42399999999999999</c:v>
                </c:pt>
                <c:pt idx="18">
                  <c:v>0.42599999999999999</c:v>
                </c:pt>
                <c:pt idx="19">
                  <c:v>0.43700000000000006</c:v>
                </c:pt>
                <c:pt idx="20">
                  <c:v>0.44600000000000001</c:v>
                </c:pt>
                <c:pt idx="21">
                  <c:v>0.46600000000000003</c:v>
                </c:pt>
                <c:pt idx="22">
                  <c:v>0.47200000000000003</c:v>
                </c:pt>
                <c:pt idx="23">
                  <c:v>0.48700000000000004</c:v>
                </c:pt>
                <c:pt idx="24">
                  <c:v>0.505</c:v>
                </c:pt>
                <c:pt idx="25">
                  <c:v>0.50700000000000001</c:v>
                </c:pt>
                <c:pt idx="26">
                  <c:v>0.51900000000000002</c:v>
                </c:pt>
                <c:pt idx="27">
                  <c:v>0.56899999999999995</c:v>
                </c:pt>
                <c:pt idx="28">
                  <c:v>0.65</c:v>
                </c:pt>
                <c:pt idx="29">
                  <c:v>0.82799999999999996</c:v>
                </c:pt>
              </c:numCache>
            </c:numRef>
          </c:val>
          <c:extLst>
            <c:ext xmlns:c16="http://schemas.microsoft.com/office/drawing/2014/chart" uri="{C3380CC4-5D6E-409C-BE32-E72D297353CC}">
              <c16:uniqueId val="{00000004-09F6-4D4A-A545-F738BDED3808}"/>
            </c:ext>
          </c:extLst>
        </c:ser>
        <c:dLbls>
          <c:showLegendKey val="0"/>
          <c:showVal val="0"/>
          <c:showCatName val="0"/>
          <c:showSerName val="0"/>
          <c:showPercent val="0"/>
          <c:showBubbleSize val="0"/>
        </c:dLbls>
        <c:gapWidth val="32"/>
        <c:axId val="270317936"/>
        <c:axId val="270318352"/>
      </c:barChart>
      <c:barChart>
        <c:barDir val="bar"/>
        <c:grouping val="clustered"/>
        <c:varyColors val="0"/>
        <c:ser>
          <c:idx val="1"/>
          <c:order val="1"/>
          <c:tx>
            <c:strRef>
              <c:f>'2.6'!$AB$2</c:f>
              <c:strCache>
                <c:ptCount val="1"/>
                <c:pt idx="0">
                  <c:v>z toho nepovinné (pouze za ČR)</c:v>
                </c:pt>
              </c:strCache>
            </c:strRef>
          </c:tx>
          <c:spPr>
            <a:solidFill>
              <a:schemeClr val="accent2"/>
            </a:solidFill>
            <a:ln>
              <a:noFill/>
            </a:ln>
            <a:effectLst/>
          </c:spPr>
          <c:invertIfNegative val="0"/>
          <c:dLbls>
            <c:dLbl>
              <c:idx val="29"/>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F6-4D4A-A545-F738BDED3808}"/>
                </c:ext>
              </c:extLst>
            </c:dLbl>
            <c:numFmt formatCode="0\ %" sourceLinked="0"/>
            <c:spPr>
              <a:solidFill>
                <a:schemeClr val="accent2">
                  <a:lumMod val="40000"/>
                  <a:lumOff val="60000"/>
                  <a:alpha val="76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'2.6'!$Z$3:$Z$32</c:f>
              <c:strCache>
                <c:ptCount val="30"/>
                <c:pt idx="0">
                  <c:v>Řecko</c:v>
                </c:pt>
                <c:pt idx="1">
                  <c:v>Rumunsko</c:v>
                </c:pt>
                <c:pt idx="2">
                  <c:v>Maďarsko</c:v>
                </c:pt>
                <c:pt idx="3">
                  <c:v>Bulharsko</c:v>
                </c:pt>
                <c:pt idx="4">
                  <c:v>Chorvatsko</c:v>
                </c:pt>
                <c:pt idx="5">
                  <c:v>Srbsko</c:v>
                </c:pt>
                <c:pt idx="6">
                  <c:v>Dánsko</c:v>
                </c:pt>
                <c:pt idx="7">
                  <c:v>Litva</c:v>
                </c:pt>
                <c:pt idx="8">
                  <c:v>Malta</c:v>
                </c:pt>
                <c:pt idx="9">
                  <c:v>Polsko</c:v>
                </c:pt>
                <c:pt idx="10">
                  <c:v>Finsko</c:v>
                </c:pt>
                <c:pt idx="11">
                  <c:v>Kypr</c:v>
                </c:pt>
                <c:pt idx="12">
                  <c:v>Lotyšsko</c:v>
                </c:pt>
                <c:pt idx="13">
                  <c:v>Estonsko</c:v>
                </c:pt>
                <c:pt idx="14">
                  <c:v>Rakousko</c:v>
                </c:pt>
                <c:pt idx="15">
                  <c:v>Irsko</c:v>
                </c:pt>
                <c:pt idx="16">
                  <c:v>Nizozemsko</c:v>
                </c:pt>
                <c:pt idx="17">
                  <c:v>EU 27</c:v>
                </c:pt>
                <c:pt idx="18">
                  <c:v>Portugalsko</c:v>
                </c:pt>
                <c:pt idx="19">
                  <c:v>Německo</c:v>
                </c:pt>
                <c:pt idx="20">
                  <c:v>Itálie</c:v>
                </c:pt>
                <c:pt idx="21">
                  <c:v>Francie</c:v>
                </c:pt>
                <c:pt idx="22">
                  <c:v>Slovinsko</c:v>
                </c:pt>
                <c:pt idx="23">
                  <c:v>Slovensko</c:v>
                </c:pt>
                <c:pt idx="24">
                  <c:v>Švédsko</c:v>
                </c:pt>
                <c:pt idx="25">
                  <c:v>Belgie</c:v>
                </c:pt>
                <c:pt idx="26">
                  <c:v>Norsko</c:v>
                </c:pt>
                <c:pt idx="27">
                  <c:v>Lucembursko</c:v>
                </c:pt>
                <c:pt idx="28">
                  <c:v>Španělsko</c:v>
                </c:pt>
                <c:pt idx="29">
                  <c:v>Česko</c:v>
                </c:pt>
              </c:strCache>
            </c:strRef>
          </c:cat>
          <c:val>
            <c:numRef>
              <c:f>'2.6'!$AB$3:$AB$32</c:f>
              <c:numCache>
                <c:formatCode>General</c:formatCode>
                <c:ptCount val="30"/>
                <c:pt idx="29" formatCode="0.0%">
                  <c:v>0.30002577487400001</c:v>
                </c:pt>
              </c:numCache>
            </c:numRef>
          </c:val>
          <c:extLst>
            <c:ext xmlns:c16="http://schemas.microsoft.com/office/drawing/2014/chart" uri="{C3380CC4-5D6E-409C-BE32-E72D297353CC}">
              <c16:uniqueId val="{00000006-09F6-4D4A-A545-F738BDED3808}"/>
            </c:ext>
          </c:extLst>
        </c:ser>
        <c:dLbls>
          <c:showLegendKey val="0"/>
          <c:showVal val="0"/>
          <c:showCatName val="0"/>
          <c:showSerName val="0"/>
          <c:showPercent val="0"/>
          <c:showBubbleSize val="0"/>
        </c:dLbls>
        <c:gapWidth val="224"/>
        <c:axId val="171556607"/>
        <c:axId val="171550783"/>
      </c:barChart>
      <c:catAx>
        <c:axId val="27031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70318352"/>
        <c:crosses val="autoZero"/>
        <c:auto val="1"/>
        <c:lblAlgn val="ctr"/>
        <c:lblOffset val="100"/>
        <c:noMultiLvlLbl val="0"/>
      </c:catAx>
      <c:valAx>
        <c:axId val="270318352"/>
        <c:scaling>
          <c:orientation val="minMax"/>
          <c:max val="1"/>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70317936"/>
        <c:crosses val="autoZero"/>
        <c:crossBetween val="between"/>
      </c:valAx>
      <c:valAx>
        <c:axId val="171550783"/>
        <c:scaling>
          <c:orientation val="minMax"/>
          <c:max val="1"/>
        </c:scaling>
        <c:delete val="0"/>
        <c:axPos val="t"/>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1556607"/>
        <c:crosses val="max"/>
        <c:crossBetween val="between"/>
      </c:valAx>
      <c:catAx>
        <c:axId val="171556607"/>
        <c:scaling>
          <c:orientation val="minMax"/>
        </c:scaling>
        <c:delete val="1"/>
        <c:axPos val="l"/>
        <c:numFmt formatCode="General" sourceLinked="1"/>
        <c:majorTickMark val="out"/>
        <c:minorTickMark val="none"/>
        <c:tickLblPos val="nextTo"/>
        <c:crossAx val="171550783"/>
        <c:crosses val="autoZero"/>
        <c:auto val="1"/>
        <c:lblAlgn val="ctr"/>
        <c:lblOffset val="100"/>
        <c:noMultiLvlLbl val="0"/>
      </c:catAx>
      <c:spPr>
        <a:noFill/>
        <a:ln>
          <a:noFill/>
        </a:ln>
        <a:effectLst/>
      </c:spPr>
    </c:plotArea>
    <c:legend>
      <c:legendPos val="b"/>
      <c:layout>
        <c:manualLayout>
          <c:xMode val="edge"/>
          <c:yMode val="edge"/>
          <c:x val="0.54075897435897435"/>
          <c:y val="0.82209780026639223"/>
          <c:w val="0.37795986270946902"/>
          <c:h val="0.1202889047567092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12870568598279"/>
          <c:y val="7.6452190338132428E-2"/>
          <c:w val="0.57432691881256781"/>
          <c:h val="0.86741475307218396"/>
        </c:manualLayout>
      </c:layout>
      <c:barChart>
        <c:barDir val="bar"/>
        <c:grouping val="clustered"/>
        <c:varyColors val="0"/>
        <c:ser>
          <c:idx val="0"/>
          <c:order val="0"/>
          <c:tx>
            <c:strRef>
              <c:f>'1.2'!$B$3</c:f>
              <c:strCache>
                <c:ptCount val="1"/>
                <c:pt idx="0">
                  <c:v>Podniky zajišťující vzdělávání</c:v>
                </c:pt>
              </c:strCache>
            </c:strRef>
          </c:tx>
          <c:spPr>
            <a:solidFill>
              <a:srgbClr val="C00000"/>
            </a:solidFill>
            <a:ln>
              <a:noFill/>
            </a:ln>
            <a:effectLst/>
          </c:spPr>
          <c:invertIfNegative val="0"/>
          <c:cat>
            <c:strRef>
              <c:f>'1.2'!$A$4:$A$23</c:f>
              <c:strCache>
                <c:ptCount val="20"/>
                <c:pt idx="0">
                  <c:v> Ubytování, stravování a pohostinství</c:v>
                </c:pt>
                <c:pt idx="1">
                  <c:v> Činnosti v oblasti nemovitostí a administrativy</c:v>
                </c:pt>
                <c:pt idx="2">
                  <c:v> Kulturní, zábavní a rekreační činnosti</c:v>
                </c:pt>
                <c:pt idx="3">
                  <c:v>Obchod, opravy motor. vozidel</c:v>
                </c:pt>
                <c:pt idx="4">
                  <c:v> Průmysl</c:v>
                </c:pt>
                <c:pt idx="5">
                  <c:v> Doprava a skladování</c:v>
                </c:pt>
                <c:pt idx="6">
                  <c:v> Stavebnictví</c:v>
                </c:pt>
                <c:pt idx="7">
                  <c:v> Informační a komunikační činnosti</c:v>
                </c:pt>
                <c:pt idx="8">
                  <c:v> Profesní, vědecké a technické činnosti</c:v>
                </c:pt>
                <c:pt idx="9">
                  <c:v> 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'1.2'!$B$4:$B$23</c:f>
              <c:numCache>
                <c:formatCode>0.0%</c:formatCode>
                <c:ptCount val="20"/>
                <c:pt idx="0">
                  <c:v>0.65031108725600006</c:v>
                </c:pt>
                <c:pt idx="1">
                  <c:v>0.77674047810900004</c:v>
                </c:pt>
                <c:pt idx="2">
                  <c:v>0.741626078277</c:v>
                </c:pt>
                <c:pt idx="3">
                  <c:v>0.86897343297800012</c:v>
                </c:pt>
                <c:pt idx="4">
                  <c:v>0.88822590949299995</c:v>
                </c:pt>
                <c:pt idx="5">
                  <c:v>0.87454080782400001</c:v>
                </c:pt>
                <c:pt idx="6">
                  <c:v>0.90029587225800001</c:v>
                </c:pt>
                <c:pt idx="7">
                  <c:v>0.91311492636799996</c:v>
                </c:pt>
                <c:pt idx="8">
                  <c:v>0.88194978958999992</c:v>
                </c:pt>
                <c:pt idx="9">
                  <c:v>0.95129360498299997</c:v>
                </c:pt>
                <c:pt idx="11">
                  <c:v>0.93184525076699998</c:v>
                </c:pt>
                <c:pt idx="12">
                  <c:v>0.84656387259499999</c:v>
                </c:pt>
                <c:pt idx="14">
                  <c:v>0.98651256536000009</c:v>
                </c:pt>
                <c:pt idx="15">
                  <c:v>0.92852464725999995</c:v>
                </c:pt>
                <c:pt idx="16">
                  <c:v>0.8834267515969999</c:v>
                </c:pt>
                <c:pt idx="17">
                  <c:v>0.80515036652800009</c:v>
                </c:pt>
                <c:pt idx="19">
                  <c:v>0.85913013016700002</c:v>
                </c:pt>
              </c:numCache>
            </c:numRef>
          </c:val>
          <c:extLst>
            <c:ext xmlns:c16="http://schemas.microsoft.com/office/drawing/2014/chart" uri="{C3380CC4-5D6E-409C-BE32-E72D297353CC}">
              <c16:uniqueId val="{00000000-8716-4F8B-8E3A-26189597637F}"/>
            </c:ext>
          </c:extLst>
        </c:ser>
        <c:dLbls>
          <c:showLegendKey val="0"/>
          <c:showVal val="0"/>
          <c:showCatName val="0"/>
          <c:showSerName val="0"/>
          <c:showPercent val="0"/>
          <c:showBubbleSize val="0"/>
        </c:dLbls>
        <c:gapWidth val="12"/>
        <c:overlap val="25"/>
        <c:axId val="1949781632"/>
        <c:axId val="1949792032"/>
      </c:barChart>
      <c:barChart>
        <c:barDir val="bar"/>
        <c:grouping val="clustered"/>
        <c:varyColors val="0"/>
        <c:ser>
          <c:idx val="1"/>
          <c:order val="1"/>
          <c:tx>
            <c:strRef>
              <c:f>'1.2'!$C$3</c:f>
              <c:strCache>
                <c:ptCount val="1"/>
                <c:pt idx="0">
                  <c:v>Podniky s výdaji na vzdělávání</c:v>
                </c:pt>
              </c:strCache>
            </c:strRef>
          </c:tx>
          <c:spPr>
            <a:solidFill>
              <a:srgbClr val="FFCC66"/>
            </a:solidFill>
            <a:ln>
              <a:solidFill>
                <a:srgbClr val="C00000"/>
              </a:solidFill>
            </a:ln>
            <a:effectLst/>
          </c:spPr>
          <c:invertIfNegative val="0"/>
          <c:dLbls>
            <c:numFmt formatCode="0\ %" sourceLinked="0"/>
            <c:spPr>
              <a:solidFill>
                <a:srgbClr val="FFCC66">
                  <a:alpha val="74000"/>
                </a:srgb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'1.2'!$A$4:$A$23</c:f>
              <c:strCache>
                <c:ptCount val="20"/>
                <c:pt idx="0">
                  <c:v> Ubytování, stravování a pohostinství</c:v>
                </c:pt>
                <c:pt idx="1">
                  <c:v> Činnosti v oblasti nemovitostí a administrativy</c:v>
                </c:pt>
                <c:pt idx="2">
                  <c:v> Kulturní, zábavní a rekreační činnosti</c:v>
                </c:pt>
                <c:pt idx="3">
                  <c:v>Obchod, opravy motor. vozidel</c:v>
                </c:pt>
                <c:pt idx="4">
                  <c:v> Průmysl</c:v>
                </c:pt>
                <c:pt idx="5">
                  <c:v> Doprava a skladování</c:v>
                </c:pt>
                <c:pt idx="6">
                  <c:v> Stavebnictví</c:v>
                </c:pt>
                <c:pt idx="7">
                  <c:v> Informační a komunikační činnosti</c:v>
                </c:pt>
                <c:pt idx="8">
                  <c:v> Profesní, vědecké a technické činnosti</c:v>
                </c:pt>
                <c:pt idx="9">
                  <c:v> 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'1.2'!$C$4:$C$23</c:f>
              <c:numCache>
                <c:formatCode>0.0%</c:formatCode>
                <c:ptCount val="20"/>
                <c:pt idx="0">
                  <c:v>0.45708958367900004</c:v>
                </c:pt>
                <c:pt idx="1">
                  <c:v>0.60082142966100005</c:v>
                </c:pt>
                <c:pt idx="2">
                  <c:v>0.64153908576700003</c:v>
                </c:pt>
                <c:pt idx="3">
                  <c:v>0.75181038039300008</c:v>
                </c:pt>
                <c:pt idx="4">
                  <c:v>0.81485926527800001</c:v>
                </c:pt>
                <c:pt idx="5">
                  <c:v>0.81527396895199999</c:v>
                </c:pt>
                <c:pt idx="6">
                  <c:v>0.82410838527300001</c:v>
                </c:pt>
                <c:pt idx="7">
                  <c:v>0.84211324944699995</c:v>
                </c:pt>
                <c:pt idx="8">
                  <c:v>0.85029810445699994</c:v>
                </c:pt>
                <c:pt idx="9">
                  <c:v>0.91105851135400007</c:v>
                </c:pt>
                <c:pt idx="11">
                  <c:v>0.87025095201799996</c:v>
                </c:pt>
                <c:pt idx="12">
                  <c:v>0.7471324799689999</c:v>
                </c:pt>
                <c:pt idx="14">
                  <c:v>0.96758404837500001</c:v>
                </c:pt>
                <c:pt idx="15">
                  <c:v>0.88445112656199998</c:v>
                </c:pt>
                <c:pt idx="16">
                  <c:v>0.80408608623599998</c:v>
                </c:pt>
                <c:pt idx="17">
                  <c:v>0.67600660490200004</c:v>
                </c:pt>
                <c:pt idx="19">
                  <c:v>0.76527405395399994</c:v>
                </c:pt>
              </c:numCache>
            </c:numRef>
          </c:val>
          <c:extLst>
            <c:ext xmlns:c16="http://schemas.microsoft.com/office/drawing/2014/chart" uri="{C3380CC4-5D6E-409C-BE32-E72D297353CC}">
              <c16:uniqueId val="{00000001-8716-4F8B-8E3A-26189597637F}"/>
            </c:ext>
          </c:extLst>
        </c:ser>
        <c:dLbls>
          <c:showLegendKey val="0"/>
          <c:showVal val="0"/>
          <c:showCatName val="0"/>
          <c:showSerName val="0"/>
          <c:showPercent val="0"/>
          <c:showBubbleSize val="0"/>
        </c:dLbls>
        <c:gapWidth val="100"/>
        <c:axId val="888838015"/>
        <c:axId val="888822623"/>
      </c:barChart>
      <c:catAx>
        <c:axId val="194978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49792032"/>
        <c:crosses val="autoZero"/>
        <c:auto val="1"/>
        <c:lblAlgn val="ctr"/>
        <c:lblOffset val="100"/>
        <c:noMultiLvlLbl val="0"/>
      </c:catAx>
      <c:valAx>
        <c:axId val="1949792032"/>
        <c:scaling>
          <c:orientation val="minMax"/>
          <c:max val="1"/>
        </c:scaling>
        <c:delete val="0"/>
        <c:axPos val="b"/>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49781632"/>
        <c:crosses val="autoZero"/>
        <c:crossBetween val="between"/>
        <c:majorUnit val="0.1"/>
      </c:valAx>
      <c:valAx>
        <c:axId val="888822623"/>
        <c:scaling>
          <c:orientation val="minMax"/>
          <c:max val="1"/>
        </c:scaling>
        <c:delete val="0"/>
        <c:axPos val="t"/>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88838015"/>
        <c:crosses val="max"/>
        <c:crossBetween val="between"/>
      </c:valAx>
      <c:catAx>
        <c:axId val="888838015"/>
        <c:scaling>
          <c:orientation val="minMax"/>
        </c:scaling>
        <c:delete val="1"/>
        <c:axPos val="l"/>
        <c:numFmt formatCode="General" sourceLinked="1"/>
        <c:majorTickMark val="out"/>
        <c:minorTickMark val="none"/>
        <c:tickLblPos val="nextTo"/>
        <c:crossAx val="888822623"/>
        <c:crosses val="autoZero"/>
        <c:auto val="1"/>
        <c:lblAlgn val="ctr"/>
        <c:lblOffset val="100"/>
        <c:noMultiLvlLbl val="0"/>
      </c:catAx>
      <c:spPr>
        <a:noFill/>
        <a:ln>
          <a:solidFill>
            <a:schemeClr val="bg1">
              <a:lumMod val="75000"/>
            </a:schemeClr>
          </a:solidFill>
        </a:ln>
        <a:effectLst/>
      </c:spPr>
    </c:plotArea>
    <c:legend>
      <c:legendPos val="l"/>
      <c:layout>
        <c:manualLayout>
          <c:xMode val="edge"/>
          <c:yMode val="edge"/>
          <c:x val="0.2296155328756723"/>
          <c:y val="1.0523506737390043E-2"/>
          <c:w val="0.67260670645551945"/>
          <c:h val="4.7834041665293932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74499120364838"/>
          <c:y val="1.9204393723338781E-2"/>
          <c:w val="0.72350039331137017"/>
          <c:h val="0.94458635917746436"/>
        </c:manualLayout>
      </c:layout>
      <c:barChart>
        <c:barDir val="bar"/>
        <c:grouping val="clustered"/>
        <c:varyColors val="0"/>
        <c:ser>
          <c:idx val="0"/>
          <c:order val="0"/>
          <c:tx>
            <c:strRef>
              <c:f>'2.6'!$AF$2</c:f>
              <c:strCache>
                <c:ptCount val="1"/>
                <c:pt idx="0">
                  <c:v>Celkem</c:v>
                </c:pt>
              </c:strCache>
            </c:strRef>
          </c:tx>
          <c:spPr>
            <a:solidFill>
              <a:schemeClr val="accent1">
                <a:lumMod val="60000"/>
                <a:lumOff val="40000"/>
              </a:schemeClr>
            </a:solidFill>
            <a:ln>
              <a:noFill/>
            </a:ln>
            <a:effectLst/>
          </c:spPr>
          <c:invertIfNegative val="0"/>
          <c:dPt>
            <c:idx val="17"/>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1-CEC0-4D0F-A557-0D68AE7243D5}"/>
              </c:ext>
            </c:extLst>
          </c:dPt>
          <c:dPt>
            <c:idx val="29"/>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3-CEC0-4D0F-A557-0D68AE7243D5}"/>
              </c:ext>
            </c:extLst>
          </c:dPt>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'2.6'!$AE$3:$AE$32</c:f>
              <c:strCache>
                <c:ptCount val="30"/>
                <c:pt idx="0">
                  <c:v>Řecko</c:v>
                </c:pt>
                <c:pt idx="1">
                  <c:v>Maďarsko</c:v>
                </c:pt>
                <c:pt idx="2">
                  <c:v>Dánsko</c:v>
                </c:pt>
                <c:pt idx="3">
                  <c:v>Srbsko</c:v>
                </c:pt>
                <c:pt idx="4">
                  <c:v>Litva</c:v>
                </c:pt>
                <c:pt idx="5">
                  <c:v>Chorvatsko</c:v>
                </c:pt>
                <c:pt idx="6">
                  <c:v>Rakousko</c:v>
                </c:pt>
                <c:pt idx="7">
                  <c:v>Estonsko</c:v>
                </c:pt>
                <c:pt idx="8">
                  <c:v>Finsko</c:v>
                </c:pt>
                <c:pt idx="9">
                  <c:v>Rumunsko</c:v>
                </c:pt>
                <c:pt idx="10">
                  <c:v>Kypr</c:v>
                </c:pt>
                <c:pt idx="11">
                  <c:v>Bulharsko</c:v>
                </c:pt>
                <c:pt idx="12">
                  <c:v>Nizozemsko</c:v>
                </c:pt>
                <c:pt idx="13">
                  <c:v>Polsko</c:v>
                </c:pt>
                <c:pt idx="14">
                  <c:v>Německo</c:v>
                </c:pt>
                <c:pt idx="15">
                  <c:v>Francie</c:v>
                </c:pt>
                <c:pt idx="16">
                  <c:v>Malta</c:v>
                </c:pt>
                <c:pt idx="17">
                  <c:v>EU 27</c:v>
                </c:pt>
                <c:pt idx="18">
                  <c:v>Portugalsko</c:v>
                </c:pt>
                <c:pt idx="19">
                  <c:v>Itálie</c:v>
                </c:pt>
                <c:pt idx="20">
                  <c:v>Lotyšsko</c:v>
                </c:pt>
                <c:pt idx="21">
                  <c:v>Belgie</c:v>
                </c:pt>
                <c:pt idx="22">
                  <c:v>Irsko</c:v>
                </c:pt>
                <c:pt idx="23">
                  <c:v>Švédsko</c:v>
                </c:pt>
                <c:pt idx="24">
                  <c:v>Norsko</c:v>
                </c:pt>
                <c:pt idx="25">
                  <c:v>Slovinsko</c:v>
                </c:pt>
                <c:pt idx="26">
                  <c:v>Slovensko</c:v>
                </c:pt>
                <c:pt idx="27">
                  <c:v>Lucembursko</c:v>
                </c:pt>
                <c:pt idx="28">
                  <c:v>Španělsko</c:v>
                </c:pt>
                <c:pt idx="29">
                  <c:v>Česko</c:v>
                </c:pt>
              </c:strCache>
            </c:strRef>
          </c:cat>
          <c:val>
            <c:numRef>
              <c:f>'2.6'!$AF$3:$AF$32</c:f>
              <c:numCache>
                <c:formatCode>0.0%</c:formatCode>
                <c:ptCount val="30"/>
                <c:pt idx="0">
                  <c:v>0.32600000000000001</c:v>
                </c:pt>
                <c:pt idx="1">
                  <c:v>0.32799999999999996</c:v>
                </c:pt>
                <c:pt idx="2">
                  <c:v>0.35899999999999999</c:v>
                </c:pt>
                <c:pt idx="3">
                  <c:v>0.36399999999999999</c:v>
                </c:pt>
                <c:pt idx="4">
                  <c:v>0.39299999999999996</c:v>
                </c:pt>
                <c:pt idx="5">
                  <c:v>0.40299999999999997</c:v>
                </c:pt>
                <c:pt idx="6">
                  <c:v>0.40700000000000003</c:v>
                </c:pt>
                <c:pt idx="7">
                  <c:v>0.40700000000000003</c:v>
                </c:pt>
                <c:pt idx="8">
                  <c:v>0.40899999999999997</c:v>
                </c:pt>
                <c:pt idx="9">
                  <c:v>0.42700000000000005</c:v>
                </c:pt>
                <c:pt idx="10">
                  <c:v>0.43700000000000006</c:v>
                </c:pt>
                <c:pt idx="11">
                  <c:v>0.439</c:v>
                </c:pt>
                <c:pt idx="12">
                  <c:v>0.46</c:v>
                </c:pt>
                <c:pt idx="13">
                  <c:v>0.51300000000000001</c:v>
                </c:pt>
                <c:pt idx="14">
                  <c:v>0.52300000000000002</c:v>
                </c:pt>
                <c:pt idx="15">
                  <c:v>0.52900000000000003</c:v>
                </c:pt>
                <c:pt idx="16">
                  <c:v>0.53</c:v>
                </c:pt>
                <c:pt idx="17">
                  <c:v>0.54500000000000004</c:v>
                </c:pt>
                <c:pt idx="18">
                  <c:v>0.54500000000000004</c:v>
                </c:pt>
                <c:pt idx="19">
                  <c:v>0.55500000000000005</c:v>
                </c:pt>
                <c:pt idx="20">
                  <c:v>0.55600000000000005</c:v>
                </c:pt>
                <c:pt idx="21">
                  <c:v>0.55700000000000005</c:v>
                </c:pt>
                <c:pt idx="22">
                  <c:v>0.55899999999999994</c:v>
                </c:pt>
                <c:pt idx="23">
                  <c:v>0.56700000000000006</c:v>
                </c:pt>
                <c:pt idx="24">
                  <c:v>0.58499999999999996</c:v>
                </c:pt>
                <c:pt idx="25">
                  <c:v>0.58700000000000008</c:v>
                </c:pt>
                <c:pt idx="26">
                  <c:v>0.6409999999999999</c:v>
                </c:pt>
                <c:pt idx="27">
                  <c:v>0.64300000000000002</c:v>
                </c:pt>
                <c:pt idx="28">
                  <c:v>0.76700000000000002</c:v>
                </c:pt>
                <c:pt idx="29">
                  <c:v>0.88099999999999989</c:v>
                </c:pt>
              </c:numCache>
            </c:numRef>
          </c:val>
          <c:extLst>
            <c:ext xmlns:c16="http://schemas.microsoft.com/office/drawing/2014/chart" uri="{C3380CC4-5D6E-409C-BE32-E72D297353CC}">
              <c16:uniqueId val="{00000004-CEC0-4D0F-A557-0D68AE7243D5}"/>
            </c:ext>
          </c:extLst>
        </c:ser>
        <c:dLbls>
          <c:showLegendKey val="0"/>
          <c:showVal val="0"/>
          <c:showCatName val="0"/>
          <c:showSerName val="0"/>
          <c:showPercent val="0"/>
          <c:showBubbleSize val="0"/>
        </c:dLbls>
        <c:gapWidth val="32"/>
        <c:axId val="270317936"/>
        <c:axId val="270318352"/>
      </c:barChart>
      <c:barChart>
        <c:barDir val="bar"/>
        <c:grouping val="clustered"/>
        <c:varyColors val="0"/>
        <c:ser>
          <c:idx val="1"/>
          <c:order val="1"/>
          <c:tx>
            <c:strRef>
              <c:f>'2.6'!$AG$2</c:f>
              <c:strCache>
                <c:ptCount val="1"/>
                <c:pt idx="0">
                  <c:v>z toho nepovinné (pouze za ČR)</c:v>
                </c:pt>
              </c:strCache>
            </c:strRef>
          </c:tx>
          <c:spPr>
            <a:solidFill>
              <a:schemeClr val="accent2"/>
            </a:solidFill>
            <a:ln>
              <a:noFill/>
            </a:ln>
            <a:effectLst/>
          </c:spPr>
          <c:invertIfNegative val="0"/>
          <c:dLbls>
            <c:dLbl>
              <c:idx val="29"/>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EC0-4D0F-A557-0D68AE7243D5}"/>
                </c:ext>
              </c:extLst>
            </c:dLbl>
            <c:numFmt formatCode="0\ %" sourceLinked="0"/>
            <c:spPr>
              <a:solidFill>
                <a:schemeClr val="accent2">
                  <a:lumMod val="40000"/>
                  <a:lumOff val="60000"/>
                  <a:alpha val="73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'2.6'!$AE$3:$AE$32</c:f>
              <c:strCache>
                <c:ptCount val="30"/>
                <c:pt idx="0">
                  <c:v>Řecko</c:v>
                </c:pt>
                <c:pt idx="1">
                  <c:v>Maďarsko</c:v>
                </c:pt>
                <c:pt idx="2">
                  <c:v>Dánsko</c:v>
                </c:pt>
                <c:pt idx="3">
                  <c:v>Srbsko</c:v>
                </c:pt>
                <c:pt idx="4">
                  <c:v>Litva</c:v>
                </c:pt>
                <c:pt idx="5">
                  <c:v>Chorvatsko</c:v>
                </c:pt>
                <c:pt idx="6">
                  <c:v>Rakousko</c:v>
                </c:pt>
                <c:pt idx="7">
                  <c:v>Estonsko</c:v>
                </c:pt>
                <c:pt idx="8">
                  <c:v>Finsko</c:v>
                </c:pt>
                <c:pt idx="9">
                  <c:v>Rumunsko</c:v>
                </c:pt>
                <c:pt idx="10">
                  <c:v>Kypr</c:v>
                </c:pt>
                <c:pt idx="11">
                  <c:v>Bulharsko</c:v>
                </c:pt>
                <c:pt idx="12">
                  <c:v>Nizozemsko</c:v>
                </c:pt>
                <c:pt idx="13">
                  <c:v>Polsko</c:v>
                </c:pt>
                <c:pt idx="14">
                  <c:v>Německo</c:v>
                </c:pt>
                <c:pt idx="15">
                  <c:v>Francie</c:v>
                </c:pt>
                <c:pt idx="16">
                  <c:v>Malta</c:v>
                </c:pt>
                <c:pt idx="17">
                  <c:v>EU 27</c:v>
                </c:pt>
                <c:pt idx="18">
                  <c:v>Portugalsko</c:v>
                </c:pt>
                <c:pt idx="19">
                  <c:v>Itálie</c:v>
                </c:pt>
                <c:pt idx="20">
                  <c:v>Lotyšsko</c:v>
                </c:pt>
                <c:pt idx="21">
                  <c:v>Belgie</c:v>
                </c:pt>
                <c:pt idx="22">
                  <c:v>Irsko</c:v>
                </c:pt>
                <c:pt idx="23">
                  <c:v>Švédsko</c:v>
                </c:pt>
                <c:pt idx="24">
                  <c:v>Norsko</c:v>
                </c:pt>
                <c:pt idx="25">
                  <c:v>Slovinsko</c:v>
                </c:pt>
                <c:pt idx="26">
                  <c:v>Slovensko</c:v>
                </c:pt>
                <c:pt idx="27">
                  <c:v>Lucembursko</c:v>
                </c:pt>
                <c:pt idx="28">
                  <c:v>Španělsko</c:v>
                </c:pt>
                <c:pt idx="29">
                  <c:v>Česko</c:v>
                </c:pt>
              </c:strCache>
            </c:strRef>
          </c:cat>
          <c:val>
            <c:numRef>
              <c:f>'2.6'!$AG$3:$AG$32</c:f>
              <c:numCache>
                <c:formatCode>General</c:formatCode>
                <c:ptCount val="30"/>
                <c:pt idx="29" formatCode="0.0%">
                  <c:v>0.40560194280300005</c:v>
                </c:pt>
              </c:numCache>
            </c:numRef>
          </c:val>
          <c:extLst>
            <c:ext xmlns:c16="http://schemas.microsoft.com/office/drawing/2014/chart" uri="{C3380CC4-5D6E-409C-BE32-E72D297353CC}">
              <c16:uniqueId val="{00000006-CEC0-4D0F-A557-0D68AE7243D5}"/>
            </c:ext>
          </c:extLst>
        </c:ser>
        <c:dLbls>
          <c:showLegendKey val="0"/>
          <c:showVal val="0"/>
          <c:showCatName val="0"/>
          <c:showSerName val="0"/>
          <c:showPercent val="0"/>
          <c:showBubbleSize val="0"/>
        </c:dLbls>
        <c:gapWidth val="224"/>
        <c:axId val="171556607"/>
        <c:axId val="171550783"/>
      </c:barChart>
      <c:catAx>
        <c:axId val="27031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70318352"/>
        <c:crosses val="autoZero"/>
        <c:auto val="1"/>
        <c:lblAlgn val="ctr"/>
        <c:lblOffset val="100"/>
        <c:noMultiLvlLbl val="0"/>
      </c:catAx>
      <c:valAx>
        <c:axId val="270318352"/>
        <c:scaling>
          <c:orientation val="minMax"/>
          <c:max val="1"/>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70317936"/>
        <c:crosses val="autoZero"/>
        <c:crossBetween val="between"/>
      </c:valAx>
      <c:valAx>
        <c:axId val="171550783"/>
        <c:scaling>
          <c:orientation val="minMax"/>
          <c:max val="1"/>
        </c:scaling>
        <c:delete val="0"/>
        <c:axPos val="t"/>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1556607"/>
        <c:crosses val="max"/>
        <c:crossBetween val="between"/>
      </c:valAx>
      <c:catAx>
        <c:axId val="171556607"/>
        <c:scaling>
          <c:orientation val="minMax"/>
        </c:scaling>
        <c:delete val="1"/>
        <c:axPos val="l"/>
        <c:numFmt formatCode="General" sourceLinked="1"/>
        <c:majorTickMark val="out"/>
        <c:minorTickMark val="none"/>
        <c:tickLblPos val="nextTo"/>
        <c:crossAx val="171550783"/>
        <c:crosses val="autoZero"/>
        <c:auto val="1"/>
        <c:lblAlgn val="ctr"/>
        <c:lblOffset val="100"/>
        <c:noMultiLvlLbl val="0"/>
      </c:catAx>
      <c:spPr>
        <a:noFill/>
        <a:ln>
          <a:noFill/>
        </a:ln>
        <a:effectLst/>
      </c:spPr>
    </c:plotArea>
    <c:legend>
      <c:legendPos val="b"/>
      <c:layout>
        <c:manualLayout>
          <c:xMode val="edge"/>
          <c:yMode val="edge"/>
          <c:x val="0.61624366721601664"/>
          <c:y val="0.81935362201562323"/>
          <c:w val="0.37759733521681876"/>
          <c:h val="0.1230331968143604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3288833401319E-2"/>
          <c:y val="3.7898363479758827E-2"/>
          <c:w val="0.96070293411125807"/>
          <c:h val="0.86317708608571597"/>
        </c:manualLayout>
      </c:layout>
      <c:barChart>
        <c:barDir val="col"/>
        <c:grouping val="clustered"/>
        <c:varyColors val="0"/>
        <c:ser>
          <c:idx val="0"/>
          <c:order val="0"/>
          <c:tx>
            <c:strRef>
              <c:f>'2.7'!$C$2</c:f>
              <c:strCache>
                <c:ptCount val="1"/>
                <c:pt idx="0">
                  <c:v>na 1 zaměstnance ve všech podnicích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'2.7'!$B$3:$B$5</c:f>
              <c:strCache>
                <c:ptCount val="3"/>
                <c:pt idx="0">
                  <c:v>celkem</c:v>
                </c:pt>
                <c:pt idx="1">
                  <c:v>povinné</c:v>
                </c:pt>
                <c:pt idx="2">
                  <c:v>nepovinné</c:v>
                </c:pt>
              </c:strCache>
            </c:strRef>
          </c:cat>
          <c:val>
            <c:numRef>
              <c:f>'2.7'!$C$3:$C$5</c:f>
              <c:numCache>
                <c:formatCode>0.0</c:formatCode>
                <c:ptCount val="3"/>
                <c:pt idx="0">
                  <c:v>8.2239022292000001</c:v>
                </c:pt>
                <c:pt idx="1">
                  <c:v>3.7227449960999999</c:v>
                </c:pt>
                <c:pt idx="2">
                  <c:v>4.5011572330999998</c:v>
                </c:pt>
              </c:numCache>
            </c:numRef>
          </c:val>
          <c:extLst>
            <c:ext xmlns:c16="http://schemas.microsoft.com/office/drawing/2014/chart" uri="{C3380CC4-5D6E-409C-BE32-E72D297353CC}">
              <c16:uniqueId val="{00000000-3A5F-4B55-8202-F10535D5BC07}"/>
            </c:ext>
          </c:extLst>
        </c:ser>
        <c:ser>
          <c:idx val="1"/>
          <c:order val="1"/>
          <c:tx>
            <c:strRef>
              <c:f>'2.7'!$D$2</c:f>
              <c:strCache>
                <c:ptCount val="1"/>
                <c:pt idx="0">
                  <c:v>na 1 zaměstnance v podnicích zajišťujících danou formu vzdělávání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'2.7'!$B$3:$B$5</c:f>
              <c:strCache>
                <c:ptCount val="3"/>
                <c:pt idx="0">
                  <c:v>celkem</c:v>
                </c:pt>
                <c:pt idx="1">
                  <c:v>povinné</c:v>
                </c:pt>
                <c:pt idx="2">
                  <c:v>nepovinné</c:v>
                </c:pt>
              </c:strCache>
            </c:strRef>
          </c:cat>
          <c:val>
            <c:numRef>
              <c:f>'2.7'!$D$3:$D$5</c:f>
              <c:numCache>
                <c:formatCode>0.0</c:formatCode>
                <c:ptCount val="3"/>
                <c:pt idx="0">
                  <c:v>8.7559208580999996</c:v>
                </c:pt>
                <c:pt idx="1">
                  <c:v>3.9967635689000001</c:v>
                </c:pt>
                <c:pt idx="2">
                  <c:v>6.0850709222999999</c:v>
                </c:pt>
              </c:numCache>
            </c:numRef>
          </c:val>
          <c:extLst>
            <c:ext xmlns:c16="http://schemas.microsoft.com/office/drawing/2014/chart" uri="{C3380CC4-5D6E-409C-BE32-E72D297353CC}">
              <c16:uniqueId val="{00000001-3A5F-4B55-8202-F10535D5BC07}"/>
            </c:ext>
          </c:extLst>
        </c:ser>
        <c:ser>
          <c:idx val="2"/>
          <c:order val="2"/>
          <c:tx>
            <c:strRef>
              <c:f>'2.7'!$E$2</c:f>
              <c:strCache>
                <c:ptCount val="1"/>
                <c:pt idx="0">
                  <c:v>na 1 účastníka dané formy vzdělávání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'2.7'!$B$3:$B$5</c:f>
              <c:strCache>
                <c:ptCount val="3"/>
                <c:pt idx="0">
                  <c:v>celkem</c:v>
                </c:pt>
                <c:pt idx="1">
                  <c:v>povinné</c:v>
                </c:pt>
                <c:pt idx="2">
                  <c:v>nepovinné</c:v>
                </c:pt>
              </c:strCache>
            </c:strRef>
          </c:cat>
          <c:val>
            <c:numRef>
              <c:f>'2.7'!$E$3:$E$5</c:f>
              <c:numCache>
                <c:formatCode>0.0</c:formatCode>
                <c:ptCount val="3"/>
                <c:pt idx="0">
                  <c:v>9.9355090564000008</c:v>
                </c:pt>
                <c:pt idx="1">
                  <c:v>4.9408728851000001</c:v>
                </c:pt>
                <c:pt idx="2">
                  <c:v>15.002568479400001</c:v>
                </c:pt>
              </c:numCache>
            </c:numRef>
          </c:val>
          <c:extLst>
            <c:ext xmlns:c16="http://schemas.microsoft.com/office/drawing/2014/chart" uri="{C3380CC4-5D6E-409C-BE32-E72D297353CC}">
              <c16:uniqueId val="{00000002-3A5F-4B55-8202-F10535D5BC07}"/>
            </c:ext>
          </c:extLst>
        </c:ser>
        <c:dLbls>
          <c:showLegendKey val="0"/>
          <c:showVal val="0"/>
          <c:showCatName val="0"/>
          <c:showSerName val="0"/>
          <c:showPercent val="0"/>
          <c:showBubbleSize val="0"/>
        </c:dLbls>
        <c:gapWidth val="219"/>
        <c:overlap val="-27"/>
        <c:axId val="1405436623"/>
        <c:axId val="1405438287"/>
      </c:barChart>
      <c:catAx>
        <c:axId val="140543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5438287"/>
        <c:crosses val="autoZero"/>
        <c:auto val="1"/>
        <c:lblAlgn val="ctr"/>
        <c:lblOffset val="100"/>
        <c:noMultiLvlLbl val="0"/>
      </c:catAx>
      <c:valAx>
        <c:axId val="1405438287"/>
        <c:scaling>
          <c:orientation val="minMax"/>
          <c:max val="20"/>
        </c:scaling>
        <c:delete val="0"/>
        <c:axPos val="l"/>
        <c:numFmt formatCode="0"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5436623"/>
        <c:crosses val="autoZero"/>
        <c:crossBetween val="between"/>
        <c:majorUnit val="5"/>
      </c:valAx>
      <c:spPr>
        <a:noFill/>
        <a:ln>
          <a:noFill/>
        </a:ln>
        <a:effectLst/>
      </c:spPr>
    </c:plotArea>
    <c:legend>
      <c:legendPos val="b"/>
      <c:layout>
        <c:manualLayout>
          <c:xMode val="edge"/>
          <c:yMode val="edge"/>
          <c:x val="0.21365472173121214"/>
          <c:y val="4.189716218358612E-2"/>
          <c:w val="0.60934037091517401"/>
          <c:h val="0.22022019059698075"/>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26200205986915E-2"/>
          <c:y val="9.6699797771180249E-2"/>
          <c:w val="0.94581829961128272"/>
          <c:h val="0.80000215137042285"/>
        </c:manualLayout>
      </c:layout>
      <c:barChart>
        <c:barDir val="col"/>
        <c:grouping val="clustered"/>
        <c:varyColors val="0"/>
        <c:ser>
          <c:idx val="0"/>
          <c:order val="0"/>
          <c:tx>
            <c:strRef>
              <c:f>hodiny!$P$3</c:f>
              <c:strCache>
                <c:ptCount val="1"/>
                <c:pt idx="0">
                  <c:v>na 1 zaměstnance ve všech podnicích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hodiny!$Q$2:$S$2</c:f>
              <c:strCache>
                <c:ptCount val="3"/>
                <c:pt idx="0">
                  <c:v>2010</c:v>
                </c:pt>
                <c:pt idx="1">
                  <c:v>2015</c:v>
                </c:pt>
                <c:pt idx="2">
                  <c:v>2020</c:v>
                </c:pt>
              </c:strCache>
            </c:strRef>
          </c:cat>
          <c:val>
            <c:numRef>
              <c:f>hodiny!$Q$3:$S$3</c:f>
              <c:numCache>
                <c:formatCode>#\ ##0.0</c:formatCode>
                <c:ptCount val="3"/>
                <c:pt idx="0">
                  <c:v>8.8000000000000007</c:v>
                </c:pt>
                <c:pt idx="1">
                  <c:v>11.4</c:v>
                </c:pt>
                <c:pt idx="2">
                  <c:v>8.1999999999999993</c:v>
                </c:pt>
              </c:numCache>
            </c:numRef>
          </c:val>
          <c:extLst>
            <c:ext xmlns:c16="http://schemas.microsoft.com/office/drawing/2014/chart" uri="{C3380CC4-5D6E-409C-BE32-E72D297353CC}">
              <c16:uniqueId val="{00000000-4C69-4DDD-91FC-BC7E8778D58D}"/>
            </c:ext>
          </c:extLst>
        </c:ser>
        <c:ser>
          <c:idx val="1"/>
          <c:order val="1"/>
          <c:tx>
            <c:strRef>
              <c:f>hodiny!$P$4</c:f>
              <c:strCache>
                <c:ptCount val="1"/>
                <c:pt idx="0">
                  <c:v>na 1 zaměstnance v podnicích zajišťujících kurzy/školení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hodiny!$Q$2:$S$2</c:f>
              <c:strCache>
                <c:ptCount val="3"/>
                <c:pt idx="0">
                  <c:v>2010</c:v>
                </c:pt>
                <c:pt idx="1">
                  <c:v>2015</c:v>
                </c:pt>
                <c:pt idx="2">
                  <c:v>2020</c:v>
                </c:pt>
              </c:strCache>
            </c:strRef>
          </c:cat>
          <c:val>
            <c:numRef>
              <c:f>hodiny!$Q$4:$S$4</c:f>
              <c:numCache>
                <c:formatCode>#\ ##0.0</c:formatCode>
                <c:ptCount val="3"/>
                <c:pt idx="0">
                  <c:v>10.4</c:v>
                </c:pt>
                <c:pt idx="1">
                  <c:v>11.9</c:v>
                </c:pt>
                <c:pt idx="2">
                  <c:v>8.8000000000000007</c:v>
                </c:pt>
              </c:numCache>
            </c:numRef>
          </c:val>
          <c:extLst>
            <c:ext xmlns:c16="http://schemas.microsoft.com/office/drawing/2014/chart" uri="{C3380CC4-5D6E-409C-BE32-E72D297353CC}">
              <c16:uniqueId val="{00000001-4C69-4DDD-91FC-BC7E8778D58D}"/>
            </c:ext>
          </c:extLst>
        </c:ser>
        <c:ser>
          <c:idx val="2"/>
          <c:order val="2"/>
          <c:tx>
            <c:strRef>
              <c:f>hodiny!$P$5</c:f>
              <c:strCache>
                <c:ptCount val="1"/>
                <c:pt idx="0">
                  <c:v>na 1 účastníka kurzů/školení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hodiny!$Q$2:$S$2</c:f>
              <c:strCache>
                <c:ptCount val="3"/>
                <c:pt idx="0">
                  <c:v>2010</c:v>
                </c:pt>
                <c:pt idx="1">
                  <c:v>2015</c:v>
                </c:pt>
                <c:pt idx="2">
                  <c:v>2020</c:v>
                </c:pt>
              </c:strCache>
            </c:strRef>
          </c:cat>
          <c:val>
            <c:numRef>
              <c:f>hodiny!$Q$5:$S$5</c:f>
              <c:numCache>
                <c:formatCode>#\ ##0.0</c:formatCode>
                <c:ptCount val="3"/>
                <c:pt idx="0">
                  <c:v>14.5</c:v>
                </c:pt>
                <c:pt idx="1">
                  <c:v>13.6</c:v>
                </c:pt>
                <c:pt idx="2">
                  <c:v>9.9</c:v>
                </c:pt>
              </c:numCache>
            </c:numRef>
          </c:val>
          <c:extLst>
            <c:ext xmlns:c16="http://schemas.microsoft.com/office/drawing/2014/chart" uri="{C3380CC4-5D6E-409C-BE32-E72D297353CC}">
              <c16:uniqueId val="{00000002-4C69-4DDD-91FC-BC7E8778D58D}"/>
            </c:ext>
          </c:extLst>
        </c:ser>
        <c:dLbls>
          <c:showLegendKey val="0"/>
          <c:showVal val="0"/>
          <c:showCatName val="0"/>
          <c:showSerName val="0"/>
          <c:showPercent val="0"/>
          <c:showBubbleSize val="0"/>
        </c:dLbls>
        <c:gapWidth val="219"/>
        <c:overlap val="-27"/>
        <c:axId val="1997437487"/>
        <c:axId val="1997438319"/>
      </c:barChart>
      <c:catAx>
        <c:axId val="1997437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97438319"/>
        <c:crosses val="autoZero"/>
        <c:auto val="1"/>
        <c:lblAlgn val="ctr"/>
        <c:lblOffset val="100"/>
        <c:noMultiLvlLbl val="0"/>
      </c:catAx>
      <c:valAx>
        <c:axId val="1997438319"/>
        <c:scaling>
          <c:orientation val="minMax"/>
          <c:max val="20"/>
        </c:scaling>
        <c:delete val="0"/>
        <c:axPos val="l"/>
        <c:numFmt formatCode="#,##0"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97437487"/>
        <c:crosses val="autoZero"/>
        <c:crossBetween val="between"/>
        <c:majorUnit val="5"/>
      </c:valAx>
      <c:spPr>
        <a:noFill/>
        <a:ln>
          <a:noFill/>
        </a:ln>
        <a:effectLst/>
      </c:spPr>
    </c:plotArea>
    <c:legend>
      <c:legendPos val="b"/>
      <c:layout>
        <c:manualLayout>
          <c:xMode val="edge"/>
          <c:yMode val="edge"/>
          <c:x val="0.37046994916774645"/>
          <c:y val="2.7968245772557118E-2"/>
          <c:w val="0.60294195820459162"/>
          <c:h val="0.22269482223812931"/>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235581129281915"/>
          <c:y val="3.3409263477600606E-2"/>
          <c:w val="0.58131940238239455"/>
          <c:h val="0.93318147304479881"/>
        </c:manualLayout>
      </c:layout>
      <c:barChart>
        <c:barDir val="bar"/>
        <c:grouping val="clustered"/>
        <c:varyColors val="0"/>
        <c:ser>
          <c:idx val="0"/>
          <c:order val="0"/>
          <c:spPr>
            <a:solidFill>
              <a:schemeClr val="accent1"/>
            </a:solidFill>
            <a:ln>
              <a:noFill/>
            </a:ln>
            <a:effectLst/>
          </c:spPr>
          <c:invertIfNegative val="0"/>
          <c:dPt>
            <c:idx val="10"/>
            <c:invertIfNegative val="0"/>
            <c:bubble3D val="0"/>
            <c:spPr>
              <a:solidFill>
                <a:srgbClr val="FF6600"/>
              </a:solidFill>
              <a:ln>
                <a:noFill/>
              </a:ln>
              <a:effectLst/>
            </c:spPr>
            <c:extLst>
              <c:ext xmlns:c16="http://schemas.microsoft.com/office/drawing/2014/chart" uri="{C3380CC4-5D6E-409C-BE32-E72D297353CC}">
                <c16:uniqueId val="{00000001-1F14-47BE-B6E4-3780C949A37B}"/>
              </c:ext>
            </c:extLst>
          </c:dPt>
          <c:dPt>
            <c:idx val="11"/>
            <c:invertIfNegative val="0"/>
            <c:bubble3D val="0"/>
            <c:spPr>
              <a:solidFill>
                <a:srgbClr val="FF6600"/>
              </a:solidFill>
              <a:ln>
                <a:noFill/>
              </a:ln>
              <a:effectLst/>
            </c:spPr>
            <c:extLst>
              <c:ext xmlns:c16="http://schemas.microsoft.com/office/drawing/2014/chart" uri="{C3380CC4-5D6E-409C-BE32-E72D297353CC}">
                <c16:uniqueId val="{00000003-1F14-47BE-B6E4-3780C949A37B}"/>
              </c:ext>
            </c:extLst>
          </c:dPt>
          <c:dPt>
            <c:idx val="12"/>
            <c:invertIfNegative val="0"/>
            <c:bubble3D val="0"/>
            <c:spPr>
              <a:solidFill>
                <a:srgbClr val="FF6600"/>
              </a:solidFill>
              <a:ln>
                <a:noFill/>
              </a:ln>
              <a:effectLst/>
            </c:spPr>
            <c:extLst>
              <c:ext xmlns:c16="http://schemas.microsoft.com/office/drawing/2014/chart" uri="{C3380CC4-5D6E-409C-BE32-E72D297353CC}">
                <c16:uniqueId val="{00000005-1F14-47BE-B6E4-3780C949A37B}"/>
              </c:ext>
            </c:extLst>
          </c:dPt>
          <c:dPt>
            <c:idx val="13"/>
            <c:invertIfNegative val="0"/>
            <c:bubble3D val="0"/>
            <c:spPr>
              <a:solidFill>
                <a:srgbClr val="FF6600"/>
              </a:solidFill>
              <a:ln>
                <a:noFill/>
              </a:ln>
              <a:effectLst/>
            </c:spPr>
            <c:extLst>
              <c:ext xmlns:c16="http://schemas.microsoft.com/office/drawing/2014/chart" uri="{C3380CC4-5D6E-409C-BE32-E72D297353CC}">
                <c16:uniqueId val="{00000007-1F14-47BE-B6E4-3780C949A37B}"/>
              </c:ext>
            </c:extLst>
          </c:dPt>
          <c:dPt>
            <c:idx val="14"/>
            <c:invertIfNegative val="0"/>
            <c:bubble3D val="0"/>
            <c:spPr>
              <a:solidFill>
                <a:srgbClr val="FF6600"/>
              </a:solidFill>
              <a:ln>
                <a:noFill/>
              </a:ln>
              <a:effectLst/>
            </c:spPr>
            <c:extLst>
              <c:ext xmlns:c16="http://schemas.microsoft.com/office/drawing/2014/chart" uri="{C3380CC4-5D6E-409C-BE32-E72D297353CC}">
                <c16:uniqueId val="{00000009-1F14-47BE-B6E4-3780C949A37B}"/>
              </c:ext>
            </c:extLst>
          </c:dPt>
          <c:dPt>
            <c:idx val="15"/>
            <c:invertIfNegative val="0"/>
            <c:bubble3D val="0"/>
            <c:spPr>
              <a:solidFill>
                <a:srgbClr val="FF6600"/>
              </a:solidFill>
              <a:ln>
                <a:noFill/>
              </a:ln>
              <a:effectLst/>
            </c:spPr>
            <c:extLst>
              <c:ext xmlns:c16="http://schemas.microsoft.com/office/drawing/2014/chart" uri="{C3380CC4-5D6E-409C-BE32-E72D297353CC}">
                <c16:uniqueId val="{0000000B-1F14-47BE-B6E4-3780C949A37B}"/>
              </c:ext>
            </c:extLst>
          </c:dPt>
          <c:dPt>
            <c:idx val="16"/>
            <c:invertIfNegative val="0"/>
            <c:bubble3D val="0"/>
            <c:spPr>
              <a:solidFill>
                <a:srgbClr val="FF6600"/>
              </a:solidFill>
              <a:ln>
                <a:noFill/>
              </a:ln>
              <a:effectLst/>
            </c:spPr>
            <c:extLst>
              <c:ext xmlns:c16="http://schemas.microsoft.com/office/drawing/2014/chart" uri="{C3380CC4-5D6E-409C-BE32-E72D297353CC}">
                <c16:uniqueId val="{0000000D-1F14-47BE-B6E4-3780C949A37B}"/>
              </c:ext>
            </c:extLst>
          </c:dPt>
          <c:dPt>
            <c:idx val="17"/>
            <c:invertIfNegative val="0"/>
            <c:bubble3D val="0"/>
            <c:spPr>
              <a:solidFill>
                <a:srgbClr val="FF6600"/>
              </a:solidFill>
              <a:ln>
                <a:noFill/>
              </a:ln>
              <a:effectLst/>
            </c:spPr>
            <c:extLst>
              <c:ext xmlns:c16="http://schemas.microsoft.com/office/drawing/2014/chart" uri="{C3380CC4-5D6E-409C-BE32-E72D297353CC}">
                <c16:uniqueId val="{0000000F-1F14-47BE-B6E4-3780C949A37B}"/>
              </c:ext>
            </c:extLst>
          </c:dPt>
          <c:dPt>
            <c:idx val="18"/>
            <c:invertIfNegative val="0"/>
            <c:bubble3D val="0"/>
            <c:spPr>
              <a:solidFill>
                <a:srgbClr val="FF6600"/>
              </a:solidFill>
              <a:ln>
                <a:noFill/>
              </a:ln>
              <a:effectLst/>
            </c:spPr>
            <c:extLst>
              <c:ext xmlns:c16="http://schemas.microsoft.com/office/drawing/2014/chart" uri="{C3380CC4-5D6E-409C-BE32-E72D297353CC}">
                <c16:uniqueId val="{00000011-1F14-47BE-B6E4-3780C949A37B}"/>
              </c:ext>
            </c:extLst>
          </c:dPt>
          <c:dPt>
            <c:idx val="19"/>
            <c:invertIfNegative val="0"/>
            <c:bubble3D val="0"/>
            <c:spPr>
              <a:solidFill>
                <a:srgbClr val="FF6600"/>
              </a:solidFill>
              <a:ln>
                <a:noFill/>
              </a:ln>
              <a:effectLst/>
            </c:spPr>
            <c:extLst>
              <c:ext xmlns:c16="http://schemas.microsoft.com/office/drawing/2014/chart" uri="{C3380CC4-5D6E-409C-BE32-E72D297353CC}">
                <c16:uniqueId val="{00000013-1F14-47BE-B6E4-3780C949A37B}"/>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'2.9'!$B$2:$C$21</c:f>
              <c:multiLvlStrCache>
                <c:ptCount val="20"/>
                <c:lvl>
                  <c:pt idx="0">
                    <c:v>Kulturní, zábavní a rekreační činnosti</c:v>
                  </c:pt>
                  <c:pt idx="1">
                    <c:v>Obchod; opravy motor. vozidel</c:v>
                  </c:pt>
                  <c:pt idx="2">
                    <c:v>Doprava a skladování</c:v>
                  </c:pt>
                  <c:pt idx="3">
                    <c:v>Průmysl</c:v>
                  </c:pt>
                  <c:pt idx="4">
                    <c:v>Čin. v oblasti nemovitostí a administrativy</c:v>
                  </c:pt>
                  <c:pt idx="5">
                    <c:v>Ubytování, stravování a pohostinství</c:v>
                  </c:pt>
                  <c:pt idx="6">
                    <c:v>Stavebnictví</c:v>
                  </c:pt>
                  <c:pt idx="7">
                    <c:v>Informační a komunikační činnosti</c:v>
                  </c:pt>
                  <c:pt idx="8">
                    <c:v>Profesní, vědecké a technické činnosti</c:v>
                  </c:pt>
                  <c:pt idx="9">
                    <c:v>Peněžnictví a pojišťovnictví</c:v>
                  </c:pt>
                  <c:pt idx="10">
                    <c:v>Obchod; opravy motor. vozidel</c:v>
                  </c:pt>
                  <c:pt idx="11">
                    <c:v>Peněžnictví a pojišťovnictví</c:v>
                  </c:pt>
                  <c:pt idx="12">
                    <c:v>Ubytování, stravování a pohostinství</c:v>
                  </c:pt>
                  <c:pt idx="13">
                    <c:v>Čin. v oblasti nemovitostí a administrativy</c:v>
                  </c:pt>
                  <c:pt idx="14">
                    <c:v>Informační a komunikační činnosti</c:v>
                  </c:pt>
                  <c:pt idx="15">
                    <c:v>Kulturní, zábavní a rekreační činnosti</c:v>
                  </c:pt>
                  <c:pt idx="16">
                    <c:v>Průmysl</c:v>
                  </c:pt>
                  <c:pt idx="17">
                    <c:v>Profesní, vědecké a technické činnosti</c:v>
                  </c:pt>
                  <c:pt idx="18">
                    <c:v>Doprava a skladování</c:v>
                  </c:pt>
                  <c:pt idx="19">
                    <c:v>Stavebnictví</c:v>
                  </c:pt>
                </c:lvl>
                <c:lvl>
                  <c:pt idx="0">
                    <c:v>nepovinné kurzy/šolení</c:v>
                  </c:pt>
                  <c:pt idx="10">
                    <c:v>povinné kurzy/školení</c:v>
                  </c:pt>
                </c:lvl>
              </c:multiLvlStrCache>
            </c:multiLvlStrRef>
          </c:cat>
          <c:val>
            <c:numRef>
              <c:f>'2.9'!$D$2:$D$21</c:f>
              <c:numCache>
                <c:formatCode>0.0</c:formatCode>
                <c:ptCount val="20"/>
                <c:pt idx="0">
                  <c:v>11.2292849287</c:v>
                </c:pt>
                <c:pt idx="1">
                  <c:v>11.492210122199999</c:v>
                </c:pt>
                <c:pt idx="2">
                  <c:v>13.1600116618</c:v>
                </c:pt>
                <c:pt idx="3">
                  <c:v>13.7250339441</c:v>
                </c:pt>
                <c:pt idx="4">
                  <c:v>13.794365838099999</c:v>
                </c:pt>
                <c:pt idx="5">
                  <c:v>15.057620029800001</c:v>
                </c:pt>
                <c:pt idx="6">
                  <c:v>15.9048530475</c:v>
                </c:pt>
                <c:pt idx="7">
                  <c:v>19.432313799399999</c:v>
                </c:pt>
                <c:pt idx="8">
                  <c:v>20.140672072499999</c:v>
                </c:pt>
                <c:pt idx="9">
                  <c:v>24.127066319600001</c:v>
                </c:pt>
                <c:pt idx="10">
                  <c:v>3.4770296801999998</c:v>
                </c:pt>
                <c:pt idx="11">
                  <c:v>3.5403532259000001</c:v>
                </c:pt>
                <c:pt idx="12">
                  <c:v>3.6071000407999998</c:v>
                </c:pt>
                <c:pt idx="13">
                  <c:v>3.8318426506000001</c:v>
                </c:pt>
                <c:pt idx="14">
                  <c:v>4.3729241027999999</c:v>
                </c:pt>
                <c:pt idx="15">
                  <c:v>4.8204668638000001</c:v>
                </c:pt>
                <c:pt idx="16">
                  <c:v>5.2139236438000003</c:v>
                </c:pt>
                <c:pt idx="17">
                  <c:v>5.3055736506000004</c:v>
                </c:pt>
                <c:pt idx="18">
                  <c:v>6.1304884600999996</c:v>
                </c:pt>
                <c:pt idx="19">
                  <c:v>7.6087008477999998</c:v>
                </c:pt>
              </c:numCache>
            </c:numRef>
          </c:val>
          <c:extLst>
            <c:ext xmlns:c16="http://schemas.microsoft.com/office/drawing/2014/chart" uri="{C3380CC4-5D6E-409C-BE32-E72D297353CC}">
              <c16:uniqueId val="{00000014-1F14-47BE-B6E4-3780C949A37B}"/>
            </c:ext>
          </c:extLst>
        </c:ser>
        <c:dLbls>
          <c:showLegendKey val="0"/>
          <c:showVal val="0"/>
          <c:showCatName val="0"/>
          <c:showSerName val="0"/>
          <c:showPercent val="0"/>
          <c:showBubbleSize val="0"/>
        </c:dLbls>
        <c:gapWidth val="20"/>
        <c:axId val="1401185423"/>
        <c:axId val="1401186255"/>
      </c:barChart>
      <c:catAx>
        <c:axId val="14011854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1186255"/>
        <c:crosses val="autoZero"/>
        <c:auto val="1"/>
        <c:lblAlgn val="ctr"/>
        <c:lblOffset val="100"/>
        <c:noMultiLvlLbl val="0"/>
      </c:catAx>
      <c:valAx>
        <c:axId val="1401186255"/>
        <c:scaling>
          <c:orientation val="minMax"/>
          <c:max val="25"/>
        </c:scaling>
        <c:delete val="0"/>
        <c:axPos val="b"/>
        <c:numFmt formatCode="#,##0"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1185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3674540682411"/>
          <c:y val="1.9204393723338781E-2"/>
          <c:w val="0.84345390419947508"/>
          <c:h val="0.94732984399508424"/>
        </c:manualLayout>
      </c:layout>
      <c:barChart>
        <c:barDir val="bar"/>
        <c:grouping val="clustered"/>
        <c:varyColors val="0"/>
        <c:ser>
          <c:idx val="0"/>
          <c:order val="0"/>
          <c:tx>
            <c:strRef>
              <c:f>'2.10'!$C$1</c:f>
              <c:strCache>
                <c:ptCount val="1"/>
                <c:pt idx="0">
                  <c:v>Celkem</c:v>
                </c:pt>
              </c:strCache>
            </c:strRef>
          </c:tx>
          <c:spPr>
            <a:solidFill>
              <a:schemeClr val="accent1">
                <a:lumMod val="60000"/>
                <a:lumOff val="40000"/>
              </a:schemeClr>
            </a:solidFill>
            <a:ln>
              <a:noFill/>
            </a:ln>
            <a:effectLst/>
          </c:spPr>
          <c:invertIfNegative val="0"/>
          <c:dPt>
            <c:idx val="15"/>
            <c:invertIfNegative val="0"/>
            <c:bubble3D val="0"/>
            <c:spPr>
              <a:solidFill>
                <a:schemeClr val="accent1">
                  <a:lumMod val="75000"/>
                </a:schemeClr>
              </a:solidFill>
              <a:ln>
                <a:noFill/>
              </a:ln>
              <a:effectLst/>
            </c:spPr>
            <c:extLst>
              <c:ext xmlns:c16="http://schemas.microsoft.com/office/drawing/2014/chart" uri="{C3380CC4-5D6E-409C-BE32-E72D297353CC}">
                <c16:uniqueId val="{00000000-CFCD-474E-B4C3-A7CC7EB09603}"/>
              </c:ext>
            </c:extLst>
          </c:dPt>
          <c:dLbls>
            <c:spPr>
              <a:solidFill>
                <a:schemeClr val="accent1">
                  <a:lumMod val="20000"/>
                  <a:lumOff val="80000"/>
                  <a:alpha val="72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lumMod val="50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'2.10'!$B$2:$B$31</c:f>
              <c:strCache>
                <c:ptCount val="30"/>
                <c:pt idx="0">
                  <c:v>Španělsko</c:v>
                </c:pt>
                <c:pt idx="1">
                  <c:v>Česko</c:v>
                </c:pt>
                <c:pt idx="2">
                  <c:v>Lotyšsko</c:v>
                </c:pt>
                <c:pt idx="3">
                  <c:v>Slovensko</c:v>
                </c:pt>
                <c:pt idx="4">
                  <c:v>Řecko</c:v>
                </c:pt>
                <c:pt idx="5">
                  <c:v>Polsko</c:v>
                </c:pt>
                <c:pt idx="6">
                  <c:v>Finsko</c:v>
                </c:pt>
                <c:pt idx="7">
                  <c:v>Rakousko</c:v>
                </c:pt>
                <c:pt idx="8">
                  <c:v>Bulharsko</c:v>
                </c:pt>
                <c:pt idx="9">
                  <c:v>Litva</c:v>
                </c:pt>
                <c:pt idx="10">
                  <c:v>Srbsko</c:v>
                </c:pt>
                <c:pt idx="11">
                  <c:v>Belgie</c:v>
                </c:pt>
                <c:pt idx="12">
                  <c:v>Slovinsko</c:v>
                </c:pt>
                <c:pt idx="13">
                  <c:v>Švédsko</c:v>
                </c:pt>
                <c:pt idx="14">
                  <c:v>Estonsko</c:v>
                </c:pt>
                <c:pt idx="15">
                  <c:v>EU 27</c:v>
                </c:pt>
                <c:pt idx="16">
                  <c:v>Francie</c:v>
                </c:pt>
                <c:pt idx="17">
                  <c:v>Norsko</c:v>
                </c:pt>
                <c:pt idx="18">
                  <c:v>Portugalsko</c:v>
                </c:pt>
                <c:pt idx="19">
                  <c:v>Kypr</c:v>
                </c:pt>
                <c:pt idx="20">
                  <c:v>Chorvatsko</c:v>
                </c:pt>
                <c:pt idx="21">
                  <c:v>Malta</c:v>
                </c:pt>
                <c:pt idx="22">
                  <c:v>Itálie</c:v>
                </c:pt>
                <c:pt idx="23">
                  <c:v>Německo</c:v>
                </c:pt>
                <c:pt idx="24">
                  <c:v>Lucembursko</c:v>
                </c:pt>
                <c:pt idx="25">
                  <c:v>Dánsko</c:v>
                </c:pt>
                <c:pt idx="26">
                  <c:v>Irsko</c:v>
                </c:pt>
                <c:pt idx="27">
                  <c:v>Maďarsko</c:v>
                </c:pt>
                <c:pt idx="28">
                  <c:v>Rumunsko</c:v>
                </c:pt>
                <c:pt idx="29">
                  <c:v>Nizozemsko</c:v>
                </c:pt>
              </c:strCache>
            </c:strRef>
          </c:cat>
          <c:val>
            <c:numRef>
              <c:f>'2.10'!$C$2:$C$31</c:f>
              <c:numCache>
                <c:formatCode>#\ ##0.0</c:formatCode>
                <c:ptCount val="30"/>
                <c:pt idx="0">
                  <c:v>8.5</c:v>
                </c:pt>
                <c:pt idx="1">
                  <c:v>9.9</c:v>
                </c:pt>
                <c:pt idx="2">
                  <c:v>11.8</c:v>
                </c:pt>
                <c:pt idx="3">
                  <c:v>16.3</c:v>
                </c:pt>
                <c:pt idx="4">
                  <c:v>16.899999999999999</c:v>
                </c:pt>
                <c:pt idx="5">
                  <c:v>17.2</c:v>
                </c:pt>
                <c:pt idx="6">
                  <c:v>18</c:v>
                </c:pt>
                <c:pt idx="7">
                  <c:v>19.100000000000001</c:v>
                </c:pt>
                <c:pt idx="8">
                  <c:v>20</c:v>
                </c:pt>
                <c:pt idx="9">
                  <c:v>20.5</c:v>
                </c:pt>
                <c:pt idx="10">
                  <c:v>20.6</c:v>
                </c:pt>
                <c:pt idx="11">
                  <c:v>20.9</c:v>
                </c:pt>
                <c:pt idx="12">
                  <c:v>21.3</c:v>
                </c:pt>
                <c:pt idx="13">
                  <c:v>21.3</c:v>
                </c:pt>
                <c:pt idx="14">
                  <c:v>22</c:v>
                </c:pt>
                <c:pt idx="15">
                  <c:v>22.6</c:v>
                </c:pt>
                <c:pt idx="16">
                  <c:v>23</c:v>
                </c:pt>
                <c:pt idx="17">
                  <c:v>23.4</c:v>
                </c:pt>
                <c:pt idx="18">
                  <c:v>23.8</c:v>
                </c:pt>
                <c:pt idx="19">
                  <c:v>24.1</c:v>
                </c:pt>
                <c:pt idx="20">
                  <c:v>24.4</c:v>
                </c:pt>
                <c:pt idx="21">
                  <c:v>25.6</c:v>
                </c:pt>
                <c:pt idx="22">
                  <c:v>27</c:v>
                </c:pt>
                <c:pt idx="23">
                  <c:v>27.9</c:v>
                </c:pt>
                <c:pt idx="24">
                  <c:v>28.7</c:v>
                </c:pt>
                <c:pt idx="25">
                  <c:v>29.5</c:v>
                </c:pt>
                <c:pt idx="26">
                  <c:v>32.1</c:v>
                </c:pt>
                <c:pt idx="27">
                  <c:v>32.200000000000003</c:v>
                </c:pt>
                <c:pt idx="28">
                  <c:v>32.6</c:v>
                </c:pt>
                <c:pt idx="29">
                  <c:v>37.700000000000003</c:v>
                </c:pt>
              </c:numCache>
            </c:numRef>
          </c:val>
          <c:extLst>
            <c:ext xmlns:c16="http://schemas.microsoft.com/office/drawing/2014/chart" uri="{C3380CC4-5D6E-409C-BE32-E72D297353CC}">
              <c16:uniqueId val="{00000000-75AA-4D37-BD2F-01EB50FF2B82}"/>
            </c:ext>
          </c:extLst>
        </c:ser>
        <c:dLbls>
          <c:showLegendKey val="0"/>
          <c:showVal val="0"/>
          <c:showCatName val="0"/>
          <c:showSerName val="0"/>
          <c:showPercent val="0"/>
          <c:showBubbleSize val="0"/>
        </c:dLbls>
        <c:gapWidth val="32"/>
        <c:axId val="270317936"/>
        <c:axId val="270318352"/>
      </c:barChart>
      <c:barChart>
        <c:barDir val="bar"/>
        <c:grouping val="clustered"/>
        <c:varyColors val="0"/>
        <c:ser>
          <c:idx val="1"/>
          <c:order val="1"/>
          <c:tx>
            <c:strRef>
              <c:f>'2.10'!$D$1</c:f>
              <c:strCache>
                <c:ptCount val="1"/>
                <c:pt idx="0">
                  <c:v>z toho nepovinné (pouze za ČR)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'2.10'!$B$2:$B$31</c:f>
              <c:strCache>
                <c:ptCount val="30"/>
                <c:pt idx="0">
                  <c:v>Španělsko</c:v>
                </c:pt>
                <c:pt idx="1">
                  <c:v>Česko</c:v>
                </c:pt>
                <c:pt idx="2">
                  <c:v>Lotyšsko</c:v>
                </c:pt>
                <c:pt idx="3">
                  <c:v>Slovensko</c:v>
                </c:pt>
                <c:pt idx="4">
                  <c:v>Řecko</c:v>
                </c:pt>
                <c:pt idx="5">
                  <c:v>Polsko</c:v>
                </c:pt>
                <c:pt idx="6">
                  <c:v>Finsko</c:v>
                </c:pt>
                <c:pt idx="7">
                  <c:v>Rakousko</c:v>
                </c:pt>
                <c:pt idx="8">
                  <c:v>Bulharsko</c:v>
                </c:pt>
                <c:pt idx="9">
                  <c:v>Litva</c:v>
                </c:pt>
                <c:pt idx="10">
                  <c:v>Srbsko</c:v>
                </c:pt>
                <c:pt idx="11">
                  <c:v>Belgie</c:v>
                </c:pt>
                <c:pt idx="12">
                  <c:v>Slovinsko</c:v>
                </c:pt>
                <c:pt idx="13">
                  <c:v>Švédsko</c:v>
                </c:pt>
                <c:pt idx="14">
                  <c:v>Estonsko</c:v>
                </c:pt>
                <c:pt idx="15">
                  <c:v>EU 27</c:v>
                </c:pt>
                <c:pt idx="16">
                  <c:v>Francie</c:v>
                </c:pt>
                <c:pt idx="17">
                  <c:v>Norsko</c:v>
                </c:pt>
                <c:pt idx="18">
                  <c:v>Portugalsko</c:v>
                </c:pt>
                <c:pt idx="19">
                  <c:v>Kypr</c:v>
                </c:pt>
                <c:pt idx="20">
                  <c:v>Chorvatsko</c:v>
                </c:pt>
                <c:pt idx="21">
                  <c:v>Malta</c:v>
                </c:pt>
                <c:pt idx="22">
                  <c:v>Itálie</c:v>
                </c:pt>
                <c:pt idx="23">
                  <c:v>Německo</c:v>
                </c:pt>
                <c:pt idx="24">
                  <c:v>Lucembursko</c:v>
                </c:pt>
                <c:pt idx="25">
                  <c:v>Dánsko</c:v>
                </c:pt>
                <c:pt idx="26">
                  <c:v>Irsko</c:v>
                </c:pt>
                <c:pt idx="27">
                  <c:v>Maďarsko</c:v>
                </c:pt>
                <c:pt idx="28">
                  <c:v>Rumunsko</c:v>
                </c:pt>
                <c:pt idx="29">
                  <c:v>Nizozemsko</c:v>
                </c:pt>
              </c:strCache>
            </c:strRef>
          </c:cat>
          <c:val>
            <c:numRef>
              <c:f>'2.10'!$D$2:$D$31</c:f>
              <c:numCache>
                <c:formatCode>0.0</c:formatCode>
                <c:ptCount val="30"/>
                <c:pt idx="1">
                  <c:v>15.002568479400001</c:v>
                </c:pt>
              </c:numCache>
            </c:numRef>
          </c:val>
          <c:extLst>
            <c:ext xmlns:c16="http://schemas.microsoft.com/office/drawing/2014/chart" uri="{C3380CC4-5D6E-409C-BE32-E72D297353CC}">
              <c16:uniqueId val="{00000001-75AA-4D37-BD2F-01EB50FF2B82}"/>
            </c:ext>
          </c:extLst>
        </c:ser>
        <c:dLbls>
          <c:showLegendKey val="0"/>
          <c:showVal val="0"/>
          <c:showCatName val="0"/>
          <c:showSerName val="0"/>
          <c:showPercent val="0"/>
          <c:showBubbleSize val="0"/>
        </c:dLbls>
        <c:gapWidth val="224"/>
        <c:axId val="171556607"/>
        <c:axId val="171550783"/>
      </c:barChart>
      <c:catAx>
        <c:axId val="27031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70318352"/>
        <c:crosses val="autoZero"/>
        <c:auto val="1"/>
        <c:lblAlgn val="ctr"/>
        <c:lblOffset val="100"/>
        <c:noMultiLvlLbl val="0"/>
      </c:catAx>
      <c:valAx>
        <c:axId val="270318352"/>
        <c:scaling>
          <c:orientation val="minMax"/>
        </c:scaling>
        <c:delete val="0"/>
        <c:axPos val="b"/>
        <c:numFmt formatCode="0\ %"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70317936"/>
        <c:crosses val="autoZero"/>
        <c:crossBetween val="between"/>
      </c:valAx>
      <c:valAx>
        <c:axId val="171550783"/>
        <c:scaling>
          <c:orientation val="minMax"/>
          <c:max val="40"/>
        </c:scaling>
        <c:delete val="0"/>
        <c:axPos val="t"/>
        <c:numFmt formatCode="0.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71556607"/>
        <c:crosses val="max"/>
        <c:crossBetween val="between"/>
      </c:valAx>
      <c:catAx>
        <c:axId val="171556607"/>
        <c:scaling>
          <c:orientation val="minMax"/>
        </c:scaling>
        <c:delete val="1"/>
        <c:axPos val="l"/>
        <c:numFmt formatCode="General" sourceLinked="1"/>
        <c:majorTickMark val="out"/>
        <c:minorTickMark val="none"/>
        <c:tickLblPos val="nextTo"/>
        <c:crossAx val="171550783"/>
        <c:crosses val="autoZero"/>
        <c:auto val="1"/>
        <c:lblAlgn val="ctr"/>
        <c:lblOffset val="100"/>
        <c:noMultiLvlLbl val="0"/>
      </c:catAx>
      <c:spPr>
        <a:noFill/>
        <a:ln>
          <a:solidFill>
            <a:schemeClr val="bg1">
              <a:lumMod val="75000"/>
            </a:schemeClr>
          </a:solidFill>
        </a:ln>
        <a:effectLst/>
      </c:spPr>
    </c:plotArea>
    <c:legend>
      <c:legendPos val="b"/>
      <c:layout>
        <c:manualLayout>
          <c:xMode val="edge"/>
          <c:yMode val="edge"/>
          <c:x val="0.65973343353772751"/>
          <c:y val="0.81661013719800324"/>
          <c:w val="0.25898554437745175"/>
          <c:h val="0.125776681631980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812681808275769"/>
          <c:y val="3.2520325203252036E-2"/>
          <c:w val="0.55280574585216558"/>
          <c:h val="0.91836662522447843"/>
        </c:manualLayout>
      </c:layout>
      <c:barChart>
        <c:barDir val="bar"/>
        <c:grouping val="stacked"/>
        <c:varyColors val="0"/>
        <c:ser>
          <c:idx val="0"/>
          <c:order val="0"/>
          <c:tx>
            <c:strRef>
              <c:f>List18!$H$5</c:f>
              <c:strCache>
                <c:ptCount val="1"/>
                <c:pt idx="0">
                  <c:v>povinné</c:v>
                </c:pt>
              </c:strCache>
            </c:strRef>
          </c:tx>
          <c:spPr>
            <a:solidFill>
              <a:schemeClr val="accent1"/>
            </a:solidFill>
            <a:ln>
              <a:noFill/>
            </a:ln>
            <a:effectLst/>
          </c:spPr>
          <c:invertIfNegative val="0"/>
          <c:dLbls>
            <c:dLbl>
              <c:idx val="10"/>
              <c:delete val="1"/>
              <c:extLst>
                <c:ext xmlns:c15="http://schemas.microsoft.com/office/drawing/2012/chart" uri="{CE6537A1-D6FC-4f65-9D91-7224C49458BB}"/>
                <c:ext xmlns:c16="http://schemas.microsoft.com/office/drawing/2014/chart" uri="{C3380CC4-5D6E-409C-BE32-E72D297353CC}">
                  <c16:uniqueId val="{00000000-2398-4420-8ED7-8EF0B9DDBE26}"/>
                </c:ext>
              </c:extLst>
            </c:dLbl>
            <c:dLbl>
              <c:idx val="13"/>
              <c:delete val="1"/>
              <c:extLst>
                <c:ext xmlns:c15="http://schemas.microsoft.com/office/drawing/2012/chart" uri="{CE6537A1-D6FC-4f65-9D91-7224C49458BB}"/>
                <c:ext xmlns:c16="http://schemas.microsoft.com/office/drawing/2014/chart" uri="{C3380CC4-5D6E-409C-BE32-E72D297353CC}">
                  <c16:uniqueId val="{00000001-2398-4420-8ED7-8EF0B9DDBE26}"/>
                </c:ext>
              </c:extLst>
            </c:dLbl>
            <c:dLbl>
              <c:idx val="18"/>
              <c:delete val="1"/>
              <c:extLst>
                <c:ext xmlns:c15="http://schemas.microsoft.com/office/drawing/2012/chart" uri="{CE6537A1-D6FC-4f65-9D91-7224C49458BB}"/>
                <c:ext xmlns:c16="http://schemas.microsoft.com/office/drawing/2014/chart" uri="{C3380CC4-5D6E-409C-BE32-E72D297353CC}">
                  <c16:uniqueId val="{00000002-2398-4420-8ED7-8EF0B9DDBE26}"/>
                </c:ext>
              </c:extLst>
            </c:dLbl>
            <c:numFmt formatCode="0.00\ %"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List18!$G$6:$G$25</c:f>
              <c:strCache>
                <c:ptCount val="20"/>
                <c:pt idx="0">
                  <c:v>Činn. v oblasti nemovitostí a administrativy</c:v>
                </c:pt>
                <c:pt idx="1">
                  <c:v>Obchod; opravy motor. vozidel</c:v>
                </c:pt>
                <c:pt idx="2">
                  <c:v>Kulturní, zábavní a rekreační činnosti</c:v>
                </c:pt>
                <c:pt idx="3">
                  <c:v>Ubytování, stravování a pohostinství</c:v>
                </c:pt>
                <c:pt idx="4">
                  <c:v>Doprava a skladování</c:v>
                </c:pt>
                <c:pt idx="5">
                  <c:v>Průmysl</c:v>
                </c:pt>
                <c:pt idx="6">
                  <c:v>Stavebnictví</c:v>
                </c:pt>
                <c:pt idx="7">
                  <c:v>Informační a komunikační činnosti</c:v>
                </c:pt>
                <c:pt idx="8">
                  <c:v>Profesní, vědecké a technické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
</c:v>
                </c:pt>
              </c:strCache>
            </c:strRef>
          </c:cat>
          <c:val>
            <c:numRef>
              <c:f>List18!$H$6:$H$25</c:f>
              <c:numCache>
                <c:formatCode>0.0%</c:formatCode>
                <c:ptCount val="20"/>
                <c:pt idx="0">
                  <c:v>1.9213242780000001E-3</c:v>
                </c:pt>
                <c:pt idx="1">
                  <c:v>1.7472101630000001E-3</c:v>
                </c:pt>
                <c:pt idx="2">
                  <c:v>2.590082566E-3</c:v>
                </c:pt>
                <c:pt idx="3">
                  <c:v>2.6899325969999997E-3</c:v>
                </c:pt>
                <c:pt idx="4">
                  <c:v>2.6899325969999997E-3</c:v>
                </c:pt>
                <c:pt idx="5">
                  <c:v>2.6092609290000002E-3</c:v>
                </c:pt>
                <c:pt idx="6">
                  <c:v>3.9380309240000001E-3</c:v>
                </c:pt>
                <c:pt idx="7">
                  <c:v>1.8342440449999999E-3</c:v>
                </c:pt>
                <c:pt idx="8">
                  <c:v>2.3692552889999999E-3</c:v>
                </c:pt>
                <c:pt idx="9">
                  <c:v>1.43924581E-3</c:v>
                </c:pt>
                <c:pt idx="11">
                  <c:v>2.2116258450000001E-3</c:v>
                </c:pt>
                <c:pt idx="12">
                  <c:v>2.5579847459999997E-3</c:v>
                </c:pt>
                <c:pt idx="14">
                  <c:v>2.4246610220000002E-3</c:v>
                </c:pt>
                <c:pt idx="15">
                  <c:v>2.3381823780000001E-3</c:v>
                </c:pt>
                <c:pt idx="16">
                  <c:v>2.6024527100000001E-3</c:v>
                </c:pt>
                <c:pt idx="17">
                  <c:v>2.2889882710000003E-3</c:v>
                </c:pt>
                <c:pt idx="19">
                  <c:v>2.4126448940000001E-3</c:v>
                </c:pt>
              </c:numCache>
            </c:numRef>
          </c:val>
          <c:extLst>
            <c:ext xmlns:c16="http://schemas.microsoft.com/office/drawing/2014/chart" uri="{C3380CC4-5D6E-409C-BE32-E72D297353CC}">
              <c16:uniqueId val="{00000003-2398-4420-8ED7-8EF0B9DDBE26}"/>
            </c:ext>
          </c:extLst>
        </c:ser>
        <c:ser>
          <c:idx val="1"/>
          <c:order val="1"/>
          <c:tx>
            <c:strRef>
              <c:f>List18!$I$5</c:f>
              <c:strCache>
                <c:ptCount val="1"/>
                <c:pt idx="0">
                  <c:v>nepovinné</c:v>
                </c:pt>
              </c:strCache>
            </c:strRef>
          </c:tx>
          <c:spPr>
            <a:solidFill>
              <a:srgbClr val="FFC000"/>
            </a:solidFill>
            <a:ln>
              <a:noFill/>
            </a:ln>
            <a:effectLst/>
          </c:spPr>
          <c:invertIfNegative val="0"/>
          <c:dLbls>
            <c:dLbl>
              <c:idx val="0"/>
              <c:layout>
                <c:manualLayout>
                  <c:x val="9.6269554753309269E-3"/>
                  <c:y val="-1.0292278763536162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398-4420-8ED7-8EF0B9DDBE26}"/>
                </c:ext>
              </c:extLst>
            </c:dLbl>
            <c:numFmt formatCode="0.00\ %"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List18!$G$6:$G$25</c:f>
              <c:strCache>
                <c:ptCount val="20"/>
                <c:pt idx="0">
                  <c:v>Činn. v oblasti nemovitostí a administrativy</c:v>
                </c:pt>
                <c:pt idx="1">
                  <c:v>Obchod; opravy motor. vozidel</c:v>
                </c:pt>
                <c:pt idx="2">
                  <c:v>Kulturní, zábavní a rekreační činnosti</c:v>
                </c:pt>
                <c:pt idx="3">
                  <c:v>Ubytování, stravování a pohostinství</c:v>
                </c:pt>
                <c:pt idx="4">
                  <c:v>Doprava a skladování</c:v>
                </c:pt>
                <c:pt idx="5">
                  <c:v>Průmysl</c:v>
                </c:pt>
                <c:pt idx="6">
                  <c:v>Stavebnictví</c:v>
                </c:pt>
                <c:pt idx="7">
                  <c:v>Informační a komunikační činnosti</c:v>
                </c:pt>
                <c:pt idx="8">
                  <c:v>Profesní, vědecké a technické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
</c:v>
                </c:pt>
              </c:strCache>
            </c:strRef>
          </c:cat>
          <c:val>
            <c:numRef>
              <c:f>List18!$I$6:$I$25</c:f>
              <c:numCache>
                <c:formatCode>0.0%</c:formatCode>
                <c:ptCount val="20"/>
                <c:pt idx="0">
                  <c:v>1.085543917E-3</c:v>
                </c:pt>
                <c:pt idx="1">
                  <c:v>2.2222516810000001E-3</c:v>
                </c:pt>
                <c:pt idx="2">
                  <c:v>2.3103278420000001E-3</c:v>
                </c:pt>
                <c:pt idx="3">
                  <c:v>2.3373198179999998E-3</c:v>
                </c:pt>
                <c:pt idx="4">
                  <c:v>2.3373198179999998E-3</c:v>
                </c:pt>
                <c:pt idx="5">
                  <c:v>2.5831121119999998E-3</c:v>
                </c:pt>
                <c:pt idx="6">
                  <c:v>2.346560363E-3</c:v>
                </c:pt>
                <c:pt idx="7">
                  <c:v>5.5414523240000001E-3</c:v>
                </c:pt>
                <c:pt idx="8">
                  <c:v>5.5802779920000002E-3</c:v>
                </c:pt>
                <c:pt idx="9">
                  <c:v>1.1501880484000001E-2</c:v>
                </c:pt>
                <c:pt idx="11">
                  <c:v>4.148425398E-3</c:v>
                </c:pt>
                <c:pt idx="12">
                  <c:v>2.0268673940000001E-3</c:v>
                </c:pt>
                <c:pt idx="14">
                  <c:v>3.863932222E-3</c:v>
                </c:pt>
                <c:pt idx="15">
                  <c:v>2.3411454509999997E-3</c:v>
                </c:pt>
                <c:pt idx="16">
                  <c:v>1.7241333079999999E-3</c:v>
                </c:pt>
                <c:pt idx="17">
                  <c:v>1.6408474049999999E-3</c:v>
                </c:pt>
                <c:pt idx="19">
                  <c:v>2.9171200349999999E-3</c:v>
                </c:pt>
              </c:numCache>
            </c:numRef>
          </c:val>
          <c:extLst>
            <c:ext xmlns:c16="http://schemas.microsoft.com/office/drawing/2014/chart" uri="{C3380CC4-5D6E-409C-BE32-E72D297353CC}">
              <c16:uniqueId val="{00000005-2398-4420-8ED7-8EF0B9DDBE26}"/>
            </c:ext>
          </c:extLst>
        </c:ser>
        <c:dLbls>
          <c:showLegendKey val="0"/>
          <c:showVal val="0"/>
          <c:showCatName val="0"/>
          <c:showSerName val="0"/>
          <c:showPercent val="0"/>
          <c:showBubbleSize val="0"/>
        </c:dLbls>
        <c:gapWidth val="30"/>
        <c:overlap val="100"/>
        <c:axId val="1405432879"/>
        <c:axId val="1405414159"/>
      </c:barChart>
      <c:catAx>
        <c:axId val="1405432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5414159"/>
        <c:crosses val="autoZero"/>
        <c:auto val="1"/>
        <c:lblAlgn val="ctr"/>
        <c:lblOffset val="100"/>
        <c:noMultiLvlLbl val="0"/>
      </c:catAx>
      <c:valAx>
        <c:axId val="1405414159"/>
        <c:scaling>
          <c:orientation val="minMax"/>
        </c:scaling>
        <c:delete val="0"/>
        <c:axPos val="b"/>
        <c:numFmt formatCode="0.0\ %" sourceLinked="0"/>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05432879"/>
        <c:crosses val="autoZero"/>
        <c:crossBetween val="between"/>
      </c:valAx>
      <c:spPr>
        <a:noFill/>
        <a:ln>
          <a:noFill/>
        </a:ln>
        <a:effectLst/>
      </c:spPr>
    </c:plotArea>
    <c:legend>
      <c:legendPos val="b"/>
      <c:layout>
        <c:manualLayout>
          <c:xMode val="edge"/>
          <c:yMode val="edge"/>
          <c:x val="0.79159081649089891"/>
          <c:y val="0.80573090940319581"/>
          <c:w val="0.16290722684935141"/>
          <c:h val="0.10040803181810863"/>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245D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'2.12'!$B$2:$B$4</c:f>
              <c:strCache>
                <c:ptCount val="3"/>
                <c:pt idx="0">
                  <c:v>2020</c:v>
                </c:pt>
                <c:pt idx="1">
                  <c:v>2015</c:v>
                </c:pt>
                <c:pt idx="2">
                  <c:v>2010</c:v>
                </c:pt>
              </c:strCache>
            </c:strRef>
          </c:cat>
          <c:val>
            <c:numRef>
              <c:f>'2.12'!$C$2:$C$4</c:f>
              <c:numCache>
                <c:formatCode>General</c:formatCode>
                <c:ptCount val="3"/>
                <c:pt idx="0">
                  <c:v>0.57000000000000006</c:v>
                </c:pt>
                <c:pt idx="1">
                  <c:v>0.72</c:v>
                </c:pt>
                <c:pt idx="2">
                  <c:v>0.61</c:v>
                </c:pt>
              </c:numCache>
            </c:numRef>
          </c:val>
          <c:extLst>
            <c:ext xmlns:c16="http://schemas.microsoft.com/office/drawing/2014/chart" uri="{C3380CC4-5D6E-409C-BE32-E72D297353CC}">
              <c16:uniqueId val="{00000000-DD5C-4158-B7BF-FC174C5B904A}"/>
            </c:ext>
          </c:extLst>
        </c:ser>
        <c:dLbls>
          <c:showLegendKey val="0"/>
          <c:showVal val="0"/>
          <c:showCatName val="0"/>
          <c:showSerName val="0"/>
          <c:showPercent val="0"/>
          <c:showBubbleSize val="0"/>
        </c:dLbls>
        <c:gapWidth val="38"/>
        <c:axId val="1898781919"/>
        <c:axId val="1898784831"/>
      </c:barChart>
      <c:catAx>
        <c:axId val="18987819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98784831"/>
        <c:crosses val="autoZero"/>
        <c:auto val="1"/>
        <c:lblAlgn val="ctr"/>
        <c:lblOffset val="100"/>
        <c:noMultiLvlLbl val="0"/>
      </c:catAx>
      <c:valAx>
        <c:axId val="1898784831"/>
        <c:scaling>
          <c:orientation val="minMax"/>
        </c:scaling>
        <c:delete val="0"/>
        <c:axPos val="b"/>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898781919"/>
        <c:crosses val="autoZero"/>
        <c:crossBetween val="between"/>
      </c:valAx>
      <c:spPr>
        <a:noFill/>
        <a:ln>
          <a:solidFill>
            <a:schemeClr val="bg1">
              <a:lumMod val="7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88197914889123"/>
          <c:y val="2.2259321090706732E-2"/>
          <c:w val="0.84839423709807182"/>
          <c:h val="0.95325542570951582"/>
        </c:manualLayout>
      </c:layout>
      <c:barChart>
        <c:barDir val="bar"/>
        <c:grouping val="clustered"/>
        <c:varyColors val="0"/>
        <c:ser>
          <c:idx val="0"/>
          <c:order val="0"/>
          <c:spPr>
            <a:solidFill>
              <a:schemeClr val="accent1">
                <a:lumMod val="60000"/>
                <a:lumOff val="40000"/>
              </a:schemeClr>
            </a:solidFill>
            <a:ln>
              <a:noFill/>
            </a:ln>
            <a:effectLst/>
          </c:spPr>
          <c:invertIfNegative val="0"/>
          <c:dPt>
            <c:idx val="12"/>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1-4BEE-4552-A293-44DCD8696E16}"/>
              </c:ext>
            </c:extLst>
          </c:dPt>
          <c:dPt>
            <c:idx val="19"/>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3-4BEE-4552-A293-44DCD8696E16}"/>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'2.13'!$B$2:$B$31</c:f>
              <c:strCache>
                <c:ptCount val="30"/>
                <c:pt idx="0">
                  <c:v>Dánsko</c:v>
                </c:pt>
                <c:pt idx="1">
                  <c:v>Španělsko</c:v>
                </c:pt>
                <c:pt idx="2">
                  <c:v>Srbsko</c:v>
                </c:pt>
                <c:pt idx="3">
                  <c:v>Řecko</c:v>
                </c:pt>
                <c:pt idx="4">
                  <c:v>Lotyšsko</c:v>
                </c:pt>
                <c:pt idx="5">
                  <c:v>Finsko</c:v>
                </c:pt>
                <c:pt idx="6">
                  <c:v>Rakousko</c:v>
                </c:pt>
                <c:pt idx="7">
                  <c:v>Kypr</c:v>
                </c:pt>
                <c:pt idx="8">
                  <c:v>Litva</c:v>
                </c:pt>
                <c:pt idx="9">
                  <c:v>Chorvatsko</c:v>
                </c:pt>
                <c:pt idx="10">
                  <c:v>Polsko</c:v>
                </c:pt>
                <c:pt idx="11">
                  <c:v>Bulharsko</c:v>
                </c:pt>
                <c:pt idx="12">
                  <c:v>Česko</c:v>
                </c:pt>
                <c:pt idx="13">
                  <c:v>Estonsko</c:v>
                </c:pt>
                <c:pt idx="14">
                  <c:v>Maďarsko</c:v>
                </c:pt>
                <c:pt idx="15">
                  <c:v>Slovensko</c:v>
                </c:pt>
                <c:pt idx="16">
                  <c:v>Belgie</c:v>
                </c:pt>
                <c:pt idx="17">
                  <c:v>Malta</c:v>
                </c:pt>
                <c:pt idx="18">
                  <c:v>Portugalsko</c:v>
                </c:pt>
                <c:pt idx="19">
                  <c:v>EU 27</c:v>
                </c:pt>
                <c:pt idx="20">
                  <c:v>Slovinsko</c:v>
                </c:pt>
                <c:pt idx="21">
                  <c:v>Francie</c:v>
                </c:pt>
                <c:pt idx="22">
                  <c:v>Rumunsko</c:v>
                </c:pt>
                <c:pt idx="23">
                  <c:v>Švédsko</c:v>
                </c:pt>
                <c:pt idx="24">
                  <c:v>Norsko</c:v>
                </c:pt>
                <c:pt idx="25">
                  <c:v>Německo</c:v>
                </c:pt>
                <c:pt idx="26">
                  <c:v>Lucembursko</c:v>
                </c:pt>
                <c:pt idx="27">
                  <c:v>Itálie</c:v>
                </c:pt>
                <c:pt idx="28">
                  <c:v>Irsko</c:v>
                </c:pt>
                <c:pt idx="29">
                  <c:v>Nizozemsko</c:v>
                </c:pt>
              </c:strCache>
            </c:strRef>
          </c:cat>
          <c:val>
            <c:numRef>
              <c:f>'2.13'!$C$2:$C$31</c:f>
              <c:numCache>
                <c:formatCode>#\ ##0.0</c:formatCode>
                <c:ptCount val="30"/>
                <c:pt idx="0">
                  <c:v>2.5</c:v>
                </c:pt>
                <c:pt idx="1">
                  <c:v>3</c:v>
                </c:pt>
                <c:pt idx="2">
                  <c:v>3.7</c:v>
                </c:pt>
                <c:pt idx="3">
                  <c:v>3.8</c:v>
                </c:pt>
                <c:pt idx="4">
                  <c:v>4.0999999999999996</c:v>
                </c:pt>
                <c:pt idx="5">
                  <c:v>5</c:v>
                </c:pt>
                <c:pt idx="6">
                  <c:v>5.0999999999999996</c:v>
                </c:pt>
                <c:pt idx="7">
                  <c:v>5.2</c:v>
                </c:pt>
                <c:pt idx="8">
                  <c:v>5.3</c:v>
                </c:pt>
                <c:pt idx="9">
                  <c:v>5.5</c:v>
                </c:pt>
                <c:pt idx="10">
                  <c:v>5.5</c:v>
                </c:pt>
                <c:pt idx="11">
                  <c:v>5.7</c:v>
                </c:pt>
                <c:pt idx="12">
                  <c:v>5.7</c:v>
                </c:pt>
                <c:pt idx="13">
                  <c:v>5.9</c:v>
                </c:pt>
                <c:pt idx="14">
                  <c:v>6.3</c:v>
                </c:pt>
                <c:pt idx="15">
                  <c:v>6.9</c:v>
                </c:pt>
                <c:pt idx="16">
                  <c:v>7.5</c:v>
                </c:pt>
                <c:pt idx="17">
                  <c:v>7.6</c:v>
                </c:pt>
                <c:pt idx="18">
                  <c:v>7.6</c:v>
                </c:pt>
                <c:pt idx="19">
                  <c:v>7.7</c:v>
                </c:pt>
                <c:pt idx="20">
                  <c:v>7.8</c:v>
                </c:pt>
                <c:pt idx="21">
                  <c:v>8.1</c:v>
                </c:pt>
                <c:pt idx="22">
                  <c:v>8.1</c:v>
                </c:pt>
                <c:pt idx="23">
                  <c:v>8.3000000000000007</c:v>
                </c:pt>
                <c:pt idx="24">
                  <c:v>9.6999999999999993</c:v>
                </c:pt>
                <c:pt idx="25">
                  <c:v>10.1</c:v>
                </c:pt>
                <c:pt idx="26">
                  <c:v>10.3</c:v>
                </c:pt>
                <c:pt idx="27">
                  <c:v>10.5</c:v>
                </c:pt>
                <c:pt idx="28">
                  <c:v>11.4</c:v>
                </c:pt>
                <c:pt idx="29">
                  <c:v>11.8</c:v>
                </c:pt>
              </c:numCache>
            </c:numRef>
          </c:val>
          <c:extLst>
            <c:ext xmlns:c16="http://schemas.microsoft.com/office/drawing/2014/chart" uri="{C3380CC4-5D6E-409C-BE32-E72D297353CC}">
              <c16:uniqueId val="{00000004-4BEE-4552-A293-44DCD8696E16}"/>
            </c:ext>
          </c:extLst>
        </c:ser>
        <c:dLbls>
          <c:showLegendKey val="0"/>
          <c:showVal val="0"/>
          <c:showCatName val="0"/>
          <c:showSerName val="0"/>
          <c:showPercent val="0"/>
          <c:showBubbleSize val="0"/>
        </c:dLbls>
        <c:gapWidth val="26"/>
        <c:axId val="2040799327"/>
        <c:axId val="2040799743"/>
      </c:barChart>
      <c:catAx>
        <c:axId val="2040799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0799743"/>
        <c:crosses val="autoZero"/>
        <c:auto val="1"/>
        <c:lblAlgn val="ctr"/>
        <c:lblOffset val="100"/>
        <c:noMultiLvlLbl val="0"/>
      </c:catAx>
      <c:valAx>
        <c:axId val="2040799743"/>
        <c:scaling>
          <c:orientation val="minMax"/>
        </c:scaling>
        <c:delete val="0"/>
        <c:axPos val="b"/>
        <c:numFmt formatCode="#,##0"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0799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48111770943492"/>
          <c:y val="3.5341365461847386E-2"/>
          <c:w val="0.46693850856949576"/>
          <c:h val="0.93638426344247938"/>
        </c:manualLayout>
      </c:layout>
      <c:barChart>
        <c:barDir val="bar"/>
        <c:grouping val="clustered"/>
        <c:varyColors val="0"/>
        <c:ser>
          <c:idx val="0"/>
          <c:order val="0"/>
          <c:tx>
            <c:strRef>
              <c:f>List20!$B$1</c:f>
              <c:strCache>
                <c:ptCount val="1"/>
                <c:pt idx="0">
                  <c:v>stěžejní dovednosti pro rozvoj podniku</c:v>
                </c:pt>
              </c:strCache>
            </c:strRef>
          </c:tx>
          <c:spPr>
            <a:solidFill>
              <a:srgbClr val="7FB0DD"/>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List20!$A$2:$A$14</c:f>
              <c:strCache>
                <c:ptCount val="13"/>
                <c:pt idx="0">
                  <c:v>běžná orientace v textu a/nebo v početních operacích </c:v>
                </c:pt>
                <c:pt idx="1">
                  <c:v>odborné dovednosti v oblasti matematiky a statistiky</c:v>
                </c:pt>
                <c:pt idx="2">
                  <c:v>vedení administrativy</c:v>
                </c:pt>
                <c:pt idx="3">
                  <c:v>řešení problémů či obtížných úkolů</c:v>
                </c:pt>
                <c:pt idx="4">
                  <c:v>běžné užívání informačních technologií </c:v>
                </c:pt>
                <c:pt idx="5">
                  <c:v>schopnost týmové práce </c:v>
                </c:pt>
                <c:pt idx="6">
                  <c:v>odborná práce s informačními technologiemi</c:v>
                </c:pt>
                <c:pt idx="7">
                  <c:v>komunikační dovednosti </c:v>
                </c:pt>
                <c:pt idx="8">
                  <c:v>jednání se zákazníky</c:v>
                </c:pt>
                <c:pt idx="9">
                  <c:v>manažerské dovednosti </c:v>
                </c:pt>
                <c:pt idx="10">
                  <c:v>znalost cizích jazyků</c:v>
                </c:pt>
                <c:pt idx="11">
                  <c:v>jiné specifické dovednosti související s výkonem konkrétního povolání v podniku</c:v>
                </c:pt>
                <c:pt idx="12">
                  <c:v>specifické technické a inženýrské dovednosti související 
s výkonem konkrétního povolání v podniku</c:v>
                </c:pt>
              </c:strCache>
            </c:strRef>
          </c:cat>
          <c:val>
            <c:numRef>
              <c:f>List20!$B$2:$B$14</c:f>
              <c:numCache>
                <c:formatCode>0.0%</c:formatCode>
                <c:ptCount val="13"/>
                <c:pt idx="0">
                  <c:v>0.14844568819699999</c:v>
                </c:pt>
                <c:pt idx="1">
                  <c:v>6.6195123160000006E-3</c:v>
                </c:pt>
                <c:pt idx="2">
                  <c:v>7.7432687104000003E-2</c:v>
                </c:pt>
                <c:pt idx="3">
                  <c:v>0.24478905241700002</c:v>
                </c:pt>
                <c:pt idx="4">
                  <c:v>0.27277878164800001</c:v>
                </c:pt>
                <c:pt idx="5">
                  <c:v>0.40268385380900001</c:v>
                </c:pt>
                <c:pt idx="6">
                  <c:v>6.0215935112999996E-2</c:v>
                </c:pt>
                <c:pt idx="7">
                  <c:v>0.21784998351100002</c:v>
                </c:pt>
                <c:pt idx="8">
                  <c:v>0.35232760437400001</c:v>
                </c:pt>
                <c:pt idx="9">
                  <c:v>0.132043159834</c:v>
                </c:pt>
                <c:pt idx="10">
                  <c:v>0.13415168257499999</c:v>
                </c:pt>
                <c:pt idx="11">
                  <c:v>0.27362614908800004</c:v>
                </c:pt>
                <c:pt idx="12">
                  <c:v>0.20742520100600001</c:v>
                </c:pt>
              </c:numCache>
            </c:numRef>
          </c:val>
          <c:extLst>
            <c:ext xmlns:c16="http://schemas.microsoft.com/office/drawing/2014/chart" uri="{C3380CC4-5D6E-409C-BE32-E72D297353CC}">
              <c16:uniqueId val="{00000000-B109-4662-B3E4-4AA01D8D277D}"/>
            </c:ext>
          </c:extLst>
        </c:ser>
        <c:ser>
          <c:idx val="1"/>
          <c:order val="1"/>
          <c:tx>
            <c:strRef>
              <c:f>List20!$C$1</c:f>
              <c:strCache>
                <c:ptCount val="1"/>
                <c:pt idx="0">
                  <c:v>hlavní témata nepovinných kurzů/školení</c:v>
                </c:pt>
              </c:strCache>
            </c:strRef>
          </c:tx>
          <c:spPr>
            <a:solidFill>
              <a:srgbClr val="C0000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List20!$A$2:$A$14</c:f>
              <c:strCache>
                <c:ptCount val="13"/>
                <c:pt idx="0">
                  <c:v>běžná orientace v textu a/nebo v početních operacích </c:v>
                </c:pt>
                <c:pt idx="1">
                  <c:v>odborné dovednosti v oblasti matematiky a statistiky</c:v>
                </c:pt>
                <c:pt idx="2">
                  <c:v>vedení administrativy</c:v>
                </c:pt>
                <c:pt idx="3">
                  <c:v>řešení problémů či obtížných úkolů</c:v>
                </c:pt>
                <c:pt idx="4">
                  <c:v>běžné užívání informačních technologií </c:v>
                </c:pt>
                <c:pt idx="5">
                  <c:v>schopnost týmové práce </c:v>
                </c:pt>
                <c:pt idx="6">
                  <c:v>odborná práce s informačními technologiemi</c:v>
                </c:pt>
                <c:pt idx="7">
                  <c:v>komunikační dovednosti </c:v>
                </c:pt>
                <c:pt idx="8">
                  <c:v>jednání se zákazníky</c:v>
                </c:pt>
                <c:pt idx="9">
                  <c:v>manažerské dovednosti </c:v>
                </c:pt>
                <c:pt idx="10">
                  <c:v>znalost cizích jazyků</c:v>
                </c:pt>
                <c:pt idx="11">
                  <c:v>jiné specifické dovednosti související s výkonem konkrétního povolání v podniku</c:v>
                </c:pt>
                <c:pt idx="12">
                  <c:v>specifické technické a inženýrské dovednosti související 
s výkonem konkrétního povolání v podniku</c:v>
                </c:pt>
              </c:strCache>
            </c:strRef>
          </c:cat>
          <c:val>
            <c:numRef>
              <c:f>List20!$C$2:$C$14</c:f>
              <c:numCache>
                <c:formatCode>0.0%</c:formatCode>
                <c:ptCount val="13"/>
                <c:pt idx="0">
                  <c:v>1.6989377548999998E-2</c:v>
                </c:pt>
                <c:pt idx="1">
                  <c:v>1.8956460577000001E-2</c:v>
                </c:pt>
                <c:pt idx="2">
                  <c:v>8.1282243663999998E-2</c:v>
                </c:pt>
                <c:pt idx="3">
                  <c:v>9.0983262942000001E-2</c:v>
                </c:pt>
                <c:pt idx="4">
                  <c:v>9.1467699777999997E-2</c:v>
                </c:pt>
                <c:pt idx="5">
                  <c:v>9.3651241967000004E-2</c:v>
                </c:pt>
                <c:pt idx="6">
                  <c:v>9.5715190813000006E-2</c:v>
                </c:pt>
                <c:pt idx="7">
                  <c:v>0.112195171355</c:v>
                </c:pt>
                <c:pt idx="8">
                  <c:v>0.11675174952800001</c:v>
                </c:pt>
                <c:pt idx="9">
                  <c:v>0.13704444723100001</c:v>
                </c:pt>
                <c:pt idx="10">
                  <c:v>0.25390489621400003</c:v>
                </c:pt>
                <c:pt idx="11">
                  <c:v>0.547674401511</c:v>
                </c:pt>
                <c:pt idx="12">
                  <c:v>0.26780799936499999</c:v>
                </c:pt>
              </c:numCache>
            </c:numRef>
          </c:val>
          <c:extLst>
            <c:ext xmlns:c16="http://schemas.microsoft.com/office/drawing/2014/chart" uri="{C3380CC4-5D6E-409C-BE32-E72D297353CC}">
              <c16:uniqueId val="{00000001-B109-4662-B3E4-4AA01D8D277D}"/>
            </c:ext>
          </c:extLst>
        </c:ser>
        <c:dLbls>
          <c:showLegendKey val="0"/>
          <c:showVal val="0"/>
          <c:showCatName val="0"/>
          <c:showSerName val="0"/>
          <c:showPercent val="0"/>
          <c:showBubbleSize val="0"/>
        </c:dLbls>
        <c:gapWidth val="32"/>
        <c:axId val="1586262976"/>
        <c:axId val="1586269632"/>
      </c:barChart>
      <c:catAx>
        <c:axId val="158626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86269632"/>
        <c:crosses val="autoZero"/>
        <c:auto val="1"/>
        <c:lblAlgn val="ctr"/>
        <c:lblOffset val="100"/>
        <c:noMultiLvlLbl val="0"/>
      </c:catAx>
      <c:valAx>
        <c:axId val="1586269632"/>
        <c:scaling>
          <c:orientation val="minMax"/>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86262976"/>
        <c:crosses val="autoZero"/>
        <c:crossBetween val="between"/>
      </c:valAx>
      <c:spPr>
        <a:noFill/>
        <a:ln>
          <a:noFill/>
        </a:ln>
        <a:effectLst/>
      </c:spPr>
    </c:plotArea>
    <c:legend>
      <c:legendPos val="b"/>
      <c:layout>
        <c:manualLayout>
          <c:xMode val="edge"/>
          <c:yMode val="edge"/>
          <c:x val="0.7391130164891635"/>
          <c:y val="0.71612889421431014"/>
          <c:w val="0.25812325721375312"/>
          <c:h val="0.1910875271025904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10872808257339"/>
          <c:y val="3.657522859517872E-2"/>
          <c:w val="0.47780292248694062"/>
          <c:h val="0.93535903250188968"/>
        </c:manualLayout>
      </c:layout>
      <c:barChart>
        <c:barDir val="bar"/>
        <c:grouping val="clustered"/>
        <c:varyColors val="0"/>
        <c:ser>
          <c:idx val="0"/>
          <c:order val="0"/>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'4.1'!$B$3:$B$12</c:f>
              <c:strCache>
                <c:ptCount val="10"/>
                <c:pt idx="0">
                  <c:v>Jiné důvody k omezení vzdělávání zaměstnanců</c:v>
                </c:pt>
                <c:pt idx="1">
                  <c:v>Potíže s identifikací vzdělávacích potřeb zaměstnanců v rámci podniku</c:v>
                </c:pt>
                <c:pt idx="2">
                  <c:v>Zaměření se spíše na podporu počátečního odborného vzdělání než na vzdělávání zaměstnanců</c:v>
                </c:pt>
                <c:pt idx="3">
                  <c:v>Pro podnik nevyhovující dostupná nabídka vzdělávání</c:v>
                </c:pt>
                <c:pt idx="4">
                  <c:v>Velký důraz podniku na vzdělávání zaměstnanců v předchozích letech</c:v>
                </c:pt>
                <c:pt idx="5">
                  <c:v>Příliš vysoké náklady na vzdělávání zaměstnanců</c:v>
                </c:pt>
                <c:pt idx="6">
                  <c:v>Vysoké pracovní zatížení zaměstnanců a nedostatek času na vzdělávání</c:v>
                </c:pt>
                <c:pt idx="7">
                  <c:v>Upřednostňování přijímání nových kvalifikovaných, resp. schopných pracovníků před poskytováním vzdělávání pro stávající zaměstnance</c:v>
                </c:pt>
                <c:pt idx="8">
                  <c:v>Překážky souvisené s pandemií onemocnění COVID-19</c:v>
                </c:pt>
                <c:pt idx="9">
                  <c:v>Kvalifikace a dovednosti zaměstnanců považovány za dostačující</c:v>
                </c:pt>
              </c:strCache>
            </c:strRef>
          </c:cat>
          <c:val>
            <c:numRef>
              <c:f>'4.1'!$C$3:$C$12</c:f>
              <c:numCache>
                <c:formatCode>0.0%</c:formatCode>
                <c:ptCount val="10"/>
                <c:pt idx="0">
                  <c:v>0.27872031602500003</c:v>
                </c:pt>
                <c:pt idx="1">
                  <c:v>5.2435943620000001E-3</c:v>
                </c:pt>
                <c:pt idx="2">
                  <c:v>7.3254929879999998E-3</c:v>
                </c:pt>
                <c:pt idx="3">
                  <c:v>1.0515030117E-2</c:v>
                </c:pt>
                <c:pt idx="4">
                  <c:v>1.1756329941999998E-2</c:v>
                </c:pt>
                <c:pt idx="5">
                  <c:v>3.3917569368999999E-2</c:v>
                </c:pt>
                <c:pt idx="6">
                  <c:v>3.9469305327E-2</c:v>
                </c:pt>
                <c:pt idx="7">
                  <c:v>4.2900926761999997E-2</c:v>
                </c:pt>
                <c:pt idx="8">
                  <c:v>0.22310511546200001</c:v>
                </c:pt>
                <c:pt idx="9">
                  <c:v>0.53335277200800002</c:v>
                </c:pt>
              </c:numCache>
            </c:numRef>
          </c:val>
          <c:extLst>
            <c:ext xmlns:c16="http://schemas.microsoft.com/office/drawing/2014/chart" uri="{C3380CC4-5D6E-409C-BE32-E72D297353CC}">
              <c16:uniqueId val="{00000000-3EAA-43B6-A2FE-F71D66DA9A56}"/>
            </c:ext>
          </c:extLst>
        </c:ser>
        <c:dLbls>
          <c:showLegendKey val="0"/>
          <c:showVal val="0"/>
          <c:showCatName val="0"/>
          <c:showSerName val="0"/>
          <c:showPercent val="0"/>
          <c:showBubbleSize val="0"/>
        </c:dLbls>
        <c:gapWidth val="32"/>
        <c:axId val="1985601408"/>
        <c:axId val="1985611808"/>
      </c:barChart>
      <c:catAx>
        <c:axId val="198560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611808"/>
        <c:crosses val="autoZero"/>
        <c:auto val="1"/>
        <c:lblAlgn val="ctr"/>
        <c:lblOffset val="100"/>
        <c:noMultiLvlLbl val="0"/>
      </c:catAx>
      <c:valAx>
        <c:axId val="1985611808"/>
        <c:scaling>
          <c:orientation val="minMax"/>
        </c:scaling>
        <c:delete val="0"/>
        <c:axPos val="b"/>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60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28306878306876"/>
          <c:y val="1.2384243108851896E-2"/>
          <c:w val="0.61230042989417977"/>
          <c:h val="0.95918579797778447"/>
        </c:manualLayout>
      </c:layout>
      <c:barChart>
        <c:barDir val="bar"/>
        <c:grouping val="clustered"/>
        <c:varyColors val="0"/>
        <c:ser>
          <c:idx val="0"/>
          <c:order val="0"/>
          <c:tx>
            <c:strRef>
              <c:f>'1.3'!$C$3</c:f>
              <c:strCache>
                <c:ptCount val="1"/>
                <c:pt idx="0">
                  <c:v>externí povinné kurzy BOZP a PO</c:v>
                </c:pt>
              </c:strCache>
            </c:strRef>
          </c:tx>
          <c:spPr>
            <a:solidFill>
              <a:srgbClr val="C00000"/>
            </a:solidFill>
            <a:ln>
              <a:noFill/>
            </a:ln>
            <a:effectLst/>
          </c:spPr>
          <c:invertIfNegative val="0"/>
          <c:dLbls>
            <c:dLbl>
              <c:idx val="13"/>
              <c:delete val="1"/>
              <c:extLst>
                <c:ext xmlns:c15="http://schemas.microsoft.com/office/drawing/2012/chart" uri="{CE6537A1-D6FC-4f65-9D91-7224C49458BB}"/>
                <c:ext xmlns:c16="http://schemas.microsoft.com/office/drawing/2014/chart" uri="{C3380CC4-5D6E-409C-BE32-E72D297353CC}">
                  <c16:uniqueId val="{00000000-05EC-4CD7-ACC2-45CA42C70BBD}"/>
                </c:ext>
              </c:extLst>
            </c:dLbl>
            <c:numFmt formatCode="0\ %" sourceLinked="0"/>
            <c:spPr>
              <a:solidFill>
                <a:schemeClr val="accent2">
                  <a:lumMod val="40000"/>
                  <a:lumOff val="60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'1.3'!$B$4:$B$23</c:f>
              <c:strCache>
                <c:ptCount val="20"/>
                <c:pt idx="0">
                  <c:v>Ubytování, stravování a pohostinství</c:v>
                </c:pt>
                <c:pt idx="1">
                  <c:v>Činn. v oblasti nemovitostí a administrativy</c:v>
                </c:pt>
                <c:pt idx="2">
                  <c:v>Kulturní, zábavní a rekreační činnosti </c:v>
                </c:pt>
                <c:pt idx="3">
                  <c:v>Doprava a skladování</c:v>
                </c:pt>
                <c:pt idx="4">
                  <c:v>Stavebnictví</c:v>
                </c:pt>
                <c:pt idx="5">
                  <c:v>Obchod, opravy motor. vozidel</c:v>
                </c:pt>
                <c:pt idx="6">
                  <c:v>Průmysl </c:v>
                </c:pt>
                <c:pt idx="7">
                  <c:v>Profesní, vědecké a technické činnosti</c:v>
                </c:pt>
                <c:pt idx="8">
                  <c:v>Informační a komunikační činnosti </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'1.3'!$C$4:$C$23</c:f>
              <c:numCache>
                <c:formatCode>0%</c:formatCode>
                <c:ptCount val="20"/>
                <c:pt idx="0">
                  <c:v>0.31334432715599997</c:v>
                </c:pt>
                <c:pt idx="1">
                  <c:v>0.37426466973300004</c:v>
                </c:pt>
                <c:pt idx="2">
                  <c:v>0.45247660859100003</c:v>
                </c:pt>
                <c:pt idx="3">
                  <c:v>0.66028170879499992</c:v>
                </c:pt>
                <c:pt idx="4">
                  <c:v>0.68374058697500006</c:v>
                </c:pt>
                <c:pt idx="5">
                  <c:v>0.55287864119300001</c:v>
                </c:pt>
                <c:pt idx="6">
                  <c:v>0.641257205484</c:v>
                </c:pt>
                <c:pt idx="7">
                  <c:v>0.59518697629600004</c:v>
                </c:pt>
                <c:pt idx="8">
                  <c:v>0.57016334310499994</c:v>
                </c:pt>
                <c:pt idx="9">
                  <c:v>0.56290168517100003</c:v>
                </c:pt>
                <c:pt idx="11">
                  <c:v>0.65933612965799993</c:v>
                </c:pt>
                <c:pt idx="12">
                  <c:v>0.56323973329499999</c:v>
                </c:pt>
                <c:pt idx="13">
                  <c:v>0</c:v>
                </c:pt>
                <c:pt idx="14">
                  <c:v>0.74700745890300002</c:v>
                </c:pt>
                <c:pt idx="15">
                  <c:v>0.6641806469949999</c:v>
                </c:pt>
                <c:pt idx="16">
                  <c:v>0.62515812934199999</c:v>
                </c:pt>
                <c:pt idx="17">
                  <c:v>0.49724568068400005</c:v>
                </c:pt>
                <c:pt idx="19">
                  <c:v>0.57739958969500005</c:v>
                </c:pt>
              </c:numCache>
            </c:numRef>
          </c:val>
          <c:extLst>
            <c:ext xmlns:c16="http://schemas.microsoft.com/office/drawing/2014/chart" uri="{C3380CC4-5D6E-409C-BE32-E72D297353CC}">
              <c16:uniqueId val="{00000001-05EC-4CD7-ACC2-45CA42C70BBD}"/>
            </c:ext>
          </c:extLst>
        </c:ser>
        <c:ser>
          <c:idx val="1"/>
          <c:order val="1"/>
          <c:tx>
            <c:strRef>
              <c:f>'1.3'!$D$3</c:f>
              <c:strCache>
                <c:ptCount val="1"/>
                <c:pt idx="0">
                  <c:v> externí nepovinné kurzy/školení</c:v>
                </c:pt>
              </c:strCache>
            </c:strRef>
          </c:tx>
          <c:spPr>
            <a:solidFill>
              <a:srgbClr val="00B050"/>
            </a:solidFill>
            <a:ln>
              <a:noFill/>
            </a:ln>
            <a:effectLst/>
          </c:spPr>
          <c:invertIfNegative val="0"/>
          <c:dLbls>
            <c:dLbl>
              <c:idx val="13"/>
              <c:delete val="1"/>
              <c:extLst>
                <c:ext xmlns:c15="http://schemas.microsoft.com/office/drawing/2012/chart" uri="{CE6537A1-D6FC-4f65-9D91-7224C49458BB}"/>
                <c:ext xmlns:c16="http://schemas.microsoft.com/office/drawing/2014/chart" uri="{C3380CC4-5D6E-409C-BE32-E72D297353CC}">
                  <c16:uniqueId val="{00000002-05EC-4CD7-ACC2-45CA42C70BBD}"/>
                </c:ext>
              </c:extLst>
            </c:dLbl>
            <c:numFmt formatCode="0\ %" sourceLinked="0"/>
            <c:spPr>
              <a:solidFill>
                <a:schemeClr val="accent3">
                  <a:lumMod val="40000"/>
                  <a:lumOff val="60000"/>
                </a:scheme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'1.3'!$B$4:$B$23</c:f>
              <c:strCache>
                <c:ptCount val="20"/>
                <c:pt idx="0">
                  <c:v>Ubytování, stravování a pohostinství</c:v>
                </c:pt>
                <c:pt idx="1">
                  <c:v>Činn. v oblasti nemovitostí a administrativy</c:v>
                </c:pt>
                <c:pt idx="2">
                  <c:v>Kulturní, zábavní a rekreační činnosti </c:v>
                </c:pt>
                <c:pt idx="3">
                  <c:v>Doprava a skladování</c:v>
                </c:pt>
                <c:pt idx="4">
                  <c:v>Stavebnictví</c:v>
                </c:pt>
                <c:pt idx="5">
                  <c:v>Obchod, opravy motor. vozidel</c:v>
                </c:pt>
                <c:pt idx="6">
                  <c:v>Průmysl </c:v>
                </c:pt>
                <c:pt idx="7">
                  <c:v>Profesní, vědecké a technické činnosti</c:v>
                </c:pt>
                <c:pt idx="8">
                  <c:v>Informační a komunikační činnosti </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'1.3'!$D$4:$D$23</c:f>
              <c:numCache>
                <c:formatCode>0%</c:formatCode>
                <c:ptCount val="20"/>
                <c:pt idx="0">
                  <c:v>0.118829914861</c:v>
                </c:pt>
                <c:pt idx="1">
                  <c:v>0.23651568844500001</c:v>
                </c:pt>
                <c:pt idx="2">
                  <c:v>0.288817242694</c:v>
                </c:pt>
                <c:pt idx="3">
                  <c:v>0.29186880040999996</c:v>
                </c:pt>
                <c:pt idx="4">
                  <c:v>0.35148008905600003</c:v>
                </c:pt>
                <c:pt idx="5">
                  <c:v>0.36682640983200004</c:v>
                </c:pt>
                <c:pt idx="6">
                  <c:v>0.45087457483000004</c:v>
                </c:pt>
                <c:pt idx="7">
                  <c:v>0.56008263629900001</c:v>
                </c:pt>
                <c:pt idx="8">
                  <c:v>0.64386005782200006</c:v>
                </c:pt>
                <c:pt idx="9">
                  <c:v>0.67160112752200007</c:v>
                </c:pt>
                <c:pt idx="11">
                  <c:v>0.62543351404500003</c:v>
                </c:pt>
                <c:pt idx="12">
                  <c:v>0.34778007138400002</c:v>
                </c:pt>
                <c:pt idx="13">
                  <c:v>0</c:v>
                </c:pt>
                <c:pt idx="14">
                  <c:v>0.83058687526200004</c:v>
                </c:pt>
                <c:pt idx="15">
                  <c:v>0.611468915191</c:v>
                </c:pt>
                <c:pt idx="16">
                  <c:v>0.36852452939400004</c:v>
                </c:pt>
                <c:pt idx="17">
                  <c:v>0.27873073439199997</c:v>
                </c:pt>
                <c:pt idx="19">
                  <c:v>0.38869245754700005</c:v>
                </c:pt>
              </c:numCache>
            </c:numRef>
          </c:val>
          <c:extLst>
            <c:ext xmlns:c16="http://schemas.microsoft.com/office/drawing/2014/chart" uri="{C3380CC4-5D6E-409C-BE32-E72D297353CC}">
              <c16:uniqueId val="{00000003-05EC-4CD7-ACC2-45CA42C70BBD}"/>
            </c:ext>
          </c:extLst>
        </c:ser>
        <c:dLbls>
          <c:showLegendKey val="0"/>
          <c:showVal val="0"/>
          <c:showCatName val="0"/>
          <c:showSerName val="0"/>
          <c:showPercent val="0"/>
          <c:showBubbleSize val="0"/>
        </c:dLbls>
        <c:gapWidth val="45"/>
        <c:axId val="1991118304"/>
        <c:axId val="1991114144"/>
      </c:barChart>
      <c:catAx>
        <c:axId val="1991118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91114144"/>
        <c:crosses val="autoZero"/>
        <c:auto val="1"/>
        <c:lblAlgn val="ctr"/>
        <c:lblOffset val="100"/>
        <c:noMultiLvlLbl val="0"/>
      </c:catAx>
      <c:valAx>
        <c:axId val="1991114144"/>
        <c:scaling>
          <c:orientation val="minMax"/>
          <c:max val="0.9"/>
          <c:min val="0"/>
        </c:scaling>
        <c:delete val="0"/>
        <c:axPos val="b"/>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991118304"/>
        <c:crosses val="autoZero"/>
        <c:crossBetween val="between"/>
      </c:valAx>
      <c:spPr>
        <a:noFill/>
        <a:ln w="6350">
          <a:solidFill>
            <a:sysClr val="window" lastClr="FFFFFF">
              <a:lumMod val="50000"/>
            </a:sysClr>
          </a:solidFill>
        </a:ln>
        <a:effectLst/>
      </c:spPr>
    </c:plotArea>
    <c:legend>
      <c:legendPos val="b"/>
      <c:layout>
        <c:manualLayout>
          <c:xMode val="edge"/>
          <c:yMode val="edge"/>
          <c:x val="0.66466617063492062"/>
          <c:y val="0.89496244939113445"/>
          <c:w val="0.30136144179894181"/>
          <c:h val="7.1435620772291014E-2"/>
        </c:manualLayout>
      </c:layout>
      <c:overlay val="0"/>
      <c:spPr>
        <a:noFill/>
        <a:ln w="6350">
          <a:solidFill>
            <a:sysClr val="window" lastClr="FFFFFF">
              <a:lumMod val="50000"/>
            </a:sysClr>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solidFill>
                <a:srgbClr val="478FD1"/>
              </a:solid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 4.3'!$A$2:$A$21</c:f>
              <c:strCache>
                <c:ptCount val="20"/>
                <c:pt idx="0">
                  <c:v>Peněžnictví a pojišťovnictví</c:v>
                </c:pt>
                <c:pt idx="1">
                  <c:v>Kulturní, zábavní a rekreační činnosti</c:v>
                </c:pt>
                <c:pt idx="2">
                  <c:v>Profesní, vědecké a technické činnosti</c:v>
                </c:pt>
                <c:pt idx="3">
                  <c:v>Doprava a skladování</c:v>
                </c:pt>
                <c:pt idx="4">
                  <c:v>Ubytování, stravování a pohostinství</c:v>
                </c:pt>
                <c:pt idx="5">
                  <c:v>Čin. v oblasti nemovitostí a administrativy</c:v>
                </c:pt>
                <c:pt idx="6">
                  <c:v>Průmysl</c:v>
                </c:pt>
                <c:pt idx="7">
                  <c:v>Obchod; opravy motor. vozidel</c:v>
                </c:pt>
                <c:pt idx="8">
                  <c:v>Stavebnictví</c:v>
                </c:pt>
                <c:pt idx="9">
                  <c:v>Informační a komunikační činnosti</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'4.2, 4.3'!$B$2:$B$21</c:f>
              <c:numCache>
                <c:formatCode>0.0%</c:formatCode>
                <c:ptCount val="20"/>
                <c:pt idx="0">
                  <c:v>0.30076065960199999</c:v>
                </c:pt>
                <c:pt idx="1">
                  <c:v>0.41302974073400001</c:v>
                </c:pt>
                <c:pt idx="2">
                  <c:v>0.44465778274700002</c:v>
                </c:pt>
                <c:pt idx="3">
                  <c:v>0.51060014004800003</c:v>
                </c:pt>
                <c:pt idx="4">
                  <c:v>0.51757301189799998</c:v>
                </c:pt>
                <c:pt idx="5">
                  <c:v>0.52144120876400002</c:v>
                </c:pt>
                <c:pt idx="6">
                  <c:v>0.52194927232799992</c:v>
                </c:pt>
                <c:pt idx="7">
                  <c:v>0.54563357044799998</c:v>
                </c:pt>
                <c:pt idx="8">
                  <c:v>0.68760764007199993</c:v>
                </c:pt>
                <c:pt idx="9">
                  <c:v>0.69577787217099996</c:v>
                </c:pt>
                <c:pt idx="11">
                  <c:v>0.35395139995000002</c:v>
                </c:pt>
                <c:pt idx="12">
                  <c:v>0.54712408928699996</c:v>
                </c:pt>
                <c:pt idx="14">
                  <c:v>0.15493956425800001</c:v>
                </c:pt>
                <c:pt idx="15">
                  <c:v>0.42832799446199998</c:v>
                </c:pt>
                <c:pt idx="16">
                  <c:v>0.50436207327299998</c:v>
                </c:pt>
                <c:pt idx="17">
                  <c:v>0.561948603464</c:v>
                </c:pt>
                <c:pt idx="19">
                  <c:v>0.53335277200800002</c:v>
                </c:pt>
              </c:numCache>
            </c:numRef>
          </c:val>
          <c:extLst>
            <c:ext xmlns:c16="http://schemas.microsoft.com/office/drawing/2014/chart" uri="{C3380CC4-5D6E-409C-BE32-E72D297353CC}">
              <c16:uniqueId val="{00000000-E053-461C-8C18-340C153E9443}"/>
            </c:ext>
          </c:extLst>
        </c:ser>
        <c:dLbls>
          <c:showLegendKey val="0"/>
          <c:showVal val="0"/>
          <c:showCatName val="0"/>
          <c:showSerName val="0"/>
          <c:showPercent val="0"/>
          <c:showBubbleSize val="0"/>
        </c:dLbls>
        <c:gapWidth val="32"/>
        <c:axId val="1985788864"/>
        <c:axId val="1985793024"/>
      </c:barChart>
      <c:catAx>
        <c:axId val="19857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93024"/>
        <c:crosses val="autoZero"/>
        <c:auto val="1"/>
        <c:lblAlgn val="ctr"/>
        <c:lblOffset val="100"/>
        <c:noMultiLvlLbl val="0"/>
      </c:catAx>
      <c:valAx>
        <c:axId val="1985793024"/>
        <c:scaling>
          <c:orientation val="minMax"/>
          <c:max val="1"/>
        </c:scaling>
        <c:delete val="0"/>
        <c:axPos val="b"/>
        <c:numFmt formatCode="0\ %" sourceLinked="0"/>
        <c:majorTickMark val="none"/>
        <c:minorTickMark val="none"/>
        <c:tickLblPos val="none"/>
        <c:spPr>
          <a:noFill/>
          <a:ln>
            <a:solidFill>
              <a:schemeClr val="bg1">
                <a:lumMod val="6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8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8003798049385"/>
          <c:y val="3.759942154736081E-2"/>
          <c:w val="0.51983603526481104"/>
          <c:h val="0.93561343877568459"/>
        </c:manualLayout>
      </c:layout>
      <c:barChart>
        <c:barDir val="bar"/>
        <c:grouping val="clustered"/>
        <c:varyColors val="0"/>
        <c:ser>
          <c:idx val="0"/>
          <c:order val="0"/>
          <c:tx>
            <c:strRef>
              <c:f>'4.2, 4.3'!$B$23</c:f>
              <c:strCache>
                <c:ptCount val="1"/>
                <c:pt idx="0">
                  <c:v>podnik nezajišťoval vzdělávání zaměstnanců z důvodů souvisejících s epidemií onemocnění COVID-19 </c:v>
                </c:pt>
              </c:strCache>
            </c:strRef>
          </c:tx>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'4.2, 4.3'!$A$24:$A$43</c:f>
              <c:strCache>
                <c:ptCount val="20"/>
                <c:pt idx="0">
                  <c:v>Informační a komunikační činnosti</c:v>
                </c:pt>
                <c:pt idx="1">
                  <c:v>Stavebnictví</c:v>
                </c:pt>
                <c:pt idx="2">
                  <c:v>Průmysl</c:v>
                </c:pt>
                <c:pt idx="3">
                  <c:v>Doprava a skladování</c:v>
                </c:pt>
                <c:pt idx="4">
                  <c:v>Obchod; opravy motor. vozidel</c:v>
                </c:pt>
                <c:pt idx="5">
                  <c:v>Čin. v oblasti nemovitostí a administrativy</c:v>
                </c:pt>
                <c:pt idx="6">
                  <c:v>Peněžnictví a pojišťovnictví</c:v>
                </c:pt>
                <c:pt idx="7">
                  <c:v>Ubytování, stravování a pohostinství</c:v>
                </c:pt>
                <c:pt idx="8">
                  <c:v>Profesní, vědecké a technické činnosti</c:v>
                </c:pt>
                <c:pt idx="9">
                  <c:v>Kulturní, zábavní a rekreační činnosti</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'4.2, 4.3'!$B$24:$B$43</c:f>
              <c:numCache>
                <c:formatCode>0.0%</c:formatCode>
                <c:ptCount val="20"/>
                <c:pt idx="0">
                  <c:v>0.118719248791</c:v>
                </c:pt>
                <c:pt idx="1">
                  <c:v>0.13885867413200001</c:v>
                </c:pt>
                <c:pt idx="2">
                  <c:v>0.16423902390199999</c:v>
                </c:pt>
                <c:pt idx="3">
                  <c:v>0.208113983901</c:v>
                </c:pt>
                <c:pt idx="4">
                  <c:v>0.20844315724099999</c:v>
                </c:pt>
                <c:pt idx="5">
                  <c:v>0.228210997561</c:v>
                </c:pt>
                <c:pt idx="6">
                  <c:v>0.25142146216899997</c:v>
                </c:pt>
                <c:pt idx="7">
                  <c:v>0.32270660610399998</c:v>
                </c:pt>
                <c:pt idx="8">
                  <c:v>0.32707120384200006</c:v>
                </c:pt>
                <c:pt idx="9">
                  <c:v>0.36092158210199998</c:v>
                </c:pt>
                <c:pt idx="11">
                  <c:v>0.37748993231799999</c:v>
                </c:pt>
                <c:pt idx="12">
                  <c:v>0.211254134215</c:v>
                </c:pt>
                <c:pt idx="14">
                  <c:v>0.357887372546</c:v>
                </c:pt>
                <c:pt idx="15">
                  <c:v>0.209021515677</c:v>
                </c:pt>
                <c:pt idx="16">
                  <c:v>0.22456038259900002</c:v>
                </c:pt>
                <c:pt idx="17">
                  <c:v>0.22363540069399998</c:v>
                </c:pt>
                <c:pt idx="19">
                  <c:v>0.22310511546200001</c:v>
                </c:pt>
              </c:numCache>
            </c:numRef>
          </c:val>
          <c:extLst>
            <c:ext xmlns:c16="http://schemas.microsoft.com/office/drawing/2014/chart" uri="{C3380CC4-5D6E-409C-BE32-E72D297353CC}">
              <c16:uniqueId val="{00000000-BBB8-4000-90A7-60DBE39F5CBC}"/>
            </c:ext>
          </c:extLst>
        </c:ser>
        <c:dLbls>
          <c:showLegendKey val="0"/>
          <c:showVal val="0"/>
          <c:showCatName val="0"/>
          <c:showSerName val="0"/>
          <c:showPercent val="0"/>
          <c:showBubbleSize val="0"/>
        </c:dLbls>
        <c:gapWidth val="32"/>
        <c:axId val="1985788864"/>
        <c:axId val="1985793024"/>
      </c:barChart>
      <c:catAx>
        <c:axId val="19857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93024"/>
        <c:crosses val="autoZero"/>
        <c:auto val="1"/>
        <c:lblAlgn val="ctr"/>
        <c:lblOffset val="100"/>
        <c:noMultiLvlLbl val="0"/>
      </c:catAx>
      <c:valAx>
        <c:axId val="1985793024"/>
        <c:scaling>
          <c:orientation val="minMax"/>
          <c:max val="1"/>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8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38003798049385"/>
          <c:y val="3.759942154736081E-2"/>
          <c:w val="0.51983603526481104"/>
          <c:h val="0.90958307001212702"/>
        </c:manualLayout>
      </c:layout>
      <c:barChart>
        <c:barDir val="bar"/>
        <c:grouping val="clustered"/>
        <c:varyColors val="0"/>
        <c:ser>
          <c:idx val="0"/>
          <c:order val="0"/>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'5.1'!$A$5:$A$24</c:f>
              <c:strCache>
                <c:ptCount val="20"/>
                <c:pt idx="0">
                  <c:v>Čin. v oblasti nemovitostí a administrativy</c:v>
                </c:pt>
                <c:pt idx="1">
                  <c:v>Doprava a skladování</c:v>
                </c:pt>
                <c:pt idx="2">
                  <c:v>Peněžnictví a pojišťovnictví</c:v>
                </c:pt>
                <c:pt idx="3">
                  <c:v>Kulturní, zábavní a rekreační činnosti</c:v>
                </c:pt>
                <c:pt idx="4">
                  <c:v>Obchod; opravy motor. vozidel</c:v>
                </c:pt>
                <c:pt idx="5">
                  <c:v>Stavebnictví</c:v>
                </c:pt>
                <c:pt idx="6">
                  <c:v>Informační a komunikační činnosti</c:v>
                </c:pt>
                <c:pt idx="7">
                  <c:v>Průmysl</c:v>
                </c:pt>
                <c:pt idx="8">
                  <c:v>Ubytování, stravování a pohostinství</c:v>
                </c:pt>
                <c:pt idx="9">
                  <c:v>Profesní, vědecké a technické činnosti</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'5.1'!$B$5:$B$24</c:f>
              <c:numCache>
                <c:formatCode>0.0%</c:formatCode>
                <c:ptCount val="20"/>
                <c:pt idx="0">
                  <c:v>0.10612512358200001</c:v>
                </c:pt>
                <c:pt idx="1">
                  <c:v>0.15565978342799999</c:v>
                </c:pt>
                <c:pt idx="2">
                  <c:v>0.174874408186</c:v>
                </c:pt>
                <c:pt idx="3">
                  <c:v>0.17744037523599998</c:v>
                </c:pt>
                <c:pt idx="4">
                  <c:v>0.20939882833699999</c:v>
                </c:pt>
                <c:pt idx="5">
                  <c:v>0.247112127509</c:v>
                </c:pt>
                <c:pt idx="6">
                  <c:v>0.31827286648399999</c:v>
                </c:pt>
                <c:pt idx="7">
                  <c:v>0.32467953407599998</c:v>
                </c:pt>
                <c:pt idx="8">
                  <c:v>0.34038766128100001</c:v>
                </c:pt>
                <c:pt idx="9">
                  <c:v>0.347138831072</c:v>
                </c:pt>
                <c:pt idx="11">
                  <c:v>0.293390360563</c:v>
                </c:pt>
                <c:pt idx="12">
                  <c:v>0.25728886183799998</c:v>
                </c:pt>
                <c:pt idx="14">
                  <c:v>0.61975618733299997</c:v>
                </c:pt>
                <c:pt idx="15">
                  <c:v>0.34835142846599998</c:v>
                </c:pt>
                <c:pt idx="16">
                  <c:v>0.24662521030899998</c:v>
                </c:pt>
                <c:pt idx="17">
                  <c:v>0.20913560453300001</c:v>
                </c:pt>
                <c:pt idx="19">
                  <c:v>0.26260843735900002</c:v>
                </c:pt>
              </c:numCache>
            </c:numRef>
          </c:val>
          <c:extLst>
            <c:ext xmlns:c16="http://schemas.microsoft.com/office/drawing/2014/chart" uri="{C3380CC4-5D6E-409C-BE32-E72D297353CC}">
              <c16:uniqueId val="{00000000-7712-437C-AA08-8D3987820B4E}"/>
            </c:ext>
          </c:extLst>
        </c:ser>
        <c:dLbls>
          <c:showLegendKey val="0"/>
          <c:showVal val="0"/>
          <c:showCatName val="0"/>
          <c:showSerName val="0"/>
          <c:showPercent val="0"/>
          <c:showBubbleSize val="0"/>
        </c:dLbls>
        <c:gapWidth val="32"/>
        <c:axId val="1985788864"/>
        <c:axId val="1985793024"/>
      </c:barChart>
      <c:catAx>
        <c:axId val="19857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93024"/>
        <c:crosses val="autoZero"/>
        <c:auto val="1"/>
        <c:lblAlgn val="ctr"/>
        <c:lblOffset val="100"/>
        <c:noMultiLvlLbl val="0"/>
      </c:catAx>
      <c:valAx>
        <c:axId val="1985793024"/>
        <c:scaling>
          <c:orientation val="minMax"/>
          <c:max val="1"/>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5788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60000"/>
                <a:lumOff val="40000"/>
              </a:schemeClr>
            </a:solidFill>
            <a:ln>
              <a:noFill/>
            </a:ln>
            <a:effectLst/>
          </c:spPr>
          <c:invertIfNegative val="0"/>
          <c:dPt>
            <c:idx val="21"/>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1-3FB1-4745-940A-74E88ED2C671}"/>
              </c:ext>
            </c:extLst>
          </c:dPt>
          <c:dPt>
            <c:idx val="22"/>
            <c:invertIfNegative val="0"/>
            <c:bubble3D val="0"/>
            <c:spPr>
              <a:solidFill>
                <a:schemeClr val="accent1">
                  <a:lumMod val="60000"/>
                  <a:lumOff val="40000"/>
                </a:schemeClr>
              </a:solidFill>
              <a:ln w="15875">
                <a:solidFill>
                  <a:schemeClr val="tx1"/>
                </a:solidFill>
              </a:ln>
              <a:effectLst/>
            </c:spPr>
            <c:extLst>
              <c:ext xmlns:c16="http://schemas.microsoft.com/office/drawing/2014/chart" uri="{C3380CC4-5D6E-409C-BE32-E72D297353CC}">
                <c16:uniqueId val="{00000003-3FB1-4745-940A-74E88ED2C671}"/>
              </c:ext>
            </c:extLst>
          </c:dPt>
          <c:dLbls>
            <c:numFmt formatCode="0\ %"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'5.2'!$B$2:$B$31</c:f>
              <c:strCache>
                <c:ptCount val="30"/>
                <c:pt idx="0">
                  <c:v>Litva</c:v>
                </c:pt>
                <c:pt idx="1">
                  <c:v>Rumunsko</c:v>
                </c:pt>
                <c:pt idx="2">
                  <c:v>Bulharsko</c:v>
                </c:pt>
                <c:pt idx="3">
                  <c:v>Řecko</c:v>
                </c:pt>
                <c:pt idx="4">
                  <c:v>Polsko</c:v>
                </c:pt>
                <c:pt idx="5">
                  <c:v>Maďarsko</c:v>
                </c:pt>
                <c:pt idx="6">
                  <c:v>Chorvatsko</c:v>
                </c:pt>
                <c:pt idx="7">
                  <c:v>Španělsko</c:v>
                </c:pt>
                <c:pt idx="8">
                  <c:v>Srbsko</c:v>
                </c:pt>
                <c:pt idx="9">
                  <c:v>Lotyšsko</c:v>
                </c:pt>
                <c:pt idx="10">
                  <c:v>Estonsko</c:v>
                </c:pt>
                <c:pt idx="11">
                  <c:v>Kypr</c:v>
                </c:pt>
                <c:pt idx="12">
                  <c:v>Švédsko</c:v>
                </c:pt>
                <c:pt idx="13">
                  <c:v>Malta</c:v>
                </c:pt>
                <c:pt idx="14">
                  <c:v>Belgie</c:v>
                </c:pt>
                <c:pt idx="15">
                  <c:v>Irsko</c:v>
                </c:pt>
                <c:pt idx="16">
                  <c:v>Finsko</c:v>
                </c:pt>
                <c:pt idx="17">
                  <c:v>Portugalsko</c:v>
                </c:pt>
                <c:pt idx="18">
                  <c:v>Slovensko</c:v>
                </c:pt>
                <c:pt idx="19">
                  <c:v>Lucembursko</c:v>
                </c:pt>
                <c:pt idx="20">
                  <c:v>Slovinsko</c:v>
                </c:pt>
                <c:pt idx="21">
                  <c:v>Česká republika</c:v>
                </c:pt>
                <c:pt idx="22">
                  <c:v>EU 27</c:v>
                </c:pt>
                <c:pt idx="23">
                  <c:v>Norsko</c:v>
                </c:pt>
                <c:pt idx="24">
                  <c:v>Dánsko</c:v>
                </c:pt>
                <c:pt idx="25">
                  <c:v>Itálie</c:v>
                </c:pt>
                <c:pt idx="26">
                  <c:v>Nizozemsko</c:v>
                </c:pt>
                <c:pt idx="27">
                  <c:v>Rakousko</c:v>
                </c:pt>
                <c:pt idx="28">
                  <c:v>Francie</c:v>
                </c:pt>
                <c:pt idx="29">
                  <c:v>Německo</c:v>
                </c:pt>
              </c:strCache>
            </c:strRef>
          </c:cat>
          <c:val>
            <c:numRef>
              <c:f>'5.2'!$C$2:$C$31</c:f>
              <c:numCache>
                <c:formatCode>0.0%</c:formatCode>
                <c:ptCount val="30"/>
                <c:pt idx="0">
                  <c:v>2.3E-2</c:v>
                </c:pt>
                <c:pt idx="1">
                  <c:v>3.5000000000000003E-2</c:v>
                </c:pt>
                <c:pt idx="2">
                  <c:v>3.7999999999999999E-2</c:v>
                </c:pt>
                <c:pt idx="3">
                  <c:v>5.5999999999999994E-2</c:v>
                </c:pt>
                <c:pt idx="4">
                  <c:v>6.4000000000000001E-2</c:v>
                </c:pt>
                <c:pt idx="5">
                  <c:v>9.9000000000000005E-2</c:v>
                </c:pt>
                <c:pt idx="6">
                  <c:v>0.10800000000000001</c:v>
                </c:pt>
                <c:pt idx="7">
                  <c:v>0.111</c:v>
                </c:pt>
                <c:pt idx="8">
                  <c:v>0.113</c:v>
                </c:pt>
                <c:pt idx="9">
                  <c:v>0.114</c:v>
                </c:pt>
                <c:pt idx="10">
                  <c:v>0.151</c:v>
                </c:pt>
                <c:pt idx="11">
                  <c:v>0.153</c:v>
                </c:pt>
                <c:pt idx="12">
                  <c:v>0.154</c:v>
                </c:pt>
                <c:pt idx="13">
                  <c:v>0.17100000000000001</c:v>
                </c:pt>
                <c:pt idx="14">
                  <c:v>0.17399999999999999</c:v>
                </c:pt>
                <c:pt idx="15">
                  <c:v>0.17600000000000002</c:v>
                </c:pt>
                <c:pt idx="16">
                  <c:v>0.17899999999999999</c:v>
                </c:pt>
                <c:pt idx="17">
                  <c:v>0.183</c:v>
                </c:pt>
                <c:pt idx="18">
                  <c:v>0.21299999999999999</c:v>
                </c:pt>
                <c:pt idx="19">
                  <c:v>0.23800000000000002</c:v>
                </c:pt>
                <c:pt idx="20">
                  <c:v>0.26</c:v>
                </c:pt>
                <c:pt idx="21">
                  <c:v>0.26300000000000001</c:v>
                </c:pt>
                <c:pt idx="22">
                  <c:v>0.32400000000000001</c:v>
                </c:pt>
                <c:pt idx="23">
                  <c:v>0.34</c:v>
                </c:pt>
                <c:pt idx="24">
                  <c:v>0.38799999999999996</c:v>
                </c:pt>
                <c:pt idx="25">
                  <c:v>0.41</c:v>
                </c:pt>
                <c:pt idx="26">
                  <c:v>0.41600000000000004</c:v>
                </c:pt>
                <c:pt idx="27">
                  <c:v>0.439</c:v>
                </c:pt>
                <c:pt idx="28">
                  <c:v>0.48799999999999999</c:v>
                </c:pt>
                <c:pt idx="29">
                  <c:v>0.58599999999999997</c:v>
                </c:pt>
              </c:numCache>
            </c:numRef>
          </c:val>
          <c:extLst>
            <c:ext xmlns:c16="http://schemas.microsoft.com/office/drawing/2014/chart" uri="{C3380CC4-5D6E-409C-BE32-E72D297353CC}">
              <c16:uniqueId val="{00000004-3FB1-4745-940A-74E88ED2C671}"/>
            </c:ext>
          </c:extLst>
        </c:ser>
        <c:dLbls>
          <c:showLegendKey val="0"/>
          <c:showVal val="0"/>
          <c:showCatName val="0"/>
          <c:showSerName val="0"/>
          <c:showPercent val="0"/>
          <c:showBubbleSize val="0"/>
        </c:dLbls>
        <c:gapWidth val="26"/>
        <c:axId val="2040799327"/>
        <c:axId val="2040799743"/>
      </c:barChart>
      <c:catAx>
        <c:axId val="2040799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0799743"/>
        <c:crosses val="autoZero"/>
        <c:auto val="1"/>
        <c:lblAlgn val="ctr"/>
        <c:lblOffset val="100"/>
        <c:noMultiLvlLbl val="0"/>
      </c:catAx>
      <c:valAx>
        <c:axId val="2040799743"/>
        <c:scaling>
          <c:orientation val="minMax"/>
          <c:max val="1"/>
        </c:scaling>
        <c:delete val="0"/>
        <c:axPos val="b"/>
        <c:numFmt formatCode="0\ %" sourceLinked="0"/>
        <c:majorTickMark val="none"/>
        <c:minorTickMark val="none"/>
        <c:tickLblPos val="none"/>
        <c:spPr>
          <a:noFill/>
          <a:ln>
            <a:solidFill>
              <a:schemeClr val="bg1">
                <a:lumMod val="8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40799327"/>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649300841705123"/>
          <c:y val="2.4579398148148152E-2"/>
          <c:w val="0.61789149470540317"/>
          <c:h val="0.95232453703703701"/>
        </c:manualLayout>
      </c:layout>
      <c:barChart>
        <c:barDir val="bar"/>
        <c:grouping val="clustered"/>
        <c:varyColors val="0"/>
        <c:ser>
          <c:idx val="0"/>
          <c:order val="0"/>
          <c:tx>
            <c:strRef>
              <c:f>'1.4'!$B$2</c:f>
              <c:strCache>
                <c:ptCount val="1"/>
                <c:pt idx="0">
                  <c:v> Celkem</c:v>
                </c:pt>
              </c:strCache>
            </c:strRef>
          </c:tx>
          <c:spPr>
            <a:solidFill>
              <a:srgbClr val="0070C0"/>
            </a:solidFill>
            <a:ln>
              <a:noFill/>
            </a:ln>
            <a:effectLst/>
          </c:spPr>
          <c:invertIfNegative val="0"/>
          <c:dLbls>
            <c:numFmt formatCode="0\ %"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'1.4'!$A$3:$A$22</c:f>
              <c:strCache>
                <c:ptCount val="20"/>
                <c:pt idx="0">
                  <c:v>Činn. v oblasti nemovitostí a administrativy</c:v>
                </c:pt>
                <c:pt idx="1">
                  <c:v>Ubytování, stravování a pohostinství</c:v>
                </c:pt>
                <c:pt idx="2">
                  <c:v>Stavebnictví</c:v>
                </c:pt>
                <c:pt idx="3">
                  <c:v>Doprava a skladování</c:v>
                </c:pt>
                <c:pt idx="4">
                  <c:v>Kulturní, zábavní a rekreační činnosti</c:v>
                </c:pt>
                <c:pt idx="5">
                  <c:v>Obchod; opravy motorových vozidel</c:v>
                </c:pt>
                <c:pt idx="6">
                  <c:v>Profesní, vědecké a technické činnosti</c:v>
                </c:pt>
                <c:pt idx="7">
                  <c:v>Průmysl</c:v>
                </c:pt>
                <c:pt idx="8">
                  <c:v>Informační a komunikační činnosti</c:v>
                </c:pt>
                <c:pt idx="9">
                  <c:v>Peněžnictví a pojišťovnictví </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'1.4'!$B$3:$B$22</c:f>
              <c:numCache>
                <c:formatCode>0%</c:formatCode>
                <c:ptCount val="20"/>
                <c:pt idx="0">
                  <c:v>0.36556695333599998</c:v>
                </c:pt>
                <c:pt idx="1">
                  <c:v>0.38645109912800002</c:v>
                </c:pt>
                <c:pt idx="2">
                  <c:v>0.42312023224599998</c:v>
                </c:pt>
                <c:pt idx="3">
                  <c:v>0.46651818303100001</c:v>
                </c:pt>
                <c:pt idx="4">
                  <c:v>0.498420014769</c:v>
                </c:pt>
                <c:pt idx="5">
                  <c:v>0.50891911781200005</c:v>
                </c:pt>
                <c:pt idx="6">
                  <c:v>0.52947275618699996</c:v>
                </c:pt>
                <c:pt idx="7">
                  <c:v>0.54510607383499998</c:v>
                </c:pt>
                <c:pt idx="8">
                  <c:v>0.63744553489</c:v>
                </c:pt>
                <c:pt idx="9">
                  <c:v>0.73495835045400004</c:v>
                </c:pt>
                <c:pt idx="11">
                  <c:v>0.743595414314</c:v>
                </c:pt>
                <c:pt idx="12">
                  <c:v>0.45563790661699999</c:v>
                </c:pt>
                <c:pt idx="14">
                  <c:v>0.91294536022799999</c:v>
                </c:pt>
                <c:pt idx="15">
                  <c:v>0.71499674414799996</c:v>
                </c:pt>
                <c:pt idx="16">
                  <c:v>0.47303332836400003</c:v>
                </c:pt>
                <c:pt idx="17">
                  <c:v>0.39601321613400003</c:v>
                </c:pt>
                <c:pt idx="19">
                  <c:v>0.49806860238099998</c:v>
                </c:pt>
              </c:numCache>
            </c:numRef>
          </c:val>
          <c:extLst>
            <c:ext xmlns:c16="http://schemas.microsoft.com/office/drawing/2014/chart" uri="{C3380CC4-5D6E-409C-BE32-E72D297353CC}">
              <c16:uniqueId val="{00000000-D913-4F39-B91F-846B28AA2C57}"/>
            </c:ext>
          </c:extLst>
        </c:ser>
        <c:dLbls>
          <c:showLegendKey val="0"/>
          <c:showVal val="0"/>
          <c:showCatName val="0"/>
          <c:showSerName val="0"/>
          <c:showPercent val="0"/>
          <c:showBubbleSize val="0"/>
        </c:dLbls>
        <c:gapWidth val="40"/>
        <c:axId val="700628576"/>
        <c:axId val="700626080"/>
      </c:barChart>
      <c:barChart>
        <c:barDir val="bar"/>
        <c:grouping val="clustered"/>
        <c:varyColors val="0"/>
        <c:ser>
          <c:idx val="1"/>
          <c:order val="1"/>
          <c:tx>
            <c:strRef>
              <c:f>'1.4'!$C$2</c:f>
              <c:strCache>
                <c:ptCount val="1"/>
                <c:pt idx="0">
                  <c:v> mající písemný vzdělávací plán</c:v>
                </c:pt>
              </c:strCache>
            </c:strRef>
          </c:tx>
          <c:spPr>
            <a:solidFill>
              <a:srgbClr val="FF0000"/>
            </a:solidFill>
            <a:ln>
              <a:noFill/>
            </a:ln>
            <a:effectLst/>
          </c:spPr>
          <c:invertIfNegative val="0"/>
          <c:dLbls>
            <c:numFmt formatCode="0\ %" sourceLinked="0"/>
            <c:spPr>
              <a:solidFill>
                <a:sysClr val="window" lastClr="FFFFFF">
                  <a:alpha val="62000"/>
                </a:sysClr>
              </a:solid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'1.4'!$A$3:$A$22</c:f>
              <c:strCache>
                <c:ptCount val="20"/>
                <c:pt idx="0">
                  <c:v>Činn. v oblasti nemovitostí a administrativy</c:v>
                </c:pt>
                <c:pt idx="1">
                  <c:v>Ubytování, stravování a pohostinství</c:v>
                </c:pt>
                <c:pt idx="2">
                  <c:v>Stavebnictví</c:v>
                </c:pt>
                <c:pt idx="3">
                  <c:v>Doprava a skladování</c:v>
                </c:pt>
                <c:pt idx="4">
                  <c:v>Kulturní, zábavní a rekreační činnosti</c:v>
                </c:pt>
                <c:pt idx="5">
                  <c:v>Obchod; opravy motorových vozidel</c:v>
                </c:pt>
                <c:pt idx="6">
                  <c:v>Profesní, vědecké a technické činnosti</c:v>
                </c:pt>
                <c:pt idx="7">
                  <c:v>Průmysl</c:v>
                </c:pt>
                <c:pt idx="8">
                  <c:v>Informační a komunikační činnosti</c:v>
                </c:pt>
                <c:pt idx="9">
                  <c:v>Peněžnictví a pojišťovnictví </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'1.4'!$C$3:$C$22</c:f>
              <c:numCache>
                <c:formatCode>0%</c:formatCode>
                <c:ptCount val="20"/>
                <c:pt idx="0">
                  <c:v>0.16920657933200001</c:v>
                </c:pt>
                <c:pt idx="1">
                  <c:v>0.13284536903700001</c:v>
                </c:pt>
                <c:pt idx="2">
                  <c:v>0.159891314678</c:v>
                </c:pt>
                <c:pt idx="3">
                  <c:v>0.12988016884600001</c:v>
                </c:pt>
                <c:pt idx="4">
                  <c:v>5.1508005421000001E-2</c:v>
                </c:pt>
                <c:pt idx="5">
                  <c:v>0.17638483029399998</c:v>
                </c:pt>
                <c:pt idx="6">
                  <c:v>0.20421506172000001</c:v>
                </c:pt>
                <c:pt idx="7">
                  <c:v>0.27832986503400003</c:v>
                </c:pt>
                <c:pt idx="8">
                  <c:v>0.30620422730899999</c:v>
                </c:pt>
                <c:pt idx="9">
                  <c:v>0.38612300157399998</c:v>
                </c:pt>
                <c:pt idx="11">
                  <c:v>0.44685747478999999</c:v>
                </c:pt>
                <c:pt idx="12">
                  <c:v>0.16714505841600003</c:v>
                </c:pt>
                <c:pt idx="14">
                  <c:v>0.753407562137</c:v>
                </c:pt>
                <c:pt idx="15">
                  <c:v>0.42309170638300003</c:v>
                </c:pt>
                <c:pt idx="16">
                  <c:v>0.17454649944199999</c:v>
                </c:pt>
                <c:pt idx="17">
                  <c:v>0.101441229797</c:v>
                </c:pt>
                <c:pt idx="19">
                  <c:v>0.20836083547800002</c:v>
                </c:pt>
              </c:numCache>
            </c:numRef>
          </c:val>
          <c:extLst>
            <c:ext xmlns:c16="http://schemas.microsoft.com/office/drawing/2014/chart" uri="{C3380CC4-5D6E-409C-BE32-E72D297353CC}">
              <c16:uniqueId val="{00000001-D913-4F39-B91F-846B28AA2C57}"/>
            </c:ext>
          </c:extLst>
        </c:ser>
        <c:dLbls>
          <c:showLegendKey val="0"/>
          <c:showVal val="0"/>
          <c:showCatName val="0"/>
          <c:showSerName val="0"/>
          <c:showPercent val="0"/>
          <c:showBubbleSize val="0"/>
        </c:dLbls>
        <c:gapWidth val="250"/>
        <c:axId val="1548956464"/>
        <c:axId val="1548958544"/>
      </c:barChart>
      <c:catAx>
        <c:axId val="70062857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700626080"/>
        <c:crosses val="autoZero"/>
        <c:auto val="1"/>
        <c:lblAlgn val="ctr"/>
        <c:lblOffset val="100"/>
        <c:noMultiLvlLbl val="0"/>
      </c:catAx>
      <c:valAx>
        <c:axId val="700626080"/>
        <c:scaling>
          <c:orientation val="minMax"/>
          <c:max val="1"/>
        </c:scaling>
        <c:delete val="0"/>
        <c:axPos val="b"/>
        <c:numFmt formatCode="0\ %" sourceLinked="0"/>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00628576"/>
        <c:crosses val="autoZero"/>
        <c:crossBetween val="between"/>
        <c:majorUnit val="0.1"/>
      </c:valAx>
      <c:valAx>
        <c:axId val="1548958544"/>
        <c:scaling>
          <c:orientation val="minMax"/>
        </c:scaling>
        <c:delete val="1"/>
        <c:axPos val="t"/>
        <c:numFmt formatCode="0%" sourceLinked="1"/>
        <c:majorTickMark val="out"/>
        <c:minorTickMark val="none"/>
        <c:tickLblPos val="nextTo"/>
        <c:crossAx val="1548956464"/>
        <c:crosses val="max"/>
        <c:crossBetween val="between"/>
      </c:valAx>
      <c:catAx>
        <c:axId val="1548956464"/>
        <c:scaling>
          <c:orientation val="minMax"/>
        </c:scaling>
        <c:delete val="1"/>
        <c:axPos val="l"/>
        <c:numFmt formatCode="General" sourceLinked="1"/>
        <c:majorTickMark val="out"/>
        <c:minorTickMark val="none"/>
        <c:tickLblPos val="nextTo"/>
        <c:crossAx val="1548958544"/>
        <c:crosses val="autoZero"/>
        <c:auto val="1"/>
        <c:lblAlgn val="ctr"/>
        <c:lblOffset val="100"/>
        <c:noMultiLvlLbl val="0"/>
      </c:catAx>
      <c:spPr>
        <a:noFill/>
        <a:ln>
          <a:solidFill>
            <a:sysClr val="window" lastClr="FFFFFF">
              <a:lumMod val="50000"/>
            </a:sysClr>
          </a:solidFill>
        </a:ln>
        <a:effectLst/>
      </c:spPr>
    </c:plotArea>
    <c:legend>
      <c:legendPos val="b"/>
      <c:layout>
        <c:manualLayout>
          <c:xMode val="edge"/>
          <c:yMode val="edge"/>
          <c:x val="0.64132059462394797"/>
          <c:y val="0.88458508568781846"/>
          <c:w val="0.31150064485473805"/>
          <c:h val="6.9268612011733829E-2"/>
        </c:manualLayout>
      </c:layout>
      <c:overlay val="0"/>
      <c:spPr>
        <a:noFill/>
        <a:ln>
          <a:solidFill>
            <a:sysClr val="window" lastClr="FFFFFF">
              <a:lumMod val="50000"/>
            </a:sysClr>
          </a:solid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noFill/>
    <a:ln w="9525" cap="flat" cmpd="sng" algn="ctr">
      <a:solidFill>
        <a:sysClr val="window" lastClr="FFFFFF">
          <a:lumMod val="75000"/>
        </a:sysClr>
      </a:solid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38563472248897"/>
          <c:y val="0.11613710757551188"/>
          <c:w val="0.59929533960693937"/>
          <c:h val="0.86506146642582804"/>
        </c:manualLayout>
      </c:layout>
      <c:barChart>
        <c:barDir val="bar"/>
        <c:grouping val="stacked"/>
        <c:varyColors val="0"/>
        <c:ser>
          <c:idx val="0"/>
          <c:order val="0"/>
          <c:tx>
            <c:strRef>
              <c:f>'1.5'!$B$2</c:f>
              <c:strCache>
                <c:ptCount val="1"/>
                <c:pt idx="0">
                  <c:v>Útvar zaměřený na vzdělávání</c:v>
                </c:pt>
              </c:strCache>
            </c:strRef>
          </c:tx>
          <c:spPr>
            <a:solidFill>
              <a:schemeClr val="accent1">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CB7-44F2-BA41-CD27470A3499}"/>
                </c:ext>
              </c:extLst>
            </c:dLbl>
            <c:dLbl>
              <c:idx val="1"/>
              <c:delete val="1"/>
              <c:extLst>
                <c:ext xmlns:c15="http://schemas.microsoft.com/office/drawing/2012/chart" uri="{CE6537A1-D6FC-4f65-9D91-7224C49458BB}"/>
                <c:ext xmlns:c16="http://schemas.microsoft.com/office/drawing/2014/chart" uri="{C3380CC4-5D6E-409C-BE32-E72D297353CC}">
                  <c16:uniqueId val="{00000001-5CB7-44F2-BA41-CD27470A3499}"/>
                </c:ext>
              </c:extLst>
            </c:dLbl>
            <c:dLbl>
              <c:idx val="2"/>
              <c:delete val="1"/>
              <c:extLst>
                <c:ext xmlns:c15="http://schemas.microsoft.com/office/drawing/2012/chart" uri="{CE6537A1-D6FC-4f65-9D91-7224C49458BB}"/>
                <c:ext xmlns:c16="http://schemas.microsoft.com/office/drawing/2014/chart" uri="{C3380CC4-5D6E-409C-BE32-E72D297353CC}">
                  <c16:uniqueId val="{00000002-5CB7-44F2-BA41-CD27470A3499}"/>
                </c:ext>
              </c:extLst>
            </c:dLbl>
            <c:dLbl>
              <c:idx val="3"/>
              <c:delete val="1"/>
              <c:extLst>
                <c:ext xmlns:c15="http://schemas.microsoft.com/office/drawing/2012/chart" uri="{CE6537A1-D6FC-4f65-9D91-7224C49458BB}"/>
                <c:ext xmlns:c16="http://schemas.microsoft.com/office/drawing/2014/chart" uri="{C3380CC4-5D6E-409C-BE32-E72D297353CC}">
                  <c16:uniqueId val="{00000003-5CB7-44F2-BA41-CD27470A3499}"/>
                </c:ext>
              </c:extLst>
            </c:dLbl>
            <c:dLbl>
              <c:idx val="4"/>
              <c:delete val="1"/>
              <c:extLst>
                <c:ext xmlns:c15="http://schemas.microsoft.com/office/drawing/2012/chart" uri="{CE6537A1-D6FC-4f65-9D91-7224C49458BB}"/>
                <c:ext xmlns:c16="http://schemas.microsoft.com/office/drawing/2014/chart" uri="{C3380CC4-5D6E-409C-BE32-E72D297353CC}">
                  <c16:uniqueId val="{00000004-5CB7-44F2-BA41-CD27470A3499}"/>
                </c:ext>
              </c:extLst>
            </c:dLbl>
            <c:dLbl>
              <c:idx val="5"/>
              <c:delete val="1"/>
              <c:extLst>
                <c:ext xmlns:c15="http://schemas.microsoft.com/office/drawing/2012/chart" uri="{CE6537A1-D6FC-4f65-9D91-7224C49458BB}"/>
                <c:ext xmlns:c16="http://schemas.microsoft.com/office/drawing/2014/chart" uri="{C3380CC4-5D6E-409C-BE32-E72D297353CC}">
                  <c16:uniqueId val="{00000005-5CB7-44F2-BA41-CD27470A3499}"/>
                </c:ext>
              </c:extLst>
            </c:dLbl>
            <c:dLbl>
              <c:idx val="6"/>
              <c:delete val="1"/>
              <c:extLst>
                <c:ext xmlns:c15="http://schemas.microsoft.com/office/drawing/2012/chart" uri="{CE6537A1-D6FC-4f65-9D91-7224C49458BB}"/>
                <c:ext xmlns:c16="http://schemas.microsoft.com/office/drawing/2014/chart" uri="{C3380CC4-5D6E-409C-BE32-E72D297353CC}">
                  <c16:uniqueId val="{00000006-5CB7-44F2-BA41-CD27470A3499}"/>
                </c:ext>
              </c:extLst>
            </c:dLbl>
            <c:dLbl>
              <c:idx val="7"/>
              <c:delete val="1"/>
              <c:extLst>
                <c:ext xmlns:c15="http://schemas.microsoft.com/office/drawing/2012/chart" uri="{CE6537A1-D6FC-4f65-9D91-7224C49458BB}"/>
                <c:ext xmlns:c16="http://schemas.microsoft.com/office/drawing/2014/chart" uri="{C3380CC4-5D6E-409C-BE32-E72D297353CC}">
                  <c16:uniqueId val="{00000007-5CB7-44F2-BA41-CD27470A3499}"/>
                </c:ext>
              </c:extLst>
            </c:dLbl>
            <c:dLbl>
              <c:idx val="12"/>
              <c:delete val="1"/>
              <c:extLst>
                <c:ext xmlns:c15="http://schemas.microsoft.com/office/drawing/2012/chart" uri="{CE6537A1-D6FC-4f65-9D91-7224C49458BB}"/>
                <c:ext xmlns:c16="http://schemas.microsoft.com/office/drawing/2014/chart" uri="{C3380CC4-5D6E-409C-BE32-E72D297353CC}">
                  <c16:uniqueId val="{00000008-5CB7-44F2-BA41-CD27470A3499}"/>
                </c:ext>
              </c:extLst>
            </c:dLbl>
            <c:dLbl>
              <c:idx val="16"/>
              <c:delete val="1"/>
              <c:extLst>
                <c:ext xmlns:c15="http://schemas.microsoft.com/office/drawing/2012/chart" uri="{CE6537A1-D6FC-4f65-9D91-7224C49458BB}"/>
                <c:ext xmlns:c16="http://schemas.microsoft.com/office/drawing/2014/chart" uri="{C3380CC4-5D6E-409C-BE32-E72D297353CC}">
                  <c16:uniqueId val="{00000009-5CB7-44F2-BA41-CD27470A3499}"/>
                </c:ext>
              </c:extLst>
            </c:dLbl>
            <c:dLbl>
              <c:idx val="17"/>
              <c:delete val="1"/>
              <c:extLst>
                <c:ext xmlns:c15="http://schemas.microsoft.com/office/drawing/2012/chart" uri="{CE6537A1-D6FC-4f65-9D91-7224C49458BB}"/>
                <c:ext xmlns:c16="http://schemas.microsoft.com/office/drawing/2014/chart" uri="{C3380CC4-5D6E-409C-BE32-E72D297353CC}">
                  <c16:uniqueId val="{0000000A-5CB7-44F2-BA41-CD27470A3499}"/>
                </c:ext>
              </c:extLst>
            </c:dLbl>
            <c:dLbl>
              <c:idx val="19"/>
              <c:delete val="1"/>
              <c:extLst>
                <c:ext xmlns:c15="http://schemas.microsoft.com/office/drawing/2012/chart" uri="{CE6537A1-D6FC-4f65-9D91-7224C49458BB}"/>
                <c:ext xmlns:c16="http://schemas.microsoft.com/office/drawing/2014/chart" uri="{C3380CC4-5D6E-409C-BE32-E72D297353CC}">
                  <c16:uniqueId val="{0000000B-5CB7-44F2-BA41-CD27470A3499}"/>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'1.5'!$A$3:$A$22</c:f>
              <c:strCache>
                <c:ptCount val="20"/>
                <c:pt idx="0">
                  <c:v>Ubytování, stravování a pohostinství</c:v>
                </c:pt>
                <c:pt idx="1">
                  <c:v>Kulturní, zábavní a rekreační činnosti</c:v>
                </c:pt>
                <c:pt idx="2">
                  <c:v>Doprava a skladování</c:v>
                </c:pt>
                <c:pt idx="3">
                  <c:v>Čin. v oblasti nemovitostí a administrativy</c:v>
                </c:pt>
                <c:pt idx="4">
                  <c:v>Obchod; opravy motorových vozidel</c:v>
                </c:pt>
                <c:pt idx="5">
                  <c:v>Stavebnictví</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'1.5'!$B$3:$B$22</c:f>
              <c:numCache>
                <c:formatCode>0.0%</c:formatCode>
                <c:ptCount val="20"/>
                <c:pt idx="0">
                  <c:v>1.0231906907999999E-2</c:v>
                </c:pt>
                <c:pt idx="1">
                  <c:v>3.406827938E-3</c:v>
                </c:pt>
                <c:pt idx="2">
                  <c:v>1.9907123289E-2</c:v>
                </c:pt>
                <c:pt idx="3">
                  <c:v>3.3149979994000003E-2</c:v>
                </c:pt>
                <c:pt idx="4">
                  <c:v>3.782812528E-2</c:v>
                </c:pt>
                <c:pt idx="5">
                  <c:v>2.0421807044000002E-2</c:v>
                </c:pt>
                <c:pt idx="6">
                  <c:v>4.0376099001999996E-2</c:v>
                </c:pt>
                <c:pt idx="7">
                  <c:v>4.8804894132000003E-2</c:v>
                </c:pt>
                <c:pt idx="8">
                  <c:v>0.11594207944500001</c:v>
                </c:pt>
                <c:pt idx="9">
                  <c:v>0.163298327267</c:v>
                </c:pt>
                <c:pt idx="11">
                  <c:v>0.13407975679199999</c:v>
                </c:pt>
                <c:pt idx="12">
                  <c:v>2.1350422825000003E-2</c:v>
                </c:pt>
                <c:pt idx="14">
                  <c:v>0.26632925606000002</c:v>
                </c:pt>
                <c:pt idx="15">
                  <c:v>7.4550777754E-2</c:v>
                </c:pt>
                <c:pt idx="16">
                  <c:v>2.4321438426E-2</c:v>
                </c:pt>
                <c:pt idx="17">
                  <c:v>1.2964675274E-2</c:v>
                </c:pt>
                <c:pt idx="19">
                  <c:v>3.7961151649999997E-2</c:v>
                </c:pt>
              </c:numCache>
            </c:numRef>
          </c:val>
          <c:extLst>
            <c:ext xmlns:c16="http://schemas.microsoft.com/office/drawing/2014/chart" uri="{C3380CC4-5D6E-409C-BE32-E72D297353CC}">
              <c16:uniqueId val="{0000000C-5CB7-44F2-BA41-CD27470A3499}"/>
            </c:ext>
          </c:extLst>
        </c:ser>
        <c:ser>
          <c:idx val="1"/>
          <c:order val="1"/>
          <c:tx>
            <c:strRef>
              <c:f>'1.5'!$C$2</c:f>
              <c:strCache>
                <c:ptCount val="1"/>
                <c:pt idx="0">
                  <c:v>Osoba, pro kterou je zajišťování vzdělávání hlavní náplní práce</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5CB7-44F2-BA41-CD27470A3499}"/>
                </c:ext>
              </c:extLst>
            </c:dLbl>
            <c:dLbl>
              <c:idx val="1"/>
              <c:delete val="1"/>
              <c:extLst>
                <c:ext xmlns:c15="http://schemas.microsoft.com/office/drawing/2012/chart" uri="{CE6537A1-D6FC-4f65-9D91-7224C49458BB}"/>
                <c:ext xmlns:c16="http://schemas.microsoft.com/office/drawing/2014/chart" uri="{C3380CC4-5D6E-409C-BE32-E72D297353CC}">
                  <c16:uniqueId val="{0000000E-5CB7-44F2-BA41-CD27470A3499}"/>
                </c:ext>
              </c:extLst>
            </c:dLbl>
            <c:dLbl>
              <c:idx val="2"/>
              <c:delete val="1"/>
              <c:extLst>
                <c:ext xmlns:c15="http://schemas.microsoft.com/office/drawing/2012/chart" uri="{CE6537A1-D6FC-4f65-9D91-7224C49458BB}"/>
                <c:ext xmlns:c16="http://schemas.microsoft.com/office/drawing/2014/chart" uri="{C3380CC4-5D6E-409C-BE32-E72D297353CC}">
                  <c16:uniqueId val="{0000000F-5CB7-44F2-BA41-CD27470A3499}"/>
                </c:ext>
              </c:extLst>
            </c:dLbl>
            <c:dLbl>
              <c:idx val="3"/>
              <c:delete val="1"/>
              <c:extLst>
                <c:ext xmlns:c15="http://schemas.microsoft.com/office/drawing/2012/chart" uri="{CE6537A1-D6FC-4f65-9D91-7224C49458BB}"/>
                <c:ext xmlns:c16="http://schemas.microsoft.com/office/drawing/2014/chart" uri="{C3380CC4-5D6E-409C-BE32-E72D297353CC}">
                  <c16:uniqueId val="{00000010-5CB7-44F2-BA41-CD27470A3499}"/>
                </c:ext>
              </c:extLst>
            </c:dLbl>
            <c:dLbl>
              <c:idx val="4"/>
              <c:delete val="1"/>
              <c:extLst>
                <c:ext xmlns:c15="http://schemas.microsoft.com/office/drawing/2012/chart" uri="{CE6537A1-D6FC-4f65-9D91-7224C49458BB}"/>
                <c:ext xmlns:c16="http://schemas.microsoft.com/office/drawing/2014/chart" uri="{C3380CC4-5D6E-409C-BE32-E72D297353CC}">
                  <c16:uniqueId val="{00000011-5CB7-44F2-BA41-CD27470A3499}"/>
                </c:ext>
              </c:extLst>
            </c:dLbl>
            <c:dLbl>
              <c:idx val="5"/>
              <c:delete val="1"/>
              <c:extLst>
                <c:ext xmlns:c15="http://schemas.microsoft.com/office/drawing/2012/chart" uri="{CE6537A1-D6FC-4f65-9D91-7224C49458BB}"/>
                <c:ext xmlns:c16="http://schemas.microsoft.com/office/drawing/2014/chart" uri="{C3380CC4-5D6E-409C-BE32-E72D297353CC}">
                  <c16:uniqueId val="{00000012-5CB7-44F2-BA41-CD27470A3499}"/>
                </c:ext>
              </c:extLst>
            </c:dLbl>
            <c:dLbl>
              <c:idx val="6"/>
              <c:delete val="1"/>
              <c:extLst>
                <c:ext xmlns:c15="http://schemas.microsoft.com/office/drawing/2012/chart" uri="{CE6537A1-D6FC-4f65-9D91-7224C49458BB}"/>
                <c:ext xmlns:c16="http://schemas.microsoft.com/office/drawing/2014/chart" uri="{C3380CC4-5D6E-409C-BE32-E72D297353CC}">
                  <c16:uniqueId val="{00000013-5CB7-44F2-BA41-CD27470A3499}"/>
                </c:ext>
              </c:extLst>
            </c:dLbl>
            <c:dLbl>
              <c:idx val="7"/>
              <c:delete val="1"/>
              <c:extLst>
                <c:ext xmlns:c15="http://schemas.microsoft.com/office/drawing/2012/chart" uri="{CE6537A1-D6FC-4f65-9D91-7224C49458BB}"/>
                <c:ext xmlns:c16="http://schemas.microsoft.com/office/drawing/2014/chart" uri="{C3380CC4-5D6E-409C-BE32-E72D297353CC}">
                  <c16:uniqueId val="{00000014-5CB7-44F2-BA41-CD27470A3499}"/>
                </c:ext>
              </c:extLst>
            </c:dLbl>
            <c:dLbl>
              <c:idx val="8"/>
              <c:layout>
                <c:manualLayout>
                  <c:x val="8.130081300813009E-3"/>
                  <c:y val="-1.027065632915898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CB7-44F2-BA41-CD27470A3499}"/>
                </c:ext>
              </c:extLst>
            </c:dLbl>
            <c:dLbl>
              <c:idx val="12"/>
              <c:delete val="1"/>
              <c:extLst>
                <c:ext xmlns:c15="http://schemas.microsoft.com/office/drawing/2012/chart" uri="{CE6537A1-D6FC-4f65-9D91-7224C49458BB}"/>
                <c:ext xmlns:c16="http://schemas.microsoft.com/office/drawing/2014/chart" uri="{C3380CC4-5D6E-409C-BE32-E72D297353CC}">
                  <c16:uniqueId val="{00000016-5CB7-44F2-BA41-CD27470A3499}"/>
                </c:ext>
              </c:extLst>
            </c:dLbl>
            <c:dLbl>
              <c:idx val="16"/>
              <c:delete val="1"/>
              <c:extLst>
                <c:ext xmlns:c15="http://schemas.microsoft.com/office/drawing/2012/chart" uri="{CE6537A1-D6FC-4f65-9D91-7224C49458BB}"/>
                <c:ext xmlns:c16="http://schemas.microsoft.com/office/drawing/2014/chart" uri="{C3380CC4-5D6E-409C-BE32-E72D297353CC}">
                  <c16:uniqueId val="{00000017-5CB7-44F2-BA41-CD27470A3499}"/>
                </c:ext>
              </c:extLst>
            </c:dLbl>
            <c:dLbl>
              <c:idx val="17"/>
              <c:delete val="1"/>
              <c:extLst>
                <c:ext xmlns:c15="http://schemas.microsoft.com/office/drawing/2012/chart" uri="{CE6537A1-D6FC-4f65-9D91-7224C49458BB}"/>
                <c:ext xmlns:c16="http://schemas.microsoft.com/office/drawing/2014/chart" uri="{C3380CC4-5D6E-409C-BE32-E72D297353CC}">
                  <c16:uniqueId val="{00000018-5CB7-44F2-BA41-CD27470A3499}"/>
                </c:ext>
              </c:extLst>
            </c:dLbl>
            <c:dLbl>
              <c:idx val="19"/>
              <c:delete val="1"/>
              <c:extLst>
                <c:ext xmlns:c15="http://schemas.microsoft.com/office/drawing/2012/chart" uri="{CE6537A1-D6FC-4f65-9D91-7224C49458BB}"/>
                <c:ext xmlns:c16="http://schemas.microsoft.com/office/drawing/2014/chart" uri="{C3380CC4-5D6E-409C-BE32-E72D297353CC}">
                  <c16:uniqueId val="{00000019-5CB7-44F2-BA41-CD27470A3499}"/>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'1.5'!$A$3:$A$22</c:f>
              <c:strCache>
                <c:ptCount val="20"/>
                <c:pt idx="0">
                  <c:v>Ubytování, stravování a pohostinství</c:v>
                </c:pt>
                <c:pt idx="1">
                  <c:v>Kulturní, zábavní a rekreační činnosti</c:v>
                </c:pt>
                <c:pt idx="2">
                  <c:v>Doprava a skladování</c:v>
                </c:pt>
                <c:pt idx="3">
                  <c:v>Čin. v oblasti nemovitostí a administrativy</c:v>
                </c:pt>
                <c:pt idx="4">
                  <c:v>Obchod; opravy motorových vozidel</c:v>
                </c:pt>
                <c:pt idx="5">
                  <c:v>Stavebnictví</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'1.5'!$C$3:$C$22</c:f>
              <c:numCache>
                <c:formatCode>0.0%</c:formatCode>
                <c:ptCount val="20"/>
                <c:pt idx="0">
                  <c:v>4.4659951927000001E-2</c:v>
                </c:pt>
                <c:pt idx="1">
                  <c:v>5.2675912329999998E-3</c:v>
                </c:pt>
                <c:pt idx="2">
                  <c:v>4.2046276417000004E-2</c:v>
                </c:pt>
                <c:pt idx="3">
                  <c:v>7.6688299921E-2</c:v>
                </c:pt>
                <c:pt idx="4">
                  <c:v>3.2232541174999997E-2</c:v>
                </c:pt>
                <c:pt idx="5">
                  <c:v>2.6956116515000003E-2</c:v>
                </c:pt>
                <c:pt idx="6">
                  <c:v>5.5067823644000001E-2</c:v>
                </c:pt>
                <c:pt idx="7">
                  <c:v>3.5785459387999999E-2</c:v>
                </c:pt>
                <c:pt idx="8">
                  <c:v>5.3562649673999999E-2</c:v>
                </c:pt>
                <c:pt idx="9">
                  <c:v>0.10351976008</c:v>
                </c:pt>
                <c:pt idx="11">
                  <c:v>0.11474648069600001</c:v>
                </c:pt>
                <c:pt idx="12">
                  <c:v>3.3401171075999998E-2</c:v>
                </c:pt>
                <c:pt idx="14">
                  <c:v>0.229983881793</c:v>
                </c:pt>
                <c:pt idx="15">
                  <c:v>7.4347486718000011E-2</c:v>
                </c:pt>
                <c:pt idx="16">
                  <c:v>4.6704969592000004E-2</c:v>
                </c:pt>
                <c:pt idx="17">
                  <c:v>1.7082329149999999E-2</c:v>
                </c:pt>
                <c:pt idx="19">
                  <c:v>4.5387446801E-2</c:v>
                </c:pt>
              </c:numCache>
            </c:numRef>
          </c:val>
          <c:extLst>
            <c:ext xmlns:c16="http://schemas.microsoft.com/office/drawing/2014/chart" uri="{C3380CC4-5D6E-409C-BE32-E72D297353CC}">
              <c16:uniqueId val="{0000001A-5CB7-44F2-BA41-CD27470A3499}"/>
            </c:ext>
          </c:extLst>
        </c:ser>
        <c:ser>
          <c:idx val="2"/>
          <c:order val="2"/>
          <c:tx>
            <c:strRef>
              <c:f>'1.5'!$D$2</c:f>
              <c:strCache>
                <c:ptCount val="1"/>
                <c:pt idx="0">
                  <c:v>Osoba zajišťující vzdělávání s jinou hlavní náplní práce</c:v>
                </c:pt>
              </c:strCache>
            </c:strRef>
          </c:tx>
          <c:spPr>
            <a:solidFill>
              <a:srgbClr val="999999"/>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'1.5'!$A$3:$A$22</c:f>
              <c:strCache>
                <c:ptCount val="20"/>
                <c:pt idx="0">
                  <c:v>Ubytování, stravování a pohostinství</c:v>
                </c:pt>
                <c:pt idx="1">
                  <c:v>Kulturní, zábavní a rekreační činnosti</c:v>
                </c:pt>
                <c:pt idx="2">
                  <c:v>Doprava a skladování</c:v>
                </c:pt>
                <c:pt idx="3">
                  <c:v>Čin. v oblasti nemovitostí a administrativy</c:v>
                </c:pt>
                <c:pt idx="4">
                  <c:v>Obchod; opravy motorových vozidel</c:v>
                </c:pt>
                <c:pt idx="5">
                  <c:v>Stavebnictví</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'1.5'!$D$3:$D$22</c:f>
              <c:numCache>
                <c:formatCode>0.0%</c:formatCode>
                <c:ptCount val="20"/>
                <c:pt idx="0">
                  <c:v>0.17573973889700001</c:v>
                </c:pt>
                <c:pt idx="1">
                  <c:v>0.25897475431899997</c:v>
                </c:pt>
                <c:pt idx="2">
                  <c:v>0.24391232190199999</c:v>
                </c:pt>
                <c:pt idx="3">
                  <c:v>0.202549051624</c:v>
                </c:pt>
                <c:pt idx="4">
                  <c:v>0.27782923722399999</c:v>
                </c:pt>
                <c:pt idx="5">
                  <c:v>0.30984951336299998</c:v>
                </c:pt>
                <c:pt idx="6">
                  <c:v>0.34265285030000003</c:v>
                </c:pt>
                <c:pt idx="7">
                  <c:v>0.39591186057299999</c:v>
                </c:pt>
                <c:pt idx="8">
                  <c:v>0.37571800888899998</c:v>
                </c:pt>
                <c:pt idx="9">
                  <c:v>0.36354066059899998</c:v>
                </c:pt>
                <c:pt idx="11">
                  <c:v>0.41219458267299997</c:v>
                </c:pt>
                <c:pt idx="12">
                  <c:v>0.28205577053600001</c:v>
                </c:pt>
                <c:pt idx="14">
                  <c:v>0.37916754411100001</c:v>
                </c:pt>
                <c:pt idx="15">
                  <c:v>0.45298561703899998</c:v>
                </c:pt>
                <c:pt idx="16">
                  <c:v>0.29722516659699999</c:v>
                </c:pt>
                <c:pt idx="17">
                  <c:v>0.23967182619999999</c:v>
                </c:pt>
                <c:pt idx="19">
                  <c:v>0.30123179546099998</c:v>
                </c:pt>
              </c:numCache>
            </c:numRef>
          </c:val>
          <c:extLst>
            <c:ext xmlns:c16="http://schemas.microsoft.com/office/drawing/2014/chart" uri="{C3380CC4-5D6E-409C-BE32-E72D297353CC}">
              <c16:uniqueId val="{0000001B-5CB7-44F2-BA41-CD27470A3499}"/>
            </c:ext>
          </c:extLst>
        </c:ser>
        <c:ser>
          <c:idx val="3"/>
          <c:order val="3"/>
          <c:tx>
            <c:strRef>
              <c:f>'1.5'!$E$2</c:f>
              <c:strCache>
                <c:ptCount val="1"/>
                <c:pt idx="0">
                  <c:v>Bez odpovědného útvaru či osoby</c:v>
                </c:pt>
              </c:strCache>
            </c:strRef>
          </c:tx>
          <c:spPr>
            <a:solidFill>
              <a:srgbClr val="FFC00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'1.5'!$A$3:$A$22</c:f>
              <c:strCache>
                <c:ptCount val="20"/>
                <c:pt idx="0">
                  <c:v>Ubytování, stravování a pohostinství</c:v>
                </c:pt>
                <c:pt idx="1">
                  <c:v>Kulturní, zábavní a rekreační činnosti</c:v>
                </c:pt>
                <c:pt idx="2">
                  <c:v>Doprava a skladování</c:v>
                </c:pt>
                <c:pt idx="3">
                  <c:v>Čin. v oblasti nemovitostí a administrativy</c:v>
                </c:pt>
                <c:pt idx="4">
                  <c:v>Obchod; opravy motorových vozidel</c:v>
                </c:pt>
                <c:pt idx="5">
                  <c:v>Stavebnictví</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'1.5'!$E$3:$E$22</c:f>
              <c:numCache>
                <c:formatCode>0.0%</c:formatCode>
                <c:ptCount val="20"/>
                <c:pt idx="0">
                  <c:v>0.76936840226799996</c:v>
                </c:pt>
                <c:pt idx="1">
                  <c:v>0.73235082650999994</c:v>
                </c:pt>
                <c:pt idx="2">
                  <c:v>0.69413427839300001</c:v>
                </c:pt>
                <c:pt idx="3">
                  <c:v>0.68761266846199998</c:v>
                </c:pt>
                <c:pt idx="4">
                  <c:v>0.65211009632200001</c:v>
                </c:pt>
                <c:pt idx="5">
                  <c:v>0.64277256307800001</c:v>
                </c:pt>
                <c:pt idx="6">
                  <c:v>0.56190322705399998</c:v>
                </c:pt>
                <c:pt idx="7">
                  <c:v>0.51949778590700002</c:v>
                </c:pt>
                <c:pt idx="8">
                  <c:v>0.45477726199199997</c:v>
                </c:pt>
                <c:pt idx="9">
                  <c:v>0.369641252054</c:v>
                </c:pt>
                <c:pt idx="11">
                  <c:v>0.338979179839</c:v>
                </c:pt>
                <c:pt idx="12">
                  <c:v>0.66319263556200003</c:v>
                </c:pt>
                <c:pt idx="14">
                  <c:v>0.12451931803600001</c:v>
                </c:pt>
                <c:pt idx="15">
                  <c:v>0.39811611848900003</c:v>
                </c:pt>
                <c:pt idx="16">
                  <c:v>0.631748425384</c:v>
                </c:pt>
                <c:pt idx="17">
                  <c:v>0.73028116937600007</c:v>
                </c:pt>
                <c:pt idx="19">
                  <c:v>0.61541960608900004</c:v>
                </c:pt>
              </c:numCache>
            </c:numRef>
          </c:val>
          <c:extLst>
            <c:ext xmlns:c16="http://schemas.microsoft.com/office/drawing/2014/chart" uri="{C3380CC4-5D6E-409C-BE32-E72D297353CC}">
              <c16:uniqueId val="{0000001C-5CB7-44F2-BA41-CD27470A3499}"/>
            </c:ext>
          </c:extLst>
        </c:ser>
        <c:dLbls>
          <c:showLegendKey val="0"/>
          <c:showVal val="0"/>
          <c:showCatName val="0"/>
          <c:showSerName val="0"/>
          <c:showPercent val="0"/>
          <c:showBubbleSize val="0"/>
        </c:dLbls>
        <c:gapWidth val="30"/>
        <c:overlap val="100"/>
        <c:axId val="565003391"/>
        <c:axId val="565005471"/>
      </c:barChart>
      <c:catAx>
        <c:axId val="565003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65005471"/>
        <c:crosses val="autoZero"/>
        <c:auto val="1"/>
        <c:lblAlgn val="ctr"/>
        <c:lblOffset val="100"/>
        <c:noMultiLvlLbl val="0"/>
      </c:catAx>
      <c:valAx>
        <c:axId val="565005471"/>
        <c:scaling>
          <c:orientation val="minMax"/>
          <c:max val="1"/>
        </c:scaling>
        <c:delete val="0"/>
        <c:axPos val="b"/>
        <c:numFmt formatCode="0\ %" sourceLinked="0"/>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565003391"/>
        <c:crosses val="autoZero"/>
        <c:crossBetween val="between"/>
        <c:majorUnit val="0.1"/>
      </c:valAx>
      <c:spPr>
        <a:noFill/>
        <a:ln>
          <a:solidFill>
            <a:schemeClr val="bg1">
              <a:lumMod val="50000"/>
            </a:schemeClr>
          </a:solidFill>
        </a:ln>
        <a:effectLst/>
      </c:spPr>
    </c:plotArea>
    <c:legend>
      <c:legendPos val="b"/>
      <c:layout>
        <c:manualLayout>
          <c:xMode val="edge"/>
          <c:yMode val="edge"/>
          <c:x val="1.8919883490173484E-2"/>
          <c:y val="1.6849798537087627E-2"/>
          <c:w val="0.97842023558030855"/>
          <c:h val="7.05609929599921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370568015490957"/>
          <c:y val="7.7870371536100644E-2"/>
          <c:w val="0.58648953241034441"/>
          <c:h val="0.8750626560265764"/>
        </c:manualLayout>
      </c:layout>
      <c:barChart>
        <c:barDir val="bar"/>
        <c:grouping val="clustered"/>
        <c:varyColors val="0"/>
        <c:ser>
          <c:idx val="0"/>
          <c:order val="0"/>
          <c:tx>
            <c:strRef>
              <c:f>'1.6'!$B$1:$B$2</c:f>
              <c:strCache>
                <c:ptCount val="2"/>
                <c:pt idx="0">
                  <c:v>Vzdělávání se v podniku plánuje dopředu</c:v>
                </c:pt>
              </c:strCache>
            </c:strRef>
          </c:tx>
          <c:spPr>
            <a:solidFill>
              <a:srgbClr val="C00000"/>
            </a:solidFill>
            <a:ln>
              <a:noFill/>
            </a:ln>
            <a:effectLst/>
          </c:spPr>
          <c:invertIfNegative val="0"/>
          <c:cat>
            <c:strRef>
              <c:f>'1.6'!$A$3:$A$22</c:f>
              <c:strCache>
                <c:ptCount val="20"/>
                <c:pt idx="0">
                  <c:v>Ubytování, stravování a pohostinství</c:v>
                </c:pt>
                <c:pt idx="1">
                  <c:v>Činnosti v oblasti nemovitostí a administrativy</c:v>
                </c:pt>
                <c:pt idx="2">
                  <c:v>Stavebnictví</c:v>
                </c:pt>
                <c:pt idx="3">
                  <c:v>Doprava a skladování</c:v>
                </c:pt>
                <c:pt idx="4">
                  <c:v>Kulturní, zábavní a rekreační činnosti</c:v>
                </c:pt>
                <c:pt idx="5">
                  <c:v>Obchod, opravy motorových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'1.6'!$B$3:$B$22</c:f>
              <c:numCache>
                <c:formatCode>0%</c:formatCode>
                <c:ptCount val="20"/>
                <c:pt idx="0">
                  <c:v>0.38645109912800002</c:v>
                </c:pt>
                <c:pt idx="1">
                  <c:v>0.36556695333599998</c:v>
                </c:pt>
                <c:pt idx="2">
                  <c:v>0.42312023224599998</c:v>
                </c:pt>
                <c:pt idx="3">
                  <c:v>0.46651818303100001</c:v>
                </c:pt>
                <c:pt idx="4">
                  <c:v>0.498420014769</c:v>
                </c:pt>
                <c:pt idx="5">
                  <c:v>0.50891911781200005</c:v>
                </c:pt>
                <c:pt idx="6">
                  <c:v>0.54510607383499998</c:v>
                </c:pt>
                <c:pt idx="7">
                  <c:v>0.52947275618699996</c:v>
                </c:pt>
                <c:pt idx="8">
                  <c:v>0.63744553489</c:v>
                </c:pt>
                <c:pt idx="9">
                  <c:v>0.73495835045400004</c:v>
                </c:pt>
                <c:pt idx="11">
                  <c:v>0.743595414314</c:v>
                </c:pt>
                <c:pt idx="12">
                  <c:v>0.45563790661699999</c:v>
                </c:pt>
                <c:pt idx="14">
                  <c:v>0.91294536022799999</c:v>
                </c:pt>
                <c:pt idx="15">
                  <c:v>0.71499674414799996</c:v>
                </c:pt>
                <c:pt idx="16">
                  <c:v>0.47303332836400003</c:v>
                </c:pt>
                <c:pt idx="17">
                  <c:v>0.39601321613400003</c:v>
                </c:pt>
                <c:pt idx="19">
                  <c:v>0.49806860238099998</c:v>
                </c:pt>
              </c:numCache>
            </c:numRef>
          </c:val>
          <c:extLst>
            <c:ext xmlns:c16="http://schemas.microsoft.com/office/drawing/2014/chart" uri="{C3380CC4-5D6E-409C-BE32-E72D297353CC}">
              <c16:uniqueId val="{00000000-A857-4642-9491-07CD18998B7D}"/>
            </c:ext>
          </c:extLst>
        </c:ser>
        <c:dLbls>
          <c:showLegendKey val="0"/>
          <c:showVal val="0"/>
          <c:showCatName val="0"/>
          <c:showSerName val="0"/>
          <c:showPercent val="0"/>
          <c:showBubbleSize val="0"/>
        </c:dLbls>
        <c:gapWidth val="20"/>
        <c:axId val="1949781632"/>
        <c:axId val="1949792032"/>
      </c:barChart>
      <c:barChart>
        <c:barDir val="bar"/>
        <c:grouping val="clustered"/>
        <c:varyColors val="0"/>
        <c:ser>
          <c:idx val="1"/>
          <c:order val="1"/>
          <c:tx>
            <c:strRef>
              <c:f>'1.6'!$C$1:$C$2</c:f>
              <c:strCache>
                <c:ptCount val="2"/>
                <c:pt idx="0">
                  <c:v>Při plánování rozpočtu je obvykle počítáno s financemi na vzdělávání</c:v>
                </c:pt>
              </c:strCache>
            </c:strRef>
          </c:tx>
          <c:spPr>
            <a:solidFill>
              <a:srgbClr val="FFC000"/>
            </a:solidFill>
            <a:ln>
              <a:solidFill>
                <a:srgbClr val="C00000"/>
              </a:solidFill>
            </a:ln>
            <a:effectLst/>
          </c:spPr>
          <c:invertIfNegative val="0"/>
          <c:dLbls>
            <c:numFmt formatCode="0\ %" sourceLinked="0"/>
            <c:spPr>
              <a:solidFill>
                <a:srgbClr val="FFCC66">
                  <a:alpha val="58000"/>
                </a:srgb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'1.6'!$A$3:$A$22</c:f>
              <c:strCache>
                <c:ptCount val="20"/>
                <c:pt idx="0">
                  <c:v>Ubytování, stravování a pohostinství</c:v>
                </c:pt>
                <c:pt idx="1">
                  <c:v>Činnosti v oblasti nemovitostí a administrativy</c:v>
                </c:pt>
                <c:pt idx="2">
                  <c:v>Stavebnictví</c:v>
                </c:pt>
                <c:pt idx="3">
                  <c:v>Doprava a skladování</c:v>
                </c:pt>
                <c:pt idx="4">
                  <c:v>Kulturní, zábavní a rekreační činnosti</c:v>
                </c:pt>
                <c:pt idx="5">
                  <c:v>Obchod, opravy motorových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'1.6'!$C$3:$C$22</c:f>
              <c:numCache>
                <c:formatCode>0%</c:formatCode>
                <c:ptCount val="20"/>
                <c:pt idx="0">
                  <c:v>0.18708951650700001</c:v>
                </c:pt>
                <c:pt idx="1">
                  <c:v>0.31397471116300002</c:v>
                </c:pt>
                <c:pt idx="2">
                  <c:v>0.31977126099700004</c:v>
                </c:pt>
                <c:pt idx="3">
                  <c:v>0.348599570518</c:v>
                </c:pt>
                <c:pt idx="4">
                  <c:v>0.37743923913999999</c:v>
                </c:pt>
                <c:pt idx="5">
                  <c:v>0.388179161647</c:v>
                </c:pt>
                <c:pt idx="6">
                  <c:v>0.42201754599799995</c:v>
                </c:pt>
                <c:pt idx="7">
                  <c:v>0.52714529749500005</c:v>
                </c:pt>
                <c:pt idx="8">
                  <c:v>0.64628516770199995</c:v>
                </c:pt>
                <c:pt idx="9">
                  <c:v>0.72257644077799998</c:v>
                </c:pt>
                <c:pt idx="11">
                  <c:v>0.72558409243300004</c:v>
                </c:pt>
                <c:pt idx="12">
                  <c:v>0.33692605849099999</c:v>
                </c:pt>
                <c:pt idx="14">
                  <c:v>0.89372522234499996</c:v>
                </c:pt>
                <c:pt idx="15">
                  <c:v>0.62319661347999999</c:v>
                </c:pt>
                <c:pt idx="16">
                  <c:v>0.37464084104400003</c:v>
                </c:pt>
                <c:pt idx="17">
                  <c:v>0.27632287352199997</c:v>
                </c:pt>
                <c:pt idx="19">
                  <c:v>0.39419503170299997</c:v>
                </c:pt>
              </c:numCache>
            </c:numRef>
          </c:val>
          <c:extLst>
            <c:ext xmlns:c16="http://schemas.microsoft.com/office/drawing/2014/chart" uri="{C3380CC4-5D6E-409C-BE32-E72D297353CC}">
              <c16:uniqueId val="{00000001-A857-4642-9491-07CD18998B7D}"/>
            </c:ext>
          </c:extLst>
        </c:ser>
        <c:dLbls>
          <c:showLegendKey val="0"/>
          <c:showVal val="0"/>
          <c:showCatName val="0"/>
          <c:showSerName val="0"/>
          <c:showPercent val="0"/>
          <c:showBubbleSize val="0"/>
        </c:dLbls>
        <c:gapWidth val="100"/>
        <c:axId val="888816383"/>
        <c:axId val="888838431"/>
      </c:barChart>
      <c:catAx>
        <c:axId val="194978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49792032"/>
        <c:crosses val="autoZero"/>
        <c:auto val="1"/>
        <c:lblAlgn val="ctr"/>
        <c:lblOffset val="100"/>
        <c:noMultiLvlLbl val="0"/>
      </c:catAx>
      <c:valAx>
        <c:axId val="1949792032"/>
        <c:scaling>
          <c:orientation val="minMax"/>
          <c:max val="1"/>
        </c:scaling>
        <c:delete val="0"/>
        <c:axPos val="b"/>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49781632"/>
        <c:crosses val="autoZero"/>
        <c:crossBetween val="between"/>
        <c:majorUnit val="0.1"/>
      </c:valAx>
      <c:valAx>
        <c:axId val="888838431"/>
        <c:scaling>
          <c:orientation val="minMax"/>
        </c:scaling>
        <c:delete val="0"/>
        <c:axPos val="t"/>
        <c:numFmt formatCode="0%" sourceLinked="1"/>
        <c:majorTickMark val="out"/>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88816383"/>
        <c:crosses val="max"/>
        <c:crossBetween val="between"/>
      </c:valAx>
      <c:catAx>
        <c:axId val="888816383"/>
        <c:scaling>
          <c:orientation val="minMax"/>
        </c:scaling>
        <c:delete val="1"/>
        <c:axPos val="l"/>
        <c:numFmt formatCode="General" sourceLinked="1"/>
        <c:majorTickMark val="out"/>
        <c:minorTickMark val="none"/>
        <c:tickLblPos val="nextTo"/>
        <c:crossAx val="888838431"/>
        <c:crosses val="autoZero"/>
        <c:auto val="1"/>
        <c:lblAlgn val="ctr"/>
        <c:lblOffset val="100"/>
        <c:noMultiLvlLbl val="0"/>
      </c:catAx>
      <c:spPr>
        <a:noFill/>
        <a:ln>
          <a:solidFill>
            <a:schemeClr val="bg1">
              <a:lumMod val="75000"/>
            </a:schemeClr>
          </a:solidFill>
        </a:ln>
        <a:effectLst/>
      </c:spPr>
    </c:plotArea>
    <c:legend>
      <c:legendPos val="b"/>
      <c:layout>
        <c:manualLayout>
          <c:xMode val="edge"/>
          <c:yMode val="edge"/>
          <c:x val="0"/>
          <c:y val="9.4953354468695194E-3"/>
          <c:w val="1"/>
          <c:h val="4.341677809141782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7543593391396"/>
          <c:y val="1.0136741472626415E-2"/>
          <c:w val="0.6297556794659821"/>
          <c:h val="0.98525918635170606"/>
        </c:manualLayout>
      </c:layout>
      <c:barChart>
        <c:barDir val="bar"/>
        <c:grouping val="clustered"/>
        <c:varyColors val="0"/>
        <c:ser>
          <c:idx val="0"/>
          <c:order val="0"/>
          <c:spPr>
            <a:solidFill>
              <a:schemeClr val="accent1"/>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'1.7'!$A$3:$A$22</c:f>
              <c:strCache>
                <c:ptCount val="20"/>
                <c:pt idx="0">
                  <c:v>Kulturní, zábavní a rekreační činnosti</c:v>
                </c:pt>
                <c:pt idx="1">
                  <c:v>Ubytování, stravování a pohostinství</c:v>
                </c:pt>
                <c:pt idx="2">
                  <c:v>Profesní, vědecké a technické činnosti</c:v>
                </c:pt>
                <c:pt idx="3">
                  <c:v>Stavebnictví</c:v>
                </c:pt>
                <c:pt idx="4">
                  <c:v>Oobchod; opravy vozidel</c:v>
                </c:pt>
                <c:pt idx="5">
                  <c:v>Čin. v oblasti nemovitostí a administrativy</c:v>
                </c:pt>
                <c:pt idx="6">
                  <c:v>Doprava a skladování</c:v>
                </c:pt>
                <c:pt idx="7">
                  <c:v>Informační a komunikační činnosti</c:v>
                </c:pt>
                <c:pt idx="8">
                  <c:v>Průmysl</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Podniky celkem</c:v>
                </c:pt>
              </c:strCache>
            </c:strRef>
          </c:cat>
          <c:val>
            <c:numRef>
              <c:f>'1.7'!$B$3:$B$22</c:f>
              <c:numCache>
                <c:formatCode>0.0%</c:formatCode>
                <c:ptCount val="20"/>
                <c:pt idx="0">
                  <c:v>3.7582387262999999E-2</c:v>
                </c:pt>
                <c:pt idx="1">
                  <c:v>4.7176516214999999E-2</c:v>
                </c:pt>
                <c:pt idx="2">
                  <c:v>5.6706325929999996E-2</c:v>
                </c:pt>
                <c:pt idx="3">
                  <c:v>7.2090905779E-2</c:v>
                </c:pt>
                <c:pt idx="4">
                  <c:v>7.4972009056999994E-2</c:v>
                </c:pt>
                <c:pt idx="5">
                  <c:v>7.7176994944999994E-2</c:v>
                </c:pt>
                <c:pt idx="6">
                  <c:v>7.7832068687000003E-2</c:v>
                </c:pt>
                <c:pt idx="7">
                  <c:v>8.1544881530000002E-2</c:v>
                </c:pt>
                <c:pt idx="8">
                  <c:v>9.519770321099999E-2</c:v>
                </c:pt>
                <c:pt idx="9">
                  <c:v>0.14495083966199998</c:v>
                </c:pt>
                <c:pt idx="11">
                  <c:v>0.127959007968</c:v>
                </c:pt>
                <c:pt idx="12">
                  <c:v>7.0164144679999998E-2</c:v>
                </c:pt>
                <c:pt idx="14">
                  <c:v>0.24217375007699998</c:v>
                </c:pt>
                <c:pt idx="15">
                  <c:v>0.133670427491</c:v>
                </c:pt>
                <c:pt idx="16">
                  <c:v>6.1492837442999999E-2</c:v>
                </c:pt>
                <c:pt idx="17">
                  <c:v>5.4921646241000002E-2</c:v>
                </c:pt>
                <c:pt idx="19">
                  <c:v>7.8680249297000002E-2</c:v>
                </c:pt>
              </c:numCache>
            </c:numRef>
          </c:val>
          <c:extLst>
            <c:ext xmlns:c16="http://schemas.microsoft.com/office/drawing/2014/chart" uri="{C3380CC4-5D6E-409C-BE32-E72D297353CC}">
              <c16:uniqueId val="{00000000-D98E-4731-9F1E-8C425AC50287}"/>
            </c:ext>
          </c:extLst>
        </c:ser>
        <c:dLbls>
          <c:showLegendKey val="0"/>
          <c:showVal val="0"/>
          <c:showCatName val="0"/>
          <c:showSerName val="0"/>
          <c:showPercent val="0"/>
          <c:showBubbleSize val="0"/>
        </c:dLbls>
        <c:gapWidth val="26"/>
        <c:axId val="660969743"/>
        <c:axId val="660970159"/>
      </c:barChart>
      <c:catAx>
        <c:axId val="660969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60970159"/>
        <c:crosses val="autoZero"/>
        <c:auto val="1"/>
        <c:lblAlgn val="ctr"/>
        <c:lblOffset val="100"/>
        <c:noMultiLvlLbl val="0"/>
      </c:catAx>
      <c:valAx>
        <c:axId val="660970159"/>
        <c:scaling>
          <c:orientation val="minMax"/>
          <c:max val="0.25"/>
        </c:scaling>
        <c:delete val="0"/>
        <c:axPos val="b"/>
        <c:numFmt formatCode="0\ %" sourceLinked="0"/>
        <c:majorTickMark val="none"/>
        <c:minorTickMark val="none"/>
        <c:tickLblPos val="none"/>
        <c:spPr>
          <a:noFill/>
          <a:ln>
            <a:solidFill>
              <a:schemeClr val="bg1">
                <a:lumMod val="75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660969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76737045037512"/>
          <c:y val="6.7124332570556833E-2"/>
          <c:w val="0.59139423501265886"/>
          <c:h val="0.90508850009309472"/>
        </c:manualLayout>
      </c:layout>
      <c:barChart>
        <c:barDir val="bar"/>
        <c:grouping val="stacked"/>
        <c:varyColors val="0"/>
        <c:ser>
          <c:idx val="0"/>
          <c:order val="0"/>
          <c:tx>
            <c:strRef>
              <c:f>'1.8'!$B$1</c:f>
              <c:strCache>
                <c:ptCount val="1"/>
                <c:pt idx="0">
                  <c:v>Hodnotí pravidelně</c:v>
                </c:pt>
              </c:strCache>
            </c:strRef>
          </c:tx>
          <c:spPr>
            <a:solidFill>
              <a:schemeClr val="accent3">
                <a:lumMod val="50000"/>
              </a:schemeClr>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'1.8'!$A$2:$A$21</c:f>
              <c:strCache>
                <c:ptCount val="20"/>
                <c:pt idx="0">
                  <c:v>Ubytování, stravování a pohostinství</c:v>
                </c:pt>
                <c:pt idx="1">
                  <c:v>Doprava a skladování</c:v>
                </c:pt>
                <c:pt idx="2">
                  <c:v>Čin. v oblasti nemovitostí a administrativy</c:v>
                </c:pt>
                <c:pt idx="3">
                  <c:v>Kulturní, zábavní a rekreační činnosti</c:v>
                </c:pt>
                <c:pt idx="4">
                  <c:v>Stavebnictví</c:v>
                </c:pt>
                <c:pt idx="5">
                  <c:v>Oobchod; opravy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'1.8'!$B$2:$B$21</c:f>
              <c:numCache>
                <c:formatCode>0.0%</c:formatCode>
                <c:ptCount val="20"/>
                <c:pt idx="0">
                  <c:v>0.10927906924400001</c:v>
                </c:pt>
                <c:pt idx="1">
                  <c:v>0.1555444389458307</c:v>
                </c:pt>
                <c:pt idx="2">
                  <c:v>0.17244256003299999</c:v>
                </c:pt>
                <c:pt idx="3">
                  <c:v>4.4552986715999998E-2</c:v>
                </c:pt>
                <c:pt idx="4">
                  <c:v>0.193531812523</c:v>
                </c:pt>
                <c:pt idx="5">
                  <c:v>0.19953958770900002</c:v>
                </c:pt>
                <c:pt idx="6">
                  <c:v>0.23085904067200003</c:v>
                </c:pt>
                <c:pt idx="7">
                  <c:v>0.30758131427800001</c:v>
                </c:pt>
                <c:pt idx="8">
                  <c:v>0.394754194043</c:v>
                </c:pt>
                <c:pt idx="9">
                  <c:v>0.43437465615400001</c:v>
                </c:pt>
                <c:pt idx="11">
                  <c:v>0.42106458943800001</c:v>
                </c:pt>
                <c:pt idx="12">
                  <c:v>0.17821363183799999</c:v>
                </c:pt>
                <c:pt idx="14">
                  <c:v>0.60311530686468973</c:v>
                </c:pt>
                <c:pt idx="15">
                  <c:v>0.321071935787</c:v>
                </c:pt>
                <c:pt idx="16">
                  <c:v>0.19623288513500001</c:v>
                </c:pt>
                <c:pt idx="17">
                  <c:v>0.150761588187</c:v>
                </c:pt>
                <c:pt idx="19">
                  <c:v>0.21399785285200001</c:v>
                </c:pt>
              </c:numCache>
            </c:numRef>
          </c:val>
          <c:extLst>
            <c:ext xmlns:c16="http://schemas.microsoft.com/office/drawing/2014/chart" uri="{C3380CC4-5D6E-409C-BE32-E72D297353CC}">
              <c16:uniqueId val="{00000000-067B-4E3C-8887-BDD44555F45F}"/>
            </c:ext>
          </c:extLst>
        </c:ser>
        <c:ser>
          <c:idx val="1"/>
          <c:order val="1"/>
          <c:tx>
            <c:strRef>
              <c:f>'1.8'!$C$1</c:f>
              <c:strCache>
                <c:ptCount val="1"/>
                <c:pt idx="0">
                  <c:v>Hodnotí nepravidelně</c:v>
                </c:pt>
              </c:strCache>
            </c:strRef>
          </c:tx>
          <c:spPr>
            <a:solidFill>
              <a:srgbClr val="92D05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'1.8'!$A$2:$A$21</c:f>
              <c:strCache>
                <c:ptCount val="20"/>
                <c:pt idx="0">
                  <c:v>Ubytování, stravování a pohostinství</c:v>
                </c:pt>
                <c:pt idx="1">
                  <c:v>Doprava a skladování</c:v>
                </c:pt>
                <c:pt idx="2">
                  <c:v>Čin. v oblasti nemovitostí a administrativy</c:v>
                </c:pt>
                <c:pt idx="3">
                  <c:v>Kulturní, zábavní a rekreační činnosti</c:v>
                </c:pt>
                <c:pt idx="4">
                  <c:v>Stavebnictví</c:v>
                </c:pt>
                <c:pt idx="5">
                  <c:v>Oobchod; opravy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'1.8'!$C$2:$C$21</c:f>
              <c:numCache>
                <c:formatCode>0.0%</c:formatCode>
                <c:ptCount val="20"/>
                <c:pt idx="0">
                  <c:v>0.46872454441099998</c:v>
                </c:pt>
                <c:pt idx="1">
                  <c:v>0.42268657768744011</c:v>
                </c:pt>
                <c:pt idx="2">
                  <c:v>0.41068942315100004</c:v>
                </c:pt>
                <c:pt idx="3">
                  <c:v>0.61074211427500003</c:v>
                </c:pt>
                <c:pt idx="4">
                  <c:v>0.46806073672099996</c:v>
                </c:pt>
                <c:pt idx="5">
                  <c:v>0.49280504639699996</c:v>
                </c:pt>
                <c:pt idx="6">
                  <c:v>0.48278390941999999</c:v>
                </c:pt>
                <c:pt idx="7">
                  <c:v>0.49237888758799997</c:v>
                </c:pt>
                <c:pt idx="8">
                  <c:v>0.46770784734400001</c:v>
                </c:pt>
                <c:pt idx="9">
                  <c:v>0.43798281288500002</c:v>
                </c:pt>
                <c:pt idx="11">
                  <c:v>0.42872693592799999</c:v>
                </c:pt>
                <c:pt idx="12">
                  <c:v>0.48189601862999998</c:v>
                </c:pt>
                <c:pt idx="14">
                  <c:v>0.32407860961990709</c:v>
                </c:pt>
                <c:pt idx="15">
                  <c:v>0.45762257584300003</c:v>
                </c:pt>
                <c:pt idx="16">
                  <c:v>0.49783757004500001</c:v>
                </c:pt>
                <c:pt idx="17">
                  <c:v>0.47760788255300002</c:v>
                </c:pt>
                <c:pt idx="19">
                  <c:v>0.47406152530399998</c:v>
                </c:pt>
              </c:numCache>
            </c:numRef>
          </c:val>
          <c:extLst>
            <c:ext xmlns:c16="http://schemas.microsoft.com/office/drawing/2014/chart" uri="{C3380CC4-5D6E-409C-BE32-E72D297353CC}">
              <c16:uniqueId val="{00000001-067B-4E3C-8887-BDD44555F45F}"/>
            </c:ext>
          </c:extLst>
        </c:ser>
        <c:ser>
          <c:idx val="2"/>
          <c:order val="2"/>
          <c:tx>
            <c:strRef>
              <c:f>'1.8'!$D$1</c:f>
              <c:strCache>
                <c:ptCount val="1"/>
                <c:pt idx="0">
                  <c:v>Nehodnotí</c:v>
                </c:pt>
              </c:strCache>
            </c:strRef>
          </c:tx>
          <c:spPr>
            <a:solidFill>
              <a:srgbClr val="D09E00"/>
            </a:solidFill>
            <a:ln>
              <a:noFill/>
            </a:ln>
            <a:effectLst/>
          </c:spPr>
          <c:invertIfNegative val="0"/>
          <c:dLbls>
            <c:numFmt formatCode="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'1.8'!$A$2:$A$21</c:f>
              <c:strCache>
                <c:ptCount val="20"/>
                <c:pt idx="0">
                  <c:v>Ubytování, stravování a pohostinství</c:v>
                </c:pt>
                <c:pt idx="1">
                  <c:v>Doprava a skladování</c:v>
                </c:pt>
                <c:pt idx="2">
                  <c:v>Čin. v oblasti nemovitostí a administrativy</c:v>
                </c:pt>
                <c:pt idx="3">
                  <c:v>Kulturní, zábavní a rekreační činnosti</c:v>
                </c:pt>
                <c:pt idx="4">
                  <c:v>Stavebnictví</c:v>
                </c:pt>
                <c:pt idx="5">
                  <c:v>Oobchod; opravy vozidel</c:v>
                </c:pt>
                <c:pt idx="6">
                  <c:v>Průmysl</c:v>
                </c:pt>
                <c:pt idx="7">
                  <c:v>Profesní, vědecké a technické činnosti</c:v>
                </c:pt>
                <c:pt idx="8">
                  <c:v>Informační a komunikační činnosti</c:v>
                </c:pt>
                <c:pt idx="9">
                  <c:v>Peněžnictví a pojišťovnictví</c:v>
                </c:pt>
                <c:pt idx="10">
                  <c:v>Odvětvová sekce:</c:v>
                </c:pt>
                <c:pt idx="11">
                  <c:v>podniky pod zahraniční kontrolou</c:v>
                </c:pt>
                <c:pt idx="12">
                  <c:v>domácí podniky</c:v>
                </c:pt>
                <c:pt idx="13">
                  <c:v>Vlastnictví:</c:v>
                </c:pt>
                <c:pt idx="14">
                  <c:v>250 a více zaměstnanců</c:v>
                </c:pt>
                <c:pt idx="15">
                  <c:v>50–249 zaměstnanců</c:v>
                </c:pt>
                <c:pt idx="16">
                  <c:v>20–49 zaměstnanců</c:v>
                </c:pt>
                <c:pt idx="17">
                  <c:v>10–19 zaměstnanců</c:v>
                </c:pt>
                <c:pt idx="18">
                  <c:v>Velikost:</c:v>
                </c:pt>
                <c:pt idx="19">
                  <c:v>celkem</c:v>
                </c:pt>
              </c:strCache>
            </c:strRef>
          </c:cat>
          <c:val>
            <c:numRef>
              <c:f>'1.8'!$D$2:$D$21</c:f>
              <c:numCache>
                <c:formatCode>0.0%</c:formatCode>
                <c:ptCount val="20"/>
                <c:pt idx="0">
                  <c:v>0.42199638634499997</c:v>
                </c:pt>
                <c:pt idx="1">
                  <c:v>0.42176898336672841</c:v>
                </c:pt>
                <c:pt idx="2">
                  <c:v>0.416868016816</c:v>
                </c:pt>
                <c:pt idx="3">
                  <c:v>0.34470489900899998</c:v>
                </c:pt>
                <c:pt idx="4">
                  <c:v>0.33840745075599998</c:v>
                </c:pt>
                <c:pt idx="5">
                  <c:v>0.307655365894</c:v>
                </c:pt>
                <c:pt idx="6">
                  <c:v>0.28635704990700001</c:v>
                </c:pt>
                <c:pt idx="7">
                  <c:v>0.200039798134</c:v>
                </c:pt>
                <c:pt idx="8">
                  <c:v>0.137537958613</c:v>
                </c:pt>
                <c:pt idx="9">
                  <c:v>0.12764253096099998</c:v>
                </c:pt>
                <c:pt idx="11">
                  <c:v>0.15056913711299999</c:v>
                </c:pt>
                <c:pt idx="12">
                  <c:v>0.339890349531</c:v>
                </c:pt>
                <c:pt idx="14">
                  <c:v>7.2806083515405198E-2</c:v>
                </c:pt>
                <c:pt idx="15">
                  <c:v>0.22130548837</c:v>
                </c:pt>
                <c:pt idx="16">
                  <c:v>0.30592954482000001</c:v>
                </c:pt>
                <c:pt idx="17">
                  <c:v>0.37163052926000001</c:v>
                </c:pt>
                <c:pt idx="19">
                  <c:v>0.31199376565699999</c:v>
                </c:pt>
              </c:numCache>
            </c:numRef>
          </c:val>
          <c:extLst>
            <c:ext xmlns:c16="http://schemas.microsoft.com/office/drawing/2014/chart" uri="{C3380CC4-5D6E-409C-BE32-E72D297353CC}">
              <c16:uniqueId val="{00000002-067B-4E3C-8887-BDD44555F45F}"/>
            </c:ext>
          </c:extLst>
        </c:ser>
        <c:dLbls>
          <c:showLegendKey val="0"/>
          <c:showVal val="0"/>
          <c:showCatName val="0"/>
          <c:showSerName val="0"/>
          <c:showPercent val="0"/>
          <c:showBubbleSize val="0"/>
        </c:dLbls>
        <c:gapWidth val="24"/>
        <c:overlap val="100"/>
        <c:axId val="2062786047"/>
        <c:axId val="2062778143"/>
      </c:barChart>
      <c:catAx>
        <c:axId val="2062786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62778143"/>
        <c:crosses val="autoZero"/>
        <c:auto val="1"/>
        <c:lblAlgn val="ctr"/>
        <c:lblOffset val="100"/>
        <c:noMultiLvlLbl val="0"/>
      </c:catAx>
      <c:valAx>
        <c:axId val="2062778143"/>
        <c:scaling>
          <c:orientation val="minMax"/>
          <c:max val="1"/>
        </c:scaling>
        <c:delete val="0"/>
        <c:axPos val="b"/>
        <c:numFmt formatCode="0\ %" sourceLinked="0"/>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062786047"/>
        <c:crosses val="autoZero"/>
        <c:crossBetween val="between"/>
      </c:valAx>
      <c:spPr>
        <a:noFill/>
        <a:ln>
          <a:solidFill>
            <a:schemeClr val="bg1">
              <a:lumMod val="65000"/>
            </a:schemeClr>
          </a:solidFill>
        </a:ln>
        <a:effectLst/>
      </c:spPr>
    </c:plotArea>
    <c:legend>
      <c:legendPos val="b"/>
      <c:layout>
        <c:manualLayout>
          <c:xMode val="edge"/>
          <c:yMode val="edge"/>
          <c:x val="0.32640453014239357"/>
          <c:y val="1.4985062351077084E-2"/>
          <c:w val="0.64223185376164249"/>
          <c:h val="3.30067612516177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2"/>
              <c:layout>
                <c:manualLayout>
                  <c:x val="-3.267154105736783E-3"/>
                  <c:y val="0"/>
                </c:manualLayout>
              </c:layout>
              <c:numFmt formatCode="0\ %"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26-441F-85BD-E2842987820A}"/>
                </c:ext>
              </c:extLst>
            </c:dLbl>
            <c:numFmt formatCode="0\ %" sourceLinked="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'1.9, 1.10'!$B$2:$B$6</c:f>
              <c:strCache>
                <c:ptCount val="5"/>
                <c:pt idx="0">
                  <c:v>Ani jedním z výše uvedených způsobů</c:v>
                </c:pt>
                <c:pt idx="1">
                  <c:v>Přistoupením k vnitřní reorganizaci za účelem lepšího využití stávajících dovedností a schopností zaměstnanců</c:v>
                </c:pt>
                <c:pt idx="2">
                  <c:v>Nabíráním nových pracovníků, kterým následně zajistí potřebné vzdělávání</c:v>
                </c:pt>
                <c:pt idx="3">
                  <c:v>Nabíráním nových pracovníků s odpovídající kvalifikací, dovednostmi a schopnostmi</c:v>
                </c:pt>
                <c:pt idx="4">
                  <c:v>Zajištěním potřebného vzdělávání  stávajícím zaměstnancům</c:v>
                </c:pt>
              </c:strCache>
            </c:strRef>
          </c:cat>
          <c:val>
            <c:numRef>
              <c:f>'1.9, 1.10'!$C$2:$C$6</c:f>
              <c:numCache>
                <c:formatCode>0.0%</c:formatCode>
                <c:ptCount val="5"/>
                <c:pt idx="0">
                  <c:v>0.29812114726299999</c:v>
                </c:pt>
                <c:pt idx="1">
                  <c:v>0.22053136383399999</c:v>
                </c:pt>
                <c:pt idx="2">
                  <c:v>4.0998474671999997E-2</c:v>
                </c:pt>
                <c:pt idx="3">
                  <c:v>0.221656468838</c:v>
                </c:pt>
                <c:pt idx="4">
                  <c:v>0.52092513716599997</c:v>
                </c:pt>
              </c:numCache>
            </c:numRef>
          </c:val>
          <c:extLst>
            <c:ext xmlns:c16="http://schemas.microsoft.com/office/drawing/2014/chart" uri="{C3380CC4-5D6E-409C-BE32-E72D297353CC}">
              <c16:uniqueId val="{00000001-1526-441F-85BD-E2842987820A}"/>
            </c:ext>
          </c:extLst>
        </c:ser>
        <c:dLbls>
          <c:showLegendKey val="0"/>
          <c:showVal val="0"/>
          <c:showCatName val="0"/>
          <c:showSerName val="0"/>
          <c:showPercent val="0"/>
          <c:showBubbleSize val="0"/>
        </c:dLbls>
        <c:gapWidth val="38"/>
        <c:axId val="431515743"/>
        <c:axId val="431516991"/>
      </c:barChart>
      <c:catAx>
        <c:axId val="431515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431516991"/>
        <c:crosses val="autoZero"/>
        <c:auto val="1"/>
        <c:lblAlgn val="ctr"/>
        <c:lblOffset val="100"/>
        <c:noMultiLvlLbl val="0"/>
      </c:catAx>
      <c:valAx>
        <c:axId val="431516991"/>
        <c:scaling>
          <c:orientation val="minMax"/>
        </c:scaling>
        <c:delete val="0"/>
        <c:axPos val="b"/>
        <c:numFmt formatCode="0\ %" sourceLinked="0"/>
        <c:majorTickMark val="none"/>
        <c:minorTickMark val="none"/>
        <c:tickLblPos val="none"/>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431515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0.22171</cdr:x>
      <cdr:y>0.3555</cdr:y>
    </cdr:from>
    <cdr:to>
      <cdr:x>0.32093</cdr:x>
      <cdr:y>0.3945</cdr:y>
    </cdr:to>
    <cdr:sp macro="" textlink="">
      <cdr:nvSpPr>
        <cdr:cNvPr id="2" name="Zaoblený obdélník 1"/>
        <cdr:cNvSpPr/>
      </cdr:nvSpPr>
      <cdr:spPr>
        <a:xfrm xmlns:a="http://schemas.openxmlformats.org/drawingml/2006/main">
          <a:off x="1362076" y="1476370"/>
          <a:ext cx="609594" cy="16192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cs-CZ"/>
        </a:p>
      </cdr:txBody>
    </cdr:sp>
  </cdr:relSizeAnchor>
  <cdr:relSizeAnchor xmlns:cdr="http://schemas.openxmlformats.org/drawingml/2006/chartDrawing">
    <cdr:from>
      <cdr:x>0.18204</cdr:x>
      <cdr:y>0.49541</cdr:y>
    </cdr:from>
    <cdr:to>
      <cdr:x>0.32595</cdr:x>
      <cdr:y>0.53288</cdr:y>
    </cdr:to>
    <cdr:sp macro="" textlink="">
      <cdr:nvSpPr>
        <cdr:cNvPr id="3" name="Zaoblený obdélník 2"/>
        <cdr:cNvSpPr/>
      </cdr:nvSpPr>
      <cdr:spPr>
        <a:xfrm xmlns:a="http://schemas.openxmlformats.org/drawingml/2006/main">
          <a:off x="1118395" y="2057379"/>
          <a:ext cx="884129" cy="15561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10.xml><?xml version="1.0" encoding="utf-8"?>
<c:userShapes xmlns:c="http://schemas.openxmlformats.org/drawingml/2006/chart">
  <cdr:relSizeAnchor xmlns:cdr="http://schemas.openxmlformats.org/drawingml/2006/chartDrawing">
    <cdr:from>
      <cdr:x>0.23656</cdr:x>
      <cdr:y>0.07839</cdr:y>
    </cdr:from>
    <cdr:to>
      <cdr:x>0.32061</cdr:x>
      <cdr:y>0.1247</cdr:y>
    </cdr:to>
    <cdr:sp macro="" textlink="">
      <cdr:nvSpPr>
        <cdr:cNvPr id="2" name="Zaoblený obdélník 1"/>
        <cdr:cNvSpPr/>
      </cdr:nvSpPr>
      <cdr:spPr>
        <a:xfrm xmlns:a="http://schemas.openxmlformats.org/drawingml/2006/main">
          <a:off x="1447800" y="311360"/>
          <a:ext cx="514350" cy="18394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0.22878</cdr:x>
      <cdr:y>0.3116</cdr:y>
    </cdr:from>
    <cdr:to>
      <cdr:x>0.32061</cdr:x>
      <cdr:y>0.35251</cdr:y>
    </cdr:to>
    <cdr:sp macro="" textlink="">
      <cdr:nvSpPr>
        <cdr:cNvPr id="3" name="Zaoblený obdélník 2"/>
        <cdr:cNvSpPr/>
      </cdr:nvSpPr>
      <cdr:spPr>
        <a:xfrm xmlns:a="http://schemas.openxmlformats.org/drawingml/2006/main">
          <a:off x="1400163" y="1237669"/>
          <a:ext cx="562012" cy="162491"/>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0.17275</cdr:x>
      <cdr:y>0.44859</cdr:y>
    </cdr:from>
    <cdr:to>
      <cdr:x>0.31905</cdr:x>
      <cdr:y>0.4964</cdr:y>
    </cdr:to>
    <cdr:sp macro="" textlink="">
      <cdr:nvSpPr>
        <cdr:cNvPr id="4" name="Zaoblený obdélník 3"/>
        <cdr:cNvSpPr/>
      </cdr:nvSpPr>
      <cdr:spPr>
        <a:xfrm xmlns:a="http://schemas.openxmlformats.org/drawingml/2006/main">
          <a:off x="1057258" y="1781775"/>
          <a:ext cx="895375" cy="189898"/>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11.xml><?xml version="1.0" encoding="utf-8"?>
<c:userShapes xmlns:c="http://schemas.openxmlformats.org/drawingml/2006/chart">
  <cdr:relSizeAnchor xmlns:cdr="http://schemas.openxmlformats.org/drawingml/2006/chartDrawing">
    <cdr:from>
      <cdr:x>0.22984</cdr:x>
      <cdr:y>0.0786</cdr:y>
    </cdr:from>
    <cdr:to>
      <cdr:x>0.39831</cdr:x>
      <cdr:y>0.11789</cdr:y>
    </cdr:to>
    <cdr:sp macro="" textlink="">
      <cdr:nvSpPr>
        <cdr:cNvPr id="2" name="Zaoblený obdélník 1"/>
        <cdr:cNvSpPr/>
      </cdr:nvSpPr>
      <cdr:spPr>
        <a:xfrm xmlns:a="http://schemas.openxmlformats.org/drawingml/2006/main">
          <a:off x="1212850" y="355600"/>
          <a:ext cx="888985" cy="1778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0.22804</cdr:x>
      <cdr:y>0.31018</cdr:y>
    </cdr:from>
    <cdr:to>
      <cdr:x>0.39651</cdr:x>
      <cdr:y>0.34947</cdr:y>
    </cdr:to>
    <cdr:sp macro="" textlink="">
      <cdr:nvSpPr>
        <cdr:cNvPr id="3" name="Zaoblený obdélník 2"/>
        <cdr:cNvSpPr/>
      </cdr:nvSpPr>
      <cdr:spPr>
        <a:xfrm xmlns:a="http://schemas.openxmlformats.org/drawingml/2006/main">
          <a:off x="1203325" y="1403350"/>
          <a:ext cx="888985" cy="1778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0.22623</cdr:x>
      <cdr:y>0.44912</cdr:y>
    </cdr:from>
    <cdr:to>
      <cdr:x>0.3947</cdr:x>
      <cdr:y>0.48842</cdr:y>
    </cdr:to>
    <cdr:sp macro="" textlink="">
      <cdr:nvSpPr>
        <cdr:cNvPr id="4" name="Zaoblený obdélník 3"/>
        <cdr:cNvSpPr/>
      </cdr:nvSpPr>
      <cdr:spPr>
        <a:xfrm xmlns:a="http://schemas.openxmlformats.org/drawingml/2006/main">
          <a:off x="1193800" y="2032000"/>
          <a:ext cx="888985" cy="1778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12.xml><?xml version="1.0" encoding="utf-8"?>
<c:userShapes xmlns:c="http://schemas.openxmlformats.org/drawingml/2006/chart">
  <cdr:relSizeAnchor xmlns:cdr="http://schemas.openxmlformats.org/drawingml/2006/chartDrawing">
    <cdr:from>
      <cdr:x>0.24645</cdr:x>
      <cdr:y>0.07954</cdr:y>
    </cdr:from>
    <cdr:to>
      <cdr:x>0.33306</cdr:x>
      <cdr:y>0.11652</cdr:y>
    </cdr:to>
    <cdr:sp macro="" textlink="">
      <cdr:nvSpPr>
        <cdr:cNvPr id="2" name="Zaoblený obdélník 1"/>
        <cdr:cNvSpPr/>
      </cdr:nvSpPr>
      <cdr:spPr>
        <a:xfrm xmlns:a="http://schemas.openxmlformats.org/drawingml/2006/main">
          <a:off x="1463566" y="359869"/>
          <a:ext cx="514335" cy="167311"/>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0.23496</cdr:x>
      <cdr:y>0.31112</cdr:y>
    </cdr:from>
    <cdr:to>
      <cdr:x>0.33627</cdr:x>
      <cdr:y>0.34736</cdr:y>
    </cdr:to>
    <cdr:sp macro="" textlink="">
      <cdr:nvSpPr>
        <cdr:cNvPr id="3" name="Zaoblený obdélník 2"/>
        <cdr:cNvSpPr/>
      </cdr:nvSpPr>
      <cdr:spPr>
        <a:xfrm xmlns:a="http://schemas.openxmlformats.org/drawingml/2006/main">
          <a:off x="1395294" y="1407645"/>
          <a:ext cx="601632" cy="163963"/>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0.17722</cdr:x>
      <cdr:y>0.45638</cdr:y>
    </cdr:from>
    <cdr:to>
      <cdr:x>0.33466</cdr:x>
      <cdr:y>0.49263</cdr:y>
    </cdr:to>
    <cdr:sp macro="" textlink="">
      <cdr:nvSpPr>
        <cdr:cNvPr id="4" name="Zaoblený obdélník 3"/>
        <cdr:cNvSpPr/>
      </cdr:nvSpPr>
      <cdr:spPr>
        <a:xfrm xmlns:a="http://schemas.openxmlformats.org/drawingml/2006/main">
          <a:off x="1052429" y="2064834"/>
          <a:ext cx="934961" cy="16400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13.xml><?xml version="1.0" encoding="utf-8"?>
<c:userShapes xmlns:c="http://schemas.openxmlformats.org/drawingml/2006/chart">
  <cdr:relSizeAnchor xmlns:cdr="http://schemas.openxmlformats.org/drawingml/2006/chartDrawing">
    <cdr:from>
      <cdr:x>0.33841</cdr:x>
      <cdr:y>0.08749</cdr:y>
    </cdr:from>
    <cdr:to>
      <cdr:x>0.42422</cdr:x>
      <cdr:y>0.12364</cdr:y>
    </cdr:to>
    <cdr:sp macro="" textlink="">
      <cdr:nvSpPr>
        <cdr:cNvPr id="3" name="Zaoblený obdélník 2"/>
        <cdr:cNvSpPr/>
      </cdr:nvSpPr>
      <cdr:spPr>
        <a:xfrm xmlns:a="http://schemas.openxmlformats.org/drawingml/2006/main">
          <a:off x="2009775" y="384176"/>
          <a:ext cx="509573" cy="15874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0.32398</cdr:x>
      <cdr:y>0.32176</cdr:y>
    </cdr:from>
    <cdr:to>
      <cdr:x>0.42261</cdr:x>
      <cdr:y>0.36009</cdr:y>
    </cdr:to>
    <cdr:sp macro="" textlink="">
      <cdr:nvSpPr>
        <cdr:cNvPr id="4" name="Zaoblený obdélník 3"/>
        <cdr:cNvSpPr/>
      </cdr:nvSpPr>
      <cdr:spPr>
        <a:xfrm xmlns:a="http://schemas.openxmlformats.org/drawingml/2006/main">
          <a:off x="1924050" y="1412875"/>
          <a:ext cx="585774" cy="168275"/>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0.27105</cdr:x>
      <cdr:y>0.45842</cdr:y>
    </cdr:from>
    <cdr:to>
      <cdr:x>0.4194</cdr:x>
      <cdr:y>0.49892</cdr:y>
    </cdr:to>
    <cdr:sp macro="" textlink="">
      <cdr:nvSpPr>
        <cdr:cNvPr id="5" name="Zaoblený obdélník 4"/>
        <cdr:cNvSpPr/>
      </cdr:nvSpPr>
      <cdr:spPr>
        <a:xfrm xmlns:a="http://schemas.openxmlformats.org/drawingml/2006/main">
          <a:off x="1609724" y="2012950"/>
          <a:ext cx="881049" cy="1778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14.xml><?xml version="1.0" encoding="utf-8"?>
<c:userShapes xmlns:c="http://schemas.openxmlformats.org/drawingml/2006/chart">
  <cdr:relSizeAnchor xmlns:cdr="http://schemas.openxmlformats.org/drawingml/2006/chartDrawing">
    <cdr:from>
      <cdr:x>0.34357</cdr:x>
      <cdr:y>0.09013</cdr:y>
    </cdr:from>
    <cdr:to>
      <cdr:x>0.42372</cdr:x>
      <cdr:y>0.12326</cdr:y>
    </cdr:to>
    <cdr:sp macro="" textlink="">
      <cdr:nvSpPr>
        <cdr:cNvPr id="2" name="Zaoblený obdélník 1"/>
        <cdr:cNvSpPr/>
      </cdr:nvSpPr>
      <cdr:spPr>
        <a:xfrm xmlns:a="http://schemas.openxmlformats.org/drawingml/2006/main">
          <a:off x="2184400" y="431800"/>
          <a:ext cx="509573" cy="15874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0.33109</cdr:x>
      <cdr:y>0.3108</cdr:y>
    </cdr:from>
    <cdr:to>
      <cdr:x>0.42072</cdr:x>
      <cdr:y>0.3499</cdr:y>
    </cdr:to>
    <cdr:sp macro="" textlink="">
      <cdr:nvSpPr>
        <cdr:cNvPr id="4" name="Zaoblený obdélník 3"/>
        <cdr:cNvSpPr/>
      </cdr:nvSpPr>
      <cdr:spPr>
        <a:xfrm xmlns:a="http://schemas.openxmlformats.org/drawingml/2006/main">
          <a:off x="2105026" y="1489075"/>
          <a:ext cx="569898" cy="187325"/>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0.27566</cdr:x>
      <cdr:y>0.45394</cdr:y>
    </cdr:from>
    <cdr:to>
      <cdr:x>0.42222</cdr:x>
      <cdr:y>0.48907</cdr:y>
    </cdr:to>
    <cdr:sp macro="" textlink="">
      <cdr:nvSpPr>
        <cdr:cNvPr id="5" name="Zaoblený obdélník 4"/>
        <cdr:cNvSpPr/>
      </cdr:nvSpPr>
      <cdr:spPr>
        <a:xfrm xmlns:a="http://schemas.openxmlformats.org/drawingml/2006/main">
          <a:off x="1752601" y="2174875"/>
          <a:ext cx="931848" cy="168275"/>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2.xml><?xml version="1.0" encoding="utf-8"?>
<c:userShapes xmlns:c="http://schemas.openxmlformats.org/drawingml/2006/chart">
  <cdr:relSizeAnchor xmlns:cdr="http://schemas.openxmlformats.org/drawingml/2006/chartDrawing">
    <cdr:from>
      <cdr:x>0.28885</cdr:x>
      <cdr:y>0.1164</cdr:y>
    </cdr:from>
    <cdr:to>
      <cdr:x>0.37885</cdr:x>
      <cdr:y>0.15614</cdr:y>
    </cdr:to>
    <cdr:sp macro="" textlink="">
      <cdr:nvSpPr>
        <cdr:cNvPr id="2" name="Zaoblený obdélník 1"/>
        <cdr:cNvSpPr/>
      </cdr:nvSpPr>
      <cdr:spPr>
        <a:xfrm xmlns:a="http://schemas.openxmlformats.org/drawingml/2006/main">
          <a:off x="1791083" y="490050"/>
          <a:ext cx="558070" cy="167307"/>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0.27624</cdr:x>
      <cdr:y>0.33509</cdr:y>
    </cdr:from>
    <cdr:to>
      <cdr:x>0.38013</cdr:x>
      <cdr:y>0.38042</cdr:y>
    </cdr:to>
    <cdr:sp macro="" textlink="">
      <cdr:nvSpPr>
        <cdr:cNvPr id="3" name="Zaoblený obdélník 2"/>
        <cdr:cNvSpPr/>
      </cdr:nvSpPr>
      <cdr:spPr>
        <a:xfrm xmlns:a="http://schemas.openxmlformats.org/drawingml/2006/main">
          <a:off x="1712881" y="1410725"/>
          <a:ext cx="644198" cy="190842"/>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0.22303</cdr:x>
      <cdr:y>0.4648</cdr:y>
    </cdr:from>
    <cdr:to>
      <cdr:x>0.37859</cdr:x>
      <cdr:y>0.50385</cdr:y>
    </cdr:to>
    <cdr:sp macro="" textlink="">
      <cdr:nvSpPr>
        <cdr:cNvPr id="4" name="Zaoblený obdélník 3"/>
        <cdr:cNvSpPr/>
      </cdr:nvSpPr>
      <cdr:spPr>
        <a:xfrm xmlns:a="http://schemas.openxmlformats.org/drawingml/2006/main">
          <a:off x="1382962" y="1956811"/>
          <a:ext cx="964592" cy="164402"/>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3.xml><?xml version="1.0" encoding="utf-8"?>
<c:userShapes xmlns:c="http://schemas.openxmlformats.org/drawingml/2006/chart">
  <cdr:relSizeAnchor xmlns:cdr="http://schemas.openxmlformats.org/drawingml/2006/chartDrawing">
    <cdr:from>
      <cdr:x>0.27482</cdr:x>
      <cdr:y>0.06669</cdr:y>
    </cdr:from>
    <cdr:to>
      <cdr:x>0.347</cdr:x>
      <cdr:y>0.10299</cdr:y>
    </cdr:to>
    <cdr:sp macro="" textlink="">
      <cdr:nvSpPr>
        <cdr:cNvPr id="2" name="Zaoblený obdélník 1"/>
        <cdr:cNvSpPr/>
      </cdr:nvSpPr>
      <cdr:spPr>
        <a:xfrm xmlns:a="http://schemas.openxmlformats.org/drawingml/2006/main">
          <a:off x="1662040" y="301109"/>
          <a:ext cx="436526" cy="16388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0.25435</cdr:x>
      <cdr:y>0.3047</cdr:y>
    </cdr:from>
    <cdr:to>
      <cdr:x>0.35015</cdr:x>
      <cdr:y>0.33902</cdr:y>
    </cdr:to>
    <cdr:sp macro="" textlink="">
      <cdr:nvSpPr>
        <cdr:cNvPr id="3" name="Zaoblený obdélník 2"/>
        <cdr:cNvSpPr/>
      </cdr:nvSpPr>
      <cdr:spPr>
        <a:xfrm xmlns:a="http://schemas.openxmlformats.org/drawingml/2006/main">
          <a:off x="1538243" y="1375684"/>
          <a:ext cx="579373" cy="15495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0.19922</cdr:x>
      <cdr:y>0.44951</cdr:y>
    </cdr:from>
    <cdr:to>
      <cdr:x>0.34858</cdr:x>
      <cdr:y>0.48581</cdr:y>
    </cdr:to>
    <cdr:sp macro="" textlink="">
      <cdr:nvSpPr>
        <cdr:cNvPr id="4" name="Zaoblený obdélník 3"/>
        <cdr:cNvSpPr/>
      </cdr:nvSpPr>
      <cdr:spPr>
        <a:xfrm xmlns:a="http://schemas.openxmlformats.org/drawingml/2006/main">
          <a:off x="1204861" y="2029477"/>
          <a:ext cx="903230" cy="16388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4.xml><?xml version="1.0" encoding="utf-8"?>
<c:userShapes xmlns:c="http://schemas.openxmlformats.org/drawingml/2006/chart">
  <cdr:relSizeAnchor xmlns:cdr="http://schemas.openxmlformats.org/drawingml/2006/chartDrawing">
    <cdr:from>
      <cdr:x>0.26347</cdr:x>
      <cdr:y>0.07254</cdr:y>
    </cdr:from>
    <cdr:to>
      <cdr:x>0.34914</cdr:x>
      <cdr:y>0.11294</cdr:y>
    </cdr:to>
    <cdr:sp macro="" textlink="">
      <cdr:nvSpPr>
        <cdr:cNvPr id="2" name="Zaoblený obdélník 1"/>
        <cdr:cNvSpPr/>
      </cdr:nvSpPr>
      <cdr:spPr>
        <a:xfrm xmlns:a="http://schemas.openxmlformats.org/drawingml/2006/main">
          <a:off x="1552574" y="293651"/>
          <a:ext cx="504837" cy="163549"/>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solidFill>
              <a:schemeClr val="bg1">
                <a:lumMod val="50000"/>
              </a:schemeClr>
            </a:solidFill>
          </a:endParaRPr>
        </a:p>
      </cdr:txBody>
    </cdr:sp>
  </cdr:relSizeAnchor>
  <cdr:relSizeAnchor xmlns:cdr="http://schemas.openxmlformats.org/drawingml/2006/chartDrawing">
    <cdr:from>
      <cdr:x>0.19127</cdr:x>
      <cdr:y>0.454</cdr:y>
    </cdr:from>
    <cdr:to>
      <cdr:x>0.34698</cdr:x>
      <cdr:y>0.49753</cdr:y>
    </cdr:to>
    <cdr:sp macro="" textlink="">
      <cdr:nvSpPr>
        <cdr:cNvPr id="3" name="Zaoblený obdélník 2"/>
        <cdr:cNvSpPr/>
      </cdr:nvSpPr>
      <cdr:spPr>
        <a:xfrm xmlns:a="http://schemas.openxmlformats.org/drawingml/2006/main">
          <a:off x="1127117" y="1837849"/>
          <a:ext cx="917568" cy="176215"/>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5.xml><?xml version="1.0" encoding="utf-8"?>
<c:userShapes xmlns:c="http://schemas.openxmlformats.org/drawingml/2006/chart">
  <cdr:relSizeAnchor xmlns:cdr="http://schemas.openxmlformats.org/drawingml/2006/chartDrawing">
    <cdr:from>
      <cdr:x>0.27134</cdr:x>
      <cdr:y>0.16095</cdr:y>
    </cdr:from>
    <cdr:to>
      <cdr:x>0.35214</cdr:x>
      <cdr:y>0.1968</cdr:y>
    </cdr:to>
    <cdr:sp macro="" textlink="">
      <cdr:nvSpPr>
        <cdr:cNvPr id="3" name="Zaoblený obdélník 2"/>
        <cdr:cNvSpPr/>
      </cdr:nvSpPr>
      <cdr:spPr>
        <a:xfrm xmlns:a="http://schemas.openxmlformats.org/drawingml/2006/main">
          <a:off x="1695450" y="669925"/>
          <a:ext cx="504863" cy="149225"/>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0.25606</cdr:x>
      <cdr:y>0.37581</cdr:y>
    </cdr:from>
    <cdr:to>
      <cdr:x>0.34706</cdr:x>
      <cdr:y>0.41078</cdr:y>
    </cdr:to>
    <cdr:sp macro="" textlink="">
      <cdr:nvSpPr>
        <cdr:cNvPr id="4" name="Zaoblený obdélník 3"/>
        <cdr:cNvSpPr/>
      </cdr:nvSpPr>
      <cdr:spPr>
        <a:xfrm xmlns:a="http://schemas.openxmlformats.org/drawingml/2006/main">
          <a:off x="1567143" y="1607230"/>
          <a:ext cx="556932" cy="149557"/>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0.21087</cdr:x>
      <cdr:y>0.50606</cdr:y>
    </cdr:from>
    <cdr:to>
      <cdr:x>0.35062</cdr:x>
      <cdr:y>0.54343</cdr:y>
    </cdr:to>
    <cdr:sp macro="" textlink="">
      <cdr:nvSpPr>
        <cdr:cNvPr id="5" name="Zaoblený obdélník 4"/>
        <cdr:cNvSpPr/>
      </cdr:nvSpPr>
      <cdr:spPr>
        <a:xfrm xmlns:a="http://schemas.openxmlformats.org/drawingml/2006/main">
          <a:off x="1290552" y="2164280"/>
          <a:ext cx="855288" cy="159822"/>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6.xml><?xml version="1.0" encoding="utf-8"?>
<c:userShapes xmlns:c="http://schemas.openxmlformats.org/drawingml/2006/chart">
  <cdr:relSizeAnchor xmlns:cdr="http://schemas.openxmlformats.org/drawingml/2006/chartDrawing">
    <cdr:from>
      <cdr:x>0.27286</cdr:x>
      <cdr:y>0.12088</cdr:y>
    </cdr:from>
    <cdr:to>
      <cdr:x>0.36695</cdr:x>
      <cdr:y>0.16484</cdr:y>
    </cdr:to>
    <cdr:sp macro="" textlink="">
      <cdr:nvSpPr>
        <cdr:cNvPr id="2" name="Zaoblený obdélník 1"/>
        <cdr:cNvSpPr/>
      </cdr:nvSpPr>
      <cdr:spPr>
        <a:xfrm xmlns:a="http://schemas.openxmlformats.org/drawingml/2006/main">
          <a:off x="1645159" y="523875"/>
          <a:ext cx="567299" cy="1905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0.2578</cdr:x>
      <cdr:y>0.33709</cdr:y>
    </cdr:from>
    <cdr:to>
      <cdr:x>0.36509</cdr:x>
      <cdr:y>0.38242</cdr:y>
    </cdr:to>
    <cdr:sp macro="" textlink="">
      <cdr:nvSpPr>
        <cdr:cNvPr id="3" name="Zaoblený obdélník 2"/>
        <cdr:cNvSpPr/>
      </cdr:nvSpPr>
      <cdr:spPr>
        <a:xfrm xmlns:a="http://schemas.openxmlformats.org/drawingml/2006/main">
          <a:off x="1554356" y="1460926"/>
          <a:ext cx="646886" cy="196424"/>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0.20732</cdr:x>
      <cdr:y>0.46889</cdr:y>
    </cdr:from>
    <cdr:to>
      <cdr:x>0.36337</cdr:x>
      <cdr:y>0.51209</cdr:y>
    </cdr:to>
    <cdr:sp macro="" textlink="">
      <cdr:nvSpPr>
        <cdr:cNvPr id="4" name="Zaoblený obdélník 3"/>
        <cdr:cNvSpPr/>
      </cdr:nvSpPr>
      <cdr:spPr>
        <a:xfrm xmlns:a="http://schemas.openxmlformats.org/drawingml/2006/main">
          <a:off x="1249995" y="2032093"/>
          <a:ext cx="940877" cy="187232"/>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7.xml><?xml version="1.0" encoding="utf-8"?>
<c:userShapes xmlns:c="http://schemas.openxmlformats.org/drawingml/2006/chart">
  <cdr:relSizeAnchor xmlns:cdr="http://schemas.openxmlformats.org/drawingml/2006/chartDrawing">
    <cdr:from>
      <cdr:x>0.24061</cdr:x>
      <cdr:y>0.05239</cdr:y>
    </cdr:from>
    <cdr:to>
      <cdr:x>0.32928</cdr:x>
      <cdr:y>0.09236</cdr:y>
    </cdr:to>
    <cdr:sp macro="" textlink="">
      <cdr:nvSpPr>
        <cdr:cNvPr id="2" name="Zaoblený obdélník 1"/>
        <cdr:cNvSpPr/>
      </cdr:nvSpPr>
      <cdr:spPr>
        <a:xfrm xmlns:a="http://schemas.openxmlformats.org/drawingml/2006/main">
          <a:off x="1412825" y="191634"/>
          <a:ext cx="520656" cy="146194"/>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0.21743</cdr:x>
      <cdr:y>0.30234</cdr:y>
    </cdr:from>
    <cdr:to>
      <cdr:x>0.32609</cdr:x>
      <cdr:y>0.34635</cdr:y>
    </cdr:to>
    <cdr:sp macro="" textlink="">
      <cdr:nvSpPr>
        <cdr:cNvPr id="4" name="Zaoblený obdélník 3"/>
        <cdr:cNvSpPr/>
      </cdr:nvSpPr>
      <cdr:spPr>
        <a:xfrm xmlns:a="http://schemas.openxmlformats.org/drawingml/2006/main">
          <a:off x="1323352" y="1105851"/>
          <a:ext cx="661357" cy="160971"/>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0.18237</cdr:x>
      <cdr:y>0.45409</cdr:y>
    </cdr:from>
    <cdr:to>
      <cdr:x>0.32754</cdr:x>
      <cdr:y>0.49406</cdr:y>
    </cdr:to>
    <cdr:sp macro="" textlink="">
      <cdr:nvSpPr>
        <cdr:cNvPr id="5" name="Zaoblený obdélník 4"/>
        <cdr:cNvSpPr/>
      </cdr:nvSpPr>
      <cdr:spPr>
        <a:xfrm xmlns:a="http://schemas.openxmlformats.org/drawingml/2006/main">
          <a:off x="1109990" y="1660886"/>
          <a:ext cx="883573" cy="146194"/>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8.xml><?xml version="1.0" encoding="utf-8"?>
<c:userShapes xmlns:c="http://schemas.openxmlformats.org/drawingml/2006/chart">
  <cdr:relSizeAnchor xmlns:cdr="http://schemas.openxmlformats.org/drawingml/2006/chartDrawing">
    <cdr:from>
      <cdr:x>0.2592</cdr:x>
      <cdr:y>0.10827</cdr:y>
    </cdr:from>
    <cdr:to>
      <cdr:x>0.35595</cdr:x>
      <cdr:y>0.15098</cdr:y>
    </cdr:to>
    <cdr:sp macro="" textlink="">
      <cdr:nvSpPr>
        <cdr:cNvPr id="3" name="Zaoblený obdélník 2"/>
        <cdr:cNvSpPr/>
      </cdr:nvSpPr>
      <cdr:spPr>
        <a:xfrm xmlns:a="http://schemas.openxmlformats.org/drawingml/2006/main">
          <a:off x="1567710" y="447562"/>
          <a:ext cx="585180" cy="176557"/>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0.25133</cdr:x>
      <cdr:y>0.33944</cdr:y>
    </cdr:from>
    <cdr:to>
      <cdr:x>0.35221</cdr:x>
      <cdr:y>0.38215</cdr:y>
    </cdr:to>
    <cdr:sp macro="" textlink="">
      <cdr:nvSpPr>
        <cdr:cNvPr id="5" name="Zaoblený obdélník 4"/>
        <cdr:cNvSpPr/>
      </cdr:nvSpPr>
      <cdr:spPr>
        <a:xfrm xmlns:a="http://schemas.openxmlformats.org/drawingml/2006/main">
          <a:off x="1352551" y="1412875"/>
          <a:ext cx="542909" cy="177800"/>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0.1825</cdr:x>
      <cdr:y>0.4698</cdr:y>
    </cdr:from>
    <cdr:to>
      <cdr:x>0.35772</cdr:x>
      <cdr:y>0.51023</cdr:y>
    </cdr:to>
    <cdr:sp macro="" textlink="">
      <cdr:nvSpPr>
        <cdr:cNvPr id="6" name="Zaoblený obdélník 5"/>
        <cdr:cNvSpPr/>
      </cdr:nvSpPr>
      <cdr:spPr>
        <a:xfrm xmlns:a="http://schemas.openxmlformats.org/drawingml/2006/main">
          <a:off x="1103799" y="1942097"/>
          <a:ext cx="1059797" cy="167131"/>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drawings/drawing9.xml><?xml version="1.0" encoding="utf-8"?>
<c:userShapes xmlns:c="http://schemas.openxmlformats.org/drawingml/2006/chart">
  <cdr:relSizeAnchor xmlns:cdr="http://schemas.openxmlformats.org/drawingml/2006/chartDrawing">
    <cdr:from>
      <cdr:x>0.23433</cdr:x>
      <cdr:y>0.08116</cdr:y>
    </cdr:from>
    <cdr:to>
      <cdr:x>0.32982</cdr:x>
      <cdr:y>0.12174</cdr:y>
    </cdr:to>
    <cdr:sp macro="" textlink="">
      <cdr:nvSpPr>
        <cdr:cNvPr id="2" name="Zaoblený obdélník 1"/>
        <cdr:cNvSpPr/>
      </cdr:nvSpPr>
      <cdr:spPr>
        <a:xfrm xmlns:a="http://schemas.openxmlformats.org/drawingml/2006/main">
          <a:off x="1421795" y="323134"/>
          <a:ext cx="579379" cy="161568"/>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0.22153</cdr:x>
      <cdr:y>0.31446</cdr:y>
    </cdr:from>
    <cdr:to>
      <cdr:x>0.32546</cdr:x>
      <cdr:y>0.35286</cdr:y>
    </cdr:to>
    <cdr:sp macro="" textlink="">
      <cdr:nvSpPr>
        <cdr:cNvPr id="3" name="Zaoblený obdélník 2"/>
        <cdr:cNvSpPr/>
      </cdr:nvSpPr>
      <cdr:spPr>
        <a:xfrm xmlns:a="http://schemas.openxmlformats.org/drawingml/2006/main">
          <a:off x="1344118" y="1305939"/>
          <a:ext cx="630587" cy="159471"/>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dr:relSizeAnchor xmlns:cdr="http://schemas.openxmlformats.org/drawingml/2006/chartDrawing">
    <cdr:from>
      <cdr:x>0.15883</cdr:x>
      <cdr:y>0.45361</cdr:y>
    </cdr:from>
    <cdr:to>
      <cdr:x>0.32389</cdr:x>
      <cdr:y>0.49637</cdr:y>
    </cdr:to>
    <cdr:sp macro="" textlink="">
      <cdr:nvSpPr>
        <cdr:cNvPr id="4" name="Zaoblený obdélník 3"/>
        <cdr:cNvSpPr/>
      </cdr:nvSpPr>
      <cdr:spPr>
        <a:xfrm xmlns:a="http://schemas.openxmlformats.org/drawingml/2006/main">
          <a:off x="963692" y="1883803"/>
          <a:ext cx="1001489" cy="177578"/>
        </a:xfrm>
        <a:prstGeom xmlns:a="http://schemas.openxmlformats.org/drawingml/2006/main" prst="roundRect">
          <a:avLst/>
        </a:prstGeom>
        <a:solidFill xmlns:a="http://schemas.openxmlformats.org/drawingml/2006/main">
          <a:schemeClr val="bg1">
            <a:lumMod val="50000"/>
            <a:alpha val="0"/>
          </a:schemeClr>
        </a:solidFill>
        <a:ln xmlns:a="http://schemas.openxmlformats.org/drawingml/2006/main">
          <a:solidFill>
            <a:schemeClr val="bg1">
              <a:lumMod val="75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cs-CZ"/>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3494-DD56-4AD7-A32D-335D46C3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366</TotalTime>
  <Pages>50</Pages>
  <Words>17997</Words>
  <Characters>106185</Characters>
  <Application>Microsoft Office Word</Application>
  <DocSecurity>0</DocSecurity>
  <Lines>884</Lines>
  <Paragraphs>247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Analýza - celá</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123935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Analýza - celá</dc:title>
  <dc:subject/>
  <dc:creator>hykysova23070</dc:creator>
  <cp:keywords/>
  <dc:description/>
  <cp:lastModifiedBy>Kašparová Vendula</cp:lastModifiedBy>
  <cp:revision>67</cp:revision>
  <cp:lastPrinted>2023-02-13T12:14:00Z</cp:lastPrinted>
  <dcterms:created xsi:type="dcterms:W3CDTF">2023-02-02T12:41:00Z</dcterms:created>
  <dcterms:modified xsi:type="dcterms:W3CDTF">2023-02-13T12:15:00Z</dcterms:modified>
</cp:coreProperties>
</file>