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155F67B5" w:rsidR="00867569" w:rsidRPr="00AE6D5B" w:rsidRDefault="00717ED5" w:rsidP="00AE6D5B">
      <w:pPr>
        <w:pStyle w:val="Datum"/>
      </w:pPr>
      <w:r>
        <w:t>2</w:t>
      </w:r>
      <w:r w:rsidR="00EB72D9">
        <w:t>6</w:t>
      </w:r>
      <w:r w:rsidR="00CC5069">
        <w:t>.</w:t>
      </w:r>
      <w:r w:rsidR="005D704F">
        <w:t xml:space="preserve"> </w:t>
      </w:r>
      <w:r w:rsidR="00EB72D9">
        <w:t>dubna</w:t>
      </w:r>
      <w:r w:rsidR="00BB3C4C">
        <w:t xml:space="preserve"> 202</w:t>
      </w:r>
      <w:r w:rsidR="00EB72D9">
        <w:t>3</w:t>
      </w:r>
    </w:p>
    <w:p w14:paraId="56EC0A31" w14:textId="4B7B0867" w:rsidR="00867569" w:rsidRPr="00AE6D5B" w:rsidRDefault="00E753A1" w:rsidP="00CC5069">
      <w:pPr>
        <w:pStyle w:val="Nzev"/>
      </w:pPr>
      <w:r>
        <w:t xml:space="preserve">Růst cen </w:t>
      </w:r>
      <w:r w:rsidR="00455DD1">
        <w:t xml:space="preserve">vloni </w:t>
      </w:r>
      <w:r>
        <w:t>ovliv</w:t>
      </w:r>
      <w:r w:rsidR="00455DD1">
        <w:t>ni</w:t>
      </w:r>
      <w:r>
        <w:t>l všechny ekonomické sektory</w:t>
      </w:r>
    </w:p>
    <w:p w14:paraId="4530D7B3" w14:textId="6FE344A1" w:rsidR="001745E7" w:rsidRPr="0044761A" w:rsidRDefault="001D39E0" w:rsidP="00F37BF4">
      <w:pPr>
        <w:pStyle w:val="Perex"/>
      </w:pPr>
      <w:r>
        <w:t>Reálný meziroční růst h</w:t>
      </w:r>
      <w:r w:rsidR="00044511">
        <w:t>rub</w:t>
      </w:r>
      <w:r w:rsidR="0054751D">
        <w:t>é</w:t>
      </w:r>
      <w:r w:rsidR="00044511">
        <w:t xml:space="preserve"> přidan</w:t>
      </w:r>
      <w:r w:rsidR="0054751D">
        <w:t>é</w:t>
      </w:r>
      <w:r w:rsidR="00044511">
        <w:t xml:space="preserve"> hodnot</w:t>
      </w:r>
      <w:r w:rsidR="0054751D">
        <w:t>y</w:t>
      </w:r>
      <w:r w:rsidR="00044511">
        <w:t xml:space="preserve"> nefinančních podniků </w:t>
      </w:r>
      <w:r>
        <w:t>v průběhu roku</w:t>
      </w:r>
      <w:r w:rsidR="0080206B">
        <w:t xml:space="preserve"> 2022</w:t>
      </w:r>
      <w:r>
        <w:t xml:space="preserve"> </w:t>
      </w:r>
      <w:r w:rsidR="0054751D">
        <w:t>zpomal</w:t>
      </w:r>
      <w:r>
        <w:t>oval. Na d</w:t>
      </w:r>
      <w:r w:rsidR="00E46777">
        <w:t>omácnost</w:t>
      </w:r>
      <w:r>
        <w:t xml:space="preserve">i loni působil </w:t>
      </w:r>
      <w:r w:rsidR="0080206B">
        <w:t xml:space="preserve">prudký růst cen a </w:t>
      </w:r>
      <w:r>
        <w:t>pokles reálných příjmů, což se projevilo zejména reálným propadem jejich spotřeby</w:t>
      </w:r>
      <w:r w:rsidR="00EB6585">
        <w:t>. H</w:t>
      </w:r>
      <w:r w:rsidR="00044511">
        <w:t xml:space="preserve">ospodaření vládních institucí </w:t>
      </w:r>
      <w:r w:rsidR="00EB6585">
        <w:t>skončilo ve výrazném deficitu.</w:t>
      </w:r>
    </w:p>
    <w:p w14:paraId="022F7319" w14:textId="7B422065" w:rsidR="00745B1B" w:rsidRDefault="00717ED5" w:rsidP="0067797E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473FFC">
        <w:rPr>
          <w:rFonts w:cs="Arial"/>
          <w:szCs w:val="18"/>
        </w:rPr>
        <w:t>v</w:t>
      </w:r>
      <w:r w:rsidR="00284CF7">
        <w:rPr>
          <w:rFonts w:cs="Arial"/>
          <w:szCs w:val="18"/>
        </w:rPr>
        <w:t>e</w:t>
      </w:r>
      <w:r w:rsidR="00473FFC">
        <w:rPr>
          <w:rFonts w:cs="Arial"/>
          <w:szCs w:val="18"/>
        </w:rPr>
        <w:t xml:space="preserve"> </w:t>
      </w:r>
      <w:r w:rsidR="0080206B">
        <w:rPr>
          <w:rFonts w:cs="Arial"/>
          <w:szCs w:val="18"/>
        </w:rPr>
        <w:t>4</w:t>
      </w:r>
      <w:r w:rsidR="00473FFC">
        <w:rPr>
          <w:rFonts w:cs="Arial"/>
          <w:szCs w:val="18"/>
        </w:rPr>
        <w:t>. čtvrtletí 202</w:t>
      </w:r>
      <w:r w:rsidR="00697492">
        <w:rPr>
          <w:rFonts w:cs="Arial"/>
          <w:szCs w:val="18"/>
        </w:rPr>
        <w:t>2</w:t>
      </w:r>
      <w:r w:rsidR="00473FFC">
        <w:rPr>
          <w:rFonts w:cs="Arial"/>
          <w:szCs w:val="18"/>
        </w:rPr>
        <w:t xml:space="preserve"> </w:t>
      </w:r>
      <w:r w:rsidR="00A34BCB">
        <w:rPr>
          <w:rFonts w:cs="Arial"/>
          <w:szCs w:val="18"/>
        </w:rPr>
        <w:t xml:space="preserve">nominálně </w:t>
      </w:r>
      <w:r w:rsidR="0071303E">
        <w:rPr>
          <w:rFonts w:cs="Arial"/>
          <w:szCs w:val="18"/>
        </w:rPr>
        <w:t xml:space="preserve">meziročně </w:t>
      </w:r>
      <w:r w:rsidR="00A34BCB">
        <w:rPr>
          <w:rFonts w:cs="Arial"/>
          <w:szCs w:val="18"/>
        </w:rPr>
        <w:t>rostla</w:t>
      </w:r>
      <w:r w:rsidR="00697492">
        <w:rPr>
          <w:rFonts w:cs="Arial"/>
          <w:szCs w:val="18"/>
        </w:rPr>
        <w:t xml:space="preserve"> o</w:t>
      </w:r>
      <w:r w:rsidR="00A34BCB">
        <w:rPr>
          <w:rFonts w:cs="Arial"/>
          <w:szCs w:val="18"/>
        </w:rPr>
        <w:t> </w:t>
      </w:r>
      <w:r w:rsidR="0080206B">
        <w:rPr>
          <w:rFonts w:cs="Arial"/>
          <w:szCs w:val="18"/>
        </w:rPr>
        <w:t>116,5</w:t>
      </w:r>
      <w:r w:rsidR="00473FFC">
        <w:rPr>
          <w:rFonts w:cs="Arial"/>
          <w:szCs w:val="18"/>
        </w:rPr>
        <w:t> </w:t>
      </w:r>
      <w:r w:rsidR="0071303E">
        <w:rPr>
          <w:rFonts w:cs="Arial"/>
          <w:szCs w:val="18"/>
        </w:rPr>
        <w:t>mld. korun</w:t>
      </w:r>
      <w:r w:rsidR="00522F3C">
        <w:rPr>
          <w:rFonts w:cs="Arial"/>
          <w:szCs w:val="18"/>
        </w:rPr>
        <w:t xml:space="preserve">, ale reálný nárůst zpomalil na </w:t>
      </w:r>
      <w:r w:rsidR="0080206B">
        <w:rPr>
          <w:rFonts w:cs="Arial"/>
          <w:szCs w:val="18"/>
        </w:rPr>
        <w:t>1,5</w:t>
      </w:r>
      <w:r w:rsidR="00697492">
        <w:rPr>
          <w:rFonts w:cs="Arial"/>
          <w:szCs w:val="18"/>
        </w:rPr>
        <w:t xml:space="preserve"> %.</w:t>
      </w:r>
      <w:r w:rsidR="00522F3C">
        <w:rPr>
          <w:rFonts w:cs="Arial"/>
          <w:szCs w:val="18"/>
        </w:rPr>
        <w:t xml:space="preserve"> Mezičtvrtletně </w:t>
      </w:r>
      <w:r w:rsidR="0080206B">
        <w:rPr>
          <w:rFonts w:cs="Arial"/>
          <w:szCs w:val="18"/>
        </w:rPr>
        <w:t xml:space="preserve">HPH </w:t>
      </w:r>
      <w:r w:rsidR="00522F3C">
        <w:rPr>
          <w:rFonts w:cs="Arial"/>
          <w:szCs w:val="18"/>
        </w:rPr>
        <w:t>reáln</w:t>
      </w:r>
      <w:r w:rsidR="0080206B">
        <w:rPr>
          <w:rFonts w:cs="Arial"/>
          <w:szCs w:val="18"/>
        </w:rPr>
        <w:t>ě vzrostla o</w:t>
      </w:r>
      <w:r w:rsidR="00483D0F">
        <w:rPr>
          <w:rFonts w:cs="Arial"/>
          <w:szCs w:val="18"/>
        </w:rPr>
        <w:t> </w:t>
      </w:r>
      <w:r w:rsidR="0080206B">
        <w:rPr>
          <w:rFonts w:cs="Arial"/>
          <w:szCs w:val="18"/>
        </w:rPr>
        <w:t>2,3 %</w:t>
      </w:r>
      <w:r w:rsidR="00522F3C">
        <w:rPr>
          <w:rFonts w:cs="Arial"/>
          <w:szCs w:val="18"/>
        </w:rPr>
        <w:t>.</w:t>
      </w:r>
      <w:r w:rsidR="00473FFC">
        <w:rPr>
          <w:rFonts w:cs="Arial"/>
          <w:szCs w:val="18"/>
        </w:rPr>
        <w:t xml:space="preserve"> </w:t>
      </w:r>
      <w:r w:rsidR="0080206B" w:rsidRPr="00061C1D">
        <w:rPr>
          <w:rFonts w:cs="Arial"/>
          <w:i/>
          <w:iCs/>
          <w:szCs w:val="18"/>
        </w:rPr>
        <w:t>„</w:t>
      </w:r>
      <w:r w:rsidR="0080206B" w:rsidRPr="00061C1D">
        <w:rPr>
          <w:i/>
          <w:iCs/>
        </w:rPr>
        <w:t xml:space="preserve">Po celý rok </w:t>
      </w:r>
      <w:r w:rsidR="003E5844">
        <w:rPr>
          <w:i/>
          <w:iCs/>
        </w:rPr>
        <w:t xml:space="preserve">na podniky </w:t>
      </w:r>
      <w:r w:rsidR="0080206B" w:rsidRPr="00061C1D">
        <w:rPr>
          <w:i/>
          <w:iCs/>
        </w:rPr>
        <w:t>působ</w:t>
      </w:r>
      <w:r w:rsidR="003E5844">
        <w:rPr>
          <w:i/>
          <w:iCs/>
        </w:rPr>
        <w:t>ilo</w:t>
      </w:r>
      <w:r w:rsidR="0080206B" w:rsidRPr="00061C1D">
        <w:rPr>
          <w:i/>
          <w:iCs/>
        </w:rPr>
        <w:t xml:space="preserve"> zdražení energií a surovin, které negativně ovlivnilo zejména energeticky náročná průmyslová odvětví. </w:t>
      </w:r>
      <w:r w:rsidR="00061C1D" w:rsidRPr="00061C1D">
        <w:rPr>
          <w:i/>
          <w:iCs/>
        </w:rPr>
        <w:t xml:space="preserve">Služby a obchod byly zasaženy poklesem spotřeby domácností. </w:t>
      </w:r>
      <w:r w:rsidR="0080206B" w:rsidRPr="00061C1D">
        <w:rPr>
          <w:rFonts w:cs="Arial"/>
          <w:i/>
          <w:iCs/>
          <w:szCs w:val="18"/>
        </w:rPr>
        <w:t>V</w:t>
      </w:r>
      <w:r w:rsidR="00061C1D" w:rsidRPr="00061C1D">
        <w:rPr>
          <w:rFonts w:cs="Arial"/>
          <w:i/>
          <w:iCs/>
          <w:szCs w:val="18"/>
        </w:rPr>
        <w:t>e druhé polovině</w:t>
      </w:r>
      <w:r w:rsidR="0080206B" w:rsidRPr="00061C1D">
        <w:rPr>
          <w:rFonts w:cs="Arial"/>
          <w:i/>
          <w:iCs/>
          <w:szCs w:val="18"/>
        </w:rPr>
        <w:t xml:space="preserve"> roku</w:t>
      </w:r>
      <w:r w:rsidR="00061C1D" w:rsidRPr="00061C1D">
        <w:rPr>
          <w:rFonts w:cs="Arial"/>
          <w:i/>
          <w:iCs/>
          <w:szCs w:val="18"/>
        </w:rPr>
        <w:t xml:space="preserve"> ale</w:t>
      </w:r>
      <w:r w:rsidR="0080206B" w:rsidRPr="00061C1D">
        <w:rPr>
          <w:rFonts w:cs="Arial"/>
          <w:i/>
          <w:iCs/>
          <w:szCs w:val="18"/>
        </w:rPr>
        <w:t xml:space="preserve"> došlo k oživení ve výrobě motorových vozidel a souvisejících odvětvích, což podpořilo mezičtvrtletní růst </w:t>
      </w:r>
      <w:r w:rsidR="003E5844">
        <w:rPr>
          <w:rFonts w:cs="Arial"/>
          <w:i/>
          <w:iCs/>
          <w:szCs w:val="18"/>
        </w:rPr>
        <w:t>hrubé přidané hodnoty</w:t>
      </w:r>
      <w:r w:rsidR="00061C1D" w:rsidRPr="00061C1D">
        <w:rPr>
          <w:rFonts w:cs="Arial"/>
          <w:i/>
          <w:iCs/>
          <w:szCs w:val="18"/>
        </w:rPr>
        <w:t xml:space="preserve"> nefinančních podniků</w:t>
      </w:r>
      <w:r w:rsidR="0080206B">
        <w:rPr>
          <w:rFonts w:cs="Arial"/>
          <w:szCs w:val="18"/>
        </w:rPr>
        <w:t xml:space="preserve">,“ upřesňuje Karolína Zábojníková, analytička Českého statistického úřadu. </w:t>
      </w:r>
      <w:r w:rsidR="00061C1D">
        <w:rPr>
          <w:rFonts w:cs="Arial"/>
          <w:szCs w:val="18"/>
        </w:rPr>
        <w:t>M</w:t>
      </w:r>
      <w:r w:rsidR="00522F3C">
        <w:rPr>
          <w:rFonts w:cs="Arial"/>
          <w:szCs w:val="18"/>
        </w:rPr>
        <w:t>íra zisku</w:t>
      </w:r>
      <w:r w:rsidR="00061C1D">
        <w:rPr>
          <w:rFonts w:cs="Arial"/>
          <w:szCs w:val="18"/>
        </w:rPr>
        <w:t xml:space="preserve"> nefinančních podniků se ve 4. čtvrtletí držela na úrovni 46,9 %.</w:t>
      </w:r>
      <w:r w:rsidR="00745B1B">
        <w:rPr>
          <w:rFonts w:cs="Arial"/>
          <w:szCs w:val="18"/>
        </w:rPr>
        <w:t xml:space="preserve"> </w:t>
      </w:r>
      <w:r w:rsidR="00061C1D">
        <w:rPr>
          <w:rFonts w:cs="Arial"/>
          <w:szCs w:val="18"/>
        </w:rPr>
        <w:t>Jejich míra investic mezičtvrtletně klesla a dosáhla 28,9 %.</w:t>
      </w:r>
    </w:p>
    <w:p w14:paraId="4BC994FE" w14:textId="5B40BEA5" w:rsidR="0054001C" w:rsidRPr="00506216" w:rsidRDefault="00A34BCB" w:rsidP="00506216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Příjmy domácností </w:t>
      </w:r>
      <w:r w:rsidR="00F316F1">
        <w:rPr>
          <w:rFonts w:cs="Arial"/>
          <w:szCs w:val="18"/>
        </w:rPr>
        <w:t>byly ve 4. čtvrtletí</w:t>
      </w:r>
      <w:r>
        <w:rPr>
          <w:rFonts w:cs="Arial"/>
          <w:szCs w:val="18"/>
        </w:rPr>
        <w:t xml:space="preserve"> meziročně nominálně v</w:t>
      </w:r>
      <w:r w:rsidR="00F316F1">
        <w:rPr>
          <w:rFonts w:cs="Arial"/>
          <w:szCs w:val="18"/>
        </w:rPr>
        <w:t>y</w:t>
      </w:r>
      <w:r>
        <w:rPr>
          <w:rFonts w:cs="Arial"/>
          <w:szCs w:val="18"/>
        </w:rPr>
        <w:t>š</w:t>
      </w:r>
      <w:r w:rsidR="00F316F1">
        <w:rPr>
          <w:rFonts w:cs="Arial"/>
          <w:szCs w:val="18"/>
        </w:rPr>
        <w:t>ší</w:t>
      </w:r>
      <w:r>
        <w:rPr>
          <w:rFonts w:cs="Arial"/>
          <w:szCs w:val="18"/>
        </w:rPr>
        <w:t xml:space="preserve"> o 12</w:t>
      </w:r>
      <w:r w:rsidR="00F316F1">
        <w:rPr>
          <w:rFonts w:cs="Arial"/>
          <w:szCs w:val="18"/>
        </w:rPr>
        <w:t>6,4</w:t>
      </w:r>
      <w:r>
        <w:rPr>
          <w:rFonts w:cs="Arial"/>
          <w:szCs w:val="18"/>
        </w:rPr>
        <w:t xml:space="preserve"> mld. korun. Reáln</w:t>
      </w:r>
      <w:r w:rsidR="00F316F1">
        <w:rPr>
          <w:rFonts w:cs="Arial"/>
          <w:szCs w:val="18"/>
        </w:rPr>
        <w:t xml:space="preserve">ý propad se ale prohloubil na 3,2 %. Spotřeba domácností byla </w:t>
      </w:r>
      <w:r>
        <w:rPr>
          <w:rFonts w:cs="Arial"/>
          <w:szCs w:val="18"/>
        </w:rPr>
        <w:t xml:space="preserve">reálně meziročně </w:t>
      </w:r>
      <w:r w:rsidR="00F316F1">
        <w:rPr>
          <w:rFonts w:cs="Arial"/>
          <w:szCs w:val="18"/>
        </w:rPr>
        <w:t>nižší o 5,5</w:t>
      </w:r>
      <w:r>
        <w:rPr>
          <w:rFonts w:cs="Arial"/>
          <w:szCs w:val="18"/>
        </w:rPr>
        <w:t xml:space="preserve"> %</w:t>
      </w:r>
      <w:r w:rsidR="00483D0F">
        <w:rPr>
          <w:rFonts w:cs="Arial"/>
          <w:szCs w:val="18"/>
        </w:rPr>
        <w:t xml:space="preserve"> a o</w:t>
      </w:r>
      <w:r w:rsidR="00506216" w:rsidRPr="00F316F1">
        <w:rPr>
          <w:rFonts w:cs="Arial"/>
          <w:iCs/>
          <w:szCs w:val="18"/>
        </w:rPr>
        <w:t xml:space="preserve">proti předchozímu kvartálu </w:t>
      </w:r>
      <w:r w:rsidR="00F316F1">
        <w:rPr>
          <w:rFonts w:cs="Arial"/>
          <w:iCs/>
          <w:szCs w:val="18"/>
        </w:rPr>
        <w:t xml:space="preserve">klesla </w:t>
      </w:r>
      <w:r w:rsidR="00506216" w:rsidRPr="00F316F1">
        <w:rPr>
          <w:rFonts w:cs="Arial"/>
          <w:iCs/>
          <w:szCs w:val="18"/>
        </w:rPr>
        <w:t xml:space="preserve">o </w:t>
      </w:r>
      <w:r w:rsidR="00F316F1">
        <w:rPr>
          <w:rFonts w:cs="Arial"/>
          <w:iCs/>
          <w:szCs w:val="18"/>
        </w:rPr>
        <w:t>2,8</w:t>
      </w:r>
      <w:r w:rsidR="00506216" w:rsidRPr="00F316F1">
        <w:rPr>
          <w:rFonts w:cs="Arial"/>
          <w:iCs/>
          <w:szCs w:val="18"/>
        </w:rPr>
        <w:t xml:space="preserve"> %.</w:t>
      </w:r>
      <w:r w:rsidR="00F316F1">
        <w:rPr>
          <w:rFonts w:cs="Arial"/>
          <w:iCs/>
          <w:szCs w:val="18"/>
        </w:rPr>
        <w:t xml:space="preserve"> </w:t>
      </w:r>
      <w:r w:rsidR="00483D0F">
        <w:rPr>
          <w:rFonts w:cs="Arial"/>
          <w:iCs/>
          <w:szCs w:val="18"/>
        </w:rPr>
        <w:t>Dál p</w:t>
      </w:r>
      <w:r w:rsidR="00F316F1">
        <w:rPr>
          <w:rFonts w:cs="Arial"/>
          <w:iCs/>
          <w:szCs w:val="18"/>
        </w:rPr>
        <w:t>okračoval růst hrubých úspor</w:t>
      </w:r>
      <w:r w:rsidR="00483D0F">
        <w:rPr>
          <w:rFonts w:cs="Arial"/>
          <w:iCs/>
          <w:szCs w:val="18"/>
        </w:rPr>
        <w:t>, což vedlo k výraznému zvýšení m</w:t>
      </w:r>
      <w:r w:rsidR="00F316F1">
        <w:rPr>
          <w:rFonts w:cs="Arial"/>
          <w:iCs/>
          <w:szCs w:val="18"/>
        </w:rPr>
        <w:t>ír</w:t>
      </w:r>
      <w:r w:rsidR="00483D0F">
        <w:rPr>
          <w:rFonts w:cs="Arial"/>
          <w:iCs/>
          <w:szCs w:val="18"/>
        </w:rPr>
        <w:t>y</w:t>
      </w:r>
      <w:r w:rsidR="00F316F1">
        <w:rPr>
          <w:rFonts w:cs="Arial"/>
          <w:iCs/>
          <w:szCs w:val="18"/>
        </w:rPr>
        <w:t xml:space="preserve"> úspor na 21,7 %</w:t>
      </w:r>
      <w:r w:rsidR="00483D0F">
        <w:rPr>
          <w:rFonts w:cs="Arial"/>
          <w:iCs/>
          <w:szCs w:val="18"/>
        </w:rPr>
        <w:t xml:space="preserve">. </w:t>
      </w:r>
      <w:r w:rsidR="00455DD1">
        <w:rPr>
          <w:rFonts w:cs="Arial"/>
          <w:iCs/>
          <w:szCs w:val="18"/>
        </w:rPr>
        <w:t xml:space="preserve">Jde o nejvyšší hodnotu </w:t>
      </w:r>
      <w:r w:rsidR="00F316F1">
        <w:rPr>
          <w:rFonts w:cs="Arial"/>
          <w:iCs/>
          <w:szCs w:val="18"/>
        </w:rPr>
        <w:t>od 1. čtvrtletí 2021 ovlivněného nucenými uzávěrami v obchodě a službách</w:t>
      </w:r>
      <w:r w:rsidR="00455DD1">
        <w:rPr>
          <w:rFonts w:cs="Arial"/>
          <w:iCs/>
          <w:szCs w:val="18"/>
        </w:rPr>
        <w:t xml:space="preserve"> v souvislosti s protiepidemickými opatřeními</w:t>
      </w:r>
      <w:r w:rsidR="00F316F1">
        <w:rPr>
          <w:rFonts w:cs="Arial"/>
          <w:iCs/>
          <w:szCs w:val="18"/>
        </w:rPr>
        <w:t>.</w:t>
      </w:r>
      <w:r w:rsidR="0054001C">
        <w:rPr>
          <w:rFonts w:cs="Arial"/>
          <w:szCs w:val="18"/>
        </w:rPr>
        <w:t xml:space="preserve"> </w:t>
      </w:r>
      <w:r w:rsidR="0067797E">
        <w:rPr>
          <w:rFonts w:cs="Arial"/>
          <w:szCs w:val="18"/>
        </w:rPr>
        <w:t xml:space="preserve">Míra </w:t>
      </w:r>
      <w:r w:rsidR="0026051B">
        <w:rPr>
          <w:rFonts w:cs="Arial"/>
          <w:szCs w:val="18"/>
        </w:rPr>
        <w:t>investic</w:t>
      </w:r>
      <w:r w:rsidR="0067797E">
        <w:rPr>
          <w:rFonts w:cs="Arial"/>
          <w:szCs w:val="18"/>
        </w:rPr>
        <w:t xml:space="preserve"> </w:t>
      </w:r>
      <w:r w:rsidR="00506216">
        <w:rPr>
          <w:rFonts w:cs="Arial"/>
          <w:szCs w:val="18"/>
        </w:rPr>
        <w:t>domácností</w:t>
      </w:r>
      <w:r w:rsidR="00F316F1">
        <w:rPr>
          <w:rFonts w:cs="Arial"/>
          <w:szCs w:val="18"/>
        </w:rPr>
        <w:t xml:space="preserve"> se neměnila a dosáhla 9,4 %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03DC83D7" w:rsidR="00B91138" w:rsidRDefault="007E76BD" w:rsidP="00717ED5">
      <w:pPr>
        <w:rPr>
          <w:rFonts w:cs="Arial"/>
          <w:szCs w:val="18"/>
        </w:rPr>
      </w:pPr>
      <w:r>
        <w:rPr>
          <w:rFonts w:cs="Arial"/>
          <w:szCs w:val="18"/>
        </w:rPr>
        <w:t>Hospodaření sektoru v</w:t>
      </w:r>
      <w:r w:rsidR="00607544">
        <w:rPr>
          <w:rFonts w:cs="Arial"/>
          <w:szCs w:val="18"/>
        </w:rPr>
        <w:t>ládní</w:t>
      </w:r>
      <w:r>
        <w:rPr>
          <w:rFonts w:cs="Arial"/>
          <w:szCs w:val="18"/>
        </w:rPr>
        <w:t>ch</w:t>
      </w:r>
      <w:r w:rsidR="00607544">
        <w:rPr>
          <w:rFonts w:cs="Arial"/>
          <w:szCs w:val="18"/>
        </w:rPr>
        <w:t xml:space="preserve"> instituc</w:t>
      </w:r>
      <w:r>
        <w:rPr>
          <w:rFonts w:cs="Arial"/>
          <w:szCs w:val="18"/>
        </w:rPr>
        <w:t>í</w:t>
      </w:r>
      <w:r w:rsidR="004F669E">
        <w:rPr>
          <w:rFonts w:cs="Arial"/>
          <w:szCs w:val="18"/>
        </w:rPr>
        <w:t xml:space="preserve"> v</w:t>
      </w:r>
      <w:r w:rsidR="00D70662">
        <w:rPr>
          <w:rFonts w:cs="Arial"/>
          <w:szCs w:val="18"/>
        </w:rPr>
        <w:t>e</w:t>
      </w:r>
      <w:r w:rsidR="004F669E">
        <w:rPr>
          <w:rFonts w:cs="Arial"/>
          <w:szCs w:val="18"/>
        </w:rPr>
        <w:t> </w:t>
      </w:r>
      <w:r w:rsidR="00926BF8">
        <w:rPr>
          <w:rFonts w:cs="Arial"/>
          <w:szCs w:val="18"/>
        </w:rPr>
        <w:t>4</w:t>
      </w:r>
      <w:r w:rsidR="004F669E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skončilo v deficitu </w:t>
      </w:r>
      <w:r w:rsidR="00926BF8">
        <w:rPr>
          <w:rFonts w:cs="Arial"/>
          <w:szCs w:val="18"/>
        </w:rPr>
        <w:t>103,8</w:t>
      </w:r>
      <w:r>
        <w:rPr>
          <w:rFonts w:cs="Arial"/>
          <w:szCs w:val="18"/>
        </w:rPr>
        <w:t xml:space="preserve"> mld. korun</w:t>
      </w:r>
      <w:r w:rsidR="00D70662">
        <w:rPr>
          <w:rFonts w:cs="Arial"/>
          <w:szCs w:val="18"/>
        </w:rPr>
        <w:t xml:space="preserve">. </w:t>
      </w:r>
      <w:r w:rsidR="00926BF8">
        <w:t>Meziročně se schodek prohloubil o 7,0 mld. korun. Navýšení příjmů bylo podpořeno i silným růstem cenové hladiny, ale zejména výběr spotřebních daní byl na konci roku negativně ovlivněn poklesem spotřeby. Řešení energetické krize i další sociální výdaje naopak tlačily na silnější růst výdajů vládních institucí. Na konci roku 2022 d</w:t>
      </w:r>
      <w:r w:rsidR="00607544">
        <w:rPr>
          <w:rFonts w:cs="Arial"/>
          <w:szCs w:val="18"/>
        </w:rPr>
        <w:t>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926BF8">
        <w:rPr>
          <w:rFonts w:cs="Arial"/>
          <w:szCs w:val="18"/>
        </w:rPr>
        <w:t>2 997,1 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 w:rsidR="00926BF8">
        <w:rPr>
          <w:rFonts w:cs="Arial"/>
          <w:szCs w:val="18"/>
        </w:rPr>
        <w:t>430,4</w:t>
      </w:r>
      <w:r w:rsidR="004F669E">
        <w:rPr>
          <w:rFonts w:cs="Arial"/>
          <w:szCs w:val="18"/>
        </w:rPr>
        <w:t xml:space="preserve"> ml</w:t>
      </w:r>
      <w:r w:rsidR="00042F31">
        <w:rPr>
          <w:rFonts w:cs="Arial"/>
          <w:szCs w:val="18"/>
        </w:rPr>
        <w:t>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657CF153" w:rsidR="00B91138" w:rsidRDefault="00B91138" w:rsidP="00B91138">
      <w:r>
        <w:t xml:space="preserve">Další detaily přináší aktuální </w:t>
      </w:r>
      <w:hyperlink r:id="rId7" w:history="1">
        <w:r w:rsidRPr="00875AAC">
          <w:rPr>
            <w:rStyle w:val="Hypertextovodkaz"/>
            <w:i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</w:t>
      </w:r>
      <w:bookmarkStart w:id="0" w:name="_GoBack"/>
      <w:bookmarkEnd w:id="0"/>
      <w:r>
        <w:rPr>
          <w:rFonts w:cs="Arial"/>
        </w:rPr>
        <w:t xml:space="preserve">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B3A81" w14:textId="77777777" w:rsidR="00670F7B" w:rsidRDefault="00670F7B" w:rsidP="00BA6370">
      <w:r>
        <w:separator/>
      </w:r>
    </w:p>
  </w:endnote>
  <w:endnote w:type="continuationSeparator" w:id="0">
    <w:p w14:paraId="53D50D05" w14:textId="77777777" w:rsidR="00670F7B" w:rsidRDefault="00670F7B" w:rsidP="00BA6370">
      <w:r>
        <w:continuationSeparator/>
      </w:r>
    </w:p>
  </w:endnote>
  <w:endnote w:type="continuationNotice" w:id="1">
    <w:p w14:paraId="45D1D000" w14:textId="77777777" w:rsidR="00670F7B" w:rsidRDefault="00670F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5810D4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70F7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5810D4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70F7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8ECBD" w14:textId="77777777" w:rsidR="00670F7B" w:rsidRDefault="00670F7B" w:rsidP="00BA6370">
      <w:r>
        <w:separator/>
      </w:r>
    </w:p>
  </w:footnote>
  <w:footnote w:type="continuationSeparator" w:id="0">
    <w:p w14:paraId="1AC127EF" w14:textId="77777777" w:rsidR="00670F7B" w:rsidRDefault="00670F7B" w:rsidP="00BA6370">
      <w:r>
        <w:continuationSeparator/>
      </w:r>
    </w:p>
  </w:footnote>
  <w:footnote w:type="continuationNotice" w:id="1">
    <w:p w14:paraId="63755222" w14:textId="77777777" w:rsidR="00670F7B" w:rsidRDefault="00670F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968"/>
    <w:rsid w:val="00042F31"/>
    <w:rsid w:val="000433CA"/>
    <w:rsid w:val="00043BF4"/>
    <w:rsid w:val="00044153"/>
    <w:rsid w:val="00044511"/>
    <w:rsid w:val="00053837"/>
    <w:rsid w:val="00056C04"/>
    <w:rsid w:val="00061C1D"/>
    <w:rsid w:val="000728BA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0F6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66B9A"/>
    <w:rsid w:val="0017054E"/>
    <w:rsid w:val="0017231D"/>
    <w:rsid w:val="0017244E"/>
    <w:rsid w:val="001745E7"/>
    <w:rsid w:val="001776E2"/>
    <w:rsid w:val="001810DC"/>
    <w:rsid w:val="00181A6A"/>
    <w:rsid w:val="00183282"/>
    <w:rsid w:val="001836D3"/>
    <w:rsid w:val="00183C7E"/>
    <w:rsid w:val="00183E9E"/>
    <w:rsid w:val="001942ED"/>
    <w:rsid w:val="00196BE7"/>
    <w:rsid w:val="00197485"/>
    <w:rsid w:val="001A110A"/>
    <w:rsid w:val="001A214A"/>
    <w:rsid w:val="001A59BF"/>
    <w:rsid w:val="001B33F6"/>
    <w:rsid w:val="001B607F"/>
    <w:rsid w:val="001C4641"/>
    <w:rsid w:val="001C596C"/>
    <w:rsid w:val="001D369A"/>
    <w:rsid w:val="001D39E0"/>
    <w:rsid w:val="001D5FA3"/>
    <w:rsid w:val="001F1152"/>
    <w:rsid w:val="00205138"/>
    <w:rsid w:val="002070FB"/>
    <w:rsid w:val="00207910"/>
    <w:rsid w:val="00213729"/>
    <w:rsid w:val="002272A6"/>
    <w:rsid w:val="00234618"/>
    <w:rsid w:val="002406FA"/>
    <w:rsid w:val="00244F60"/>
    <w:rsid w:val="002460EA"/>
    <w:rsid w:val="00251CF9"/>
    <w:rsid w:val="0025675D"/>
    <w:rsid w:val="0026051B"/>
    <w:rsid w:val="002626BF"/>
    <w:rsid w:val="00265596"/>
    <w:rsid w:val="00265D71"/>
    <w:rsid w:val="00270E51"/>
    <w:rsid w:val="0027140A"/>
    <w:rsid w:val="00274FA1"/>
    <w:rsid w:val="00283B88"/>
    <w:rsid w:val="002848DA"/>
    <w:rsid w:val="00284CF7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102F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E5844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2E54"/>
    <w:rsid w:val="004436EE"/>
    <w:rsid w:val="00446234"/>
    <w:rsid w:val="0044761A"/>
    <w:rsid w:val="0045547F"/>
    <w:rsid w:val="00455DD1"/>
    <w:rsid w:val="00456F17"/>
    <w:rsid w:val="0047152A"/>
    <w:rsid w:val="00473FFC"/>
    <w:rsid w:val="004800CF"/>
    <w:rsid w:val="004815A5"/>
    <w:rsid w:val="00483D0F"/>
    <w:rsid w:val="00485CA3"/>
    <w:rsid w:val="004920AD"/>
    <w:rsid w:val="00494AD2"/>
    <w:rsid w:val="004A061A"/>
    <w:rsid w:val="004A0946"/>
    <w:rsid w:val="004A47BC"/>
    <w:rsid w:val="004B0B2F"/>
    <w:rsid w:val="004C48C6"/>
    <w:rsid w:val="004C4AF2"/>
    <w:rsid w:val="004D05B3"/>
    <w:rsid w:val="004E479E"/>
    <w:rsid w:val="004E583B"/>
    <w:rsid w:val="004E770E"/>
    <w:rsid w:val="004F669E"/>
    <w:rsid w:val="004F78E6"/>
    <w:rsid w:val="00503490"/>
    <w:rsid w:val="00506216"/>
    <w:rsid w:val="00512D03"/>
    <w:rsid w:val="00512D99"/>
    <w:rsid w:val="005212AD"/>
    <w:rsid w:val="00522F3C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4751D"/>
    <w:rsid w:val="005514FC"/>
    <w:rsid w:val="005515A2"/>
    <w:rsid w:val="00565B25"/>
    <w:rsid w:val="00571F04"/>
    <w:rsid w:val="0057552B"/>
    <w:rsid w:val="00580128"/>
    <w:rsid w:val="00581910"/>
    <w:rsid w:val="00582FE3"/>
    <w:rsid w:val="00590FAD"/>
    <w:rsid w:val="005A093B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57847"/>
    <w:rsid w:val="00670F7B"/>
    <w:rsid w:val="00672A99"/>
    <w:rsid w:val="00675D16"/>
    <w:rsid w:val="0067797E"/>
    <w:rsid w:val="00677E4B"/>
    <w:rsid w:val="0069291B"/>
    <w:rsid w:val="00697492"/>
    <w:rsid w:val="006A2217"/>
    <w:rsid w:val="006B745F"/>
    <w:rsid w:val="006B7C96"/>
    <w:rsid w:val="006C1484"/>
    <w:rsid w:val="006C3CE8"/>
    <w:rsid w:val="006D2F17"/>
    <w:rsid w:val="006E024F"/>
    <w:rsid w:val="006E274A"/>
    <w:rsid w:val="006E2E54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1B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C157A"/>
    <w:rsid w:val="007E6D79"/>
    <w:rsid w:val="007E76BD"/>
    <w:rsid w:val="007E7779"/>
    <w:rsid w:val="007F0BDD"/>
    <w:rsid w:val="007F4AEB"/>
    <w:rsid w:val="007F75B2"/>
    <w:rsid w:val="00800842"/>
    <w:rsid w:val="0080193F"/>
    <w:rsid w:val="0080206B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75AAC"/>
    <w:rsid w:val="00883708"/>
    <w:rsid w:val="008A750A"/>
    <w:rsid w:val="008C29FF"/>
    <w:rsid w:val="008C384C"/>
    <w:rsid w:val="008D0F11"/>
    <w:rsid w:val="008D24E4"/>
    <w:rsid w:val="008F35B4"/>
    <w:rsid w:val="008F6838"/>
    <w:rsid w:val="008F73B4"/>
    <w:rsid w:val="009047D2"/>
    <w:rsid w:val="00906A0E"/>
    <w:rsid w:val="00910489"/>
    <w:rsid w:val="00916BFD"/>
    <w:rsid w:val="00926BF8"/>
    <w:rsid w:val="0094402F"/>
    <w:rsid w:val="009505FD"/>
    <w:rsid w:val="009510E2"/>
    <w:rsid w:val="00952E96"/>
    <w:rsid w:val="00961B52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4AB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34BCB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D53CD"/>
    <w:rsid w:val="00AD5577"/>
    <w:rsid w:val="00AE52AC"/>
    <w:rsid w:val="00AE6D5B"/>
    <w:rsid w:val="00AF01DF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4669"/>
    <w:rsid w:val="00C5651B"/>
    <w:rsid w:val="00C57518"/>
    <w:rsid w:val="00C66C1B"/>
    <w:rsid w:val="00C71F98"/>
    <w:rsid w:val="00C77B21"/>
    <w:rsid w:val="00C814E9"/>
    <w:rsid w:val="00C82D3A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70662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6704"/>
    <w:rsid w:val="00E27C40"/>
    <w:rsid w:val="00E31980"/>
    <w:rsid w:val="00E323A1"/>
    <w:rsid w:val="00E46777"/>
    <w:rsid w:val="00E46AD7"/>
    <w:rsid w:val="00E573ED"/>
    <w:rsid w:val="00E62D97"/>
    <w:rsid w:val="00E6423C"/>
    <w:rsid w:val="00E65B40"/>
    <w:rsid w:val="00E753A1"/>
    <w:rsid w:val="00E863CB"/>
    <w:rsid w:val="00E86D92"/>
    <w:rsid w:val="00E91508"/>
    <w:rsid w:val="00E935F4"/>
    <w:rsid w:val="00E93830"/>
    <w:rsid w:val="00E93E0E"/>
    <w:rsid w:val="00EA420E"/>
    <w:rsid w:val="00EA49E1"/>
    <w:rsid w:val="00EA79AC"/>
    <w:rsid w:val="00EB1D5B"/>
    <w:rsid w:val="00EB1ED3"/>
    <w:rsid w:val="00EB5CD2"/>
    <w:rsid w:val="00EB6585"/>
    <w:rsid w:val="00EB72D9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16F1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4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59F9-FDA5-484B-B1AB-37FC00ED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2021-03-30T15:08:00Z</cp:lastPrinted>
  <dcterms:created xsi:type="dcterms:W3CDTF">2023-04-17T11:43:00Z</dcterms:created>
  <dcterms:modified xsi:type="dcterms:W3CDTF">2023-04-21T09:17:00Z</dcterms:modified>
</cp:coreProperties>
</file>