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084168" w:rsidP="0097104F">
      <w:pPr>
        <w:pStyle w:val="Nadpis1"/>
        <w:rPr>
          <w:spacing w:val="-2"/>
        </w:rPr>
      </w:pPr>
      <w:bookmarkStart w:id="0" w:name="_GoBack"/>
      <w:bookmarkEnd w:id="0"/>
      <w:r w:rsidRPr="00084168">
        <w:rPr>
          <w:rFonts w:cs="Arial"/>
        </w:rPr>
        <w:t xml:space="preserve">Meziroční růst cen </w:t>
      </w:r>
      <w:r w:rsidR="00AB3B37">
        <w:rPr>
          <w:rFonts w:cs="Arial"/>
        </w:rPr>
        <w:t>zmírnil na </w:t>
      </w:r>
      <w:r w:rsidR="00AB3B37" w:rsidRPr="00AB3B37">
        <w:rPr>
          <w:rFonts w:cs="Arial"/>
        </w:rPr>
        <w:t>2,0</w:t>
      </w:r>
      <w:r w:rsidR="00AB3B37">
        <w:t> </w:t>
      </w:r>
      <w:r w:rsidR="00AB3B37" w:rsidRPr="00AB3B37">
        <w:rPr>
          <w:rFonts w:cs="Arial"/>
        </w:rPr>
        <w:t>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B3B37">
        <w:t>únor</w:t>
      </w:r>
      <w:r w:rsidR="00250429">
        <w:t> 20</w:t>
      </w:r>
      <w:r w:rsidR="00D563FA">
        <w:t>2</w:t>
      </w:r>
      <w:r w:rsidR="00084168">
        <w:t>4</w:t>
      </w:r>
    </w:p>
    <w:p w:rsidR="0078029C" w:rsidRDefault="00AB3B37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0,3</w:t>
      </w:r>
      <w:r w:rsidRPr="001A6012">
        <w:t xml:space="preserve"> %. Tento vývoj byl ovlivněn zejména </w:t>
      </w:r>
      <w:r>
        <w:t>vyššími cenami v oddíle doprava a v oddíle rekreace a kultura.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únoru o 2,0</w:t>
      </w:r>
      <w:r w:rsidRPr="001A6012">
        <w:rPr>
          <w:spacing w:val="-4"/>
        </w:rPr>
        <w:t> %, což bylo o </w:t>
      </w:r>
      <w:r>
        <w:rPr>
          <w:spacing w:val="-4"/>
        </w:rPr>
        <w:t>0,3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lednu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AB3B37" w:rsidRDefault="00AB3B37" w:rsidP="00AB3B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spotřebitelské ceny v </w:t>
      </w:r>
      <w:r>
        <w:rPr>
          <w:rFonts w:cs="Arial"/>
          <w:szCs w:val="20"/>
        </w:rPr>
        <w:t>únoru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1A6012">
        <w:rPr>
          <w:rFonts w:cs="Arial"/>
          <w:szCs w:val="20"/>
        </w:rPr>
        <w:t>o </w:t>
      </w:r>
      <w:r>
        <w:rPr>
          <w:rFonts w:cs="Arial"/>
          <w:szCs w:val="20"/>
        </w:rPr>
        <w:t>0,3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Vývoj cen v oddíle doprava byl ovlivněn především růstem cen pohonných hmot a olejů o 4,3 %. V oddíle rekreace a kultura byly vyšší ceny dovolených s komplexními službami o 6,0 % a ceny rekreačních a kulturních služeb o 0,6 %. Z potravin se zvýšily především ceny brambor o 10,8 %, vajec o 7,1 % a sýrů a tvarohů o 1,5 %. Na meziměsíční snižování celkové cenové hladiny v únoru působily především ceny v oddíle alkoholické nápoje, tabák, kde klesly ceny vína o 3,7 % a lihovin o 2,8 %. V oddíle potraviny a nealkoholické byly nižší ceny drůbežího masa o 3,1 %, másla o 6,1 % a polotučného trvanlivého mléka o 4,1 %.</w:t>
      </w:r>
    </w:p>
    <w:p w:rsidR="00AB3B37" w:rsidRDefault="00AB3B37" w:rsidP="00AB3B3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 úrovni měsíce ledna a ceny</w:t>
      </w:r>
      <w:r w:rsidRPr="001A6012">
        <w:rPr>
          <w:rFonts w:cs="Arial"/>
          <w:szCs w:val="20"/>
        </w:rPr>
        <w:t xml:space="preserve"> služeb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0,7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BF4542" w:rsidRPr="00A3469B" w:rsidRDefault="00AB3B37" w:rsidP="00AB3B3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iCs/>
        </w:rPr>
        <w:t>Na vývoj spotřebitelských cen měly v únoru výrazný vliv ceny pohonných hmot. Ty se po několikaměsíčním poklesu vrátily k růstu.</w:t>
      </w:r>
      <w:r w:rsidRPr="00804458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Nafta se v únoru na čerpacích stanicích v průměru prodávala za zhruba 38,10 Kč/l a benzín Natural 95 za téměř 37,80 Kč/l</w:t>
      </w:r>
      <w:r w:rsidRPr="00804458">
        <w:rPr>
          <w:rFonts w:cs="Arial"/>
          <w:i/>
          <w:iCs/>
        </w:rPr>
        <w:t>,</w:t>
      </w:r>
      <w:r w:rsidRPr="00804458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</w:t>
      </w:r>
      <w:r>
        <w:rPr>
          <w:rFonts w:cs="Arial"/>
          <w:szCs w:val="20"/>
        </w:rPr>
        <w:t>edla</w:t>
      </w:r>
      <w:r w:rsidRPr="00043D30">
        <w:rPr>
          <w:rFonts w:cs="Arial"/>
          <w:szCs w:val="20"/>
        </w:rPr>
        <w:t xml:space="preserve">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AB3B37" w:rsidRDefault="00AB3B37" w:rsidP="00AB3B37">
      <w:pPr>
        <w:jc w:val="both"/>
      </w:pPr>
      <w:r w:rsidRPr="001A6012">
        <w:t>Meziročně spotřebitelské ceny v</w:t>
      </w:r>
      <w:r>
        <w:t xml:space="preserve"> únoru </w:t>
      </w:r>
      <w:r w:rsidRPr="001A6012">
        <w:t>vzrostly o </w:t>
      </w:r>
      <w:r>
        <w:t>2,0</w:t>
      </w:r>
      <w:r w:rsidRPr="001A6012">
        <w:t> %, což bylo o </w:t>
      </w:r>
      <w:r>
        <w:t>0,3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lednu</w:t>
      </w:r>
      <w:r w:rsidRPr="001A6012">
        <w:t xml:space="preserve">. </w:t>
      </w:r>
      <w:r w:rsidRPr="00CC23C9">
        <w:rPr>
          <w:b/>
        </w:rPr>
        <w:t>Zpomal</w:t>
      </w:r>
      <w:r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potraviny a nealkoholické nápoje a v oddíle alkoholické nápoje, tabák. V oddíle potraviny a nealkoholické nápoje došlo k prohloubení cenového poklesu, a to především díky cenám zeleniny. Ty přešly z lednového růstu o 13,3 % v pokles o 0,1 % v únoru. V oddíle alkoholické nápoje, tabák zpomalil růst cen lihovin na 2,4 % (v lednu růst o 3,4 %), vína na 1,5 % (v lednu růst o 5,0 %), piva na 2,8 % (v lednu růst o 4,0 %) a tabákových výrobků na 5,5 % (v lednu růst o 6,9 %).</w:t>
      </w:r>
    </w:p>
    <w:p w:rsidR="00AB3B37" w:rsidRPr="00163514" w:rsidRDefault="00AB3B37" w:rsidP="00AB3B37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</w:t>
      </w:r>
      <w:r>
        <w:rPr>
          <w:rFonts w:cs="Arial"/>
        </w:rPr>
        <w:t xml:space="preserve">v únoru </w:t>
      </w:r>
      <w:r w:rsidRPr="00E45A17">
        <w:rPr>
          <w:rFonts w:cs="Arial"/>
        </w:rPr>
        <w:t>největší vliv</w:t>
      </w:r>
      <w:r>
        <w:rPr>
          <w:rFonts w:cs="Arial"/>
        </w:rPr>
        <w:t xml:space="preserve"> </w:t>
      </w:r>
      <w:r w:rsidRPr="00E45A17">
        <w:rPr>
          <w:rFonts w:cs="Arial"/>
        </w:rPr>
        <w:t xml:space="preserve">ceny v oddíle bydlení, kde </w:t>
      </w:r>
      <w:r>
        <w:rPr>
          <w:rFonts w:cs="Arial"/>
        </w:rPr>
        <w:t>v</w:t>
      </w:r>
      <w:r w:rsidRPr="00625FB3">
        <w:rPr>
          <w:rFonts w:cs="Arial"/>
        </w:rPr>
        <w:t>zrostl</w:t>
      </w:r>
      <w:r w:rsidRPr="00E45A17">
        <w:rPr>
          <w:rFonts w:cs="Arial"/>
        </w:rPr>
        <w:t xml:space="preserve">y ceny </w:t>
      </w:r>
      <w:r w:rsidRPr="00B3645D">
        <w:rPr>
          <w:rFonts w:cs="Arial"/>
          <w:szCs w:val="20"/>
        </w:rPr>
        <w:t xml:space="preserve">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6,8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4,8 %, vodného o 10,9 %, stočného o 10,5 %, elektřiny o 13,1 % a tepla a teplé vody o 3,5 %. Ceny zemního plynu meziročně klesly o 5,5 % a tuhých paliv o 3,7 %. Další v pořadí vlivu byly ceny v oddíle stravování a ubytování, kde byly vyšší ceny stravovacích služeb o 8,7 % a ubytovacích služeb o 9,7 %. V oddíle rekreace a kultura vzrostly zejména ceny rekreačních a kulturních služeb o 6,7 % a dovolených s komplexními službami o 3,7 %.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</w:t>
      </w:r>
      <w:r>
        <w:rPr>
          <w:rFonts w:cs="Arial"/>
        </w:rPr>
        <w:t>alkoholické nápoje, tabák se ceny zvýšily o 4,0 %.</w:t>
      </w:r>
      <w:r w:rsidRPr="00E45A17">
        <w:rPr>
          <w:rFonts w:cs="Arial"/>
        </w:rPr>
        <w:t xml:space="preserve"> </w:t>
      </w:r>
      <w:r w:rsidRPr="00625FB3">
        <w:t xml:space="preserve">K meziročnímu snížení </w:t>
      </w:r>
      <w:r>
        <w:t xml:space="preserve">celkové </w:t>
      </w:r>
      <w:r w:rsidRPr="00625FB3">
        <w:t xml:space="preserve">cenové hladiny </w:t>
      </w:r>
      <w:r>
        <w:t xml:space="preserve">v únoru </w:t>
      </w:r>
      <w:r w:rsidRPr="00625FB3">
        <w:t>přispěly</w:t>
      </w:r>
      <w:r>
        <w:t xml:space="preserve"> především ceny</w:t>
      </w:r>
      <w:r w:rsidRPr="00163514">
        <w:t xml:space="preserve"> v oddíle </w:t>
      </w:r>
      <w:r>
        <w:t>potraviny a nealkoholické nápoje, kde klesly zejména ceny mouky o 22,8 %, drůbežího masa o 16,4 %, polotučného trvanlivého mléka o 23,4 %, vajec o 30,7 % a cukru o 21,1 %.</w:t>
      </w:r>
    </w:p>
    <w:p w:rsidR="00AB3B37" w:rsidRPr="00163514" w:rsidRDefault="00AB3B37" w:rsidP="00AB3B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meziročně vzrostly o 1,0 %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 xml:space="preserve">lednu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0,4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2,1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AB3B37" w:rsidRDefault="00AB3B37" w:rsidP="00AB3B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0,2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5,2</w:t>
      </w:r>
      <w:r w:rsidRPr="00E45A17">
        <w:rPr>
          <w:rFonts w:cs="Arial"/>
          <w:szCs w:val="20"/>
        </w:rPr>
        <w:t> %.</w:t>
      </w:r>
    </w:p>
    <w:p w:rsidR="00AB3B37" w:rsidRDefault="00AB3B37" w:rsidP="00AB3B3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únoru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150,2</w:t>
      </w:r>
      <w:r w:rsidRPr="00526E1C">
        <w:rPr>
          <w:rFonts w:cs="Arial"/>
          <w:szCs w:val="20"/>
        </w:rPr>
        <w:t> % (v</w:t>
      </w:r>
      <w:r>
        <w:rPr>
          <w:rFonts w:cs="Arial"/>
          <w:szCs w:val="20"/>
        </w:rPr>
        <w:t> lednu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9,8</w:t>
      </w:r>
      <w:r w:rsidRPr="00526E1C">
        <w:rPr>
          <w:rFonts w:cs="Arial"/>
          <w:szCs w:val="20"/>
        </w:rPr>
        <w:t> %).</w:t>
      </w:r>
    </w:p>
    <w:p w:rsidR="009D0CE4" w:rsidRPr="00071A61" w:rsidRDefault="00AB3B37" w:rsidP="00AB3B37">
      <w:pPr>
        <w:jc w:val="both"/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</w:t>
      </w:r>
      <w:r>
        <w:rPr>
          <w:rFonts w:cs="Arial"/>
          <w:szCs w:val="20"/>
        </w:rPr>
        <w:t> únoru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8,2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lednu 9,4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AB3B37" w:rsidRPr="00AB3B37" w:rsidRDefault="00AB3B37" w:rsidP="00AB3B3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B37">
        <w:rPr>
          <w:rFonts w:cs="Arial"/>
          <w:sz w:val="20"/>
          <w:szCs w:val="20"/>
        </w:rPr>
        <w:t xml:space="preserve">Podle předběžných výpočtů vzrostl </w:t>
      </w:r>
      <w:r w:rsidRPr="00AB3B37">
        <w:rPr>
          <w:rFonts w:cs="Arial"/>
          <w:b/>
          <w:sz w:val="20"/>
          <w:szCs w:val="20"/>
        </w:rPr>
        <w:t>v únoru</w:t>
      </w:r>
      <w:r w:rsidRPr="00AB3B37">
        <w:rPr>
          <w:rFonts w:cs="Arial"/>
          <w:sz w:val="20"/>
          <w:szCs w:val="20"/>
        </w:rPr>
        <w:t xml:space="preserve"> HICP v Česku </w:t>
      </w:r>
      <w:r w:rsidRPr="00AB3B37">
        <w:rPr>
          <w:rFonts w:cs="Arial"/>
          <w:b/>
          <w:sz w:val="20"/>
          <w:szCs w:val="20"/>
        </w:rPr>
        <w:t>meziměsíčně</w:t>
      </w:r>
      <w:r w:rsidRPr="00AB3B37">
        <w:rPr>
          <w:rFonts w:cs="Arial"/>
          <w:sz w:val="20"/>
          <w:szCs w:val="20"/>
        </w:rPr>
        <w:t xml:space="preserve"> o 0,3 % a </w:t>
      </w:r>
      <w:r w:rsidRPr="00AB3B37">
        <w:rPr>
          <w:rFonts w:cs="Arial"/>
          <w:b/>
          <w:sz w:val="20"/>
          <w:szCs w:val="20"/>
        </w:rPr>
        <w:t>meziročně</w:t>
      </w:r>
      <w:r w:rsidRPr="00AB3B37">
        <w:rPr>
          <w:rFonts w:cs="Arial"/>
          <w:sz w:val="20"/>
          <w:szCs w:val="20"/>
        </w:rPr>
        <w:t xml:space="preserve"> o 2,2% (v lednu o 2,7 %). </w:t>
      </w:r>
      <w:r w:rsidRPr="00AB3B37">
        <w:rPr>
          <w:rFonts w:cs="Arial"/>
          <w:b/>
          <w:sz w:val="20"/>
          <w:szCs w:val="20"/>
        </w:rPr>
        <w:t>Podle bleskových odhadů</w:t>
      </w:r>
      <w:r w:rsidRPr="00AB3B37">
        <w:rPr>
          <w:rFonts w:cs="Arial"/>
          <w:sz w:val="20"/>
          <w:szCs w:val="20"/>
        </w:rPr>
        <w:t xml:space="preserve"> </w:t>
      </w:r>
      <w:proofErr w:type="spellStart"/>
      <w:r w:rsidRPr="00AB3B37">
        <w:rPr>
          <w:rFonts w:cs="Arial"/>
          <w:sz w:val="20"/>
          <w:szCs w:val="20"/>
        </w:rPr>
        <w:t>Eurostatu</w:t>
      </w:r>
      <w:proofErr w:type="spellEnd"/>
      <w:r w:rsidRPr="00AB3B37">
        <w:rPr>
          <w:rFonts w:cs="Arial"/>
          <w:b/>
          <w:sz w:val="20"/>
          <w:szCs w:val="20"/>
        </w:rPr>
        <w:t xml:space="preserve"> </w:t>
      </w:r>
      <w:r w:rsidRPr="00AB3B37">
        <w:rPr>
          <w:rFonts w:cs="Arial"/>
          <w:sz w:val="20"/>
          <w:szCs w:val="20"/>
        </w:rPr>
        <w:t>byla</w:t>
      </w:r>
      <w:r w:rsidRPr="00AB3B37">
        <w:rPr>
          <w:rFonts w:cs="Arial"/>
          <w:b/>
          <w:sz w:val="20"/>
          <w:szCs w:val="20"/>
        </w:rPr>
        <w:t xml:space="preserve"> meziroční</w:t>
      </w:r>
      <w:r w:rsidRPr="00AB3B37">
        <w:rPr>
          <w:rFonts w:cs="Arial"/>
          <w:sz w:val="20"/>
          <w:szCs w:val="20"/>
        </w:rPr>
        <w:t xml:space="preserve"> změna HICP </w:t>
      </w:r>
      <w:r w:rsidRPr="00AB3B37">
        <w:rPr>
          <w:rFonts w:cs="Arial"/>
          <w:b/>
          <w:sz w:val="20"/>
          <w:szCs w:val="20"/>
        </w:rPr>
        <w:t xml:space="preserve">v únoru </w:t>
      </w:r>
      <w:r w:rsidRPr="00AB3B37">
        <w:rPr>
          <w:rFonts w:cs="Arial"/>
          <w:b/>
          <w:bCs/>
          <w:sz w:val="20"/>
          <w:szCs w:val="20"/>
        </w:rPr>
        <w:t xml:space="preserve">2024 </w:t>
      </w:r>
      <w:r w:rsidRPr="00AB3B37">
        <w:rPr>
          <w:rFonts w:cs="Arial"/>
          <w:sz w:val="20"/>
          <w:szCs w:val="20"/>
        </w:rPr>
        <w:t xml:space="preserve">za Eurozónu 2,6 % (v lednu 2,8 %), v Německu 2,7 % a na Slovensku 3,7 %. </w:t>
      </w:r>
      <w:r w:rsidRPr="00AB3B37">
        <w:rPr>
          <w:rFonts w:cs="Arial"/>
          <w:bCs/>
          <w:sz w:val="20"/>
          <w:szCs w:val="20"/>
        </w:rPr>
        <w:t>Nejvyšší byla v únoru v Chorvatsku (4,8 %) a nejnižší v Lotyšsku (0,7 %). P</w:t>
      </w:r>
      <w:r w:rsidRPr="00AB3B37">
        <w:rPr>
          <w:rFonts w:cs="Arial"/>
          <w:sz w:val="20"/>
          <w:szCs w:val="20"/>
        </w:rPr>
        <w:t xml:space="preserve">odle předběžných údajů </w:t>
      </w:r>
      <w:proofErr w:type="spellStart"/>
      <w:r w:rsidRPr="00AB3B37">
        <w:rPr>
          <w:rFonts w:cs="Arial"/>
          <w:sz w:val="20"/>
          <w:szCs w:val="20"/>
        </w:rPr>
        <w:t>Eurostatu</w:t>
      </w:r>
      <w:proofErr w:type="spellEnd"/>
      <w:r w:rsidRPr="00AB3B37">
        <w:rPr>
          <w:rFonts w:cs="Arial"/>
          <w:sz w:val="20"/>
          <w:szCs w:val="20"/>
        </w:rPr>
        <w:t xml:space="preserve"> byla </w:t>
      </w:r>
      <w:r w:rsidRPr="00AB3B37">
        <w:rPr>
          <w:rFonts w:cs="Arial"/>
          <w:b/>
          <w:sz w:val="20"/>
          <w:szCs w:val="20"/>
        </w:rPr>
        <w:t>meziroční</w:t>
      </w:r>
      <w:r w:rsidRPr="00AB3B37">
        <w:rPr>
          <w:rFonts w:cs="Arial"/>
          <w:sz w:val="20"/>
          <w:szCs w:val="20"/>
        </w:rPr>
        <w:t xml:space="preserve"> změna HICP </w:t>
      </w:r>
      <w:r w:rsidRPr="00AB3B37">
        <w:rPr>
          <w:rFonts w:cs="Arial"/>
          <w:b/>
          <w:bCs/>
          <w:sz w:val="20"/>
          <w:szCs w:val="20"/>
        </w:rPr>
        <w:t xml:space="preserve">27 členských zemí EU </w:t>
      </w:r>
      <w:r w:rsidRPr="00AB3B37">
        <w:rPr>
          <w:rFonts w:cs="Arial"/>
          <w:b/>
          <w:sz w:val="20"/>
          <w:szCs w:val="20"/>
        </w:rPr>
        <w:t xml:space="preserve">v lednu </w:t>
      </w:r>
      <w:r w:rsidRPr="00AB3B37">
        <w:rPr>
          <w:rFonts w:cs="Arial"/>
          <w:sz w:val="20"/>
          <w:szCs w:val="20"/>
        </w:rPr>
        <w:t xml:space="preserve">3,1 %, což bylo o 0,3 procentního bodu méně než v prosinci. </w:t>
      </w:r>
      <w:r w:rsidRPr="00AB3B37">
        <w:rPr>
          <w:rFonts w:cs="Arial"/>
          <w:bCs/>
          <w:sz w:val="20"/>
          <w:szCs w:val="20"/>
        </w:rPr>
        <w:t>Nejvyšší byla v lednu v Rumunsku (7,3 %) a nejnižší v Dánsku a v Itálii (shodně 0,9 %).</w:t>
      </w:r>
    </w:p>
    <w:p w:rsidR="00F24320" w:rsidRPr="00AB3B37" w:rsidRDefault="00AB3B37" w:rsidP="00AB3B3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AB3B3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AB3B37">
        <w:rPr>
          <w:rFonts w:cs="Arial"/>
          <w:sz w:val="20"/>
          <w:szCs w:val="20"/>
        </w:rPr>
        <w:t>Eurostatu</w:t>
      </w:r>
      <w:proofErr w:type="spellEnd"/>
      <w:r w:rsidRPr="00AB3B37">
        <w:rPr>
          <w:rFonts w:cs="Arial"/>
          <w:sz w:val="20"/>
          <w:szCs w:val="20"/>
        </w:rPr>
        <w:t xml:space="preserve">: </w:t>
      </w:r>
      <w:hyperlink r:id="rId9" w:history="1">
        <w:r w:rsidRPr="00AB3B37">
          <w:rPr>
            <w:rStyle w:val="Hypertextovodkaz"/>
            <w:rFonts w:cs="Arial"/>
            <w:sz w:val="20"/>
            <w:szCs w:val="20"/>
          </w:rPr>
          <w:t>HICP</w:t>
        </w:r>
      </w:hyperlink>
      <w:r w:rsidRPr="00AB3B37">
        <w:rPr>
          <w:rFonts w:cs="Arial"/>
          <w:sz w:val="20"/>
          <w:szCs w:val="20"/>
        </w:rPr>
        <w:t>.)</w:t>
      </w:r>
    </w:p>
    <w:p w:rsidR="006755A5" w:rsidRPr="006755A5" w:rsidRDefault="006755A5" w:rsidP="006755A5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6755A5" w:rsidRPr="006755A5" w:rsidRDefault="006755A5" w:rsidP="006755A5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6755A5" w:rsidRPr="00084168" w:rsidRDefault="00084168" w:rsidP="00084168">
      <w:pPr>
        <w:pStyle w:val="Zkladntextodsazen3"/>
        <w:spacing w:after="240" w:line="288" w:lineRule="auto"/>
        <w:ind w:left="0"/>
        <w:rPr>
          <w:rFonts w:cs="Arial"/>
          <w:sz w:val="24"/>
          <w:szCs w:val="20"/>
        </w:rPr>
      </w:pPr>
      <w:r w:rsidRPr="00084168">
        <w:rPr>
          <w:rFonts w:eastAsia="Times New Roman" w:cs="Arial"/>
          <w:iCs/>
          <w:sz w:val="20"/>
          <w:szCs w:val="20"/>
        </w:rPr>
        <w:t>Od ledna 2024 jsou indexy spotřebitelských cen počítány na aktualizovaných vahách, které primárně vycházejí z výdajů domácností v roce 2022 a jsou modifikovány odhadem výdajů roku 2023.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6755A5" w:rsidRPr="00084168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85" w:rsidRDefault="00503485" w:rsidP="00E71A58">
      <w:r>
        <w:separator/>
      </w:r>
    </w:p>
  </w:endnote>
  <w:endnote w:type="continuationSeparator" w:id="0">
    <w:p w:rsidR="00503485" w:rsidRDefault="005034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5E7910">
      <w:rPr>
        <w:szCs w:val="16"/>
      </w:rPr>
      <w:t>únor</w:t>
    </w:r>
    <w:r w:rsidR="00A16F97">
      <w:rPr>
        <w:rStyle w:val="ZpatChar"/>
        <w:szCs w:val="16"/>
      </w:rPr>
      <w:t xml:space="preserve"> 202</w:t>
    </w:r>
    <w:r w:rsidR="00485656">
      <w:rPr>
        <w:rStyle w:val="ZpatChar"/>
        <w:szCs w:val="16"/>
      </w:rPr>
      <w:t>4</w:t>
    </w:r>
    <w:r w:rsidRPr="00F1639F">
      <w:rPr>
        <w:rStyle w:val="ZpatChar"/>
        <w:szCs w:val="16"/>
      </w:rPr>
      <w:t xml:space="preserve"> / </w:t>
    </w:r>
    <w:r w:rsidR="005E7910">
      <w:rPr>
        <w:rStyle w:val="ZpatChar"/>
        <w:i/>
        <w:szCs w:val="16"/>
      </w:rPr>
      <w:t>Febr</w:t>
    </w:r>
    <w:r w:rsidR="00485656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485656">
      <w:rPr>
        <w:rStyle w:val="ZpatChar"/>
        <w:i/>
        <w:szCs w:val="16"/>
      </w:rPr>
      <w:t>4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85" w:rsidRDefault="00503485" w:rsidP="00E71A58">
      <w:r>
        <w:separator/>
      </w:r>
    </w:p>
  </w:footnote>
  <w:footnote w:type="continuationSeparator" w:id="0">
    <w:p w:rsidR="00503485" w:rsidRDefault="00503485" w:rsidP="00E71A58">
      <w:r>
        <w:continuationSeparator/>
      </w:r>
    </w:p>
  </w:footnote>
  <w:footnote w:id="1">
    <w:p w:rsidR="00AB3B37" w:rsidRPr="00AB3B37" w:rsidRDefault="00AB3B37" w:rsidP="00AB3B37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AB3B37">
        <w:rPr>
          <w:rStyle w:val="Znakapoznpodarou"/>
          <w:rFonts w:ascii="Arial" w:hAnsi="Arial" w:cs="Arial"/>
          <w:szCs w:val="18"/>
          <w:lang w:val="cs-CZ"/>
        </w:rPr>
        <w:footnoteRef/>
      </w:r>
      <w:r w:rsidRPr="00AB3B37">
        <w:rPr>
          <w:rFonts w:ascii="Arial" w:hAnsi="Arial" w:cs="Arial"/>
          <w:szCs w:val="18"/>
          <w:vertAlign w:val="superscript"/>
          <w:lang w:val="cs-CZ"/>
        </w:rPr>
        <w:t>)</w:t>
      </w:r>
      <w:r w:rsidRPr="00AB3B37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AB3B3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AB3B3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AB3B37" w:rsidRPr="00743BAE" w:rsidRDefault="00AB3B37" w:rsidP="00AB3B37">
      <w:pPr>
        <w:pStyle w:val="Textpoznpodarou"/>
        <w:spacing w:line="288" w:lineRule="auto"/>
        <w:contextualSpacing/>
        <w:jc w:val="both"/>
        <w:rPr>
          <w:i/>
          <w:sz w:val="18"/>
          <w:szCs w:val="18"/>
        </w:rPr>
      </w:pPr>
      <w:r w:rsidRPr="00AB3B37">
        <w:rPr>
          <w:rStyle w:val="Znakapoznpodarou"/>
          <w:rFonts w:ascii="Arial" w:hAnsi="Arial" w:cs="Arial"/>
          <w:szCs w:val="18"/>
          <w:lang w:val="cs-CZ"/>
        </w:rPr>
        <w:footnoteRef/>
      </w:r>
      <w:r w:rsidRPr="00AB3B37">
        <w:rPr>
          <w:rFonts w:ascii="Arial" w:hAnsi="Arial" w:cs="Arial"/>
          <w:szCs w:val="18"/>
          <w:vertAlign w:val="superscript"/>
          <w:lang w:val="cs-CZ"/>
        </w:rPr>
        <w:t>)</w:t>
      </w:r>
      <w:r w:rsidRPr="00AB3B37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AB3B37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168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068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432C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5656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03485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2E9D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1D40"/>
    <w:rsid w:val="005C2A6E"/>
    <w:rsid w:val="005D5802"/>
    <w:rsid w:val="005D7890"/>
    <w:rsid w:val="005D7D83"/>
    <w:rsid w:val="005E1698"/>
    <w:rsid w:val="005E3A03"/>
    <w:rsid w:val="005E7910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A19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484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0CE4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15ED"/>
    <w:rsid w:val="00AA2996"/>
    <w:rsid w:val="00AA52BF"/>
    <w:rsid w:val="00AA559A"/>
    <w:rsid w:val="00AA765E"/>
    <w:rsid w:val="00AB24DE"/>
    <w:rsid w:val="00AB2AF1"/>
    <w:rsid w:val="00AB345B"/>
    <w:rsid w:val="00AB3B37"/>
    <w:rsid w:val="00AC04E1"/>
    <w:rsid w:val="00AC12B4"/>
    <w:rsid w:val="00AC1F42"/>
    <w:rsid w:val="00AC79FA"/>
    <w:rsid w:val="00AD306C"/>
    <w:rsid w:val="00AD6257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463E9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2557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041E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A70C797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1ED8-4A30-441D-B13A-86E27F4E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549</TotalTime>
  <Pages>2</Pages>
  <Words>731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252</cp:revision>
  <cp:lastPrinted>2017-01-18T13:33:00Z</cp:lastPrinted>
  <dcterms:created xsi:type="dcterms:W3CDTF">2017-02-09T16:27:00Z</dcterms:created>
  <dcterms:modified xsi:type="dcterms:W3CDTF">2024-03-08T11:02:00Z</dcterms:modified>
</cp:coreProperties>
</file>