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CEC7E" w14:textId="77777777" w:rsidR="006E01C1" w:rsidRPr="00E44CF3" w:rsidRDefault="006E01C1" w:rsidP="00214BE3">
      <w:pPr>
        <w:pStyle w:val="Nadpis1"/>
        <w:spacing w:after="240"/>
      </w:pPr>
      <w:r w:rsidRPr="00E44CF3">
        <w:t>2. Sídelní struktura</w:t>
      </w:r>
    </w:p>
    <w:p w14:paraId="06C96C3A" w14:textId="36A6E155" w:rsidR="00BF130C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>Hlavní město Praha je zároveň obcí, městem a krajem. I když j</w:t>
      </w:r>
      <w:bookmarkStart w:id="0" w:name="_GoBack"/>
      <w:bookmarkEnd w:id="0"/>
      <w:r w:rsidRPr="00E44CF3">
        <w:rPr>
          <w:rFonts w:ascii="Arial" w:eastAsia="Times New Roman" w:hAnsi="Arial"/>
          <w:szCs w:val="24"/>
          <w:lang w:eastAsia="cs-CZ"/>
        </w:rPr>
        <w:t>e chápáno jako jeden celek, existují uvnitř města rozdíly, které jsou dány vývojem v minulo</w:t>
      </w:r>
      <w:r w:rsidR="001F0029">
        <w:rPr>
          <w:rFonts w:ascii="Arial" w:eastAsia="Times New Roman" w:hAnsi="Arial"/>
          <w:szCs w:val="24"/>
          <w:lang w:eastAsia="cs-CZ"/>
        </w:rPr>
        <w:t>sti. V roce</w:t>
      </w:r>
      <w:r w:rsidRPr="00E44CF3">
        <w:rPr>
          <w:rFonts w:ascii="Arial" w:eastAsia="Times New Roman" w:hAnsi="Arial"/>
          <w:szCs w:val="24"/>
          <w:lang w:eastAsia="cs-CZ"/>
        </w:rPr>
        <w:t xml:space="preserve"> 1784 </w:t>
      </w:r>
      <w:r w:rsidR="001F0029">
        <w:rPr>
          <w:rFonts w:ascii="Arial" w:eastAsia="Times New Roman" w:hAnsi="Arial"/>
          <w:szCs w:val="24"/>
          <w:lang w:eastAsia="cs-CZ"/>
        </w:rPr>
        <w:t xml:space="preserve">vzniklo královské hlavní město Praha a </w:t>
      </w:r>
      <w:r w:rsidRPr="00E44CF3">
        <w:rPr>
          <w:rFonts w:ascii="Arial" w:eastAsia="Times New Roman" w:hAnsi="Arial"/>
          <w:szCs w:val="24"/>
          <w:lang w:eastAsia="cs-CZ"/>
        </w:rPr>
        <w:t xml:space="preserve">skládalo pouze ze čtyř katastrálních území - Nového Města, Starého Města, Malé Strany a Hradčan (1,5 % současné rozlohy). Tyto katastry byly celou řadu staletí typicky městské. </w:t>
      </w:r>
      <w:r w:rsidR="001F0029">
        <w:rPr>
          <w:rFonts w:ascii="Arial" w:eastAsia="Times New Roman" w:hAnsi="Arial"/>
          <w:szCs w:val="24"/>
          <w:lang w:eastAsia="cs-CZ"/>
        </w:rPr>
        <w:t xml:space="preserve">V roce 1850 byl připojen ještě Josefov a v roce 1883 Vyšehrad. </w:t>
      </w:r>
      <w:r w:rsidRPr="00E44CF3">
        <w:rPr>
          <w:rFonts w:ascii="Arial" w:eastAsia="Times New Roman" w:hAnsi="Arial"/>
          <w:szCs w:val="24"/>
          <w:lang w:eastAsia="cs-CZ"/>
        </w:rPr>
        <w:t xml:space="preserve">Ostatní části dnešní Prahy byly malými vesničkami. </w:t>
      </w:r>
      <w:r w:rsidR="004B14F1" w:rsidRPr="00E44CF3">
        <w:rPr>
          <w:rFonts w:ascii="Arial" w:eastAsia="Times New Roman" w:hAnsi="Arial"/>
          <w:szCs w:val="24"/>
          <w:lang w:eastAsia="cs-CZ"/>
        </w:rPr>
        <w:t>V roce 1884 byl</w:t>
      </w:r>
      <w:r w:rsidRPr="00E44CF3">
        <w:rPr>
          <w:rFonts w:ascii="Arial" w:eastAsia="Times New Roman" w:hAnsi="Arial"/>
          <w:szCs w:val="24"/>
          <w:lang w:eastAsia="cs-CZ"/>
        </w:rPr>
        <w:t xml:space="preserve"> k Praze připojen katastr Holešovic</w:t>
      </w:r>
      <w:r w:rsidR="001F0029">
        <w:rPr>
          <w:rFonts w:ascii="Arial" w:eastAsia="Times New Roman" w:hAnsi="Arial"/>
          <w:szCs w:val="24"/>
          <w:lang w:eastAsia="cs-CZ"/>
        </w:rPr>
        <w:t xml:space="preserve"> a Buben</w:t>
      </w:r>
      <w:r w:rsidRPr="00E44CF3">
        <w:rPr>
          <w:rFonts w:ascii="Arial" w:eastAsia="Times New Roman" w:hAnsi="Arial"/>
          <w:szCs w:val="24"/>
          <w:lang w:eastAsia="cs-CZ"/>
        </w:rPr>
        <w:t xml:space="preserve"> a po 17 letech, v roce 1901 pak území Libně. Karlín a Smíchov byly připojeny po</w:t>
      </w:r>
      <w:r w:rsidR="0089773B" w:rsidRPr="00E44CF3">
        <w:rPr>
          <w:rFonts w:ascii="Arial" w:eastAsia="Times New Roman" w:hAnsi="Arial"/>
          <w:szCs w:val="24"/>
          <w:lang w:eastAsia="cs-CZ"/>
        </w:rPr>
        <w:t>zději (až v roce 1922 se vznikem</w:t>
      </w:r>
      <w:r w:rsidRPr="00E44CF3">
        <w:rPr>
          <w:rFonts w:ascii="Arial" w:eastAsia="Times New Roman" w:hAnsi="Arial"/>
          <w:szCs w:val="24"/>
          <w:lang w:eastAsia="cs-CZ"/>
        </w:rPr>
        <w:t xml:space="preserve"> tzv. Velké Prahy), ačkoliv i na konci 19. století již vykazovaly městské prvky. Před velkým rozšířením Prahy v roce 1922 měla Praha pouze 4 % dnešní rozlohy. Po připojení 38 obcí nebo jejich částí vznikla tzv. Velká Praha s rozlohou, která představovala přibližně 32 % dnešního území. Postupně bylo území Prahy dále rozšiřováno, zejména s ohledem na potřebu dalších ploch pro rozvoj města. Kromě rozšíření Prahy v roce 1922 stojí za zmínku připojení</w:t>
      </w:r>
      <w:r w:rsidR="001F0029">
        <w:rPr>
          <w:rFonts w:ascii="Arial" w:eastAsia="Times New Roman" w:hAnsi="Arial"/>
          <w:szCs w:val="24"/>
          <w:lang w:eastAsia="cs-CZ"/>
        </w:rPr>
        <w:t xml:space="preserve"> některých katastrů v roce 1960,</w:t>
      </w:r>
      <w:r w:rsidRPr="00E44CF3">
        <w:rPr>
          <w:rFonts w:ascii="Arial" w:eastAsia="Times New Roman" w:hAnsi="Arial"/>
          <w:szCs w:val="24"/>
          <w:lang w:eastAsia="cs-CZ"/>
        </w:rPr>
        <w:t xml:space="preserve"> </w:t>
      </w:r>
      <w:r w:rsidR="001F0029">
        <w:rPr>
          <w:rFonts w:ascii="Arial" w:eastAsia="Times New Roman" w:hAnsi="Arial"/>
          <w:szCs w:val="24"/>
          <w:lang w:eastAsia="cs-CZ"/>
        </w:rPr>
        <w:t xml:space="preserve">připojení </w:t>
      </w:r>
      <w:r w:rsidRPr="00E44CF3">
        <w:rPr>
          <w:rFonts w:ascii="Arial" w:eastAsia="Times New Roman" w:hAnsi="Arial"/>
          <w:szCs w:val="24"/>
          <w:lang w:eastAsia="cs-CZ"/>
        </w:rPr>
        <w:t>dalších 21 obcí v roce 1968 a poslední velké rozšíření v roce 1974, kdy bylo k Praze připojeno 30 obcí. V roce 1974 Praha dosáhla své současné rozlohy (496 km</w:t>
      </w:r>
      <w:r w:rsidRPr="00A30571">
        <w:rPr>
          <w:rFonts w:ascii="Arial" w:eastAsia="Times New Roman" w:hAnsi="Arial"/>
          <w:szCs w:val="24"/>
          <w:vertAlign w:val="superscript"/>
          <w:lang w:eastAsia="cs-CZ"/>
        </w:rPr>
        <w:t>2</w:t>
      </w:r>
      <w:r w:rsidRPr="00E44CF3">
        <w:rPr>
          <w:rFonts w:ascii="Arial" w:eastAsia="Times New Roman" w:hAnsi="Arial"/>
          <w:szCs w:val="24"/>
          <w:lang w:eastAsia="cs-CZ"/>
        </w:rPr>
        <w:t xml:space="preserve">). Připojované části měly venkovský charakter a </w:t>
      </w:r>
      <w:r w:rsidR="00B56C15" w:rsidRPr="00E44CF3">
        <w:rPr>
          <w:rFonts w:ascii="Arial" w:eastAsia="Times New Roman" w:hAnsi="Arial"/>
          <w:szCs w:val="24"/>
          <w:lang w:eastAsia="cs-CZ"/>
        </w:rPr>
        <w:t xml:space="preserve">na </w:t>
      </w:r>
      <w:r w:rsidRPr="00E44CF3">
        <w:rPr>
          <w:rFonts w:ascii="Arial" w:eastAsia="Times New Roman" w:hAnsi="Arial"/>
          <w:szCs w:val="24"/>
          <w:lang w:eastAsia="cs-CZ"/>
        </w:rPr>
        <w:t>část</w:t>
      </w:r>
      <w:r w:rsidR="00B56C15" w:rsidRPr="00E44CF3">
        <w:rPr>
          <w:rFonts w:ascii="Arial" w:eastAsia="Times New Roman" w:hAnsi="Arial"/>
          <w:szCs w:val="24"/>
          <w:lang w:eastAsia="cs-CZ"/>
        </w:rPr>
        <w:t>i</w:t>
      </w:r>
      <w:r w:rsidRPr="00E44CF3">
        <w:rPr>
          <w:rFonts w:ascii="Arial" w:eastAsia="Times New Roman" w:hAnsi="Arial"/>
          <w:szCs w:val="24"/>
          <w:lang w:eastAsia="cs-CZ"/>
        </w:rPr>
        <w:t xml:space="preserve"> z nich (například Stodůlky, Chodov, Háje</w:t>
      </w:r>
      <w:r w:rsidR="00B56C15" w:rsidRPr="00E44CF3">
        <w:rPr>
          <w:rFonts w:ascii="Arial" w:eastAsia="Times New Roman" w:hAnsi="Arial"/>
          <w:szCs w:val="24"/>
          <w:lang w:eastAsia="cs-CZ"/>
        </w:rPr>
        <w:t>) začala výstavba nových sídlišť</w:t>
      </w:r>
      <w:r w:rsidRPr="00E44CF3">
        <w:rPr>
          <w:rFonts w:ascii="Arial" w:eastAsia="Times New Roman" w:hAnsi="Arial"/>
          <w:szCs w:val="24"/>
          <w:lang w:eastAsia="cs-CZ"/>
        </w:rPr>
        <w:t>.</w:t>
      </w:r>
    </w:p>
    <w:p w14:paraId="7849A75D" w14:textId="77777777" w:rsidR="006E01C1" w:rsidRPr="006E01C1" w:rsidRDefault="006E01C1">
      <w:pPr>
        <w:rPr>
          <w:rFonts w:ascii="Arial" w:hAnsi="Arial" w:cs="Arial"/>
        </w:rPr>
      </w:pPr>
    </w:p>
    <w:p w14:paraId="3CA680C3" w14:textId="77777777" w:rsidR="006E01C1" w:rsidRPr="006E01C1" w:rsidRDefault="006E01C1" w:rsidP="006E01C1">
      <w:pPr>
        <w:spacing w:after="120"/>
        <w:rPr>
          <w:rFonts w:ascii="Arial" w:hAnsi="Arial" w:cs="Arial"/>
          <w:b/>
        </w:rPr>
      </w:pPr>
      <w:r w:rsidRPr="006E01C1">
        <w:rPr>
          <w:rFonts w:ascii="Arial" w:hAnsi="Arial" w:cs="Arial"/>
          <w:b/>
        </w:rPr>
        <w:t>Mapa 2.1. Územní růst hlavního města Prahy podle katastrálních území</w:t>
      </w:r>
      <w:r w:rsidR="008E56D1">
        <w:rPr>
          <w:rFonts w:ascii="Arial" w:hAnsi="Arial" w:cs="Arial"/>
          <w:b/>
        </w:rPr>
        <w:t xml:space="preserve"> </w:t>
      </w:r>
    </w:p>
    <w:p w14:paraId="5AA69AEB" w14:textId="1E3528FF" w:rsidR="006E01C1" w:rsidRDefault="006E01C1">
      <w:pPr>
        <w:rPr>
          <w:rFonts w:ascii="Arial" w:hAnsi="Arial" w:cs="Arial"/>
        </w:rPr>
      </w:pPr>
      <w:r w:rsidRPr="006E01C1">
        <w:rPr>
          <w:rFonts w:ascii="Arial" w:hAnsi="Arial" w:cs="Arial"/>
          <w:noProof/>
          <w:lang w:eastAsia="cs-CZ"/>
        </w:rPr>
        <w:drawing>
          <wp:inline distT="0" distB="0" distL="0" distR="0" wp14:anchorId="1E805050" wp14:editId="3B95C5C9">
            <wp:extent cx="5760720" cy="4028118"/>
            <wp:effectExtent l="0" t="0" r="0" b="0"/>
            <wp:docPr id="4" name="Obrázek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769B" w14:textId="77777777" w:rsidR="00214BE3" w:rsidRPr="006E01C1" w:rsidRDefault="00214BE3">
      <w:pPr>
        <w:rPr>
          <w:rFonts w:ascii="Arial" w:hAnsi="Arial" w:cs="Arial"/>
        </w:rPr>
      </w:pPr>
    </w:p>
    <w:p w14:paraId="449220A8" w14:textId="77777777" w:rsidR="006E01C1" w:rsidRPr="006E01C1" w:rsidRDefault="006E01C1">
      <w:pPr>
        <w:rPr>
          <w:rFonts w:ascii="Arial" w:hAnsi="Arial" w:cs="Arial"/>
        </w:rPr>
      </w:pPr>
    </w:p>
    <w:p w14:paraId="34FBAD77" w14:textId="74DF62E0" w:rsidR="00A30571" w:rsidRPr="00A30571" w:rsidRDefault="006E01C1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A30571">
        <w:rPr>
          <w:rFonts w:ascii="Arial" w:eastAsia="Times New Roman" w:hAnsi="Arial"/>
          <w:szCs w:val="24"/>
          <w:lang w:eastAsia="cs-CZ"/>
        </w:rPr>
        <w:t>V současné Praze je 57 samosprávných městských částí. Některé jsou tvořeny jedním katastrem (například MČ Praha 2</w:t>
      </w:r>
      <w:r w:rsidR="001F0029">
        <w:rPr>
          <w:rFonts w:ascii="Arial" w:eastAsia="Times New Roman" w:hAnsi="Arial"/>
          <w:szCs w:val="24"/>
          <w:lang w:eastAsia="cs-CZ"/>
        </w:rPr>
        <w:t>1</w:t>
      </w:r>
      <w:r w:rsidR="00DF179D">
        <w:rPr>
          <w:rFonts w:ascii="Arial" w:eastAsia="Times New Roman" w:hAnsi="Arial"/>
          <w:szCs w:val="24"/>
          <w:lang w:eastAsia="cs-CZ"/>
        </w:rPr>
        <w:t xml:space="preserve"> </w:t>
      </w:r>
      <w:r w:rsidRPr="00A30571">
        <w:rPr>
          <w:rFonts w:ascii="Arial" w:eastAsia="Times New Roman" w:hAnsi="Arial"/>
          <w:szCs w:val="24"/>
          <w:lang w:eastAsia="cs-CZ"/>
        </w:rPr>
        <w:t>na katastr</w:t>
      </w:r>
      <w:r w:rsidR="001F0029">
        <w:rPr>
          <w:rFonts w:ascii="Arial" w:eastAsia="Times New Roman" w:hAnsi="Arial"/>
          <w:szCs w:val="24"/>
          <w:lang w:eastAsia="cs-CZ"/>
        </w:rPr>
        <w:t xml:space="preserve">álním území </w:t>
      </w:r>
      <w:r w:rsidRPr="00A30571">
        <w:rPr>
          <w:rFonts w:ascii="Arial" w:eastAsia="Times New Roman" w:hAnsi="Arial"/>
          <w:szCs w:val="24"/>
          <w:lang w:eastAsia="cs-CZ"/>
        </w:rPr>
        <w:t xml:space="preserve">Újezd nad Lesy), některé dvěma (například MČ Praha 11 je tvořena katastry Chodov a Háje). Některé jsou tvořeny jedním celým katastrem a částmi  dalších katastrů (například MČ Praha-Řeporyje je tvořena celým katastrem Zadní Kopanina a částmi katastru Řeporyje, Stodůlky a Třebonice). Největší městská část </w:t>
      </w:r>
      <w:r w:rsidR="001F0029">
        <w:rPr>
          <w:rFonts w:ascii="Arial" w:eastAsia="Times New Roman" w:hAnsi="Arial"/>
          <w:szCs w:val="24"/>
          <w:lang w:eastAsia="cs-CZ"/>
        </w:rPr>
        <w:t xml:space="preserve">měla </w:t>
      </w:r>
      <w:r w:rsidRPr="00A30571">
        <w:rPr>
          <w:rFonts w:ascii="Arial" w:eastAsia="Times New Roman" w:hAnsi="Arial"/>
          <w:szCs w:val="24"/>
          <w:lang w:eastAsia="cs-CZ"/>
        </w:rPr>
        <w:t xml:space="preserve">podle údajů Sčítání lidu, domů a bytů 2021 (dále SLDB) 130 957 obvykle bydlících obyvatel (Praha 4), </w:t>
      </w:r>
      <w:r w:rsidR="001F0029" w:rsidRPr="00214BE3">
        <w:rPr>
          <w:rFonts w:ascii="Arial" w:eastAsia="Times New Roman" w:hAnsi="Arial"/>
          <w:szCs w:val="24"/>
          <w:lang w:eastAsia="cs-CZ"/>
        </w:rPr>
        <w:t>následovala</w:t>
      </w:r>
      <w:r w:rsidRPr="00A30571">
        <w:rPr>
          <w:rFonts w:ascii="Arial" w:eastAsia="Times New Roman" w:hAnsi="Arial"/>
          <w:szCs w:val="24"/>
          <w:lang w:eastAsia="cs-CZ"/>
        </w:rPr>
        <w:t xml:space="preserve"> městská část s 114 377 </w:t>
      </w:r>
      <w:r w:rsidRPr="00A30571">
        <w:rPr>
          <w:rFonts w:ascii="Arial" w:eastAsia="Times New Roman" w:hAnsi="Arial"/>
          <w:szCs w:val="24"/>
          <w:lang w:eastAsia="cs-CZ"/>
        </w:rPr>
        <w:lastRenderedPageBreak/>
        <w:t xml:space="preserve">obyvateli (Praha 10). Přes 100 tisíc obyvatel měla ještě MČ Praha 8 (104 921 obyvatel). </w:t>
      </w:r>
      <w:r w:rsidR="00B56C15" w:rsidRPr="00A30571">
        <w:rPr>
          <w:rFonts w:ascii="Arial" w:eastAsia="Times New Roman" w:hAnsi="Arial"/>
          <w:szCs w:val="24"/>
          <w:lang w:eastAsia="cs-CZ"/>
        </w:rPr>
        <w:t xml:space="preserve">Tyto městské části se tak počtem obyvatel vyrovnají velikosti krajských měst (například Olomouc měla k datu sčítání 106 063 obyvatel). </w:t>
      </w:r>
      <w:r w:rsidR="00A30571" w:rsidRPr="00A30571">
        <w:rPr>
          <w:rFonts w:ascii="Arial" w:eastAsia="Times New Roman" w:hAnsi="Arial"/>
          <w:szCs w:val="24"/>
          <w:lang w:eastAsia="cs-CZ"/>
        </w:rPr>
        <w:t xml:space="preserve">Další městské části jsou populačně </w:t>
      </w:r>
      <w:r w:rsidR="00A30571" w:rsidRPr="00214BE3">
        <w:rPr>
          <w:rFonts w:ascii="Arial" w:eastAsia="Times New Roman" w:hAnsi="Arial"/>
          <w:szCs w:val="24"/>
          <w:lang w:eastAsia="cs-CZ"/>
        </w:rPr>
        <w:t xml:space="preserve">srovnatelné </w:t>
      </w:r>
      <w:r w:rsidR="001F0029" w:rsidRPr="00214BE3">
        <w:rPr>
          <w:rFonts w:ascii="Arial" w:eastAsia="Times New Roman" w:hAnsi="Arial"/>
          <w:szCs w:val="24"/>
          <w:lang w:eastAsia="cs-CZ"/>
        </w:rPr>
        <w:t>s</w:t>
      </w:r>
      <w:r w:rsidR="00A30571" w:rsidRPr="00214BE3">
        <w:rPr>
          <w:rFonts w:ascii="Arial" w:eastAsia="Times New Roman" w:hAnsi="Arial"/>
          <w:szCs w:val="24"/>
          <w:lang w:eastAsia="cs-CZ"/>
        </w:rPr>
        <w:t> okresními městy sousedního Středočeského kraje. Například MČ Praha 9 měla k datu Sčítání 2021 přibližně 62,6 tisíc obyvatel a v městě Kladno žilo 67,8 tisíc obyvatel. V městské části Praha 7 bydlelo 44,4 tisíc obyvatel, v Mladé Boleslavi pak 42,5 tisíc obyvatel.</w:t>
      </w:r>
      <w:r w:rsidR="001267F0" w:rsidRPr="00214BE3">
        <w:rPr>
          <w:rFonts w:ascii="Arial" w:eastAsia="Times New Roman" w:hAnsi="Arial"/>
          <w:szCs w:val="24"/>
          <w:lang w:eastAsia="cs-CZ"/>
        </w:rPr>
        <w:t xml:space="preserve"> </w:t>
      </w:r>
      <w:r w:rsidRPr="00214BE3">
        <w:rPr>
          <w:rFonts w:ascii="Arial" w:eastAsia="Times New Roman" w:hAnsi="Arial"/>
          <w:szCs w:val="24"/>
          <w:lang w:eastAsia="cs-CZ"/>
        </w:rPr>
        <w:t xml:space="preserve">Naopak v nejmenší městské části </w:t>
      </w:r>
      <w:r w:rsidR="00A30571" w:rsidRPr="00214BE3">
        <w:rPr>
          <w:rFonts w:ascii="Arial" w:eastAsia="Times New Roman" w:hAnsi="Arial"/>
          <w:szCs w:val="24"/>
          <w:lang w:eastAsia="cs-CZ"/>
        </w:rPr>
        <w:t xml:space="preserve">Prahy </w:t>
      </w:r>
      <w:r w:rsidR="001F0029" w:rsidRPr="00214BE3">
        <w:rPr>
          <w:rFonts w:ascii="Arial" w:eastAsia="Times New Roman" w:hAnsi="Arial"/>
          <w:szCs w:val="24"/>
          <w:lang w:eastAsia="cs-CZ"/>
        </w:rPr>
        <w:t>žilo</w:t>
      </w:r>
      <w:r w:rsidRPr="00214BE3">
        <w:rPr>
          <w:rFonts w:ascii="Arial" w:eastAsia="Times New Roman" w:hAnsi="Arial"/>
          <w:szCs w:val="24"/>
          <w:lang w:eastAsia="cs-CZ"/>
        </w:rPr>
        <w:t xml:space="preserve"> 366 obyvatel (Praha-Nedvězí) a ve druhé nejmenší </w:t>
      </w:r>
      <w:r w:rsidR="001F0029" w:rsidRPr="00214BE3">
        <w:rPr>
          <w:rFonts w:ascii="Arial" w:eastAsia="Times New Roman" w:hAnsi="Arial"/>
          <w:szCs w:val="24"/>
          <w:lang w:eastAsia="cs-CZ"/>
        </w:rPr>
        <w:t>bylo</w:t>
      </w:r>
      <w:r w:rsidRPr="00214BE3">
        <w:rPr>
          <w:rFonts w:ascii="Arial" w:eastAsia="Times New Roman" w:hAnsi="Arial"/>
          <w:szCs w:val="24"/>
          <w:lang w:eastAsia="cs-CZ"/>
        </w:rPr>
        <w:t xml:space="preserve"> 438 obyvatel (Praha-Králov</w:t>
      </w:r>
      <w:r w:rsidRPr="00A30571">
        <w:rPr>
          <w:rFonts w:ascii="Arial" w:eastAsia="Times New Roman" w:hAnsi="Arial"/>
          <w:szCs w:val="24"/>
          <w:lang w:eastAsia="cs-CZ"/>
        </w:rPr>
        <w:t xml:space="preserve">ice). </w:t>
      </w:r>
      <w:r w:rsidR="00B56C15" w:rsidRPr="00A30571">
        <w:rPr>
          <w:rFonts w:ascii="Arial" w:eastAsia="Times New Roman" w:hAnsi="Arial"/>
          <w:szCs w:val="24"/>
          <w:lang w:eastAsia="cs-CZ"/>
        </w:rPr>
        <w:t xml:space="preserve">To je přibližně stejný počet obyvatel jako v obcích Nučice (360 obyvatel) nebo Černé Voděrady (380 ob.) v okrese Praha-východ. </w:t>
      </w:r>
    </w:p>
    <w:p w14:paraId="363A7F4E" w14:textId="77777777" w:rsidR="0089773B" w:rsidRPr="00A30571" w:rsidRDefault="001267F0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A30571">
        <w:rPr>
          <w:rFonts w:ascii="Arial" w:eastAsia="Times New Roman" w:hAnsi="Arial"/>
          <w:szCs w:val="24"/>
          <w:lang w:eastAsia="cs-CZ"/>
        </w:rPr>
        <w:t>Počet obyvatel je silně vázán na rozmístění domovního a bytového fondu. Následující mapa ilustruje rozmístění budov v městských částech Prahy k 1. 1. 2022.</w:t>
      </w:r>
    </w:p>
    <w:p w14:paraId="7D329B57" w14:textId="77777777" w:rsidR="001267F0" w:rsidRDefault="001267F0">
      <w:pPr>
        <w:rPr>
          <w:rFonts w:ascii="Arial" w:hAnsi="Arial" w:cs="Arial"/>
        </w:rPr>
      </w:pPr>
    </w:p>
    <w:p w14:paraId="197E47CD" w14:textId="77777777" w:rsidR="001267F0" w:rsidRPr="001267F0" w:rsidRDefault="00A30571" w:rsidP="00A30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Mapa 2.2. </w:t>
      </w:r>
      <w:r w:rsidR="001267F0" w:rsidRPr="001267F0">
        <w:rPr>
          <w:rFonts w:ascii="Arial" w:hAnsi="Arial" w:cs="Arial"/>
          <w:b/>
        </w:rPr>
        <w:t>Budovy v hl. m. Praze podle Registru sčítacích obvodů a budov (stav k 1. 1. 2022)</w:t>
      </w:r>
    </w:p>
    <w:p w14:paraId="1C954C3B" w14:textId="77777777" w:rsidR="001267F0" w:rsidRDefault="001267F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BD176C0" wp14:editId="2DC58F93">
            <wp:extent cx="5745480" cy="4263701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O_do_analyz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10103" r="7408" b="6455"/>
                    <a:stretch/>
                  </pic:blipFill>
                  <pic:spPr bwMode="auto">
                    <a:xfrm>
                      <a:off x="0" y="0"/>
                      <a:ext cx="5754446" cy="427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3539" w14:textId="77777777" w:rsidR="006E01C1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Městské části jsou pro potřeby přenesené působnosti státní správy rozděleny do tzv. správních obvodů, kterých je v Praze 22. Úřad městské části, který vykonává některé činnosti přenesené z působnosti státní správy pro městské části v jeho správním obvodu, je sídlem tohoto obvodu. </w:t>
      </w:r>
    </w:p>
    <w:p w14:paraId="04F8919E" w14:textId="77777777" w:rsidR="00A30571" w:rsidRDefault="00A3057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F71FEE" w14:textId="442EAFDF" w:rsidR="006E01C1" w:rsidRDefault="00C729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Tab.</w:t>
      </w:r>
      <w:r w:rsidR="006E01C1" w:rsidRPr="006E01C1">
        <w:rPr>
          <w:rFonts w:ascii="Arial" w:hAnsi="Arial" w:cs="Arial"/>
          <w:b/>
        </w:rPr>
        <w:t xml:space="preserve"> 2.1. Hustota zalidnění městských částí hl. m. Prahy na základě výsledků SLDB 2021</w:t>
      </w:r>
    </w:p>
    <w:p w14:paraId="7990DCE0" w14:textId="77777777" w:rsidR="006E01C1" w:rsidRPr="006E01C1" w:rsidRDefault="00A70D33">
      <w:pPr>
        <w:rPr>
          <w:rFonts w:ascii="Arial" w:hAnsi="Arial" w:cs="Arial"/>
          <w:b/>
        </w:rPr>
      </w:pPr>
      <w:r w:rsidRPr="00A70D33">
        <w:rPr>
          <w:rFonts w:ascii="Arial" w:hAnsi="Arial" w:cs="Arial"/>
          <w:b/>
          <w:noProof/>
          <w:lang w:eastAsia="cs-CZ"/>
        </w:rPr>
        <w:drawing>
          <wp:inline distT="0" distB="0" distL="0" distR="0" wp14:anchorId="0F21BC91" wp14:editId="1C4BC911">
            <wp:extent cx="5760720" cy="200211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8166" w14:textId="77777777" w:rsidR="006E01C1" w:rsidRDefault="006E01C1">
      <w:pPr>
        <w:rPr>
          <w:rFonts w:ascii="Arial" w:hAnsi="Arial" w:cs="Arial"/>
        </w:rPr>
      </w:pPr>
    </w:p>
    <w:p w14:paraId="6E4F01FD" w14:textId="20BB6DAE" w:rsidR="006E01C1" w:rsidRPr="001F0029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vertAlign w:val="superscript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Další úrovní územně-správního členění jsou katastrální území. To je jednotka tvořící místopisně uzavřený celek, který je společně evidovaný v katastru nemovitostí a je zároveň evidenční jednotkou pro číslování parcel. Takových jednotek je v Praze 112. Hranice katastrů se mohou </w:t>
      </w:r>
      <w:r w:rsidR="00BE01AE" w:rsidRPr="00E44CF3">
        <w:rPr>
          <w:rFonts w:ascii="Arial" w:eastAsia="Times New Roman" w:hAnsi="Arial"/>
          <w:szCs w:val="24"/>
          <w:lang w:eastAsia="cs-CZ"/>
        </w:rPr>
        <w:t>měnit. P</w:t>
      </w:r>
      <w:r w:rsidRPr="00E44CF3">
        <w:rPr>
          <w:rFonts w:ascii="Arial" w:eastAsia="Times New Roman" w:hAnsi="Arial"/>
          <w:szCs w:val="24"/>
          <w:lang w:eastAsia="cs-CZ"/>
        </w:rPr>
        <w:t xml:space="preserve">oslední velká změna ve vymezení katastrů v Praze </w:t>
      </w:r>
      <w:r w:rsidR="00BE01AE" w:rsidRPr="00E44CF3">
        <w:rPr>
          <w:rFonts w:ascii="Arial" w:eastAsia="Times New Roman" w:hAnsi="Arial"/>
          <w:szCs w:val="24"/>
          <w:lang w:eastAsia="cs-CZ"/>
        </w:rPr>
        <w:t>proběhla</w:t>
      </w:r>
      <w:r w:rsidRPr="00E44CF3">
        <w:rPr>
          <w:rFonts w:ascii="Arial" w:eastAsia="Times New Roman" w:hAnsi="Arial"/>
          <w:szCs w:val="24"/>
          <w:lang w:eastAsia="cs-CZ"/>
        </w:rPr>
        <w:t xml:space="preserve"> v</w:t>
      </w:r>
      <w:r w:rsidR="00BE01AE" w:rsidRPr="00E44CF3">
        <w:rPr>
          <w:rFonts w:ascii="Arial" w:eastAsia="Times New Roman" w:hAnsi="Arial"/>
          <w:szCs w:val="24"/>
          <w:lang w:eastAsia="cs-CZ"/>
        </w:rPr>
        <w:t> roce 1988 a 1989. 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1988 vzni</w:t>
      </w:r>
      <w:r w:rsidR="00C1658D" w:rsidRPr="00E44CF3">
        <w:rPr>
          <w:rFonts w:ascii="Arial" w:eastAsia="Times New Roman" w:hAnsi="Arial"/>
          <w:szCs w:val="24"/>
          <w:lang w:eastAsia="cs-CZ"/>
        </w:rPr>
        <w:t>klo nové katastrální území Černý</w:t>
      </w:r>
      <w:r w:rsidR="00BE01AE" w:rsidRPr="00E44CF3">
        <w:rPr>
          <w:rFonts w:ascii="Arial" w:eastAsia="Times New Roman" w:hAnsi="Arial"/>
          <w:szCs w:val="24"/>
          <w:lang w:eastAsia="cs-CZ"/>
        </w:rPr>
        <w:t xml:space="preserve"> Most, které bylo vymezeno z částí katastrů Kyje a Horní Počernice. Obdobně vzniklo katastrální území Kamýk k 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1.</w:t>
      </w:r>
      <w:r w:rsidR="0089773B" w:rsidRPr="00E44CF3">
        <w:rPr>
          <w:rFonts w:ascii="Arial" w:eastAsia="Times New Roman" w:hAnsi="Arial"/>
          <w:szCs w:val="24"/>
          <w:lang w:eastAsia="cs-CZ"/>
        </w:rPr>
        <w:t> </w:t>
      </w:r>
      <w:r w:rsidR="00BE01AE" w:rsidRPr="00E44CF3">
        <w:rPr>
          <w:rFonts w:ascii="Arial" w:eastAsia="Times New Roman" w:hAnsi="Arial"/>
          <w:szCs w:val="24"/>
          <w:lang w:eastAsia="cs-CZ"/>
        </w:rPr>
        <w:t>1989</w:t>
      </w:r>
      <w:r w:rsidR="00C1658D" w:rsidRPr="00E44CF3">
        <w:rPr>
          <w:rFonts w:ascii="Arial" w:eastAsia="Times New Roman" w:hAnsi="Arial"/>
          <w:szCs w:val="24"/>
          <w:lang w:eastAsia="cs-CZ"/>
        </w:rPr>
        <w:t>, které bylo vyčleněno z katastrů Lhotka a Libuš. Obě tyto velké změny proběhly v důsledku výstavby panelových sídlišť</w:t>
      </w:r>
      <w:r w:rsidR="00214BE3">
        <w:rPr>
          <w:rStyle w:val="Znakapoznpodarou"/>
          <w:rFonts w:ascii="Arial" w:eastAsia="Times New Roman" w:hAnsi="Arial"/>
          <w:szCs w:val="24"/>
          <w:lang w:eastAsia="cs-CZ"/>
        </w:rPr>
        <w:footnoteReference w:id="1"/>
      </w:r>
      <w:r w:rsidR="00214BE3">
        <w:rPr>
          <w:rFonts w:ascii="Arial" w:eastAsia="Times New Roman" w:hAnsi="Arial"/>
          <w:szCs w:val="24"/>
          <w:lang w:eastAsia="cs-CZ"/>
        </w:rPr>
        <w:t>.</w:t>
      </w:r>
    </w:p>
    <w:p w14:paraId="680C423D" w14:textId="77777777" w:rsidR="006E01C1" w:rsidRPr="006E01C1" w:rsidRDefault="006E01C1">
      <w:pPr>
        <w:rPr>
          <w:rFonts w:ascii="Arial" w:hAnsi="Arial" w:cs="Arial"/>
        </w:rPr>
      </w:pPr>
    </w:p>
    <w:p w14:paraId="39561DC4" w14:textId="2AEA98D5" w:rsidR="006E01C1" w:rsidRPr="006E01C1" w:rsidRDefault="00A30571" w:rsidP="006E01C1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Mapa 2.3</w:t>
      </w:r>
      <w:r w:rsidR="006E01C1" w:rsidRPr="006E01C1">
        <w:rPr>
          <w:rFonts w:ascii="Arial" w:hAnsi="Arial" w:cs="Arial"/>
          <w:b/>
        </w:rPr>
        <w:t>. Hustota zalidnění v katastrálních územích Prahy podle SLDB 20</w:t>
      </w:r>
      <w:r w:rsidR="00214BE3">
        <w:rPr>
          <w:rFonts w:ascii="Arial" w:hAnsi="Arial" w:cs="Arial"/>
          <w:b/>
        </w:rPr>
        <w:t>21</w:t>
      </w:r>
    </w:p>
    <w:p w14:paraId="37C0A87E" w14:textId="2721850D" w:rsidR="006E01C1" w:rsidRDefault="00214B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4BFA0C67" wp14:editId="3E48360A">
            <wp:extent cx="5983860" cy="4206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355-22_hustota_K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9167" r="6217" b="4397"/>
                    <a:stretch/>
                  </pic:blipFill>
                  <pic:spPr bwMode="auto">
                    <a:xfrm>
                      <a:off x="0" y="0"/>
                      <a:ext cx="5991320" cy="421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CBDC4" w14:textId="77777777" w:rsidR="001267F0" w:rsidRDefault="001267F0">
      <w:pPr>
        <w:rPr>
          <w:rFonts w:ascii="Arial" w:hAnsi="Arial" w:cs="Arial"/>
        </w:rPr>
      </w:pPr>
    </w:p>
    <w:p w14:paraId="04D8F9CC" w14:textId="77777777" w:rsidR="00A30571" w:rsidRDefault="00A30571">
      <w:pPr>
        <w:rPr>
          <w:rFonts w:ascii="Arial" w:hAnsi="Arial" w:cs="Arial"/>
        </w:rPr>
      </w:pPr>
    </w:p>
    <w:p w14:paraId="35402688" w14:textId="68C522E3" w:rsidR="00C1658D" w:rsidRPr="001267F0" w:rsidRDefault="00C72994">
      <w:pPr>
        <w:rPr>
          <w:rFonts w:ascii="Arial" w:hAnsi="Arial" w:cs="Arial"/>
        </w:rPr>
      </w:pPr>
      <w:r>
        <w:rPr>
          <w:rFonts w:ascii="Arial" w:hAnsi="Arial" w:cs="Arial"/>
          <w:b/>
        </w:rPr>
        <w:t>Tab.</w:t>
      </w:r>
      <w:r w:rsidR="005479B9">
        <w:rPr>
          <w:rFonts w:ascii="Arial" w:hAnsi="Arial" w:cs="Arial"/>
          <w:b/>
        </w:rPr>
        <w:t xml:space="preserve"> 2.2. </w:t>
      </w:r>
      <w:r w:rsidR="00C1658D" w:rsidRPr="00C1658D">
        <w:rPr>
          <w:rFonts w:ascii="Arial" w:hAnsi="Arial" w:cs="Arial"/>
          <w:b/>
        </w:rPr>
        <w:t>Hustota zalidnění katastrálních území hl. m. Prahy na základě výsledků SLDB 2021</w:t>
      </w:r>
    </w:p>
    <w:p w14:paraId="7912FC48" w14:textId="77777777" w:rsidR="006E01C1" w:rsidRDefault="000C02A5">
      <w:pPr>
        <w:rPr>
          <w:rFonts w:ascii="Arial" w:hAnsi="Arial" w:cs="Arial"/>
        </w:rPr>
      </w:pPr>
      <w:r w:rsidRPr="000C02A5">
        <w:rPr>
          <w:rFonts w:ascii="Arial" w:hAnsi="Arial" w:cs="Arial"/>
          <w:noProof/>
          <w:lang w:eastAsia="cs-CZ"/>
        </w:rPr>
        <w:drawing>
          <wp:inline distT="0" distB="0" distL="0" distR="0" wp14:anchorId="5F8DAEB6" wp14:editId="597463F7">
            <wp:extent cx="5760720" cy="1959082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3DEE" w14:textId="77777777" w:rsidR="005F4F22" w:rsidRPr="006E01C1" w:rsidRDefault="005F4F22">
      <w:pPr>
        <w:rPr>
          <w:rFonts w:ascii="Arial" w:hAnsi="Arial" w:cs="Arial"/>
        </w:rPr>
      </w:pPr>
    </w:p>
    <w:p w14:paraId="0F05C355" w14:textId="77777777" w:rsidR="00C1658D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Pokud je některé katastrální území rozděleno mezi více městských částí, jsou části, které takto vzniknou, nazývány územně technické jednotky. </w:t>
      </w:r>
      <w:r w:rsidR="00C1658D" w:rsidRPr="00E44CF3">
        <w:rPr>
          <w:rFonts w:ascii="Arial" w:eastAsia="Times New Roman" w:hAnsi="Arial"/>
          <w:szCs w:val="24"/>
          <w:lang w:eastAsia="cs-CZ"/>
        </w:rPr>
        <w:t>V Praze je velká část městských částí, na jejichž území se nachází více katastrů (viz výše). Zjednodušenou představu podává následující mapa.</w:t>
      </w:r>
    </w:p>
    <w:p w14:paraId="6B234E9F" w14:textId="77777777" w:rsidR="00C1658D" w:rsidRPr="00A30571" w:rsidRDefault="00A30571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>
        <w:rPr>
          <w:rFonts w:ascii="Arial" w:hAnsi="Arial" w:cs="Arial"/>
          <w:b/>
        </w:rPr>
        <w:t>Mapa 2.4.</w:t>
      </w:r>
      <w:r w:rsidR="00C1658D" w:rsidRPr="00CA5412">
        <w:rPr>
          <w:rFonts w:ascii="Arial" w:hAnsi="Arial" w:cs="Arial"/>
          <w:b/>
        </w:rPr>
        <w:t xml:space="preserve"> Hranice městských částí a katastrálních území hl. m. Prahy</w:t>
      </w:r>
      <w:r w:rsidR="0089773B">
        <w:rPr>
          <w:rFonts w:ascii="Arial" w:hAnsi="Arial" w:cs="Arial"/>
          <w:b/>
        </w:rPr>
        <w:t xml:space="preserve"> </w:t>
      </w:r>
    </w:p>
    <w:p w14:paraId="448C1330" w14:textId="77777777" w:rsidR="00C1658D" w:rsidRDefault="00C1658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612BF17D" wp14:editId="6DDC44CA">
            <wp:extent cx="5760720" cy="4076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vsKU_Praha_2019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E1CB" w14:textId="77777777" w:rsidR="00C1658D" w:rsidRDefault="00C1658D">
      <w:pPr>
        <w:rPr>
          <w:rFonts w:ascii="Arial" w:hAnsi="Arial" w:cs="Arial"/>
        </w:rPr>
      </w:pPr>
    </w:p>
    <w:p w14:paraId="518AFBEA" w14:textId="7270899D" w:rsidR="006E01C1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Nižší úroveň </w:t>
      </w:r>
      <w:r w:rsidR="0089773B" w:rsidRPr="00E44CF3">
        <w:rPr>
          <w:rFonts w:ascii="Arial" w:eastAsia="Times New Roman" w:hAnsi="Arial"/>
          <w:szCs w:val="24"/>
          <w:lang w:eastAsia="cs-CZ"/>
        </w:rPr>
        <w:t xml:space="preserve">než územně technické jednotky </w:t>
      </w:r>
      <w:r w:rsidRPr="00E44CF3">
        <w:rPr>
          <w:rFonts w:ascii="Arial" w:eastAsia="Times New Roman" w:hAnsi="Arial"/>
          <w:szCs w:val="24"/>
          <w:lang w:eastAsia="cs-CZ"/>
        </w:rPr>
        <w:t>reprezentují základní sídelní jednotky (ve městech často nazývané urbanistické obvody). Jsou to malé části území, které jsou dány svými urbanistickými podmínkami a funkčním využitím. Základní s</w:t>
      </w:r>
      <w:r w:rsidR="00214BE3">
        <w:rPr>
          <w:rFonts w:ascii="Arial" w:eastAsia="Times New Roman" w:hAnsi="Arial"/>
          <w:szCs w:val="24"/>
          <w:lang w:eastAsia="cs-CZ"/>
        </w:rPr>
        <w:t>íd</w:t>
      </w:r>
      <w:r w:rsidRPr="00E44CF3">
        <w:rPr>
          <w:rFonts w:ascii="Arial" w:eastAsia="Times New Roman" w:hAnsi="Arial"/>
          <w:szCs w:val="24"/>
          <w:lang w:eastAsia="cs-CZ"/>
        </w:rPr>
        <w:t>e</w:t>
      </w:r>
      <w:r w:rsidR="00214BE3">
        <w:rPr>
          <w:rFonts w:ascii="Arial" w:eastAsia="Times New Roman" w:hAnsi="Arial"/>
          <w:szCs w:val="24"/>
          <w:lang w:eastAsia="cs-CZ"/>
        </w:rPr>
        <w:t>l</w:t>
      </w:r>
      <w:r w:rsidRPr="00E44CF3">
        <w:rPr>
          <w:rFonts w:ascii="Arial" w:eastAsia="Times New Roman" w:hAnsi="Arial"/>
          <w:szCs w:val="24"/>
          <w:lang w:eastAsia="cs-CZ"/>
        </w:rPr>
        <w:t>ní jednotky byly označeny písmeny podle jejich charakteru (např. obytné plochy, plochy dopravních areálů a další). Také mezi jednotlivými základními sídelními jednotkami existují značné rozdíly</w:t>
      </w:r>
      <w:r w:rsidRPr="00214BE3">
        <w:rPr>
          <w:rFonts w:ascii="Arial" w:eastAsia="Times New Roman" w:hAnsi="Arial"/>
          <w:szCs w:val="24"/>
          <w:vertAlign w:val="superscript"/>
          <w:lang w:eastAsia="cs-CZ"/>
        </w:rPr>
        <w:footnoteReference w:id="2"/>
      </w:r>
      <w:r w:rsidRPr="00E44CF3">
        <w:rPr>
          <w:rFonts w:ascii="Arial" w:eastAsia="Times New Roman" w:hAnsi="Arial"/>
          <w:szCs w:val="24"/>
          <w:lang w:eastAsia="cs-CZ"/>
        </w:rPr>
        <w:t xml:space="preserve"> co do funkčního využití i počtu obyvatel.</w:t>
      </w:r>
    </w:p>
    <w:p w14:paraId="5BEF31AC" w14:textId="104EBC8E" w:rsidR="00B57AEF" w:rsidRPr="00E44CF3" w:rsidRDefault="006E01C1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>Vysokou hustotu zalidnění mají obytn</w:t>
      </w:r>
      <w:r w:rsidR="00E44CF3">
        <w:rPr>
          <w:rFonts w:ascii="Arial" w:eastAsia="Times New Roman" w:hAnsi="Arial"/>
          <w:szCs w:val="24"/>
          <w:lang w:eastAsia="cs-CZ"/>
        </w:rPr>
        <w:t>é ZSJ se sídlištní nebo činžovní</w:t>
      </w:r>
      <w:r w:rsidRPr="00E44CF3">
        <w:rPr>
          <w:rFonts w:ascii="Arial" w:eastAsia="Times New Roman" w:hAnsi="Arial"/>
          <w:szCs w:val="24"/>
          <w:lang w:eastAsia="cs-CZ"/>
        </w:rPr>
        <w:t xml:space="preserve"> zástavbou, na opačné straně stojí jednotky, které neslouží k bydlení, ale k dopravním účelům, zemědělské plochy (pole), jednotky se stavbami občanské vybavenosti (nemocnice, kanceláře, školy) nebo rekreační</w:t>
      </w:r>
      <w:r w:rsidR="00D64F07" w:rsidRPr="00E44CF3">
        <w:rPr>
          <w:rFonts w:ascii="Arial" w:eastAsia="Times New Roman" w:hAnsi="Arial"/>
          <w:szCs w:val="24"/>
          <w:lang w:eastAsia="cs-CZ"/>
        </w:rPr>
        <w:t xml:space="preserve"> plochy (zahrady, lesoparky). 59</w:t>
      </w:r>
      <w:r w:rsidRPr="00E44CF3">
        <w:rPr>
          <w:rFonts w:ascii="Arial" w:eastAsia="Times New Roman" w:hAnsi="Arial"/>
          <w:szCs w:val="24"/>
          <w:lang w:eastAsia="cs-CZ"/>
        </w:rPr>
        <w:t xml:space="preserve"> </w:t>
      </w:r>
      <w:r w:rsidR="00D64F07" w:rsidRPr="00E44CF3">
        <w:rPr>
          <w:rFonts w:ascii="Arial" w:eastAsia="Times New Roman" w:hAnsi="Arial"/>
          <w:szCs w:val="24"/>
          <w:lang w:eastAsia="cs-CZ"/>
        </w:rPr>
        <w:t>základních sídelních jednotek (6</w:t>
      </w:r>
      <w:r w:rsidRPr="00E44CF3">
        <w:rPr>
          <w:rFonts w:ascii="Arial" w:eastAsia="Times New Roman" w:hAnsi="Arial"/>
          <w:szCs w:val="24"/>
          <w:lang w:eastAsia="cs-CZ"/>
        </w:rPr>
        <w:t xml:space="preserve"> % z celkového počtu) má více než 5 000 obyvatel. Největší mají více než 10 000 obyvatel - plošně</w:t>
      </w:r>
      <w:r w:rsidR="00D64F07" w:rsidRPr="00E44CF3">
        <w:rPr>
          <w:rFonts w:ascii="Arial" w:eastAsia="Times New Roman" w:hAnsi="Arial"/>
          <w:szCs w:val="24"/>
          <w:lang w:eastAsia="cs-CZ"/>
        </w:rPr>
        <w:t xml:space="preserve"> rozsáhlá </w:t>
      </w:r>
      <w:r w:rsidR="00214BE3">
        <w:rPr>
          <w:rFonts w:ascii="Arial" w:eastAsia="Times New Roman" w:hAnsi="Arial"/>
          <w:szCs w:val="24"/>
          <w:lang w:eastAsia="cs-CZ"/>
        </w:rPr>
        <w:t xml:space="preserve">území </w:t>
      </w:r>
      <w:r w:rsidR="00D64F07" w:rsidRPr="00E44CF3">
        <w:rPr>
          <w:rFonts w:ascii="Arial" w:eastAsia="Times New Roman" w:hAnsi="Arial"/>
          <w:szCs w:val="24"/>
          <w:lang w:eastAsia="cs-CZ"/>
        </w:rPr>
        <w:t>Nové Letňany a Ohrada</w:t>
      </w:r>
      <w:r w:rsidR="00A33071">
        <w:rPr>
          <w:rFonts w:ascii="Arial" w:eastAsia="Times New Roman" w:hAnsi="Arial"/>
          <w:szCs w:val="24"/>
          <w:lang w:eastAsia="cs-CZ"/>
        </w:rPr>
        <w:t xml:space="preserve"> se sídlištní zástavbou</w:t>
      </w:r>
      <w:r w:rsidRPr="00E44CF3">
        <w:rPr>
          <w:rFonts w:ascii="Arial" w:eastAsia="Times New Roman" w:hAnsi="Arial"/>
          <w:szCs w:val="24"/>
          <w:lang w:eastAsia="cs-CZ"/>
        </w:rPr>
        <w:t xml:space="preserve">. </w:t>
      </w:r>
      <w:r w:rsidR="00A33071" w:rsidRPr="00E44CF3">
        <w:rPr>
          <w:rFonts w:ascii="Arial" w:eastAsia="Times New Roman" w:hAnsi="Arial"/>
          <w:szCs w:val="24"/>
          <w:lang w:eastAsia="cs-CZ"/>
        </w:rPr>
        <w:t>Náměstí Svobody je ZSJ v Praze 6 s bloky činžovních domů, naproti tomu Nový Prosek představuje území s řadovými rodinnými a bytovými domy doplněnými rozsáhlou sídlištní zástavbou.</w:t>
      </w:r>
      <w:r w:rsidR="00A33071">
        <w:rPr>
          <w:rFonts w:ascii="Arial" w:eastAsia="Times New Roman" w:hAnsi="Arial"/>
          <w:szCs w:val="24"/>
          <w:lang w:eastAsia="cs-CZ"/>
        </w:rPr>
        <w:t xml:space="preserve"> </w:t>
      </w:r>
      <w:r w:rsidR="00B57AEF" w:rsidRPr="00E44CF3">
        <w:rPr>
          <w:rFonts w:ascii="Arial" w:eastAsia="Times New Roman" w:hAnsi="Arial"/>
          <w:szCs w:val="24"/>
          <w:lang w:eastAsia="cs-CZ"/>
        </w:rPr>
        <w:t>ZSJ</w:t>
      </w:r>
      <w:r w:rsidR="00A33071">
        <w:rPr>
          <w:rFonts w:ascii="Arial" w:eastAsia="Times New Roman" w:hAnsi="Arial"/>
          <w:szCs w:val="24"/>
          <w:lang w:eastAsia="cs-CZ"/>
        </w:rPr>
        <w:t>-díl Chvaly je</w:t>
      </w:r>
      <w:r w:rsidR="007748D8" w:rsidRPr="00E44CF3">
        <w:rPr>
          <w:rFonts w:ascii="Arial" w:eastAsia="Times New Roman" w:hAnsi="Arial"/>
          <w:szCs w:val="24"/>
          <w:lang w:eastAsia="cs-CZ"/>
        </w:rPr>
        <w:t xml:space="preserve"> rozsáhlé</w:t>
      </w:r>
      <w:r w:rsidR="00B57AEF" w:rsidRPr="00E44CF3">
        <w:rPr>
          <w:rFonts w:ascii="Arial" w:eastAsia="Times New Roman" w:hAnsi="Arial"/>
          <w:szCs w:val="24"/>
          <w:lang w:eastAsia="cs-CZ"/>
        </w:rPr>
        <w:t xml:space="preserve"> zastavěné území (2 </w:t>
      </w:r>
      <w:r w:rsidR="00B57AEF" w:rsidRPr="00214BE3">
        <w:rPr>
          <w:rFonts w:ascii="Arial" w:eastAsia="Times New Roman" w:hAnsi="Arial"/>
          <w:szCs w:val="24"/>
          <w:lang w:eastAsia="cs-CZ"/>
        </w:rPr>
        <w:t>km</w:t>
      </w:r>
      <w:r w:rsidR="00B57AEF" w:rsidRPr="00214BE3">
        <w:rPr>
          <w:rFonts w:ascii="Arial" w:eastAsia="Times New Roman" w:hAnsi="Arial"/>
          <w:szCs w:val="24"/>
          <w:vertAlign w:val="superscript"/>
          <w:lang w:eastAsia="cs-CZ"/>
        </w:rPr>
        <w:t>2</w:t>
      </w:r>
      <w:r w:rsidR="00B57AEF" w:rsidRPr="00E44CF3">
        <w:rPr>
          <w:rFonts w:ascii="Arial" w:eastAsia="Times New Roman" w:hAnsi="Arial"/>
          <w:szCs w:val="24"/>
          <w:lang w:eastAsia="cs-CZ"/>
        </w:rPr>
        <w:t>) s převážně vilovou zástavbou.</w:t>
      </w:r>
      <w:r w:rsidR="007748D8" w:rsidRPr="00E44CF3">
        <w:rPr>
          <w:rFonts w:ascii="Arial" w:eastAsia="Times New Roman" w:hAnsi="Arial"/>
          <w:szCs w:val="24"/>
          <w:lang w:eastAsia="cs-CZ"/>
        </w:rPr>
        <w:t xml:space="preserve"> </w:t>
      </w:r>
    </w:p>
    <w:p w14:paraId="02518262" w14:textId="4CB4062D" w:rsidR="00B57AEF" w:rsidRPr="00A30571" w:rsidRDefault="00B57AEF" w:rsidP="00AF2FEC">
      <w:pPr>
        <w:spacing w:after="120"/>
        <w:rPr>
          <w:rFonts w:ascii="Arial" w:hAnsi="Arial" w:cs="Arial"/>
        </w:rPr>
      </w:pPr>
      <w:r w:rsidRPr="005479B9">
        <w:rPr>
          <w:rFonts w:ascii="Arial" w:hAnsi="Arial" w:cs="Arial"/>
          <w:b/>
        </w:rPr>
        <w:t>Tab</w:t>
      </w:r>
      <w:r w:rsidR="00C72994">
        <w:rPr>
          <w:rFonts w:ascii="Arial" w:hAnsi="Arial" w:cs="Arial"/>
          <w:b/>
        </w:rPr>
        <w:t>.</w:t>
      </w:r>
      <w:r w:rsidRPr="005479B9">
        <w:rPr>
          <w:rFonts w:ascii="Arial" w:hAnsi="Arial" w:cs="Arial"/>
          <w:b/>
        </w:rPr>
        <w:t xml:space="preserve"> 2.3. Počet obyvatel a hustota zalidnění v základních sídelních jednotkách (díl) v Praze </w:t>
      </w:r>
      <w:r>
        <w:rPr>
          <w:rFonts w:ascii="Arial" w:hAnsi="Arial" w:cs="Arial"/>
          <w:b/>
        </w:rPr>
        <w:t>s nejvyšším počtem obvykle bydlících obyvatel (TOP 10 vybraných)</w:t>
      </w:r>
    </w:p>
    <w:p w14:paraId="0C03967D" w14:textId="77777777" w:rsidR="00B57AEF" w:rsidRDefault="00B57AEF" w:rsidP="00B57AEF">
      <w:pPr>
        <w:rPr>
          <w:rFonts w:ascii="Arial" w:hAnsi="Arial" w:cs="Arial"/>
          <w:b/>
        </w:rPr>
      </w:pPr>
      <w:r w:rsidRPr="00DC2979">
        <w:rPr>
          <w:rFonts w:ascii="Arial" w:hAnsi="Arial" w:cs="Arial"/>
          <w:b/>
          <w:noProof/>
          <w:lang w:eastAsia="cs-CZ"/>
        </w:rPr>
        <w:drawing>
          <wp:inline distT="0" distB="0" distL="0" distR="0" wp14:anchorId="3647E74E" wp14:editId="7F8160CA">
            <wp:extent cx="5760720" cy="2131255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E553" w14:textId="77777777" w:rsidR="00B57AEF" w:rsidRPr="00DC2979" w:rsidRDefault="00B57AEF" w:rsidP="00B57AEF">
      <w:pPr>
        <w:rPr>
          <w:rFonts w:ascii="Arial" w:hAnsi="Arial" w:cs="Arial"/>
        </w:rPr>
      </w:pPr>
    </w:p>
    <w:p w14:paraId="1D5A5632" w14:textId="77777777" w:rsidR="003F08EA" w:rsidRPr="00E44CF3" w:rsidRDefault="003F08EA" w:rsidP="00E44CF3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Naopak menší počet obyvatel (do 500 obyvatel) mají jednotky, které nemají obytnou funkci, malá sídliště, oblasti s chatami nebo vilové čtvrti s rozvolněnou zástavbou (například ZSJ Na </w:t>
      </w:r>
      <w:proofErr w:type="spellStart"/>
      <w:r w:rsidRPr="00E44CF3">
        <w:rPr>
          <w:rFonts w:ascii="Arial" w:eastAsia="Times New Roman" w:hAnsi="Arial"/>
          <w:szCs w:val="24"/>
          <w:lang w:eastAsia="cs-CZ"/>
        </w:rPr>
        <w:t>Dlážděnce</w:t>
      </w:r>
      <w:proofErr w:type="spellEnd"/>
      <w:r w:rsidRPr="00E44CF3">
        <w:rPr>
          <w:rFonts w:ascii="Arial" w:eastAsia="Times New Roman" w:hAnsi="Arial"/>
          <w:szCs w:val="24"/>
          <w:lang w:eastAsia="cs-CZ"/>
        </w:rPr>
        <w:t>, či Královice). ZSJ Barrandov VI představuje ZSJ, na jehož území jsou na volné ploše v blízkosti polí postaveny dva velké bytové domy, naproti tomu ZSJ Jalový Dvůr je území, kde se mísí především sídlištní a vilová zástavba.</w:t>
      </w:r>
    </w:p>
    <w:p w14:paraId="2DA97777" w14:textId="77777777" w:rsidR="003F08EA" w:rsidRDefault="003F08EA" w:rsidP="003F08EA">
      <w:pPr>
        <w:rPr>
          <w:rFonts w:ascii="Arial" w:hAnsi="Arial" w:cs="Arial"/>
        </w:rPr>
      </w:pPr>
    </w:p>
    <w:p w14:paraId="5958CA43" w14:textId="0187EA5E" w:rsidR="005479B9" w:rsidRDefault="005479B9" w:rsidP="00DC2979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</w:t>
      </w:r>
      <w:r w:rsidR="00C7299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2.4. </w:t>
      </w:r>
      <w:r w:rsidRPr="005479B9">
        <w:rPr>
          <w:rFonts w:ascii="Arial" w:hAnsi="Arial" w:cs="Arial"/>
          <w:b/>
        </w:rPr>
        <w:t xml:space="preserve">Počet obyvatel a hustota zalidnění v základních sídelních jednotkách (díl) v Praze </w:t>
      </w:r>
      <w:r>
        <w:rPr>
          <w:rFonts w:ascii="Arial" w:hAnsi="Arial" w:cs="Arial"/>
          <w:b/>
        </w:rPr>
        <w:t>s počtem obvykle bydlících obyv</w:t>
      </w:r>
      <w:r w:rsidR="00217B0E">
        <w:rPr>
          <w:rFonts w:ascii="Arial" w:hAnsi="Arial" w:cs="Arial"/>
          <w:b/>
        </w:rPr>
        <w:t>atel menším než 500 osob (TOP 10 vybraných</w:t>
      </w:r>
      <w:r>
        <w:rPr>
          <w:rFonts w:ascii="Arial" w:hAnsi="Arial" w:cs="Arial"/>
          <w:b/>
        </w:rPr>
        <w:t>)</w:t>
      </w:r>
    </w:p>
    <w:p w14:paraId="3E544D1C" w14:textId="77777777" w:rsidR="005479B9" w:rsidRDefault="00DC2979" w:rsidP="005479B9">
      <w:pPr>
        <w:rPr>
          <w:rFonts w:ascii="Arial" w:hAnsi="Arial" w:cs="Arial"/>
          <w:b/>
        </w:rPr>
      </w:pPr>
      <w:r w:rsidRPr="00DC2979">
        <w:rPr>
          <w:rFonts w:ascii="Arial" w:hAnsi="Arial" w:cs="Arial"/>
          <w:b/>
          <w:noProof/>
          <w:lang w:eastAsia="cs-CZ"/>
        </w:rPr>
        <w:drawing>
          <wp:inline distT="0" distB="0" distL="0" distR="0" wp14:anchorId="216B3433" wp14:editId="28BE4419">
            <wp:extent cx="5760720" cy="270803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0862" w14:textId="77777777" w:rsidR="00931D5B" w:rsidRPr="005479B9" w:rsidRDefault="00931D5B" w:rsidP="006E01C1">
      <w:pPr>
        <w:rPr>
          <w:rFonts w:ascii="Arial" w:hAnsi="Arial" w:cs="Arial"/>
          <w:b/>
        </w:rPr>
      </w:pPr>
    </w:p>
    <w:p w14:paraId="18916FF2" w14:textId="26262739" w:rsidR="00217B0E" w:rsidRPr="00A30571" w:rsidRDefault="00C1658D" w:rsidP="00A30571">
      <w:pPr>
        <w:spacing w:after="120" w:line="288" w:lineRule="auto"/>
        <w:jc w:val="both"/>
        <w:rPr>
          <w:rFonts w:ascii="Arial" w:eastAsia="Times New Roman" w:hAnsi="Arial"/>
          <w:szCs w:val="24"/>
          <w:lang w:eastAsia="cs-CZ"/>
        </w:rPr>
      </w:pPr>
      <w:r w:rsidRPr="00E44CF3">
        <w:rPr>
          <w:rFonts w:ascii="Arial" w:eastAsia="Times New Roman" w:hAnsi="Arial"/>
          <w:szCs w:val="24"/>
          <w:lang w:eastAsia="cs-CZ"/>
        </w:rPr>
        <w:t xml:space="preserve">Sčítání lidu, domů a bytů </w:t>
      </w:r>
      <w:r w:rsidR="00385DC0" w:rsidRPr="00E44CF3">
        <w:rPr>
          <w:rFonts w:ascii="Arial" w:eastAsia="Times New Roman" w:hAnsi="Arial"/>
          <w:szCs w:val="24"/>
          <w:lang w:eastAsia="cs-CZ"/>
        </w:rPr>
        <w:t xml:space="preserve">je </w:t>
      </w:r>
      <w:r w:rsidRPr="00E44CF3">
        <w:rPr>
          <w:rFonts w:ascii="Arial" w:eastAsia="Times New Roman" w:hAnsi="Arial"/>
          <w:szCs w:val="24"/>
          <w:lang w:eastAsia="cs-CZ"/>
        </w:rPr>
        <w:t xml:space="preserve">zdrojem podrobných dat nejen o obyvatelstvu a jeho struktuře, ale také o bytech, domech a domácnostech. </w:t>
      </w:r>
      <w:r w:rsidR="00385DC0" w:rsidRPr="00E44CF3">
        <w:rPr>
          <w:rFonts w:ascii="Arial" w:eastAsia="Times New Roman" w:hAnsi="Arial"/>
          <w:szCs w:val="24"/>
          <w:lang w:eastAsia="cs-CZ"/>
        </w:rPr>
        <w:t>Jeho význam spočívá právě v tom, že</w:t>
      </w:r>
      <w:r w:rsidR="00251F40" w:rsidRPr="00E44CF3">
        <w:rPr>
          <w:rFonts w:ascii="Arial" w:eastAsia="Times New Roman" w:hAnsi="Arial"/>
          <w:szCs w:val="24"/>
          <w:lang w:eastAsia="cs-CZ"/>
        </w:rPr>
        <w:t xml:space="preserve"> disponuje rozsáhlou sadou dat, která mohou postihnout </w:t>
      </w:r>
      <w:proofErr w:type="spellStart"/>
      <w:r w:rsidR="00251F40" w:rsidRPr="00E44CF3">
        <w:rPr>
          <w:rFonts w:ascii="Arial" w:eastAsia="Times New Roman" w:hAnsi="Arial"/>
          <w:szCs w:val="24"/>
          <w:lang w:eastAsia="cs-CZ"/>
        </w:rPr>
        <w:t>socio</w:t>
      </w:r>
      <w:proofErr w:type="spellEnd"/>
      <w:r w:rsidR="00251F40" w:rsidRPr="00E44CF3">
        <w:rPr>
          <w:rFonts w:ascii="Arial" w:eastAsia="Times New Roman" w:hAnsi="Arial"/>
          <w:szCs w:val="24"/>
          <w:lang w:eastAsia="cs-CZ"/>
        </w:rPr>
        <w:t>-ekonomickou situac</w:t>
      </w:r>
      <w:r w:rsidR="00214BE3">
        <w:rPr>
          <w:rFonts w:ascii="Arial" w:eastAsia="Times New Roman" w:hAnsi="Arial"/>
          <w:szCs w:val="24"/>
          <w:lang w:eastAsia="cs-CZ"/>
        </w:rPr>
        <w:t xml:space="preserve">i </w:t>
      </w:r>
      <w:r w:rsidR="00251F40" w:rsidRPr="00E44CF3">
        <w:rPr>
          <w:rFonts w:ascii="Arial" w:eastAsia="Times New Roman" w:hAnsi="Arial"/>
          <w:szCs w:val="24"/>
          <w:lang w:eastAsia="cs-CZ"/>
        </w:rPr>
        <w:t>uvnitř malých územních celků.</w:t>
      </w:r>
    </w:p>
    <w:sectPr w:rsidR="00217B0E" w:rsidRPr="00A30571" w:rsidSect="003C64FC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3112" w14:textId="77777777" w:rsidR="00876244" w:rsidRDefault="00876244" w:rsidP="006E01C1">
      <w:r>
        <w:separator/>
      </w:r>
    </w:p>
  </w:endnote>
  <w:endnote w:type="continuationSeparator" w:id="0">
    <w:p w14:paraId="59A8AEE0" w14:textId="77777777" w:rsidR="00876244" w:rsidRDefault="00876244" w:rsidP="006E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2234A" w14:textId="77777777" w:rsidR="00876244" w:rsidRDefault="00876244" w:rsidP="006E01C1">
      <w:r>
        <w:separator/>
      </w:r>
    </w:p>
  </w:footnote>
  <w:footnote w:type="continuationSeparator" w:id="0">
    <w:p w14:paraId="5B1AC5EA" w14:textId="77777777" w:rsidR="00876244" w:rsidRDefault="00876244" w:rsidP="006E01C1">
      <w:r>
        <w:continuationSeparator/>
      </w:r>
    </w:p>
  </w:footnote>
  <w:footnote w:id="1">
    <w:p w14:paraId="69042A25" w14:textId="0E83EE21" w:rsidR="00214BE3" w:rsidRDefault="00214BE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1658D">
        <w:rPr>
          <w:sz w:val="16"/>
          <w:szCs w:val="16"/>
        </w:rPr>
        <w:t>Viz článek Jana M</w:t>
      </w:r>
      <w:r w:rsidRPr="00C1658D">
        <w:rPr>
          <w:rFonts w:cs="Arial"/>
          <w:sz w:val="16"/>
          <w:szCs w:val="16"/>
        </w:rPr>
        <w:t>ü</w:t>
      </w:r>
      <w:r w:rsidRPr="00C1658D">
        <w:rPr>
          <w:sz w:val="16"/>
          <w:szCs w:val="16"/>
        </w:rPr>
        <w:t xml:space="preserve">llera </w:t>
      </w:r>
      <w:r>
        <w:rPr>
          <w:sz w:val="16"/>
          <w:szCs w:val="16"/>
        </w:rPr>
        <w:t>„</w:t>
      </w:r>
      <w:r w:rsidRPr="00C1658D">
        <w:rPr>
          <w:sz w:val="16"/>
          <w:szCs w:val="16"/>
        </w:rPr>
        <w:t>Územní vývoj hlavního města Prahy od roku 1784</w:t>
      </w:r>
      <w:r>
        <w:rPr>
          <w:sz w:val="16"/>
          <w:szCs w:val="16"/>
        </w:rPr>
        <w:t>“</w:t>
      </w:r>
      <w:r w:rsidRPr="00C1658D">
        <w:rPr>
          <w:sz w:val="16"/>
          <w:szCs w:val="16"/>
        </w:rPr>
        <w:t xml:space="preserve"> v časopise Demografie z roku 2003, ročník 1.</w:t>
      </w:r>
    </w:p>
  </w:footnote>
  <w:footnote w:id="2">
    <w:p w14:paraId="1C623BAD" w14:textId="77777777" w:rsidR="006E01C1" w:rsidRPr="00951D25" w:rsidRDefault="006E01C1" w:rsidP="006E01C1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</w:t>
      </w:r>
      <w:r w:rsidRPr="00AF2FEC">
        <w:rPr>
          <w:rFonts w:cs="Arial"/>
          <w:sz w:val="16"/>
          <w:szCs w:val="16"/>
        </w:rPr>
        <w:t>více o územním a samosprávním členění a definici jednotek například v Lexikonu hl. m. Prahy 2009 (</w:t>
      </w:r>
      <w:hyperlink r:id="rId1" w:history="1">
        <w:r w:rsidRPr="00AF2FEC">
          <w:rPr>
            <w:rStyle w:val="Hypertextovodkaz"/>
            <w:rFonts w:cs="Arial"/>
            <w:sz w:val="16"/>
            <w:szCs w:val="16"/>
          </w:rPr>
          <w:t>http://www.praha.czso.cz/csu/2009edicniplan.nsf/krajp/101323-09-xa</w:t>
        </w:r>
      </w:hyperlink>
      <w:r w:rsidRPr="00AF2FEC">
        <w:rPr>
          <w:rFonts w:cs="Arial"/>
          <w:sz w:val="16"/>
          <w:szCs w:val="16"/>
        </w:rPr>
        <w:t>) nebo v Registru sčítacích obvodů a budov (</w:t>
      </w:r>
      <w:hyperlink r:id="rId2" w:history="1">
        <w:r w:rsidR="0089773B" w:rsidRPr="00AF2FEC">
          <w:rPr>
            <w:rStyle w:val="Hypertextovodkaz"/>
            <w:rFonts w:cs="Arial"/>
            <w:sz w:val="16"/>
            <w:szCs w:val="16"/>
          </w:rPr>
          <w:t>https://www.czso.cz/csu/rso/soustava-uzemnich-prvku-a-uzemne-evidencnich-jednotek</w:t>
        </w:r>
      </w:hyperlink>
      <w:r w:rsidRPr="00AF2FEC">
        <w:rPr>
          <w:rFonts w:cs="Arial"/>
          <w:sz w:val="16"/>
          <w:szCs w:val="16"/>
        </w:rPr>
        <w:t>)</w:t>
      </w:r>
      <w:r w:rsidRPr="00AF2FE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36E8" w14:textId="490FE34D" w:rsidR="00077F8E" w:rsidRPr="003C64FC" w:rsidRDefault="003C64FC">
    <w:pPr>
      <w:pStyle w:val="Zhlav"/>
      <w:rPr>
        <w:rFonts w:ascii="Arial" w:hAnsi="Arial" w:cs="Arial"/>
        <w:sz w:val="16"/>
        <w:szCs w:val="16"/>
      </w:rPr>
    </w:pPr>
    <w:r w:rsidRPr="003C64FC">
      <w:rPr>
        <w:rFonts w:ascii="Arial" w:hAnsi="Arial" w:cs="Arial"/>
        <w:sz w:val="16"/>
        <w:szCs w:val="16"/>
      </w:rPr>
      <w:t>Sčítání lidu, domů a bytů - Hl. m. Praha - analýza výsledků - 2021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C1"/>
    <w:rsid w:val="00077F8E"/>
    <w:rsid w:val="000A302C"/>
    <w:rsid w:val="000C02A5"/>
    <w:rsid w:val="001267F0"/>
    <w:rsid w:val="00193CBF"/>
    <w:rsid w:val="001F0029"/>
    <w:rsid w:val="00206E4F"/>
    <w:rsid w:val="00214BE3"/>
    <w:rsid w:val="00217B0E"/>
    <w:rsid w:val="00251F40"/>
    <w:rsid w:val="002B1A44"/>
    <w:rsid w:val="00321C35"/>
    <w:rsid w:val="00373205"/>
    <w:rsid w:val="00385DC0"/>
    <w:rsid w:val="003C64FC"/>
    <w:rsid w:val="003F08EA"/>
    <w:rsid w:val="004B14F1"/>
    <w:rsid w:val="005479B9"/>
    <w:rsid w:val="005F4F22"/>
    <w:rsid w:val="00672DF2"/>
    <w:rsid w:val="006E01C1"/>
    <w:rsid w:val="006E3A59"/>
    <w:rsid w:val="007278AD"/>
    <w:rsid w:val="007748D8"/>
    <w:rsid w:val="00783CB4"/>
    <w:rsid w:val="007A4989"/>
    <w:rsid w:val="007A737D"/>
    <w:rsid w:val="007C2784"/>
    <w:rsid w:val="00805B58"/>
    <w:rsid w:val="00876244"/>
    <w:rsid w:val="00893B1E"/>
    <w:rsid w:val="0089773B"/>
    <w:rsid w:val="008E56D1"/>
    <w:rsid w:val="00931D5B"/>
    <w:rsid w:val="00A045E8"/>
    <w:rsid w:val="00A30571"/>
    <w:rsid w:val="00A33071"/>
    <w:rsid w:val="00A70D33"/>
    <w:rsid w:val="00A8279A"/>
    <w:rsid w:val="00A96588"/>
    <w:rsid w:val="00AF2FEC"/>
    <w:rsid w:val="00B0125C"/>
    <w:rsid w:val="00B56C15"/>
    <w:rsid w:val="00B57AEF"/>
    <w:rsid w:val="00BE01AE"/>
    <w:rsid w:val="00BF130C"/>
    <w:rsid w:val="00C1658D"/>
    <w:rsid w:val="00C23451"/>
    <w:rsid w:val="00C72994"/>
    <w:rsid w:val="00CA5412"/>
    <w:rsid w:val="00D64F07"/>
    <w:rsid w:val="00DC2979"/>
    <w:rsid w:val="00DC677F"/>
    <w:rsid w:val="00DF179D"/>
    <w:rsid w:val="00E44CF3"/>
    <w:rsid w:val="00E917B8"/>
    <w:rsid w:val="00F4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BAF4"/>
  <w15:chartTrackingRefBased/>
  <w15:docId w15:val="{0625FC39-064E-4184-A369-DB4F5DA9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3CB4"/>
  </w:style>
  <w:style w:type="paragraph" w:styleId="Nadpis1">
    <w:name w:val="heading 1"/>
    <w:next w:val="Normln"/>
    <w:link w:val="Nadpis1Char"/>
    <w:uiPriority w:val="9"/>
    <w:qFormat/>
    <w:rsid w:val="00E44CF3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Nadpis2">
    <w:name w:val="R Nadpis 2"/>
    <w:basedOn w:val="Normln"/>
    <w:next w:val="Normln"/>
    <w:rsid w:val="006E01C1"/>
    <w:pPr>
      <w:spacing w:after="120"/>
      <w:ind w:left="624" w:hanging="624"/>
    </w:pPr>
    <w:rPr>
      <w:rFonts w:ascii="Arial" w:eastAsia="Times New Roman" w:hAnsi="Arial"/>
      <w:b/>
      <w:lang w:eastAsia="cs-CZ"/>
    </w:rPr>
  </w:style>
  <w:style w:type="character" w:styleId="Hypertextovodkaz">
    <w:name w:val="Hyperlink"/>
    <w:basedOn w:val="Standardnpsmoodstavce"/>
    <w:uiPriority w:val="99"/>
    <w:rsid w:val="006E01C1"/>
    <w:rPr>
      <w:color w:val="0000FF"/>
      <w:u w:val="single"/>
    </w:rPr>
  </w:style>
  <w:style w:type="character" w:styleId="Znakapoznpodarou">
    <w:name w:val="footnote reference"/>
    <w:basedOn w:val="Standardnpsmoodstavce"/>
    <w:uiPriority w:val="99"/>
    <w:semiHidden/>
    <w:rsid w:val="006E01C1"/>
    <w:rPr>
      <w:vertAlign w:val="superscript"/>
    </w:rPr>
  </w:style>
  <w:style w:type="paragraph" w:styleId="Textpoznpodarou">
    <w:name w:val="footnote text"/>
    <w:aliases w:val="Text pozn. pod čarou_martin_ang"/>
    <w:basedOn w:val="Normln"/>
    <w:link w:val="TextpoznpodarouChar"/>
    <w:uiPriority w:val="99"/>
    <w:semiHidden/>
    <w:rsid w:val="006E01C1"/>
    <w:pPr>
      <w:spacing w:before="120"/>
      <w:jc w:val="both"/>
    </w:pPr>
    <w:rPr>
      <w:rFonts w:ascii="Arial" w:eastAsia="Times New Roman" w:hAnsi="Arial"/>
      <w:lang w:eastAsia="cs-CZ"/>
    </w:rPr>
  </w:style>
  <w:style w:type="character" w:customStyle="1" w:styleId="TextpoznpodarouChar">
    <w:name w:val="Text pozn. pod čarou Char"/>
    <w:aliases w:val="Text pozn. pod čarou_martin_ang Char"/>
    <w:basedOn w:val="Standardnpsmoodstavce"/>
    <w:link w:val="Textpoznpodarou"/>
    <w:uiPriority w:val="99"/>
    <w:semiHidden/>
    <w:rsid w:val="006E01C1"/>
    <w:rPr>
      <w:rFonts w:ascii="Arial" w:eastAsia="Times New Roman" w:hAnsi="Arial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9773B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44CF3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5B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5B5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5B5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5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5B5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5B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B5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77F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7F8E"/>
  </w:style>
  <w:style w:type="paragraph" w:styleId="Zpat">
    <w:name w:val="footer"/>
    <w:basedOn w:val="Normln"/>
    <w:link w:val="ZpatChar"/>
    <w:uiPriority w:val="99"/>
    <w:unhideWhenUsed/>
    <w:rsid w:val="00077F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7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zso.cz/csu/rso/soustava-uzemnich-prvku-a-uzemne-evidencnich-jednotek" TargetMode="External"/><Relationship Id="rId1" Type="http://schemas.openxmlformats.org/officeDocument/2006/relationships/hyperlink" Target="http://www.praha.czso.cz/csu/2009edicniplan.nsf/krajp/101323-09-xa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0912D-797D-4959-8D7A-462E068E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1014</Words>
  <Characters>5985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2. Sídelní struktura</vt:lpstr>
    </vt:vector>
  </TitlesOfParts>
  <Company>ČSÚ</Company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Podhorská Jana</dc:creator>
  <cp:keywords/>
  <dc:description/>
  <cp:lastModifiedBy>Podhorská Jana</cp:lastModifiedBy>
  <cp:revision>4</cp:revision>
  <cp:lastPrinted>2023-10-26T09:56:00Z</cp:lastPrinted>
  <dcterms:created xsi:type="dcterms:W3CDTF">2023-10-26T11:48:00Z</dcterms:created>
  <dcterms:modified xsi:type="dcterms:W3CDTF">2023-10-26T11:59:00Z</dcterms:modified>
</cp:coreProperties>
</file>