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B07FD" w14:textId="70719C7E" w:rsidR="00867569" w:rsidRPr="00AE6D5B" w:rsidRDefault="00204E9F" w:rsidP="00AE6D5B">
      <w:pPr>
        <w:pStyle w:val="Datum"/>
      </w:pPr>
      <w:r>
        <w:t>13. prosince 2023</w:t>
      </w:r>
    </w:p>
    <w:p w14:paraId="29FB07FE" w14:textId="14D0FD56" w:rsidR="00867569" w:rsidRPr="00AE6D5B" w:rsidRDefault="00810BFE" w:rsidP="00AE6D5B">
      <w:pPr>
        <w:pStyle w:val="Nzev"/>
      </w:pPr>
      <w:r>
        <w:t>Snižování administrativní zátěže v oblasti zahraničního obchodu pokračuje</w:t>
      </w:r>
    </w:p>
    <w:p w14:paraId="7D0E5B43" w14:textId="4C8A7627" w:rsidR="00810BFE" w:rsidRDefault="00204E9F" w:rsidP="00AE6D5B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Od</w:t>
      </w:r>
      <w:r w:rsidR="00810BFE" w:rsidRPr="00810BFE">
        <w:rPr>
          <w:rFonts w:cs="Arial"/>
          <w:b/>
          <w:szCs w:val="18"/>
        </w:rPr>
        <w:t xml:space="preserve"> ledna 2024 dochází ke zvýšení prahů pro vykazování zahraničního obchodu v rámci EU a zároveň ke zvýšení hodnoty pro možnost využití zjednodušeného hlášení v systému Intrastat. </w:t>
      </w:r>
      <w:r w:rsidR="0028252E">
        <w:rPr>
          <w:rFonts w:cs="Arial"/>
          <w:b/>
          <w:szCs w:val="18"/>
        </w:rPr>
        <w:t xml:space="preserve">ČSÚ tak významně přispěl k </w:t>
      </w:r>
      <w:r w:rsidR="00810BFE" w:rsidRPr="00810BFE">
        <w:rPr>
          <w:rFonts w:cs="Arial"/>
          <w:b/>
          <w:szCs w:val="18"/>
        </w:rPr>
        <w:t>další</w:t>
      </w:r>
      <w:r w:rsidR="0028252E">
        <w:rPr>
          <w:rFonts w:cs="Arial"/>
          <w:b/>
          <w:szCs w:val="18"/>
        </w:rPr>
        <w:t>mu</w:t>
      </w:r>
      <w:r w:rsidR="00810BFE" w:rsidRPr="00810BFE">
        <w:rPr>
          <w:rFonts w:cs="Arial"/>
          <w:b/>
          <w:szCs w:val="18"/>
        </w:rPr>
        <w:t xml:space="preserve"> snižování administrativní zátěže podnikatelů.</w:t>
      </w:r>
    </w:p>
    <w:p w14:paraId="5DA35752" w14:textId="77777777" w:rsidR="00810BFE" w:rsidRDefault="00810BFE" w:rsidP="00AE6D5B">
      <w:pPr>
        <w:rPr>
          <w:rFonts w:cs="Arial"/>
          <w:b/>
          <w:szCs w:val="18"/>
        </w:rPr>
      </w:pPr>
    </w:p>
    <w:p w14:paraId="1DF46183" w14:textId="2EC40F48" w:rsidR="00204E9F" w:rsidRDefault="00D878E3" w:rsidP="00810BFE">
      <w:r>
        <w:t>Český statistický úřad</w:t>
      </w:r>
      <w:r w:rsidR="00810BFE">
        <w:t xml:space="preserve"> </w:t>
      </w:r>
      <w:r>
        <w:t>ve spolupráci</w:t>
      </w:r>
      <w:r w:rsidR="00810BFE">
        <w:t xml:space="preserve"> </w:t>
      </w:r>
      <w:r>
        <w:t xml:space="preserve">s </w:t>
      </w:r>
      <w:r w:rsidR="00810BFE">
        <w:t>Celní správou ČR</w:t>
      </w:r>
      <w:r w:rsidR="00464191">
        <w:t xml:space="preserve"> a Ministerstvem financí </w:t>
      </w:r>
      <w:r>
        <w:t>přist</w:t>
      </w:r>
      <w:r w:rsidR="00204E9F">
        <w:t>oupil</w:t>
      </w:r>
      <w:r>
        <w:t xml:space="preserve"> k</w:t>
      </w:r>
      <w:r w:rsidR="00464191">
        <w:t> </w:t>
      </w:r>
      <w:r>
        <w:t>význam</w:t>
      </w:r>
      <w:r w:rsidR="00464191">
        <w:t xml:space="preserve">nému snížení administrativní zátěže zvýšením prahů povinného vykazování zahraničního obchodu v systému Intrastat se zeměmi EU. </w:t>
      </w:r>
      <w:r w:rsidR="00810BFE">
        <w:t>Účast v systému je přitom povinná pro všechny podnikatele, u nichž celková hodnota dovezeného n</w:t>
      </w:r>
      <w:r w:rsidR="00160644">
        <w:t xml:space="preserve">ebo vyvezeného zboží </w:t>
      </w:r>
      <w:r w:rsidR="00160644">
        <w:br/>
      </w:r>
      <w:bookmarkStart w:id="0" w:name="_GoBack"/>
      <w:bookmarkEnd w:id="0"/>
      <w:r w:rsidR="00160644">
        <w:t>v hranicích</w:t>
      </w:r>
      <w:r w:rsidR="00057B70">
        <w:t xml:space="preserve"> EU</w:t>
      </w:r>
      <w:r w:rsidR="00600AC2">
        <w:t xml:space="preserve"> za celý rok </w:t>
      </w:r>
      <w:r w:rsidR="00464191">
        <w:t xml:space="preserve">přesahuje stanovený práh. </w:t>
      </w:r>
    </w:p>
    <w:p w14:paraId="66A3ACE4" w14:textId="77777777" w:rsidR="00204E9F" w:rsidRDefault="00204E9F" w:rsidP="00810BFE"/>
    <w:p w14:paraId="76BCB17C" w14:textId="43B9F2CB" w:rsidR="00810BFE" w:rsidRPr="00204E9F" w:rsidRDefault="00204E9F" w:rsidP="00810BFE">
      <w:r>
        <w:t xml:space="preserve">Vláda ČR na dnešním zasedání schválila příslušné nařízení, na jehož základě dochází </w:t>
      </w:r>
      <w:r w:rsidR="0028252E">
        <w:t xml:space="preserve">s účinností </w:t>
      </w:r>
      <w:r>
        <w:t xml:space="preserve">od 1. ledna 2024 </w:t>
      </w:r>
      <w:r w:rsidR="00464191">
        <w:t>ke zvýšení prahu</w:t>
      </w:r>
      <w:r>
        <w:t xml:space="preserve"> ze současných</w:t>
      </w:r>
      <w:r w:rsidR="00810BFE">
        <w:t xml:space="preserve"> 12 mil. Kč</w:t>
      </w:r>
      <w:r>
        <w:t xml:space="preserve"> </w:t>
      </w:r>
      <w:r w:rsidR="00464191">
        <w:t xml:space="preserve">a 20 mil. Kč </w:t>
      </w:r>
      <w:r w:rsidR="00F64D81">
        <w:t xml:space="preserve">pro </w:t>
      </w:r>
      <w:r w:rsidR="00464191">
        <w:t>zjednodušen</w:t>
      </w:r>
      <w:r w:rsidR="00F64D81">
        <w:t>é</w:t>
      </w:r>
      <w:r w:rsidR="00856079">
        <w:t xml:space="preserve"> hlášení</w:t>
      </w:r>
      <w:r w:rsidR="00810BFE">
        <w:t xml:space="preserve"> </w:t>
      </w:r>
      <w:r w:rsidR="00464191">
        <w:t xml:space="preserve">na hodnotu </w:t>
      </w:r>
      <w:r w:rsidR="00810BFE" w:rsidRPr="00160644">
        <w:t>15 mil. Kč</w:t>
      </w:r>
      <w:r w:rsidR="00600AC2">
        <w:t xml:space="preserve"> </w:t>
      </w:r>
      <w:r w:rsidR="00464191">
        <w:t xml:space="preserve">a 30 mil. Kč </w:t>
      </w:r>
      <w:r w:rsidR="00F64D81">
        <w:t xml:space="preserve">pro </w:t>
      </w:r>
      <w:r w:rsidR="00464191">
        <w:t>zjednodušen</w:t>
      </w:r>
      <w:r w:rsidR="00F64D81">
        <w:t>é</w:t>
      </w:r>
      <w:r w:rsidR="00464191">
        <w:t xml:space="preserve"> </w:t>
      </w:r>
      <w:r w:rsidR="00856079">
        <w:t>hlášení</w:t>
      </w:r>
      <w:r w:rsidR="00464191">
        <w:t xml:space="preserve"> </w:t>
      </w:r>
      <w:r w:rsidR="00600AC2">
        <w:t>u obou směrů</w:t>
      </w:r>
      <w:r w:rsidR="00810BFE">
        <w:t xml:space="preserve"> obchodu.</w:t>
      </w:r>
      <w:r>
        <w:t xml:space="preserve"> </w:t>
      </w:r>
      <w:r w:rsidR="005D7740" w:rsidRPr="00160644">
        <w:t xml:space="preserve">Touto úpravou se </w:t>
      </w:r>
      <w:r w:rsidR="00810BFE" w:rsidRPr="00160644">
        <w:t>pro vybrané</w:t>
      </w:r>
      <w:r w:rsidR="005D7740" w:rsidRPr="00160644">
        <w:t xml:space="preserve"> zpravodajské jednotky fakticky dále </w:t>
      </w:r>
      <w:r w:rsidR="00810BFE" w:rsidRPr="00160644">
        <w:t>zvyšují statistické prahy pro vykazování do Intrastatu na 30 mil. Kč</w:t>
      </w:r>
      <w:r w:rsidRPr="00160644">
        <w:t>.</w:t>
      </w:r>
    </w:p>
    <w:p w14:paraId="5EBE3525" w14:textId="77777777" w:rsidR="00810BFE" w:rsidRDefault="00810BFE" w:rsidP="00810BFE"/>
    <w:p w14:paraId="3FF1DDE7" w14:textId="729BC060" w:rsidR="00810BFE" w:rsidRPr="00160644" w:rsidRDefault="00204E9F" w:rsidP="00810BFE">
      <w:pPr>
        <w:rPr>
          <w:i/>
        </w:rPr>
      </w:pPr>
      <w:r w:rsidRPr="00160644">
        <w:rPr>
          <w:i/>
        </w:rPr>
        <w:t>„O</w:t>
      </w:r>
      <w:r w:rsidR="00810BFE" w:rsidRPr="00160644">
        <w:rPr>
          <w:i/>
        </w:rPr>
        <w:t xml:space="preserve">d roku 2024 </w:t>
      </w:r>
      <w:r w:rsidRPr="00160644">
        <w:rPr>
          <w:i/>
        </w:rPr>
        <w:t xml:space="preserve">se </w:t>
      </w:r>
      <w:r w:rsidR="00810BFE" w:rsidRPr="00160644">
        <w:rPr>
          <w:i/>
        </w:rPr>
        <w:t xml:space="preserve">sníží počet </w:t>
      </w:r>
      <w:r w:rsidR="0028252E">
        <w:rPr>
          <w:i/>
        </w:rPr>
        <w:t>firem</w:t>
      </w:r>
      <w:r w:rsidR="00810BFE" w:rsidRPr="00160644">
        <w:rPr>
          <w:i/>
        </w:rPr>
        <w:t xml:space="preserve">, které budou mít povinnost vykazovat data </w:t>
      </w:r>
      <w:r w:rsidR="0028252E">
        <w:rPr>
          <w:i/>
        </w:rPr>
        <w:t>o zahraničním obchodu v rámci EU. Z</w:t>
      </w:r>
      <w:r w:rsidR="00810BFE" w:rsidRPr="00160644">
        <w:rPr>
          <w:i/>
        </w:rPr>
        <w:t xml:space="preserve">ároveň se </w:t>
      </w:r>
      <w:r w:rsidR="0028252E">
        <w:rPr>
          <w:i/>
        </w:rPr>
        <w:t xml:space="preserve">pak </w:t>
      </w:r>
      <w:r w:rsidR="00810BFE" w:rsidRPr="00160644">
        <w:rPr>
          <w:i/>
        </w:rPr>
        <w:t xml:space="preserve">zvýší počet </w:t>
      </w:r>
      <w:r w:rsidRPr="00160644">
        <w:rPr>
          <w:i/>
        </w:rPr>
        <w:t>těch</w:t>
      </w:r>
      <w:r w:rsidR="00057B70" w:rsidRPr="00160644">
        <w:rPr>
          <w:i/>
        </w:rPr>
        <w:t>, které budou moci</w:t>
      </w:r>
      <w:r w:rsidR="00810BFE" w:rsidRPr="00160644">
        <w:rPr>
          <w:i/>
        </w:rPr>
        <w:t xml:space="preserve"> vykazovat zjednodušeným postupem.</w:t>
      </w:r>
      <w:r w:rsidR="00810BFE">
        <w:t xml:space="preserve"> </w:t>
      </w:r>
      <w:r>
        <w:rPr>
          <w:i/>
        </w:rPr>
        <w:t>C</w:t>
      </w:r>
      <w:r w:rsidR="005D7740">
        <w:rPr>
          <w:i/>
        </w:rPr>
        <w:t xml:space="preserve">elkové možné úspory </w:t>
      </w:r>
      <w:r>
        <w:rPr>
          <w:i/>
        </w:rPr>
        <w:t xml:space="preserve">se </w:t>
      </w:r>
      <w:r w:rsidR="005D7740">
        <w:rPr>
          <w:i/>
        </w:rPr>
        <w:t>vztahují</w:t>
      </w:r>
      <w:r w:rsidR="00810BFE" w:rsidRPr="00C20383">
        <w:rPr>
          <w:i/>
        </w:rPr>
        <w:t xml:space="preserve"> na 1</w:t>
      </w:r>
      <w:r w:rsidR="005D7740">
        <w:rPr>
          <w:i/>
        </w:rPr>
        <w:t xml:space="preserve">8 % zpravodajských jednotek a </w:t>
      </w:r>
      <w:r w:rsidR="00057B70">
        <w:rPr>
          <w:i/>
        </w:rPr>
        <w:t>lze</w:t>
      </w:r>
      <w:r w:rsidR="005D7740">
        <w:rPr>
          <w:i/>
        </w:rPr>
        <w:t xml:space="preserve"> tak</w:t>
      </w:r>
      <w:r w:rsidR="00057B70">
        <w:rPr>
          <w:i/>
        </w:rPr>
        <w:t xml:space="preserve"> </w:t>
      </w:r>
      <w:r w:rsidR="00810BFE" w:rsidRPr="00C20383">
        <w:rPr>
          <w:i/>
        </w:rPr>
        <w:t xml:space="preserve">uspořit </w:t>
      </w:r>
      <w:r w:rsidR="005D7740">
        <w:rPr>
          <w:i/>
        </w:rPr>
        <w:t>až</w:t>
      </w:r>
      <w:r w:rsidR="00810BFE" w:rsidRPr="00C20383">
        <w:rPr>
          <w:i/>
        </w:rPr>
        <w:t xml:space="preserve"> 35 tisíc odevzdaných výkazů za rok,“</w:t>
      </w:r>
      <w:r w:rsidR="00810BFE">
        <w:t xml:space="preserve"> </w:t>
      </w:r>
      <w:r>
        <w:t>připomíná</w:t>
      </w:r>
      <w:r w:rsidR="00160644">
        <w:t xml:space="preserve"> Marek Rojíček, </w:t>
      </w:r>
      <w:r>
        <w:t>předseda Českého statistického úřadu</w:t>
      </w:r>
      <w:r w:rsidR="00810BFE">
        <w:t>.</w:t>
      </w:r>
    </w:p>
    <w:p w14:paraId="6F86B74E" w14:textId="77777777" w:rsidR="00810BFE" w:rsidRDefault="00810BFE" w:rsidP="00810BFE"/>
    <w:p w14:paraId="3CDACA80" w14:textId="3419890B" w:rsidR="00810BFE" w:rsidRDefault="00464191" w:rsidP="00810BFE">
      <w:r>
        <w:t>Český statistický úřad</w:t>
      </w:r>
      <w:r w:rsidR="004A427F">
        <w:t xml:space="preserve"> mohl k této pozitivní změně přistoupit díky vyšší míře využívání</w:t>
      </w:r>
      <w:r>
        <w:t xml:space="preserve"> </w:t>
      </w:r>
      <w:r w:rsidR="004A427F">
        <w:t>administrativních zdrojů dat a modernějších postupů při své práci. P</w:t>
      </w:r>
      <w:r>
        <w:t>ožadavky domácích i zahraničních uživatelů</w:t>
      </w:r>
      <w:r w:rsidR="004A427F">
        <w:t xml:space="preserve"> na vysokou kvalitu</w:t>
      </w:r>
      <w:r>
        <w:t xml:space="preserve"> statistiky zahraničního obchodu</w:t>
      </w:r>
      <w:r w:rsidR="004A427F">
        <w:t xml:space="preserve"> tak budou plně zachovány</w:t>
      </w:r>
      <w:r>
        <w:t xml:space="preserve">. </w:t>
      </w:r>
    </w:p>
    <w:p w14:paraId="2401C0CC" w14:textId="77777777" w:rsidR="00810BFE" w:rsidRDefault="00810BFE" w:rsidP="00810BFE"/>
    <w:p w14:paraId="29FB0802" w14:textId="34D3624E" w:rsidR="00AE6D5B" w:rsidRDefault="00810BFE" w:rsidP="00810BFE">
      <w:r>
        <w:t>Podrobnosti a další souvi</w:t>
      </w:r>
      <w:r w:rsidR="002B1A76">
        <w:t>sející informace spojené se změnami</w:t>
      </w:r>
      <w:r>
        <w:t xml:space="preserve"> vykazování do Intrastatu budou jako obvykle uveřejněny na webových stránkách </w:t>
      </w:r>
      <w:hyperlink r:id="rId10" w:history="1">
        <w:r w:rsidRPr="00F64D81">
          <w:rPr>
            <w:rStyle w:val="Hypertextovodkaz"/>
          </w:rPr>
          <w:t>Českého statistického úřadu</w:t>
        </w:r>
      </w:hyperlink>
      <w:r>
        <w:t xml:space="preserve"> a </w:t>
      </w:r>
      <w:hyperlink r:id="rId11" w:history="1">
        <w:r w:rsidRPr="00F64D81">
          <w:rPr>
            <w:rStyle w:val="Hypertextovodkaz"/>
          </w:rPr>
          <w:t>Celní správy ČR</w:t>
        </w:r>
      </w:hyperlink>
      <w:r>
        <w:t>.</w:t>
      </w:r>
    </w:p>
    <w:p w14:paraId="29FB0804" w14:textId="77777777" w:rsidR="00AE6D5B" w:rsidRDefault="00AE6D5B" w:rsidP="00AE6D5B"/>
    <w:p w14:paraId="29FB0805" w14:textId="77777777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63DA6649" w14:textId="77777777" w:rsidR="00305BA6" w:rsidRPr="001B6F48" w:rsidRDefault="00305BA6" w:rsidP="00305BA6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4C92E2D9" w14:textId="77777777" w:rsidR="00305BA6" w:rsidRPr="00C62D32" w:rsidRDefault="00305BA6" w:rsidP="00305BA6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3A1580FD" w14:textId="77777777" w:rsidR="00305BA6" w:rsidRPr="00C62D32" w:rsidRDefault="00305BA6" w:rsidP="00305BA6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29FB0809" w14:textId="52AB4B94" w:rsidR="004920AD" w:rsidRPr="004920AD" w:rsidRDefault="00305BA6" w:rsidP="0008098B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 w:rsidRPr="0072132B">
        <w:rPr>
          <w:rFonts w:cs="Arial"/>
        </w:rPr>
        <w:t xml:space="preserve">jan.cieslar@czso.cz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="00204E9F">
        <w:rPr>
          <w:rFonts w:cs="Arial"/>
          <w:color w:val="0070C0"/>
        </w:rPr>
        <w:t>X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sectPr w:rsidR="004920AD" w:rsidRPr="004920AD" w:rsidSect="003D02AA">
      <w:headerReference w:type="default" r:id="rId12"/>
      <w:footerReference w:type="defaul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79147" w14:textId="77777777" w:rsidR="00962510" w:rsidRDefault="00962510" w:rsidP="00BA6370">
      <w:r>
        <w:separator/>
      </w:r>
    </w:p>
  </w:endnote>
  <w:endnote w:type="continuationSeparator" w:id="0">
    <w:p w14:paraId="49BFD8DC" w14:textId="77777777" w:rsidR="00962510" w:rsidRDefault="0096251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B080F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FB0812" wp14:editId="29FB0813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FB0816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29FB0817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29FB0818" w14:textId="5DAE93FC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962510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B08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29FB0816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29FB0817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29FB0818" w14:textId="5DAE93FC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962510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9FB0814" wp14:editId="29FB0815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9CE475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625BB" w14:textId="77777777" w:rsidR="00962510" w:rsidRDefault="00962510" w:rsidP="00BA6370">
      <w:r>
        <w:separator/>
      </w:r>
    </w:p>
  </w:footnote>
  <w:footnote w:type="continuationSeparator" w:id="0">
    <w:p w14:paraId="486856A7" w14:textId="77777777" w:rsidR="00962510" w:rsidRDefault="0096251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B080E" w14:textId="77777777"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9FB0810" wp14:editId="29FB081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7C53E4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25"/>
    <w:rsid w:val="00043BF4"/>
    <w:rsid w:val="00057B70"/>
    <w:rsid w:val="0008098B"/>
    <w:rsid w:val="000842D2"/>
    <w:rsid w:val="000843A5"/>
    <w:rsid w:val="000B6F63"/>
    <w:rsid w:val="000C435D"/>
    <w:rsid w:val="001404AB"/>
    <w:rsid w:val="00146745"/>
    <w:rsid w:val="00160644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204E9F"/>
    <w:rsid w:val="002070FB"/>
    <w:rsid w:val="00213729"/>
    <w:rsid w:val="002272A6"/>
    <w:rsid w:val="002406FA"/>
    <w:rsid w:val="002460EA"/>
    <w:rsid w:val="00280F3E"/>
    <w:rsid w:val="0028252E"/>
    <w:rsid w:val="002848DA"/>
    <w:rsid w:val="002B1A76"/>
    <w:rsid w:val="002B2E47"/>
    <w:rsid w:val="002D6A6C"/>
    <w:rsid w:val="00305BA6"/>
    <w:rsid w:val="00322412"/>
    <w:rsid w:val="003301A3"/>
    <w:rsid w:val="003305E6"/>
    <w:rsid w:val="0035578A"/>
    <w:rsid w:val="0036777B"/>
    <w:rsid w:val="0038282A"/>
    <w:rsid w:val="00397580"/>
    <w:rsid w:val="003A1794"/>
    <w:rsid w:val="003A45C8"/>
    <w:rsid w:val="003C2DCF"/>
    <w:rsid w:val="003C5810"/>
    <w:rsid w:val="003C7FE7"/>
    <w:rsid w:val="003D02AA"/>
    <w:rsid w:val="003D0499"/>
    <w:rsid w:val="003F526A"/>
    <w:rsid w:val="00405244"/>
    <w:rsid w:val="00413A9D"/>
    <w:rsid w:val="004436EE"/>
    <w:rsid w:val="0045547F"/>
    <w:rsid w:val="00464191"/>
    <w:rsid w:val="004920AD"/>
    <w:rsid w:val="004A427F"/>
    <w:rsid w:val="004D05B3"/>
    <w:rsid w:val="004E479E"/>
    <w:rsid w:val="004E583B"/>
    <w:rsid w:val="004F78E6"/>
    <w:rsid w:val="00512D99"/>
    <w:rsid w:val="00531DBB"/>
    <w:rsid w:val="00576C13"/>
    <w:rsid w:val="005D7740"/>
    <w:rsid w:val="005F699D"/>
    <w:rsid w:val="005F79FB"/>
    <w:rsid w:val="00600AC2"/>
    <w:rsid w:val="00604406"/>
    <w:rsid w:val="00605F4A"/>
    <w:rsid w:val="00607822"/>
    <w:rsid w:val="006103AA"/>
    <w:rsid w:val="006113AB"/>
    <w:rsid w:val="00613BBF"/>
    <w:rsid w:val="00622B80"/>
    <w:rsid w:val="0064139A"/>
    <w:rsid w:val="00675D16"/>
    <w:rsid w:val="006E024F"/>
    <w:rsid w:val="006E4E81"/>
    <w:rsid w:val="00707F7D"/>
    <w:rsid w:val="00717EC5"/>
    <w:rsid w:val="00727525"/>
    <w:rsid w:val="00737B80"/>
    <w:rsid w:val="00752101"/>
    <w:rsid w:val="007A57F2"/>
    <w:rsid w:val="007A631F"/>
    <w:rsid w:val="007B1333"/>
    <w:rsid w:val="007D4442"/>
    <w:rsid w:val="007F4AEB"/>
    <w:rsid w:val="007F75B2"/>
    <w:rsid w:val="008043C4"/>
    <w:rsid w:val="00810BFE"/>
    <w:rsid w:val="00831B1B"/>
    <w:rsid w:val="00856079"/>
    <w:rsid w:val="00861D0E"/>
    <w:rsid w:val="008630D0"/>
    <w:rsid w:val="00867569"/>
    <w:rsid w:val="008A750A"/>
    <w:rsid w:val="008C384C"/>
    <w:rsid w:val="008D0F11"/>
    <w:rsid w:val="008E3B84"/>
    <w:rsid w:val="008F35B4"/>
    <w:rsid w:val="008F73B4"/>
    <w:rsid w:val="0090334A"/>
    <w:rsid w:val="009058FC"/>
    <w:rsid w:val="0094402F"/>
    <w:rsid w:val="00945D53"/>
    <w:rsid w:val="00962510"/>
    <w:rsid w:val="009668FF"/>
    <w:rsid w:val="009B55B1"/>
    <w:rsid w:val="00A00672"/>
    <w:rsid w:val="00A365FE"/>
    <w:rsid w:val="00A4343D"/>
    <w:rsid w:val="00A502F1"/>
    <w:rsid w:val="00A70A83"/>
    <w:rsid w:val="00A81EB3"/>
    <w:rsid w:val="00A842CF"/>
    <w:rsid w:val="00AE6D5B"/>
    <w:rsid w:val="00B00C1D"/>
    <w:rsid w:val="00B03E21"/>
    <w:rsid w:val="00B565EB"/>
    <w:rsid w:val="00BA439F"/>
    <w:rsid w:val="00BA6370"/>
    <w:rsid w:val="00C20383"/>
    <w:rsid w:val="00C269D4"/>
    <w:rsid w:val="00C4160D"/>
    <w:rsid w:val="00C52466"/>
    <w:rsid w:val="00C8406E"/>
    <w:rsid w:val="00CB2709"/>
    <w:rsid w:val="00CB6F89"/>
    <w:rsid w:val="00CD4431"/>
    <w:rsid w:val="00CE228C"/>
    <w:rsid w:val="00CF545B"/>
    <w:rsid w:val="00D018F0"/>
    <w:rsid w:val="00D27074"/>
    <w:rsid w:val="00D27D69"/>
    <w:rsid w:val="00D448C2"/>
    <w:rsid w:val="00D666C3"/>
    <w:rsid w:val="00D878E3"/>
    <w:rsid w:val="00DB3587"/>
    <w:rsid w:val="00DC0D7B"/>
    <w:rsid w:val="00DF47FE"/>
    <w:rsid w:val="00E15790"/>
    <w:rsid w:val="00E2374E"/>
    <w:rsid w:val="00E26704"/>
    <w:rsid w:val="00E27C40"/>
    <w:rsid w:val="00E31980"/>
    <w:rsid w:val="00E57646"/>
    <w:rsid w:val="00E6423C"/>
    <w:rsid w:val="00E93830"/>
    <w:rsid w:val="00E93E0E"/>
    <w:rsid w:val="00EB1ED3"/>
    <w:rsid w:val="00EC2D51"/>
    <w:rsid w:val="00F26395"/>
    <w:rsid w:val="00F46D88"/>
    <w:rsid w:val="00F46F18"/>
    <w:rsid w:val="00F64D81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9FB07FD"/>
  <w15:docId w15:val="{4BFFB976-F639-46A6-9753-8AD4103F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00A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0AC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0AC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0A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0AC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elnisprava.cz/cz/dalsi-kompetence/intrastat/Stranky/default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intrastat_new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A05D2CE2C1C4998C9774848EF14BD" ma:contentTypeVersion="17" ma:contentTypeDescription="Vytvoří nový dokument" ma:contentTypeScope="" ma:versionID="29b0c50f07979653791aab23668dea86">
  <xsd:schema xmlns:xsd="http://www.w3.org/2001/XMLSchema" xmlns:xs="http://www.w3.org/2001/XMLSchema" xmlns:p="http://schemas.microsoft.com/office/2006/metadata/properties" xmlns:ns3="96fe4203-b71d-4184-ba51-24df7198b384" xmlns:ns4="acec7b4d-454d-411c-b74c-262ee2f6ce1b" targetNamespace="http://schemas.microsoft.com/office/2006/metadata/properties" ma:root="true" ma:fieldsID="7b38486ddd13da3d9c59798364e91d3a" ns3:_="" ns4:_="">
    <xsd:import namespace="96fe4203-b71d-4184-ba51-24df7198b384"/>
    <xsd:import namespace="acec7b4d-454d-411c-b74c-262ee2f6ce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e4203-b71d-4184-ba51-24df7198b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c7b4d-454d-411c-b74c-262ee2f6ce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6fe4203-b71d-4184-ba51-24df7198b38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6AF3B-1770-4A34-96D7-EC6FE1981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e4203-b71d-4184-ba51-24df7198b384"/>
    <ds:schemaRef ds:uri="acec7b4d-454d-411c-b74c-262ee2f6c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17D368-9E5F-4BC4-8E67-2A4D629F0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36DF6-79B2-41AF-A40E-A3086D851D5B}">
  <ds:schemaRefs>
    <ds:schemaRef ds:uri="http://schemas.microsoft.com/office/2006/metadata/properties"/>
    <ds:schemaRef ds:uri="http://schemas.microsoft.com/office/infopath/2007/PartnerControls"/>
    <ds:schemaRef ds:uri="96fe4203-b71d-4184-ba51-24df7198b384"/>
  </ds:schemaRefs>
</ds:datastoreItem>
</file>

<file path=customXml/itemProps4.xml><?xml version="1.0" encoding="utf-8"?>
<ds:datastoreItem xmlns:ds="http://schemas.openxmlformats.org/officeDocument/2006/customXml" ds:itemID="{98DE8CC4-7E06-44DB-A3AF-59EC7A94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2278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chramecky3167</dc:creator>
  <cp:lastModifiedBy>Cieslar Jan</cp:lastModifiedBy>
  <cp:revision>2</cp:revision>
  <dcterms:created xsi:type="dcterms:W3CDTF">2023-12-11T21:40:00Z</dcterms:created>
  <dcterms:modified xsi:type="dcterms:W3CDTF">2023-12-11T21:40:00Z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0x010100489A05D2CE2C1C4998C9774848EF14BD</vt:lpwstr>
  </property>
  <property fmtid="{D5CDD505-2E9C-101B-9397-08002B2CF9AE}" pid="3" name="Názevformuláře">
    <vt:lpwstr>Tisková zpráva CZ
</vt:lpwstr>
  </property>
  <property fmtid="{D5CDD505-2E9C-101B-9397-08002B2CF9AE}" pid="4" name="Vazbanaprocesnídoménu">
    <vt:lpwstr>;#4. Komunikace a propagace;#</vt:lpwstr>
  </property>
  <property fmtid="{D5CDD505-2E9C-101B-9397-08002B2CF9AE}" pid="5" name="Vazbanadefiničnípředpis">
    <vt:lpwstr>Směrnice č. 6/2020; Manuál jednotného vizuálního stylu ČSÚ
</vt:lpwstr>
  </property>
  <property fmtid="{D5CDD505-2E9C-101B-9397-08002B2CF9AE}" pid="6" name="Ustanovení">
    <vt:lpwstr>čl. 3, odst. 5b; část 11.2
</vt:lpwstr>
  </property>
  <property fmtid="{D5CDD505-2E9C-101B-9397-08002B2CF9AE}" pid="7" name="Účinnostod">
    <vt:filetime>2022-02-08T08:00:00Z</vt:filetime>
  </property>
  <property fmtid="{D5CDD505-2E9C-101B-9397-08002B2CF9AE}" pid="8" name="Označení">
    <vt:lpwstr>Form_c469</vt:lpwstr>
  </property>
</Properties>
</file>