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65B9" w14:textId="34A676C0" w:rsidR="00E762E4" w:rsidRDefault="00481E80" w:rsidP="00AA1157">
      <w:pPr>
        <w:spacing w:after="0" w:line="240" w:lineRule="auto"/>
        <w:rPr>
          <w:rFonts w:ascii="Arial" w:hAnsi="Arial" w:cs="Arial"/>
          <w:b/>
          <w:i/>
          <w:color w:val="BD1B21"/>
          <w:sz w:val="30"/>
          <w:szCs w:val="30"/>
        </w:rPr>
      </w:pPr>
      <w:r w:rsidRPr="00E37B07">
        <w:rPr>
          <w:rFonts w:ascii="Arial" w:hAnsi="Arial" w:cs="Arial"/>
          <w:b/>
          <w:color w:val="BD1B21"/>
          <w:sz w:val="30"/>
          <w:szCs w:val="30"/>
        </w:rPr>
        <w:t xml:space="preserve">Právě vyšlo nové číslo odborného recenzovaného časopisu 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Statistika: Statistics</w:t>
      </w:r>
    </w:p>
    <w:p w14:paraId="01A3FEAA" w14:textId="6A87D43A" w:rsidR="00481E80" w:rsidRDefault="00D31B69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i/>
          <w:color w:val="BD1B21"/>
          <w:sz w:val="30"/>
          <w:szCs w:val="30"/>
        </w:rPr>
        <w:t>a</w:t>
      </w:r>
      <w:r w:rsidR="009B6670" w:rsidRPr="009B6670">
        <w:rPr>
          <w:rFonts w:ascii="Arial" w:hAnsi="Arial" w:cs="Arial"/>
          <w:b/>
          <w:i/>
          <w:color w:val="BD1B21"/>
          <w:sz w:val="30"/>
          <w:szCs w:val="30"/>
        </w:rPr>
        <w:t>nd Economy Journal</w:t>
      </w:r>
      <w:r w:rsidR="009B6670">
        <w:rPr>
          <w:rFonts w:ascii="Arial" w:hAnsi="Arial" w:cs="Arial"/>
          <w:b/>
          <w:color w:val="BD1B21"/>
          <w:sz w:val="30"/>
          <w:szCs w:val="30"/>
        </w:rPr>
        <w:t xml:space="preserve"> </w:t>
      </w:r>
      <w:r w:rsidR="00892EB2">
        <w:rPr>
          <w:rFonts w:ascii="Arial" w:hAnsi="Arial" w:cs="Arial"/>
          <w:b/>
          <w:color w:val="BD1B21"/>
          <w:sz w:val="30"/>
          <w:szCs w:val="30"/>
        </w:rPr>
        <w:t>č. </w:t>
      </w:r>
      <w:r w:rsidR="00914CD1">
        <w:rPr>
          <w:rFonts w:ascii="Arial" w:hAnsi="Arial" w:cs="Arial"/>
          <w:b/>
          <w:color w:val="BD1B21"/>
          <w:sz w:val="30"/>
          <w:szCs w:val="30"/>
        </w:rPr>
        <w:t>4</w:t>
      </w:r>
      <w:r w:rsidR="00D11ED5">
        <w:rPr>
          <w:rFonts w:ascii="Arial" w:hAnsi="Arial" w:cs="Arial"/>
          <w:b/>
          <w:color w:val="BD1B21"/>
          <w:sz w:val="30"/>
          <w:szCs w:val="30"/>
        </w:rPr>
        <w:t>/2023</w:t>
      </w:r>
    </w:p>
    <w:p w14:paraId="72B19E47" w14:textId="77777777" w:rsidR="00D31B69" w:rsidRDefault="00D31B69" w:rsidP="00E762E4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F7C743B" w14:textId="1B4CF722" w:rsidR="009B6670" w:rsidRPr="00E762E4" w:rsidRDefault="00E5231C" w:rsidP="00E762E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E762E4">
        <w:rPr>
          <w:rFonts w:ascii="Arial" w:hAnsi="Arial" w:cs="Arial"/>
          <w:b/>
          <w:sz w:val="20"/>
          <w:szCs w:val="20"/>
          <w:u w:val="single"/>
        </w:rPr>
        <w:t>A</w:t>
      </w:r>
      <w:r w:rsidR="00D11ED5">
        <w:rPr>
          <w:rFonts w:ascii="Arial" w:hAnsi="Arial" w:cs="Arial"/>
          <w:b/>
          <w:sz w:val="20"/>
          <w:szCs w:val="20"/>
          <w:u w:val="single"/>
        </w:rPr>
        <w:t>nalýzy</w:t>
      </w:r>
    </w:p>
    <w:p w14:paraId="7A1FF661" w14:textId="77777777" w:rsidR="00590476" w:rsidRPr="00E762E4" w:rsidRDefault="00590476" w:rsidP="00E762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06EEDE4" w14:textId="77777777" w:rsidR="000533EB" w:rsidRPr="00721B31" w:rsidRDefault="000533EB" w:rsidP="000533E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721B31">
        <w:rPr>
          <w:rFonts w:ascii="Arial" w:hAnsi="Arial" w:cs="Arial"/>
          <w:b/>
          <w:sz w:val="20"/>
          <w:szCs w:val="20"/>
        </w:rPr>
        <w:t>Martina Košíková, Erik Šoltés</w:t>
      </w:r>
    </w:p>
    <w:p w14:paraId="3AA900E5" w14:textId="77777777" w:rsidR="000533EB" w:rsidRDefault="000533EB" w:rsidP="00053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21B31">
        <w:rPr>
          <w:rFonts w:ascii="Arial" w:hAnsi="Arial" w:cs="Arial"/>
          <w:i/>
          <w:color w:val="000000"/>
          <w:sz w:val="20"/>
          <w:szCs w:val="20"/>
        </w:rPr>
        <w:t>Comparison of (Quasi-)Joblessness in Slovakia and the Czech Republic through the Marginal Means based on Logit Models</w:t>
      </w:r>
    </w:p>
    <w:p w14:paraId="00942C76" w14:textId="77777777" w:rsidR="000533EB" w:rsidRPr="00721B31" w:rsidRDefault="00C07B2B" w:rsidP="00053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8" w:history="1">
        <w:r w:rsidR="000533EB" w:rsidRPr="00721B31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https://doi.org/10.54694/stat.2023.8</w:t>
        </w:r>
      </w:hyperlink>
    </w:p>
    <w:p w14:paraId="4F7A4C96" w14:textId="77777777" w:rsidR="000533EB" w:rsidRPr="00D91D81" w:rsidRDefault="000533EB" w:rsidP="000533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21D8E64B" w14:textId="77777777" w:rsidR="000533EB" w:rsidRPr="00721B31" w:rsidRDefault="000533EB" w:rsidP="00053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21B31">
        <w:rPr>
          <w:rFonts w:ascii="Arial" w:hAnsi="Arial" w:cs="Arial"/>
          <w:b/>
          <w:color w:val="000000"/>
          <w:sz w:val="20"/>
          <w:szCs w:val="20"/>
        </w:rPr>
        <w:t>Katarína Plačková, Oto Hudec</w:t>
      </w:r>
    </w:p>
    <w:p w14:paraId="19079B59" w14:textId="77777777" w:rsidR="000533EB" w:rsidRPr="00721B31" w:rsidRDefault="000533EB" w:rsidP="000533EB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hAnsi="Arial" w:cs="Arial"/>
          <w:i/>
          <w:color w:val="000000"/>
          <w:sz w:val="20"/>
          <w:szCs w:val="20"/>
        </w:rPr>
      </w:pPr>
      <w:r w:rsidRPr="00721B31">
        <w:rPr>
          <w:rFonts w:ascii="Arial" w:hAnsi="Arial" w:cs="Arial"/>
          <w:i/>
          <w:color w:val="000000"/>
          <w:sz w:val="20"/>
          <w:szCs w:val="20"/>
        </w:rPr>
        <w:t>Subjective Well-Being in Czech and Slovak Cities</w:t>
      </w:r>
    </w:p>
    <w:p w14:paraId="53DF5F7A" w14:textId="77777777" w:rsidR="000533EB" w:rsidRPr="00721B31" w:rsidRDefault="00C07B2B" w:rsidP="000533EB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9" w:history="1">
        <w:r w:rsidR="000533EB" w:rsidRPr="00721B31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https://doi.org/10.54694/stat.2023.9</w:t>
        </w:r>
      </w:hyperlink>
    </w:p>
    <w:p w14:paraId="3B5EA35D" w14:textId="77777777" w:rsidR="000533EB" w:rsidRDefault="000533EB" w:rsidP="000533EB">
      <w:pPr>
        <w:autoSpaceDE w:val="0"/>
        <w:autoSpaceDN w:val="0"/>
        <w:adjustRightInd w:val="0"/>
        <w:spacing w:after="0" w:line="161" w:lineRule="atLeast"/>
        <w:ind w:left="340" w:hanging="340"/>
        <w:rPr>
          <w:rFonts w:ascii="Arial" w:eastAsia="Calibri" w:hAnsi="Arial" w:cs="Arial"/>
          <w:b/>
          <w:sz w:val="20"/>
          <w:szCs w:val="20"/>
        </w:rPr>
      </w:pPr>
    </w:p>
    <w:p w14:paraId="38ADEAAC" w14:textId="77777777" w:rsidR="000533EB" w:rsidRPr="00721B31" w:rsidRDefault="000533EB" w:rsidP="000533EB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721B31">
        <w:rPr>
          <w:rFonts w:ascii="Arial" w:hAnsi="Arial" w:cs="Arial"/>
          <w:b/>
          <w:sz w:val="20"/>
          <w:szCs w:val="20"/>
        </w:rPr>
        <w:t>Ondřej Šimpach</w:t>
      </w:r>
    </w:p>
    <w:p w14:paraId="031091B2" w14:textId="77777777" w:rsidR="000533EB" w:rsidRPr="00721B3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21B31">
        <w:rPr>
          <w:rFonts w:ascii="Arial" w:hAnsi="Arial" w:cs="Arial"/>
          <w:i/>
          <w:color w:val="000000"/>
          <w:sz w:val="20"/>
          <w:szCs w:val="20"/>
        </w:rPr>
        <w:t>Life Expectancy Changes and Their Consequences for Pension System in Finland and</w:t>
      </w:r>
      <w:r>
        <w:rPr>
          <w:rFonts w:ascii="Arial" w:hAnsi="Arial" w:cs="Arial"/>
          <w:i/>
          <w:color w:val="000000"/>
          <w:sz w:val="20"/>
          <w:szCs w:val="20"/>
        </w:rPr>
        <w:t> </w:t>
      </w:r>
      <w:r w:rsidRPr="00721B31">
        <w:rPr>
          <w:rFonts w:ascii="Arial" w:hAnsi="Arial" w:cs="Arial"/>
          <w:i/>
          <w:color w:val="000000"/>
          <w:sz w:val="20"/>
          <w:szCs w:val="20"/>
        </w:rPr>
        <w:t>the</w:t>
      </w:r>
      <w:r>
        <w:rPr>
          <w:rFonts w:ascii="Arial" w:hAnsi="Arial" w:cs="Arial"/>
          <w:i/>
          <w:color w:val="000000"/>
          <w:sz w:val="20"/>
          <w:szCs w:val="20"/>
        </w:rPr>
        <w:t> </w:t>
      </w:r>
      <w:r w:rsidRPr="00721B31">
        <w:rPr>
          <w:rFonts w:ascii="Arial" w:hAnsi="Arial" w:cs="Arial"/>
          <w:i/>
          <w:color w:val="000000"/>
          <w:sz w:val="20"/>
          <w:szCs w:val="20"/>
        </w:rPr>
        <w:t>Czech Republic</w:t>
      </w:r>
    </w:p>
    <w:p w14:paraId="2DB1F889" w14:textId="77777777" w:rsidR="000533EB" w:rsidRPr="00721B31" w:rsidRDefault="00C07B2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0" w:history="1">
        <w:r w:rsidR="000533EB" w:rsidRPr="00721B31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https://doi.org/10.54694/stat.2023.20</w:t>
        </w:r>
      </w:hyperlink>
    </w:p>
    <w:p w14:paraId="1F987352" w14:textId="77777777" w:rsidR="000533EB" w:rsidRPr="00D91D8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68CC936" w14:textId="77777777" w:rsidR="000533EB" w:rsidRPr="00721B31" w:rsidRDefault="000533EB" w:rsidP="00053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21B31">
        <w:rPr>
          <w:rFonts w:ascii="Arial" w:hAnsi="Arial" w:cs="Arial"/>
          <w:b/>
          <w:color w:val="000000"/>
          <w:sz w:val="20"/>
          <w:szCs w:val="20"/>
        </w:rPr>
        <w:t>Igor Melicherčík, Gábor Szűcs</w:t>
      </w:r>
    </w:p>
    <w:p w14:paraId="520FEDD7" w14:textId="77777777" w:rsidR="000533EB" w:rsidRPr="00721B3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21B31">
        <w:rPr>
          <w:rFonts w:ascii="Arial" w:hAnsi="Arial" w:cs="Arial"/>
          <w:i/>
          <w:color w:val="000000"/>
          <w:sz w:val="20"/>
          <w:szCs w:val="20"/>
        </w:rPr>
        <w:t>Payout Phase of Defined Contribution Systems: the Case of Slovakia</w:t>
      </w:r>
    </w:p>
    <w:p w14:paraId="4824270C" w14:textId="77777777" w:rsidR="000533EB" w:rsidRPr="00721B31" w:rsidRDefault="00C07B2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1" w:history="1">
        <w:r w:rsidR="000533EB" w:rsidRPr="00721B31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https://doi.org/10.54694/stat.2023.12</w:t>
        </w:r>
      </w:hyperlink>
    </w:p>
    <w:p w14:paraId="2DFADE50" w14:textId="77777777" w:rsidR="000533EB" w:rsidRPr="00D91D8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0C2F6C92" w14:textId="77777777" w:rsidR="000533EB" w:rsidRPr="00721B31" w:rsidRDefault="000533EB" w:rsidP="00053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21B31">
        <w:rPr>
          <w:rFonts w:ascii="Arial" w:hAnsi="Arial" w:cs="Arial"/>
          <w:b/>
          <w:color w:val="000000"/>
          <w:sz w:val="20"/>
          <w:szCs w:val="20"/>
        </w:rPr>
        <w:t>Emília Zimková, Petra Gurčíková, Michaela Vidiečanová, Ľubomír Pintér, Colin Lawson</w:t>
      </w:r>
    </w:p>
    <w:p w14:paraId="1264D7C9" w14:textId="77777777" w:rsidR="000533EB" w:rsidRPr="00721B3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21B31">
        <w:rPr>
          <w:rFonts w:ascii="Arial" w:hAnsi="Arial" w:cs="Arial"/>
          <w:i/>
          <w:color w:val="000000"/>
          <w:sz w:val="20"/>
          <w:szCs w:val="20"/>
        </w:rPr>
        <w:t xml:space="preserve">Efficiency Evaluation of Water Sector in the Czech Republic: Two-Stage Network Dea </w:t>
      </w:r>
      <w:hyperlink r:id="rId12" w:history="1">
        <w:r w:rsidRPr="00721B31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https://doi.org/10.54694/stat.2023.26</w:t>
        </w:r>
      </w:hyperlink>
    </w:p>
    <w:p w14:paraId="41B6FD15" w14:textId="77777777" w:rsidR="000533EB" w:rsidRPr="00D91D8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17D7E9" w14:textId="77777777" w:rsidR="000533EB" w:rsidRPr="00721B31" w:rsidRDefault="000533EB" w:rsidP="000533E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21B31">
        <w:rPr>
          <w:rFonts w:ascii="Arial" w:hAnsi="Arial" w:cs="Arial"/>
          <w:b/>
          <w:color w:val="000000"/>
          <w:sz w:val="20"/>
          <w:szCs w:val="20"/>
        </w:rPr>
        <w:t>Ľubica Štiblárová</w:t>
      </w:r>
    </w:p>
    <w:p w14:paraId="41C2D1D9" w14:textId="580A5A6C" w:rsidR="000533EB" w:rsidRPr="00721B3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721B31">
        <w:rPr>
          <w:rFonts w:ascii="Arial" w:hAnsi="Arial" w:cs="Arial"/>
          <w:i/>
          <w:color w:val="000000"/>
          <w:sz w:val="20"/>
          <w:szCs w:val="20"/>
        </w:rPr>
        <w:t>Investment into Low-Carbon Economy in the CEE NUTS-2 Regions: Are EU Funds Used where</w:t>
      </w:r>
      <w:r>
        <w:rPr>
          <w:rFonts w:ascii="Arial" w:hAnsi="Arial" w:cs="Arial"/>
          <w:i/>
          <w:color w:val="000000"/>
          <w:sz w:val="20"/>
          <w:szCs w:val="20"/>
        </w:rPr>
        <w:t> </w:t>
      </w:r>
      <w:r w:rsidRPr="00721B31">
        <w:rPr>
          <w:rFonts w:ascii="Arial" w:hAnsi="Arial" w:cs="Arial"/>
          <w:i/>
          <w:color w:val="000000"/>
          <w:sz w:val="20"/>
          <w:szCs w:val="20"/>
        </w:rPr>
        <w:t>Needed?</w:t>
      </w:r>
    </w:p>
    <w:p w14:paraId="69F94141" w14:textId="77777777" w:rsidR="000533EB" w:rsidRPr="00721B31" w:rsidRDefault="00C07B2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3" w:history="1">
        <w:r w:rsidR="000533EB" w:rsidRPr="00721B31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https://doi.org/10.54694/stat.2023.13</w:t>
        </w:r>
      </w:hyperlink>
    </w:p>
    <w:p w14:paraId="1A494923" w14:textId="77777777" w:rsidR="000533EB" w:rsidRPr="00D91D8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887741F" w14:textId="77777777" w:rsidR="000533EB" w:rsidRPr="00311885" w:rsidRDefault="000533EB" w:rsidP="000533EB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11885">
        <w:rPr>
          <w:rFonts w:ascii="Arial" w:hAnsi="Arial" w:cs="Arial"/>
          <w:b/>
          <w:color w:val="000000"/>
          <w:sz w:val="20"/>
          <w:szCs w:val="20"/>
        </w:rPr>
        <w:t>Ondřej Vozár, Luboš Marek</w:t>
      </w:r>
    </w:p>
    <w:p w14:paraId="4F7E89C6" w14:textId="77777777" w:rsidR="000533EB" w:rsidRPr="00311885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311885">
        <w:rPr>
          <w:rFonts w:ascii="Arial" w:hAnsi="Arial" w:cs="Arial"/>
          <w:i/>
          <w:color w:val="000000"/>
          <w:sz w:val="20"/>
          <w:szCs w:val="20"/>
        </w:rPr>
        <w:t xml:space="preserve">Multicriteria Evaluation of Randomized Response Techniques for Population Mean </w:t>
      </w:r>
      <w:hyperlink r:id="rId14" w:history="1">
        <w:r w:rsidRPr="00311885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https://doi.org/10.54694/stat.2023.32</w:t>
        </w:r>
      </w:hyperlink>
    </w:p>
    <w:p w14:paraId="447859D4" w14:textId="77777777" w:rsidR="000533EB" w:rsidRPr="00D91D81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81AFF3E" w14:textId="77777777" w:rsidR="000533EB" w:rsidRPr="00311885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311885">
        <w:rPr>
          <w:rFonts w:ascii="Arial" w:hAnsi="Arial" w:cs="Arial"/>
          <w:b/>
          <w:color w:val="000000"/>
          <w:sz w:val="20"/>
          <w:szCs w:val="20"/>
        </w:rPr>
        <w:t>Aamir Ahmad Teeli, Suadat Hussain Wani, Adil Hussain Reshi</w:t>
      </w:r>
    </w:p>
    <w:p w14:paraId="1EBED693" w14:textId="77777777" w:rsidR="000533EB" w:rsidRPr="00311885" w:rsidRDefault="000533EB" w:rsidP="00053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20"/>
          <w:szCs w:val="20"/>
        </w:rPr>
      </w:pPr>
      <w:r w:rsidRPr="00311885">
        <w:rPr>
          <w:rFonts w:ascii="Arial" w:hAnsi="Arial" w:cs="Arial"/>
          <w:i/>
          <w:color w:val="000000"/>
          <w:sz w:val="20"/>
          <w:szCs w:val="20"/>
        </w:rPr>
        <w:t>Determinants of Total Factor Productivity in India: an Econometric Analysis</w:t>
      </w:r>
    </w:p>
    <w:p w14:paraId="1A3A9235" w14:textId="77777777" w:rsidR="000533EB" w:rsidRPr="00311885" w:rsidRDefault="00C07B2B" w:rsidP="000533E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hyperlink r:id="rId15" w:history="1">
        <w:r w:rsidR="000533EB" w:rsidRPr="00311885">
          <w:rPr>
            <w:rStyle w:val="Hypertextovodkaz"/>
            <w:rFonts w:ascii="Arial" w:eastAsia="Calibri" w:hAnsi="Arial" w:cs="Arial"/>
            <w:i/>
            <w:iCs/>
            <w:sz w:val="20"/>
            <w:szCs w:val="20"/>
          </w:rPr>
          <w:t>https://doi.org/10.54694/stat.2023.15</w:t>
        </w:r>
      </w:hyperlink>
    </w:p>
    <w:p w14:paraId="46D26194" w14:textId="0FF64488" w:rsidR="000533EB" w:rsidRDefault="000533EB" w:rsidP="00590476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75AFE01B" w14:textId="77777777" w:rsidR="000533EB" w:rsidRDefault="000533EB" w:rsidP="00590476">
      <w:pPr>
        <w:spacing w:after="0" w:line="240" w:lineRule="auto"/>
        <w:jc w:val="both"/>
        <w:rPr>
          <w:rStyle w:val="markedcontent"/>
          <w:rFonts w:ascii="Arial" w:hAnsi="Arial" w:cs="Arial"/>
          <w:sz w:val="20"/>
          <w:szCs w:val="20"/>
        </w:rPr>
      </w:pPr>
    </w:p>
    <w:p w14:paraId="73496FCC" w14:textId="1CBE3784" w:rsidR="00312A29" w:rsidRPr="004B350E" w:rsidRDefault="00481E80" w:rsidP="00590476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D11ED5">
        <w:rPr>
          <w:rFonts w:ascii="Arial" w:hAnsi="Arial" w:cs="Arial"/>
          <w:sz w:val="20"/>
          <w:szCs w:val="20"/>
        </w:rPr>
        <w:t xml:space="preserve">Celé nové číslo časopisu </w:t>
      </w:r>
      <w:r w:rsidR="009B6670" w:rsidRPr="00D11ED5">
        <w:rPr>
          <w:rFonts w:ascii="Arial" w:hAnsi="Arial" w:cs="Arial"/>
          <w:i/>
          <w:sz w:val="20"/>
          <w:szCs w:val="20"/>
        </w:rPr>
        <w:t>Statistika</w:t>
      </w:r>
      <w:r w:rsidR="009B6670" w:rsidRPr="00D11ED5">
        <w:rPr>
          <w:rFonts w:ascii="Arial" w:hAnsi="Arial" w:cs="Arial"/>
          <w:sz w:val="20"/>
          <w:szCs w:val="20"/>
        </w:rPr>
        <w:t xml:space="preserve"> </w:t>
      </w:r>
      <w:r w:rsidRPr="00D11ED5">
        <w:rPr>
          <w:rFonts w:ascii="Arial" w:hAnsi="Arial" w:cs="Arial"/>
          <w:sz w:val="20"/>
          <w:szCs w:val="20"/>
        </w:rPr>
        <w:t xml:space="preserve">je ve </w:t>
      </w:r>
      <w:r>
        <w:rPr>
          <w:rFonts w:ascii="Arial" w:hAnsi="Arial" w:cs="Arial"/>
          <w:sz w:val="20"/>
          <w:szCs w:val="20"/>
        </w:rPr>
        <w:t>formátu pdf</w:t>
      </w:r>
      <w:r w:rsidR="009B667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zdarma ke stažení na </w:t>
      </w:r>
      <w:hyperlink r:id="rId16" w:history="1">
        <w:r w:rsidRPr="00083E9F">
          <w:rPr>
            <w:rStyle w:val="Hypertextovodkaz"/>
            <w:rFonts w:ascii="Arial" w:hAnsi="Arial" w:cs="Arial"/>
            <w:sz w:val="20"/>
            <w:szCs w:val="20"/>
          </w:rPr>
          <w:t>webových stránkách ČSÚ</w:t>
        </w:r>
      </w:hyperlink>
      <w:bookmarkStart w:id="0" w:name="_GoBack"/>
      <w:bookmarkEnd w:id="0"/>
      <w:r>
        <w:rPr>
          <w:rFonts w:ascii="Arial" w:hAnsi="Arial" w:cs="Arial"/>
          <w:sz w:val="20"/>
          <w:szCs w:val="20"/>
        </w:rPr>
        <w:t>, tištěný časopis je možné zakoupit v prodejně ČSÚ v Praze.</w:t>
      </w:r>
    </w:p>
    <w:p w14:paraId="685F3148" w14:textId="77777777" w:rsidR="00590476" w:rsidRDefault="00590476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66F349C3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</w:p>
    <w:p w14:paraId="547F096D" w14:textId="77777777" w:rsidR="00C21577" w:rsidRPr="002817E0" w:rsidRDefault="00C21577" w:rsidP="00C2157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817E0">
        <w:rPr>
          <w:rFonts w:ascii="Arial" w:hAnsi="Arial" w:cs="Arial"/>
          <w:i/>
          <w:sz w:val="20"/>
          <w:szCs w:val="20"/>
        </w:rPr>
        <w:t>Statistika: Statistics and Econony Journal</w:t>
      </w:r>
    </w:p>
    <w:p w14:paraId="0F9AA019" w14:textId="536CD10D" w:rsidR="004A466C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  <w:r w:rsidR="00590476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výkonný redaktor</w:t>
      </w:r>
    </w:p>
    <w:p w14:paraId="2C0C38F0" w14:textId="0405652F" w:rsidR="00A11F63" w:rsidRPr="009B6670" w:rsidRDefault="004A466C" w:rsidP="004A46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7" w:history="1">
        <w:r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RPr="009B6670" w:rsidSect="009D2AA7">
      <w:headerReference w:type="default" r:id="rId18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C1C5E" w14:textId="77777777" w:rsidR="00F5408C" w:rsidRDefault="00F5408C" w:rsidP="00A579D5">
      <w:r>
        <w:separator/>
      </w:r>
    </w:p>
  </w:endnote>
  <w:endnote w:type="continuationSeparator" w:id="0">
    <w:p w14:paraId="0CBE91F1" w14:textId="77777777" w:rsidR="00F5408C" w:rsidRDefault="00F5408C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E0207" w14:textId="77777777" w:rsidR="00F5408C" w:rsidRDefault="00F5408C" w:rsidP="00A579D5">
      <w:r>
        <w:separator/>
      </w:r>
    </w:p>
  </w:footnote>
  <w:footnote w:type="continuationSeparator" w:id="0">
    <w:p w14:paraId="3F21A970" w14:textId="77777777" w:rsidR="00F5408C" w:rsidRDefault="00F5408C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13A5F"/>
    <w:rsid w:val="0002147E"/>
    <w:rsid w:val="00024043"/>
    <w:rsid w:val="00030623"/>
    <w:rsid w:val="00032681"/>
    <w:rsid w:val="00036C68"/>
    <w:rsid w:val="000404D7"/>
    <w:rsid w:val="000533EB"/>
    <w:rsid w:val="000578EA"/>
    <w:rsid w:val="00083E9F"/>
    <w:rsid w:val="00095EAE"/>
    <w:rsid w:val="000A0FD2"/>
    <w:rsid w:val="000A60B1"/>
    <w:rsid w:val="000C22BD"/>
    <w:rsid w:val="000D3887"/>
    <w:rsid w:val="000D4D78"/>
    <w:rsid w:val="000D6FCF"/>
    <w:rsid w:val="000E0A5B"/>
    <w:rsid w:val="000E6A40"/>
    <w:rsid w:val="00104453"/>
    <w:rsid w:val="00110D70"/>
    <w:rsid w:val="001206EF"/>
    <w:rsid w:val="0012303A"/>
    <w:rsid w:val="00144481"/>
    <w:rsid w:val="00150CEA"/>
    <w:rsid w:val="00153F85"/>
    <w:rsid w:val="00157EFA"/>
    <w:rsid w:val="00164F8E"/>
    <w:rsid w:val="00165C83"/>
    <w:rsid w:val="0017329A"/>
    <w:rsid w:val="00182D76"/>
    <w:rsid w:val="00184136"/>
    <w:rsid w:val="0019438D"/>
    <w:rsid w:val="001C5FB4"/>
    <w:rsid w:val="001C697A"/>
    <w:rsid w:val="001D0298"/>
    <w:rsid w:val="001F2C4C"/>
    <w:rsid w:val="00201777"/>
    <w:rsid w:val="00211D69"/>
    <w:rsid w:val="00212992"/>
    <w:rsid w:val="00212DAE"/>
    <w:rsid w:val="00214005"/>
    <w:rsid w:val="00220A8C"/>
    <w:rsid w:val="002210CD"/>
    <w:rsid w:val="00241904"/>
    <w:rsid w:val="00253065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E2F19"/>
    <w:rsid w:val="00312A29"/>
    <w:rsid w:val="00312C41"/>
    <w:rsid w:val="00326F3E"/>
    <w:rsid w:val="00330927"/>
    <w:rsid w:val="00343E3E"/>
    <w:rsid w:val="00345FA5"/>
    <w:rsid w:val="00355B37"/>
    <w:rsid w:val="003621CA"/>
    <w:rsid w:val="003720B6"/>
    <w:rsid w:val="00373886"/>
    <w:rsid w:val="00376617"/>
    <w:rsid w:val="003805A7"/>
    <w:rsid w:val="00381459"/>
    <w:rsid w:val="003A6764"/>
    <w:rsid w:val="003B61F8"/>
    <w:rsid w:val="003C3475"/>
    <w:rsid w:val="003E3A80"/>
    <w:rsid w:val="003E7578"/>
    <w:rsid w:val="004031B9"/>
    <w:rsid w:val="00434906"/>
    <w:rsid w:val="004364B5"/>
    <w:rsid w:val="00436BCF"/>
    <w:rsid w:val="00455C3D"/>
    <w:rsid w:val="00465B42"/>
    <w:rsid w:val="00480BBF"/>
    <w:rsid w:val="00481788"/>
    <w:rsid w:val="00481E80"/>
    <w:rsid w:val="00493ED4"/>
    <w:rsid w:val="004A466C"/>
    <w:rsid w:val="004B0004"/>
    <w:rsid w:val="004B350E"/>
    <w:rsid w:val="004C4001"/>
    <w:rsid w:val="004C556F"/>
    <w:rsid w:val="004D1D1F"/>
    <w:rsid w:val="004D3AC8"/>
    <w:rsid w:val="004F18F4"/>
    <w:rsid w:val="004F3E77"/>
    <w:rsid w:val="00502237"/>
    <w:rsid w:val="0053617C"/>
    <w:rsid w:val="005601A1"/>
    <w:rsid w:val="00566D63"/>
    <w:rsid w:val="00571B23"/>
    <w:rsid w:val="00590476"/>
    <w:rsid w:val="00595C8E"/>
    <w:rsid w:val="005A7F5A"/>
    <w:rsid w:val="005C44FD"/>
    <w:rsid w:val="005D2205"/>
    <w:rsid w:val="00602AD3"/>
    <w:rsid w:val="006043E1"/>
    <w:rsid w:val="006229BA"/>
    <w:rsid w:val="00632608"/>
    <w:rsid w:val="00666294"/>
    <w:rsid w:val="00685D85"/>
    <w:rsid w:val="00687992"/>
    <w:rsid w:val="0069654F"/>
    <w:rsid w:val="00696BEB"/>
    <w:rsid w:val="006B1B10"/>
    <w:rsid w:val="006B216F"/>
    <w:rsid w:val="006B5D3D"/>
    <w:rsid w:val="006B61CD"/>
    <w:rsid w:val="006C0358"/>
    <w:rsid w:val="006C3B4B"/>
    <w:rsid w:val="006C5D86"/>
    <w:rsid w:val="00722E77"/>
    <w:rsid w:val="00732615"/>
    <w:rsid w:val="00733B4B"/>
    <w:rsid w:val="00733FFC"/>
    <w:rsid w:val="0073766F"/>
    <w:rsid w:val="007431C8"/>
    <w:rsid w:val="00743CFE"/>
    <w:rsid w:val="0078188A"/>
    <w:rsid w:val="007A364D"/>
    <w:rsid w:val="007A44BC"/>
    <w:rsid w:val="007A497C"/>
    <w:rsid w:val="007B2164"/>
    <w:rsid w:val="007C29C0"/>
    <w:rsid w:val="007F2CD7"/>
    <w:rsid w:val="007F3020"/>
    <w:rsid w:val="007F3E78"/>
    <w:rsid w:val="007F7B45"/>
    <w:rsid w:val="00810691"/>
    <w:rsid w:val="0081139A"/>
    <w:rsid w:val="008115ED"/>
    <w:rsid w:val="008257BA"/>
    <w:rsid w:val="0084327C"/>
    <w:rsid w:val="008558BD"/>
    <w:rsid w:val="008566D0"/>
    <w:rsid w:val="00890C2F"/>
    <w:rsid w:val="00892EB2"/>
    <w:rsid w:val="008B2D50"/>
    <w:rsid w:val="008B60E6"/>
    <w:rsid w:val="008C0A40"/>
    <w:rsid w:val="008C6034"/>
    <w:rsid w:val="008E5031"/>
    <w:rsid w:val="008E5AF9"/>
    <w:rsid w:val="008F1350"/>
    <w:rsid w:val="008F3A92"/>
    <w:rsid w:val="0090756C"/>
    <w:rsid w:val="00911485"/>
    <w:rsid w:val="00914CD1"/>
    <w:rsid w:val="00916890"/>
    <w:rsid w:val="009259EC"/>
    <w:rsid w:val="00946A59"/>
    <w:rsid w:val="009537AD"/>
    <w:rsid w:val="0097166D"/>
    <w:rsid w:val="0097325F"/>
    <w:rsid w:val="00975E0F"/>
    <w:rsid w:val="009B6670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75DA"/>
    <w:rsid w:val="00A579D5"/>
    <w:rsid w:val="00A64165"/>
    <w:rsid w:val="00A7391E"/>
    <w:rsid w:val="00A74691"/>
    <w:rsid w:val="00A84608"/>
    <w:rsid w:val="00AA1157"/>
    <w:rsid w:val="00AA4853"/>
    <w:rsid w:val="00AA4DAF"/>
    <w:rsid w:val="00AA612F"/>
    <w:rsid w:val="00AB4266"/>
    <w:rsid w:val="00AB7661"/>
    <w:rsid w:val="00AC09D0"/>
    <w:rsid w:val="00AE1879"/>
    <w:rsid w:val="00AE4A05"/>
    <w:rsid w:val="00B17149"/>
    <w:rsid w:val="00B24A21"/>
    <w:rsid w:val="00B27E76"/>
    <w:rsid w:val="00B32337"/>
    <w:rsid w:val="00B369F7"/>
    <w:rsid w:val="00B37272"/>
    <w:rsid w:val="00B540BA"/>
    <w:rsid w:val="00B63ADC"/>
    <w:rsid w:val="00B65C47"/>
    <w:rsid w:val="00B822D5"/>
    <w:rsid w:val="00B8536E"/>
    <w:rsid w:val="00BA25D9"/>
    <w:rsid w:val="00BC06A1"/>
    <w:rsid w:val="00BC328B"/>
    <w:rsid w:val="00BD2541"/>
    <w:rsid w:val="00BD4258"/>
    <w:rsid w:val="00BE3A9E"/>
    <w:rsid w:val="00BE5F51"/>
    <w:rsid w:val="00BE7570"/>
    <w:rsid w:val="00C07B2B"/>
    <w:rsid w:val="00C12895"/>
    <w:rsid w:val="00C21577"/>
    <w:rsid w:val="00C72376"/>
    <w:rsid w:val="00C825B2"/>
    <w:rsid w:val="00C9614D"/>
    <w:rsid w:val="00CA374C"/>
    <w:rsid w:val="00CB16DB"/>
    <w:rsid w:val="00CB6854"/>
    <w:rsid w:val="00CD0E04"/>
    <w:rsid w:val="00CE68C3"/>
    <w:rsid w:val="00CF61D1"/>
    <w:rsid w:val="00D036BE"/>
    <w:rsid w:val="00D11ED5"/>
    <w:rsid w:val="00D31B69"/>
    <w:rsid w:val="00D43306"/>
    <w:rsid w:val="00D53258"/>
    <w:rsid w:val="00D72009"/>
    <w:rsid w:val="00DA0E08"/>
    <w:rsid w:val="00DA1C20"/>
    <w:rsid w:val="00DA7CD4"/>
    <w:rsid w:val="00DB2C79"/>
    <w:rsid w:val="00DB3E1C"/>
    <w:rsid w:val="00DC5581"/>
    <w:rsid w:val="00DC5726"/>
    <w:rsid w:val="00DE00CE"/>
    <w:rsid w:val="00DE58CF"/>
    <w:rsid w:val="00DF598A"/>
    <w:rsid w:val="00E01087"/>
    <w:rsid w:val="00E03D3D"/>
    <w:rsid w:val="00E048D8"/>
    <w:rsid w:val="00E1516E"/>
    <w:rsid w:val="00E20E89"/>
    <w:rsid w:val="00E22B2C"/>
    <w:rsid w:val="00E24C22"/>
    <w:rsid w:val="00E27329"/>
    <w:rsid w:val="00E37B07"/>
    <w:rsid w:val="00E40C5A"/>
    <w:rsid w:val="00E43391"/>
    <w:rsid w:val="00E5231C"/>
    <w:rsid w:val="00E729F7"/>
    <w:rsid w:val="00E762E4"/>
    <w:rsid w:val="00E77CD5"/>
    <w:rsid w:val="00EE5F77"/>
    <w:rsid w:val="00EE7DAA"/>
    <w:rsid w:val="00EF20DA"/>
    <w:rsid w:val="00F00896"/>
    <w:rsid w:val="00F0504C"/>
    <w:rsid w:val="00F5408C"/>
    <w:rsid w:val="00F57235"/>
    <w:rsid w:val="00F61EFB"/>
    <w:rsid w:val="00F70180"/>
    <w:rsid w:val="00F76A14"/>
    <w:rsid w:val="00F76CF9"/>
    <w:rsid w:val="00F7742C"/>
    <w:rsid w:val="00F77E55"/>
    <w:rsid w:val="00FC1DA4"/>
    <w:rsid w:val="00FD43A2"/>
    <w:rsid w:val="00FE199C"/>
    <w:rsid w:val="00FE19D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30938"/>
  <w15:docId w15:val="{3DAE28A8-7FB9-4961-8471-345843EF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paragraph" w:customStyle="1" w:styleId="Pa32">
    <w:name w:val="Pa3_2"/>
    <w:basedOn w:val="Normln"/>
    <w:next w:val="Normln"/>
    <w:uiPriority w:val="99"/>
    <w:rsid w:val="009B6670"/>
    <w:pPr>
      <w:autoSpaceDE w:val="0"/>
      <w:autoSpaceDN w:val="0"/>
      <w:adjustRightInd w:val="0"/>
      <w:spacing w:after="0" w:line="161" w:lineRule="atLeast"/>
    </w:pPr>
    <w:rPr>
      <w:rFonts w:ascii="Myriad Pro Light" w:eastAsia="Calibri" w:hAnsi="Myriad Pro Light"/>
      <w:sz w:val="24"/>
      <w:szCs w:val="24"/>
    </w:rPr>
  </w:style>
  <w:style w:type="paragraph" w:customStyle="1" w:styleId="Default">
    <w:name w:val="Default"/>
    <w:rsid w:val="00BE757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E7570"/>
    <w:pPr>
      <w:spacing w:line="16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D11ED5"/>
    <w:pPr>
      <w:spacing w:line="161" w:lineRule="atLeast"/>
    </w:pPr>
    <w:rPr>
      <w:rFonts w:cs="Times New Roman"/>
      <w:color w:val="auto"/>
    </w:rPr>
  </w:style>
  <w:style w:type="character" w:customStyle="1" w:styleId="markedcontent">
    <w:name w:val="markedcontent"/>
    <w:basedOn w:val="Standardnpsmoodstavce"/>
    <w:rsid w:val="004B3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54694/stat.2023.8" TargetMode="External"/><Relationship Id="rId13" Type="http://schemas.openxmlformats.org/officeDocument/2006/relationships/hyperlink" Target="https://doi.org/10.54694/stat.2023.1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54694/stat.2023.26" TargetMode="External"/><Relationship Id="rId17" Type="http://schemas.openxmlformats.org/officeDocument/2006/relationships/hyperlink" Target="mailto:statistika.journal@czso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zso.cz/csu/czso/statistika-statistics-and-economy-journal-mon4cp65n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54694/stat.2023.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54694/stat.2023.15" TargetMode="External"/><Relationship Id="rId10" Type="http://schemas.openxmlformats.org/officeDocument/2006/relationships/hyperlink" Target="https://doi.org/10.54694/stat.2023.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54694/stat.2023.9" TargetMode="External"/><Relationship Id="rId14" Type="http://schemas.openxmlformats.org/officeDocument/2006/relationships/hyperlink" Target="https://doi.org/10.54694/stat.2023.3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4A777-3113-4CCF-AFA7-C2BCDDBC8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3</TotalTime>
  <Pages>1</Pages>
  <Words>324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Tuček Petr</cp:lastModifiedBy>
  <cp:revision>4</cp:revision>
  <dcterms:created xsi:type="dcterms:W3CDTF">2023-12-12T08:23:00Z</dcterms:created>
  <dcterms:modified xsi:type="dcterms:W3CDTF">2023-12-13T11:31:00Z</dcterms:modified>
</cp:coreProperties>
</file>