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6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9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10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11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drawings/drawing1.xml" ContentType="application/vnd.openxmlformats-officedocument.drawingml.chartshapes+xml"/>
  <Override PartName="/word/charts/chart12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3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4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theme/themeOverride1.xml" ContentType="application/vnd.openxmlformats-officedocument.themeOverride+xml"/>
  <Override PartName="/word/charts/chart15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6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theme/themeOverride2.xml" ContentType="application/vnd.openxmlformats-officedocument.themeOverride+xml"/>
  <Override PartName="/word/charts/chart17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8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9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theme/themeOverride3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027BF" w14:textId="5966038B" w:rsidR="00F74230" w:rsidRPr="00F74230" w:rsidRDefault="007033AB" w:rsidP="00F74230">
      <w:pPr>
        <w:pStyle w:val="Nadpis1"/>
        <w:numPr>
          <w:ilvl w:val="0"/>
          <w:numId w:val="0"/>
        </w:numPr>
        <w:spacing w:before="1320"/>
        <w:ind w:left="431" w:hanging="431"/>
        <w:rPr>
          <w:color w:val="BD1B21"/>
          <w:sz w:val="56"/>
          <w:szCs w:val="56"/>
        </w:rPr>
      </w:pPr>
      <w:bookmarkStart w:id="0" w:name="_Toc408832671"/>
      <w:r w:rsidRPr="007D4834">
        <w:rPr>
          <w:b w:val="0"/>
          <w:bCs w:val="0"/>
          <w:noProof/>
          <w:color w:val="BD1B21"/>
          <w:sz w:val="56"/>
          <w:szCs w:val="56"/>
          <w:lang w:val="cs-CZ" w:eastAsia="cs-CZ"/>
        </w:rPr>
        <w:drawing>
          <wp:anchor distT="0" distB="0" distL="114300" distR="114300" simplePos="0" relativeHeight="251659264" behindDoc="0" locked="0" layoutInCell="1" allowOverlap="1" wp14:anchorId="27E16D8E" wp14:editId="21D6C490">
            <wp:simplePos x="0" y="0"/>
            <wp:positionH relativeFrom="margin">
              <wp:align>left</wp:align>
            </wp:positionH>
            <wp:positionV relativeFrom="page">
              <wp:posOffset>504825</wp:posOffset>
            </wp:positionV>
            <wp:extent cx="6000750" cy="438150"/>
            <wp:effectExtent l="0" t="0" r="0" b="0"/>
            <wp:wrapNone/>
            <wp:docPr id="26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4391" b="57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4970" w:rsidRPr="007D4834">
        <w:rPr>
          <w:color w:val="BD1B21"/>
          <w:sz w:val="56"/>
          <w:szCs w:val="56"/>
        </w:rPr>
        <w:t xml:space="preserve">Životní podmínky </w:t>
      </w:r>
      <w:r w:rsidR="00E67DEF" w:rsidRPr="007D4834">
        <w:rPr>
          <w:color w:val="BD1B21"/>
          <w:sz w:val="56"/>
          <w:szCs w:val="56"/>
        </w:rPr>
        <w:t>20</w:t>
      </w:r>
      <w:r w:rsidR="00C376E1" w:rsidRPr="007D4834">
        <w:rPr>
          <w:color w:val="BD1B21"/>
          <w:sz w:val="56"/>
          <w:szCs w:val="56"/>
          <w:lang w:val="cs-CZ"/>
        </w:rPr>
        <w:t>2</w:t>
      </w:r>
      <w:r w:rsidR="00D962EB">
        <w:rPr>
          <w:color w:val="BD1B21"/>
          <w:sz w:val="56"/>
          <w:szCs w:val="56"/>
          <w:lang w:val="cs-CZ"/>
        </w:rPr>
        <w:t>3</w:t>
      </w:r>
    </w:p>
    <w:p w14:paraId="40D46468" w14:textId="3094899D" w:rsidR="00034970" w:rsidRPr="00661496" w:rsidRDefault="00034970" w:rsidP="0046357B">
      <w:pPr>
        <w:pStyle w:val="2Text0"/>
        <w:rPr>
          <w:b/>
          <w:sz w:val="26"/>
          <w:szCs w:val="26"/>
        </w:rPr>
      </w:pPr>
      <w:r w:rsidRPr="00661496">
        <w:rPr>
          <w:b/>
          <w:sz w:val="26"/>
          <w:szCs w:val="26"/>
        </w:rPr>
        <w:t>Šetření Životní podmínky</w:t>
      </w:r>
    </w:p>
    <w:p w14:paraId="0725345E" w14:textId="4A58947D" w:rsidR="00025FAC" w:rsidRDefault="00C406A3" w:rsidP="0046357B">
      <w:pPr>
        <w:spacing w:after="120" w:line="288" w:lineRule="auto"/>
        <w:jc w:val="both"/>
        <w:rPr>
          <w:rFonts w:ascii="Arial Narrow" w:hAnsi="Arial Narrow"/>
          <w:sz w:val="24"/>
          <w:szCs w:val="32"/>
        </w:rPr>
      </w:pPr>
      <w:r w:rsidRPr="00C406A3">
        <w:rPr>
          <w:rFonts w:ascii="Arial Narrow" w:hAnsi="Arial Narrow"/>
          <w:sz w:val="24"/>
          <w:szCs w:val="32"/>
        </w:rPr>
        <w:t>Výběrové šetření</w:t>
      </w:r>
      <w:r w:rsidR="00C376E1">
        <w:rPr>
          <w:rFonts w:ascii="Arial Narrow" w:hAnsi="Arial Narrow"/>
          <w:sz w:val="24"/>
          <w:szCs w:val="32"/>
        </w:rPr>
        <w:t xml:space="preserve"> </w:t>
      </w:r>
      <w:r w:rsidR="000C5447">
        <w:rPr>
          <w:rFonts w:ascii="Arial Narrow" w:hAnsi="Arial Narrow"/>
          <w:sz w:val="24"/>
          <w:szCs w:val="32"/>
        </w:rPr>
        <w:t>p</w:t>
      </w:r>
      <w:r w:rsidR="00C376E1">
        <w:rPr>
          <w:rFonts w:ascii="Arial Narrow" w:hAnsi="Arial Narrow"/>
          <w:sz w:val="24"/>
          <w:szCs w:val="32"/>
        </w:rPr>
        <w:t>od</w:t>
      </w:r>
      <w:r w:rsidRPr="000C5447">
        <w:rPr>
          <w:rFonts w:ascii="Arial Narrow" w:hAnsi="Arial Narrow"/>
          <w:spacing w:val="-20"/>
          <w:sz w:val="24"/>
          <w:szCs w:val="32"/>
        </w:rPr>
        <w:t> </w:t>
      </w:r>
      <w:r>
        <w:rPr>
          <w:rFonts w:ascii="Arial Narrow" w:hAnsi="Arial Narrow"/>
          <w:sz w:val="24"/>
          <w:szCs w:val="32"/>
        </w:rPr>
        <w:t xml:space="preserve">názvem </w:t>
      </w:r>
      <w:r w:rsidRPr="00FA64C3">
        <w:rPr>
          <w:rFonts w:ascii="Arial Narrow" w:hAnsi="Arial Narrow"/>
          <w:i/>
          <w:sz w:val="24"/>
          <w:szCs w:val="32"/>
        </w:rPr>
        <w:t>Životní</w:t>
      </w:r>
      <w:r w:rsidRPr="000C5447">
        <w:rPr>
          <w:rFonts w:ascii="Arial Narrow" w:hAnsi="Arial Narrow"/>
          <w:i/>
          <w:spacing w:val="-20"/>
          <w:sz w:val="24"/>
          <w:szCs w:val="32"/>
        </w:rPr>
        <w:t xml:space="preserve"> </w:t>
      </w:r>
      <w:r w:rsidRPr="00FA64C3">
        <w:rPr>
          <w:rFonts w:ascii="Arial Narrow" w:hAnsi="Arial Narrow"/>
          <w:i/>
          <w:sz w:val="24"/>
          <w:szCs w:val="32"/>
        </w:rPr>
        <w:t>podmínky</w:t>
      </w:r>
      <w:r w:rsidR="00025FAC">
        <w:rPr>
          <w:rFonts w:ascii="Arial Narrow" w:hAnsi="Arial Narrow"/>
          <w:sz w:val="24"/>
          <w:szCs w:val="32"/>
        </w:rPr>
        <w:t xml:space="preserve"> p</w:t>
      </w:r>
      <w:r w:rsidR="00025FAC" w:rsidRPr="00C406A3">
        <w:rPr>
          <w:rFonts w:ascii="Arial Narrow" w:hAnsi="Arial Narrow"/>
          <w:sz w:val="24"/>
          <w:szCs w:val="32"/>
        </w:rPr>
        <w:t>oskytuje informace o životní úrovni českých domácností</w:t>
      </w:r>
      <w:r w:rsidR="00C376E1">
        <w:rPr>
          <w:rFonts w:ascii="Arial Narrow" w:hAnsi="Arial Narrow"/>
          <w:sz w:val="24"/>
          <w:szCs w:val="32"/>
        </w:rPr>
        <w:t>. V</w:t>
      </w:r>
      <w:r>
        <w:rPr>
          <w:rFonts w:ascii="Arial Narrow" w:hAnsi="Arial Narrow"/>
          <w:sz w:val="24"/>
          <w:szCs w:val="32"/>
        </w:rPr>
        <w:t xml:space="preserve"> České republice </w:t>
      </w:r>
      <w:r w:rsidR="00C376E1">
        <w:rPr>
          <w:rFonts w:ascii="Arial Narrow" w:hAnsi="Arial Narrow"/>
          <w:sz w:val="24"/>
          <w:szCs w:val="32"/>
        </w:rPr>
        <w:t xml:space="preserve">probíhá již </w:t>
      </w:r>
      <w:r>
        <w:rPr>
          <w:rFonts w:ascii="Arial Narrow" w:hAnsi="Arial Narrow"/>
          <w:sz w:val="24"/>
          <w:szCs w:val="32"/>
        </w:rPr>
        <w:t>od roku 2005</w:t>
      </w:r>
      <w:r w:rsidR="00C376E1">
        <w:rPr>
          <w:rFonts w:ascii="Arial Narrow" w:hAnsi="Arial Narrow"/>
          <w:sz w:val="24"/>
          <w:szCs w:val="32"/>
        </w:rPr>
        <w:t xml:space="preserve"> jakožto národní verze </w:t>
      </w:r>
      <w:r>
        <w:rPr>
          <w:rFonts w:ascii="Arial Narrow" w:hAnsi="Arial Narrow"/>
          <w:sz w:val="24"/>
          <w:szCs w:val="32"/>
        </w:rPr>
        <w:t xml:space="preserve">evropského statistického </w:t>
      </w:r>
      <w:r w:rsidR="004728DB">
        <w:rPr>
          <w:rFonts w:ascii="Arial Narrow" w:hAnsi="Arial Narrow"/>
          <w:sz w:val="24"/>
          <w:szCs w:val="32"/>
        </w:rPr>
        <w:t xml:space="preserve">zjišťování  </w:t>
      </w:r>
      <w:r w:rsidRPr="009D31DA">
        <w:rPr>
          <w:rFonts w:ascii="Arial Narrow" w:hAnsi="Arial Narrow"/>
          <w:sz w:val="24"/>
          <w:szCs w:val="32"/>
        </w:rPr>
        <w:t>EU</w:t>
      </w:r>
      <w:r>
        <w:rPr>
          <w:rFonts w:ascii="Arial Narrow" w:hAnsi="Arial Narrow"/>
          <w:sz w:val="24"/>
          <w:szCs w:val="32"/>
        </w:rPr>
        <w:t>-</w:t>
      </w:r>
      <w:r w:rsidRPr="009D31DA">
        <w:rPr>
          <w:rFonts w:ascii="Arial Narrow" w:hAnsi="Arial Narrow"/>
          <w:sz w:val="24"/>
          <w:szCs w:val="32"/>
        </w:rPr>
        <w:t>SILC (European Union</w:t>
      </w:r>
      <w:r>
        <w:rPr>
          <w:rFonts w:ascii="Arial Narrow" w:hAnsi="Arial Narrow"/>
          <w:sz w:val="24"/>
          <w:szCs w:val="32"/>
        </w:rPr>
        <w:t xml:space="preserve"> – </w:t>
      </w:r>
      <w:r w:rsidRPr="009D31DA">
        <w:rPr>
          <w:rFonts w:ascii="Arial Narrow" w:hAnsi="Arial Narrow"/>
          <w:sz w:val="24"/>
          <w:szCs w:val="32"/>
        </w:rPr>
        <w:t>Statistics o</w:t>
      </w:r>
      <w:r>
        <w:rPr>
          <w:rFonts w:ascii="Arial Narrow" w:hAnsi="Arial Narrow"/>
          <w:sz w:val="24"/>
          <w:szCs w:val="32"/>
        </w:rPr>
        <w:t>n Income and Living Conditions).</w:t>
      </w:r>
    </w:p>
    <w:p w14:paraId="52E015C0" w14:textId="3A02BA98" w:rsidR="00664E38" w:rsidRPr="00996EED" w:rsidRDefault="000C5447" w:rsidP="00664E38">
      <w:pPr>
        <w:spacing w:after="120" w:line="288" w:lineRule="auto"/>
        <w:jc w:val="both"/>
        <w:rPr>
          <w:rFonts w:ascii="Arial Narrow" w:hAnsi="Arial Narrow"/>
          <w:sz w:val="24"/>
          <w:szCs w:val="32"/>
        </w:rPr>
      </w:pPr>
      <w:r>
        <w:rPr>
          <w:rFonts w:ascii="Arial Narrow" w:hAnsi="Arial Narrow"/>
          <w:sz w:val="24"/>
          <w:szCs w:val="32"/>
        </w:rPr>
        <w:t>Podobně j</w:t>
      </w:r>
      <w:r w:rsidR="00025FAC">
        <w:rPr>
          <w:rFonts w:ascii="Arial Narrow" w:hAnsi="Arial Narrow"/>
          <w:sz w:val="24"/>
          <w:szCs w:val="32"/>
        </w:rPr>
        <w:t>ako v </w:t>
      </w:r>
      <w:r w:rsidR="000E10F9">
        <w:rPr>
          <w:rFonts w:ascii="Arial Narrow" w:hAnsi="Arial Narrow"/>
          <w:sz w:val="24"/>
          <w:szCs w:val="32"/>
        </w:rPr>
        <w:t>předchozích</w:t>
      </w:r>
      <w:r w:rsidR="00025FAC">
        <w:rPr>
          <w:rFonts w:ascii="Arial Narrow" w:hAnsi="Arial Narrow"/>
          <w:sz w:val="24"/>
          <w:szCs w:val="32"/>
        </w:rPr>
        <w:t xml:space="preserve"> letech bylo </w:t>
      </w:r>
      <w:r w:rsidR="000E10F9">
        <w:rPr>
          <w:rFonts w:ascii="Arial Narrow" w:hAnsi="Arial Narrow"/>
          <w:sz w:val="24"/>
          <w:szCs w:val="32"/>
        </w:rPr>
        <w:t>v roce 202</w:t>
      </w:r>
      <w:r w:rsidR="004E5465">
        <w:rPr>
          <w:rFonts w:ascii="Arial Narrow" w:hAnsi="Arial Narrow"/>
          <w:sz w:val="24"/>
          <w:szCs w:val="32"/>
        </w:rPr>
        <w:t>3</w:t>
      </w:r>
      <w:r w:rsidR="000E10F9">
        <w:rPr>
          <w:rFonts w:ascii="Arial Narrow" w:hAnsi="Arial Narrow"/>
          <w:sz w:val="24"/>
          <w:szCs w:val="32"/>
        </w:rPr>
        <w:t xml:space="preserve"> </w:t>
      </w:r>
      <w:r w:rsidR="00025FAC">
        <w:rPr>
          <w:rFonts w:ascii="Arial Narrow" w:hAnsi="Arial Narrow"/>
          <w:sz w:val="24"/>
          <w:szCs w:val="32"/>
        </w:rPr>
        <w:t>o</w:t>
      </w:r>
      <w:r w:rsidR="0033001F">
        <w:rPr>
          <w:rFonts w:ascii="Arial Narrow" w:hAnsi="Arial Narrow"/>
          <w:sz w:val="24"/>
          <w:szCs w:val="32"/>
        </w:rPr>
        <w:t xml:space="preserve">sloveno </w:t>
      </w:r>
      <w:r w:rsidR="0033001F" w:rsidRPr="001E457B">
        <w:rPr>
          <w:rFonts w:ascii="Arial Narrow" w:hAnsi="Arial Narrow"/>
          <w:sz w:val="24"/>
          <w:szCs w:val="32"/>
        </w:rPr>
        <w:t>př</w:t>
      </w:r>
      <w:r w:rsidRPr="001E457B">
        <w:rPr>
          <w:rFonts w:ascii="Arial Narrow" w:hAnsi="Arial Narrow"/>
          <w:sz w:val="24"/>
          <w:szCs w:val="32"/>
        </w:rPr>
        <w:t>ibližně 11,5 tisíce domácností</w:t>
      </w:r>
      <w:r>
        <w:rPr>
          <w:rFonts w:ascii="Arial Narrow" w:hAnsi="Arial Narrow"/>
          <w:sz w:val="24"/>
          <w:szCs w:val="32"/>
        </w:rPr>
        <w:t xml:space="preserve"> v</w:t>
      </w:r>
      <w:r w:rsidR="0033001F">
        <w:rPr>
          <w:rFonts w:ascii="Arial Narrow" w:hAnsi="Arial Narrow"/>
          <w:sz w:val="24"/>
          <w:szCs w:val="32"/>
        </w:rPr>
        <w:t>e všech kraj</w:t>
      </w:r>
      <w:r>
        <w:rPr>
          <w:rFonts w:ascii="Arial Narrow" w:hAnsi="Arial Narrow"/>
          <w:sz w:val="24"/>
          <w:szCs w:val="32"/>
        </w:rPr>
        <w:t>ích r</w:t>
      </w:r>
      <w:r w:rsidR="0033001F">
        <w:rPr>
          <w:rFonts w:ascii="Arial Narrow" w:hAnsi="Arial Narrow"/>
          <w:sz w:val="24"/>
          <w:szCs w:val="32"/>
        </w:rPr>
        <w:t xml:space="preserve">epubliky. </w:t>
      </w:r>
      <w:r w:rsidR="000E10F9">
        <w:rPr>
          <w:rFonts w:ascii="Arial Narrow" w:hAnsi="Arial Narrow"/>
          <w:sz w:val="24"/>
          <w:szCs w:val="24"/>
        </w:rPr>
        <w:t>T</w:t>
      </w:r>
      <w:r w:rsidR="00025FAC">
        <w:rPr>
          <w:rFonts w:ascii="Arial Narrow" w:hAnsi="Arial Narrow"/>
          <w:sz w:val="24"/>
          <w:szCs w:val="24"/>
        </w:rPr>
        <w:t>azatelé</w:t>
      </w:r>
      <w:r w:rsidR="00034970" w:rsidRPr="0008215B">
        <w:rPr>
          <w:rFonts w:ascii="Arial Narrow" w:hAnsi="Arial Narrow"/>
          <w:sz w:val="24"/>
          <w:szCs w:val="24"/>
        </w:rPr>
        <w:t xml:space="preserve"> zjišť</w:t>
      </w:r>
      <w:r w:rsidR="00025FAC">
        <w:rPr>
          <w:rFonts w:ascii="Arial Narrow" w:hAnsi="Arial Narrow"/>
          <w:sz w:val="24"/>
          <w:szCs w:val="24"/>
        </w:rPr>
        <w:t>ovali</w:t>
      </w:r>
      <w:r w:rsidR="00034970" w:rsidRPr="0008215B">
        <w:rPr>
          <w:rFonts w:ascii="Arial Narrow" w:hAnsi="Arial Narrow"/>
          <w:sz w:val="24"/>
          <w:szCs w:val="24"/>
        </w:rPr>
        <w:t xml:space="preserve"> údaje o</w:t>
      </w:r>
      <w:r w:rsidR="00190BF7">
        <w:rPr>
          <w:rFonts w:ascii="Arial Narrow" w:hAnsi="Arial Narrow"/>
          <w:sz w:val="24"/>
          <w:szCs w:val="24"/>
        </w:rPr>
        <w:t> </w:t>
      </w:r>
      <w:r w:rsidR="00034970" w:rsidRPr="0008215B">
        <w:rPr>
          <w:rFonts w:ascii="Arial Narrow" w:hAnsi="Arial Narrow"/>
          <w:sz w:val="24"/>
          <w:szCs w:val="24"/>
        </w:rPr>
        <w:t xml:space="preserve">věku, </w:t>
      </w:r>
      <w:r>
        <w:rPr>
          <w:rFonts w:ascii="Arial Narrow" w:hAnsi="Arial Narrow"/>
          <w:sz w:val="24"/>
          <w:szCs w:val="24"/>
        </w:rPr>
        <w:t xml:space="preserve">vzdělání, </w:t>
      </w:r>
      <w:r w:rsidR="00034970" w:rsidRPr="0008215B">
        <w:rPr>
          <w:rFonts w:ascii="Arial Narrow" w:hAnsi="Arial Narrow"/>
          <w:sz w:val="24"/>
          <w:szCs w:val="24"/>
        </w:rPr>
        <w:t>ekonomické aktivitě, zdravotním stavu</w:t>
      </w:r>
      <w:r w:rsidR="00692196">
        <w:rPr>
          <w:rFonts w:ascii="Arial Narrow" w:hAnsi="Arial Narrow"/>
          <w:sz w:val="24"/>
          <w:szCs w:val="24"/>
        </w:rPr>
        <w:t>, sociálních podmínkách</w:t>
      </w:r>
      <w:r w:rsidR="00034970" w:rsidRPr="0008215B">
        <w:rPr>
          <w:rFonts w:ascii="Arial Narrow" w:hAnsi="Arial Narrow"/>
          <w:sz w:val="24"/>
          <w:szCs w:val="24"/>
        </w:rPr>
        <w:t xml:space="preserve"> </w:t>
      </w:r>
      <w:r w:rsidR="008B5990">
        <w:rPr>
          <w:rFonts w:ascii="Arial Narrow" w:hAnsi="Arial Narrow"/>
          <w:sz w:val="24"/>
          <w:szCs w:val="24"/>
        </w:rPr>
        <w:t>a</w:t>
      </w:r>
      <w:r w:rsidR="00357DB5">
        <w:rPr>
          <w:rFonts w:ascii="Arial Narrow" w:hAnsi="Arial Narrow"/>
          <w:sz w:val="24"/>
          <w:szCs w:val="24"/>
        </w:rPr>
        <w:t> </w:t>
      </w:r>
      <w:r w:rsidR="00034970" w:rsidRPr="0008215B">
        <w:rPr>
          <w:rFonts w:ascii="Arial Narrow" w:hAnsi="Arial Narrow"/>
          <w:sz w:val="24"/>
          <w:szCs w:val="24"/>
        </w:rPr>
        <w:t>příjmech</w:t>
      </w:r>
      <w:r w:rsidR="000E10F9">
        <w:rPr>
          <w:rFonts w:ascii="Arial Narrow" w:hAnsi="Arial Narrow"/>
          <w:sz w:val="24"/>
          <w:szCs w:val="24"/>
        </w:rPr>
        <w:t xml:space="preserve"> jednotlivých členů vybraných domácností</w:t>
      </w:r>
      <w:r w:rsidR="00034970" w:rsidRPr="0008215B">
        <w:rPr>
          <w:rFonts w:ascii="Arial Narrow" w:hAnsi="Arial Narrow"/>
          <w:sz w:val="24"/>
          <w:szCs w:val="24"/>
        </w:rPr>
        <w:t xml:space="preserve">. </w:t>
      </w:r>
      <w:r w:rsidR="00664E38">
        <w:rPr>
          <w:rFonts w:ascii="Arial Narrow" w:hAnsi="Arial Narrow"/>
          <w:sz w:val="24"/>
          <w:szCs w:val="24"/>
        </w:rPr>
        <w:t xml:space="preserve">Celé domácnosti se pak týkaly dotazy z dalších oblastí, </w:t>
      </w:r>
      <w:r w:rsidR="00034970" w:rsidRPr="0008215B">
        <w:rPr>
          <w:rFonts w:ascii="Arial Narrow" w:hAnsi="Arial Narrow"/>
          <w:sz w:val="24"/>
          <w:szCs w:val="24"/>
        </w:rPr>
        <w:t>jako j</w:t>
      </w:r>
      <w:r w:rsidR="00034970">
        <w:rPr>
          <w:rFonts w:ascii="Arial Narrow" w:hAnsi="Arial Narrow"/>
          <w:sz w:val="24"/>
          <w:szCs w:val="24"/>
        </w:rPr>
        <w:t>sou</w:t>
      </w:r>
      <w:r w:rsidR="00034970" w:rsidRPr="0008215B">
        <w:rPr>
          <w:rFonts w:ascii="Arial Narrow" w:hAnsi="Arial Narrow"/>
          <w:sz w:val="24"/>
          <w:szCs w:val="24"/>
        </w:rPr>
        <w:t xml:space="preserve"> materiální podmínky či kvalita </w:t>
      </w:r>
      <w:r w:rsidR="00692196">
        <w:rPr>
          <w:rFonts w:ascii="Arial Narrow" w:hAnsi="Arial Narrow"/>
          <w:sz w:val="24"/>
          <w:szCs w:val="24"/>
        </w:rPr>
        <w:t xml:space="preserve">a finanční náročnost </w:t>
      </w:r>
      <w:r w:rsidR="00034970" w:rsidRPr="0008215B">
        <w:rPr>
          <w:rFonts w:ascii="Arial Narrow" w:hAnsi="Arial Narrow"/>
          <w:sz w:val="24"/>
          <w:szCs w:val="24"/>
        </w:rPr>
        <w:t xml:space="preserve">bydlení. </w:t>
      </w:r>
    </w:p>
    <w:p w14:paraId="5564620A" w14:textId="35C0B23C" w:rsidR="00664E38" w:rsidRDefault="00664E38" w:rsidP="00664E38">
      <w:pPr>
        <w:spacing w:after="120" w:line="288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Součástí š</w:t>
      </w:r>
      <w:r w:rsidRPr="00664E38">
        <w:rPr>
          <w:rFonts w:ascii="Arial Narrow" w:hAnsi="Arial Narrow"/>
          <w:sz w:val="24"/>
          <w:szCs w:val="24"/>
        </w:rPr>
        <w:t xml:space="preserve">etření </w:t>
      </w:r>
      <w:r w:rsidRPr="00664E38">
        <w:rPr>
          <w:rFonts w:ascii="Arial Narrow" w:hAnsi="Arial Narrow"/>
          <w:i/>
          <w:iCs/>
          <w:sz w:val="24"/>
          <w:szCs w:val="24"/>
        </w:rPr>
        <w:t xml:space="preserve">Životní podmínky </w:t>
      </w:r>
      <w:r>
        <w:rPr>
          <w:rFonts w:ascii="Arial Narrow" w:hAnsi="Arial Narrow"/>
          <w:sz w:val="24"/>
          <w:szCs w:val="24"/>
        </w:rPr>
        <w:t>bývá každ</w:t>
      </w:r>
      <w:r w:rsidR="000C5447">
        <w:rPr>
          <w:rFonts w:ascii="Arial Narrow" w:hAnsi="Arial Narrow"/>
          <w:sz w:val="24"/>
          <w:szCs w:val="24"/>
        </w:rPr>
        <w:t>or</w:t>
      </w:r>
      <w:r>
        <w:rPr>
          <w:rFonts w:ascii="Arial Narrow" w:hAnsi="Arial Narrow"/>
          <w:sz w:val="24"/>
          <w:szCs w:val="24"/>
        </w:rPr>
        <w:t>o</w:t>
      </w:r>
      <w:r w:rsidR="000C5447">
        <w:rPr>
          <w:rFonts w:ascii="Arial Narrow" w:hAnsi="Arial Narrow"/>
          <w:sz w:val="24"/>
          <w:szCs w:val="24"/>
        </w:rPr>
        <w:t xml:space="preserve">čně </w:t>
      </w:r>
      <w:r w:rsidRPr="00664E38">
        <w:rPr>
          <w:rFonts w:ascii="Arial Narrow" w:hAnsi="Arial Narrow"/>
          <w:sz w:val="24"/>
          <w:szCs w:val="24"/>
        </w:rPr>
        <w:t>také tematický modul</w:t>
      </w:r>
      <w:r>
        <w:rPr>
          <w:rFonts w:ascii="Arial Narrow" w:hAnsi="Arial Narrow"/>
          <w:sz w:val="24"/>
          <w:szCs w:val="24"/>
        </w:rPr>
        <w:t xml:space="preserve"> s okruhem otázek, které</w:t>
      </w:r>
      <w:r w:rsidRPr="00664E38">
        <w:rPr>
          <w:rFonts w:ascii="Arial Narrow" w:hAnsi="Arial Narrow"/>
          <w:sz w:val="24"/>
          <w:szCs w:val="24"/>
        </w:rPr>
        <w:t xml:space="preserve"> se </w:t>
      </w:r>
      <w:r>
        <w:rPr>
          <w:rFonts w:ascii="Arial Narrow" w:hAnsi="Arial Narrow"/>
          <w:sz w:val="24"/>
          <w:szCs w:val="24"/>
        </w:rPr>
        <w:t xml:space="preserve">vztahují k určité </w:t>
      </w:r>
      <w:r w:rsidRPr="00664E38">
        <w:rPr>
          <w:rFonts w:ascii="Arial Narrow" w:hAnsi="Arial Narrow"/>
          <w:sz w:val="24"/>
          <w:szCs w:val="24"/>
        </w:rPr>
        <w:t>oblasti související se životními podmínkam</w:t>
      </w:r>
      <w:r>
        <w:rPr>
          <w:rFonts w:ascii="Arial Narrow" w:hAnsi="Arial Narrow"/>
          <w:sz w:val="24"/>
          <w:szCs w:val="24"/>
        </w:rPr>
        <w:t>i osob a domácností. V roce 202</w:t>
      </w:r>
      <w:r w:rsidR="004E5465">
        <w:rPr>
          <w:rFonts w:ascii="Arial Narrow" w:hAnsi="Arial Narrow"/>
          <w:sz w:val="24"/>
          <w:szCs w:val="24"/>
        </w:rPr>
        <w:t>3</w:t>
      </w:r>
      <w:r w:rsidR="000C5447">
        <w:rPr>
          <w:rFonts w:ascii="Arial Narrow" w:hAnsi="Arial Narrow"/>
          <w:sz w:val="24"/>
          <w:szCs w:val="24"/>
        </w:rPr>
        <w:t xml:space="preserve"> </w:t>
      </w:r>
      <w:r w:rsidRPr="00664E38">
        <w:rPr>
          <w:rFonts w:ascii="Arial Narrow" w:hAnsi="Arial Narrow"/>
          <w:sz w:val="24"/>
          <w:szCs w:val="24"/>
        </w:rPr>
        <w:t xml:space="preserve">se modul týkal </w:t>
      </w:r>
      <w:r w:rsidR="00AF6FFC">
        <w:rPr>
          <w:rFonts w:ascii="Arial Narrow" w:hAnsi="Arial Narrow"/>
          <w:sz w:val="24"/>
          <w:szCs w:val="24"/>
        </w:rPr>
        <w:t xml:space="preserve">několika témat, kterými byla mimo jiné kvalita bydlení a mezigenerační srovnání </w:t>
      </w:r>
      <w:r w:rsidR="00B65761">
        <w:rPr>
          <w:rFonts w:ascii="Arial Narrow" w:hAnsi="Arial Narrow"/>
          <w:sz w:val="24"/>
          <w:szCs w:val="24"/>
        </w:rPr>
        <w:t>sociálních a </w:t>
      </w:r>
      <w:r w:rsidR="00096364">
        <w:rPr>
          <w:rFonts w:ascii="Arial Narrow" w:hAnsi="Arial Narrow"/>
          <w:sz w:val="24"/>
          <w:szCs w:val="24"/>
        </w:rPr>
        <w:t>materiálních podmínek</w:t>
      </w:r>
      <w:r w:rsidR="00AF6FFC" w:rsidRPr="003E7897">
        <w:rPr>
          <w:rFonts w:ascii="Arial Narrow" w:hAnsi="Arial Narrow"/>
          <w:sz w:val="24"/>
          <w:szCs w:val="24"/>
        </w:rPr>
        <w:t>.</w:t>
      </w:r>
    </w:p>
    <w:p w14:paraId="7B6A34DF" w14:textId="77777777" w:rsidR="00034970" w:rsidRPr="00661496" w:rsidRDefault="00034970" w:rsidP="0046357B">
      <w:pPr>
        <w:spacing w:before="240" w:after="120" w:line="288" w:lineRule="auto"/>
        <w:jc w:val="both"/>
        <w:rPr>
          <w:rFonts w:ascii="Arial Narrow" w:hAnsi="Arial Narrow"/>
          <w:b/>
          <w:sz w:val="26"/>
          <w:szCs w:val="26"/>
        </w:rPr>
      </w:pPr>
      <w:r w:rsidRPr="00661496">
        <w:rPr>
          <w:rFonts w:ascii="Arial Narrow" w:hAnsi="Arial Narrow"/>
          <w:b/>
          <w:sz w:val="26"/>
          <w:szCs w:val="26"/>
        </w:rPr>
        <w:t>Příjmy domácností</w:t>
      </w:r>
    </w:p>
    <w:p w14:paraId="303276D2" w14:textId="04E039D5" w:rsidR="00A423AB" w:rsidRPr="00996EED" w:rsidRDefault="00034970" w:rsidP="0046357B">
      <w:pPr>
        <w:spacing w:after="120" w:line="288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32"/>
        </w:rPr>
        <w:t xml:space="preserve">Ukazatelem </w:t>
      </w:r>
      <w:r w:rsidR="00096364">
        <w:rPr>
          <w:rFonts w:ascii="Arial Narrow" w:hAnsi="Arial Narrow"/>
          <w:sz w:val="24"/>
          <w:szCs w:val="32"/>
        </w:rPr>
        <w:t>příjmové situace domácností je</w:t>
      </w:r>
      <w:r>
        <w:rPr>
          <w:rFonts w:ascii="Arial Narrow" w:hAnsi="Arial Narrow"/>
          <w:sz w:val="24"/>
          <w:szCs w:val="32"/>
        </w:rPr>
        <w:t> </w:t>
      </w:r>
      <w:r w:rsidR="00F41030">
        <w:rPr>
          <w:rFonts w:ascii="Arial Narrow" w:hAnsi="Arial Narrow"/>
          <w:sz w:val="24"/>
          <w:szCs w:val="32"/>
        </w:rPr>
        <w:t xml:space="preserve">v </w:t>
      </w:r>
      <w:r>
        <w:rPr>
          <w:rFonts w:ascii="Arial Narrow" w:hAnsi="Arial Narrow"/>
          <w:sz w:val="24"/>
          <w:szCs w:val="32"/>
        </w:rPr>
        <w:t xml:space="preserve">šetření </w:t>
      </w:r>
      <w:r w:rsidRPr="00FA64C3">
        <w:rPr>
          <w:rFonts w:ascii="Arial Narrow" w:hAnsi="Arial Narrow"/>
          <w:i/>
          <w:sz w:val="24"/>
          <w:szCs w:val="32"/>
        </w:rPr>
        <w:t>Životní podmínky</w:t>
      </w:r>
      <w:r>
        <w:rPr>
          <w:rFonts w:ascii="Arial Narrow" w:hAnsi="Arial Narrow"/>
          <w:sz w:val="24"/>
          <w:szCs w:val="32"/>
        </w:rPr>
        <w:t xml:space="preserve"> </w:t>
      </w:r>
      <w:r w:rsidRPr="00FC398F">
        <w:rPr>
          <w:rFonts w:ascii="Arial Narrow" w:hAnsi="Arial Narrow"/>
          <w:sz w:val="24"/>
          <w:szCs w:val="32"/>
          <w:u w:val="single"/>
        </w:rPr>
        <w:t xml:space="preserve">čistý </w:t>
      </w:r>
      <w:r w:rsidR="009C2FAA" w:rsidRPr="00FC398F">
        <w:rPr>
          <w:rFonts w:ascii="Arial Narrow" w:hAnsi="Arial Narrow"/>
          <w:sz w:val="24"/>
          <w:szCs w:val="32"/>
          <w:u w:val="single"/>
        </w:rPr>
        <w:t>peněžní</w:t>
      </w:r>
      <w:r w:rsidRPr="00FC398F">
        <w:rPr>
          <w:rFonts w:ascii="Arial Narrow" w:hAnsi="Arial Narrow"/>
          <w:sz w:val="24"/>
          <w:szCs w:val="32"/>
          <w:u w:val="single"/>
        </w:rPr>
        <w:t xml:space="preserve"> příjem domácnosti</w:t>
      </w:r>
      <w:r>
        <w:rPr>
          <w:rFonts w:ascii="Arial Narrow" w:hAnsi="Arial Narrow"/>
          <w:sz w:val="24"/>
          <w:szCs w:val="32"/>
        </w:rPr>
        <w:t xml:space="preserve">, který zahrnuje </w:t>
      </w:r>
      <w:r w:rsidR="00A423AB">
        <w:rPr>
          <w:rFonts w:ascii="Arial Narrow" w:hAnsi="Arial Narrow"/>
          <w:sz w:val="24"/>
          <w:szCs w:val="24"/>
        </w:rPr>
        <w:t>veškeré druhy příjmů všech jejích členů</w:t>
      </w:r>
      <w:r w:rsidR="00A423AB" w:rsidRPr="00A423AB">
        <w:rPr>
          <w:rFonts w:ascii="Arial Narrow" w:hAnsi="Arial Narrow"/>
          <w:sz w:val="24"/>
          <w:szCs w:val="24"/>
        </w:rPr>
        <w:t xml:space="preserve"> </w:t>
      </w:r>
      <w:r w:rsidR="00A423AB">
        <w:rPr>
          <w:rFonts w:ascii="Arial Narrow" w:hAnsi="Arial Narrow"/>
          <w:sz w:val="24"/>
          <w:szCs w:val="24"/>
        </w:rPr>
        <w:t xml:space="preserve">po (případném) zdanění. Zejména se jedná o příjmy </w:t>
      </w:r>
      <w:r>
        <w:rPr>
          <w:rFonts w:ascii="Arial Narrow" w:hAnsi="Arial Narrow"/>
          <w:sz w:val="24"/>
          <w:szCs w:val="32"/>
        </w:rPr>
        <w:t>ze zaměstnání</w:t>
      </w:r>
      <w:r w:rsidRPr="00BC177D">
        <w:rPr>
          <w:rFonts w:ascii="Arial Narrow" w:hAnsi="Arial Narrow"/>
          <w:sz w:val="24"/>
          <w:szCs w:val="32"/>
        </w:rPr>
        <w:t xml:space="preserve">, </w:t>
      </w:r>
      <w:r>
        <w:rPr>
          <w:rFonts w:ascii="Arial Narrow" w:hAnsi="Arial Narrow"/>
          <w:sz w:val="24"/>
          <w:szCs w:val="32"/>
        </w:rPr>
        <w:t>z podnikání či</w:t>
      </w:r>
      <w:r w:rsidRPr="00BC177D">
        <w:rPr>
          <w:rFonts w:ascii="Arial Narrow" w:hAnsi="Arial Narrow"/>
          <w:sz w:val="24"/>
          <w:szCs w:val="32"/>
        </w:rPr>
        <w:t xml:space="preserve"> jiné samostatně výdělečné činnosti, příjmy z</w:t>
      </w:r>
      <w:r>
        <w:rPr>
          <w:rFonts w:ascii="Arial Narrow" w:hAnsi="Arial Narrow"/>
          <w:sz w:val="24"/>
          <w:szCs w:val="32"/>
        </w:rPr>
        <w:t> </w:t>
      </w:r>
      <w:r w:rsidR="009C3092">
        <w:rPr>
          <w:rFonts w:ascii="Arial Narrow" w:hAnsi="Arial Narrow"/>
          <w:sz w:val="24"/>
          <w:szCs w:val="32"/>
        </w:rPr>
        <w:t>dalších</w:t>
      </w:r>
      <w:r>
        <w:rPr>
          <w:rFonts w:ascii="Arial Narrow" w:hAnsi="Arial Narrow"/>
          <w:sz w:val="24"/>
          <w:szCs w:val="32"/>
        </w:rPr>
        <w:t xml:space="preserve"> zaměstnání </w:t>
      </w:r>
      <w:r w:rsidR="00692196">
        <w:rPr>
          <w:rFonts w:ascii="Arial Narrow" w:hAnsi="Arial Narrow"/>
          <w:sz w:val="24"/>
          <w:szCs w:val="32"/>
        </w:rPr>
        <w:t xml:space="preserve">nebo dohod </w:t>
      </w:r>
      <w:r>
        <w:rPr>
          <w:rFonts w:ascii="Arial Narrow" w:hAnsi="Arial Narrow"/>
          <w:sz w:val="24"/>
          <w:szCs w:val="32"/>
        </w:rPr>
        <w:t xml:space="preserve">a </w:t>
      </w:r>
      <w:r w:rsidRPr="00BC177D">
        <w:rPr>
          <w:rFonts w:ascii="Arial Narrow" w:hAnsi="Arial Narrow"/>
          <w:sz w:val="24"/>
          <w:szCs w:val="32"/>
        </w:rPr>
        <w:t xml:space="preserve">vedlejších činností, </w:t>
      </w:r>
      <w:r w:rsidR="009C3092">
        <w:rPr>
          <w:rFonts w:ascii="Arial Narrow" w:hAnsi="Arial Narrow"/>
          <w:sz w:val="24"/>
          <w:szCs w:val="32"/>
        </w:rPr>
        <w:t>dále zahrnuje důchody</w:t>
      </w:r>
      <w:r>
        <w:rPr>
          <w:rFonts w:ascii="Arial Narrow" w:hAnsi="Arial Narrow"/>
          <w:sz w:val="24"/>
          <w:szCs w:val="32"/>
        </w:rPr>
        <w:t xml:space="preserve"> a </w:t>
      </w:r>
      <w:r w:rsidRPr="00BC177D">
        <w:rPr>
          <w:rFonts w:ascii="Arial Narrow" w:hAnsi="Arial Narrow"/>
          <w:sz w:val="24"/>
          <w:szCs w:val="32"/>
        </w:rPr>
        <w:t xml:space="preserve">sociální dávky, </w:t>
      </w:r>
      <w:r>
        <w:rPr>
          <w:rFonts w:ascii="Arial Narrow" w:hAnsi="Arial Narrow"/>
          <w:sz w:val="24"/>
          <w:szCs w:val="32"/>
        </w:rPr>
        <w:t xml:space="preserve">příjmy </w:t>
      </w:r>
      <w:r w:rsidR="00A423AB">
        <w:rPr>
          <w:rFonts w:ascii="Arial Narrow" w:hAnsi="Arial Narrow"/>
          <w:sz w:val="24"/>
          <w:szCs w:val="32"/>
        </w:rPr>
        <w:t xml:space="preserve">z pronájmu a </w:t>
      </w:r>
      <w:r w:rsidR="008B5990">
        <w:rPr>
          <w:rFonts w:ascii="Arial Narrow" w:hAnsi="Arial Narrow"/>
          <w:sz w:val="24"/>
          <w:szCs w:val="32"/>
        </w:rPr>
        <w:t>finančních aktiv.</w:t>
      </w:r>
      <w:r w:rsidR="00A423AB">
        <w:rPr>
          <w:rFonts w:ascii="Arial Narrow" w:hAnsi="Arial Narrow"/>
          <w:sz w:val="24"/>
          <w:szCs w:val="32"/>
        </w:rPr>
        <w:t xml:space="preserve"> </w:t>
      </w:r>
      <w:r w:rsidR="009C3092">
        <w:rPr>
          <w:rFonts w:ascii="Arial Narrow" w:hAnsi="Arial Narrow"/>
          <w:sz w:val="24"/>
          <w:szCs w:val="32"/>
        </w:rPr>
        <w:t>Patří sem rovněž</w:t>
      </w:r>
      <w:r w:rsidR="008B5990">
        <w:rPr>
          <w:rFonts w:ascii="Arial Narrow" w:hAnsi="Arial Narrow"/>
          <w:sz w:val="24"/>
          <w:szCs w:val="32"/>
        </w:rPr>
        <w:t xml:space="preserve"> </w:t>
      </w:r>
      <w:r w:rsidR="00A423AB">
        <w:rPr>
          <w:rFonts w:ascii="Arial Narrow" w:hAnsi="Arial Narrow"/>
          <w:sz w:val="24"/>
          <w:szCs w:val="32"/>
        </w:rPr>
        <w:t xml:space="preserve">i </w:t>
      </w:r>
      <w:r>
        <w:rPr>
          <w:rFonts w:ascii="Arial Narrow" w:hAnsi="Arial Narrow"/>
          <w:sz w:val="24"/>
          <w:szCs w:val="32"/>
        </w:rPr>
        <w:t xml:space="preserve">přijaté výživné a finanční podpora </w:t>
      </w:r>
      <w:r w:rsidR="009C3092">
        <w:rPr>
          <w:rFonts w:ascii="Arial Narrow" w:hAnsi="Arial Narrow"/>
          <w:sz w:val="24"/>
          <w:szCs w:val="32"/>
        </w:rPr>
        <w:t>od</w:t>
      </w:r>
      <w:r w:rsidR="00ED0ED6">
        <w:rPr>
          <w:rFonts w:ascii="Arial Narrow" w:hAnsi="Arial Narrow"/>
          <w:sz w:val="24"/>
          <w:szCs w:val="32"/>
        </w:rPr>
        <w:t> </w:t>
      </w:r>
      <w:r w:rsidR="009C3092">
        <w:rPr>
          <w:rFonts w:ascii="Arial Narrow" w:hAnsi="Arial Narrow"/>
          <w:sz w:val="24"/>
          <w:szCs w:val="32"/>
        </w:rPr>
        <w:t xml:space="preserve">jiných </w:t>
      </w:r>
      <w:r>
        <w:rPr>
          <w:rFonts w:ascii="Arial Narrow" w:hAnsi="Arial Narrow"/>
          <w:sz w:val="24"/>
          <w:szCs w:val="32"/>
        </w:rPr>
        <w:t>domácnost</w:t>
      </w:r>
      <w:r w:rsidR="009C3092">
        <w:rPr>
          <w:rFonts w:ascii="Arial Narrow" w:hAnsi="Arial Narrow"/>
          <w:sz w:val="24"/>
          <w:szCs w:val="32"/>
        </w:rPr>
        <w:t>í</w:t>
      </w:r>
      <w:r>
        <w:rPr>
          <w:rFonts w:ascii="Arial Narrow" w:hAnsi="Arial Narrow"/>
          <w:sz w:val="24"/>
          <w:szCs w:val="32"/>
        </w:rPr>
        <w:t xml:space="preserve">. </w:t>
      </w:r>
      <w:r w:rsidR="00A423AB" w:rsidRPr="00A423AB">
        <w:rPr>
          <w:rFonts w:ascii="Arial Narrow" w:hAnsi="Arial Narrow"/>
          <w:sz w:val="24"/>
          <w:szCs w:val="32"/>
        </w:rPr>
        <w:t xml:space="preserve">Pro lepší srovnávání </w:t>
      </w:r>
      <w:r w:rsidR="00A423AB" w:rsidRPr="00996EED">
        <w:rPr>
          <w:rFonts w:ascii="Arial Narrow" w:hAnsi="Arial Narrow"/>
          <w:sz w:val="24"/>
          <w:szCs w:val="24"/>
        </w:rPr>
        <w:t xml:space="preserve">různých typů domácností se používá příjem přepočtený na osobu, tj. u každé domácnosti se celkový příjem vydělí počtem jejích členů. </w:t>
      </w:r>
    </w:p>
    <w:p w14:paraId="7025FBC3" w14:textId="18F0F00B" w:rsidR="00EE115B" w:rsidRPr="00996EED" w:rsidRDefault="001A100B" w:rsidP="00996EED">
      <w:pPr>
        <w:spacing w:after="120" w:line="288" w:lineRule="auto"/>
        <w:jc w:val="both"/>
        <w:rPr>
          <w:rFonts w:ascii="Arial Narrow" w:hAnsi="Arial Narrow"/>
          <w:sz w:val="24"/>
          <w:szCs w:val="24"/>
        </w:rPr>
      </w:pPr>
      <w:r w:rsidRPr="00996EED">
        <w:rPr>
          <w:rFonts w:ascii="Arial Narrow" w:hAnsi="Arial Narrow"/>
          <w:sz w:val="24"/>
          <w:szCs w:val="24"/>
        </w:rPr>
        <w:t>V</w:t>
      </w:r>
      <w:r w:rsidR="004F0683" w:rsidRPr="00996EED">
        <w:rPr>
          <w:rFonts w:ascii="Arial Narrow" w:hAnsi="Arial Narrow"/>
          <w:sz w:val="24"/>
          <w:szCs w:val="24"/>
        </w:rPr>
        <w:t>ýsledky šetření z roku 20</w:t>
      </w:r>
      <w:r w:rsidRPr="00996EED">
        <w:rPr>
          <w:rFonts w:ascii="Arial Narrow" w:hAnsi="Arial Narrow"/>
          <w:sz w:val="24"/>
          <w:szCs w:val="24"/>
        </w:rPr>
        <w:t>2</w:t>
      </w:r>
      <w:r w:rsidR="004E5465" w:rsidRPr="00996EED">
        <w:rPr>
          <w:rFonts w:ascii="Arial Narrow" w:hAnsi="Arial Narrow"/>
          <w:sz w:val="24"/>
          <w:szCs w:val="24"/>
        </w:rPr>
        <w:t>3</w:t>
      </w:r>
      <w:r w:rsidR="00261383" w:rsidRPr="00996EED">
        <w:rPr>
          <w:rFonts w:ascii="Arial Narrow" w:hAnsi="Arial Narrow"/>
          <w:sz w:val="24"/>
          <w:szCs w:val="24"/>
        </w:rPr>
        <w:t xml:space="preserve"> zachycují příjm</w:t>
      </w:r>
      <w:r w:rsidR="002B1ECF" w:rsidRPr="00996EED">
        <w:rPr>
          <w:rFonts w:ascii="Arial Narrow" w:hAnsi="Arial Narrow"/>
          <w:sz w:val="24"/>
          <w:szCs w:val="24"/>
        </w:rPr>
        <w:t>y domácností</w:t>
      </w:r>
      <w:r w:rsidR="00261383" w:rsidRPr="00996EED">
        <w:rPr>
          <w:rFonts w:ascii="Arial Narrow" w:hAnsi="Arial Narrow"/>
          <w:sz w:val="24"/>
          <w:szCs w:val="24"/>
        </w:rPr>
        <w:t xml:space="preserve"> za předchozí kalendářní rok, tj. za rok 20</w:t>
      </w:r>
      <w:r w:rsidRPr="00996EED">
        <w:rPr>
          <w:rFonts w:ascii="Arial Narrow" w:hAnsi="Arial Narrow"/>
          <w:sz w:val="24"/>
          <w:szCs w:val="24"/>
        </w:rPr>
        <w:t>2</w:t>
      </w:r>
      <w:r w:rsidR="004E5465" w:rsidRPr="00996EED">
        <w:rPr>
          <w:rFonts w:ascii="Arial Narrow" w:hAnsi="Arial Narrow"/>
          <w:sz w:val="24"/>
          <w:szCs w:val="24"/>
        </w:rPr>
        <w:t>2</w:t>
      </w:r>
      <w:r w:rsidR="00261383" w:rsidRPr="00996EED">
        <w:rPr>
          <w:rFonts w:ascii="Arial Narrow" w:hAnsi="Arial Narrow"/>
          <w:sz w:val="24"/>
          <w:szCs w:val="24"/>
        </w:rPr>
        <w:t>. V</w:t>
      </w:r>
      <w:r w:rsidR="00923EED" w:rsidRPr="00996EED">
        <w:rPr>
          <w:rFonts w:ascii="Arial Narrow" w:hAnsi="Arial Narrow"/>
          <w:sz w:val="24"/>
          <w:szCs w:val="24"/>
        </w:rPr>
        <w:t> roce 202</w:t>
      </w:r>
      <w:r w:rsidR="004E5465" w:rsidRPr="00996EED">
        <w:rPr>
          <w:rFonts w:ascii="Arial Narrow" w:hAnsi="Arial Narrow"/>
          <w:sz w:val="24"/>
          <w:szCs w:val="24"/>
        </w:rPr>
        <w:t>2</w:t>
      </w:r>
      <w:r w:rsidR="00261383" w:rsidRPr="00996EED">
        <w:rPr>
          <w:rFonts w:ascii="Arial Narrow" w:hAnsi="Arial Narrow"/>
          <w:sz w:val="24"/>
          <w:szCs w:val="24"/>
        </w:rPr>
        <w:t xml:space="preserve"> dosáhl průměrný čistý peněžní příjem domácnosti </w:t>
      </w:r>
      <w:r w:rsidR="00D3257F" w:rsidRPr="00996EED">
        <w:rPr>
          <w:rFonts w:ascii="Arial Narrow" w:hAnsi="Arial Narrow"/>
          <w:sz w:val="24"/>
          <w:szCs w:val="24"/>
        </w:rPr>
        <w:t xml:space="preserve">na osobu </w:t>
      </w:r>
      <w:r w:rsidR="00E04656" w:rsidRPr="001676D5">
        <w:rPr>
          <w:rFonts w:ascii="Arial Narrow" w:hAnsi="Arial Narrow"/>
          <w:sz w:val="24"/>
          <w:szCs w:val="24"/>
        </w:rPr>
        <w:t>částky</w:t>
      </w:r>
      <w:r w:rsidR="004F0683" w:rsidRPr="001676D5">
        <w:rPr>
          <w:rFonts w:ascii="Arial Narrow" w:hAnsi="Arial Narrow"/>
          <w:sz w:val="24"/>
          <w:szCs w:val="24"/>
        </w:rPr>
        <w:t xml:space="preserve"> </w:t>
      </w:r>
      <w:r w:rsidR="00923EED" w:rsidRPr="001676D5">
        <w:rPr>
          <w:rFonts w:ascii="Arial Narrow" w:hAnsi="Arial Narrow"/>
          <w:sz w:val="24"/>
          <w:szCs w:val="24"/>
        </w:rPr>
        <w:t>2</w:t>
      </w:r>
      <w:r w:rsidR="000D4ABE">
        <w:rPr>
          <w:rFonts w:ascii="Arial Narrow" w:hAnsi="Arial Narrow"/>
          <w:sz w:val="24"/>
          <w:szCs w:val="24"/>
        </w:rPr>
        <w:t>59,9</w:t>
      </w:r>
      <w:r w:rsidR="00D3257F" w:rsidRPr="001676D5">
        <w:rPr>
          <w:rFonts w:ascii="Arial Narrow" w:hAnsi="Arial Narrow"/>
          <w:sz w:val="24"/>
          <w:szCs w:val="24"/>
        </w:rPr>
        <w:t xml:space="preserve"> tisíc Kč</w:t>
      </w:r>
      <w:r w:rsidR="00AB5D28" w:rsidRPr="001676D5">
        <w:rPr>
          <w:rFonts w:ascii="Arial Narrow" w:hAnsi="Arial Narrow"/>
          <w:sz w:val="24"/>
          <w:szCs w:val="24"/>
        </w:rPr>
        <w:t xml:space="preserve">, </w:t>
      </w:r>
      <w:r w:rsidR="00D3257F" w:rsidRPr="00996EED">
        <w:rPr>
          <w:rFonts w:ascii="Arial Narrow" w:hAnsi="Arial Narrow"/>
          <w:sz w:val="24"/>
          <w:szCs w:val="24"/>
        </w:rPr>
        <w:t xml:space="preserve">medián </w:t>
      </w:r>
      <w:r w:rsidR="00D3257F" w:rsidRPr="000104B9">
        <w:rPr>
          <w:rFonts w:ascii="Arial Narrow" w:hAnsi="Arial Narrow"/>
          <w:sz w:val="24"/>
          <w:szCs w:val="24"/>
        </w:rPr>
        <w:t xml:space="preserve">příjmů </w:t>
      </w:r>
      <w:r w:rsidR="00D3257F" w:rsidRPr="001676D5">
        <w:rPr>
          <w:rFonts w:ascii="Arial Narrow" w:hAnsi="Arial Narrow"/>
          <w:sz w:val="24"/>
          <w:szCs w:val="24"/>
        </w:rPr>
        <w:t xml:space="preserve">činil </w:t>
      </w:r>
      <w:r w:rsidR="00642FC1" w:rsidRPr="001676D5">
        <w:rPr>
          <w:rFonts w:ascii="Arial Narrow" w:hAnsi="Arial Narrow"/>
          <w:sz w:val="24"/>
          <w:szCs w:val="24"/>
        </w:rPr>
        <w:t>2</w:t>
      </w:r>
      <w:r w:rsidR="00CD54B0" w:rsidRPr="001676D5">
        <w:rPr>
          <w:rFonts w:ascii="Arial Narrow" w:hAnsi="Arial Narrow"/>
          <w:sz w:val="24"/>
          <w:szCs w:val="24"/>
        </w:rPr>
        <w:t>29</w:t>
      </w:r>
      <w:r w:rsidR="00116F03" w:rsidRPr="001676D5">
        <w:rPr>
          <w:rFonts w:ascii="Arial Narrow" w:hAnsi="Arial Narrow"/>
          <w:sz w:val="24"/>
          <w:szCs w:val="24"/>
        </w:rPr>
        <w:t>,</w:t>
      </w:r>
      <w:r w:rsidR="000D4ABE">
        <w:rPr>
          <w:rFonts w:ascii="Arial Narrow" w:hAnsi="Arial Narrow"/>
          <w:sz w:val="24"/>
          <w:szCs w:val="24"/>
        </w:rPr>
        <w:t>6</w:t>
      </w:r>
      <w:r w:rsidR="00D3257F" w:rsidRPr="001676D5">
        <w:rPr>
          <w:rFonts w:ascii="Arial Narrow" w:hAnsi="Arial Narrow"/>
          <w:sz w:val="24"/>
          <w:szCs w:val="24"/>
        </w:rPr>
        <w:t xml:space="preserve"> tisíc Kč</w:t>
      </w:r>
      <w:r w:rsidR="00AC4B87" w:rsidRPr="001676D5">
        <w:rPr>
          <w:rFonts w:ascii="Arial Narrow" w:hAnsi="Arial Narrow"/>
          <w:sz w:val="24"/>
          <w:szCs w:val="24"/>
        </w:rPr>
        <w:t xml:space="preserve">. </w:t>
      </w:r>
      <w:r w:rsidR="00F74230" w:rsidRPr="001676D5">
        <w:rPr>
          <w:rFonts w:ascii="Arial Narrow" w:hAnsi="Arial Narrow"/>
          <w:sz w:val="24"/>
          <w:szCs w:val="24"/>
        </w:rPr>
        <w:t>Měsíční</w:t>
      </w:r>
      <w:r w:rsidR="00F74230" w:rsidRPr="00996EED">
        <w:rPr>
          <w:rFonts w:ascii="Arial Narrow" w:hAnsi="Arial Narrow"/>
          <w:sz w:val="24"/>
          <w:szCs w:val="24"/>
        </w:rPr>
        <w:t xml:space="preserve"> </w:t>
      </w:r>
      <w:r w:rsidR="00F74230" w:rsidRPr="000104B9">
        <w:rPr>
          <w:rFonts w:ascii="Arial Narrow" w:hAnsi="Arial Narrow"/>
          <w:sz w:val="24"/>
          <w:szCs w:val="24"/>
        </w:rPr>
        <w:t xml:space="preserve">průměr čistých příjmů </w:t>
      </w:r>
      <w:r w:rsidR="000104B9" w:rsidRPr="001676D5">
        <w:rPr>
          <w:rFonts w:ascii="Arial Narrow" w:hAnsi="Arial Narrow"/>
          <w:sz w:val="24"/>
          <w:szCs w:val="24"/>
        </w:rPr>
        <w:t>činil 21 6</w:t>
      </w:r>
      <w:r w:rsidR="000D4ABE">
        <w:rPr>
          <w:rFonts w:ascii="Arial Narrow" w:hAnsi="Arial Narrow"/>
          <w:sz w:val="24"/>
          <w:szCs w:val="24"/>
        </w:rPr>
        <w:t>54</w:t>
      </w:r>
      <w:r w:rsidR="00F74230" w:rsidRPr="001676D5">
        <w:rPr>
          <w:rFonts w:ascii="Arial Narrow" w:hAnsi="Arial Narrow"/>
          <w:sz w:val="24"/>
          <w:szCs w:val="24"/>
        </w:rPr>
        <w:t xml:space="preserve"> Kč </w:t>
      </w:r>
      <w:r w:rsidR="00F74230" w:rsidRPr="000104B9">
        <w:rPr>
          <w:rFonts w:ascii="Arial Narrow" w:hAnsi="Arial Narrow"/>
          <w:sz w:val="24"/>
          <w:szCs w:val="24"/>
        </w:rPr>
        <w:t>na</w:t>
      </w:r>
      <w:r w:rsidR="00F74230" w:rsidRPr="00996EED">
        <w:rPr>
          <w:rFonts w:ascii="Arial Narrow" w:hAnsi="Arial Narrow"/>
          <w:sz w:val="24"/>
          <w:szCs w:val="24"/>
        </w:rPr>
        <w:t xml:space="preserve"> osobu. </w:t>
      </w:r>
      <w:r w:rsidR="00CC6CD6" w:rsidRPr="00996EED">
        <w:rPr>
          <w:rFonts w:ascii="Arial Narrow" w:hAnsi="Arial Narrow"/>
          <w:sz w:val="24"/>
          <w:szCs w:val="24"/>
        </w:rPr>
        <w:t>Oproti roku 20</w:t>
      </w:r>
      <w:r w:rsidR="004E5465" w:rsidRPr="00996EED">
        <w:rPr>
          <w:rFonts w:ascii="Arial Narrow" w:hAnsi="Arial Narrow"/>
          <w:sz w:val="24"/>
          <w:szCs w:val="24"/>
        </w:rPr>
        <w:t>21</w:t>
      </w:r>
      <w:r w:rsidR="003A146C" w:rsidRPr="00996EED">
        <w:rPr>
          <w:rFonts w:ascii="Arial Narrow" w:hAnsi="Arial Narrow"/>
          <w:sz w:val="24"/>
          <w:szCs w:val="24"/>
        </w:rPr>
        <w:t xml:space="preserve"> vzro</w:t>
      </w:r>
      <w:r w:rsidR="009F6B29" w:rsidRPr="00996EED">
        <w:rPr>
          <w:rFonts w:ascii="Arial Narrow" w:hAnsi="Arial Narrow"/>
          <w:sz w:val="24"/>
          <w:szCs w:val="24"/>
        </w:rPr>
        <w:t xml:space="preserve">stl </w:t>
      </w:r>
      <w:r w:rsidR="00EE115B" w:rsidRPr="00996EED">
        <w:rPr>
          <w:rFonts w:ascii="Arial Narrow" w:hAnsi="Arial Narrow"/>
          <w:sz w:val="24"/>
          <w:szCs w:val="24"/>
        </w:rPr>
        <w:t xml:space="preserve">průměr </w:t>
      </w:r>
      <w:r w:rsidR="00EE115B" w:rsidRPr="003A3CFB">
        <w:rPr>
          <w:rFonts w:ascii="Arial Narrow" w:hAnsi="Arial Narrow"/>
          <w:sz w:val="24"/>
          <w:szCs w:val="24"/>
        </w:rPr>
        <w:t xml:space="preserve">meziročně </w:t>
      </w:r>
      <w:r w:rsidR="00EE115B" w:rsidRPr="001676D5">
        <w:rPr>
          <w:rFonts w:ascii="Arial Narrow" w:hAnsi="Arial Narrow"/>
          <w:sz w:val="24"/>
          <w:szCs w:val="24"/>
        </w:rPr>
        <w:t xml:space="preserve">o </w:t>
      </w:r>
      <w:r w:rsidR="003A3CFB" w:rsidRPr="001676D5">
        <w:rPr>
          <w:rFonts w:ascii="Arial Narrow" w:hAnsi="Arial Narrow"/>
          <w:sz w:val="24"/>
          <w:szCs w:val="24"/>
        </w:rPr>
        <w:t>18 </w:t>
      </w:r>
      <w:r w:rsidR="000D4ABE">
        <w:rPr>
          <w:rFonts w:ascii="Arial Narrow" w:hAnsi="Arial Narrow"/>
          <w:sz w:val="24"/>
          <w:szCs w:val="24"/>
        </w:rPr>
        <w:t>690</w:t>
      </w:r>
      <w:r w:rsidR="00142818" w:rsidRPr="003A3CFB">
        <w:rPr>
          <w:rFonts w:ascii="Arial Narrow" w:hAnsi="Arial Narrow"/>
          <w:sz w:val="24"/>
          <w:szCs w:val="24"/>
        </w:rPr>
        <w:t xml:space="preserve"> </w:t>
      </w:r>
      <w:r w:rsidR="00EE115B" w:rsidRPr="003A3CFB">
        <w:rPr>
          <w:rFonts w:ascii="Arial Narrow" w:hAnsi="Arial Narrow"/>
          <w:sz w:val="24"/>
          <w:szCs w:val="24"/>
        </w:rPr>
        <w:t>Kč, což představuje</w:t>
      </w:r>
      <w:r w:rsidR="00EE115B" w:rsidRPr="00996EED">
        <w:rPr>
          <w:rFonts w:ascii="Arial Narrow" w:hAnsi="Arial Narrow"/>
          <w:sz w:val="24"/>
          <w:szCs w:val="24"/>
        </w:rPr>
        <w:t xml:space="preserve"> nominální </w:t>
      </w:r>
      <w:r w:rsidR="00EE115B" w:rsidRPr="00CD76CD">
        <w:rPr>
          <w:rFonts w:ascii="Arial Narrow" w:hAnsi="Arial Narrow"/>
          <w:sz w:val="24"/>
          <w:szCs w:val="24"/>
        </w:rPr>
        <w:t xml:space="preserve">nárůst o </w:t>
      </w:r>
      <w:r w:rsidR="00CD54B0" w:rsidRPr="00CD76CD">
        <w:rPr>
          <w:rFonts w:ascii="Arial Narrow" w:hAnsi="Arial Narrow"/>
          <w:sz w:val="24"/>
          <w:szCs w:val="24"/>
        </w:rPr>
        <w:t>7</w:t>
      </w:r>
      <w:r w:rsidR="00EE115B" w:rsidRPr="00CD76CD">
        <w:rPr>
          <w:rFonts w:ascii="Arial Narrow" w:hAnsi="Arial Narrow"/>
          <w:sz w:val="24"/>
          <w:szCs w:val="24"/>
        </w:rPr>
        <w:t>,</w:t>
      </w:r>
      <w:r w:rsidR="000D4ABE">
        <w:rPr>
          <w:rFonts w:ascii="Arial Narrow" w:hAnsi="Arial Narrow"/>
          <w:sz w:val="24"/>
          <w:szCs w:val="24"/>
        </w:rPr>
        <w:t>7</w:t>
      </w:r>
      <w:r w:rsidR="00EE115B" w:rsidRPr="00CD76CD">
        <w:rPr>
          <w:rFonts w:ascii="Arial Narrow" w:hAnsi="Arial Narrow"/>
          <w:sz w:val="24"/>
          <w:szCs w:val="24"/>
        </w:rPr>
        <w:t xml:space="preserve"> %</w:t>
      </w:r>
      <w:r w:rsidR="00F74230" w:rsidRPr="00CD76CD">
        <w:rPr>
          <w:rFonts w:ascii="Arial Narrow" w:hAnsi="Arial Narrow"/>
          <w:sz w:val="24"/>
          <w:szCs w:val="24"/>
        </w:rPr>
        <w:t>.</w:t>
      </w:r>
      <w:r w:rsidR="00F74230" w:rsidRPr="001676D5">
        <w:rPr>
          <w:rFonts w:ascii="Arial Narrow" w:hAnsi="Arial Narrow"/>
          <w:sz w:val="24"/>
          <w:szCs w:val="24"/>
        </w:rPr>
        <w:t xml:space="preserve"> </w:t>
      </w:r>
      <w:r w:rsidR="002C349D">
        <w:rPr>
          <w:rFonts w:ascii="Arial Narrow" w:hAnsi="Arial Narrow"/>
          <w:sz w:val="24"/>
          <w:szCs w:val="24"/>
        </w:rPr>
        <w:t xml:space="preserve">Z důvodu </w:t>
      </w:r>
      <w:r w:rsidR="00F74230" w:rsidRPr="00996EED">
        <w:rPr>
          <w:rFonts w:ascii="Arial Narrow" w:hAnsi="Arial Narrow"/>
          <w:sz w:val="24"/>
          <w:szCs w:val="24"/>
        </w:rPr>
        <w:t xml:space="preserve">nárůstu </w:t>
      </w:r>
      <w:r w:rsidR="002C349D">
        <w:rPr>
          <w:rFonts w:ascii="Arial Narrow" w:hAnsi="Arial Narrow"/>
          <w:sz w:val="24"/>
          <w:szCs w:val="24"/>
        </w:rPr>
        <w:t xml:space="preserve">míry </w:t>
      </w:r>
      <w:r w:rsidR="00F74230" w:rsidRPr="00996EED">
        <w:rPr>
          <w:rFonts w:ascii="Arial Narrow" w:hAnsi="Arial Narrow"/>
          <w:sz w:val="24"/>
          <w:szCs w:val="24"/>
        </w:rPr>
        <w:t xml:space="preserve">inflace však došlo k reálnému poklesu </w:t>
      </w:r>
      <w:r w:rsidR="00F74230" w:rsidRPr="002739DB">
        <w:rPr>
          <w:rFonts w:ascii="Arial Narrow" w:hAnsi="Arial Narrow"/>
          <w:sz w:val="24"/>
          <w:szCs w:val="24"/>
        </w:rPr>
        <w:t xml:space="preserve">příjmů, a to </w:t>
      </w:r>
      <w:r w:rsidR="0032262E" w:rsidRPr="002739DB">
        <w:rPr>
          <w:rFonts w:ascii="Arial Narrow" w:hAnsi="Arial Narrow"/>
          <w:sz w:val="24"/>
          <w:szCs w:val="24"/>
        </w:rPr>
        <w:t xml:space="preserve">o </w:t>
      </w:r>
      <w:r w:rsidR="000D4ABE">
        <w:rPr>
          <w:rFonts w:ascii="Arial Narrow" w:hAnsi="Arial Narrow"/>
          <w:sz w:val="24"/>
          <w:szCs w:val="24"/>
        </w:rPr>
        <w:t>6,5</w:t>
      </w:r>
      <w:r w:rsidR="002739DB" w:rsidRPr="002739DB">
        <w:rPr>
          <w:rFonts w:ascii="Arial Narrow" w:hAnsi="Arial Narrow"/>
          <w:sz w:val="24"/>
          <w:szCs w:val="24"/>
        </w:rPr>
        <w:t xml:space="preserve"> </w:t>
      </w:r>
      <w:r w:rsidR="00F74230" w:rsidRPr="002739DB">
        <w:rPr>
          <w:rFonts w:ascii="Arial Narrow" w:hAnsi="Arial Narrow"/>
          <w:sz w:val="24"/>
          <w:szCs w:val="24"/>
        </w:rPr>
        <w:t>%.</w:t>
      </w:r>
      <w:r w:rsidR="00F74230" w:rsidRPr="00996EED">
        <w:rPr>
          <w:rFonts w:ascii="Arial Narrow" w:hAnsi="Arial Narrow"/>
          <w:sz w:val="24"/>
          <w:szCs w:val="24"/>
        </w:rPr>
        <w:t xml:space="preserve"> </w:t>
      </w:r>
    </w:p>
    <w:p w14:paraId="64966704" w14:textId="63626BD2" w:rsidR="00F776E0" w:rsidRPr="00CD76CD" w:rsidRDefault="00692196" w:rsidP="00CD76CD">
      <w:pPr>
        <w:keepNext/>
        <w:suppressAutoHyphens/>
        <w:spacing w:before="120" w:after="240" w:line="240" w:lineRule="auto"/>
        <w:jc w:val="both"/>
        <w:rPr>
          <w:rFonts w:ascii="Arial Narrow" w:eastAsia="Times New Roman" w:hAnsi="Arial Narrow"/>
          <w:color w:val="00ADDC"/>
          <w:lang w:eastAsia="ar-SA"/>
        </w:rPr>
      </w:pPr>
      <w:r w:rsidRPr="00FB65B8">
        <w:rPr>
          <w:rFonts w:ascii="Arial Narrow" w:eastAsia="Times New Roman" w:hAnsi="Arial Narrow"/>
          <w:color w:val="00ADDC"/>
          <w:lang w:val="x-none" w:eastAsia="ar-SA"/>
        </w:rPr>
        <w:lastRenderedPageBreak/>
        <w:t xml:space="preserve">Graf </w:t>
      </w:r>
      <w:r w:rsidRPr="00FB65B8">
        <w:rPr>
          <w:rFonts w:ascii="Arial Narrow" w:eastAsia="Times New Roman" w:hAnsi="Arial Narrow"/>
          <w:noProof/>
          <w:color w:val="00ADDC"/>
          <w:lang w:val="x-none" w:eastAsia="ar-SA"/>
        </w:rPr>
        <w:fldChar w:fldCharType="begin"/>
      </w:r>
      <w:r w:rsidRPr="00FB65B8">
        <w:rPr>
          <w:rFonts w:ascii="Arial Narrow" w:eastAsia="Times New Roman" w:hAnsi="Arial Narrow"/>
          <w:noProof/>
          <w:color w:val="00ADDC"/>
          <w:lang w:val="x-none" w:eastAsia="ar-SA"/>
        </w:rPr>
        <w:instrText xml:space="preserve"> SEQ Graf \* ARABIC </w:instrText>
      </w:r>
      <w:r w:rsidRPr="00FB65B8">
        <w:rPr>
          <w:rFonts w:ascii="Arial Narrow" w:eastAsia="Times New Roman" w:hAnsi="Arial Narrow"/>
          <w:noProof/>
          <w:color w:val="00ADDC"/>
          <w:lang w:val="x-none" w:eastAsia="ar-SA"/>
        </w:rPr>
        <w:fldChar w:fldCharType="separate"/>
      </w:r>
      <w:r w:rsidR="004B4D22" w:rsidRPr="00FB65B8">
        <w:rPr>
          <w:rFonts w:ascii="Arial Narrow" w:eastAsia="Times New Roman" w:hAnsi="Arial Narrow"/>
          <w:noProof/>
          <w:color w:val="00ADDC"/>
          <w:lang w:val="x-none" w:eastAsia="ar-SA"/>
        </w:rPr>
        <w:t>1</w:t>
      </w:r>
      <w:r w:rsidRPr="00FB65B8">
        <w:rPr>
          <w:rFonts w:ascii="Arial Narrow" w:eastAsia="Times New Roman" w:hAnsi="Arial Narrow"/>
          <w:noProof/>
          <w:color w:val="00ADDC"/>
          <w:lang w:val="x-none" w:eastAsia="ar-SA"/>
        </w:rPr>
        <w:fldChar w:fldCharType="end"/>
      </w:r>
      <w:r w:rsidRPr="00FB65B8">
        <w:rPr>
          <w:rFonts w:ascii="Arial Narrow" w:eastAsia="Times New Roman" w:hAnsi="Arial Narrow"/>
          <w:color w:val="00ADDC"/>
          <w:lang w:val="x-none" w:eastAsia="ar-SA"/>
        </w:rPr>
        <w:t xml:space="preserve">: </w:t>
      </w:r>
      <w:r w:rsidRPr="00CD76CD">
        <w:rPr>
          <w:rFonts w:ascii="Arial Narrow" w:eastAsia="Times New Roman" w:hAnsi="Arial Narrow"/>
          <w:color w:val="00ADDC"/>
          <w:lang w:eastAsia="ar-SA"/>
        </w:rPr>
        <w:t xml:space="preserve">Růst průměrných </w:t>
      </w:r>
      <w:r w:rsidR="00A75A10" w:rsidRPr="00CD76CD">
        <w:rPr>
          <w:rFonts w:ascii="Arial Narrow" w:eastAsia="Times New Roman" w:hAnsi="Arial Narrow"/>
          <w:color w:val="00ADDC"/>
          <w:lang w:eastAsia="ar-SA"/>
        </w:rPr>
        <w:t xml:space="preserve">čistých peněžních příjmů domácností na osobu v letech </w:t>
      </w:r>
      <w:r w:rsidR="00A75A10" w:rsidRPr="00596332">
        <w:rPr>
          <w:rFonts w:ascii="Arial Narrow" w:eastAsia="Times New Roman" w:hAnsi="Arial Narrow"/>
          <w:color w:val="00ADDC"/>
          <w:lang w:eastAsia="ar-SA"/>
        </w:rPr>
        <w:t>20</w:t>
      </w:r>
      <w:r w:rsidR="002B1ECF" w:rsidRPr="00596332">
        <w:rPr>
          <w:rFonts w:ascii="Arial Narrow" w:eastAsia="Times New Roman" w:hAnsi="Arial Narrow"/>
          <w:color w:val="00ADDC"/>
          <w:lang w:eastAsia="ar-SA"/>
        </w:rPr>
        <w:t>1</w:t>
      </w:r>
      <w:r w:rsidR="00FB65B8" w:rsidRPr="00596332">
        <w:rPr>
          <w:rFonts w:ascii="Arial Narrow" w:eastAsia="Times New Roman" w:hAnsi="Arial Narrow"/>
          <w:color w:val="00ADDC"/>
          <w:lang w:eastAsia="ar-SA"/>
        </w:rPr>
        <w:t>3</w:t>
      </w:r>
      <w:r w:rsidR="00991164" w:rsidRPr="00596332">
        <w:rPr>
          <w:rFonts w:ascii="Arial Narrow" w:eastAsia="Times New Roman" w:hAnsi="Arial Narrow"/>
          <w:color w:val="00ADDC"/>
          <w:lang w:eastAsia="ar-SA"/>
        </w:rPr>
        <w:t>–</w:t>
      </w:r>
      <w:r w:rsidR="00A75A10" w:rsidRPr="00596332">
        <w:rPr>
          <w:rFonts w:ascii="Arial Narrow" w:eastAsia="Times New Roman" w:hAnsi="Arial Narrow"/>
          <w:color w:val="00ADDC"/>
          <w:lang w:eastAsia="ar-SA"/>
        </w:rPr>
        <w:t>20</w:t>
      </w:r>
      <w:r w:rsidR="00022B5C" w:rsidRPr="00596332">
        <w:rPr>
          <w:rFonts w:ascii="Arial Narrow" w:eastAsia="Times New Roman" w:hAnsi="Arial Narrow"/>
          <w:color w:val="00ADDC"/>
          <w:lang w:eastAsia="ar-SA"/>
        </w:rPr>
        <w:t>2</w:t>
      </w:r>
      <w:r w:rsidR="00FB65B8" w:rsidRPr="00596332">
        <w:rPr>
          <w:rFonts w:ascii="Arial Narrow" w:eastAsia="Times New Roman" w:hAnsi="Arial Narrow"/>
          <w:color w:val="00ADDC"/>
          <w:lang w:eastAsia="ar-SA"/>
        </w:rPr>
        <w:t>2</w:t>
      </w:r>
    </w:p>
    <w:p w14:paraId="4E69790E" w14:textId="0C322857" w:rsidR="00596332" w:rsidRDefault="00596332" w:rsidP="00AE1FAB">
      <w:pPr>
        <w:spacing w:after="0" w:line="288" w:lineRule="auto"/>
        <w:jc w:val="center"/>
        <w:rPr>
          <w:rFonts w:ascii="Arial Narrow" w:hAnsi="Arial Narrow"/>
          <w:sz w:val="24"/>
          <w:szCs w:val="32"/>
          <w:highlight w:val="yellow"/>
        </w:rPr>
      </w:pPr>
      <w:r w:rsidRPr="00596332">
        <w:rPr>
          <w:rFonts w:ascii="Arial Narrow" w:hAnsi="Arial Narrow"/>
          <w:noProof/>
          <w:sz w:val="24"/>
          <w:szCs w:val="32"/>
          <w:lang w:eastAsia="cs-CZ"/>
        </w:rPr>
        <w:drawing>
          <wp:inline distT="0" distB="0" distL="0" distR="0" wp14:anchorId="7507E378" wp14:editId="7B423664">
            <wp:extent cx="5759450" cy="3240405"/>
            <wp:effectExtent l="0" t="0" r="0" b="0"/>
            <wp:docPr id="14" name="Graf 1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F93B618" w14:textId="77777777" w:rsidR="00F41030" w:rsidRDefault="00F41030" w:rsidP="005F7D68">
      <w:pPr>
        <w:spacing w:after="0" w:line="288" w:lineRule="auto"/>
        <w:jc w:val="both"/>
        <w:rPr>
          <w:rFonts w:ascii="Arial Narrow" w:hAnsi="Arial Narrow"/>
          <w:sz w:val="24"/>
          <w:szCs w:val="32"/>
          <w:highlight w:val="yellow"/>
        </w:rPr>
      </w:pPr>
    </w:p>
    <w:p w14:paraId="77BFF66D" w14:textId="054EB550" w:rsidR="00AF1FAC" w:rsidRDefault="00AF1FAC" w:rsidP="005F7D68">
      <w:pPr>
        <w:spacing w:after="0" w:line="288" w:lineRule="auto"/>
        <w:jc w:val="both"/>
        <w:rPr>
          <w:rFonts w:ascii="Arial Narrow" w:hAnsi="Arial Narrow"/>
          <w:sz w:val="24"/>
          <w:szCs w:val="32"/>
        </w:rPr>
      </w:pPr>
      <w:r w:rsidRPr="00236590">
        <w:rPr>
          <w:rFonts w:ascii="Arial Narrow" w:hAnsi="Arial Narrow"/>
          <w:sz w:val="24"/>
          <w:szCs w:val="32"/>
        </w:rPr>
        <w:t>Peněžní příjmy domácností v průběhu let sice postupně neustále rostly, ale ne všem skupinám obyvatel stejně. Z hlediska různých typů domácností rostly v roce 2022 příjmy nejrychleji domácnostem jednotlivců starších 65 let</w:t>
      </w:r>
      <w:r>
        <w:rPr>
          <w:rFonts w:ascii="Arial Narrow" w:hAnsi="Arial Narrow"/>
          <w:sz w:val="24"/>
          <w:szCs w:val="32"/>
        </w:rPr>
        <w:t xml:space="preserve">, a to meziročně o </w:t>
      </w:r>
      <w:r w:rsidRPr="00F33B51">
        <w:rPr>
          <w:rFonts w:ascii="Arial Narrow" w:hAnsi="Arial Narrow"/>
          <w:sz w:val="24"/>
          <w:szCs w:val="32"/>
        </w:rPr>
        <w:t>13,9 %. Tento</w:t>
      </w:r>
      <w:r w:rsidRPr="004104B1">
        <w:rPr>
          <w:rFonts w:ascii="Arial Narrow" w:hAnsi="Arial Narrow"/>
          <w:sz w:val="24"/>
          <w:szCs w:val="32"/>
        </w:rPr>
        <w:t xml:space="preserve"> významný nárůst byl především výsledkem trojí valorizace důchodů v roce 2022.</w:t>
      </w:r>
      <w:r>
        <w:rPr>
          <w:rFonts w:ascii="Arial Narrow" w:hAnsi="Arial Narrow"/>
          <w:sz w:val="24"/>
          <w:szCs w:val="32"/>
        </w:rPr>
        <w:t xml:space="preserve"> Naopak nejméně vzrostly příjmy neú</w:t>
      </w:r>
      <w:r w:rsidR="002D5931">
        <w:rPr>
          <w:rFonts w:ascii="Arial Narrow" w:hAnsi="Arial Narrow"/>
          <w:sz w:val="24"/>
          <w:szCs w:val="32"/>
        </w:rPr>
        <w:t>plným rodinám s dětmi, tvořeným</w:t>
      </w:r>
      <w:r>
        <w:rPr>
          <w:rFonts w:ascii="Arial Narrow" w:hAnsi="Arial Narrow"/>
          <w:sz w:val="24"/>
          <w:szCs w:val="32"/>
        </w:rPr>
        <w:t xml:space="preserve"> jedním rodičem s alespoň jedním dítětem, a </w:t>
      </w:r>
      <w:r w:rsidRPr="00F33B51">
        <w:rPr>
          <w:rFonts w:ascii="Arial Narrow" w:hAnsi="Arial Narrow"/>
          <w:sz w:val="24"/>
          <w:szCs w:val="32"/>
        </w:rPr>
        <w:t xml:space="preserve">to </w:t>
      </w:r>
      <w:r w:rsidR="000D4ABE">
        <w:rPr>
          <w:rFonts w:ascii="Arial Narrow" w:hAnsi="Arial Narrow"/>
          <w:sz w:val="24"/>
          <w:szCs w:val="32"/>
        </w:rPr>
        <w:t>o 5</w:t>
      </w:r>
      <w:r w:rsidRPr="00F33B51">
        <w:rPr>
          <w:rFonts w:ascii="Arial Narrow" w:hAnsi="Arial Narrow"/>
          <w:sz w:val="24"/>
          <w:szCs w:val="32"/>
        </w:rPr>
        <w:t xml:space="preserve"> %. Neúplné rodiny s dětmi zároveň tvoří typ domácnosti s nejnižšími ročními čistými příjmy na osobu. V přepočtu</w:t>
      </w:r>
      <w:r>
        <w:rPr>
          <w:rFonts w:ascii="Arial Narrow" w:hAnsi="Arial Narrow"/>
          <w:sz w:val="24"/>
          <w:szCs w:val="32"/>
        </w:rPr>
        <w:t xml:space="preserve"> na měsíc představuje průměrný příjem člena této </w:t>
      </w:r>
      <w:r w:rsidRPr="00230390">
        <w:rPr>
          <w:rFonts w:ascii="Arial Narrow" w:hAnsi="Arial Narrow"/>
          <w:sz w:val="24"/>
          <w:szCs w:val="32"/>
        </w:rPr>
        <w:t xml:space="preserve">domácnosti </w:t>
      </w:r>
      <w:r w:rsidR="00230390" w:rsidRPr="00230390">
        <w:rPr>
          <w:rFonts w:ascii="Arial Narrow" w:hAnsi="Arial Narrow"/>
          <w:sz w:val="24"/>
          <w:szCs w:val="32"/>
        </w:rPr>
        <w:t>14,6</w:t>
      </w:r>
      <w:r w:rsidRPr="00230390">
        <w:rPr>
          <w:rFonts w:ascii="Arial Narrow" w:hAnsi="Arial Narrow"/>
          <w:sz w:val="24"/>
          <w:szCs w:val="32"/>
        </w:rPr>
        <w:t xml:space="preserve"> tisíc</w:t>
      </w:r>
      <w:r w:rsidRPr="00F33B51">
        <w:rPr>
          <w:rFonts w:ascii="Arial Narrow" w:hAnsi="Arial Narrow"/>
          <w:sz w:val="24"/>
          <w:szCs w:val="32"/>
        </w:rPr>
        <w:t xml:space="preserve"> Kč.</w:t>
      </w:r>
      <w:r>
        <w:rPr>
          <w:rFonts w:ascii="Arial Narrow" w:hAnsi="Arial Narrow"/>
          <w:sz w:val="24"/>
          <w:szCs w:val="32"/>
        </w:rPr>
        <w:t xml:space="preserve"> Naopak nejvyšších příjmů ze sledovaných skupin dosahují domácnosti jednotlivců mladších 65 let. Tyto domácnosti si měsíčně přijdou </w:t>
      </w:r>
      <w:r w:rsidRPr="00230390">
        <w:rPr>
          <w:rFonts w:ascii="Arial Narrow" w:hAnsi="Arial Narrow"/>
          <w:sz w:val="24"/>
          <w:szCs w:val="32"/>
        </w:rPr>
        <w:t>průměrně na 32,7 tisíc Kč,</w:t>
      </w:r>
      <w:r w:rsidRPr="00F33B51">
        <w:rPr>
          <w:rFonts w:ascii="Arial Narrow" w:hAnsi="Arial Narrow"/>
          <w:sz w:val="24"/>
          <w:szCs w:val="32"/>
        </w:rPr>
        <w:t xml:space="preserve"> což pro tuto skupinu představuje meziroční růst o 8,8 %. </w:t>
      </w:r>
    </w:p>
    <w:p w14:paraId="2E94FBFD" w14:textId="60140BA6" w:rsidR="002E1AB9" w:rsidRPr="00596332" w:rsidRDefault="00B8762F" w:rsidP="00596332">
      <w:pPr>
        <w:pStyle w:val="3GRAF"/>
        <w:spacing w:after="180"/>
        <w:jc w:val="both"/>
        <w:rPr>
          <w:lang w:val="cs-CZ"/>
        </w:rPr>
      </w:pPr>
      <w:bookmarkStart w:id="1" w:name="_Ref3039272"/>
      <w:r>
        <w:br/>
      </w:r>
      <w:r w:rsidR="00AC4B87" w:rsidRPr="001E457B">
        <w:t xml:space="preserve">Graf </w:t>
      </w:r>
      <w:bookmarkEnd w:id="1"/>
      <w:r w:rsidR="00A75A10" w:rsidRPr="001E457B">
        <w:rPr>
          <w:noProof/>
          <w:lang w:val="cs-CZ"/>
        </w:rPr>
        <w:t>2</w:t>
      </w:r>
      <w:r w:rsidR="00AC4B87" w:rsidRPr="001E457B">
        <w:t xml:space="preserve">: </w:t>
      </w:r>
      <w:r w:rsidR="007D4834" w:rsidRPr="00F33B51">
        <w:rPr>
          <w:lang w:val="cs-CZ"/>
        </w:rPr>
        <w:t xml:space="preserve">Roční čisté peněžní příjmy domácností na osobu </w:t>
      </w:r>
      <w:r w:rsidR="00CD54B0" w:rsidRPr="00F33B51">
        <w:rPr>
          <w:lang w:val="cs-CZ"/>
        </w:rPr>
        <w:t xml:space="preserve">podle typu </w:t>
      </w:r>
      <w:r w:rsidR="00CD54B0" w:rsidRPr="00596332">
        <w:rPr>
          <w:lang w:val="cs-CZ"/>
        </w:rPr>
        <w:t>domácnosti (2022)</w:t>
      </w:r>
      <w:r w:rsidR="006D40E6" w:rsidRPr="001E457B">
        <w:rPr>
          <w:color w:val="FF0000"/>
          <w:lang w:val="cs-CZ"/>
        </w:rPr>
        <w:t xml:space="preserve"> </w:t>
      </w:r>
    </w:p>
    <w:p w14:paraId="79ADD06B" w14:textId="39DB20C2" w:rsidR="00596332" w:rsidRDefault="00596332" w:rsidP="00AE1FAB">
      <w:pPr>
        <w:spacing w:after="240"/>
        <w:jc w:val="center"/>
        <w:rPr>
          <w:rFonts w:ascii="Arial Narrow" w:hAnsi="Arial Narrow"/>
          <w:sz w:val="24"/>
          <w:szCs w:val="24"/>
        </w:rPr>
      </w:pPr>
      <w:r w:rsidRPr="00596332">
        <w:rPr>
          <w:rFonts w:ascii="Arial Narrow" w:hAnsi="Arial Narrow"/>
          <w:noProof/>
          <w:sz w:val="24"/>
          <w:szCs w:val="24"/>
          <w:lang w:eastAsia="cs-CZ"/>
        </w:rPr>
        <w:drawing>
          <wp:inline distT="0" distB="0" distL="0" distR="0" wp14:anchorId="26848127" wp14:editId="1284FD1D">
            <wp:extent cx="5514975" cy="3164877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33960" cy="3175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1930E0" w14:textId="11127041" w:rsidR="00B20E99" w:rsidRDefault="001219D7" w:rsidP="00B20E99">
      <w:pPr>
        <w:spacing w:after="240"/>
        <w:jc w:val="both"/>
        <w:rPr>
          <w:rFonts w:ascii="Arial Narrow" w:hAnsi="Arial Narrow"/>
          <w:sz w:val="24"/>
          <w:szCs w:val="24"/>
        </w:rPr>
      </w:pPr>
      <w:r w:rsidRPr="001219D7">
        <w:rPr>
          <w:rFonts w:ascii="Arial Narrow" w:hAnsi="Arial Narrow"/>
          <w:sz w:val="24"/>
          <w:szCs w:val="24"/>
        </w:rPr>
        <w:lastRenderedPageBreak/>
        <w:t>Na srovnání dat z let 2020 až 2022 je patrné, že s</w:t>
      </w:r>
      <w:r w:rsidR="0031724C" w:rsidRPr="001219D7">
        <w:rPr>
          <w:rFonts w:ascii="Arial Narrow" w:hAnsi="Arial Narrow"/>
          <w:sz w:val="24"/>
          <w:szCs w:val="24"/>
        </w:rPr>
        <w:t xml:space="preserve">truktura hrubých </w:t>
      </w:r>
      <w:r w:rsidR="00BC3550" w:rsidRPr="001219D7">
        <w:rPr>
          <w:rFonts w:ascii="Arial Narrow" w:hAnsi="Arial Narrow"/>
          <w:sz w:val="24"/>
          <w:szCs w:val="24"/>
        </w:rPr>
        <w:t xml:space="preserve">peněžních </w:t>
      </w:r>
      <w:r w:rsidRPr="001219D7">
        <w:rPr>
          <w:rFonts w:ascii="Arial Narrow" w:hAnsi="Arial Narrow"/>
          <w:sz w:val="24"/>
          <w:szCs w:val="24"/>
        </w:rPr>
        <w:t>příjmů domácností zůstává</w:t>
      </w:r>
      <w:r w:rsidR="0031724C" w:rsidRPr="001219D7">
        <w:rPr>
          <w:rFonts w:ascii="Arial Narrow" w:hAnsi="Arial Narrow"/>
          <w:sz w:val="24"/>
          <w:szCs w:val="24"/>
        </w:rPr>
        <w:t xml:space="preserve"> v čase </w:t>
      </w:r>
      <w:r w:rsidR="005C2F25">
        <w:rPr>
          <w:rFonts w:ascii="Arial Narrow" w:hAnsi="Arial Narrow"/>
          <w:sz w:val="24"/>
          <w:szCs w:val="24"/>
        </w:rPr>
        <w:t xml:space="preserve">poměrně </w:t>
      </w:r>
      <w:r w:rsidR="0031724C" w:rsidRPr="001219D7">
        <w:rPr>
          <w:rFonts w:ascii="Arial Narrow" w:hAnsi="Arial Narrow"/>
          <w:sz w:val="24"/>
          <w:szCs w:val="24"/>
        </w:rPr>
        <w:t>stabilní</w:t>
      </w:r>
      <w:r w:rsidR="00F33B51">
        <w:rPr>
          <w:rFonts w:ascii="Arial Narrow" w:hAnsi="Arial Narrow"/>
          <w:sz w:val="24"/>
          <w:szCs w:val="24"/>
        </w:rPr>
        <w:t>, avšak zároveň dochází k mírnému nárůstu podílu důchodů na celkových příjmech. Důchody spol</w:t>
      </w:r>
      <w:r w:rsidR="0073034F">
        <w:rPr>
          <w:rFonts w:ascii="Arial Narrow" w:hAnsi="Arial Narrow"/>
          <w:sz w:val="24"/>
          <w:szCs w:val="24"/>
        </w:rPr>
        <w:t xml:space="preserve">u se sociálními dávkami tvoří </w:t>
      </w:r>
      <w:r w:rsidR="00F33B51">
        <w:rPr>
          <w:rFonts w:ascii="Arial Narrow" w:hAnsi="Arial Narrow"/>
          <w:sz w:val="24"/>
          <w:szCs w:val="24"/>
        </w:rPr>
        <w:t xml:space="preserve">zhruba pětinu </w:t>
      </w:r>
      <w:r w:rsidR="0073034F">
        <w:rPr>
          <w:rFonts w:ascii="Arial Narrow" w:hAnsi="Arial Narrow"/>
          <w:sz w:val="24"/>
          <w:szCs w:val="24"/>
        </w:rPr>
        <w:t xml:space="preserve">všech </w:t>
      </w:r>
      <w:r w:rsidR="00F33B51">
        <w:rPr>
          <w:rFonts w:ascii="Arial Narrow" w:hAnsi="Arial Narrow"/>
          <w:sz w:val="24"/>
          <w:szCs w:val="24"/>
        </w:rPr>
        <w:t xml:space="preserve">příjmů domácností. V průběhu let </w:t>
      </w:r>
      <w:r w:rsidR="0073034F">
        <w:rPr>
          <w:rFonts w:ascii="Arial Narrow" w:hAnsi="Arial Narrow"/>
          <w:sz w:val="24"/>
          <w:szCs w:val="24"/>
        </w:rPr>
        <w:t>roste podíl příjmů z důchodů, a to na úkor</w:t>
      </w:r>
      <w:r w:rsidR="00F33B51">
        <w:rPr>
          <w:rFonts w:ascii="Arial Narrow" w:hAnsi="Arial Narrow"/>
          <w:sz w:val="24"/>
          <w:szCs w:val="24"/>
        </w:rPr>
        <w:t xml:space="preserve"> příjmů z</w:t>
      </w:r>
      <w:r w:rsidR="0073034F">
        <w:rPr>
          <w:rFonts w:ascii="Arial Narrow" w:hAnsi="Arial Narrow"/>
          <w:sz w:val="24"/>
          <w:szCs w:val="24"/>
        </w:rPr>
        <w:t>e závislé</w:t>
      </w:r>
      <w:r w:rsidR="00F33B51">
        <w:rPr>
          <w:rFonts w:ascii="Arial Narrow" w:hAnsi="Arial Narrow"/>
          <w:sz w:val="24"/>
          <w:szCs w:val="24"/>
        </w:rPr>
        <w:t xml:space="preserve"> činnosti. V </w:t>
      </w:r>
      <w:r w:rsidR="000D4ABE">
        <w:rPr>
          <w:rFonts w:ascii="Arial Narrow" w:hAnsi="Arial Narrow"/>
          <w:sz w:val="24"/>
          <w:szCs w:val="24"/>
        </w:rPr>
        <w:t>roce 2022 vycházelo 61,5</w:t>
      </w:r>
      <w:r w:rsidR="00F33B51">
        <w:rPr>
          <w:rFonts w:ascii="Arial Narrow" w:hAnsi="Arial Narrow"/>
          <w:sz w:val="24"/>
          <w:szCs w:val="24"/>
        </w:rPr>
        <w:t xml:space="preserve"> % příjmů ze </w:t>
      </w:r>
      <w:r w:rsidRPr="001219D7">
        <w:rPr>
          <w:rFonts w:ascii="Arial Narrow" w:hAnsi="Arial Narrow"/>
          <w:sz w:val="24"/>
          <w:szCs w:val="24"/>
        </w:rPr>
        <w:t xml:space="preserve">závislé činnosti </w:t>
      </w:r>
      <w:r w:rsidR="002D5931">
        <w:rPr>
          <w:rFonts w:ascii="Arial Narrow" w:hAnsi="Arial Narrow"/>
          <w:sz w:val="24"/>
          <w:szCs w:val="24"/>
        </w:rPr>
        <w:t>a 13,9 % z podnikání, celkem tedy zhruba tři čtvrtiny příjmů.</w:t>
      </w:r>
    </w:p>
    <w:p w14:paraId="490947F2" w14:textId="5CD83A1E" w:rsidR="00596332" w:rsidRDefault="00B20E99" w:rsidP="00596332">
      <w:pPr>
        <w:pStyle w:val="3GRAF"/>
        <w:spacing w:after="120"/>
        <w:jc w:val="both"/>
        <w:rPr>
          <w:sz w:val="24"/>
          <w:szCs w:val="24"/>
        </w:rPr>
      </w:pPr>
      <w:r w:rsidRPr="00CD54B0">
        <w:t xml:space="preserve">Graf </w:t>
      </w:r>
      <w:r w:rsidRPr="00CD211A">
        <w:rPr>
          <w:lang w:val="cs-CZ"/>
        </w:rPr>
        <w:t>3</w:t>
      </w:r>
      <w:r w:rsidRPr="00CD211A">
        <w:t>:</w:t>
      </w:r>
      <w:r w:rsidRPr="00CD54B0">
        <w:t xml:space="preserve"> </w:t>
      </w:r>
      <w:r>
        <w:rPr>
          <w:lang w:val="cs-CZ"/>
        </w:rPr>
        <w:t xml:space="preserve">Struktura hrubých peněžních </w:t>
      </w:r>
      <w:r w:rsidR="004D535D">
        <w:rPr>
          <w:lang w:val="cs-CZ"/>
        </w:rPr>
        <w:t>příjmů domácností (2020</w:t>
      </w:r>
      <w:r w:rsidR="004D535D" w:rsidRPr="00596332">
        <w:t>–</w:t>
      </w:r>
      <w:r w:rsidRPr="00596332">
        <w:rPr>
          <w:lang w:val="cs-CZ"/>
        </w:rPr>
        <w:t>2022, v %)</w:t>
      </w:r>
    </w:p>
    <w:p w14:paraId="7D79B869" w14:textId="3ABAABDF" w:rsidR="00596332" w:rsidRPr="007638EE" w:rsidRDefault="00596332" w:rsidP="00AE1FAB">
      <w:pPr>
        <w:jc w:val="center"/>
        <w:rPr>
          <w:rFonts w:ascii="Arial Narrow" w:hAnsi="Arial Narrow"/>
          <w:sz w:val="24"/>
          <w:szCs w:val="24"/>
        </w:rPr>
      </w:pPr>
      <w:r w:rsidRPr="00596332">
        <w:rPr>
          <w:rFonts w:ascii="Arial Narrow" w:hAnsi="Arial Narrow"/>
          <w:noProof/>
          <w:sz w:val="24"/>
          <w:szCs w:val="24"/>
          <w:lang w:eastAsia="cs-CZ"/>
        </w:rPr>
        <w:drawing>
          <wp:inline distT="0" distB="0" distL="0" distR="0" wp14:anchorId="26605B29" wp14:editId="6B905FE0">
            <wp:extent cx="5934075" cy="2638425"/>
            <wp:effectExtent l="0" t="0" r="0" b="0"/>
            <wp:docPr id="16" name="Graf 1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5011EA0" w14:textId="00B77B66" w:rsidR="00102B40" w:rsidRPr="00F6087E" w:rsidRDefault="005548AA" w:rsidP="00E6178B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Pouze v</w:t>
      </w:r>
      <w:r w:rsidR="00F6087E">
        <w:rPr>
          <w:rFonts w:ascii="Arial Narrow" w:hAnsi="Arial Narrow"/>
          <w:sz w:val="24"/>
          <w:szCs w:val="24"/>
        </w:rPr>
        <w:t> předchozím sledovaném období, tedy v roce 2021,</w:t>
      </w:r>
      <w:r w:rsidR="00F6087E" w:rsidRPr="00F6087E">
        <w:rPr>
          <w:rFonts w:ascii="Arial Narrow" w:hAnsi="Arial Narrow"/>
          <w:sz w:val="24"/>
          <w:szCs w:val="24"/>
        </w:rPr>
        <w:t xml:space="preserve"> rostly čisté a hrubé příjmy odlišnou rychlostí</w:t>
      </w:r>
      <w:r>
        <w:rPr>
          <w:rFonts w:ascii="Arial Narrow" w:hAnsi="Arial Narrow"/>
          <w:sz w:val="24"/>
          <w:szCs w:val="24"/>
        </w:rPr>
        <w:t>. Tento rozdíl byl způsoben</w:t>
      </w:r>
      <w:r w:rsidR="00F6087E" w:rsidRPr="00F6087E">
        <w:rPr>
          <w:rFonts w:ascii="Arial Narrow" w:hAnsi="Arial Narrow"/>
          <w:sz w:val="24"/>
          <w:szCs w:val="24"/>
        </w:rPr>
        <w:t xml:space="preserve"> především </w:t>
      </w:r>
      <w:r w:rsidR="00A94EFC">
        <w:rPr>
          <w:rFonts w:ascii="Arial Narrow" w:hAnsi="Arial Narrow"/>
          <w:sz w:val="24"/>
          <w:szCs w:val="24"/>
        </w:rPr>
        <w:t>z</w:t>
      </w:r>
      <w:r>
        <w:rPr>
          <w:rFonts w:ascii="Arial Narrow" w:hAnsi="Arial Narrow"/>
          <w:sz w:val="24"/>
          <w:szCs w:val="24"/>
        </w:rPr>
        <w:t> </w:t>
      </w:r>
      <w:r w:rsidR="00A94EFC">
        <w:rPr>
          <w:rFonts w:ascii="Arial Narrow" w:hAnsi="Arial Narrow"/>
          <w:sz w:val="24"/>
          <w:szCs w:val="24"/>
        </w:rPr>
        <w:t>důvodu</w:t>
      </w:r>
      <w:r>
        <w:rPr>
          <w:rFonts w:ascii="Arial Narrow" w:hAnsi="Arial Narrow"/>
          <w:sz w:val="24"/>
          <w:szCs w:val="24"/>
        </w:rPr>
        <w:t xml:space="preserve"> změny výpočtu základu daně z</w:t>
      </w:r>
      <w:r w:rsidR="00B65761">
        <w:rPr>
          <w:rFonts w:ascii="Arial Narrow" w:hAnsi="Arial Narrow"/>
          <w:sz w:val="24"/>
          <w:szCs w:val="24"/>
        </w:rPr>
        <w:t>e superhrubé mzdy na</w:t>
      </w:r>
      <w:r>
        <w:rPr>
          <w:rFonts w:ascii="Arial Narrow" w:hAnsi="Arial Narrow"/>
          <w:sz w:val="24"/>
          <w:szCs w:val="24"/>
        </w:rPr>
        <w:t> </w:t>
      </w:r>
      <w:r w:rsidR="00B65761">
        <w:rPr>
          <w:rFonts w:ascii="Arial Narrow" w:hAnsi="Arial Narrow"/>
          <w:sz w:val="24"/>
          <w:szCs w:val="24"/>
        </w:rPr>
        <w:t>hrubou mzdu</w:t>
      </w:r>
      <w:r w:rsidR="00F6087E" w:rsidRPr="00F6087E">
        <w:rPr>
          <w:rFonts w:ascii="Arial Narrow" w:hAnsi="Arial Narrow"/>
          <w:sz w:val="24"/>
          <w:szCs w:val="24"/>
        </w:rPr>
        <w:t xml:space="preserve">. V roce 2022 </w:t>
      </w:r>
      <w:r w:rsidR="007638EE">
        <w:rPr>
          <w:rFonts w:ascii="Arial Narrow" w:hAnsi="Arial Narrow"/>
          <w:sz w:val="24"/>
          <w:szCs w:val="24"/>
        </w:rPr>
        <w:t xml:space="preserve">se potom tempo růstu čistých a hrubých příjmů </w:t>
      </w:r>
      <w:r w:rsidR="004B29E8">
        <w:rPr>
          <w:rFonts w:ascii="Arial Narrow" w:hAnsi="Arial Narrow"/>
          <w:sz w:val="24"/>
          <w:szCs w:val="24"/>
        </w:rPr>
        <w:t>přiblížilo</w:t>
      </w:r>
      <w:r w:rsidR="007638EE">
        <w:rPr>
          <w:rFonts w:ascii="Arial Narrow" w:hAnsi="Arial Narrow"/>
          <w:sz w:val="24"/>
          <w:szCs w:val="24"/>
        </w:rPr>
        <w:t xml:space="preserve">. </w:t>
      </w:r>
      <w:r w:rsidR="00B65761">
        <w:rPr>
          <w:rFonts w:ascii="Arial Narrow" w:hAnsi="Arial Narrow"/>
          <w:sz w:val="24"/>
          <w:szCs w:val="24"/>
        </w:rPr>
        <w:t>Ačkoliv čisté a </w:t>
      </w:r>
      <w:r w:rsidR="007638EE">
        <w:rPr>
          <w:rFonts w:ascii="Arial Narrow" w:hAnsi="Arial Narrow"/>
          <w:sz w:val="24"/>
          <w:szCs w:val="24"/>
        </w:rPr>
        <w:t>hrubé příjmy domácností</w:t>
      </w:r>
      <w:r w:rsidR="00F6087E" w:rsidRPr="00F6087E">
        <w:rPr>
          <w:rFonts w:ascii="Arial Narrow" w:hAnsi="Arial Narrow"/>
          <w:sz w:val="24"/>
          <w:szCs w:val="24"/>
        </w:rPr>
        <w:t xml:space="preserve"> rostly </w:t>
      </w:r>
      <w:r w:rsidR="00E96587">
        <w:rPr>
          <w:rFonts w:ascii="Arial Narrow" w:hAnsi="Arial Narrow"/>
          <w:sz w:val="24"/>
          <w:szCs w:val="24"/>
        </w:rPr>
        <w:t>zhruba stejně</w:t>
      </w:r>
      <w:r w:rsidR="00F6087E" w:rsidRPr="00F6087E">
        <w:rPr>
          <w:rFonts w:ascii="Arial Narrow" w:hAnsi="Arial Narrow"/>
          <w:sz w:val="24"/>
          <w:szCs w:val="24"/>
        </w:rPr>
        <w:t>,</w:t>
      </w:r>
      <w:r w:rsidR="007638EE">
        <w:rPr>
          <w:rFonts w:ascii="Arial Narrow" w:hAnsi="Arial Narrow"/>
          <w:sz w:val="24"/>
          <w:szCs w:val="24"/>
        </w:rPr>
        <w:t xml:space="preserve"> meziročně byl zaznamenán</w:t>
      </w:r>
      <w:r w:rsidR="005C5B2C">
        <w:rPr>
          <w:rFonts w:ascii="Arial Narrow" w:hAnsi="Arial Narrow"/>
          <w:sz w:val="24"/>
          <w:szCs w:val="24"/>
        </w:rPr>
        <w:t xml:space="preserve"> mírně</w:t>
      </w:r>
      <w:r w:rsidR="007638EE">
        <w:rPr>
          <w:rFonts w:ascii="Arial Narrow" w:hAnsi="Arial Narrow"/>
          <w:sz w:val="24"/>
          <w:szCs w:val="24"/>
        </w:rPr>
        <w:t xml:space="preserve"> vyšší nárůst čistých </w:t>
      </w:r>
      <w:r w:rsidR="007638EE" w:rsidRPr="001676D5">
        <w:rPr>
          <w:rFonts w:ascii="Arial Narrow" w:hAnsi="Arial Narrow"/>
          <w:sz w:val="24"/>
          <w:szCs w:val="24"/>
        </w:rPr>
        <w:t>příjmů (</w:t>
      </w:r>
      <w:r w:rsidR="000D4ABE">
        <w:rPr>
          <w:rFonts w:ascii="Arial Narrow" w:hAnsi="Arial Narrow"/>
          <w:sz w:val="24"/>
          <w:szCs w:val="24"/>
        </w:rPr>
        <w:t>7,7</w:t>
      </w:r>
      <w:r w:rsidR="007638EE" w:rsidRPr="001676D5">
        <w:rPr>
          <w:rFonts w:ascii="Arial Narrow" w:hAnsi="Arial Narrow"/>
          <w:sz w:val="24"/>
          <w:szCs w:val="24"/>
        </w:rPr>
        <w:t xml:space="preserve"> %) oproti</w:t>
      </w:r>
      <w:r w:rsidR="007638EE">
        <w:rPr>
          <w:rFonts w:ascii="Arial Narrow" w:hAnsi="Arial Narrow"/>
          <w:sz w:val="24"/>
          <w:szCs w:val="24"/>
        </w:rPr>
        <w:t xml:space="preserve"> příjmům </w:t>
      </w:r>
      <w:r w:rsidR="007638EE" w:rsidRPr="002739DB">
        <w:rPr>
          <w:rFonts w:ascii="Arial Narrow" w:hAnsi="Arial Narrow"/>
          <w:sz w:val="24"/>
          <w:szCs w:val="24"/>
        </w:rPr>
        <w:t>hrubým (</w:t>
      </w:r>
      <w:r w:rsidR="000D4ABE">
        <w:rPr>
          <w:rFonts w:ascii="Arial Narrow" w:hAnsi="Arial Narrow"/>
          <w:sz w:val="24"/>
          <w:szCs w:val="24"/>
        </w:rPr>
        <w:t>7,5</w:t>
      </w:r>
      <w:r w:rsidR="002739DB" w:rsidRPr="002739DB">
        <w:rPr>
          <w:rFonts w:ascii="Arial Narrow" w:hAnsi="Arial Narrow"/>
          <w:sz w:val="24"/>
          <w:szCs w:val="24"/>
        </w:rPr>
        <w:t xml:space="preserve"> </w:t>
      </w:r>
      <w:r w:rsidR="007638EE" w:rsidRPr="002739DB">
        <w:rPr>
          <w:rFonts w:ascii="Arial Narrow" w:hAnsi="Arial Narrow"/>
          <w:sz w:val="24"/>
          <w:szCs w:val="24"/>
        </w:rPr>
        <w:t>%).</w:t>
      </w:r>
      <w:r w:rsidR="007638EE">
        <w:rPr>
          <w:rFonts w:ascii="Arial Narrow" w:hAnsi="Arial Narrow"/>
          <w:sz w:val="24"/>
          <w:szCs w:val="24"/>
        </w:rPr>
        <w:t xml:space="preserve"> Na tento rozdíl mělo vliv zejména navýšení slevy na poplatníka v roce 2022. </w:t>
      </w:r>
      <w:r w:rsidR="00640D6C">
        <w:rPr>
          <w:rFonts w:ascii="Arial Narrow" w:hAnsi="Arial Narrow"/>
          <w:sz w:val="24"/>
          <w:szCs w:val="24"/>
        </w:rPr>
        <w:t xml:space="preserve">Po započítání inflace, která v roce 2022 činila průměrně 15,1 %, reálné </w:t>
      </w:r>
      <w:r w:rsidR="0031724C" w:rsidRPr="00F6087E">
        <w:rPr>
          <w:rFonts w:ascii="Arial Narrow" w:hAnsi="Arial Narrow"/>
          <w:sz w:val="24"/>
          <w:szCs w:val="24"/>
        </w:rPr>
        <w:t xml:space="preserve">příjmy </w:t>
      </w:r>
      <w:r w:rsidR="00251FB6">
        <w:rPr>
          <w:rFonts w:ascii="Arial Narrow" w:hAnsi="Arial Narrow"/>
          <w:sz w:val="24"/>
          <w:szCs w:val="24"/>
        </w:rPr>
        <w:t xml:space="preserve">domácností </w:t>
      </w:r>
      <w:r w:rsidR="00F6087E">
        <w:rPr>
          <w:rFonts w:ascii="Arial Narrow" w:hAnsi="Arial Narrow"/>
          <w:sz w:val="24"/>
          <w:szCs w:val="24"/>
        </w:rPr>
        <w:t xml:space="preserve">poklesly o </w:t>
      </w:r>
      <w:r w:rsidR="000D4ABE">
        <w:rPr>
          <w:rFonts w:ascii="Arial Narrow" w:hAnsi="Arial Narrow"/>
          <w:sz w:val="24"/>
          <w:szCs w:val="24"/>
        </w:rPr>
        <w:t>6,5</w:t>
      </w:r>
      <w:r w:rsidR="00640D6C">
        <w:rPr>
          <w:rFonts w:ascii="Arial Narrow" w:hAnsi="Arial Narrow"/>
          <w:sz w:val="24"/>
          <w:szCs w:val="24"/>
        </w:rPr>
        <w:t xml:space="preserve"> %.</w:t>
      </w:r>
    </w:p>
    <w:p w14:paraId="386290B9" w14:textId="5F3BC198" w:rsidR="002739DB" w:rsidRPr="00596332" w:rsidRDefault="00E6178B" w:rsidP="00596332">
      <w:pPr>
        <w:pStyle w:val="3GRAF"/>
        <w:spacing w:after="120"/>
        <w:jc w:val="both"/>
        <w:rPr>
          <w:lang w:val="cs-CZ"/>
        </w:rPr>
      </w:pPr>
      <w:r w:rsidRPr="00596332">
        <w:t xml:space="preserve">Graf </w:t>
      </w:r>
      <w:r w:rsidR="006B7B9F" w:rsidRPr="00596332">
        <w:rPr>
          <w:lang w:val="cs-CZ"/>
        </w:rPr>
        <w:t>4</w:t>
      </w:r>
      <w:r w:rsidRPr="00596332">
        <w:t xml:space="preserve">: </w:t>
      </w:r>
      <w:r w:rsidRPr="00596332">
        <w:rPr>
          <w:lang w:val="cs-CZ"/>
        </w:rPr>
        <w:t xml:space="preserve">Meziroční růst peněžních příjmů domácnosti </w:t>
      </w:r>
      <w:r w:rsidR="004D535D">
        <w:rPr>
          <w:lang w:val="cs-CZ"/>
        </w:rPr>
        <w:t>v období 2013</w:t>
      </w:r>
      <w:r w:rsidR="004D535D" w:rsidRPr="00596332">
        <w:t>–</w:t>
      </w:r>
      <w:r w:rsidR="00CD54B0" w:rsidRPr="00596332">
        <w:rPr>
          <w:lang w:val="cs-CZ"/>
        </w:rPr>
        <w:t>2022</w:t>
      </w:r>
      <w:r w:rsidRPr="00596332">
        <w:rPr>
          <w:lang w:val="cs-CZ"/>
        </w:rPr>
        <w:t xml:space="preserve"> (v %)</w:t>
      </w:r>
    </w:p>
    <w:p w14:paraId="38EB28E7" w14:textId="4770E182" w:rsidR="00596332" w:rsidRDefault="00596332" w:rsidP="00AE1FAB">
      <w:pPr>
        <w:spacing w:after="240"/>
        <w:jc w:val="center"/>
        <w:rPr>
          <w:rFonts w:ascii="Arial Narrow" w:hAnsi="Arial Narrow"/>
          <w:noProof/>
          <w:sz w:val="24"/>
          <w:szCs w:val="24"/>
          <w:lang w:eastAsia="cs-CZ"/>
        </w:rPr>
      </w:pPr>
      <w:r w:rsidRPr="00596332">
        <w:rPr>
          <w:rFonts w:ascii="Arial Narrow" w:hAnsi="Arial Narrow"/>
          <w:noProof/>
          <w:sz w:val="24"/>
          <w:szCs w:val="24"/>
          <w:lang w:eastAsia="cs-CZ"/>
        </w:rPr>
        <w:drawing>
          <wp:inline distT="0" distB="0" distL="0" distR="0" wp14:anchorId="50881F1A" wp14:editId="5F05D010">
            <wp:extent cx="5759450" cy="3240405"/>
            <wp:effectExtent l="0" t="0" r="0" b="0"/>
            <wp:docPr id="22" name="Graf 2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2F207A89" w14:textId="6FD0A021" w:rsidR="003C1D89" w:rsidRPr="009F2BFB" w:rsidRDefault="00DF27A3" w:rsidP="009F2BFB">
      <w:pPr>
        <w:spacing w:after="240"/>
        <w:jc w:val="both"/>
        <w:rPr>
          <w:rFonts w:ascii="Arial Narrow" w:hAnsi="Arial Narrow"/>
          <w:sz w:val="24"/>
          <w:szCs w:val="24"/>
          <w:highlight w:val="yellow"/>
        </w:rPr>
      </w:pPr>
      <w:r>
        <w:rPr>
          <w:rFonts w:ascii="Arial Narrow" w:hAnsi="Arial Narrow"/>
          <w:noProof/>
          <w:sz w:val="24"/>
          <w:szCs w:val="24"/>
          <w:lang w:eastAsia="cs-CZ"/>
        </w:rPr>
        <w:lastRenderedPageBreak/>
        <w:t>Příjmovou s</w:t>
      </w:r>
      <w:r w:rsidR="005C6F45" w:rsidRPr="00F74230">
        <w:rPr>
          <w:rFonts w:ascii="Arial Narrow" w:hAnsi="Arial Narrow"/>
          <w:noProof/>
          <w:sz w:val="24"/>
          <w:szCs w:val="24"/>
          <w:lang w:eastAsia="cs-CZ"/>
        </w:rPr>
        <w:t>ituaci dokresluje i subjektivní vnímání domácností, jak vycházejí se svými příjmy.</w:t>
      </w:r>
      <w:r w:rsidR="002D5931">
        <w:rPr>
          <w:rFonts w:ascii="Arial Narrow" w:hAnsi="Arial Narrow"/>
          <w:noProof/>
          <w:sz w:val="24"/>
          <w:szCs w:val="24"/>
          <w:lang w:eastAsia="cs-CZ"/>
        </w:rPr>
        <w:t xml:space="preserve"> </w:t>
      </w:r>
      <w:r w:rsidR="005F1352">
        <w:rPr>
          <w:rFonts w:ascii="Arial Narrow" w:hAnsi="Arial Narrow"/>
          <w:noProof/>
          <w:sz w:val="24"/>
          <w:szCs w:val="24"/>
          <w:lang w:eastAsia="cs-CZ"/>
        </w:rPr>
        <w:t xml:space="preserve">V roce 2023 </w:t>
      </w:r>
      <w:r w:rsidR="002D5931">
        <w:rPr>
          <w:rFonts w:ascii="Arial Narrow" w:hAnsi="Arial Narrow"/>
          <w:noProof/>
          <w:sz w:val="24"/>
          <w:szCs w:val="24"/>
          <w:lang w:eastAsia="cs-CZ"/>
        </w:rPr>
        <w:t>byl zaznamenán pokles</w:t>
      </w:r>
      <w:r w:rsidR="003C1D89">
        <w:rPr>
          <w:rFonts w:ascii="Arial Narrow" w:hAnsi="Arial Narrow"/>
          <w:noProof/>
          <w:sz w:val="24"/>
          <w:szCs w:val="24"/>
          <w:lang w:eastAsia="cs-CZ"/>
        </w:rPr>
        <w:t xml:space="preserve"> počtu domácností, které vycházejí se svými příjmy snadno až velmi snadno, a to meziročně o 1 procentní bod. Naopak</w:t>
      </w:r>
      <w:r w:rsidR="005F1352">
        <w:rPr>
          <w:rFonts w:ascii="Arial Narrow" w:hAnsi="Arial Narrow"/>
          <w:noProof/>
          <w:sz w:val="24"/>
          <w:szCs w:val="24"/>
          <w:lang w:eastAsia="cs-CZ"/>
        </w:rPr>
        <w:t xml:space="preserve"> dochází k postupnému nárůstu počtu</w:t>
      </w:r>
      <w:r w:rsidR="003C1D89">
        <w:rPr>
          <w:rFonts w:ascii="Arial Narrow" w:hAnsi="Arial Narrow"/>
          <w:noProof/>
          <w:sz w:val="24"/>
          <w:szCs w:val="24"/>
          <w:lang w:eastAsia="cs-CZ"/>
        </w:rPr>
        <w:t xml:space="preserve"> těch domácností, které uvedly, že se svými příjmy vycházejí s obtížemi až s velkými obtížem</w:t>
      </w:r>
      <w:r w:rsidR="005F1352">
        <w:rPr>
          <w:rFonts w:ascii="Arial Narrow" w:hAnsi="Arial Narrow"/>
          <w:noProof/>
          <w:sz w:val="24"/>
          <w:szCs w:val="24"/>
          <w:lang w:eastAsia="cs-CZ"/>
        </w:rPr>
        <w:t>i</w:t>
      </w:r>
      <w:r w:rsidR="003C1D89" w:rsidRPr="00996EED">
        <w:rPr>
          <w:rFonts w:ascii="Arial Narrow" w:hAnsi="Arial Narrow"/>
          <w:noProof/>
          <w:sz w:val="24"/>
          <w:szCs w:val="24"/>
          <w:lang w:eastAsia="cs-CZ"/>
        </w:rPr>
        <w:t xml:space="preserve">. </w:t>
      </w:r>
      <w:r w:rsidR="00A542F2" w:rsidRPr="00996EED">
        <w:rPr>
          <w:rFonts w:ascii="Arial Narrow" w:hAnsi="Arial Narrow"/>
          <w:sz w:val="24"/>
          <w:szCs w:val="24"/>
        </w:rPr>
        <w:t>Z pohledu typu domácnosti vycházely s příjmy nejhůře rodiny tvořené samotným r</w:t>
      </w:r>
      <w:r w:rsidR="00357DB5">
        <w:rPr>
          <w:rFonts w:ascii="Arial Narrow" w:hAnsi="Arial Narrow"/>
          <w:sz w:val="24"/>
          <w:szCs w:val="24"/>
        </w:rPr>
        <w:t>odičem s jedním či více dětmi a </w:t>
      </w:r>
      <w:r w:rsidR="00996EED" w:rsidRPr="00996EED">
        <w:rPr>
          <w:rFonts w:ascii="Arial Narrow" w:hAnsi="Arial Narrow"/>
          <w:sz w:val="24"/>
          <w:szCs w:val="24"/>
        </w:rPr>
        <w:t>jednotlivci starší 65 let</w:t>
      </w:r>
      <w:r w:rsidR="00A542F2" w:rsidRPr="00996EED">
        <w:rPr>
          <w:rFonts w:ascii="Arial Narrow" w:hAnsi="Arial Narrow"/>
          <w:sz w:val="24"/>
          <w:szCs w:val="24"/>
        </w:rPr>
        <w:t>.</w:t>
      </w:r>
    </w:p>
    <w:p w14:paraId="45F7034C" w14:textId="4A9F7D61" w:rsidR="001B52F1" w:rsidRPr="00BF06C0" w:rsidRDefault="00A542F2" w:rsidP="00331A2B">
      <w:pPr>
        <w:pStyle w:val="3GRAF"/>
        <w:spacing w:after="120"/>
        <w:jc w:val="both"/>
        <w:rPr>
          <w:noProof/>
          <w:sz w:val="24"/>
          <w:szCs w:val="24"/>
          <w:lang w:eastAsia="cs-CZ"/>
        </w:rPr>
      </w:pPr>
      <w:r w:rsidRPr="00BF06C0">
        <w:t xml:space="preserve">Graf </w:t>
      </w:r>
      <w:r w:rsidR="006B7B9F">
        <w:rPr>
          <w:lang w:val="cs-CZ"/>
        </w:rPr>
        <w:t>5</w:t>
      </w:r>
      <w:r w:rsidRPr="00BF06C0">
        <w:t xml:space="preserve">: </w:t>
      </w:r>
      <w:r w:rsidRPr="00BF06C0">
        <w:rPr>
          <w:lang w:val="cs-CZ"/>
        </w:rPr>
        <w:t>Jak domácnosti vycházely se svým celkovým příjmem</w:t>
      </w:r>
      <w:r w:rsidR="004D535D">
        <w:rPr>
          <w:lang w:val="cs-CZ"/>
        </w:rPr>
        <w:t xml:space="preserve"> (2019–</w:t>
      </w:r>
      <w:r w:rsidR="00BF06C0" w:rsidRPr="00BF06C0">
        <w:rPr>
          <w:lang w:val="cs-CZ"/>
        </w:rPr>
        <w:t>2023</w:t>
      </w:r>
      <w:r w:rsidRPr="00BF06C0">
        <w:rPr>
          <w:lang w:val="cs-CZ"/>
        </w:rPr>
        <w:t>, v %)</w:t>
      </w:r>
    </w:p>
    <w:p w14:paraId="6215E773" w14:textId="19FFFB09" w:rsidR="006B7B9F" w:rsidRDefault="00BF06C0" w:rsidP="00AE1FAB">
      <w:pPr>
        <w:spacing w:after="0" w:line="288" w:lineRule="auto"/>
        <w:jc w:val="center"/>
        <w:rPr>
          <w:rFonts w:ascii="Arial Narrow" w:hAnsi="Arial Narrow"/>
          <w:noProof/>
          <w:sz w:val="24"/>
          <w:szCs w:val="24"/>
          <w:highlight w:val="yellow"/>
          <w:lang w:eastAsia="cs-CZ"/>
        </w:rPr>
      </w:pPr>
      <w:r w:rsidRPr="00D81E84">
        <w:rPr>
          <w:rFonts w:ascii="Arial Narrow" w:hAnsi="Arial Narrow"/>
          <w:noProof/>
          <w:sz w:val="24"/>
          <w:szCs w:val="24"/>
          <w:lang w:eastAsia="cs-CZ"/>
        </w:rPr>
        <w:drawing>
          <wp:inline distT="0" distB="0" distL="0" distR="0" wp14:anchorId="18C60F78" wp14:editId="4A49153D">
            <wp:extent cx="5591175" cy="3209925"/>
            <wp:effectExtent l="0" t="0" r="0" b="0"/>
            <wp:docPr id="13" name="Graf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0C4E35E8" w14:textId="77777777" w:rsidR="006F7023" w:rsidRPr="006F7023" w:rsidRDefault="006F7023" w:rsidP="006F7023">
      <w:pPr>
        <w:spacing w:after="0" w:line="288" w:lineRule="auto"/>
        <w:jc w:val="center"/>
        <w:rPr>
          <w:rFonts w:ascii="Arial Narrow" w:hAnsi="Arial Narrow"/>
          <w:noProof/>
          <w:sz w:val="24"/>
          <w:szCs w:val="24"/>
          <w:highlight w:val="yellow"/>
          <w:lang w:eastAsia="cs-CZ"/>
        </w:rPr>
      </w:pPr>
    </w:p>
    <w:p w14:paraId="68BA050F" w14:textId="3EEA0F9F" w:rsidR="007638EE" w:rsidRPr="007638EE" w:rsidRDefault="006124DE" w:rsidP="007638EE">
      <w:pPr>
        <w:spacing w:after="120" w:line="288" w:lineRule="auto"/>
        <w:jc w:val="both"/>
        <w:rPr>
          <w:rFonts w:ascii="Arial Narrow" w:hAnsi="Arial Narrow"/>
          <w:b/>
          <w:sz w:val="26"/>
          <w:szCs w:val="26"/>
        </w:rPr>
      </w:pPr>
      <w:r w:rsidRPr="00AE1FAB">
        <w:rPr>
          <w:rFonts w:ascii="Arial Narrow" w:hAnsi="Arial Narrow"/>
          <w:b/>
          <w:sz w:val="26"/>
          <w:szCs w:val="26"/>
        </w:rPr>
        <w:t>Míra</w:t>
      </w:r>
      <w:r w:rsidR="00034970" w:rsidRPr="00AE1FAB">
        <w:rPr>
          <w:rFonts w:ascii="Arial Narrow" w:hAnsi="Arial Narrow"/>
          <w:b/>
          <w:sz w:val="26"/>
          <w:szCs w:val="26"/>
        </w:rPr>
        <w:t xml:space="preserve"> ohrože</w:t>
      </w:r>
      <w:r w:rsidR="00B9778E" w:rsidRPr="00AE1FAB">
        <w:rPr>
          <w:rFonts w:ascii="Arial Narrow" w:hAnsi="Arial Narrow"/>
          <w:b/>
          <w:sz w:val="26"/>
          <w:szCs w:val="26"/>
        </w:rPr>
        <w:t>n</w:t>
      </w:r>
      <w:r w:rsidR="00E21FC5" w:rsidRPr="00AE1FAB">
        <w:rPr>
          <w:rFonts w:ascii="Arial Narrow" w:hAnsi="Arial Narrow"/>
          <w:b/>
          <w:sz w:val="26"/>
          <w:szCs w:val="26"/>
        </w:rPr>
        <w:t>í příjmovou chudobou v roce 202</w:t>
      </w:r>
      <w:r w:rsidR="007C2171" w:rsidRPr="00AE1FAB">
        <w:rPr>
          <w:rFonts w:ascii="Arial Narrow" w:hAnsi="Arial Narrow"/>
          <w:b/>
          <w:sz w:val="26"/>
          <w:szCs w:val="26"/>
        </w:rPr>
        <w:t>3</w:t>
      </w:r>
    </w:p>
    <w:p w14:paraId="45B6C5BC" w14:textId="67A778A9" w:rsidR="00014639" w:rsidRPr="007C2171" w:rsidRDefault="00034970" w:rsidP="0046357B">
      <w:pPr>
        <w:spacing w:after="0" w:line="288" w:lineRule="auto"/>
        <w:jc w:val="both"/>
        <w:rPr>
          <w:rFonts w:ascii="Arial Narrow" w:hAnsi="Arial Narrow"/>
          <w:sz w:val="24"/>
          <w:szCs w:val="32"/>
        </w:rPr>
      </w:pPr>
      <w:r w:rsidRPr="007C2171">
        <w:rPr>
          <w:rFonts w:ascii="Arial Narrow" w:hAnsi="Arial Narrow"/>
          <w:sz w:val="24"/>
          <w:szCs w:val="32"/>
        </w:rPr>
        <w:t xml:space="preserve">Míra ohrožení příjmovou chudobou </w:t>
      </w:r>
      <w:r w:rsidR="008D6564" w:rsidRPr="007C2171">
        <w:rPr>
          <w:rFonts w:ascii="Arial Narrow" w:hAnsi="Arial Narrow"/>
          <w:sz w:val="24"/>
          <w:szCs w:val="32"/>
        </w:rPr>
        <w:t xml:space="preserve">je indikátor, který </w:t>
      </w:r>
      <w:r w:rsidR="00B46AFB" w:rsidRPr="007C2171">
        <w:rPr>
          <w:rFonts w:ascii="Arial Narrow" w:hAnsi="Arial Narrow"/>
          <w:sz w:val="24"/>
          <w:szCs w:val="32"/>
        </w:rPr>
        <w:t>se</w:t>
      </w:r>
      <w:r w:rsidR="008D6564" w:rsidRPr="007C2171">
        <w:rPr>
          <w:rFonts w:ascii="Arial Narrow" w:hAnsi="Arial Narrow"/>
          <w:sz w:val="24"/>
          <w:szCs w:val="32"/>
        </w:rPr>
        <w:t xml:space="preserve"> počítá podle </w:t>
      </w:r>
      <w:r w:rsidR="00FD3EA7" w:rsidRPr="007C2171">
        <w:rPr>
          <w:rFonts w:ascii="Arial Narrow" w:hAnsi="Arial Narrow"/>
          <w:sz w:val="24"/>
          <w:szCs w:val="32"/>
        </w:rPr>
        <w:t xml:space="preserve">mezinárodně platné </w:t>
      </w:r>
      <w:r w:rsidR="008D6564" w:rsidRPr="007C2171">
        <w:rPr>
          <w:rFonts w:ascii="Arial Narrow" w:hAnsi="Arial Narrow"/>
          <w:sz w:val="24"/>
          <w:szCs w:val="32"/>
        </w:rPr>
        <w:t xml:space="preserve">metodiky </w:t>
      </w:r>
      <w:r w:rsidR="00E25D4D" w:rsidRPr="007C2171">
        <w:rPr>
          <w:rFonts w:ascii="Arial Narrow" w:hAnsi="Arial Narrow"/>
          <w:sz w:val="24"/>
          <w:szCs w:val="32"/>
        </w:rPr>
        <w:t xml:space="preserve">dané </w:t>
      </w:r>
      <w:r w:rsidR="008D6564" w:rsidRPr="007C2171">
        <w:rPr>
          <w:rFonts w:ascii="Arial Narrow" w:hAnsi="Arial Narrow"/>
          <w:sz w:val="24"/>
          <w:szCs w:val="32"/>
        </w:rPr>
        <w:t>Eurostatem. U</w:t>
      </w:r>
      <w:r w:rsidRPr="007C2171">
        <w:rPr>
          <w:rFonts w:ascii="Arial Narrow" w:hAnsi="Arial Narrow"/>
          <w:sz w:val="24"/>
          <w:szCs w:val="32"/>
        </w:rPr>
        <w:t>dává podíl osob</w:t>
      </w:r>
      <w:r w:rsidR="00AE410E" w:rsidRPr="007C2171">
        <w:rPr>
          <w:rFonts w:ascii="Arial Narrow" w:hAnsi="Arial Narrow"/>
          <w:sz w:val="24"/>
          <w:szCs w:val="32"/>
        </w:rPr>
        <w:t xml:space="preserve"> v domácnostech</w:t>
      </w:r>
      <w:r w:rsidRPr="007C2171">
        <w:rPr>
          <w:rFonts w:ascii="Arial Narrow" w:hAnsi="Arial Narrow"/>
          <w:sz w:val="24"/>
          <w:szCs w:val="32"/>
        </w:rPr>
        <w:t>, které nedosahují svými příjmy na</w:t>
      </w:r>
      <w:r w:rsidR="002F0144" w:rsidRPr="007C2171">
        <w:rPr>
          <w:rFonts w:ascii="Arial Narrow" w:hAnsi="Arial Narrow"/>
          <w:sz w:val="24"/>
          <w:szCs w:val="32"/>
        </w:rPr>
        <w:t> </w:t>
      </w:r>
      <w:r w:rsidRPr="007C2171">
        <w:rPr>
          <w:rFonts w:ascii="Arial Narrow" w:hAnsi="Arial Narrow"/>
          <w:sz w:val="24"/>
          <w:szCs w:val="32"/>
        </w:rPr>
        <w:t xml:space="preserve">stanovenou hranici příjmů. </w:t>
      </w:r>
      <w:r w:rsidR="00BA77A4" w:rsidRPr="007C2171">
        <w:rPr>
          <w:rFonts w:ascii="Arial Narrow" w:hAnsi="Arial Narrow"/>
          <w:sz w:val="24"/>
          <w:szCs w:val="32"/>
        </w:rPr>
        <w:t xml:space="preserve">Nevypovídá nic o počtu „chudých“ lidí </w:t>
      </w:r>
      <w:r w:rsidR="00E25D4D" w:rsidRPr="007C2171">
        <w:rPr>
          <w:rFonts w:ascii="Arial Narrow" w:hAnsi="Arial Narrow"/>
          <w:sz w:val="24"/>
          <w:szCs w:val="32"/>
        </w:rPr>
        <w:t xml:space="preserve">v zemi </w:t>
      </w:r>
      <w:r w:rsidR="00BA77A4" w:rsidRPr="007C2171">
        <w:rPr>
          <w:rFonts w:ascii="Arial Narrow" w:hAnsi="Arial Narrow"/>
          <w:sz w:val="24"/>
          <w:szCs w:val="32"/>
        </w:rPr>
        <w:t xml:space="preserve">ve smyslu </w:t>
      </w:r>
      <w:r w:rsidR="00444DAF" w:rsidRPr="007C2171">
        <w:rPr>
          <w:rFonts w:ascii="Arial Narrow" w:hAnsi="Arial Narrow"/>
          <w:sz w:val="24"/>
          <w:szCs w:val="32"/>
        </w:rPr>
        <w:t>hmotné nouze</w:t>
      </w:r>
      <w:r w:rsidR="00BA77A4" w:rsidRPr="007C2171">
        <w:rPr>
          <w:rFonts w:ascii="Arial Narrow" w:hAnsi="Arial Narrow"/>
          <w:sz w:val="24"/>
          <w:szCs w:val="32"/>
        </w:rPr>
        <w:t xml:space="preserve">. </w:t>
      </w:r>
      <w:r w:rsidR="00014639" w:rsidRPr="007C2171">
        <w:rPr>
          <w:rFonts w:ascii="Arial Narrow" w:hAnsi="Arial Narrow"/>
          <w:sz w:val="24"/>
          <w:szCs w:val="32"/>
        </w:rPr>
        <w:t xml:space="preserve">Spíše </w:t>
      </w:r>
      <w:r w:rsidR="00E25D4D" w:rsidRPr="007C2171">
        <w:rPr>
          <w:rFonts w:ascii="Arial Narrow" w:hAnsi="Arial Narrow"/>
          <w:sz w:val="24"/>
          <w:szCs w:val="32"/>
        </w:rPr>
        <w:t xml:space="preserve">jde </w:t>
      </w:r>
      <w:r w:rsidR="00014639" w:rsidRPr="007C2171">
        <w:rPr>
          <w:rFonts w:ascii="Arial Narrow" w:hAnsi="Arial Narrow"/>
          <w:sz w:val="24"/>
          <w:szCs w:val="32"/>
        </w:rPr>
        <w:t>o ukazatel</w:t>
      </w:r>
      <w:r w:rsidR="00E25D4D" w:rsidRPr="007C2171">
        <w:rPr>
          <w:rFonts w:ascii="Arial Narrow" w:hAnsi="Arial Narrow"/>
          <w:sz w:val="24"/>
          <w:szCs w:val="32"/>
        </w:rPr>
        <w:t xml:space="preserve"> </w:t>
      </w:r>
      <w:r w:rsidR="00014639" w:rsidRPr="007C2171">
        <w:rPr>
          <w:rFonts w:ascii="Arial Narrow" w:hAnsi="Arial Narrow"/>
          <w:sz w:val="24"/>
          <w:szCs w:val="32"/>
        </w:rPr>
        <w:t xml:space="preserve">příjmové </w:t>
      </w:r>
      <w:r w:rsidR="00E25D4D" w:rsidRPr="007C2171">
        <w:rPr>
          <w:rFonts w:ascii="Arial Narrow" w:hAnsi="Arial Narrow"/>
          <w:sz w:val="24"/>
          <w:szCs w:val="32"/>
        </w:rPr>
        <w:t>(ne)</w:t>
      </w:r>
      <w:r w:rsidR="00014639" w:rsidRPr="007C2171">
        <w:rPr>
          <w:rFonts w:ascii="Arial Narrow" w:hAnsi="Arial Narrow"/>
          <w:sz w:val="24"/>
          <w:szCs w:val="32"/>
        </w:rPr>
        <w:t>rovnosti.</w:t>
      </w:r>
    </w:p>
    <w:p w14:paraId="44E81307" w14:textId="4C017126" w:rsidR="006A1643" w:rsidRPr="00AE1FAB" w:rsidRDefault="002F0144" w:rsidP="00AE1FAB">
      <w:pPr>
        <w:spacing w:before="240" w:after="0" w:line="288" w:lineRule="auto"/>
        <w:jc w:val="both"/>
        <w:rPr>
          <w:rFonts w:ascii="Arial Narrow" w:hAnsi="Arial Narrow"/>
          <w:sz w:val="24"/>
          <w:szCs w:val="32"/>
        </w:rPr>
      </w:pPr>
      <w:r w:rsidRPr="007C2171">
        <w:rPr>
          <w:rFonts w:ascii="Arial Narrow" w:hAnsi="Arial Narrow"/>
          <w:sz w:val="24"/>
          <w:szCs w:val="32"/>
        </w:rPr>
        <w:t>H</w:t>
      </w:r>
      <w:r w:rsidR="00034970" w:rsidRPr="007C2171">
        <w:rPr>
          <w:rFonts w:ascii="Arial Narrow" w:hAnsi="Arial Narrow"/>
          <w:sz w:val="24"/>
          <w:szCs w:val="32"/>
        </w:rPr>
        <w:t xml:space="preserve">ranice </w:t>
      </w:r>
      <w:r w:rsidR="007D3270" w:rsidRPr="007C2171">
        <w:rPr>
          <w:rFonts w:ascii="Arial Narrow" w:hAnsi="Arial Narrow"/>
          <w:sz w:val="24"/>
          <w:szCs w:val="32"/>
        </w:rPr>
        <w:t>ohrožení příjmovou chudobou</w:t>
      </w:r>
      <w:r w:rsidR="008D6564" w:rsidRPr="007C2171">
        <w:rPr>
          <w:rFonts w:ascii="Arial Narrow" w:hAnsi="Arial Narrow"/>
          <w:sz w:val="24"/>
          <w:szCs w:val="32"/>
        </w:rPr>
        <w:t xml:space="preserve"> </w:t>
      </w:r>
      <w:r w:rsidR="00034970" w:rsidRPr="007C2171">
        <w:rPr>
          <w:rFonts w:ascii="Arial Narrow" w:hAnsi="Arial Narrow"/>
          <w:sz w:val="24"/>
          <w:szCs w:val="32"/>
        </w:rPr>
        <w:t>je odvozena z příjmového rozdělení v dané zemi a je definována jako 60</w:t>
      </w:r>
      <w:r w:rsidR="00033534" w:rsidRPr="007C2171">
        <w:rPr>
          <w:rFonts w:ascii="Arial Narrow" w:hAnsi="Arial Narrow"/>
          <w:sz w:val="24"/>
          <w:szCs w:val="32"/>
        </w:rPr>
        <w:t> </w:t>
      </w:r>
      <w:r w:rsidR="00034970" w:rsidRPr="007C2171">
        <w:rPr>
          <w:rFonts w:ascii="Arial Narrow" w:hAnsi="Arial Narrow"/>
          <w:sz w:val="24"/>
          <w:szCs w:val="32"/>
        </w:rPr>
        <w:t xml:space="preserve">% mediánu národního </w:t>
      </w:r>
      <w:r w:rsidR="00E70B54" w:rsidRPr="007C2171">
        <w:rPr>
          <w:rFonts w:ascii="Arial Narrow" w:hAnsi="Arial Narrow"/>
          <w:sz w:val="24"/>
          <w:szCs w:val="32"/>
        </w:rPr>
        <w:t>ekvivalizovaného</w:t>
      </w:r>
      <w:r w:rsidR="003A5F67" w:rsidRPr="007C2171">
        <w:rPr>
          <w:rStyle w:val="Znakapoznpodarou"/>
          <w:rFonts w:ascii="Arial Narrow" w:hAnsi="Arial Narrow"/>
          <w:sz w:val="24"/>
          <w:szCs w:val="32"/>
        </w:rPr>
        <w:footnoteReference w:id="1"/>
      </w:r>
      <w:r w:rsidR="00E70B54" w:rsidRPr="007C2171">
        <w:rPr>
          <w:rFonts w:ascii="Arial Narrow" w:hAnsi="Arial Narrow"/>
          <w:sz w:val="24"/>
          <w:szCs w:val="32"/>
        </w:rPr>
        <w:t xml:space="preserve"> </w:t>
      </w:r>
      <w:r w:rsidR="00034970" w:rsidRPr="007C2171">
        <w:rPr>
          <w:rFonts w:ascii="Arial Narrow" w:hAnsi="Arial Narrow"/>
          <w:sz w:val="24"/>
          <w:szCs w:val="32"/>
        </w:rPr>
        <w:t>di</w:t>
      </w:r>
      <w:r w:rsidR="00F46EE0" w:rsidRPr="007C2171">
        <w:rPr>
          <w:rFonts w:ascii="Arial Narrow" w:hAnsi="Arial Narrow"/>
          <w:sz w:val="24"/>
          <w:szCs w:val="32"/>
        </w:rPr>
        <w:t xml:space="preserve">sponibilního příjmu. </w:t>
      </w:r>
      <w:r w:rsidR="003751CC" w:rsidRPr="007C2171">
        <w:rPr>
          <w:rFonts w:ascii="Arial Narrow" w:hAnsi="Arial Narrow"/>
          <w:sz w:val="24"/>
          <w:szCs w:val="32"/>
        </w:rPr>
        <w:t xml:space="preserve">Při hodnocení rizika příjmové chudoby je totiž třeba zohlednit </w:t>
      </w:r>
      <w:r w:rsidR="002D5931">
        <w:rPr>
          <w:rFonts w:ascii="Arial Narrow" w:hAnsi="Arial Narrow"/>
          <w:sz w:val="24"/>
          <w:szCs w:val="32"/>
        </w:rPr>
        <w:t xml:space="preserve">také </w:t>
      </w:r>
      <w:r w:rsidR="003751CC" w:rsidRPr="007C2171">
        <w:rPr>
          <w:rFonts w:ascii="Arial Narrow" w:hAnsi="Arial Narrow"/>
          <w:sz w:val="24"/>
          <w:szCs w:val="32"/>
        </w:rPr>
        <w:t xml:space="preserve">velikost a </w:t>
      </w:r>
      <w:r w:rsidR="003751CC" w:rsidRPr="007C2171">
        <w:rPr>
          <w:rFonts w:ascii="Arial Narrow" w:hAnsi="Arial Narrow"/>
          <w:sz w:val="24"/>
          <w:szCs w:val="24"/>
        </w:rPr>
        <w:t xml:space="preserve">strukturu dané domácnosti. </w:t>
      </w:r>
      <w:r w:rsidR="00F46EE0" w:rsidRPr="00A42768">
        <w:rPr>
          <w:rFonts w:ascii="Arial Narrow" w:hAnsi="Arial Narrow"/>
          <w:sz w:val="24"/>
          <w:szCs w:val="32"/>
        </w:rPr>
        <w:t>V roce 20</w:t>
      </w:r>
      <w:r w:rsidR="00E21FC5" w:rsidRPr="00A42768">
        <w:rPr>
          <w:rFonts w:ascii="Arial Narrow" w:hAnsi="Arial Narrow"/>
          <w:sz w:val="24"/>
          <w:szCs w:val="32"/>
        </w:rPr>
        <w:t>2</w:t>
      </w:r>
      <w:r w:rsidR="007C2171" w:rsidRPr="00A42768">
        <w:rPr>
          <w:rFonts w:ascii="Arial Narrow" w:hAnsi="Arial Narrow"/>
          <w:sz w:val="24"/>
          <w:szCs w:val="32"/>
        </w:rPr>
        <w:t>3</w:t>
      </w:r>
      <w:r w:rsidR="00E21FC5" w:rsidRPr="00A42768">
        <w:rPr>
          <w:rFonts w:ascii="Arial Narrow" w:hAnsi="Arial Narrow"/>
          <w:sz w:val="24"/>
          <w:szCs w:val="32"/>
        </w:rPr>
        <w:t xml:space="preserve"> (</w:t>
      </w:r>
      <w:r w:rsidR="00D404C5" w:rsidRPr="00A42768">
        <w:rPr>
          <w:rFonts w:ascii="Arial Narrow" w:hAnsi="Arial Narrow"/>
          <w:sz w:val="24"/>
          <w:szCs w:val="32"/>
        </w:rPr>
        <w:t>na základě příjmů za</w:t>
      </w:r>
      <w:r w:rsidR="00721D2E" w:rsidRPr="00A42768">
        <w:rPr>
          <w:rFonts w:ascii="Arial Narrow" w:hAnsi="Arial Narrow"/>
          <w:sz w:val="24"/>
          <w:szCs w:val="32"/>
        </w:rPr>
        <w:t> </w:t>
      </w:r>
      <w:r w:rsidR="00D404C5" w:rsidRPr="00A42768">
        <w:rPr>
          <w:rFonts w:ascii="Arial Narrow" w:hAnsi="Arial Narrow"/>
          <w:sz w:val="24"/>
          <w:szCs w:val="32"/>
        </w:rPr>
        <w:t>rok 20</w:t>
      </w:r>
      <w:r w:rsidR="00E21FC5" w:rsidRPr="00A42768">
        <w:rPr>
          <w:rFonts w:ascii="Arial Narrow" w:hAnsi="Arial Narrow"/>
          <w:sz w:val="24"/>
          <w:szCs w:val="32"/>
        </w:rPr>
        <w:t>2</w:t>
      </w:r>
      <w:r w:rsidR="007C2171" w:rsidRPr="00A42768">
        <w:rPr>
          <w:rFonts w:ascii="Arial Narrow" w:hAnsi="Arial Narrow"/>
          <w:sz w:val="24"/>
          <w:szCs w:val="32"/>
        </w:rPr>
        <w:t>2</w:t>
      </w:r>
      <w:r w:rsidR="00D404C5" w:rsidRPr="00A42768">
        <w:rPr>
          <w:rFonts w:ascii="Arial Narrow" w:hAnsi="Arial Narrow"/>
          <w:sz w:val="24"/>
          <w:szCs w:val="32"/>
        </w:rPr>
        <w:t>)</w:t>
      </w:r>
      <w:r w:rsidRPr="00A42768">
        <w:rPr>
          <w:rFonts w:ascii="Arial Narrow" w:hAnsi="Arial Narrow"/>
          <w:sz w:val="24"/>
          <w:szCs w:val="32"/>
        </w:rPr>
        <w:t xml:space="preserve"> </w:t>
      </w:r>
      <w:r w:rsidR="003751CC" w:rsidRPr="001676D5">
        <w:rPr>
          <w:rFonts w:ascii="Arial Narrow" w:hAnsi="Arial Narrow"/>
          <w:sz w:val="24"/>
          <w:szCs w:val="32"/>
        </w:rPr>
        <w:t xml:space="preserve">činila </w:t>
      </w:r>
      <w:r w:rsidR="00FE4435" w:rsidRPr="001676D5">
        <w:rPr>
          <w:rFonts w:ascii="Arial Narrow" w:hAnsi="Arial Narrow"/>
          <w:sz w:val="24"/>
          <w:szCs w:val="32"/>
        </w:rPr>
        <w:t xml:space="preserve">hranice </w:t>
      </w:r>
      <w:r w:rsidR="005451B7" w:rsidRPr="001676D5">
        <w:rPr>
          <w:rFonts w:ascii="Arial Narrow" w:hAnsi="Arial Narrow"/>
          <w:sz w:val="24"/>
          <w:szCs w:val="32"/>
        </w:rPr>
        <w:t>1</w:t>
      </w:r>
      <w:r w:rsidR="007C2171" w:rsidRPr="001676D5">
        <w:rPr>
          <w:rFonts w:ascii="Arial Narrow" w:hAnsi="Arial Narrow"/>
          <w:sz w:val="24"/>
          <w:szCs w:val="32"/>
        </w:rPr>
        <w:t>6</w:t>
      </w:r>
      <w:r w:rsidR="00A13319" w:rsidRPr="001676D5">
        <w:rPr>
          <w:rFonts w:ascii="Arial Narrow" w:hAnsi="Arial Narrow"/>
          <w:sz w:val="24"/>
          <w:szCs w:val="32"/>
        </w:rPr>
        <w:t xml:space="preserve"> </w:t>
      </w:r>
      <w:r w:rsidR="000D4ABE">
        <w:rPr>
          <w:rFonts w:ascii="Arial Narrow" w:hAnsi="Arial Narrow"/>
          <w:sz w:val="24"/>
          <w:szCs w:val="32"/>
        </w:rPr>
        <w:t>774</w:t>
      </w:r>
      <w:r w:rsidR="00033534" w:rsidRPr="001676D5">
        <w:rPr>
          <w:rFonts w:ascii="Arial Narrow" w:hAnsi="Arial Narrow"/>
          <w:sz w:val="24"/>
          <w:szCs w:val="32"/>
        </w:rPr>
        <w:t> </w:t>
      </w:r>
      <w:r w:rsidR="00034970" w:rsidRPr="001676D5">
        <w:rPr>
          <w:rFonts w:ascii="Arial Narrow" w:hAnsi="Arial Narrow"/>
          <w:sz w:val="24"/>
          <w:szCs w:val="32"/>
        </w:rPr>
        <w:t>Kč</w:t>
      </w:r>
      <w:r w:rsidR="00721D2E" w:rsidRPr="001676D5">
        <w:rPr>
          <w:rFonts w:ascii="Arial Narrow" w:hAnsi="Arial Narrow"/>
          <w:sz w:val="24"/>
          <w:szCs w:val="32"/>
        </w:rPr>
        <w:t xml:space="preserve"> za </w:t>
      </w:r>
      <w:r w:rsidR="00034970" w:rsidRPr="001676D5">
        <w:rPr>
          <w:rFonts w:ascii="Arial Narrow" w:hAnsi="Arial Narrow"/>
          <w:sz w:val="24"/>
          <w:szCs w:val="32"/>
        </w:rPr>
        <w:t>měsíc</w:t>
      </w:r>
      <w:r w:rsidR="00346FF8" w:rsidRPr="00B20E99">
        <w:rPr>
          <w:rFonts w:ascii="Arial Narrow" w:hAnsi="Arial Narrow"/>
          <w:sz w:val="24"/>
          <w:szCs w:val="32"/>
        </w:rPr>
        <w:t xml:space="preserve"> (</w:t>
      </w:r>
      <w:r w:rsidR="00721D2E" w:rsidRPr="001676D5">
        <w:rPr>
          <w:rFonts w:ascii="Arial Narrow" w:hAnsi="Arial Narrow"/>
          <w:sz w:val="24"/>
          <w:szCs w:val="32"/>
        </w:rPr>
        <w:t xml:space="preserve">tzn. </w:t>
      </w:r>
      <w:r w:rsidR="00142818" w:rsidRPr="001676D5">
        <w:rPr>
          <w:rFonts w:ascii="Arial Narrow" w:hAnsi="Arial Narrow"/>
          <w:sz w:val="24"/>
          <w:szCs w:val="32"/>
        </w:rPr>
        <w:t>201</w:t>
      </w:r>
      <w:r w:rsidR="000D4ABE">
        <w:rPr>
          <w:rFonts w:ascii="Arial Narrow" w:hAnsi="Arial Narrow"/>
          <w:sz w:val="24"/>
          <w:szCs w:val="32"/>
        </w:rPr>
        <w:t xml:space="preserve"> 283 </w:t>
      </w:r>
      <w:r w:rsidR="00B04D54" w:rsidRPr="001676D5">
        <w:rPr>
          <w:rFonts w:ascii="Arial Narrow" w:hAnsi="Arial Narrow"/>
          <w:sz w:val="24"/>
          <w:szCs w:val="32"/>
        </w:rPr>
        <w:t>Kč</w:t>
      </w:r>
      <w:r w:rsidR="00721D2E" w:rsidRPr="001676D5">
        <w:rPr>
          <w:rFonts w:ascii="Arial Narrow" w:hAnsi="Arial Narrow"/>
          <w:sz w:val="24"/>
          <w:szCs w:val="32"/>
        </w:rPr>
        <w:t xml:space="preserve"> za</w:t>
      </w:r>
      <w:r w:rsidR="00721D2E" w:rsidRPr="00B20E99">
        <w:rPr>
          <w:rFonts w:ascii="Arial Narrow" w:hAnsi="Arial Narrow"/>
          <w:sz w:val="24"/>
          <w:szCs w:val="32"/>
        </w:rPr>
        <w:t xml:space="preserve"> </w:t>
      </w:r>
      <w:r w:rsidR="00B04D54" w:rsidRPr="00B20E99">
        <w:rPr>
          <w:rFonts w:ascii="Arial Narrow" w:hAnsi="Arial Narrow"/>
          <w:sz w:val="24"/>
          <w:szCs w:val="32"/>
        </w:rPr>
        <w:t>rok)</w:t>
      </w:r>
      <w:r w:rsidR="003751CC" w:rsidRPr="00B20E99">
        <w:rPr>
          <w:rFonts w:ascii="Arial Narrow" w:hAnsi="Arial Narrow"/>
          <w:sz w:val="24"/>
          <w:szCs w:val="32"/>
        </w:rPr>
        <w:t>.</w:t>
      </w:r>
      <w:r w:rsidR="003751CC" w:rsidRPr="000A28A1">
        <w:rPr>
          <w:rFonts w:ascii="Arial Narrow" w:hAnsi="Arial Narrow"/>
          <w:sz w:val="24"/>
          <w:szCs w:val="32"/>
        </w:rPr>
        <w:t xml:space="preserve"> </w:t>
      </w:r>
      <w:r w:rsidR="00034970" w:rsidRPr="000A28A1">
        <w:rPr>
          <w:rFonts w:ascii="Arial Narrow" w:hAnsi="Arial Narrow"/>
          <w:sz w:val="24"/>
          <w:szCs w:val="32"/>
        </w:rPr>
        <w:t xml:space="preserve">Tato částka představuje hranici </w:t>
      </w:r>
      <w:r w:rsidR="00880A08" w:rsidRPr="000A28A1">
        <w:rPr>
          <w:rFonts w:ascii="Arial Narrow" w:hAnsi="Arial Narrow"/>
          <w:sz w:val="24"/>
          <w:szCs w:val="32"/>
        </w:rPr>
        <w:t>pr</w:t>
      </w:r>
      <w:r w:rsidR="00034970" w:rsidRPr="000A28A1">
        <w:rPr>
          <w:rFonts w:ascii="Arial Narrow" w:hAnsi="Arial Narrow"/>
          <w:sz w:val="24"/>
          <w:szCs w:val="32"/>
        </w:rPr>
        <w:t>o</w:t>
      </w:r>
      <w:r w:rsidR="00352E2D" w:rsidRPr="000A28A1">
        <w:rPr>
          <w:rFonts w:ascii="Arial Narrow" w:hAnsi="Arial Narrow"/>
          <w:sz w:val="24"/>
          <w:szCs w:val="32"/>
        </w:rPr>
        <w:t> </w:t>
      </w:r>
      <w:r w:rsidR="00247399">
        <w:rPr>
          <w:rFonts w:ascii="Arial Narrow" w:hAnsi="Arial Narrow"/>
          <w:sz w:val="24"/>
          <w:szCs w:val="32"/>
        </w:rPr>
        <w:t>domácnost jednotlivce. Například p</w:t>
      </w:r>
      <w:r w:rsidR="00EA6C9E">
        <w:rPr>
          <w:rFonts w:ascii="Arial Narrow" w:hAnsi="Arial Narrow"/>
          <w:sz w:val="24"/>
          <w:szCs w:val="32"/>
        </w:rPr>
        <w:t>ro domácnost</w:t>
      </w:r>
      <w:r w:rsidR="00F6087E">
        <w:rPr>
          <w:rFonts w:ascii="Arial Narrow" w:hAnsi="Arial Narrow"/>
          <w:sz w:val="24"/>
          <w:szCs w:val="32"/>
        </w:rPr>
        <w:t xml:space="preserve"> rodičů se dvěma dětmi </w:t>
      </w:r>
      <w:r w:rsidR="00EA6C9E">
        <w:rPr>
          <w:rFonts w:ascii="Arial Narrow" w:hAnsi="Arial Narrow"/>
          <w:sz w:val="24"/>
          <w:szCs w:val="32"/>
        </w:rPr>
        <w:t>mladšími</w:t>
      </w:r>
      <w:r w:rsidR="00F6087E">
        <w:rPr>
          <w:rFonts w:ascii="Arial Narrow" w:hAnsi="Arial Narrow"/>
          <w:sz w:val="24"/>
          <w:szCs w:val="32"/>
        </w:rPr>
        <w:t xml:space="preserve"> 13 let </w:t>
      </w:r>
      <w:r w:rsidR="002D5931">
        <w:rPr>
          <w:rFonts w:ascii="Arial Narrow" w:hAnsi="Arial Narrow"/>
          <w:sz w:val="24"/>
          <w:szCs w:val="32"/>
        </w:rPr>
        <w:t xml:space="preserve">činila </w:t>
      </w:r>
      <w:r w:rsidR="00F6087E">
        <w:rPr>
          <w:rFonts w:ascii="Arial Narrow" w:hAnsi="Arial Narrow"/>
          <w:sz w:val="24"/>
          <w:szCs w:val="32"/>
        </w:rPr>
        <w:t>měsíční hranice</w:t>
      </w:r>
      <w:r w:rsidR="00EA6C9E">
        <w:rPr>
          <w:rFonts w:ascii="Arial Narrow" w:hAnsi="Arial Narrow"/>
          <w:sz w:val="24"/>
          <w:szCs w:val="32"/>
        </w:rPr>
        <w:t xml:space="preserve"> ohrožení příjmovou </w:t>
      </w:r>
      <w:r w:rsidR="00EA6C9E" w:rsidRPr="00247399">
        <w:rPr>
          <w:rFonts w:ascii="Arial Narrow" w:hAnsi="Arial Narrow"/>
          <w:sz w:val="24"/>
          <w:szCs w:val="32"/>
        </w:rPr>
        <w:t xml:space="preserve">chudobou částku </w:t>
      </w:r>
      <w:r w:rsidR="000D4ABE">
        <w:rPr>
          <w:rFonts w:ascii="Arial Narrow" w:hAnsi="Arial Narrow"/>
          <w:sz w:val="24"/>
          <w:szCs w:val="32"/>
        </w:rPr>
        <w:t>35 225</w:t>
      </w:r>
      <w:r w:rsidR="00247399" w:rsidRPr="00247399">
        <w:rPr>
          <w:rFonts w:ascii="Arial Narrow" w:hAnsi="Arial Narrow"/>
          <w:sz w:val="24"/>
          <w:szCs w:val="32"/>
        </w:rPr>
        <w:t xml:space="preserve"> </w:t>
      </w:r>
      <w:r w:rsidR="00EA6C9E" w:rsidRPr="00247399">
        <w:rPr>
          <w:rFonts w:ascii="Arial Narrow" w:hAnsi="Arial Narrow"/>
          <w:sz w:val="24"/>
          <w:szCs w:val="32"/>
        </w:rPr>
        <w:t xml:space="preserve">Kč, </w:t>
      </w:r>
      <w:r w:rsidR="002D5931">
        <w:rPr>
          <w:rFonts w:ascii="Arial Narrow" w:hAnsi="Arial Narrow"/>
          <w:sz w:val="24"/>
          <w:szCs w:val="32"/>
        </w:rPr>
        <w:t>což představuje meziroční nárůst o </w:t>
      </w:r>
      <w:r w:rsidR="00230390">
        <w:rPr>
          <w:rFonts w:ascii="Arial Narrow" w:hAnsi="Arial Narrow"/>
          <w:sz w:val="24"/>
          <w:szCs w:val="32"/>
        </w:rPr>
        <w:t>2 527</w:t>
      </w:r>
      <w:r w:rsidR="00EA6C9E" w:rsidRPr="00247399">
        <w:rPr>
          <w:rFonts w:ascii="Arial Narrow" w:hAnsi="Arial Narrow"/>
          <w:sz w:val="24"/>
          <w:szCs w:val="32"/>
        </w:rPr>
        <w:t xml:space="preserve"> Kč.</w:t>
      </w:r>
      <w:r w:rsidR="00EA6C9E" w:rsidRPr="001A5FA5">
        <w:rPr>
          <w:rFonts w:ascii="Arial Narrow" w:hAnsi="Arial Narrow"/>
          <w:sz w:val="24"/>
          <w:szCs w:val="32"/>
        </w:rPr>
        <w:t xml:space="preserve"> </w:t>
      </w:r>
      <w:bookmarkStart w:id="2" w:name="_Ref3041741"/>
    </w:p>
    <w:p w14:paraId="5570E9A2" w14:textId="7350D6D5" w:rsidR="00473602" w:rsidRDefault="006B7B9F" w:rsidP="00305DC7">
      <w:pPr>
        <w:pStyle w:val="4TABULKA"/>
        <w:jc w:val="both"/>
        <w:rPr>
          <w:b w:val="0"/>
          <w:lang w:val="cs-CZ"/>
        </w:rPr>
      </w:pPr>
      <w:r>
        <w:rPr>
          <w:b w:val="0"/>
        </w:rPr>
        <w:lastRenderedPageBreak/>
        <w:t>Tab.</w:t>
      </w:r>
      <w:r w:rsidR="00EF6FBC" w:rsidRPr="00A85ABC">
        <w:rPr>
          <w:b w:val="0"/>
        </w:rPr>
        <w:t xml:space="preserve"> </w:t>
      </w:r>
      <w:r w:rsidR="00E07D22" w:rsidRPr="00A85ABC">
        <w:rPr>
          <w:b w:val="0"/>
          <w:noProof/>
        </w:rPr>
        <w:fldChar w:fldCharType="begin"/>
      </w:r>
      <w:r w:rsidR="00E07D22" w:rsidRPr="00A85ABC">
        <w:rPr>
          <w:b w:val="0"/>
          <w:noProof/>
        </w:rPr>
        <w:instrText xml:space="preserve"> SEQ Tabulka \* ARABIC </w:instrText>
      </w:r>
      <w:r w:rsidR="00E07D22" w:rsidRPr="00A85ABC">
        <w:rPr>
          <w:b w:val="0"/>
          <w:noProof/>
        </w:rPr>
        <w:fldChar w:fldCharType="separate"/>
      </w:r>
      <w:r w:rsidR="004B4D22" w:rsidRPr="00A85ABC">
        <w:rPr>
          <w:b w:val="0"/>
          <w:noProof/>
        </w:rPr>
        <w:t>1</w:t>
      </w:r>
      <w:r w:rsidR="00E07D22" w:rsidRPr="00A85ABC">
        <w:rPr>
          <w:b w:val="0"/>
          <w:noProof/>
        </w:rPr>
        <w:fldChar w:fldCharType="end"/>
      </w:r>
      <w:bookmarkEnd w:id="2"/>
      <w:r w:rsidR="00EF6FBC" w:rsidRPr="00A85ABC">
        <w:rPr>
          <w:b w:val="0"/>
        </w:rPr>
        <w:t>: Měsíční hranice ohrožení příjmovou chudobou pro vybrané složení domácnosti v roce 20</w:t>
      </w:r>
      <w:r w:rsidR="00346FF8" w:rsidRPr="00A85ABC">
        <w:rPr>
          <w:b w:val="0"/>
          <w:lang w:val="cs-CZ"/>
        </w:rPr>
        <w:t>2</w:t>
      </w:r>
      <w:r w:rsidR="00A85ABC" w:rsidRPr="00A85ABC">
        <w:rPr>
          <w:b w:val="0"/>
          <w:lang w:val="cs-CZ"/>
        </w:rPr>
        <w:t>3</w:t>
      </w:r>
    </w:p>
    <w:tbl>
      <w:tblPr>
        <w:tblW w:w="905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86"/>
        <w:gridCol w:w="1735"/>
        <w:gridCol w:w="1735"/>
      </w:tblGrid>
      <w:tr w:rsidR="00B20E99" w:rsidRPr="00B20E99" w14:paraId="67635F61" w14:textId="77777777" w:rsidTr="00B20E99">
        <w:trPr>
          <w:trHeight w:val="239"/>
        </w:trPr>
        <w:tc>
          <w:tcPr>
            <w:tcW w:w="55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3A9DC4" w14:textId="77777777" w:rsidR="00B20E99" w:rsidRPr="00B20E99" w:rsidRDefault="00B20E99" w:rsidP="00B20E99">
            <w:pPr>
              <w:pStyle w:val="4TABULKA"/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372F48" w14:textId="6A186882" w:rsidR="00B20E99" w:rsidRPr="00B20E99" w:rsidRDefault="00B20E99" w:rsidP="00B20E99">
            <w:pPr>
              <w:pStyle w:val="4TABULKA"/>
            </w:pPr>
            <w:r w:rsidRPr="00B20E99">
              <w:t>2023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1DCD8C" w14:textId="162C8265" w:rsidR="00B20E99" w:rsidRPr="00B20E99" w:rsidRDefault="00B20E99" w:rsidP="00B20E99">
            <w:pPr>
              <w:pStyle w:val="4TABULKA"/>
              <w:rPr>
                <w:lang w:val="cs-CZ"/>
              </w:rPr>
            </w:pPr>
            <w:r>
              <w:rPr>
                <w:lang w:val="cs-CZ"/>
              </w:rPr>
              <w:t>Meziroční nárůst</w:t>
            </w:r>
          </w:p>
        </w:tc>
      </w:tr>
      <w:tr w:rsidR="00B20E99" w:rsidRPr="00230390" w14:paraId="024A05A5" w14:textId="77777777" w:rsidTr="00B20E99">
        <w:trPr>
          <w:trHeight w:val="239"/>
        </w:trPr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4EFF2D" w14:textId="77777777" w:rsidR="00B20E99" w:rsidRPr="00B20E99" w:rsidRDefault="00B20E99" w:rsidP="00B20E99">
            <w:pPr>
              <w:pStyle w:val="4TABULKA"/>
              <w:jc w:val="both"/>
            </w:pPr>
            <w:r w:rsidRPr="00B20E99">
              <w:t> Jednotlivec 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B487F2" w14:textId="37351AEE" w:rsidR="00B20E99" w:rsidRPr="007776CC" w:rsidRDefault="001676D5" w:rsidP="00B20E99">
            <w:pPr>
              <w:pStyle w:val="4TABULKA"/>
              <w:jc w:val="right"/>
            </w:pPr>
            <w:r w:rsidRPr="007776CC">
              <w:t xml:space="preserve">     </w:t>
            </w:r>
            <w:r w:rsidR="007776CC">
              <w:t>16 7</w:t>
            </w:r>
            <w:r w:rsidR="007776CC">
              <w:rPr>
                <w:lang w:val="cs-CZ"/>
              </w:rPr>
              <w:t>74</w:t>
            </w:r>
            <w:r w:rsidR="00B20E99" w:rsidRPr="007776CC">
              <w:t xml:space="preserve"> Kč 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D04DEA" w14:textId="38230F95" w:rsidR="00B20E99" w:rsidRPr="00230390" w:rsidRDefault="00B20E99" w:rsidP="000804D8">
            <w:pPr>
              <w:pStyle w:val="4TABULKA"/>
              <w:jc w:val="right"/>
            </w:pPr>
            <w:r w:rsidRPr="00230390">
              <w:t>      </w:t>
            </w:r>
            <w:r w:rsidRPr="00230390">
              <w:rPr>
                <w:lang w:val="cs-CZ"/>
              </w:rPr>
              <w:t>+</w:t>
            </w:r>
            <w:r w:rsidR="00230390" w:rsidRPr="00230390">
              <w:t xml:space="preserve"> 1 203</w:t>
            </w:r>
            <w:r w:rsidRPr="00230390">
              <w:t xml:space="preserve"> Kč </w:t>
            </w:r>
          </w:p>
        </w:tc>
      </w:tr>
      <w:tr w:rsidR="000804D8" w:rsidRPr="00230390" w14:paraId="7BB634C3" w14:textId="77777777" w:rsidTr="00B20E99">
        <w:trPr>
          <w:trHeight w:val="239"/>
        </w:trPr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C73353" w14:textId="77777777" w:rsidR="000804D8" w:rsidRPr="00B20E99" w:rsidRDefault="000804D8" w:rsidP="000804D8">
            <w:pPr>
              <w:pStyle w:val="4TABULKA"/>
              <w:jc w:val="both"/>
            </w:pPr>
            <w:r w:rsidRPr="00B20E99">
              <w:t> Dvě dospělé osoby 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796D25" w14:textId="50DC238A" w:rsidR="000804D8" w:rsidRPr="007776CC" w:rsidRDefault="000804D8" w:rsidP="000804D8">
            <w:pPr>
              <w:pStyle w:val="4TABULKA"/>
              <w:jc w:val="right"/>
            </w:pPr>
            <w:r w:rsidRPr="007776CC">
              <w:t xml:space="preserve">           25 </w:t>
            </w:r>
            <w:r w:rsidR="007776CC">
              <w:t>1</w:t>
            </w:r>
            <w:r w:rsidR="007776CC">
              <w:rPr>
                <w:lang w:val="cs-CZ"/>
              </w:rPr>
              <w:t>60</w:t>
            </w:r>
            <w:r w:rsidRPr="007776CC">
              <w:rPr>
                <w:lang w:val="cs-CZ"/>
              </w:rPr>
              <w:t xml:space="preserve"> Kč</w:t>
            </w:r>
            <w:r w:rsidRPr="007776CC">
              <w:t xml:space="preserve">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5D05D9" w14:textId="7D3836D8" w:rsidR="000804D8" w:rsidRPr="00230390" w:rsidRDefault="000804D8" w:rsidP="000804D8">
            <w:pPr>
              <w:pStyle w:val="4TABULKA"/>
              <w:jc w:val="right"/>
            </w:pPr>
            <w:r w:rsidRPr="00230390">
              <w:t xml:space="preserve">       </w:t>
            </w:r>
            <w:r w:rsidR="00230390" w:rsidRPr="00230390">
              <w:t>+ 1 804</w:t>
            </w:r>
            <w:r w:rsidRPr="00230390">
              <w:t xml:space="preserve"> Kč </w:t>
            </w:r>
          </w:p>
        </w:tc>
      </w:tr>
      <w:tr w:rsidR="000804D8" w:rsidRPr="00230390" w14:paraId="04B2CD49" w14:textId="77777777" w:rsidTr="00B20E99">
        <w:trPr>
          <w:trHeight w:val="239"/>
        </w:trPr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13225D" w14:textId="77777777" w:rsidR="000804D8" w:rsidRPr="00B20E99" w:rsidRDefault="000804D8" w:rsidP="000804D8">
            <w:pPr>
              <w:pStyle w:val="4TABULKA"/>
              <w:jc w:val="both"/>
            </w:pPr>
            <w:r w:rsidRPr="00B20E99">
              <w:t> Rodič s dítětem do 13 let 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09977D" w14:textId="4E808CCD" w:rsidR="000804D8" w:rsidRPr="007776CC" w:rsidRDefault="000804D8" w:rsidP="000804D8">
            <w:pPr>
              <w:pStyle w:val="4TABULKA"/>
              <w:jc w:val="right"/>
            </w:pPr>
            <w:r w:rsidRPr="007776CC">
              <w:t xml:space="preserve">           21 </w:t>
            </w:r>
            <w:r w:rsidR="007776CC">
              <w:rPr>
                <w:lang w:val="cs-CZ"/>
              </w:rPr>
              <w:t>806</w:t>
            </w:r>
            <w:r w:rsidRPr="007776CC">
              <w:rPr>
                <w:lang w:val="cs-CZ"/>
              </w:rPr>
              <w:t xml:space="preserve"> Kč</w:t>
            </w:r>
            <w:r w:rsidRPr="007776CC">
              <w:t xml:space="preserve">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0576FD" w14:textId="5E2FD369" w:rsidR="000804D8" w:rsidRPr="00230390" w:rsidRDefault="000804D8" w:rsidP="000804D8">
            <w:pPr>
              <w:pStyle w:val="4TABULKA"/>
              <w:jc w:val="right"/>
            </w:pPr>
            <w:r w:rsidRPr="00230390">
              <w:t xml:space="preserve">       </w:t>
            </w:r>
            <w:r w:rsidR="00230390" w:rsidRPr="00230390">
              <w:t>+ 1 564</w:t>
            </w:r>
            <w:r w:rsidRPr="00230390">
              <w:t xml:space="preserve"> Kč </w:t>
            </w:r>
          </w:p>
        </w:tc>
      </w:tr>
      <w:tr w:rsidR="000804D8" w:rsidRPr="00230390" w14:paraId="661A8C65" w14:textId="77777777" w:rsidTr="00B20E99">
        <w:trPr>
          <w:trHeight w:val="239"/>
        </w:trPr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7A2948" w14:textId="77777777" w:rsidR="000804D8" w:rsidRPr="00B20E99" w:rsidRDefault="000804D8" w:rsidP="000804D8">
            <w:pPr>
              <w:pStyle w:val="4TABULKA"/>
              <w:jc w:val="both"/>
            </w:pPr>
            <w:r w:rsidRPr="00B20E99">
              <w:t> Rodič se dvěma dětmi staršími 13 let 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7A6A28" w14:textId="617F6CFA" w:rsidR="000804D8" w:rsidRPr="007776CC" w:rsidRDefault="000804D8" w:rsidP="000804D8">
            <w:pPr>
              <w:pStyle w:val="4TABULKA"/>
              <w:jc w:val="right"/>
            </w:pPr>
            <w:r w:rsidRPr="007776CC">
              <w:t xml:space="preserve">           33 </w:t>
            </w:r>
            <w:r w:rsidR="007776CC">
              <w:rPr>
                <w:lang w:val="cs-CZ"/>
              </w:rPr>
              <w:t>547</w:t>
            </w:r>
            <w:r w:rsidRPr="007776CC">
              <w:rPr>
                <w:lang w:val="cs-CZ"/>
              </w:rPr>
              <w:t xml:space="preserve"> Kč</w:t>
            </w:r>
            <w:r w:rsidRPr="007776CC">
              <w:t xml:space="preserve">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4765D5" w14:textId="43E80178" w:rsidR="000804D8" w:rsidRPr="00230390" w:rsidRDefault="002739DB" w:rsidP="000804D8">
            <w:pPr>
              <w:pStyle w:val="4TABULKA"/>
              <w:jc w:val="right"/>
            </w:pPr>
            <w:r w:rsidRPr="00230390">
              <w:t xml:space="preserve">       </w:t>
            </w:r>
            <w:r w:rsidR="00230390" w:rsidRPr="00230390">
              <w:t>+ 2 406</w:t>
            </w:r>
            <w:r w:rsidR="000804D8" w:rsidRPr="00230390">
              <w:t xml:space="preserve"> Kč </w:t>
            </w:r>
          </w:p>
        </w:tc>
      </w:tr>
      <w:tr w:rsidR="000804D8" w:rsidRPr="00230390" w14:paraId="219ABA87" w14:textId="77777777" w:rsidTr="00B20E99">
        <w:trPr>
          <w:trHeight w:val="239"/>
        </w:trPr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88EDD0" w14:textId="77777777" w:rsidR="000804D8" w:rsidRPr="00B20E99" w:rsidRDefault="000804D8" w:rsidP="000804D8">
            <w:pPr>
              <w:pStyle w:val="4TABULKA"/>
              <w:jc w:val="both"/>
            </w:pPr>
            <w:r w:rsidRPr="00B20E99">
              <w:t> Rodiče s dítětem do 13 let 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B8709A" w14:textId="28B5C5C3" w:rsidR="000804D8" w:rsidRPr="007776CC" w:rsidRDefault="000804D8" w:rsidP="000804D8">
            <w:pPr>
              <w:pStyle w:val="4TABULKA"/>
              <w:jc w:val="right"/>
            </w:pPr>
            <w:r w:rsidRPr="007776CC">
              <w:t xml:space="preserve">           30 </w:t>
            </w:r>
            <w:r w:rsidR="007776CC">
              <w:t>1</w:t>
            </w:r>
            <w:r w:rsidR="007776CC">
              <w:rPr>
                <w:lang w:val="cs-CZ"/>
              </w:rPr>
              <w:t>92</w:t>
            </w:r>
            <w:r w:rsidRPr="007776CC">
              <w:rPr>
                <w:lang w:val="cs-CZ"/>
              </w:rPr>
              <w:t xml:space="preserve"> Kč</w:t>
            </w:r>
            <w:r w:rsidRPr="007776CC">
              <w:t xml:space="preserve">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C4AFD7" w14:textId="69FFC284" w:rsidR="000804D8" w:rsidRPr="00230390" w:rsidRDefault="002739DB" w:rsidP="000804D8">
            <w:pPr>
              <w:pStyle w:val="4TABULKA"/>
              <w:jc w:val="right"/>
            </w:pPr>
            <w:r w:rsidRPr="00230390">
              <w:t xml:space="preserve">       </w:t>
            </w:r>
            <w:r w:rsidR="00230390" w:rsidRPr="00230390">
              <w:t>+ 2 165</w:t>
            </w:r>
            <w:r w:rsidR="000804D8" w:rsidRPr="00230390">
              <w:t xml:space="preserve"> Kč </w:t>
            </w:r>
          </w:p>
        </w:tc>
      </w:tr>
      <w:tr w:rsidR="000804D8" w:rsidRPr="00230390" w14:paraId="12D07D79" w14:textId="77777777" w:rsidTr="00B20E99">
        <w:trPr>
          <w:trHeight w:val="239"/>
        </w:trPr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F2846A" w14:textId="77777777" w:rsidR="000804D8" w:rsidRPr="00B20E99" w:rsidRDefault="000804D8" w:rsidP="000804D8">
            <w:pPr>
              <w:pStyle w:val="4TABULKA"/>
              <w:jc w:val="both"/>
            </w:pPr>
            <w:r w:rsidRPr="00B20E99">
              <w:t> Rodiče s dvěma dětmi do 13 let 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A6289D" w14:textId="53F63DB6" w:rsidR="000804D8" w:rsidRPr="007776CC" w:rsidRDefault="000804D8" w:rsidP="000804D8">
            <w:pPr>
              <w:pStyle w:val="4TABULKA"/>
              <w:jc w:val="right"/>
            </w:pPr>
            <w:r w:rsidRPr="007776CC">
              <w:t xml:space="preserve">           35 </w:t>
            </w:r>
            <w:r w:rsidR="007776CC">
              <w:rPr>
                <w:lang w:val="cs-CZ"/>
              </w:rPr>
              <w:t>225</w:t>
            </w:r>
            <w:r w:rsidRPr="007776CC">
              <w:rPr>
                <w:lang w:val="cs-CZ"/>
              </w:rPr>
              <w:t xml:space="preserve"> Kč</w:t>
            </w:r>
            <w:r w:rsidRPr="007776CC">
              <w:t xml:space="preserve">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70F0BF" w14:textId="7FCA5687" w:rsidR="000804D8" w:rsidRPr="00230390" w:rsidRDefault="002739DB" w:rsidP="000804D8">
            <w:pPr>
              <w:pStyle w:val="4TABULKA"/>
              <w:jc w:val="right"/>
            </w:pPr>
            <w:r w:rsidRPr="00230390">
              <w:t xml:space="preserve">       </w:t>
            </w:r>
            <w:r w:rsidR="00230390" w:rsidRPr="00230390">
              <w:t>+ 2 527</w:t>
            </w:r>
            <w:r w:rsidR="000804D8" w:rsidRPr="00230390">
              <w:t xml:space="preserve"> Kč </w:t>
            </w:r>
          </w:p>
        </w:tc>
      </w:tr>
      <w:tr w:rsidR="000804D8" w:rsidRPr="00230390" w14:paraId="1AF29657" w14:textId="77777777" w:rsidTr="00B20E99">
        <w:trPr>
          <w:trHeight w:val="239"/>
        </w:trPr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6A3344" w14:textId="77777777" w:rsidR="000804D8" w:rsidRPr="00B20E99" w:rsidRDefault="000804D8" w:rsidP="000804D8">
            <w:pPr>
              <w:pStyle w:val="4TABULKA"/>
              <w:jc w:val="both"/>
            </w:pPr>
            <w:r w:rsidRPr="00B20E99">
              <w:t> Rodiče se třemi dětmi 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2CE351" w14:textId="53870A15" w:rsidR="000804D8" w:rsidRPr="007776CC" w:rsidRDefault="000804D8" w:rsidP="000804D8">
            <w:pPr>
              <w:pStyle w:val="4TABULKA"/>
              <w:jc w:val="right"/>
            </w:pPr>
            <w:r w:rsidRPr="007776CC">
              <w:t xml:space="preserve">           46 </w:t>
            </w:r>
            <w:r w:rsidR="007776CC">
              <w:t>9</w:t>
            </w:r>
            <w:r w:rsidR="007776CC">
              <w:rPr>
                <w:lang w:val="cs-CZ"/>
              </w:rPr>
              <w:t>66</w:t>
            </w:r>
            <w:r w:rsidRPr="007776CC">
              <w:rPr>
                <w:lang w:val="cs-CZ"/>
              </w:rPr>
              <w:t xml:space="preserve"> Kč</w:t>
            </w:r>
            <w:r w:rsidRPr="007776CC">
              <w:t xml:space="preserve">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197D8F" w14:textId="7F2AEE64" w:rsidR="000804D8" w:rsidRPr="00230390" w:rsidRDefault="002739DB" w:rsidP="000804D8">
            <w:pPr>
              <w:pStyle w:val="4TABULKA"/>
              <w:jc w:val="right"/>
            </w:pPr>
            <w:r w:rsidRPr="00230390">
              <w:t xml:space="preserve">       </w:t>
            </w:r>
            <w:r w:rsidR="00230390" w:rsidRPr="00230390">
              <w:t>+ 3 368</w:t>
            </w:r>
            <w:r w:rsidR="000804D8" w:rsidRPr="00230390">
              <w:t xml:space="preserve"> Kč </w:t>
            </w:r>
          </w:p>
        </w:tc>
      </w:tr>
    </w:tbl>
    <w:p w14:paraId="69BBE57E" w14:textId="6E8C6ED9" w:rsidR="00A85ABC" w:rsidRDefault="00A85ABC" w:rsidP="000A28A1">
      <w:pPr>
        <w:pStyle w:val="4TABULKA"/>
        <w:jc w:val="left"/>
        <w:rPr>
          <w:b w:val="0"/>
          <w:highlight w:val="yellow"/>
          <w:lang w:val="cs-CZ"/>
        </w:rPr>
      </w:pPr>
    </w:p>
    <w:p w14:paraId="0431C262" w14:textId="5271D552" w:rsidR="00473602" w:rsidRDefault="00070025" w:rsidP="00C51091">
      <w:pPr>
        <w:spacing w:after="0" w:line="288" w:lineRule="auto"/>
        <w:jc w:val="both"/>
        <w:rPr>
          <w:rFonts w:ascii="Arial Narrow" w:hAnsi="Arial Narrow"/>
          <w:sz w:val="24"/>
          <w:szCs w:val="32"/>
        </w:rPr>
      </w:pPr>
      <w:r w:rsidRPr="00B20E99">
        <w:rPr>
          <w:rFonts w:ascii="Arial Narrow" w:hAnsi="Arial Narrow"/>
          <w:sz w:val="24"/>
          <w:szCs w:val="32"/>
        </w:rPr>
        <w:t>Ukazatel m</w:t>
      </w:r>
      <w:r w:rsidR="006F7996" w:rsidRPr="00B20E99">
        <w:rPr>
          <w:rFonts w:ascii="Arial Narrow" w:hAnsi="Arial Narrow"/>
          <w:sz w:val="24"/>
          <w:szCs w:val="32"/>
        </w:rPr>
        <w:t>ír</w:t>
      </w:r>
      <w:r w:rsidRPr="00B20E99">
        <w:rPr>
          <w:rFonts w:ascii="Arial Narrow" w:hAnsi="Arial Narrow"/>
          <w:sz w:val="24"/>
          <w:szCs w:val="32"/>
        </w:rPr>
        <w:t>y</w:t>
      </w:r>
      <w:r w:rsidR="006F7996" w:rsidRPr="00B20E99">
        <w:rPr>
          <w:rFonts w:ascii="Arial Narrow" w:hAnsi="Arial Narrow"/>
          <w:sz w:val="24"/>
          <w:szCs w:val="32"/>
        </w:rPr>
        <w:t xml:space="preserve"> ohrožení příjmovou </w:t>
      </w:r>
      <w:r w:rsidR="006F7996" w:rsidRPr="00230390">
        <w:rPr>
          <w:rFonts w:ascii="Arial Narrow" w:hAnsi="Arial Narrow"/>
          <w:sz w:val="24"/>
          <w:szCs w:val="32"/>
        </w:rPr>
        <w:t xml:space="preserve">chudobou po </w:t>
      </w:r>
      <w:r w:rsidR="00305DC7" w:rsidRPr="00230390">
        <w:rPr>
          <w:rFonts w:ascii="Arial Narrow" w:hAnsi="Arial Narrow"/>
          <w:sz w:val="24"/>
          <w:szCs w:val="32"/>
        </w:rPr>
        <w:t>vzrůstu</w:t>
      </w:r>
      <w:r w:rsidR="00A74547">
        <w:rPr>
          <w:rFonts w:ascii="Arial Narrow" w:hAnsi="Arial Narrow"/>
          <w:sz w:val="24"/>
          <w:szCs w:val="32"/>
        </w:rPr>
        <w:t xml:space="preserve"> v roce 2022</w:t>
      </w:r>
      <w:r w:rsidR="006F7996" w:rsidRPr="00230390">
        <w:rPr>
          <w:rFonts w:ascii="Arial Narrow" w:hAnsi="Arial Narrow"/>
          <w:sz w:val="24"/>
          <w:szCs w:val="32"/>
        </w:rPr>
        <w:t xml:space="preserve"> na </w:t>
      </w:r>
      <w:r w:rsidR="00143886" w:rsidRPr="00230390">
        <w:rPr>
          <w:rFonts w:ascii="Arial Narrow" w:hAnsi="Arial Narrow"/>
          <w:sz w:val="24"/>
          <w:szCs w:val="32"/>
        </w:rPr>
        <w:t xml:space="preserve">hodnotu </w:t>
      </w:r>
      <w:r w:rsidR="009830D8" w:rsidRPr="00230390">
        <w:rPr>
          <w:rFonts w:ascii="Arial Narrow" w:hAnsi="Arial Narrow"/>
          <w:sz w:val="24"/>
          <w:szCs w:val="32"/>
        </w:rPr>
        <w:t>10,</w:t>
      </w:r>
      <w:r w:rsidR="00305DC7" w:rsidRPr="00230390">
        <w:rPr>
          <w:rFonts w:ascii="Arial Narrow" w:hAnsi="Arial Narrow"/>
          <w:sz w:val="24"/>
          <w:szCs w:val="32"/>
        </w:rPr>
        <w:t xml:space="preserve">2 </w:t>
      </w:r>
      <w:r w:rsidR="00230390" w:rsidRPr="00230390">
        <w:rPr>
          <w:rFonts w:ascii="Arial Narrow" w:hAnsi="Arial Narrow"/>
          <w:sz w:val="24"/>
          <w:szCs w:val="32"/>
        </w:rPr>
        <w:t xml:space="preserve">% </w:t>
      </w:r>
      <w:r w:rsidR="00143886" w:rsidRPr="00230390">
        <w:rPr>
          <w:rFonts w:ascii="Arial Narrow" w:hAnsi="Arial Narrow"/>
          <w:sz w:val="24"/>
          <w:szCs w:val="32"/>
        </w:rPr>
        <w:t xml:space="preserve">v roce </w:t>
      </w:r>
      <w:r w:rsidR="00D705AD" w:rsidRPr="00230390">
        <w:rPr>
          <w:rFonts w:ascii="Arial Narrow" w:hAnsi="Arial Narrow"/>
          <w:sz w:val="24"/>
          <w:szCs w:val="32"/>
        </w:rPr>
        <w:t>2023</w:t>
      </w:r>
      <w:r w:rsidR="00255FEA" w:rsidRPr="00230390">
        <w:rPr>
          <w:rFonts w:ascii="Arial Narrow" w:hAnsi="Arial Narrow"/>
          <w:sz w:val="24"/>
          <w:szCs w:val="32"/>
        </w:rPr>
        <w:t xml:space="preserve"> </w:t>
      </w:r>
      <w:r w:rsidR="00230390" w:rsidRPr="00230390">
        <w:rPr>
          <w:rFonts w:ascii="Arial Narrow" w:hAnsi="Arial Narrow"/>
          <w:sz w:val="24"/>
          <w:szCs w:val="32"/>
        </w:rPr>
        <w:t>mírně klesl na hodnotu 9,8 %.</w:t>
      </w:r>
      <w:r w:rsidR="00D705AD" w:rsidRPr="00230390">
        <w:rPr>
          <w:rFonts w:ascii="Arial Narrow" w:hAnsi="Arial Narrow"/>
          <w:sz w:val="24"/>
          <w:szCs w:val="32"/>
        </w:rPr>
        <w:t xml:space="preserve"> </w:t>
      </w:r>
      <w:r w:rsidR="00143886" w:rsidRPr="00230390">
        <w:rPr>
          <w:rFonts w:ascii="Arial Narrow" w:hAnsi="Arial Narrow"/>
          <w:sz w:val="24"/>
          <w:szCs w:val="32"/>
        </w:rPr>
        <w:t>V</w:t>
      </w:r>
      <w:r w:rsidR="00255FEA" w:rsidRPr="00230390">
        <w:rPr>
          <w:rFonts w:ascii="Arial Narrow" w:hAnsi="Arial Narrow"/>
          <w:sz w:val="24"/>
          <w:szCs w:val="32"/>
        </w:rPr>
        <w:t xml:space="preserve"> tomto </w:t>
      </w:r>
      <w:r w:rsidR="00143886" w:rsidRPr="00230390">
        <w:rPr>
          <w:rFonts w:ascii="Arial Narrow" w:hAnsi="Arial Narrow"/>
          <w:sz w:val="24"/>
          <w:szCs w:val="32"/>
        </w:rPr>
        <w:t>roce se o</w:t>
      </w:r>
      <w:r w:rsidR="006F7996" w:rsidRPr="00230390">
        <w:rPr>
          <w:rFonts w:ascii="Arial Narrow" w:hAnsi="Arial Narrow"/>
          <w:sz w:val="24"/>
          <w:szCs w:val="32"/>
        </w:rPr>
        <w:t>hrožení</w:t>
      </w:r>
      <w:r w:rsidR="006F7996" w:rsidRPr="002A78FF">
        <w:rPr>
          <w:rFonts w:ascii="Arial Narrow" w:hAnsi="Arial Narrow"/>
          <w:sz w:val="24"/>
          <w:szCs w:val="32"/>
        </w:rPr>
        <w:t xml:space="preserve"> příjmovou</w:t>
      </w:r>
      <w:r w:rsidR="00143886" w:rsidRPr="002A78FF">
        <w:rPr>
          <w:rFonts w:ascii="Arial Narrow" w:hAnsi="Arial Narrow"/>
          <w:sz w:val="24"/>
          <w:szCs w:val="32"/>
        </w:rPr>
        <w:t xml:space="preserve"> </w:t>
      </w:r>
      <w:r w:rsidR="006F7996" w:rsidRPr="002A78FF">
        <w:rPr>
          <w:rFonts w:ascii="Arial Narrow" w:hAnsi="Arial Narrow"/>
          <w:sz w:val="24"/>
          <w:szCs w:val="32"/>
        </w:rPr>
        <w:t xml:space="preserve">chudobou týkalo </w:t>
      </w:r>
      <w:r w:rsidR="00143886" w:rsidRPr="002A78FF">
        <w:rPr>
          <w:rFonts w:ascii="Arial Narrow" w:hAnsi="Arial Narrow"/>
          <w:sz w:val="24"/>
          <w:szCs w:val="32"/>
        </w:rPr>
        <w:t xml:space="preserve">v absolutním počtu </w:t>
      </w:r>
      <w:r w:rsidR="006124DE">
        <w:rPr>
          <w:rFonts w:ascii="Arial Narrow" w:hAnsi="Arial Narrow"/>
          <w:sz w:val="24"/>
          <w:szCs w:val="32"/>
        </w:rPr>
        <w:t>přibližně milionu (</w:t>
      </w:r>
      <w:r w:rsidR="000D4ABE">
        <w:rPr>
          <w:rFonts w:ascii="Arial Narrow" w:hAnsi="Arial Narrow"/>
          <w:sz w:val="24"/>
          <w:szCs w:val="32"/>
        </w:rPr>
        <w:t>1 020</w:t>
      </w:r>
      <w:r w:rsidR="00F24345">
        <w:rPr>
          <w:rFonts w:ascii="Arial Narrow" w:hAnsi="Arial Narrow"/>
          <w:sz w:val="24"/>
          <w:szCs w:val="32"/>
        </w:rPr>
        <w:t> 561</w:t>
      </w:r>
      <w:r w:rsidR="006124DE" w:rsidRPr="006124DE">
        <w:rPr>
          <w:rFonts w:ascii="Arial Narrow" w:hAnsi="Arial Narrow"/>
          <w:sz w:val="24"/>
          <w:szCs w:val="32"/>
        </w:rPr>
        <w:t>)</w:t>
      </w:r>
      <w:r w:rsidR="006124DE">
        <w:rPr>
          <w:rFonts w:ascii="Arial Narrow" w:hAnsi="Arial Narrow"/>
          <w:sz w:val="24"/>
          <w:szCs w:val="32"/>
        </w:rPr>
        <w:t xml:space="preserve"> </w:t>
      </w:r>
      <w:r w:rsidR="006F7996" w:rsidRPr="000804D8">
        <w:rPr>
          <w:rFonts w:ascii="Arial Narrow" w:hAnsi="Arial Narrow"/>
          <w:sz w:val="24"/>
          <w:szCs w:val="32"/>
        </w:rPr>
        <w:t>obyvatel České republiky</w:t>
      </w:r>
      <w:r w:rsidR="006124DE">
        <w:rPr>
          <w:rFonts w:ascii="Arial Narrow" w:hAnsi="Arial Narrow"/>
          <w:sz w:val="24"/>
          <w:szCs w:val="32"/>
        </w:rPr>
        <w:t>.</w:t>
      </w:r>
      <w:r w:rsidR="008A036C" w:rsidRPr="00305DC7">
        <w:rPr>
          <w:rFonts w:ascii="Arial Narrow" w:hAnsi="Arial Narrow"/>
          <w:sz w:val="24"/>
          <w:szCs w:val="32"/>
        </w:rPr>
        <w:t xml:space="preserve"> </w:t>
      </w:r>
    </w:p>
    <w:p w14:paraId="5B5AE4BA" w14:textId="77777777" w:rsidR="00C87CB2" w:rsidRPr="00C87CB2" w:rsidRDefault="00C87CB2" w:rsidP="00B20E99">
      <w:pPr>
        <w:spacing w:after="0" w:line="240" w:lineRule="auto"/>
        <w:rPr>
          <w:rFonts w:ascii="Arial Narrow" w:hAnsi="Arial Narrow"/>
          <w:sz w:val="24"/>
          <w:szCs w:val="32"/>
        </w:rPr>
      </w:pPr>
    </w:p>
    <w:p w14:paraId="61C583A9" w14:textId="2AACDF3E" w:rsidR="00247399" w:rsidRPr="00B850AD" w:rsidRDefault="00CC7914" w:rsidP="00B850AD">
      <w:pPr>
        <w:pStyle w:val="3GRAF"/>
        <w:jc w:val="left"/>
        <w:rPr>
          <w:lang w:val="cs-CZ"/>
        </w:rPr>
      </w:pPr>
      <w:r w:rsidRPr="002A78FF">
        <w:t xml:space="preserve">Graf </w:t>
      </w:r>
      <w:r w:rsidR="006B7B9F">
        <w:rPr>
          <w:lang w:val="cs-CZ"/>
        </w:rPr>
        <w:t>6:</w:t>
      </w:r>
      <w:r w:rsidRPr="002A78FF">
        <w:t xml:space="preserve"> </w:t>
      </w:r>
      <w:r w:rsidRPr="00247399">
        <w:t xml:space="preserve">Vývoj míry ohrožení příjmovou chudobou v ČR </w:t>
      </w:r>
      <w:r w:rsidRPr="00247399">
        <w:rPr>
          <w:lang w:val="cs-CZ"/>
        </w:rPr>
        <w:t>v </w:t>
      </w:r>
      <w:r w:rsidRPr="00B850AD">
        <w:rPr>
          <w:lang w:val="cs-CZ"/>
        </w:rPr>
        <w:t>letech 201</w:t>
      </w:r>
      <w:r w:rsidR="00BD04BF" w:rsidRPr="00B850AD">
        <w:rPr>
          <w:lang w:val="cs-CZ"/>
        </w:rPr>
        <w:t>4</w:t>
      </w:r>
      <w:r w:rsidR="00297E9B" w:rsidRPr="00B850AD">
        <w:rPr>
          <w:lang w:val="cs-CZ"/>
        </w:rPr>
        <w:t>–</w:t>
      </w:r>
      <w:r w:rsidRPr="00B850AD">
        <w:rPr>
          <w:lang w:val="cs-CZ"/>
        </w:rPr>
        <w:t>202</w:t>
      </w:r>
      <w:r w:rsidR="00770AC4" w:rsidRPr="00B850AD">
        <w:rPr>
          <w:lang w:val="cs-CZ"/>
        </w:rPr>
        <w:t>3</w:t>
      </w:r>
    </w:p>
    <w:p w14:paraId="6AE92E80" w14:textId="415FD871" w:rsidR="00B850AD" w:rsidRDefault="00B850AD" w:rsidP="00956E6A">
      <w:pPr>
        <w:spacing w:after="300" w:line="288" w:lineRule="auto"/>
        <w:jc w:val="both"/>
        <w:rPr>
          <w:rFonts w:ascii="Arial Narrow" w:hAnsi="Arial Narrow"/>
          <w:sz w:val="24"/>
          <w:szCs w:val="32"/>
          <w:highlight w:val="yellow"/>
        </w:rPr>
      </w:pPr>
      <w:r w:rsidRPr="00B850AD">
        <w:rPr>
          <w:rFonts w:ascii="Arial Narrow" w:hAnsi="Arial Narrow"/>
          <w:noProof/>
          <w:sz w:val="24"/>
          <w:szCs w:val="32"/>
          <w:highlight w:val="yellow"/>
          <w:lang w:eastAsia="cs-CZ"/>
        </w:rPr>
        <w:drawing>
          <wp:inline distT="0" distB="0" distL="0" distR="0" wp14:anchorId="14FF514D" wp14:editId="063C89EB">
            <wp:extent cx="5886450" cy="3419475"/>
            <wp:effectExtent l="0" t="0" r="0" b="0"/>
            <wp:docPr id="24" name="Graf 2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8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6465D508" w14:textId="781EE178" w:rsidR="00C51091" w:rsidRDefault="00CE3936" w:rsidP="00956E6A">
      <w:pPr>
        <w:spacing w:after="300" w:line="288" w:lineRule="auto"/>
        <w:jc w:val="both"/>
        <w:rPr>
          <w:rFonts w:ascii="Arial Narrow" w:hAnsi="Arial Narrow"/>
          <w:sz w:val="24"/>
          <w:szCs w:val="32"/>
        </w:rPr>
      </w:pPr>
      <w:r w:rsidRPr="00CE3936">
        <w:rPr>
          <w:rFonts w:ascii="Arial Narrow" w:hAnsi="Arial Narrow"/>
          <w:sz w:val="24"/>
          <w:szCs w:val="32"/>
        </w:rPr>
        <w:t xml:space="preserve">Hranice příjmové chudoby každým rokem roste, zatímco míra ohrožení příjmovou chudobou se stabilně pohybuje mezi 9 a 10 procenty. </w:t>
      </w:r>
      <w:r w:rsidR="00C51091" w:rsidRPr="00591FCF">
        <w:rPr>
          <w:rFonts w:ascii="Arial Narrow" w:hAnsi="Arial Narrow"/>
          <w:sz w:val="24"/>
          <w:szCs w:val="32"/>
        </w:rPr>
        <w:t xml:space="preserve">Míra ohrožení příjmovou chudobou mezi lety 2021 a 2022 nejprve výrazně vzrostla a následně mezi roky 2022 a 2023 mírně klesla. Tyto změny jsou zapříčiněny především </w:t>
      </w:r>
      <w:r w:rsidR="00C51091">
        <w:rPr>
          <w:rFonts w:ascii="Arial Narrow" w:hAnsi="Arial Narrow"/>
          <w:sz w:val="24"/>
          <w:szCs w:val="32"/>
        </w:rPr>
        <w:t xml:space="preserve">diferenciací příjmů a </w:t>
      </w:r>
      <w:r w:rsidR="00C51091" w:rsidRPr="00591FCF">
        <w:rPr>
          <w:rFonts w:ascii="Arial Narrow" w:hAnsi="Arial Narrow"/>
          <w:sz w:val="24"/>
          <w:szCs w:val="32"/>
        </w:rPr>
        <w:t>odlišným tempem růstu příjmů u různých skupin populace. V roce 2023 rostly čisté příjmy rychleji nízko</w:t>
      </w:r>
      <w:r w:rsidR="00C51091">
        <w:rPr>
          <w:rFonts w:ascii="Arial Narrow" w:hAnsi="Arial Narrow"/>
          <w:sz w:val="24"/>
          <w:szCs w:val="32"/>
        </w:rPr>
        <w:t>-</w:t>
      </w:r>
      <w:r w:rsidR="00C51091" w:rsidRPr="00591FCF">
        <w:rPr>
          <w:rFonts w:ascii="Arial Narrow" w:hAnsi="Arial Narrow"/>
          <w:sz w:val="24"/>
          <w:szCs w:val="32"/>
        </w:rPr>
        <w:t xml:space="preserve">příjmovým domácnostem než domácnostem středně-příjmovým. </w:t>
      </w:r>
      <w:r w:rsidR="00C51091">
        <w:rPr>
          <w:rFonts w:ascii="Arial Narrow" w:hAnsi="Arial Narrow"/>
          <w:sz w:val="24"/>
          <w:szCs w:val="32"/>
        </w:rPr>
        <w:t xml:space="preserve">To bylo způsobeno zejména jednorázovým příspěvkem 5 000 Kč za každé dítě, na který měly nárok domácnosti s celkovými ročními příjmy pod milion korun. </w:t>
      </w:r>
    </w:p>
    <w:p w14:paraId="621B07FC" w14:textId="0F6D3457" w:rsidR="00B850AD" w:rsidRPr="00C51091" w:rsidRDefault="0016088C" w:rsidP="00C51091">
      <w:pPr>
        <w:pStyle w:val="3GRAF"/>
        <w:jc w:val="both"/>
        <w:rPr>
          <w:lang w:val="cs-CZ"/>
        </w:rPr>
      </w:pPr>
      <w:r w:rsidRPr="006A32CE">
        <w:lastRenderedPageBreak/>
        <w:t xml:space="preserve">Graf </w:t>
      </w:r>
      <w:r w:rsidR="006B7B9F" w:rsidRPr="006A32CE">
        <w:rPr>
          <w:lang w:val="cs-CZ"/>
        </w:rPr>
        <w:t>7</w:t>
      </w:r>
      <w:r w:rsidRPr="006A32CE">
        <w:t xml:space="preserve">: </w:t>
      </w:r>
      <w:r w:rsidRPr="006A32CE">
        <w:rPr>
          <w:lang w:val="cs-CZ"/>
        </w:rPr>
        <w:t xml:space="preserve">Tempo růstu příjmů </w:t>
      </w:r>
      <w:r w:rsidR="00E25D4D" w:rsidRPr="006A32CE">
        <w:rPr>
          <w:lang w:val="cs-CZ"/>
        </w:rPr>
        <w:t>u nízko a středně-</w:t>
      </w:r>
      <w:r w:rsidR="00E25D4D" w:rsidRPr="00B850AD">
        <w:rPr>
          <w:lang w:val="cs-CZ"/>
        </w:rPr>
        <w:t xml:space="preserve">příjmových </w:t>
      </w:r>
      <w:r w:rsidR="003E612D" w:rsidRPr="00B850AD">
        <w:rPr>
          <w:lang w:val="cs-CZ"/>
        </w:rPr>
        <w:t xml:space="preserve">domácností </w:t>
      </w:r>
      <w:r w:rsidR="00750A24" w:rsidRPr="00B850AD">
        <w:rPr>
          <w:lang w:val="cs-CZ"/>
        </w:rPr>
        <w:t>(2018–</w:t>
      </w:r>
      <w:r w:rsidR="003E612D" w:rsidRPr="00B850AD">
        <w:rPr>
          <w:lang w:val="cs-CZ"/>
        </w:rPr>
        <w:t>2023</w:t>
      </w:r>
      <w:r w:rsidR="00750A24" w:rsidRPr="00B850AD">
        <w:rPr>
          <w:lang w:val="cs-CZ"/>
        </w:rPr>
        <w:t>)</w:t>
      </w:r>
      <w:r w:rsidR="001F6D2A" w:rsidRPr="001F6D2A">
        <w:rPr>
          <w:color w:val="FF0000"/>
          <w:lang w:val="cs-CZ"/>
        </w:rPr>
        <w:t xml:space="preserve"> </w:t>
      </w:r>
    </w:p>
    <w:p w14:paraId="03DEC50F" w14:textId="44A74A7C" w:rsidR="00C51091" w:rsidRPr="00FB65B8" w:rsidRDefault="00C51091" w:rsidP="0072489C">
      <w:pPr>
        <w:spacing w:after="120" w:line="288" w:lineRule="auto"/>
        <w:jc w:val="center"/>
        <w:rPr>
          <w:rFonts w:ascii="Arial Narrow" w:hAnsi="Arial Narrow"/>
          <w:sz w:val="24"/>
          <w:szCs w:val="32"/>
          <w:highlight w:val="yellow"/>
        </w:rPr>
      </w:pPr>
      <w:r w:rsidRPr="00C51091">
        <w:rPr>
          <w:rFonts w:ascii="Arial Narrow" w:hAnsi="Arial Narrow"/>
          <w:noProof/>
          <w:sz w:val="24"/>
          <w:szCs w:val="32"/>
          <w:lang w:eastAsia="cs-CZ"/>
        </w:rPr>
        <w:drawing>
          <wp:inline distT="0" distB="0" distL="0" distR="0" wp14:anchorId="60E14439" wp14:editId="6E24C694">
            <wp:extent cx="6257925" cy="3467100"/>
            <wp:effectExtent l="0" t="0" r="0" b="0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00D077C0" w14:textId="77777777" w:rsidR="003171EA" w:rsidRDefault="003171EA" w:rsidP="00D3661F">
      <w:pPr>
        <w:spacing w:after="0" w:line="288" w:lineRule="auto"/>
        <w:jc w:val="both"/>
        <w:rPr>
          <w:rFonts w:ascii="Arial Narrow" w:hAnsi="Arial Narrow"/>
          <w:sz w:val="24"/>
          <w:szCs w:val="32"/>
        </w:rPr>
      </w:pPr>
    </w:p>
    <w:p w14:paraId="4E7C1ABC" w14:textId="1513B5C6" w:rsidR="008E36DE" w:rsidRPr="0072489C" w:rsidRDefault="005316C9" w:rsidP="00D3661F">
      <w:pPr>
        <w:spacing w:after="0" w:line="288" w:lineRule="auto"/>
        <w:jc w:val="both"/>
        <w:rPr>
          <w:rFonts w:ascii="Arial Narrow" w:hAnsi="Arial Narrow"/>
          <w:sz w:val="24"/>
          <w:szCs w:val="32"/>
        </w:rPr>
      </w:pPr>
      <w:r w:rsidRPr="0072489C">
        <w:rPr>
          <w:rFonts w:ascii="Arial Narrow" w:hAnsi="Arial Narrow"/>
          <w:sz w:val="24"/>
          <w:szCs w:val="32"/>
        </w:rPr>
        <w:t xml:space="preserve">V roce 2023 klesla míra ohrožení příjmovou chudobou u </w:t>
      </w:r>
      <w:r w:rsidR="00D3661F">
        <w:rPr>
          <w:rFonts w:ascii="Arial Narrow" w:hAnsi="Arial Narrow"/>
          <w:sz w:val="24"/>
          <w:szCs w:val="32"/>
        </w:rPr>
        <w:t xml:space="preserve">většiny </w:t>
      </w:r>
      <w:r w:rsidRPr="0072489C">
        <w:rPr>
          <w:rFonts w:ascii="Arial Narrow" w:hAnsi="Arial Narrow"/>
          <w:sz w:val="24"/>
          <w:szCs w:val="32"/>
        </w:rPr>
        <w:t>sledovaných typů domácností. Výjimku tvo</w:t>
      </w:r>
      <w:r w:rsidR="009A6686" w:rsidRPr="0072489C">
        <w:rPr>
          <w:rFonts w:ascii="Arial Narrow" w:hAnsi="Arial Narrow"/>
          <w:sz w:val="24"/>
          <w:szCs w:val="32"/>
        </w:rPr>
        <w:t xml:space="preserve">řily </w:t>
      </w:r>
      <w:r w:rsidRPr="0072489C">
        <w:rPr>
          <w:rFonts w:ascii="Arial Narrow" w:hAnsi="Arial Narrow"/>
          <w:sz w:val="24"/>
          <w:szCs w:val="32"/>
        </w:rPr>
        <w:t>neúplné rodiny s dětmi,</w:t>
      </w:r>
      <w:r w:rsidR="009A6686" w:rsidRPr="0072489C">
        <w:rPr>
          <w:rFonts w:ascii="Arial Narrow" w:hAnsi="Arial Narrow"/>
          <w:sz w:val="24"/>
          <w:szCs w:val="32"/>
        </w:rPr>
        <w:t xml:space="preserve"> tedy takové rodiny, kde žije </w:t>
      </w:r>
      <w:r w:rsidR="008E36DE">
        <w:rPr>
          <w:rFonts w:ascii="Arial Narrow" w:hAnsi="Arial Narrow"/>
          <w:sz w:val="24"/>
          <w:szCs w:val="32"/>
        </w:rPr>
        <w:t>pouze jeden rodič</w:t>
      </w:r>
      <w:r w:rsidR="009A6686" w:rsidRPr="0072489C">
        <w:rPr>
          <w:rFonts w:ascii="Arial Narrow" w:hAnsi="Arial Narrow"/>
          <w:sz w:val="24"/>
          <w:szCs w:val="32"/>
        </w:rPr>
        <w:t xml:space="preserve"> s jedním nebo více dětmi.</w:t>
      </w:r>
      <w:r w:rsidRPr="0072489C">
        <w:rPr>
          <w:rFonts w:ascii="Arial Narrow" w:hAnsi="Arial Narrow"/>
          <w:sz w:val="24"/>
          <w:szCs w:val="32"/>
        </w:rPr>
        <w:t xml:space="preserve"> </w:t>
      </w:r>
      <w:r w:rsidR="00B65761">
        <w:rPr>
          <w:rFonts w:ascii="Arial Narrow" w:hAnsi="Arial Narrow"/>
          <w:sz w:val="24"/>
          <w:szCs w:val="32"/>
        </w:rPr>
        <w:t>U </w:t>
      </w:r>
      <w:r w:rsidR="009A6686" w:rsidRPr="0072489C">
        <w:rPr>
          <w:rFonts w:ascii="Arial Narrow" w:hAnsi="Arial Narrow"/>
          <w:sz w:val="24"/>
          <w:szCs w:val="32"/>
        </w:rPr>
        <w:t xml:space="preserve">tohoto </w:t>
      </w:r>
      <w:r w:rsidR="009A6686" w:rsidRPr="00C51091">
        <w:rPr>
          <w:rFonts w:ascii="Arial Narrow" w:hAnsi="Arial Narrow"/>
          <w:sz w:val="24"/>
          <w:szCs w:val="32"/>
        </w:rPr>
        <w:t xml:space="preserve">typu domácnosti </w:t>
      </w:r>
      <w:r w:rsidRPr="00C51091">
        <w:rPr>
          <w:rFonts w:ascii="Arial Narrow" w:hAnsi="Arial Narrow"/>
          <w:sz w:val="24"/>
          <w:szCs w:val="32"/>
        </w:rPr>
        <w:t>došlo naopak k meziročnímu nárůstu</w:t>
      </w:r>
      <w:r w:rsidR="009A6686" w:rsidRPr="00C51091">
        <w:rPr>
          <w:rFonts w:ascii="Arial Narrow" w:hAnsi="Arial Narrow"/>
          <w:sz w:val="24"/>
          <w:szCs w:val="32"/>
        </w:rPr>
        <w:t xml:space="preserve"> ohrožení příjmovou chudobou</w:t>
      </w:r>
      <w:r w:rsidR="00C51091" w:rsidRPr="00C51091">
        <w:rPr>
          <w:rFonts w:ascii="Arial Narrow" w:hAnsi="Arial Narrow"/>
          <w:sz w:val="24"/>
          <w:szCs w:val="32"/>
        </w:rPr>
        <w:t xml:space="preserve"> z 30,8 % na 33,0</w:t>
      </w:r>
      <w:r w:rsidR="00D3661F" w:rsidRPr="00C51091">
        <w:rPr>
          <w:rFonts w:ascii="Arial Narrow" w:hAnsi="Arial Narrow"/>
          <w:sz w:val="24"/>
          <w:szCs w:val="32"/>
        </w:rPr>
        <w:t> </w:t>
      </w:r>
      <w:r w:rsidRPr="00C51091">
        <w:rPr>
          <w:rFonts w:ascii="Arial Narrow" w:hAnsi="Arial Narrow"/>
          <w:sz w:val="24"/>
          <w:szCs w:val="32"/>
        </w:rPr>
        <w:t xml:space="preserve">%. Další dlouhodobě ohroženou skupinu tvoří jednotlivci </w:t>
      </w:r>
      <w:r w:rsidR="00D3661F" w:rsidRPr="00C51091">
        <w:rPr>
          <w:rFonts w:ascii="Arial Narrow" w:hAnsi="Arial Narrow"/>
          <w:sz w:val="24"/>
          <w:szCs w:val="32"/>
        </w:rPr>
        <w:t>starší 65 let</w:t>
      </w:r>
      <w:r w:rsidRPr="00C51091">
        <w:rPr>
          <w:rFonts w:ascii="Arial Narrow" w:hAnsi="Arial Narrow"/>
          <w:sz w:val="24"/>
          <w:szCs w:val="32"/>
        </w:rPr>
        <w:t>. U této skupiny však došlo</w:t>
      </w:r>
      <w:r w:rsidR="0072489C" w:rsidRPr="00C51091">
        <w:rPr>
          <w:rFonts w:ascii="Arial Narrow" w:hAnsi="Arial Narrow"/>
          <w:sz w:val="24"/>
          <w:szCs w:val="32"/>
        </w:rPr>
        <w:t xml:space="preserve"> naopak</w:t>
      </w:r>
      <w:r w:rsidRPr="00C51091">
        <w:rPr>
          <w:rFonts w:ascii="Arial Narrow" w:hAnsi="Arial Narrow"/>
          <w:sz w:val="24"/>
          <w:szCs w:val="32"/>
        </w:rPr>
        <w:t xml:space="preserve"> k</w:t>
      </w:r>
      <w:r w:rsidR="00D3661F" w:rsidRPr="00C51091">
        <w:rPr>
          <w:rFonts w:ascii="Arial Narrow" w:hAnsi="Arial Narrow"/>
          <w:sz w:val="24"/>
          <w:szCs w:val="32"/>
        </w:rPr>
        <w:t> </w:t>
      </w:r>
      <w:r w:rsidRPr="00C51091">
        <w:rPr>
          <w:rFonts w:ascii="Arial Narrow" w:hAnsi="Arial Narrow"/>
          <w:sz w:val="24"/>
          <w:szCs w:val="32"/>
        </w:rPr>
        <w:t>poklesu osob ohrožených pří</w:t>
      </w:r>
      <w:r w:rsidR="00C51091" w:rsidRPr="00C51091">
        <w:rPr>
          <w:rFonts w:ascii="Arial Narrow" w:hAnsi="Arial Narrow"/>
          <w:sz w:val="24"/>
          <w:szCs w:val="32"/>
        </w:rPr>
        <w:t>jmovou chudobou z 37,8 % na 33,3</w:t>
      </w:r>
      <w:r w:rsidR="009F28BE" w:rsidRPr="00C51091">
        <w:rPr>
          <w:rFonts w:ascii="Arial Narrow" w:hAnsi="Arial Narrow"/>
          <w:sz w:val="24"/>
          <w:szCs w:val="32"/>
        </w:rPr>
        <w:t xml:space="preserve"> %</w:t>
      </w:r>
      <w:r w:rsidR="00D3661F" w:rsidRPr="00C51091">
        <w:rPr>
          <w:rFonts w:ascii="Arial Narrow" w:hAnsi="Arial Narrow"/>
          <w:sz w:val="24"/>
          <w:szCs w:val="32"/>
        </w:rPr>
        <w:t>. Míra</w:t>
      </w:r>
      <w:r w:rsidR="0072489C" w:rsidRPr="00C51091">
        <w:rPr>
          <w:rFonts w:ascii="Arial Narrow" w:hAnsi="Arial Narrow"/>
          <w:sz w:val="24"/>
          <w:szCs w:val="32"/>
        </w:rPr>
        <w:t xml:space="preserve"> ohrožení příjmovou chudobou </w:t>
      </w:r>
      <w:r w:rsidR="00D3661F" w:rsidRPr="00C51091">
        <w:rPr>
          <w:rFonts w:ascii="Arial Narrow" w:hAnsi="Arial Narrow"/>
          <w:sz w:val="24"/>
          <w:szCs w:val="32"/>
        </w:rPr>
        <w:t xml:space="preserve">poklesla také </w:t>
      </w:r>
      <w:r w:rsidR="0072489C" w:rsidRPr="00C51091">
        <w:rPr>
          <w:rFonts w:ascii="Arial Narrow" w:hAnsi="Arial Narrow"/>
          <w:sz w:val="24"/>
          <w:szCs w:val="32"/>
        </w:rPr>
        <w:t>u jednotlivců mladších 65 let, a to o 2,</w:t>
      </w:r>
      <w:r w:rsidR="00C51091" w:rsidRPr="00C51091">
        <w:rPr>
          <w:rFonts w:ascii="Arial Narrow" w:hAnsi="Arial Narrow"/>
          <w:sz w:val="24"/>
          <w:szCs w:val="32"/>
        </w:rPr>
        <w:t>3</w:t>
      </w:r>
      <w:r w:rsidR="0072489C" w:rsidRPr="00C51091">
        <w:rPr>
          <w:rFonts w:ascii="Arial Narrow" w:hAnsi="Arial Narrow"/>
          <w:sz w:val="24"/>
          <w:szCs w:val="32"/>
        </w:rPr>
        <w:t xml:space="preserve"> p.b. U</w:t>
      </w:r>
      <w:r w:rsidR="003C1644" w:rsidRPr="00C51091">
        <w:rPr>
          <w:rFonts w:ascii="Arial Narrow" w:hAnsi="Arial Narrow"/>
          <w:sz w:val="24"/>
          <w:szCs w:val="32"/>
        </w:rPr>
        <w:t xml:space="preserve"> </w:t>
      </w:r>
      <w:r w:rsidR="000B2A4F" w:rsidRPr="00C51091">
        <w:rPr>
          <w:rFonts w:ascii="Arial Narrow" w:hAnsi="Arial Narrow"/>
          <w:sz w:val="24"/>
          <w:szCs w:val="32"/>
        </w:rPr>
        <w:t xml:space="preserve">úplných rodin s dětmi </w:t>
      </w:r>
      <w:r w:rsidR="00C51091" w:rsidRPr="00C51091">
        <w:rPr>
          <w:rFonts w:ascii="Arial Narrow" w:hAnsi="Arial Narrow"/>
          <w:sz w:val="24"/>
          <w:szCs w:val="32"/>
        </w:rPr>
        <w:t xml:space="preserve">došlo rovněž k mírnému poklesu ohrožení příjmovou chudobou </w:t>
      </w:r>
      <w:r w:rsidR="000B2A4F" w:rsidRPr="00C51091">
        <w:rPr>
          <w:rFonts w:ascii="Arial Narrow" w:hAnsi="Arial Narrow"/>
          <w:sz w:val="24"/>
          <w:szCs w:val="32"/>
        </w:rPr>
        <w:t xml:space="preserve">a </w:t>
      </w:r>
      <w:r w:rsidR="00C51091" w:rsidRPr="00C51091">
        <w:rPr>
          <w:rFonts w:ascii="Arial Narrow" w:hAnsi="Arial Narrow"/>
          <w:sz w:val="24"/>
          <w:szCs w:val="32"/>
        </w:rPr>
        <w:t xml:space="preserve">u </w:t>
      </w:r>
      <w:r w:rsidR="0072489C" w:rsidRPr="00C51091">
        <w:rPr>
          <w:rFonts w:ascii="Arial Narrow" w:hAnsi="Arial Narrow"/>
          <w:sz w:val="24"/>
          <w:szCs w:val="32"/>
        </w:rPr>
        <w:t xml:space="preserve">dvojic dospělých </w:t>
      </w:r>
      <w:r w:rsidR="008E36DE" w:rsidRPr="00C51091">
        <w:rPr>
          <w:rFonts w:ascii="Arial Narrow" w:hAnsi="Arial Narrow"/>
          <w:sz w:val="24"/>
          <w:szCs w:val="32"/>
        </w:rPr>
        <w:t>zůstaly hodnoty téměř stejné</w:t>
      </w:r>
      <w:r w:rsidR="0072489C" w:rsidRPr="00C51091">
        <w:rPr>
          <w:rFonts w:ascii="Arial Narrow" w:hAnsi="Arial Narrow"/>
          <w:sz w:val="24"/>
          <w:szCs w:val="32"/>
        </w:rPr>
        <w:t>.</w:t>
      </w:r>
      <w:r w:rsidR="0072489C" w:rsidRPr="00D3661F">
        <w:rPr>
          <w:rFonts w:ascii="Arial Narrow" w:hAnsi="Arial Narrow"/>
          <w:sz w:val="24"/>
          <w:szCs w:val="32"/>
        </w:rPr>
        <w:t xml:space="preserve"> </w:t>
      </w:r>
    </w:p>
    <w:p w14:paraId="451CDF1C" w14:textId="06B31899" w:rsidR="00CE3936" w:rsidRPr="00B850AD" w:rsidRDefault="00C51091" w:rsidP="00B850AD">
      <w:pPr>
        <w:pStyle w:val="3GRAF"/>
        <w:jc w:val="both"/>
        <w:rPr>
          <w:lang w:val="cs-CZ"/>
        </w:rPr>
      </w:pPr>
      <w:r>
        <w:br/>
      </w:r>
      <w:r w:rsidR="005F4392" w:rsidRPr="00B850AD">
        <w:t xml:space="preserve">Graf </w:t>
      </w:r>
      <w:r w:rsidR="006B7B9F" w:rsidRPr="00B850AD">
        <w:rPr>
          <w:lang w:val="cs-CZ"/>
        </w:rPr>
        <w:t>8</w:t>
      </w:r>
      <w:r w:rsidR="005F4392" w:rsidRPr="00B850AD">
        <w:t xml:space="preserve">: </w:t>
      </w:r>
      <w:r w:rsidR="005F4392" w:rsidRPr="00B850AD">
        <w:rPr>
          <w:lang w:val="cs-CZ"/>
        </w:rPr>
        <w:t>Podíl osob ohrožených příjmovou chudobou podle typu domácnosti (2022,</w:t>
      </w:r>
      <w:r w:rsidR="003E612D" w:rsidRPr="00B850AD">
        <w:rPr>
          <w:lang w:val="cs-CZ"/>
        </w:rPr>
        <w:t xml:space="preserve"> 2023,</w:t>
      </w:r>
      <w:r w:rsidR="005F4392" w:rsidRPr="00B850AD">
        <w:rPr>
          <w:lang w:val="cs-CZ"/>
        </w:rPr>
        <w:t xml:space="preserve"> v </w:t>
      </w:r>
      <w:r w:rsidR="003E612D" w:rsidRPr="00B850AD">
        <w:rPr>
          <w:lang w:val="cs-CZ"/>
        </w:rPr>
        <w:t>%)</w:t>
      </w:r>
      <w:r w:rsidR="00C839CB">
        <w:rPr>
          <w:lang w:val="cs-CZ"/>
        </w:rPr>
        <w:t xml:space="preserve"> </w:t>
      </w:r>
    </w:p>
    <w:p w14:paraId="26CC741E" w14:textId="54630E1E" w:rsidR="00B850AD" w:rsidRPr="00D329FE" w:rsidRDefault="00B850AD" w:rsidP="00CE3936">
      <w:pPr>
        <w:pStyle w:val="3GRAF"/>
        <w:rPr>
          <w:rFonts w:ascii="Calibri" w:eastAsia="Calibri" w:hAnsi="Calibri"/>
          <w:noProof/>
          <w:color w:val="auto"/>
          <w:lang w:val="cs-CZ" w:eastAsia="cs-CZ"/>
        </w:rPr>
      </w:pPr>
      <w:r w:rsidRPr="00B850AD">
        <w:rPr>
          <w:rFonts w:ascii="Calibri" w:eastAsia="Calibri" w:hAnsi="Calibri"/>
          <w:noProof/>
          <w:color w:val="auto"/>
          <w:lang w:val="cs-CZ" w:eastAsia="cs-CZ"/>
        </w:rPr>
        <w:drawing>
          <wp:inline distT="0" distB="0" distL="0" distR="0" wp14:anchorId="7721781A" wp14:editId="4BF351CB">
            <wp:extent cx="5772150" cy="3314700"/>
            <wp:effectExtent l="0" t="0" r="0" b="0"/>
            <wp:docPr id="27" name="Graf 2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9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2B05F49C" w14:textId="1CD6C0A6" w:rsidR="00D329FE" w:rsidRDefault="00D329FE" w:rsidP="00591FCF">
      <w:pPr>
        <w:spacing w:after="120" w:line="288" w:lineRule="auto"/>
        <w:jc w:val="both"/>
        <w:rPr>
          <w:rFonts w:ascii="Arial Narrow" w:hAnsi="Arial Narrow"/>
          <w:sz w:val="24"/>
          <w:szCs w:val="32"/>
        </w:rPr>
      </w:pPr>
    </w:p>
    <w:p w14:paraId="06D219C3" w14:textId="7E54C0E7" w:rsidR="008E36DE" w:rsidRPr="008E36DE" w:rsidRDefault="0080592B" w:rsidP="008E36DE">
      <w:pPr>
        <w:spacing w:before="240" w:after="120" w:line="288" w:lineRule="auto"/>
        <w:jc w:val="both"/>
        <w:rPr>
          <w:rFonts w:ascii="Arial Narrow" w:hAnsi="Arial Narrow"/>
          <w:sz w:val="24"/>
          <w:szCs w:val="32"/>
        </w:rPr>
      </w:pPr>
      <w:r w:rsidRPr="00591FCF">
        <w:rPr>
          <w:rFonts w:ascii="Arial Narrow" w:hAnsi="Arial Narrow"/>
          <w:sz w:val="24"/>
          <w:szCs w:val="32"/>
        </w:rPr>
        <w:lastRenderedPageBreak/>
        <w:t>V rámci</w:t>
      </w:r>
      <w:r w:rsidR="00591FCF" w:rsidRPr="00591FCF">
        <w:rPr>
          <w:rFonts w:ascii="Arial Narrow" w:hAnsi="Arial Narrow"/>
          <w:sz w:val="24"/>
          <w:szCs w:val="32"/>
        </w:rPr>
        <w:t xml:space="preserve"> mezinárodního srovnání patří Česká republika</w:t>
      </w:r>
      <w:r w:rsidRPr="00591FCF">
        <w:rPr>
          <w:rFonts w:ascii="Arial Narrow" w:hAnsi="Arial Narrow"/>
          <w:sz w:val="24"/>
          <w:szCs w:val="32"/>
        </w:rPr>
        <w:t xml:space="preserve"> dlouhodobě mezi státy s nejnižší mírou ohrožení příjmovou chudobou. Nejnovější</w:t>
      </w:r>
      <w:r w:rsidR="00591FCF">
        <w:rPr>
          <w:rFonts w:ascii="Arial Narrow" w:hAnsi="Arial Narrow"/>
          <w:sz w:val="24"/>
          <w:szCs w:val="32"/>
        </w:rPr>
        <w:t xml:space="preserve"> dostupná data jsou za rok 2022, podle kterých činí</w:t>
      </w:r>
      <w:r w:rsidRPr="00591FCF">
        <w:rPr>
          <w:rFonts w:ascii="Arial Narrow" w:hAnsi="Arial Narrow"/>
          <w:sz w:val="24"/>
          <w:szCs w:val="32"/>
        </w:rPr>
        <w:t xml:space="preserve"> průměrná míra ohrožení příjmovou chudobou u sledovaných evropských států 16,5</w:t>
      </w:r>
      <w:r w:rsidR="00591FCF">
        <w:rPr>
          <w:rFonts w:ascii="Arial Narrow" w:hAnsi="Arial Narrow"/>
          <w:sz w:val="24"/>
          <w:szCs w:val="32"/>
        </w:rPr>
        <w:t xml:space="preserve"> %</w:t>
      </w:r>
      <w:r w:rsidRPr="00591FCF">
        <w:rPr>
          <w:rFonts w:ascii="Arial Narrow" w:hAnsi="Arial Narrow"/>
          <w:sz w:val="24"/>
          <w:szCs w:val="32"/>
        </w:rPr>
        <w:t xml:space="preserve">. Mezi státy s nejnižším podílem osob ohrožených příjmovou chudobou se kromě Česka řadí dále Maďarsko, Slovinsko nebo Norsko. Naopak země s nejvyšší mírou ohrožení příjmovou chudobou tvoří například Bulharsko, Estonsko, Lotyšsko či Rumunsko. </w:t>
      </w:r>
      <w:r w:rsidR="001F6D2A" w:rsidRPr="00591FCF">
        <w:rPr>
          <w:rFonts w:ascii="Arial Narrow" w:hAnsi="Arial Narrow"/>
          <w:sz w:val="24"/>
          <w:szCs w:val="32"/>
        </w:rPr>
        <w:t xml:space="preserve"> </w:t>
      </w:r>
    </w:p>
    <w:p w14:paraId="2F54CB8A" w14:textId="6246C292" w:rsidR="00DF27A3" w:rsidRPr="00DF27A3" w:rsidRDefault="00BA66BF" w:rsidP="008E36DE">
      <w:pPr>
        <w:spacing w:before="240" w:after="120" w:line="288" w:lineRule="auto"/>
        <w:rPr>
          <w:rFonts w:ascii="Arial Narrow" w:eastAsia="Times New Roman" w:hAnsi="Arial Narrow"/>
          <w:color w:val="00ADDC"/>
          <w:lang w:val="x-none" w:eastAsia="ar-SA"/>
        </w:rPr>
      </w:pPr>
      <w:r w:rsidRPr="001F6D2A">
        <w:rPr>
          <w:rFonts w:ascii="Arial Narrow" w:hAnsi="Arial Narrow"/>
          <w:noProof/>
          <w:sz w:val="24"/>
          <w:szCs w:val="32"/>
          <w:lang w:eastAsia="cs-CZ"/>
        </w:rPr>
        <w:drawing>
          <wp:anchor distT="0" distB="0" distL="114300" distR="114300" simplePos="0" relativeHeight="251664384" behindDoc="0" locked="0" layoutInCell="1" allowOverlap="1" wp14:anchorId="284A90DD" wp14:editId="7555D729">
            <wp:simplePos x="0" y="0"/>
            <wp:positionH relativeFrom="column">
              <wp:posOffset>4008279</wp:posOffset>
            </wp:positionH>
            <wp:positionV relativeFrom="paragraph">
              <wp:posOffset>342900</wp:posOffset>
            </wp:positionV>
            <wp:extent cx="1016000" cy="1147625"/>
            <wp:effectExtent l="0" t="0" r="0" b="0"/>
            <wp:wrapNone/>
            <wp:docPr id="23" name="Obrázek 2" descr="Obsah obrázku text, snímek obrazovky, Písmo, design&#10;&#10;Popis se vygeneroval automaticky.">
              <a:extLst xmlns:a="http://schemas.openxmlformats.org/drawingml/2006/main">
                <a:ext uri="{FF2B5EF4-FFF2-40B4-BE49-F238E27FC236}">
                  <a16:creationId xmlns:a16="http://schemas.microsoft.com/office/drawing/2014/main" id="{C7BB5CD5-5535-A237-A78D-4675364CE49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2" descr="Obsah obrázku text, snímek obrazovky, Písmo, design&#10;&#10;Popis se vygeneroval automaticky.">
                      <a:extLst>
                        <a:ext uri="{FF2B5EF4-FFF2-40B4-BE49-F238E27FC236}">
                          <a16:creationId xmlns:a16="http://schemas.microsoft.com/office/drawing/2014/main" id="{C7BB5CD5-5535-A237-A78D-4675364CE49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0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1147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7A3" w:rsidRPr="006B7B9F">
        <w:rPr>
          <w:rFonts w:ascii="Arial Narrow" w:eastAsia="Times New Roman" w:hAnsi="Arial Narrow"/>
          <w:color w:val="00ADDC"/>
          <w:lang w:val="x-none" w:eastAsia="ar-SA"/>
        </w:rPr>
        <w:t xml:space="preserve">Graf 9: </w:t>
      </w:r>
      <w:r w:rsidR="00DF27A3" w:rsidRPr="006B7B9F">
        <w:rPr>
          <w:rFonts w:ascii="Arial Narrow" w:eastAsia="Times New Roman" w:hAnsi="Arial Narrow"/>
          <w:color w:val="00ADDC"/>
          <w:lang w:eastAsia="ar-SA"/>
        </w:rPr>
        <w:t>Ohrožení</w:t>
      </w:r>
      <w:r w:rsidR="00DF27A3">
        <w:rPr>
          <w:rFonts w:ascii="Arial Narrow" w:eastAsia="Times New Roman" w:hAnsi="Arial Narrow"/>
          <w:color w:val="00ADDC"/>
          <w:lang w:eastAsia="ar-SA"/>
        </w:rPr>
        <w:t xml:space="preserve"> příjmovou chudobou v Evropě</w:t>
      </w:r>
      <w:r w:rsidR="00DF27A3" w:rsidRPr="00591FCF">
        <w:rPr>
          <w:rFonts w:ascii="Arial Narrow" w:eastAsia="Times New Roman" w:hAnsi="Arial Narrow"/>
          <w:color w:val="00ADDC"/>
          <w:lang w:val="x-none" w:eastAsia="ar-SA"/>
        </w:rPr>
        <w:t xml:space="preserve"> (2022, v %)</w:t>
      </w:r>
    </w:p>
    <w:p w14:paraId="73F36BB1" w14:textId="00B60768" w:rsidR="001F6D2A" w:rsidRDefault="001F6D2A" w:rsidP="001F6D2A">
      <w:pPr>
        <w:spacing w:after="120" w:line="288" w:lineRule="auto"/>
        <w:jc w:val="center"/>
        <w:rPr>
          <w:rFonts w:ascii="Arial Narrow" w:hAnsi="Arial Narrow"/>
          <w:sz w:val="24"/>
          <w:szCs w:val="32"/>
        </w:rPr>
      </w:pPr>
      <w:r w:rsidRPr="001F6D2A">
        <w:rPr>
          <w:rFonts w:ascii="Arial Narrow" w:hAnsi="Arial Narrow"/>
          <w:noProof/>
          <w:sz w:val="24"/>
          <w:szCs w:val="32"/>
          <w:lang w:eastAsia="cs-CZ"/>
        </w:rPr>
        <w:drawing>
          <wp:inline distT="0" distB="0" distL="0" distR="0" wp14:anchorId="4CA92050" wp14:editId="5E43DE35">
            <wp:extent cx="4295775" cy="4084036"/>
            <wp:effectExtent l="0" t="0" r="0" b="0"/>
            <wp:docPr id="2" name="Obrázek 1" descr="Obsah obrázku mapa, atlas, text&#10;&#10;Popis se vygeneroval automaticky.">
              <a:extLst xmlns:a="http://schemas.openxmlformats.org/drawingml/2006/main">
                <a:ext uri="{FF2B5EF4-FFF2-40B4-BE49-F238E27FC236}">
                  <a16:creationId xmlns:a16="http://schemas.microsoft.com/office/drawing/2014/main" id="{FF774473-325C-8A9B-AF51-EFA9DADA156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 descr="Obsah obrázku mapa, atlas, text&#10;&#10;Popis se vygeneroval automaticky.">
                      <a:extLst>
                        <a:ext uri="{FF2B5EF4-FFF2-40B4-BE49-F238E27FC236}">
                          <a16:creationId xmlns:a16="http://schemas.microsoft.com/office/drawing/2014/main" id="{FF774473-325C-8A9B-AF51-EFA9DADA156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4084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1B165C" w14:textId="2B86D39C" w:rsidR="00D81E84" w:rsidRDefault="00486C41" w:rsidP="006F7023">
      <w:pPr>
        <w:spacing w:after="120" w:line="288" w:lineRule="auto"/>
        <w:jc w:val="center"/>
        <w:rPr>
          <w:rFonts w:ascii="Arial Narrow" w:hAnsi="Arial Narrow"/>
          <w:sz w:val="24"/>
          <w:szCs w:val="32"/>
        </w:rPr>
      </w:pPr>
      <w:r>
        <w:rPr>
          <w:rFonts w:ascii="Arial Narrow" w:hAnsi="Arial Narrow"/>
          <w:sz w:val="24"/>
          <w:szCs w:val="32"/>
        </w:rPr>
        <w:t xml:space="preserve">Zdroj: </w:t>
      </w:r>
      <w:hyperlink r:id="rId22" w:history="1">
        <w:r w:rsidRPr="00486C41">
          <w:rPr>
            <w:rFonts w:ascii="Arial Narrow" w:hAnsi="Arial Narrow"/>
            <w:sz w:val="24"/>
            <w:szCs w:val="32"/>
          </w:rPr>
          <w:t>https://ec.europa.eu/eurostat/databrowser/view/tespm010/default/table?lang=en</w:t>
        </w:r>
      </w:hyperlink>
    </w:p>
    <w:p w14:paraId="6E70E362" w14:textId="77777777" w:rsidR="006F7023" w:rsidRDefault="006F7023" w:rsidP="006F7023">
      <w:pPr>
        <w:spacing w:after="120" w:line="288" w:lineRule="auto"/>
        <w:jc w:val="center"/>
        <w:rPr>
          <w:rFonts w:ascii="Arial Narrow" w:hAnsi="Arial Narrow"/>
          <w:sz w:val="24"/>
          <w:szCs w:val="32"/>
        </w:rPr>
      </w:pPr>
    </w:p>
    <w:p w14:paraId="6194B991" w14:textId="77777777" w:rsidR="00D10A70" w:rsidRPr="001F6D2A" w:rsidRDefault="00D10A70" w:rsidP="005F4392">
      <w:pPr>
        <w:spacing w:after="120" w:line="288" w:lineRule="auto"/>
        <w:jc w:val="center"/>
        <w:rPr>
          <w:rFonts w:ascii="Arial Narrow" w:hAnsi="Arial Narrow"/>
          <w:sz w:val="24"/>
          <w:szCs w:val="32"/>
        </w:rPr>
      </w:pPr>
    </w:p>
    <w:bookmarkEnd w:id="0"/>
    <w:p w14:paraId="6B7B3A24" w14:textId="77777777" w:rsidR="00530EA7" w:rsidRDefault="00530EA7" w:rsidP="0046357B">
      <w:pPr>
        <w:spacing w:before="240" w:after="120" w:line="288" w:lineRule="auto"/>
        <w:jc w:val="both"/>
        <w:rPr>
          <w:rFonts w:ascii="Arial Narrow" w:hAnsi="Arial Narrow"/>
          <w:b/>
          <w:sz w:val="26"/>
          <w:szCs w:val="26"/>
        </w:rPr>
      </w:pPr>
    </w:p>
    <w:p w14:paraId="27E07CB6" w14:textId="5607274B" w:rsidR="006A53D1" w:rsidRPr="00594570" w:rsidRDefault="009D005B" w:rsidP="0046357B">
      <w:pPr>
        <w:spacing w:before="240" w:after="120" w:line="288" w:lineRule="auto"/>
        <w:jc w:val="both"/>
        <w:rPr>
          <w:rFonts w:ascii="Arial Narrow" w:hAnsi="Arial Narrow"/>
          <w:b/>
          <w:sz w:val="26"/>
          <w:szCs w:val="26"/>
        </w:rPr>
      </w:pPr>
      <w:r w:rsidRPr="001F6D2A">
        <w:rPr>
          <w:rFonts w:ascii="Arial Narrow" w:hAnsi="Arial Narrow"/>
          <w:b/>
          <w:sz w:val="26"/>
          <w:szCs w:val="26"/>
        </w:rPr>
        <w:t>Míra materiální</w:t>
      </w:r>
      <w:r w:rsidRPr="00594570">
        <w:rPr>
          <w:rFonts w:ascii="Arial Narrow" w:hAnsi="Arial Narrow"/>
          <w:b/>
          <w:sz w:val="26"/>
          <w:szCs w:val="26"/>
        </w:rPr>
        <w:t xml:space="preserve"> </w:t>
      </w:r>
      <w:r w:rsidR="0024337B" w:rsidRPr="00594570">
        <w:rPr>
          <w:rFonts w:ascii="Arial Narrow" w:hAnsi="Arial Narrow"/>
          <w:b/>
          <w:sz w:val="26"/>
          <w:szCs w:val="26"/>
        </w:rPr>
        <w:t xml:space="preserve">a sociální </w:t>
      </w:r>
      <w:r w:rsidR="00C16B01" w:rsidRPr="00594570">
        <w:rPr>
          <w:rFonts w:ascii="Arial Narrow" w:hAnsi="Arial Narrow"/>
          <w:b/>
          <w:sz w:val="26"/>
          <w:szCs w:val="26"/>
        </w:rPr>
        <w:t>deprivace v roce 202</w:t>
      </w:r>
      <w:r w:rsidR="00594570" w:rsidRPr="00594570">
        <w:rPr>
          <w:rFonts w:ascii="Arial Narrow" w:hAnsi="Arial Narrow"/>
          <w:b/>
          <w:sz w:val="26"/>
          <w:szCs w:val="26"/>
        </w:rPr>
        <w:t>3</w:t>
      </w:r>
    </w:p>
    <w:p w14:paraId="74D189CA" w14:textId="46E58CFC" w:rsidR="00657E0A" w:rsidRDefault="00AA41C4" w:rsidP="00FB6D12">
      <w:pPr>
        <w:spacing w:line="288" w:lineRule="auto"/>
        <w:jc w:val="both"/>
        <w:rPr>
          <w:rFonts w:ascii="Arial Narrow" w:hAnsi="Arial Narrow"/>
          <w:sz w:val="24"/>
          <w:szCs w:val="24"/>
        </w:rPr>
      </w:pPr>
      <w:r w:rsidRPr="00594570">
        <w:rPr>
          <w:rFonts w:ascii="Arial Narrow" w:hAnsi="Arial Narrow"/>
          <w:sz w:val="24"/>
          <w:szCs w:val="24"/>
        </w:rPr>
        <w:t xml:space="preserve">Indikátor materiální </w:t>
      </w:r>
      <w:r w:rsidR="00ED570D" w:rsidRPr="00594570">
        <w:rPr>
          <w:rFonts w:ascii="Arial Narrow" w:hAnsi="Arial Narrow"/>
          <w:sz w:val="24"/>
          <w:szCs w:val="24"/>
        </w:rPr>
        <w:t xml:space="preserve">a sociální </w:t>
      </w:r>
      <w:r w:rsidRPr="00594570">
        <w:rPr>
          <w:rFonts w:ascii="Arial Narrow" w:hAnsi="Arial Narrow"/>
          <w:sz w:val="24"/>
          <w:szCs w:val="24"/>
        </w:rPr>
        <w:t xml:space="preserve">deprivace udává podíl osob, </w:t>
      </w:r>
      <w:r w:rsidR="007D2B59" w:rsidRPr="00594570">
        <w:rPr>
          <w:rFonts w:ascii="Arial Narrow" w:hAnsi="Arial Narrow"/>
          <w:sz w:val="24"/>
          <w:szCs w:val="24"/>
        </w:rPr>
        <w:t>jejichž domácnosti</w:t>
      </w:r>
      <w:r w:rsidRPr="00594570">
        <w:rPr>
          <w:rFonts w:ascii="Arial Narrow" w:hAnsi="Arial Narrow"/>
          <w:sz w:val="24"/>
          <w:szCs w:val="24"/>
        </w:rPr>
        <w:t xml:space="preserve"> si nemohou </w:t>
      </w:r>
      <w:r w:rsidR="00421909" w:rsidRPr="00594570">
        <w:rPr>
          <w:rFonts w:ascii="Arial Narrow" w:hAnsi="Arial Narrow"/>
          <w:sz w:val="24"/>
          <w:szCs w:val="24"/>
        </w:rPr>
        <w:t xml:space="preserve">z finančních důvodů </w:t>
      </w:r>
      <w:r w:rsidRPr="00594570">
        <w:rPr>
          <w:rFonts w:ascii="Arial Narrow" w:hAnsi="Arial Narrow"/>
          <w:sz w:val="24"/>
          <w:szCs w:val="24"/>
        </w:rPr>
        <w:t xml:space="preserve">dovolit </w:t>
      </w:r>
      <w:r w:rsidR="00ED570D" w:rsidRPr="00594570">
        <w:rPr>
          <w:rFonts w:ascii="Arial Narrow" w:hAnsi="Arial Narrow"/>
          <w:sz w:val="24"/>
          <w:szCs w:val="24"/>
        </w:rPr>
        <w:t>pět</w:t>
      </w:r>
      <w:r w:rsidRPr="00594570">
        <w:rPr>
          <w:rFonts w:ascii="Arial Narrow" w:hAnsi="Arial Narrow"/>
          <w:sz w:val="24"/>
          <w:szCs w:val="24"/>
        </w:rPr>
        <w:t xml:space="preserve"> a více </w:t>
      </w:r>
      <w:r w:rsidR="001A54CD" w:rsidRPr="00594570">
        <w:rPr>
          <w:rFonts w:ascii="Arial Narrow" w:hAnsi="Arial Narrow"/>
          <w:sz w:val="24"/>
          <w:szCs w:val="24"/>
        </w:rPr>
        <w:t>z</w:t>
      </w:r>
      <w:r w:rsidR="0017469E" w:rsidRPr="00594570">
        <w:rPr>
          <w:rFonts w:ascii="Arial Narrow" w:hAnsi="Arial Narrow"/>
          <w:sz w:val="24"/>
          <w:szCs w:val="24"/>
        </w:rPr>
        <w:t>e</w:t>
      </w:r>
      <w:r w:rsidR="00ED570D" w:rsidRPr="00594570">
        <w:rPr>
          <w:rFonts w:ascii="Arial Narrow" w:hAnsi="Arial Narrow"/>
          <w:sz w:val="24"/>
          <w:szCs w:val="24"/>
        </w:rPr>
        <w:t> třinácti</w:t>
      </w:r>
      <w:r w:rsidR="00DD1829" w:rsidRPr="00594570">
        <w:rPr>
          <w:rFonts w:ascii="Arial Narrow" w:hAnsi="Arial Narrow"/>
          <w:sz w:val="24"/>
          <w:szCs w:val="24"/>
        </w:rPr>
        <w:t xml:space="preserve"> </w:t>
      </w:r>
      <w:r w:rsidR="00F11508" w:rsidRPr="00594570">
        <w:rPr>
          <w:rFonts w:ascii="Arial Narrow" w:hAnsi="Arial Narrow"/>
          <w:sz w:val="24"/>
          <w:szCs w:val="24"/>
        </w:rPr>
        <w:t xml:space="preserve">sledovaných </w:t>
      </w:r>
      <w:r w:rsidR="001A54CD" w:rsidRPr="00594570">
        <w:rPr>
          <w:rFonts w:ascii="Arial Narrow" w:hAnsi="Arial Narrow"/>
          <w:sz w:val="24"/>
          <w:szCs w:val="24"/>
        </w:rPr>
        <w:t>položek.</w:t>
      </w:r>
      <w:r w:rsidR="008E36DE">
        <w:rPr>
          <w:rFonts w:ascii="Arial Narrow" w:hAnsi="Arial Narrow"/>
          <w:sz w:val="24"/>
          <w:szCs w:val="24"/>
        </w:rPr>
        <w:t xml:space="preserve"> Podobně jako u míry ohrožení příjmovou chudobou </w:t>
      </w:r>
      <w:r w:rsidR="00CC4602">
        <w:rPr>
          <w:rFonts w:ascii="Arial Narrow" w:hAnsi="Arial Narrow"/>
          <w:sz w:val="24"/>
          <w:szCs w:val="24"/>
        </w:rPr>
        <w:t>jde</w:t>
      </w:r>
      <w:r w:rsidR="008E36DE">
        <w:rPr>
          <w:rFonts w:ascii="Arial Narrow" w:hAnsi="Arial Narrow"/>
          <w:sz w:val="24"/>
          <w:szCs w:val="24"/>
        </w:rPr>
        <w:t xml:space="preserve"> o </w:t>
      </w:r>
      <w:r w:rsidR="008E36DE" w:rsidRPr="007C2171">
        <w:rPr>
          <w:rFonts w:ascii="Arial Narrow" w:hAnsi="Arial Narrow"/>
          <w:sz w:val="24"/>
          <w:szCs w:val="32"/>
        </w:rPr>
        <w:t xml:space="preserve">indikátor, který </w:t>
      </w:r>
      <w:r w:rsidR="008E36DE">
        <w:rPr>
          <w:rFonts w:ascii="Arial Narrow" w:hAnsi="Arial Narrow"/>
          <w:sz w:val="24"/>
          <w:szCs w:val="32"/>
        </w:rPr>
        <w:t>vychází z</w:t>
      </w:r>
      <w:r w:rsidR="008E36DE" w:rsidRPr="007C2171">
        <w:rPr>
          <w:rFonts w:ascii="Arial Narrow" w:hAnsi="Arial Narrow"/>
          <w:sz w:val="24"/>
          <w:szCs w:val="32"/>
        </w:rPr>
        <w:t xml:space="preserve"> metodiky dané </w:t>
      </w:r>
      <w:r w:rsidR="00CC4602">
        <w:rPr>
          <w:rFonts w:ascii="Arial Narrow" w:hAnsi="Arial Narrow"/>
          <w:sz w:val="24"/>
          <w:szCs w:val="32"/>
        </w:rPr>
        <w:t>Eurostatem.</w:t>
      </w:r>
      <w:r w:rsidR="001A54CD" w:rsidRPr="00594570">
        <w:rPr>
          <w:rFonts w:ascii="Arial Narrow" w:hAnsi="Arial Narrow"/>
          <w:sz w:val="24"/>
          <w:szCs w:val="24"/>
        </w:rPr>
        <w:t xml:space="preserve"> </w:t>
      </w:r>
      <w:r w:rsidR="0024337B" w:rsidRPr="00594570">
        <w:rPr>
          <w:rFonts w:ascii="Arial Narrow" w:hAnsi="Arial Narrow"/>
          <w:sz w:val="24"/>
          <w:szCs w:val="24"/>
        </w:rPr>
        <w:t xml:space="preserve">V roce </w:t>
      </w:r>
      <w:r w:rsidR="0024337B" w:rsidRPr="00E63081">
        <w:rPr>
          <w:rFonts w:ascii="Arial Narrow" w:hAnsi="Arial Narrow"/>
          <w:sz w:val="24"/>
          <w:szCs w:val="24"/>
        </w:rPr>
        <w:t>20</w:t>
      </w:r>
      <w:r w:rsidR="00C16B01" w:rsidRPr="00E63081">
        <w:rPr>
          <w:rFonts w:ascii="Arial Narrow" w:hAnsi="Arial Narrow"/>
          <w:sz w:val="24"/>
          <w:szCs w:val="24"/>
        </w:rPr>
        <w:t>2</w:t>
      </w:r>
      <w:r w:rsidR="00594570" w:rsidRPr="00E63081">
        <w:rPr>
          <w:rFonts w:ascii="Arial Narrow" w:hAnsi="Arial Narrow"/>
          <w:sz w:val="24"/>
          <w:szCs w:val="24"/>
        </w:rPr>
        <w:t>3</w:t>
      </w:r>
      <w:r w:rsidR="0024337B" w:rsidRPr="00E63081">
        <w:rPr>
          <w:rFonts w:ascii="Arial Narrow" w:hAnsi="Arial Narrow"/>
          <w:sz w:val="24"/>
          <w:szCs w:val="24"/>
        </w:rPr>
        <w:t xml:space="preserve"> </w:t>
      </w:r>
      <w:r w:rsidR="00B52C1D" w:rsidRPr="00E63081">
        <w:rPr>
          <w:rFonts w:ascii="Arial Narrow" w:hAnsi="Arial Narrow"/>
          <w:sz w:val="24"/>
          <w:szCs w:val="24"/>
        </w:rPr>
        <w:t xml:space="preserve">dosáhla </w:t>
      </w:r>
      <w:r w:rsidR="00F11508" w:rsidRPr="00E63081">
        <w:rPr>
          <w:rFonts w:ascii="Arial Narrow" w:hAnsi="Arial Narrow"/>
          <w:sz w:val="24"/>
          <w:szCs w:val="24"/>
        </w:rPr>
        <w:t xml:space="preserve">tato míra </w:t>
      </w:r>
      <w:r w:rsidR="00B52C1D" w:rsidRPr="00E63081">
        <w:rPr>
          <w:rFonts w:ascii="Arial Narrow" w:hAnsi="Arial Narrow"/>
          <w:sz w:val="24"/>
          <w:szCs w:val="24"/>
        </w:rPr>
        <w:t>hodnoty</w:t>
      </w:r>
      <w:r w:rsidR="00E63081" w:rsidRPr="00E63081">
        <w:rPr>
          <w:rFonts w:ascii="Arial Narrow" w:hAnsi="Arial Narrow"/>
          <w:sz w:val="24"/>
          <w:szCs w:val="24"/>
        </w:rPr>
        <w:t xml:space="preserve"> 6,3</w:t>
      </w:r>
      <w:r w:rsidR="00240483" w:rsidRPr="00E63081">
        <w:rPr>
          <w:rFonts w:ascii="Arial Narrow" w:hAnsi="Arial Narrow"/>
          <w:sz w:val="24"/>
          <w:szCs w:val="24"/>
        </w:rPr>
        <w:t xml:space="preserve"> </w:t>
      </w:r>
      <w:r w:rsidR="0024337B" w:rsidRPr="00E63081">
        <w:rPr>
          <w:rFonts w:ascii="Arial Narrow" w:hAnsi="Arial Narrow"/>
          <w:sz w:val="24"/>
          <w:szCs w:val="24"/>
        </w:rPr>
        <w:t>%</w:t>
      </w:r>
      <w:r w:rsidR="00594570" w:rsidRPr="00E63081">
        <w:rPr>
          <w:rFonts w:ascii="Arial Narrow" w:hAnsi="Arial Narrow"/>
          <w:sz w:val="24"/>
          <w:szCs w:val="24"/>
        </w:rPr>
        <w:t>, čímž zazna</w:t>
      </w:r>
      <w:r w:rsidR="00E63081" w:rsidRPr="00E63081">
        <w:rPr>
          <w:rFonts w:ascii="Arial Narrow" w:hAnsi="Arial Narrow"/>
          <w:sz w:val="24"/>
          <w:szCs w:val="24"/>
        </w:rPr>
        <w:t>menala od roku 2022 nárůst o 1,5</w:t>
      </w:r>
      <w:r w:rsidR="007C108F">
        <w:rPr>
          <w:rFonts w:ascii="Arial Narrow" w:hAnsi="Arial Narrow"/>
          <w:sz w:val="24"/>
          <w:szCs w:val="24"/>
        </w:rPr>
        <w:t xml:space="preserve"> p.</w:t>
      </w:r>
      <w:r w:rsidR="00594570" w:rsidRPr="00E63081">
        <w:rPr>
          <w:rFonts w:ascii="Arial Narrow" w:hAnsi="Arial Narrow"/>
          <w:sz w:val="24"/>
          <w:szCs w:val="24"/>
        </w:rPr>
        <w:t>b.</w:t>
      </w:r>
      <w:r w:rsidR="003E474B" w:rsidRPr="00E63081">
        <w:rPr>
          <w:rFonts w:ascii="Arial Narrow" w:hAnsi="Arial Narrow"/>
          <w:sz w:val="24"/>
          <w:szCs w:val="24"/>
        </w:rPr>
        <w:t xml:space="preserve"> Jedná </w:t>
      </w:r>
      <w:r w:rsidR="00FD3EA7" w:rsidRPr="00E63081">
        <w:rPr>
          <w:rFonts w:ascii="Arial Narrow" w:hAnsi="Arial Narrow"/>
          <w:sz w:val="24"/>
          <w:szCs w:val="24"/>
        </w:rPr>
        <w:t>se o</w:t>
      </w:r>
      <w:r w:rsidR="00F11508" w:rsidRPr="00594570">
        <w:rPr>
          <w:rFonts w:ascii="Arial Narrow" w:hAnsi="Arial Narrow"/>
          <w:sz w:val="24"/>
          <w:szCs w:val="24"/>
        </w:rPr>
        <w:t> </w:t>
      </w:r>
      <w:r w:rsidR="00FD3EA7" w:rsidRPr="00594570">
        <w:rPr>
          <w:rFonts w:ascii="Arial Narrow" w:hAnsi="Arial Narrow"/>
          <w:sz w:val="24"/>
          <w:szCs w:val="24"/>
        </w:rPr>
        <w:t>měření podle metodiky</w:t>
      </w:r>
      <w:r w:rsidR="00B52C1D" w:rsidRPr="00594570">
        <w:rPr>
          <w:rFonts w:ascii="Arial Narrow" w:hAnsi="Arial Narrow"/>
          <w:sz w:val="24"/>
          <w:szCs w:val="24"/>
        </w:rPr>
        <w:t>, kter</w:t>
      </w:r>
      <w:r w:rsidR="00B46AFB" w:rsidRPr="00594570">
        <w:rPr>
          <w:rFonts w:ascii="Arial Narrow" w:hAnsi="Arial Narrow"/>
          <w:sz w:val="24"/>
          <w:szCs w:val="24"/>
        </w:rPr>
        <w:t>á</w:t>
      </w:r>
      <w:r w:rsidR="00B52C1D" w:rsidRPr="00594570">
        <w:rPr>
          <w:rFonts w:ascii="Arial Narrow" w:hAnsi="Arial Narrow"/>
          <w:sz w:val="24"/>
          <w:szCs w:val="24"/>
        </w:rPr>
        <w:t xml:space="preserve"> </w:t>
      </w:r>
      <w:r w:rsidR="00F11508" w:rsidRPr="00594570">
        <w:rPr>
          <w:rFonts w:ascii="Arial Narrow" w:hAnsi="Arial Narrow"/>
          <w:sz w:val="24"/>
          <w:szCs w:val="24"/>
        </w:rPr>
        <w:t xml:space="preserve">posuzuje nejen </w:t>
      </w:r>
      <w:r w:rsidR="00052267" w:rsidRPr="00594570">
        <w:rPr>
          <w:rFonts w:ascii="Arial Narrow" w:hAnsi="Arial Narrow"/>
          <w:sz w:val="24"/>
          <w:szCs w:val="24"/>
        </w:rPr>
        <w:t>materiální položk</w:t>
      </w:r>
      <w:r w:rsidR="00C16B01" w:rsidRPr="00594570">
        <w:rPr>
          <w:rFonts w:ascii="Arial Narrow" w:hAnsi="Arial Narrow"/>
          <w:sz w:val="24"/>
          <w:szCs w:val="24"/>
        </w:rPr>
        <w:t>y</w:t>
      </w:r>
      <w:r w:rsidR="00F11508" w:rsidRPr="00594570">
        <w:rPr>
          <w:rFonts w:ascii="Arial Narrow" w:hAnsi="Arial Narrow"/>
          <w:sz w:val="24"/>
          <w:szCs w:val="24"/>
        </w:rPr>
        <w:t xml:space="preserve">, ale i </w:t>
      </w:r>
      <w:r w:rsidR="003E474B" w:rsidRPr="00594570">
        <w:rPr>
          <w:rFonts w:ascii="Arial Narrow" w:hAnsi="Arial Narrow"/>
          <w:sz w:val="24"/>
          <w:szCs w:val="24"/>
        </w:rPr>
        <w:t>sociální prvk</w:t>
      </w:r>
      <w:r w:rsidR="00C16B01" w:rsidRPr="00594570">
        <w:rPr>
          <w:rFonts w:ascii="Arial Narrow" w:hAnsi="Arial Narrow"/>
          <w:sz w:val="24"/>
          <w:szCs w:val="24"/>
        </w:rPr>
        <w:t>y</w:t>
      </w:r>
      <w:r w:rsidR="003E474B" w:rsidRPr="00594570">
        <w:rPr>
          <w:rFonts w:ascii="Arial Narrow" w:hAnsi="Arial Narrow"/>
          <w:sz w:val="24"/>
          <w:szCs w:val="24"/>
        </w:rPr>
        <w:t xml:space="preserve"> života</w:t>
      </w:r>
      <w:r w:rsidR="00DE5642" w:rsidRPr="00594570">
        <w:rPr>
          <w:rFonts w:ascii="Arial Narrow" w:hAnsi="Arial Narrow"/>
          <w:sz w:val="24"/>
          <w:szCs w:val="24"/>
        </w:rPr>
        <w:t xml:space="preserve"> (</w:t>
      </w:r>
      <w:r w:rsidR="00F11508" w:rsidRPr="00594570">
        <w:rPr>
          <w:rFonts w:ascii="Arial Narrow" w:hAnsi="Arial Narrow"/>
          <w:sz w:val="24"/>
          <w:szCs w:val="24"/>
        </w:rPr>
        <w:t>jako je v</w:t>
      </w:r>
      <w:r w:rsidR="003E474B" w:rsidRPr="00594570">
        <w:rPr>
          <w:rFonts w:ascii="Arial Narrow" w:hAnsi="Arial Narrow"/>
          <w:sz w:val="24"/>
          <w:szCs w:val="24"/>
        </w:rPr>
        <w:t>olnočasová aktivita, kontakt s</w:t>
      </w:r>
      <w:r w:rsidR="00DE5642" w:rsidRPr="00594570">
        <w:rPr>
          <w:rFonts w:ascii="Arial Narrow" w:hAnsi="Arial Narrow"/>
          <w:sz w:val="24"/>
          <w:szCs w:val="24"/>
        </w:rPr>
        <w:t> </w:t>
      </w:r>
      <w:r w:rsidR="003E474B" w:rsidRPr="00594570">
        <w:rPr>
          <w:rFonts w:ascii="Arial Narrow" w:hAnsi="Arial Narrow"/>
          <w:sz w:val="24"/>
          <w:szCs w:val="24"/>
        </w:rPr>
        <w:t>přáteli</w:t>
      </w:r>
      <w:r w:rsidR="00DE5642" w:rsidRPr="00594570">
        <w:rPr>
          <w:rFonts w:ascii="Arial Narrow" w:hAnsi="Arial Narrow"/>
          <w:sz w:val="24"/>
          <w:szCs w:val="24"/>
        </w:rPr>
        <w:t xml:space="preserve"> či</w:t>
      </w:r>
      <w:r w:rsidR="003E474B" w:rsidRPr="00594570">
        <w:rPr>
          <w:rFonts w:ascii="Arial Narrow" w:hAnsi="Arial Narrow"/>
          <w:sz w:val="24"/>
          <w:szCs w:val="24"/>
        </w:rPr>
        <w:t xml:space="preserve"> útrata pro sebe</w:t>
      </w:r>
      <w:r w:rsidR="00DE5642" w:rsidRPr="00594570">
        <w:rPr>
          <w:rFonts w:ascii="Arial Narrow" w:hAnsi="Arial Narrow"/>
          <w:sz w:val="24"/>
          <w:szCs w:val="24"/>
        </w:rPr>
        <w:t>)</w:t>
      </w:r>
      <w:r w:rsidR="00D9342F" w:rsidRPr="00594570">
        <w:rPr>
          <w:rFonts w:ascii="Arial Narrow" w:hAnsi="Arial Narrow"/>
          <w:sz w:val="24"/>
          <w:szCs w:val="24"/>
        </w:rPr>
        <w:t>.</w:t>
      </w:r>
      <w:r w:rsidR="00756F7C" w:rsidRPr="00594570">
        <w:rPr>
          <w:rFonts w:ascii="Arial Narrow" w:hAnsi="Arial Narrow"/>
          <w:sz w:val="24"/>
          <w:szCs w:val="24"/>
        </w:rPr>
        <w:t xml:space="preserve"> </w:t>
      </w:r>
      <w:r w:rsidR="006B49FA" w:rsidRPr="006B49FA">
        <w:rPr>
          <w:rFonts w:ascii="Arial Narrow" w:hAnsi="Arial Narrow"/>
          <w:sz w:val="24"/>
          <w:szCs w:val="24"/>
        </w:rPr>
        <w:t>Téměř d</w:t>
      </w:r>
      <w:r w:rsidR="00756F7C" w:rsidRPr="006B49FA">
        <w:rPr>
          <w:rFonts w:ascii="Arial Narrow" w:hAnsi="Arial Narrow"/>
          <w:sz w:val="24"/>
          <w:szCs w:val="24"/>
        </w:rPr>
        <w:t xml:space="preserve">vě třetiny respondentů </w:t>
      </w:r>
      <w:r w:rsidR="00DE5642" w:rsidRPr="006B49FA">
        <w:rPr>
          <w:rFonts w:ascii="Arial Narrow" w:hAnsi="Arial Narrow"/>
          <w:sz w:val="24"/>
          <w:szCs w:val="24"/>
        </w:rPr>
        <w:t xml:space="preserve">přitom </w:t>
      </w:r>
      <w:r w:rsidR="00756F7C" w:rsidRPr="006B49FA">
        <w:rPr>
          <w:rFonts w:ascii="Arial Narrow" w:hAnsi="Arial Narrow"/>
          <w:sz w:val="24"/>
          <w:szCs w:val="24"/>
        </w:rPr>
        <w:t>nebyly deprivovány ani jednou položkou.</w:t>
      </w:r>
      <w:r w:rsidR="00594570" w:rsidRPr="006B49FA">
        <w:rPr>
          <w:rFonts w:ascii="Arial Narrow" w:hAnsi="Arial Narrow"/>
          <w:sz w:val="24"/>
          <w:szCs w:val="24"/>
        </w:rPr>
        <w:t xml:space="preserve"> </w:t>
      </w:r>
    </w:p>
    <w:p w14:paraId="53797DD3" w14:textId="77777777" w:rsidR="009F28BE" w:rsidRPr="00FB65B8" w:rsidRDefault="009F28BE" w:rsidP="00FB6D12">
      <w:pPr>
        <w:spacing w:line="288" w:lineRule="auto"/>
        <w:jc w:val="both"/>
        <w:rPr>
          <w:rFonts w:ascii="Arial Narrow" w:hAnsi="Arial Narrow"/>
          <w:sz w:val="24"/>
          <w:szCs w:val="24"/>
          <w:highlight w:val="yellow"/>
        </w:rPr>
      </w:pPr>
    </w:p>
    <w:p w14:paraId="3FBDF1A3" w14:textId="65800154" w:rsidR="003E612D" w:rsidRDefault="003B7073" w:rsidP="00A70206">
      <w:pPr>
        <w:pStyle w:val="4TABULKA"/>
        <w:jc w:val="both"/>
        <w:rPr>
          <w:b w:val="0"/>
          <w:lang w:val="cs-CZ"/>
        </w:rPr>
      </w:pPr>
      <w:r w:rsidRPr="002C1813">
        <w:rPr>
          <w:b w:val="0"/>
        </w:rPr>
        <w:lastRenderedPageBreak/>
        <w:t>Tab</w:t>
      </w:r>
      <w:r w:rsidR="00756F7C" w:rsidRPr="002C1813">
        <w:rPr>
          <w:b w:val="0"/>
          <w:lang w:val="cs-CZ"/>
        </w:rPr>
        <w:t>.</w:t>
      </w:r>
      <w:r w:rsidRPr="002C1813">
        <w:rPr>
          <w:b w:val="0"/>
        </w:rPr>
        <w:t xml:space="preserve"> </w:t>
      </w:r>
      <w:r w:rsidR="008A34AE" w:rsidRPr="002C1813">
        <w:rPr>
          <w:b w:val="0"/>
        </w:rPr>
        <w:fldChar w:fldCharType="begin"/>
      </w:r>
      <w:r w:rsidR="008A34AE" w:rsidRPr="002C1813">
        <w:rPr>
          <w:b w:val="0"/>
        </w:rPr>
        <w:instrText xml:space="preserve"> SEQ Tabulka \* ARABIC </w:instrText>
      </w:r>
      <w:r w:rsidR="008A34AE" w:rsidRPr="002C1813">
        <w:rPr>
          <w:b w:val="0"/>
        </w:rPr>
        <w:fldChar w:fldCharType="separate"/>
      </w:r>
      <w:r w:rsidR="004B4D22" w:rsidRPr="002C1813">
        <w:rPr>
          <w:b w:val="0"/>
          <w:noProof/>
        </w:rPr>
        <w:t>2</w:t>
      </w:r>
      <w:r w:rsidR="008A34AE" w:rsidRPr="002C1813">
        <w:rPr>
          <w:b w:val="0"/>
          <w:noProof/>
        </w:rPr>
        <w:fldChar w:fldCharType="end"/>
      </w:r>
      <w:r w:rsidRPr="002C1813">
        <w:rPr>
          <w:b w:val="0"/>
        </w:rPr>
        <w:t xml:space="preserve">: Podíl osob v domácnostech, které si </w:t>
      </w:r>
      <w:r w:rsidR="00511238" w:rsidRPr="002C1813">
        <w:rPr>
          <w:b w:val="0"/>
          <w:lang w:val="cs-CZ"/>
        </w:rPr>
        <w:t>v</w:t>
      </w:r>
      <w:r w:rsidR="00DE5642" w:rsidRPr="002C1813">
        <w:rPr>
          <w:b w:val="0"/>
          <w:lang w:val="cs-CZ"/>
        </w:rPr>
        <w:t xml:space="preserve"> roce </w:t>
      </w:r>
      <w:r w:rsidR="00F64234" w:rsidRPr="002C1813">
        <w:rPr>
          <w:b w:val="0"/>
          <w:lang w:val="cs-CZ"/>
        </w:rPr>
        <w:t>202</w:t>
      </w:r>
      <w:r w:rsidR="002C1813" w:rsidRPr="002C1813">
        <w:rPr>
          <w:b w:val="0"/>
          <w:lang w:val="cs-CZ"/>
        </w:rPr>
        <w:t>3</w:t>
      </w:r>
      <w:r w:rsidR="00C931DB" w:rsidRPr="002C1813">
        <w:rPr>
          <w:b w:val="0"/>
          <w:lang w:val="cs-CZ"/>
        </w:rPr>
        <w:t xml:space="preserve"> </w:t>
      </w:r>
      <w:r w:rsidRPr="002C1813">
        <w:rPr>
          <w:b w:val="0"/>
        </w:rPr>
        <w:t xml:space="preserve">nemohly </w:t>
      </w:r>
      <w:r w:rsidR="00D85D0E" w:rsidRPr="002C1813">
        <w:rPr>
          <w:b w:val="0"/>
        </w:rPr>
        <w:t xml:space="preserve">dovolit </w:t>
      </w:r>
      <w:r w:rsidR="00756F7C" w:rsidRPr="002C1813">
        <w:rPr>
          <w:b w:val="0"/>
        </w:rPr>
        <w:t>z finanč</w:t>
      </w:r>
      <w:r w:rsidR="0046357B" w:rsidRPr="002C1813">
        <w:rPr>
          <w:b w:val="0"/>
          <w:lang w:val="cs-CZ"/>
        </w:rPr>
        <w:t>ních</w:t>
      </w:r>
      <w:r w:rsidR="00C931DB" w:rsidRPr="002C1813">
        <w:rPr>
          <w:b w:val="0"/>
        </w:rPr>
        <w:t xml:space="preserve"> důvodů </w:t>
      </w:r>
      <w:r w:rsidRPr="002C1813">
        <w:rPr>
          <w:b w:val="0"/>
        </w:rPr>
        <w:t>danou položku</w:t>
      </w:r>
      <w:r w:rsidR="00756F7C" w:rsidRPr="002C1813">
        <w:rPr>
          <w:b w:val="0"/>
          <w:lang w:val="cs-CZ"/>
        </w:rPr>
        <w:t xml:space="preserve"> </w:t>
      </w:r>
      <w:r w:rsidR="00FA774D" w:rsidRPr="002C1813">
        <w:rPr>
          <w:b w:val="0"/>
          <w:lang w:val="cs-CZ"/>
        </w:rPr>
        <w:t>(v</w:t>
      </w:r>
      <w:r w:rsidR="00F64234" w:rsidRPr="002C1813">
        <w:rPr>
          <w:b w:val="0"/>
          <w:lang w:val="cs-CZ"/>
        </w:rPr>
        <w:t xml:space="preserve"> </w:t>
      </w:r>
      <w:r w:rsidR="00FA774D" w:rsidRPr="002C1813">
        <w:rPr>
          <w:b w:val="0"/>
          <w:lang w:val="cs-CZ"/>
        </w:rPr>
        <w:t>%)</w:t>
      </w:r>
      <w:r w:rsidRPr="002C1813">
        <w:rPr>
          <w:b w:val="0"/>
        </w:rPr>
        <w:t xml:space="preserve"> </w:t>
      </w:r>
      <w:r w:rsidR="00426540">
        <w:rPr>
          <w:b w:val="0"/>
          <w:lang w:val="cs-CZ"/>
        </w:rPr>
        <w:t xml:space="preserve"> </w:t>
      </w:r>
    </w:p>
    <w:p w14:paraId="7ABFD166" w14:textId="77777777" w:rsidR="00A70206" w:rsidRPr="00A70206" w:rsidRDefault="00A70206" w:rsidP="00A70206">
      <w:pPr>
        <w:pStyle w:val="4TABULKA"/>
        <w:jc w:val="both"/>
        <w:rPr>
          <w:b w:val="0"/>
          <w:lang w:val="cs-CZ"/>
        </w:rPr>
      </w:pPr>
    </w:p>
    <w:tbl>
      <w:tblPr>
        <w:tblW w:w="5454" w:type="dxa"/>
        <w:tblInd w:w="16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2"/>
        <w:gridCol w:w="912"/>
      </w:tblGrid>
      <w:tr w:rsidR="001F6D2A" w:rsidRPr="00340817" w14:paraId="3672462E" w14:textId="77777777" w:rsidTr="00A70206">
        <w:trPr>
          <w:trHeight w:hRule="exact" w:val="340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F84B105" w14:textId="77777777" w:rsidR="001F6D2A" w:rsidRPr="009D4918" w:rsidRDefault="001F6D2A" w:rsidP="00EB42C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71BC"/>
                <w:sz w:val="21"/>
                <w:szCs w:val="21"/>
                <w:lang w:eastAsia="cs-CZ"/>
              </w:rPr>
            </w:pPr>
            <w:r w:rsidRPr="009D4918">
              <w:rPr>
                <w:rFonts w:ascii="Arial Narrow" w:eastAsia="Times New Roman" w:hAnsi="Arial Narrow"/>
                <w:b/>
                <w:bCs/>
                <w:color w:val="0071BC"/>
                <w:sz w:val="21"/>
                <w:szCs w:val="21"/>
                <w:lang w:eastAsia="cs-CZ"/>
              </w:rPr>
              <w:t>Pořizovat nový nábytek za opotřebovaný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087D7E5" w14:textId="7951FF16" w:rsidR="001F6D2A" w:rsidRPr="009D4918" w:rsidRDefault="00A70206" w:rsidP="00EB42C5">
            <w:pPr>
              <w:spacing w:after="0" w:line="240" w:lineRule="auto"/>
              <w:ind w:right="227"/>
              <w:jc w:val="right"/>
              <w:rPr>
                <w:rFonts w:ascii="Arial Narrow" w:eastAsia="Times New Roman" w:hAnsi="Arial Narrow"/>
                <w:b/>
                <w:bCs/>
                <w:color w:val="0071BC"/>
                <w:sz w:val="21"/>
                <w:szCs w:val="21"/>
                <w:lang w:eastAsia="cs-CZ"/>
              </w:rPr>
            </w:pPr>
            <w:r>
              <w:rPr>
                <w:rFonts w:ascii="Arial Narrow" w:eastAsia="Times New Roman" w:hAnsi="Arial Narrow"/>
                <w:b/>
                <w:bCs/>
                <w:color w:val="0071BC"/>
                <w:sz w:val="21"/>
                <w:szCs w:val="21"/>
                <w:lang w:eastAsia="cs-CZ"/>
              </w:rPr>
              <w:t>30</w:t>
            </w:r>
            <w:r w:rsidR="001F6D2A" w:rsidRPr="009D4918">
              <w:rPr>
                <w:rFonts w:ascii="Arial Narrow" w:eastAsia="Times New Roman" w:hAnsi="Arial Narrow"/>
                <w:b/>
                <w:bCs/>
                <w:color w:val="0071BC"/>
                <w:sz w:val="21"/>
                <w:szCs w:val="21"/>
                <w:lang w:eastAsia="cs-CZ"/>
              </w:rPr>
              <w:t>,</w:t>
            </w:r>
            <w:r>
              <w:rPr>
                <w:rFonts w:ascii="Arial Narrow" w:eastAsia="Times New Roman" w:hAnsi="Arial Narrow"/>
                <w:b/>
                <w:bCs/>
                <w:color w:val="0071BC"/>
                <w:sz w:val="21"/>
                <w:szCs w:val="21"/>
                <w:lang w:eastAsia="cs-CZ"/>
              </w:rPr>
              <w:t>0</w:t>
            </w:r>
          </w:p>
        </w:tc>
      </w:tr>
      <w:tr w:rsidR="001F6D2A" w:rsidRPr="00340817" w14:paraId="4C4F7A29" w14:textId="77777777" w:rsidTr="00A70206">
        <w:trPr>
          <w:trHeight w:hRule="exact" w:val="340"/>
        </w:trPr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8FB3251" w14:textId="77777777" w:rsidR="001F6D2A" w:rsidRPr="009D4918" w:rsidRDefault="001F6D2A" w:rsidP="00EB42C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71BC"/>
                <w:sz w:val="21"/>
                <w:szCs w:val="21"/>
                <w:lang w:eastAsia="cs-CZ"/>
              </w:rPr>
            </w:pPr>
            <w:r w:rsidRPr="009D4918">
              <w:rPr>
                <w:rFonts w:ascii="Arial Narrow" w:eastAsia="Times New Roman" w:hAnsi="Arial Narrow"/>
                <w:b/>
                <w:bCs/>
                <w:color w:val="0071BC"/>
                <w:sz w:val="21"/>
                <w:szCs w:val="21"/>
                <w:lang w:eastAsia="cs-CZ"/>
              </w:rPr>
              <w:t xml:space="preserve">Týdenní dovolená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7C644F0" w14:textId="46766140" w:rsidR="001F6D2A" w:rsidRPr="009D4918" w:rsidRDefault="00A70206" w:rsidP="00EB42C5">
            <w:pPr>
              <w:spacing w:after="0" w:line="240" w:lineRule="auto"/>
              <w:ind w:right="227"/>
              <w:jc w:val="right"/>
              <w:rPr>
                <w:rFonts w:ascii="Arial Narrow" w:eastAsia="Times New Roman" w:hAnsi="Arial Narrow"/>
                <w:b/>
                <w:bCs/>
                <w:color w:val="0071BC"/>
                <w:sz w:val="21"/>
                <w:szCs w:val="21"/>
                <w:lang w:eastAsia="cs-CZ"/>
              </w:rPr>
            </w:pPr>
            <w:r>
              <w:rPr>
                <w:rFonts w:ascii="Arial Narrow" w:eastAsia="Times New Roman" w:hAnsi="Arial Narrow"/>
                <w:b/>
                <w:bCs/>
                <w:color w:val="0071BC"/>
                <w:sz w:val="21"/>
                <w:szCs w:val="21"/>
                <w:lang w:eastAsia="cs-CZ"/>
              </w:rPr>
              <w:t>20</w:t>
            </w:r>
            <w:r w:rsidR="001F6D2A" w:rsidRPr="009D4918">
              <w:rPr>
                <w:rFonts w:ascii="Arial Narrow" w:eastAsia="Times New Roman" w:hAnsi="Arial Narrow"/>
                <w:b/>
                <w:bCs/>
                <w:color w:val="0071BC"/>
                <w:sz w:val="21"/>
                <w:szCs w:val="21"/>
                <w:lang w:eastAsia="cs-CZ"/>
              </w:rPr>
              <w:t>,</w:t>
            </w:r>
            <w:r>
              <w:rPr>
                <w:rFonts w:ascii="Arial Narrow" w:eastAsia="Times New Roman" w:hAnsi="Arial Narrow"/>
                <w:b/>
                <w:bCs/>
                <w:color w:val="0071BC"/>
                <w:sz w:val="21"/>
                <w:szCs w:val="21"/>
                <w:lang w:eastAsia="cs-CZ"/>
              </w:rPr>
              <w:t>3</w:t>
            </w:r>
          </w:p>
        </w:tc>
      </w:tr>
      <w:tr w:rsidR="001F6D2A" w:rsidRPr="00340817" w14:paraId="0E33DF57" w14:textId="77777777" w:rsidTr="00A70206">
        <w:trPr>
          <w:trHeight w:hRule="exact" w:val="340"/>
        </w:trPr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00E61F8" w14:textId="7AB5C095" w:rsidR="001F6D2A" w:rsidRPr="009D4918" w:rsidRDefault="001F6D2A" w:rsidP="00EB42C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71BC"/>
                <w:sz w:val="21"/>
                <w:szCs w:val="21"/>
                <w:lang w:eastAsia="cs-CZ"/>
              </w:rPr>
            </w:pPr>
            <w:r w:rsidRPr="009D4918">
              <w:rPr>
                <w:rFonts w:ascii="Arial Narrow" w:eastAsia="Times New Roman" w:hAnsi="Arial Narrow"/>
                <w:b/>
                <w:bCs/>
                <w:color w:val="0071BC"/>
                <w:sz w:val="21"/>
                <w:szCs w:val="21"/>
                <w:lang w:eastAsia="cs-CZ"/>
              </w:rPr>
              <w:t>Neočekávaný výdaj ve výši 1</w:t>
            </w:r>
            <w:r w:rsidR="00533815">
              <w:rPr>
                <w:rFonts w:ascii="Arial Narrow" w:eastAsia="Times New Roman" w:hAnsi="Arial Narrow"/>
                <w:b/>
                <w:bCs/>
                <w:color w:val="0071BC"/>
                <w:sz w:val="21"/>
                <w:szCs w:val="21"/>
                <w:lang w:eastAsia="cs-CZ"/>
              </w:rPr>
              <w:t>4 100</w:t>
            </w:r>
            <w:r w:rsidRPr="009D4918">
              <w:rPr>
                <w:rFonts w:ascii="Arial Narrow" w:eastAsia="Times New Roman" w:hAnsi="Arial Narrow"/>
                <w:b/>
                <w:bCs/>
                <w:color w:val="0071BC"/>
                <w:sz w:val="21"/>
                <w:szCs w:val="21"/>
                <w:lang w:eastAsia="cs-CZ"/>
              </w:rPr>
              <w:t xml:space="preserve"> Kč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2D13039" w14:textId="53D4ED78" w:rsidR="001F6D2A" w:rsidRPr="009D4918" w:rsidRDefault="001F6D2A" w:rsidP="00EB42C5">
            <w:pPr>
              <w:spacing w:after="0" w:line="240" w:lineRule="auto"/>
              <w:ind w:right="227"/>
              <w:jc w:val="right"/>
              <w:rPr>
                <w:rFonts w:ascii="Arial Narrow" w:eastAsia="Times New Roman" w:hAnsi="Arial Narrow"/>
                <w:b/>
                <w:bCs/>
                <w:color w:val="0071BC"/>
                <w:sz w:val="21"/>
                <w:szCs w:val="21"/>
                <w:lang w:eastAsia="cs-CZ"/>
              </w:rPr>
            </w:pPr>
            <w:r w:rsidRPr="009D4918">
              <w:rPr>
                <w:rFonts w:ascii="Arial Narrow" w:eastAsia="Times New Roman" w:hAnsi="Arial Narrow"/>
                <w:b/>
                <w:bCs/>
                <w:color w:val="0071BC"/>
                <w:sz w:val="21"/>
                <w:szCs w:val="21"/>
                <w:lang w:eastAsia="cs-CZ"/>
              </w:rPr>
              <w:t>1</w:t>
            </w:r>
            <w:r w:rsidR="00A70206">
              <w:rPr>
                <w:rFonts w:ascii="Arial Narrow" w:eastAsia="Times New Roman" w:hAnsi="Arial Narrow"/>
                <w:b/>
                <w:bCs/>
                <w:color w:val="0071BC"/>
                <w:sz w:val="21"/>
                <w:szCs w:val="21"/>
                <w:lang w:eastAsia="cs-CZ"/>
              </w:rPr>
              <w:t>9</w:t>
            </w:r>
            <w:r w:rsidRPr="009D4918">
              <w:rPr>
                <w:rFonts w:ascii="Arial Narrow" w:eastAsia="Times New Roman" w:hAnsi="Arial Narrow"/>
                <w:b/>
                <w:bCs/>
                <w:color w:val="0071BC"/>
                <w:sz w:val="21"/>
                <w:szCs w:val="21"/>
                <w:lang w:eastAsia="cs-CZ"/>
              </w:rPr>
              <w:t>,</w:t>
            </w:r>
            <w:r w:rsidR="00A70206">
              <w:rPr>
                <w:rFonts w:ascii="Arial Narrow" w:eastAsia="Times New Roman" w:hAnsi="Arial Narrow"/>
                <w:b/>
                <w:bCs/>
                <w:color w:val="0071BC"/>
                <w:sz w:val="21"/>
                <w:szCs w:val="21"/>
                <w:lang w:eastAsia="cs-CZ"/>
              </w:rPr>
              <w:t>7</w:t>
            </w:r>
          </w:p>
        </w:tc>
      </w:tr>
      <w:tr w:rsidR="00A70206" w:rsidRPr="009D4918" w14:paraId="3FB0B32A" w14:textId="77777777" w:rsidTr="00A70206">
        <w:trPr>
          <w:trHeight w:hRule="exact" w:val="340"/>
        </w:trPr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A5EBD26" w14:textId="77777777" w:rsidR="00A70206" w:rsidRPr="009D4918" w:rsidRDefault="00A70206" w:rsidP="00EB42C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71BC"/>
                <w:sz w:val="21"/>
                <w:szCs w:val="21"/>
                <w:lang w:eastAsia="cs-CZ"/>
              </w:rPr>
            </w:pPr>
            <w:r w:rsidRPr="009D4918">
              <w:rPr>
                <w:rFonts w:ascii="Arial Narrow" w:eastAsia="Times New Roman" w:hAnsi="Arial Narrow"/>
                <w:b/>
                <w:bCs/>
                <w:color w:val="0071BC"/>
                <w:sz w:val="21"/>
                <w:szCs w:val="21"/>
                <w:lang w:eastAsia="cs-CZ"/>
              </w:rPr>
              <w:t xml:space="preserve">Jíst maso, ryby, drůbež obden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F8B57B6" w14:textId="77777777" w:rsidR="00A70206" w:rsidRPr="009D4918" w:rsidRDefault="00A70206" w:rsidP="00EB42C5">
            <w:pPr>
              <w:spacing w:after="0" w:line="240" w:lineRule="auto"/>
              <w:ind w:right="227"/>
              <w:jc w:val="right"/>
              <w:rPr>
                <w:rFonts w:ascii="Arial Narrow" w:eastAsia="Times New Roman" w:hAnsi="Arial Narrow"/>
                <w:b/>
                <w:bCs/>
                <w:color w:val="0071BC"/>
                <w:sz w:val="21"/>
                <w:szCs w:val="21"/>
                <w:lang w:eastAsia="cs-CZ"/>
              </w:rPr>
            </w:pPr>
            <w:r>
              <w:rPr>
                <w:rFonts w:ascii="Arial Narrow" w:eastAsia="Times New Roman" w:hAnsi="Arial Narrow"/>
                <w:b/>
                <w:bCs/>
                <w:color w:val="0071BC"/>
                <w:sz w:val="21"/>
                <w:szCs w:val="21"/>
                <w:lang w:eastAsia="cs-CZ"/>
              </w:rPr>
              <w:t>6,9</w:t>
            </w:r>
          </w:p>
        </w:tc>
      </w:tr>
      <w:tr w:rsidR="00A70206" w:rsidRPr="00340817" w14:paraId="718ACF05" w14:textId="77777777" w:rsidTr="00A70206">
        <w:trPr>
          <w:trHeight w:hRule="exact" w:val="340"/>
        </w:trPr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167C6E2E" w14:textId="4C9B1B20" w:rsidR="00A70206" w:rsidRPr="009D4918" w:rsidRDefault="00A70206" w:rsidP="00A70206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71BC"/>
                <w:sz w:val="21"/>
                <w:szCs w:val="21"/>
                <w:lang w:eastAsia="cs-CZ"/>
              </w:rPr>
            </w:pPr>
            <w:r>
              <w:rPr>
                <w:rFonts w:ascii="Arial Narrow" w:eastAsia="Times New Roman" w:hAnsi="Arial Narrow"/>
                <w:b/>
                <w:bCs/>
                <w:color w:val="0071BC"/>
                <w:sz w:val="21"/>
                <w:szCs w:val="21"/>
                <w:lang w:eastAsia="cs-CZ"/>
              </w:rPr>
              <w:t>Dostatečně v</w:t>
            </w:r>
            <w:r w:rsidRPr="009D4918">
              <w:rPr>
                <w:rFonts w:ascii="Arial Narrow" w:eastAsia="Times New Roman" w:hAnsi="Arial Narrow"/>
                <w:b/>
                <w:bCs/>
                <w:color w:val="0071BC"/>
                <w:sz w:val="21"/>
                <w:szCs w:val="21"/>
                <w:lang w:eastAsia="cs-CZ"/>
              </w:rPr>
              <w:t>ytápě</w:t>
            </w:r>
            <w:r>
              <w:rPr>
                <w:rFonts w:ascii="Arial Narrow" w:eastAsia="Times New Roman" w:hAnsi="Arial Narrow"/>
                <w:b/>
                <w:bCs/>
                <w:color w:val="0071BC"/>
                <w:sz w:val="21"/>
                <w:szCs w:val="21"/>
                <w:lang w:eastAsia="cs-CZ"/>
              </w:rPr>
              <w:t xml:space="preserve">t </w:t>
            </w:r>
            <w:r w:rsidRPr="009D4918">
              <w:rPr>
                <w:rFonts w:ascii="Arial Narrow" w:eastAsia="Times New Roman" w:hAnsi="Arial Narrow"/>
                <w:b/>
                <w:bCs/>
                <w:color w:val="0071BC"/>
                <w:sz w:val="21"/>
                <w:szCs w:val="21"/>
                <w:lang w:eastAsia="cs-CZ"/>
              </w:rPr>
              <w:t>byt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3E9B9408" w14:textId="756C6CAB" w:rsidR="00A70206" w:rsidRPr="009D4918" w:rsidRDefault="00A70206" w:rsidP="00A70206">
            <w:pPr>
              <w:spacing w:after="0" w:line="240" w:lineRule="auto"/>
              <w:ind w:right="227"/>
              <w:jc w:val="right"/>
              <w:rPr>
                <w:rFonts w:ascii="Arial Narrow" w:eastAsia="Times New Roman" w:hAnsi="Arial Narrow"/>
                <w:b/>
                <w:bCs/>
                <w:color w:val="0071BC"/>
                <w:sz w:val="21"/>
                <w:szCs w:val="21"/>
                <w:lang w:eastAsia="cs-CZ"/>
              </w:rPr>
            </w:pPr>
            <w:r>
              <w:rPr>
                <w:rFonts w:ascii="Arial Narrow" w:eastAsia="Times New Roman" w:hAnsi="Arial Narrow"/>
                <w:b/>
                <w:bCs/>
                <w:color w:val="0071BC"/>
                <w:sz w:val="21"/>
                <w:szCs w:val="21"/>
                <w:lang w:eastAsia="cs-CZ"/>
              </w:rPr>
              <w:t>6</w:t>
            </w:r>
            <w:r w:rsidRPr="009D4918">
              <w:rPr>
                <w:rFonts w:ascii="Arial Narrow" w:eastAsia="Times New Roman" w:hAnsi="Arial Narrow"/>
                <w:b/>
                <w:bCs/>
                <w:color w:val="0071BC"/>
                <w:sz w:val="21"/>
                <w:szCs w:val="21"/>
                <w:lang w:eastAsia="cs-CZ"/>
              </w:rPr>
              <w:t>,</w:t>
            </w:r>
            <w:r>
              <w:rPr>
                <w:rFonts w:ascii="Arial Narrow" w:eastAsia="Times New Roman" w:hAnsi="Arial Narrow"/>
                <w:b/>
                <w:bCs/>
                <w:color w:val="0071BC"/>
                <w:sz w:val="21"/>
                <w:szCs w:val="21"/>
                <w:lang w:eastAsia="cs-CZ"/>
              </w:rPr>
              <w:t>1</w:t>
            </w:r>
          </w:p>
        </w:tc>
      </w:tr>
      <w:tr w:rsidR="00A70206" w:rsidRPr="00340817" w14:paraId="358EDF9C" w14:textId="77777777" w:rsidTr="00A70206">
        <w:trPr>
          <w:trHeight w:hRule="exact" w:val="340"/>
        </w:trPr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70BBDE8" w14:textId="77777777" w:rsidR="00A70206" w:rsidRPr="009D4918" w:rsidRDefault="00A70206" w:rsidP="00A70206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71BC"/>
                <w:sz w:val="21"/>
                <w:szCs w:val="21"/>
                <w:lang w:eastAsia="cs-CZ"/>
              </w:rPr>
            </w:pPr>
            <w:r w:rsidRPr="009D4918">
              <w:rPr>
                <w:rFonts w:ascii="Arial Narrow" w:eastAsia="Times New Roman" w:hAnsi="Arial Narrow"/>
                <w:b/>
                <w:bCs/>
                <w:color w:val="0071BC"/>
                <w:sz w:val="21"/>
                <w:szCs w:val="21"/>
                <w:lang w:eastAsia="cs-CZ"/>
              </w:rPr>
              <w:t>Útrata pro sebe každý týden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8815B0E" w14:textId="47AED51A" w:rsidR="00A70206" w:rsidRPr="009D4918" w:rsidRDefault="00A70206" w:rsidP="00A70206">
            <w:pPr>
              <w:spacing w:after="0" w:line="240" w:lineRule="auto"/>
              <w:ind w:right="227"/>
              <w:jc w:val="right"/>
              <w:rPr>
                <w:rFonts w:ascii="Arial Narrow" w:eastAsia="Times New Roman" w:hAnsi="Arial Narrow"/>
                <w:b/>
                <w:bCs/>
                <w:color w:val="0071BC"/>
                <w:sz w:val="21"/>
                <w:szCs w:val="21"/>
                <w:lang w:eastAsia="cs-CZ"/>
              </w:rPr>
            </w:pPr>
            <w:r>
              <w:rPr>
                <w:rFonts w:ascii="Arial Narrow" w:eastAsia="Times New Roman" w:hAnsi="Arial Narrow"/>
                <w:b/>
                <w:bCs/>
                <w:color w:val="0071BC"/>
                <w:sz w:val="21"/>
                <w:szCs w:val="21"/>
                <w:lang w:eastAsia="cs-CZ"/>
              </w:rPr>
              <w:t>5</w:t>
            </w:r>
            <w:r w:rsidRPr="009D4918">
              <w:rPr>
                <w:rFonts w:ascii="Arial Narrow" w:eastAsia="Times New Roman" w:hAnsi="Arial Narrow"/>
                <w:b/>
                <w:bCs/>
                <w:color w:val="0071BC"/>
                <w:sz w:val="21"/>
                <w:szCs w:val="21"/>
                <w:lang w:eastAsia="cs-CZ"/>
              </w:rPr>
              <w:t>,</w:t>
            </w:r>
            <w:r>
              <w:rPr>
                <w:rFonts w:ascii="Arial Narrow" w:eastAsia="Times New Roman" w:hAnsi="Arial Narrow"/>
                <w:b/>
                <w:bCs/>
                <w:color w:val="0071BC"/>
                <w:sz w:val="21"/>
                <w:szCs w:val="21"/>
                <w:lang w:eastAsia="cs-CZ"/>
              </w:rPr>
              <w:t>8</w:t>
            </w:r>
          </w:p>
        </w:tc>
      </w:tr>
      <w:tr w:rsidR="00A70206" w:rsidRPr="00340817" w14:paraId="6748F05C" w14:textId="77777777" w:rsidTr="00A70206">
        <w:trPr>
          <w:trHeight w:hRule="exact" w:val="340"/>
        </w:trPr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5252E00" w14:textId="77777777" w:rsidR="00A70206" w:rsidRPr="009D4918" w:rsidRDefault="00A70206" w:rsidP="00A70206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71BC"/>
                <w:sz w:val="21"/>
                <w:szCs w:val="21"/>
                <w:lang w:eastAsia="cs-CZ"/>
              </w:rPr>
            </w:pPr>
            <w:r w:rsidRPr="009D4918">
              <w:rPr>
                <w:rFonts w:ascii="Arial Narrow" w:eastAsia="Times New Roman" w:hAnsi="Arial Narrow"/>
                <w:b/>
                <w:bCs/>
                <w:color w:val="0071BC"/>
                <w:sz w:val="21"/>
                <w:szCs w:val="21"/>
                <w:lang w:eastAsia="cs-CZ"/>
              </w:rPr>
              <w:t>Pravidelná volnočasová aktivita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E629708" w14:textId="0A4445F0" w:rsidR="00A70206" w:rsidRPr="009D4918" w:rsidRDefault="00A70206" w:rsidP="00A70206">
            <w:pPr>
              <w:spacing w:after="0" w:line="240" w:lineRule="auto"/>
              <w:ind w:right="227"/>
              <w:jc w:val="right"/>
              <w:rPr>
                <w:rFonts w:ascii="Arial Narrow" w:eastAsia="Times New Roman" w:hAnsi="Arial Narrow"/>
                <w:b/>
                <w:bCs/>
                <w:color w:val="0071BC"/>
                <w:sz w:val="21"/>
                <w:szCs w:val="21"/>
                <w:lang w:eastAsia="cs-CZ"/>
              </w:rPr>
            </w:pPr>
            <w:r>
              <w:rPr>
                <w:rFonts w:ascii="Arial Narrow" w:eastAsia="Times New Roman" w:hAnsi="Arial Narrow"/>
                <w:b/>
                <w:bCs/>
                <w:color w:val="0071BC"/>
                <w:sz w:val="21"/>
                <w:szCs w:val="21"/>
                <w:lang w:eastAsia="cs-CZ"/>
              </w:rPr>
              <w:t>5,4</w:t>
            </w:r>
          </w:p>
        </w:tc>
      </w:tr>
      <w:tr w:rsidR="00A70206" w:rsidRPr="00340817" w14:paraId="415C01A6" w14:textId="77777777" w:rsidTr="00A70206">
        <w:trPr>
          <w:trHeight w:hRule="exact" w:val="340"/>
        </w:trPr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7439ED2F" w14:textId="23D84D4B" w:rsidR="00A70206" w:rsidRPr="009D4918" w:rsidRDefault="00A70206" w:rsidP="00A70206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71BC"/>
                <w:sz w:val="21"/>
                <w:szCs w:val="21"/>
                <w:lang w:eastAsia="cs-CZ"/>
              </w:rPr>
            </w:pPr>
            <w:r w:rsidRPr="009D4918">
              <w:rPr>
                <w:rFonts w:ascii="Arial Narrow" w:eastAsia="Times New Roman" w:hAnsi="Arial Narrow"/>
                <w:b/>
                <w:bCs/>
                <w:color w:val="0071BC"/>
                <w:sz w:val="21"/>
                <w:szCs w:val="21"/>
                <w:lang w:eastAsia="cs-CZ"/>
              </w:rPr>
              <w:t>Automobil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6D4D1643" w14:textId="3C19F4E3" w:rsidR="00A70206" w:rsidRPr="009D4918" w:rsidRDefault="00A70206" w:rsidP="00A70206">
            <w:pPr>
              <w:spacing w:after="0" w:line="240" w:lineRule="auto"/>
              <w:ind w:right="227"/>
              <w:jc w:val="right"/>
              <w:rPr>
                <w:rFonts w:ascii="Arial Narrow" w:eastAsia="Times New Roman" w:hAnsi="Arial Narrow"/>
                <w:b/>
                <w:bCs/>
                <w:color w:val="0071BC"/>
                <w:sz w:val="21"/>
                <w:szCs w:val="21"/>
                <w:lang w:eastAsia="cs-CZ"/>
              </w:rPr>
            </w:pPr>
            <w:r w:rsidRPr="009D4918">
              <w:rPr>
                <w:rFonts w:ascii="Arial Narrow" w:eastAsia="Times New Roman" w:hAnsi="Arial Narrow"/>
                <w:b/>
                <w:bCs/>
                <w:color w:val="0071BC"/>
                <w:sz w:val="21"/>
                <w:szCs w:val="21"/>
                <w:lang w:eastAsia="cs-CZ"/>
              </w:rPr>
              <w:t>4,</w:t>
            </w:r>
            <w:r>
              <w:rPr>
                <w:rFonts w:ascii="Arial Narrow" w:eastAsia="Times New Roman" w:hAnsi="Arial Narrow"/>
                <w:b/>
                <w:bCs/>
                <w:color w:val="0071BC"/>
                <w:sz w:val="21"/>
                <w:szCs w:val="21"/>
                <w:lang w:eastAsia="cs-CZ"/>
              </w:rPr>
              <w:t>5</w:t>
            </w:r>
          </w:p>
        </w:tc>
      </w:tr>
      <w:tr w:rsidR="00A70206" w:rsidRPr="00340817" w14:paraId="7E5BAEE1" w14:textId="77777777" w:rsidTr="00A70206">
        <w:trPr>
          <w:trHeight w:hRule="exact" w:val="340"/>
        </w:trPr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1B968F4A" w14:textId="77777777" w:rsidR="00A70206" w:rsidRDefault="00A70206" w:rsidP="00A70206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71BC"/>
                <w:sz w:val="21"/>
                <w:szCs w:val="21"/>
                <w:lang w:eastAsia="cs-CZ"/>
              </w:rPr>
            </w:pPr>
            <w:r w:rsidRPr="009D4918">
              <w:rPr>
                <w:rFonts w:ascii="Arial Narrow" w:eastAsia="Times New Roman" w:hAnsi="Arial Narrow"/>
                <w:b/>
                <w:bCs/>
                <w:color w:val="0071BC"/>
                <w:sz w:val="21"/>
                <w:szCs w:val="21"/>
                <w:lang w:eastAsia="cs-CZ"/>
              </w:rPr>
              <w:t>Schopnost uhradit náklady na bydlení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7A03C9A5" w14:textId="4FCB72D2" w:rsidR="00A70206" w:rsidRPr="009D4918" w:rsidRDefault="00A70206" w:rsidP="00A70206">
            <w:pPr>
              <w:spacing w:after="0" w:line="240" w:lineRule="auto"/>
              <w:ind w:right="227"/>
              <w:jc w:val="right"/>
              <w:rPr>
                <w:rFonts w:ascii="Arial Narrow" w:eastAsia="Times New Roman" w:hAnsi="Arial Narrow"/>
                <w:b/>
                <w:bCs/>
                <w:color w:val="0071BC"/>
                <w:sz w:val="21"/>
                <w:szCs w:val="21"/>
                <w:lang w:eastAsia="cs-CZ"/>
              </w:rPr>
            </w:pPr>
            <w:r w:rsidRPr="009D4918">
              <w:rPr>
                <w:rFonts w:ascii="Arial Narrow" w:eastAsia="Times New Roman" w:hAnsi="Arial Narrow"/>
                <w:b/>
                <w:bCs/>
                <w:color w:val="0071BC"/>
                <w:sz w:val="21"/>
                <w:szCs w:val="21"/>
                <w:lang w:eastAsia="cs-CZ"/>
              </w:rPr>
              <w:t>2,</w:t>
            </w:r>
            <w:r>
              <w:rPr>
                <w:rFonts w:ascii="Arial Narrow" w:eastAsia="Times New Roman" w:hAnsi="Arial Narrow"/>
                <w:b/>
                <w:bCs/>
                <w:color w:val="0071BC"/>
                <w:sz w:val="21"/>
                <w:szCs w:val="21"/>
                <w:lang w:eastAsia="cs-CZ"/>
              </w:rPr>
              <w:t>9</w:t>
            </w:r>
          </w:p>
        </w:tc>
      </w:tr>
      <w:tr w:rsidR="00A70206" w:rsidRPr="00340817" w14:paraId="53AB96F9" w14:textId="77777777" w:rsidTr="00A70206">
        <w:trPr>
          <w:trHeight w:hRule="exact" w:val="340"/>
        </w:trPr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E50FC54" w14:textId="77777777" w:rsidR="00A70206" w:rsidRPr="009D4918" w:rsidRDefault="00A70206" w:rsidP="00A70206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71BC"/>
                <w:sz w:val="21"/>
                <w:szCs w:val="21"/>
                <w:lang w:eastAsia="cs-CZ"/>
              </w:rPr>
            </w:pPr>
            <w:r w:rsidRPr="009D4918">
              <w:rPr>
                <w:rFonts w:ascii="Arial Narrow" w:eastAsia="Times New Roman" w:hAnsi="Arial Narrow"/>
                <w:b/>
                <w:bCs/>
                <w:color w:val="0071BC"/>
                <w:sz w:val="21"/>
                <w:szCs w:val="21"/>
                <w:lang w:eastAsia="cs-CZ"/>
              </w:rPr>
              <w:t>Nové oblečení za obnošené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3ECEF78" w14:textId="43584C80" w:rsidR="00A70206" w:rsidRPr="009D4918" w:rsidRDefault="00A70206" w:rsidP="00A70206">
            <w:pPr>
              <w:spacing w:after="0" w:line="240" w:lineRule="auto"/>
              <w:ind w:right="227"/>
              <w:jc w:val="right"/>
              <w:rPr>
                <w:rFonts w:ascii="Arial Narrow" w:eastAsia="Times New Roman" w:hAnsi="Arial Narrow"/>
                <w:b/>
                <w:bCs/>
                <w:color w:val="0071BC"/>
                <w:sz w:val="21"/>
                <w:szCs w:val="21"/>
                <w:lang w:eastAsia="cs-CZ"/>
              </w:rPr>
            </w:pPr>
            <w:r w:rsidRPr="009D4918">
              <w:rPr>
                <w:rFonts w:ascii="Arial Narrow" w:eastAsia="Times New Roman" w:hAnsi="Arial Narrow"/>
                <w:b/>
                <w:bCs/>
                <w:color w:val="0071BC"/>
                <w:sz w:val="21"/>
                <w:szCs w:val="21"/>
                <w:lang w:eastAsia="cs-CZ"/>
              </w:rPr>
              <w:t>2,</w:t>
            </w:r>
            <w:r>
              <w:rPr>
                <w:rFonts w:ascii="Arial Narrow" w:eastAsia="Times New Roman" w:hAnsi="Arial Narrow"/>
                <w:b/>
                <w:bCs/>
                <w:color w:val="0071BC"/>
                <w:sz w:val="21"/>
                <w:szCs w:val="21"/>
                <w:lang w:eastAsia="cs-CZ"/>
              </w:rPr>
              <w:t>5</w:t>
            </w:r>
          </w:p>
        </w:tc>
      </w:tr>
      <w:tr w:rsidR="00A70206" w:rsidRPr="00340817" w14:paraId="1B263E87" w14:textId="77777777" w:rsidTr="00A70206">
        <w:trPr>
          <w:trHeight w:hRule="exact" w:val="340"/>
        </w:trPr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8CBBA20" w14:textId="77777777" w:rsidR="00A70206" w:rsidRPr="009D4918" w:rsidRDefault="00A70206" w:rsidP="00A70206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71BC"/>
                <w:sz w:val="21"/>
                <w:szCs w:val="21"/>
                <w:lang w:eastAsia="cs-CZ"/>
              </w:rPr>
            </w:pPr>
            <w:r w:rsidRPr="009D4918">
              <w:rPr>
                <w:rFonts w:ascii="Arial Narrow" w:eastAsia="Times New Roman" w:hAnsi="Arial Narrow"/>
                <w:b/>
                <w:bCs/>
                <w:color w:val="0071BC"/>
                <w:sz w:val="21"/>
                <w:szCs w:val="21"/>
                <w:lang w:eastAsia="cs-CZ"/>
              </w:rPr>
              <w:t>Scházení s přáteli, příbuznými 1x měsíčně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AB05E81" w14:textId="1ADD36A1" w:rsidR="00A70206" w:rsidRPr="009D4918" w:rsidRDefault="00A70206" w:rsidP="00A70206">
            <w:pPr>
              <w:spacing w:after="0" w:line="240" w:lineRule="auto"/>
              <w:ind w:right="227"/>
              <w:jc w:val="right"/>
              <w:rPr>
                <w:rFonts w:ascii="Arial Narrow" w:eastAsia="Times New Roman" w:hAnsi="Arial Narrow"/>
                <w:b/>
                <w:bCs/>
                <w:color w:val="0071BC"/>
                <w:sz w:val="21"/>
                <w:szCs w:val="21"/>
                <w:lang w:eastAsia="cs-CZ"/>
              </w:rPr>
            </w:pPr>
            <w:r>
              <w:rPr>
                <w:rFonts w:ascii="Arial Narrow" w:eastAsia="Times New Roman" w:hAnsi="Arial Narrow"/>
                <w:b/>
                <w:bCs/>
                <w:color w:val="0071BC"/>
                <w:sz w:val="21"/>
                <w:szCs w:val="21"/>
                <w:lang w:eastAsia="cs-CZ"/>
              </w:rPr>
              <w:t>2,5</w:t>
            </w:r>
          </w:p>
        </w:tc>
      </w:tr>
      <w:tr w:rsidR="00A70206" w:rsidRPr="00340817" w14:paraId="4038C719" w14:textId="77777777" w:rsidTr="00A70206">
        <w:trPr>
          <w:trHeight w:hRule="exact" w:val="340"/>
        </w:trPr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25397558" w14:textId="77777777" w:rsidR="00A70206" w:rsidRPr="009D4918" w:rsidRDefault="00A70206" w:rsidP="00A70206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71BC"/>
                <w:sz w:val="21"/>
                <w:szCs w:val="21"/>
                <w:lang w:eastAsia="cs-CZ"/>
              </w:rPr>
            </w:pPr>
            <w:r w:rsidRPr="009D4918">
              <w:rPr>
                <w:rFonts w:ascii="Arial Narrow" w:eastAsia="Times New Roman" w:hAnsi="Arial Narrow"/>
                <w:b/>
                <w:bCs/>
                <w:color w:val="0071BC"/>
                <w:sz w:val="21"/>
                <w:szCs w:val="21"/>
                <w:lang w:eastAsia="cs-CZ"/>
              </w:rPr>
              <w:t>Připojení k internetu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28578291" w14:textId="79C7CF0F" w:rsidR="00A70206" w:rsidRPr="009D4918" w:rsidRDefault="00A70206" w:rsidP="00A70206">
            <w:pPr>
              <w:spacing w:after="0" w:line="240" w:lineRule="auto"/>
              <w:ind w:right="227"/>
              <w:jc w:val="right"/>
              <w:rPr>
                <w:rFonts w:ascii="Arial Narrow" w:eastAsia="Times New Roman" w:hAnsi="Arial Narrow"/>
                <w:b/>
                <w:bCs/>
                <w:color w:val="0071BC"/>
                <w:sz w:val="21"/>
                <w:szCs w:val="21"/>
                <w:lang w:eastAsia="cs-CZ"/>
              </w:rPr>
            </w:pPr>
            <w:r>
              <w:rPr>
                <w:rFonts w:ascii="Arial Narrow" w:eastAsia="Times New Roman" w:hAnsi="Arial Narrow"/>
                <w:b/>
                <w:bCs/>
                <w:color w:val="0071BC"/>
                <w:sz w:val="21"/>
                <w:szCs w:val="21"/>
                <w:lang w:eastAsia="cs-CZ"/>
              </w:rPr>
              <w:t>1,0</w:t>
            </w:r>
          </w:p>
        </w:tc>
      </w:tr>
      <w:tr w:rsidR="00A70206" w:rsidRPr="00340817" w14:paraId="18E9601B" w14:textId="77777777" w:rsidTr="00A70206">
        <w:trPr>
          <w:trHeight w:hRule="exact" w:val="340"/>
        </w:trPr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1F497D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D3ADC6D" w14:textId="77777777" w:rsidR="00A70206" w:rsidRPr="009D4918" w:rsidRDefault="00A70206" w:rsidP="00A70206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71BC"/>
                <w:sz w:val="21"/>
                <w:szCs w:val="21"/>
                <w:lang w:eastAsia="cs-CZ"/>
              </w:rPr>
            </w:pPr>
            <w:r w:rsidRPr="009D4918">
              <w:rPr>
                <w:rFonts w:ascii="Arial Narrow" w:eastAsia="Times New Roman" w:hAnsi="Arial Narrow"/>
                <w:b/>
                <w:bCs/>
                <w:color w:val="0071BC"/>
                <w:sz w:val="21"/>
                <w:szCs w:val="21"/>
                <w:lang w:eastAsia="cs-CZ"/>
              </w:rPr>
              <w:t xml:space="preserve">Dva páry bot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6273357" w14:textId="4E544D0B" w:rsidR="00A70206" w:rsidRPr="009D4918" w:rsidRDefault="00A70206" w:rsidP="00A70206">
            <w:pPr>
              <w:spacing w:after="0" w:line="240" w:lineRule="auto"/>
              <w:ind w:right="227"/>
              <w:jc w:val="right"/>
              <w:rPr>
                <w:rFonts w:ascii="Arial Narrow" w:eastAsia="Times New Roman" w:hAnsi="Arial Narrow"/>
                <w:b/>
                <w:bCs/>
                <w:color w:val="0071BC"/>
                <w:sz w:val="21"/>
                <w:szCs w:val="21"/>
                <w:lang w:eastAsia="cs-CZ"/>
              </w:rPr>
            </w:pPr>
            <w:r>
              <w:rPr>
                <w:rFonts w:ascii="Arial Narrow" w:eastAsia="Times New Roman" w:hAnsi="Arial Narrow"/>
                <w:b/>
                <w:bCs/>
                <w:color w:val="0071BC"/>
                <w:sz w:val="21"/>
                <w:szCs w:val="21"/>
                <w:lang w:eastAsia="cs-CZ"/>
              </w:rPr>
              <w:t>0,7</w:t>
            </w:r>
          </w:p>
        </w:tc>
      </w:tr>
    </w:tbl>
    <w:p w14:paraId="26CC3E7E" w14:textId="2D9BEA46" w:rsidR="001F6D2A" w:rsidRDefault="001F6D2A" w:rsidP="0046357B">
      <w:pPr>
        <w:spacing w:after="120" w:line="288" w:lineRule="auto"/>
        <w:jc w:val="both"/>
        <w:rPr>
          <w:rFonts w:ascii="Arial Narrow" w:hAnsi="Arial Narrow"/>
          <w:sz w:val="24"/>
          <w:szCs w:val="32"/>
        </w:rPr>
      </w:pPr>
    </w:p>
    <w:p w14:paraId="15CD022B" w14:textId="35B81CFB" w:rsidR="00D10A70" w:rsidRDefault="000267F4" w:rsidP="0046357B">
      <w:pPr>
        <w:spacing w:after="120" w:line="288" w:lineRule="auto"/>
        <w:jc w:val="both"/>
        <w:rPr>
          <w:rFonts w:ascii="Arial Narrow" w:hAnsi="Arial Narrow"/>
          <w:sz w:val="24"/>
          <w:szCs w:val="32"/>
        </w:rPr>
      </w:pPr>
      <w:r w:rsidRPr="002C1813">
        <w:rPr>
          <w:rFonts w:ascii="Arial Narrow" w:hAnsi="Arial Narrow"/>
          <w:sz w:val="24"/>
          <w:szCs w:val="32"/>
        </w:rPr>
        <w:t>Nejčastěji si domácnosti nemoh</w:t>
      </w:r>
      <w:r w:rsidR="00976E45" w:rsidRPr="002C1813">
        <w:rPr>
          <w:rFonts w:ascii="Arial Narrow" w:hAnsi="Arial Narrow"/>
          <w:sz w:val="24"/>
          <w:szCs w:val="32"/>
        </w:rPr>
        <w:t>ly</w:t>
      </w:r>
      <w:r w:rsidRPr="002C1813">
        <w:rPr>
          <w:rFonts w:ascii="Arial Narrow" w:hAnsi="Arial Narrow"/>
          <w:sz w:val="24"/>
          <w:szCs w:val="32"/>
        </w:rPr>
        <w:t xml:space="preserve"> dovolit </w:t>
      </w:r>
      <w:r w:rsidR="00613600" w:rsidRPr="002C1813">
        <w:rPr>
          <w:rFonts w:ascii="Arial Narrow" w:hAnsi="Arial Narrow"/>
          <w:sz w:val="24"/>
          <w:szCs w:val="32"/>
        </w:rPr>
        <w:t>poříd</w:t>
      </w:r>
      <w:r w:rsidR="00A82CAE" w:rsidRPr="002C1813">
        <w:rPr>
          <w:rFonts w:ascii="Arial Narrow" w:hAnsi="Arial Narrow"/>
          <w:sz w:val="24"/>
          <w:szCs w:val="32"/>
        </w:rPr>
        <w:t>it nový nábytek za opotřebovaný</w:t>
      </w:r>
      <w:r w:rsidR="008951EF" w:rsidRPr="002C1813">
        <w:rPr>
          <w:rFonts w:ascii="Arial Narrow" w:hAnsi="Arial Narrow"/>
          <w:sz w:val="24"/>
          <w:szCs w:val="32"/>
        </w:rPr>
        <w:t>,</w:t>
      </w:r>
      <w:r w:rsidR="00613600" w:rsidRPr="002C1813">
        <w:rPr>
          <w:rFonts w:ascii="Arial Narrow" w:hAnsi="Arial Narrow"/>
          <w:sz w:val="24"/>
          <w:szCs w:val="32"/>
        </w:rPr>
        <w:t xml:space="preserve"> </w:t>
      </w:r>
      <w:r w:rsidRPr="002C1813">
        <w:rPr>
          <w:rFonts w:ascii="Arial Narrow" w:hAnsi="Arial Narrow"/>
          <w:sz w:val="24"/>
          <w:szCs w:val="32"/>
        </w:rPr>
        <w:t>zaplatit</w:t>
      </w:r>
      <w:r w:rsidR="002B0C10" w:rsidRPr="002C1813">
        <w:rPr>
          <w:rFonts w:ascii="Arial Narrow" w:hAnsi="Arial Narrow"/>
          <w:sz w:val="24"/>
          <w:szCs w:val="32"/>
        </w:rPr>
        <w:t xml:space="preserve"> </w:t>
      </w:r>
      <w:r w:rsidR="00976E45" w:rsidRPr="002C1813">
        <w:rPr>
          <w:rFonts w:ascii="Arial Narrow" w:hAnsi="Arial Narrow"/>
          <w:sz w:val="24"/>
          <w:szCs w:val="32"/>
        </w:rPr>
        <w:t>neočekávaný výdaj</w:t>
      </w:r>
      <w:r w:rsidR="00756F7C" w:rsidRPr="002C1813">
        <w:rPr>
          <w:rFonts w:ascii="Arial Narrow" w:hAnsi="Arial Narrow"/>
          <w:sz w:val="24"/>
          <w:szCs w:val="32"/>
        </w:rPr>
        <w:t xml:space="preserve"> ve výši 1</w:t>
      </w:r>
      <w:r w:rsidR="002C1813" w:rsidRPr="002C1813">
        <w:rPr>
          <w:rFonts w:ascii="Arial Narrow" w:hAnsi="Arial Narrow"/>
          <w:sz w:val="24"/>
          <w:szCs w:val="32"/>
        </w:rPr>
        <w:t>4 1</w:t>
      </w:r>
      <w:r w:rsidR="00976E45" w:rsidRPr="002C1813">
        <w:rPr>
          <w:rFonts w:ascii="Arial Narrow" w:hAnsi="Arial Narrow"/>
          <w:sz w:val="24"/>
          <w:szCs w:val="32"/>
        </w:rPr>
        <w:t>00 Kč</w:t>
      </w:r>
      <w:r w:rsidR="00AF6B33" w:rsidRPr="002C1813">
        <w:rPr>
          <w:rFonts w:ascii="Arial Narrow" w:hAnsi="Arial Narrow"/>
          <w:sz w:val="24"/>
          <w:szCs w:val="32"/>
        </w:rPr>
        <w:t xml:space="preserve"> </w:t>
      </w:r>
      <w:r w:rsidR="008951EF" w:rsidRPr="002C1813">
        <w:rPr>
          <w:rFonts w:ascii="Arial Narrow" w:hAnsi="Arial Narrow"/>
          <w:sz w:val="24"/>
          <w:szCs w:val="32"/>
        </w:rPr>
        <w:t xml:space="preserve">nebo </w:t>
      </w:r>
      <w:r w:rsidRPr="002C1813">
        <w:rPr>
          <w:rFonts w:ascii="Arial Narrow" w:hAnsi="Arial Narrow"/>
          <w:sz w:val="24"/>
          <w:szCs w:val="32"/>
        </w:rPr>
        <w:t>týdenní dovoleno</w:t>
      </w:r>
      <w:r w:rsidR="008951EF" w:rsidRPr="002C1813">
        <w:rPr>
          <w:rFonts w:ascii="Arial Narrow" w:hAnsi="Arial Narrow"/>
          <w:sz w:val="24"/>
          <w:szCs w:val="32"/>
        </w:rPr>
        <w:t>u pro všechny členy domácnosti.</w:t>
      </w:r>
      <w:r w:rsidR="00D71F1F">
        <w:rPr>
          <w:rFonts w:ascii="Arial Narrow" w:hAnsi="Arial Narrow"/>
          <w:sz w:val="24"/>
          <w:szCs w:val="32"/>
        </w:rPr>
        <w:t xml:space="preserve"> Nově však přispěl k navýšení celkové míry materiální a </w:t>
      </w:r>
      <w:r w:rsidR="009F2BFB">
        <w:rPr>
          <w:rFonts w:ascii="Arial Narrow" w:hAnsi="Arial Narrow"/>
          <w:sz w:val="24"/>
          <w:szCs w:val="32"/>
        </w:rPr>
        <w:t xml:space="preserve">sociální deprivace nárůst </w:t>
      </w:r>
      <w:r w:rsidR="00D71F1F">
        <w:rPr>
          <w:rFonts w:ascii="Arial Narrow" w:hAnsi="Arial Narrow"/>
          <w:sz w:val="24"/>
          <w:szCs w:val="32"/>
        </w:rPr>
        <w:t xml:space="preserve">počtu domácností, které si z finančních důvodů nemohou dovolit dostatečně vytápět </w:t>
      </w:r>
      <w:r w:rsidR="009F2BFB">
        <w:rPr>
          <w:rFonts w:ascii="Arial Narrow" w:hAnsi="Arial Narrow"/>
          <w:sz w:val="24"/>
          <w:szCs w:val="32"/>
        </w:rPr>
        <w:t xml:space="preserve">byt </w:t>
      </w:r>
      <w:r w:rsidR="00D71F1F">
        <w:rPr>
          <w:rFonts w:ascii="Arial Narrow" w:hAnsi="Arial Narrow"/>
          <w:sz w:val="24"/>
          <w:szCs w:val="32"/>
        </w:rPr>
        <w:t>a konzumovat obden maso či jeho vegetariánské náhražky.</w:t>
      </w:r>
      <w:r w:rsidR="000C3134">
        <w:rPr>
          <w:rFonts w:ascii="Arial Narrow" w:hAnsi="Arial Narrow"/>
          <w:sz w:val="24"/>
          <w:szCs w:val="32"/>
        </w:rPr>
        <w:t xml:space="preserve"> U těchto dvou položek (z celkem 13 sledovaných) došlo k </w:t>
      </w:r>
      <w:r w:rsidR="00CC4602">
        <w:rPr>
          <w:rFonts w:ascii="Arial Narrow" w:hAnsi="Arial Narrow"/>
          <w:sz w:val="24"/>
          <w:szCs w:val="32"/>
        </w:rPr>
        <w:t>významnému</w:t>
      </w:r>
      <w:r w:rsidR="000C3134">
        <w:rPr>
          <w:rFonts w:ascii="Arial Narrow" w:hAnsi="Arial Narrow"/>
          <w:sz w:val="24"/>
          <w:szCs w:val="32"/>
        </w:rPr>
        <w:t xml:space="preserve"> meziročnímu nárůstu.</w:t>
      </w:r>
      <w:r w:rsidR="00D10A70">
        <w:rPr>
          <w:rFonts w:ascii="Arial Narrow" w:hAnsi="Arial Narrow"/>
          <w:sz w:val="24"/>
          <w:szCs w:val="32"/>
        </w:rPr>
        <w:t xml:space="preserve"> </w:t>
      </w:r>
    </w:p>
    <w:p w14:paraId="37259917" w14:textId="5D5EF94F" w:rsidR="00CC4602" w:rsidRPr="00530EA7" w:rsidRDefault="00D10A70" w:rsidP="009F4EBD">
      <w:pPr>
        <w:spacing w:after="120" w:line="288" w:lineRule="auto"/>
        <w:jc w:val="both"/>
        <w:rPr>
          <w:rFonts w:ascii="Arial Narrow" w:hAnsi="Arial Narrow"/>
          <w:sz w:val="24"/>
          <w:szCs w:val="32"/>
        </w:rPr>
      </w:pPr>
      <w:r>
        <w:rPr>
          <w:rFonts w:ascii="Arial Narrow" w:hAnsi="Arial Narrow"/>
          <w:sz w:val="24"/>
          <w:szCs w:val="32"/>
        </w:rPr>
        <w:t>Výskyt těchto položek zároveň</w:t>
      </w:r>
      <w:r w:rsidR="00CC4602">
        <w:rPr>
          <w:rFonts w:ascii="Arial Narrow" w:hAnsi="Arial Narrow"/>
          <w:sz w:val="24"/>
          <w:szCs w:val="32"/>
        </w:rPr>
        <w:t xml:space="preserve"> razantně</w:t>
      </w:r>
      <w:r>
        <w:rPr>
          <w:rFonts w:ascii="Arial Narrow" w:hAnsi="Arial Narrow"/>
          <w:sz w:val="24"/>
          <w:szCs w:val="32"/>
        </w:rPr>
        <w:t xml:space="preserve"> stoupl u domácností, které </w:t>
      </w:r>
      <w:r w:rsidR="00CC4602">
        <w:rPr>
          <w:rFonts w:ascii="Arial Narrow" w:hAnsi="Arial Narrow"/>
          <w:sz w:val="24"/>
          <w:szCs w:val="32"/>
        </w:rPr>
        <w:t xml:space="preserve">subjektivně </w:t>
      </w:r>
      <w:r>
        <w:rPr>
          <w:rFonts w:ascii="Arial Narrow" w:hAnsi="Arial Narrow"/>
          <w:sz w:val="24"/>
          <w:szCs w:val="32"/>
        </w:rPr>
        <w:t>obtížněji vycházejí s</w:t>
      </w:r>
      <w:r w:rsidR="00CC4602">
        <w:rPr>
          <w:rFonts w:ascii="Arial Narrow" w:hAnsi="Arial Narrow"/>
          <w:sz w:val="24"/>
          <w:szCs w:val="32"/>
        </w:rPr>
        <w:t>e svými</w:t>
      </w:r>
      <w:r>
        <w:rPr>
          <w:rFonts w:ascii="Arial Narrow" w:hAnsi="Arial Narrow"/>
          <w:sz w:val="24"/>
          <w:szCs w:val="32"/>
        </w:rPr>
        <w:t> příjmy. V rámci domácností, které uvedly, že obtížně vycházejí se svými příjmy, si až pětina osob (21,2 %) nemůže dovolit dostatečně vytápět dům či byt a zhruba čtvrtina (25,7 %) uvedla, že si nem</w:t>
      </w:r>
      <w:r w:rsidR="006D41E2">
        <w:rPr>
          <w:rFonts w:ascii="Arial Narrow" w:hAnsi="Arial Narrow"/>
          <w:sz w:val="24"/>
          <w:szCs w:val="32"/>
        </w:rPr>
        <w:t xml:space="preserve">ůže dovolit konzumaci masa každý </w:t>
      </w:r>
      <w:r w:rsidR="006D41E2" w:rsidRPr="00530EA7">
        <w:rPr>
          <w:rFonts w:ascii="Arial Narrow" w:hAnsi="Arial Narrow"/>
          <w:sz w:val="24"/>
          <w:szCs w:val="32"/>
        </w:rPr>
        <w:t>druhý den</w:t>
      </w:r>
      <w:r w:rsidRPr="00530EA7">
        <w:rPr>
          <w:rFonts w:ascii="Arial Narrow" w:hAnsi="Arial Narrow"/>
          <w:sz w:val="24"/>
          <w:szCs w:val="32"/>
        </w:rPr>
        <w:t>.</w:t>
      </w:r>
    </w:p>
    <w:p w14:paraId="32D21514" w14:textId="3724E764" w:rsidR="007C3A71" w:rsidRPr="009F4EBD" w:rsidRDefault="009F2BFB" w:rsidP="00B850AD">
      <w:pPr>
        <w:pStyle w:val="3GRAF"/>
        <w:jc w:val="both"/>
        <w:rPr>
          <w:lang w:val="cs-CZ"/>
        </w:rPr>
      </w:pPr>
      <w:r w:rsidRPr="00530EA7">
        <w:t xml:space="preserve">Graf </w:t>
      </w:r>
      <w:r w:rsidR="006B7B9F" w:rsidRPr="00530EA7">
        <w:rPr>
          <w:noProof/>
          <w:lang w:val="cs-CZ"/>
        </w:rPr>
        <w:t>10</w:t>
      </w:r>
      <w:r w:rsidRPr="00530EA7">
        <w:t xml:space="preserve">: </w:t>
      </w:r>
      <w:r w:rsidR="009F4EBD" w:rsidRPr="00530EA7">
        <w:rPr>
          <w:lang w:val="cs-CZ"/>
        </w:rPr>
        <w:t>Vybrané položky materiální deprivace</w:t>
      </w:r>
      <w:r w:rsidRPr="00530EA7">
        <w:rPr>
          <w:lang w:val="cs-CZ"/>
        </w:rPr>
        <w:t xml:space="preserve"> (</w:t>
      </w:r>
      <w:r w:rsidR="003642CB" w:rsidRPr="00530EA7">
        <w:rPr>
          <w:lang w:val="cs-CZ"/>
        </w:rPr>
        <w:t>2019–</w:t>
      </w:r>
      <w:r w:rsidRPr="00530EA7">
        <w:rPr>
          <w:lang w:val="cs-CZ"/>
        </w:rPr>
        <w:t>2023, v %)</w:t>
      </w:r>
    </w:p>
    <w:p w14:paraId="5AB156BB" w14:textId="3D833382" w:rsidR="009F4EBD" w:rsidRDefault="00B850AD" w:rsidP="00530EA7">
      <w:pPr>
        <w:pStyle w:val="3GRAF"/>
        <w:keepNext w:val="0"/>
        <w:spacing w:line="288" w:lineRule="auto"/>
        <w:rPr>
          <w:rFonts w:eastAsia="Calibri"/>
          <w:color w:val="auto"/>
          <w:sz w:val="24"/>
          <w:szCs w:val="32"/>
          <w:lang w:eastAsia="en-US"/>
        </w:rPr>
      </w:pPr>
      <w:r w:rsidRPr="00B850AD">
        <w:rPr>
          <w:rFonts w:eastAsia="Calibri"/>
          <w:noProof/>
          <w:color w:val="auto"/>
          <w:sz w:val="24"/>
          <w:szCs w:val="32"/>
          <w:lang w:val="cs-CZ" w:eastAsia="cs-CZ"/>
        </w:rPr>
        <w:drawing>
          <wp:inline distT="0" distB="0" distL="0" distR="0" wp14:anchorId="6D5BD5EB" wp14:editId="641C27CD">
            <wp:extent cx="5476875" cy="3097121"/>
            <wp:effectExtent l="0" t="0" r="0" b="8255"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494343" cy="3106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F277A" w14:textId="77777777" w:rsidR="00A51457" w:rsidRDefault="00A51457" w:rsidP="007C3A71">
      <w:pPr>
        <w:pStyle w:val="3GRAF"/>
        <w:keepNext w:val="0"/>
        <w:spacing w:line="288" w:lineRule="auto"/>
        <w:jc w:val="both"/>
        <w:rPr>
          <w:rFonts w:eastAsia="Calibri"/>
          <w:color w:val="auto"/>
          <w:sz w:val="24"/>
          <w:szCs w:val="32"/>
          <w:lang w:eastAsia="en-US"/>
        </w:rPr>
      </w:pPr>
    </w:p>
    <w:p w14:paraId="409B74EF" w14:textId="425E2F70" w:rsidR="00657E0A" w:rsidRPr="00FB65B8" w:rsidRDefault="00473602" w:rsidP="007C3A71">
      <w:pPr>
        <w:pStyle w:val="3GRAF"/>
        <w:keepNext w:val="0"/>
        <w:spacing w:line="288" w:lineRule="auto"/>
        <w:jc w:val="both"/>
        <w:rPr>
          <w:rFonts w:eastAsia="Calibri"/>
          <w:color w:val="auto"/>
          <w:sz w:val="24"/>
          <w:szCs w:val="32"/>
          <w:highlight w:val="yellow"/>
          <w:lang w:val="cs-CZ" w:eastAsia="en-US"/>
        </w:rPr>
      </w:pPr>
      <w:r w:rsidRPr="000A28A1">
        <w:rPr>
          <w:rFonts w:eastAsia="Calibri"/>
          <w:color w:val="auto"/>
          <w:sz w:val="24"/>
          <w:szCs w:val="32"/>
          <w:lang w:eastAsia="en-US"/>
        </w:rPr>
        <w:lastRenderedPageBreak/>
        <w:t xml:space="preserve">Míra materiální </w:t>
      </w:r>
      <w:r w:rsidRPr="000A28A1">
        <w:rPr>
          <w:rFonts w:eastAsia="Calibri"/>
          <w:color w:val="auto"/>
          <w:sz w:val="24"/>
          <w:szCs w:val="32"/>
          <w:lang w:val="cs-CZ" w:eastAsia="en-US"/>
        </w:rPr>
        <w:t xml:space="preserve">a sociální </w:t>
      </w:r>
      <w:r w:rsidRPr="000A28A1">
        <w:rPr>
          <w:rFonts w:eastAsia="Calibri"/>
          <w:color w:val="auto"/>
          <w:sz w:val="24"/>
          <w:szCs w:val="32"/>
          <w:lang w:eastAsia="en-US"/>
        </w:rPr>
        <w:t xml:space="preserve">deprivace se liší podle </w:t>
      </w:r>
      <w:r w:rsidRPr="000A28A1">
        <w:rPr>
          <w:rFonts w:eastAsia="Calibri"/>
          <w:color w:val="auto"/>
          <w:sz w:val="24"/>
          <w:szCs w:val="32"/>
          <w:lang w:val="cs-CZ" w:eastAsia="en-US"/>
        </w:rPr>
        <w:t xml:space="preserve">složení domácnosti. </w:t>
      </w:r>
      <w:r w:rsidR="008C5C5E">
        <w:rPr>
          <w:rFonts w:eastAsia="Calibri"/>
          <w:color w:val="auto"/>
          <w:sz w:val="24"/>
          <w:szCs w:val="32"/>
          <w:lang w:val="cs-CZ" w:eastAsia="en-US"/>
        </w:rPr>
        <w:t>Tento ukazatel</w:t>
      </w:r>
      <w:r w:rsidR="00D81FFF">
        <w:rPr>
          <w:rFonts w:eastAsia="Calibri"/>
          <w:color w:val="auto"/>
          <w:sz w:val="24"/>
          <w:szCs w:val="32"/>
          <w:lang w:val="cs-CZ" w:eastAsia="en-US"/>
        </w:rPr>
        <w:t xml:space="preserve"> </w:t>
      </w:r>
      <w:r w:rsidR="002B737F">
        <w:rPr>
          <w:rFonts w:eastAsia="Calibri"/>
          <w:color w:val="auto"/>
          <w:sz w:val="24"/>
          <w:szCs w:val="32"/>
          <w:lang w:val="cs-CZ" w:eastAsia="en-US"/>
        </w:rPr>
        <w:t>vz</w:t>
      </w:r>
      <w:r w:rsidR="008C5C5E">
        <w:rPr>
          <w:rFonts w:eastAsia="Calibri"/>
          <w:color w:val="auto"/>
          <w:sz w:val="24"/>
          <w:szCs w:val="32"/>
          <w:lang w:val="cs-CZ" w:eastAsia="en-US"/>
        </w:rPr>
        <w:t>rostl</w:t>
      </w:r>
      <w:r w:rsidR="00B65761">
        <w:rPr>
          <w:rFonts w:eastAsia="Calibri"/>
          <w:color w:val="auto"/>
          <w:sz w:val="24"/>
          <w:szCs w:val="32"/>
          <w:lang w:val="cs-CZ" w:eastAsia="en-US"/>
        </w:rPr>
        <w:t xml:space="preserve"> meziročně u </w:t>
      </w:r>
      <w:r w:rsidR="00D81FFF">
        <w:rPr>
          <w:rFonts w:eastAsia="Calibri"/>
          <w:color w:val="auto"/>
          <w:sz w:val="24"/>
          <w:szCs w:val="32"/>
          <w:lang w:val="cs-CZ" w:eastAsia="en-US"/>
        </w:rPr>
        <w:t>všech sledovanýc</w:t>
      </w:r>
      <w:r w:rsidR="00D81FFF" w:rsidRPr="00D81FFF">
        <w:rPr>
          <w:rFonts w:eastAsia="Calibri"/>
          <w:color w:val="auto"/>
          <w:sz w:val="24"/>
          <w:szCs w:val="32"/>
          <w:lang w:val="cs-CZ" w:eastAsia="en-US"/>
        </w:rPr>
        <w:t>h typů domácností</w:t>
      </w:r>
      <w:r w:rsidR="00E90AE0">
        <w:rPr>
          <w:rFonts w:eastAsia="Calibri"/>
          <w:color w:val="auto"/>
          <w:sz w:val="24"/>
          <w:szCs w:val="32"/>
          <w:lang w:val="cs-CZ" w:eastAsia="en-US"/>
        </w:rPr>
        <w:t>. Dlouhodobě</w:t>
      </w:r>
      <w:r w:rsidR="00D81FFF" w:rsidRPr="00D81FFF">
        <w:rPr>
          <w:rFonts w:eastAsia="Calibri"/>
          <w:color w:val="auto"/>
          <w:sz w:val="24"/>
          <w:szCs w:val="32"/>
          <w:lang w:val="cs-CZ" w:eastAsia="en-US"/>
        </w:rPr>
        <w:t xml:space="preserve"> </w:t>
      </w:r>
      <w:r w:rsidR="00E90AE0">
        <w:rPr>
          <w:rFonts w:eastAsia="Calibri"/>
          <w:color w:val="auto"/>
          <w:sz w:val="24"/>
          <w:szCs w:val="32"/>
          <w:lang w:val="cs-CZ" w:eastAsia="en-US"/>
        </w:rPr>
        <w:t>nejvíce deprivovanou skupinu představují</w:t>
      </w:r>
      <w:r w:rsidRPr="00D81FFF">
        <w:rPr>
          <w:rFonts w:eastAsia="Calibri"/>
          <w:color w:val="auto"/>
          <w:sz w:val="24"/>
          <w:szCs w:val="32"/>
          <w:lang w:val="cs-CZ" w:eastAsia="en-US"/>
        </w:rPr>
        <w:t xml:space="preserve"> domácnosti tvořené samotným</w:t>
      </w:r>
      <w:r w:rsidR="00D81FFF" w:rsidRPr="00D81FFF">
        <w:rPr>
          <w:rFonts w:eastAsia="Calibri"/>
          <w:color w:val="auto"/>
          <w:sz w:val="24"/>
          <w:szCs w:val="32"/>
          <w:lang w:val="cs-CZ" w:eastAsia="en-US"/>
        </w:rPr>
        <w:t xml:space="preserve"> r</w:t>
      </w:r>
      <w:r w:rsidR="00CC1944">
        <w:rPr>
          <w:rFonts w:eastAsia="Calibri"/>
          <w:color w:val="auto"/>
          <w:sz w:val="24"/>
          <w:szCs w:val="32"/>
          <w:lang w:val="cs-CZ" w:eastAsia="en-US"/>
        </w:rPr>
        <w:t xml:space="preserve">odičem s jedním či více dětmi. </w:t>
      </w:r>
      <w:r w:rsidR="008C5C5E">
        <w:rPr>
          <w:rFonts w:eastAsia="Calibri"/>
          <w:color w:val="auto"/>
          <w:sz w:val="24"/>
          <w:szCs w:val="32"/>
          <w:lang w:val="cs-CZ" w:eastAsia="en-US"/>
        </w:rPr>
        <w:t>Z</w:t>
      </w:r>
      <w:r w:rsidR="00E90AE0">
        <w:rPr>
          <w:rFonts w:eastAsia="Calibri"/>
          <w:color w:val="auto"/>
          <w:sz w:val="24"/>
          <w:szCs w:val="32"/>
          <w:lang w:val="cs-CZ" w:eastAsia="en-US"/>
        </w:rPr>
        <w:t>ároveň</w:t>
      </w:r>
      <w:r w:rsidR="008C5C5E">
        <w:rPr>
          <w:rFonts w:eastAsia="Calibri"/>
          <w:color w:val="auto"/>
          <w:sz w:val="24"/>
          <w:szCs w:val="32"/>
          <w:lang w:val="cs-CZ" w:eastAsia="en-US"/>
        </w:rPr>
        <w:t xml:space="preserve"> byl u těchto domácností zaznamenán nejvyšší meziroční</w:t>
      </w:r>
      <w:r w:rsidR="00E90AE0">
        <w:rPr>
          <w:rFonts w:eastAsia="Calibri"/>
          <w:color w:val="auto"/>
          <w:sz w:val="24"/>
          <w:szCs w:val="32"/>
          <w:lang w:val="cs-CZ" w:eastAsia="en-US"/>
        </w:rPr>
        <w:t xml:space="preserve"> </w:t>
      </w:r>
      <w:r w:rsidR="008C5C5E">
        <w:rPr>
          <w:rFonts w:eastAsia="Calibri"/>
          <w:color w:val="auto"/>
          <w:sz w:val="24"/>
          <w:szCs w:val="32"/>
          <w:lang w:val="cs-CZ" w:eastAsia="en-US"/>
        </w:rPr>
        <w:t>nárůst</w:t>
      </w:r>
      <w:r w:rsidR="00E90AE0">
        <w:rPr>
          <w:rFonts w:eastAsia="Calibri"/>
          <w:color w:val="auto"/>
          <w:sz w:val="24"/>
          <w:szCs w:val="32"/>
          <w:lang w:val="cs-CZ" w:eastAsia="en-US"/>
        </w:rPr>
        <w:t xml:space="preserve"> </w:t>
      </w:r>
      <w:r w:rsidR="00B4209E" w:rsidRPr="00D81FFF">
        <w:rPr>
          <w:rFonts w:eastAsia="Calibri"/>
          <w:color w:val="auto"/>
          <w:sz w:val="24"/>
          <w:szCs w:val="32"/>
          <w:lang w:val="cs-CZ" w:eastAsia="en-US"/>
        </w:rPr>
        <w:t>materiální a sociální deprivace</w:t>
      </w:r>
      <w:r w:rsidR="00E90AE0">
        <w:rPr>
          <w:rFonts w:eastAsia="Calibri"/>
          <w:color w:val="auto"/>
          <w:sz w:val="24"/>
          <w:szCs w:val="32"/>
          <w:lang w:val="cs-CZ" w:eastAsia="en-US"/>
        </w:rPr>
        <w:t>, a to o téměř 10 p.b.</w:t>
      </w:r>
      <w:r w:rsidR="00B4209E" w:rsidRPr="00D81FFF">
        <w:rPr>
          <w:rFonts w:eastAsia="Calibri"/>
          <w:color w:val="auto"/>
          <w:sz w:val="24"/>
          <w:szCs w:val="32"/>
          <w:lang w:val="cs-CZ" w:eastAsia="en-US"/>
        </w:rPr>
        <w:t xml:space="preserve"> </w:t>
      </w:r>
    </w:p>
    <w:p w14:paraId="04AED9A3" w14:textId="48A2A7B9" w:rsidR="00CF669F" w:rsidRPr="002B737F" w:rsidRDefault="00AE1FAB" w:rsidP="00A51457">
      <w:pPr>
        <w:pStyle w:val="3GRAF"/>
        <w:jc w:val="both"/>
        <w:rPr>
          <w:lang w:val="cs-CZ"/>
        </w:rPr>
      </w:pPr>
      <w:r>
        <w:br/>
      </w:r>
      <w:r w:rsidR="001B10BB" w:rsidRPr="006B7B9F">
        <w:t xml:space="preserve">Graf </w:t>
      </w:r>
      <w:r w:rsidR="00902601" w:rsidRPr="006B7B9F">
        <w:rPr>
          <w:noProof/>
          <w:lang w:val="cs-CZ"/>
        </w:rPr>
        <w:t>1</w:t>
      </w:r>
      <w:r w:rsidR="006B7B9F" w:rsidRPr="006B7B9F">
        <w:rPr>
          <w:noProof/>
          <w:lang w:val="cs-CZ"/>
        </w:rPr>
        <w:t>1</w:t>
      </w:r>
      <w:r w:rsidR="00A67BF7" w:rsidRPr="006B7B9F">
        <w:t>: Míra</w:t>
      </w:r>
      <w:r w:rsidR="00A67BF7" w:rsidRPr="00E63081">
        <w:t xml:space="preserve"> materiální </w:t>
      </w:r>
      <w:r w:rsidR="00ED570D" w:rsidRPr="00E63081">
        <w:rPr>
          <w:lang w:val="cs-CZ"/>
        </w:rPr>
        <w:t xml:space="preserve">a </w:t>
      </w:r>
      <w:r w:rsidR="00ED570D" w:rsidRPr="00CC1944">
        <w:rPr>
          <w:lang w:val="cs-CZ"/>
        </w:rPr>
        <w:t xml:space="preserve">sociální </w:t>
      </w:r>
      <w:r w:rsidR="00A67BF7" w:rsidRPr="00CC1944">
        <w:t xml:space="preserve">deprivace podle </w:t>
      </w:r>
      <w:r w:rsidR="00ED570D" w:rsidRPr="00CC1944">
        <w:rPr>
          <w:lang w:val="cs-CZ"/>
        </w:rPr>
        <w:t>typu domácnosti</w:t>
      </w:r>
      <w:r w:rsidR="009F000B" w:rsidRPr="00CC1944">
        <w:rPr>
          <w:lang w:val="cs-CZ"/>
        </w:rPr>
        <w:t xml:space="preserve"> (</w:t>
      </w:r>
      <w:r w:rsidR="00CC1944" w:rsidRPr="00CC1944">
        <w:rPr>
          <w:lang w:val="cs-CZ"/>
        </w:rPr>
        <w:t xml:space="preserve">2022, </w:t>
      </w:r>
      <w:r w:rsidR="00FE4435" w:rsidRPr="00CC1944">
        <w:rPr>
          <w:lang w:val="cs-CZ"/>
        </w:rPr>
        <w:t>2023</w:t>
      </w:r>
      <w:r w:rsidR="00B4209E" w:rsidRPr="00CC1944">
        <w:rPr>
          <w:lang w:val="cs-CZ"/>
        </w:rPr>
        <w:t xml:space="preserve">, </w:t>
      </w:r>
      <w:r w:rsidR="009F000B" w:rsidRPr="00CC1944">
        <w:rPr>
          <w:lang w:val="cs-CZ"/>
        </w:rPr>
        <w:t>v %)</w:t>
      </w:r>
      <w:bookmarkStart w:id="3" w:name="_Toc514922363"/>
    </w:p>
    <w:p w14:paraId="3249E046" w14:textId="7340B9DD" w:rsidR="005219C3" w:rsidRPr="002C1813" w:rsidRDefault="00A90C29" w:rsidP="002B737F">
      <w:pPr>
        <w:spacing w:after="0" w:line="288" w:lineRule="auto"/>
        <w:jc w:val="center"/>
        <w:rPr>
          <w:rFonts w:ascii="Arial Narrow" w:hAnsi="Arial Narrow"/>
          <w:b/>
          <w:sz w:val="24"/>
          <w:szCs w:val="24"/>
          <w:highlight w:val="yellow"/>
        </w:rPr>
      </w:pPr>
      <w:r>
        <w:rPr>
          <w:noProof/>
          <w:lang w:eastAsia="cs-CZ"/>
        </w:rPr>
        <w:drawing>
          <wp:inline distT="0" distB="0" distL="0" distR="0" wp14:anchorId="220E9903" wp14:editId="74191A4C">
            <wp:extent cx="5857875" cy="3114675"/>
            <wp:effectExtent l="0" t="0" r="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03788473" w14:textId="7876E184" w:rsidR="00533815" w:rsidRPr="00533815" w:rsidRDefault="00533815" w:rsidP="00EF615A">
      <w:pPr>
        <w:spacing w:before="120" w:after="0" w:line="288" w:lineRule="auto"/>
        <w:jc w:val="both"/>
        <w:rPr>
          <w:rFonts w:ascii="Arial Narrow" w:hAnsi="Arial Narrow"/>
          <w:b/>
          <w:sz w:val="26"/>
          <w:szCs w:val="26"/>
        </w:rPr>
      </w:pPr>
      <w:r w:rsidRPr="00533815">
        <w:rPr>
          <w:rFonts w:ascii="Arial Narrow" w:hAnsi="Arial Narrow"/>
          <w:b/>
          <w:sz w:val="26"/>
          <w:szCs w:val="26"/>
        </w:rPr>
        <w:t>Výdaje za bydlení</w:t>
      </w:r>
    </w:p>
    <w:p w14:paraId="60071300" w14:textId="34A39ADB" w:rsidR="002C1813" w:rsidRPr="00FB65B8" w:rsidRDefault="002C1813" w:rsidP="00EF615A">
      <w:pPr>
        <w:spacing w:before="120" w:after="0" w:line="288" w:lineRule="auto"/>
        <w:jc w:val="both"/>
        <w:rPr>
          <w:rFonts w:ascii="Arial Narrow" w:hAnsi="Arial Narrow"/>
          <w:sz w:val="24"/>
          <w:szCs w:val="24"/>
          <w:highlight w:val="yellow"/>
        </w:rPr>
      </w:pPr>
      <w:r w:rsidRPr="003B42D3">
        <w:rPr>
          <w:rFonts w:ascii="Arial Narrow" w:hAnsi="Arial Narrow"/>
          <w:sz w:val="24"/>
          <w:szCs w:val="24"/>
        </w:rPr>
        <w:t>Smyslem šetření Životní podmínky je také získávat údaje o způsobu, kvalitě a finanční náročnosti bydlení. Podle právní formy užívání bytu či domu bydlí české domácnosti</w:t>
      </w:r>
      <w:r w:rsidR="00C9527C">
        <w:rPr>
          <w:rFonts w:ascii="Arial Narrow" w:hAnsi="Arial Narrow"/>
          <w:sz w:val="24"/>
          <w:szCs w:val="24"/>
        </w:rPr>
        <w:t xml:space="preserve"> nejčastěji v rodinnýc</w:t>
      </w:r>
      <w:r w:rsidR="00C9527C" w:rsidRPr="00C9527C">
        <w:rPr>
          <w:rFonts w:ascii="Arial Narrow" w:hAnsi="Arial Narrow"/>
          <w:sz w:val="24"/>
          <w:szCs w:val="24"/>
        </w:rPr>
        <w:t>h domech (38,4</w:t>
      </w:r>
      <w:r w:rsidRPr="00C9527C">
        <w:rPr>
          <w:rFonts w:ascii="Arial Narrow" w:hAnsi="Arial Narrow"/>
          <w:sz w:val="24"/>
          <w:szCs w:val="24"/>
        </w:rPr>
        <w:t xml:space="preserve"> %</w:t>
      </w:r>
      <w:r w:rsidR="00C9527C" w:rsidRPr="00C9527C">
        <w:rPr>
          <w:rFonts w:ascii="Arial Narrow" w:hAnsi="Arial Narrow"/>
          <w:sz w:val="24"/>
          <w:szCs w:val="24"/>
        </w:rPr>
        <w:t>)</w:t>
      </w:r>
      <w:r w:rsidRPr="00C9527C">
        <w:rPr>
          <w:rFonts w:ascii="Arial Narrow" w:hAnsi="Arial Narrow"/>
          <w:sz w:val="24"/>
          <w:szCs w:val="24"/>
        </w:rPr>
        <w:t>, dále následuje bydle</w:t>
      </w:r>
      <w:r w:rsidR="00C9527C" w:rsidRPr="00C9527C">
        <w:rPr>
          <w:rFonts w:ascii="Arial Narrow" w:hAnsi="Arial Narrow"/>
          <w:sz w:val="24"/>
          <w:szCs w:val="24"/>
        </w:rPr>
        <w:t xml:space="preserve">ní ve vlastních bytech </w:t>
      </w:r>
      <w:r w:rsidR="00C202A9">
        <w:rPr>
          <w:rFonts w:ascii="Arial Narrow" w:hAnsi="Arial Narrow"/>
          <w:sz w:val="24"/>
          <w:szCs w:val="24"/>
        </w:rPr>
        <w:t>(</w:t>
      </w:r>
      <w:r w:rsidR="00C9527C" w:rsidRPr="00C9527C">
        <w:rPr>
          <w:rFonts w:ascii="Arial Narrow" w:hAnsi="Arial Narrow"/>
          <w:sz w:val="24"/>
          <w:szCs w:val="24"/>
        </w:rPr>
        <w:t>28,5 % domácností</w:t>
      </w:r>
      <w:r w:rsidR="00C202A9">
        <w:rPr>
          <w:rFonts w:ascii="Arial Narrow" w:hAnsi="Arial Narrow"/>
          <w:sz w:val="24"/>
          <w:szCs w:val="24"/>
        </w:rPr>
        <w:t>)</w:t>
      </w:r>
      <w:r w:rsidR="00C9527C" w:rsidRPr="00C9527C">
        <w:rPr>
          <w:rFonts w:ascii="Arial Narrow" w:hAnsi="Arial Narrow"/>
          <w:sz w:val="24"/>
          <w:szCs w:val="24"/>
        </w:rPr>
        <w:t xml:space="preserve">. Po přičtení </w:t>
      </w:r>
      <w:r w:rsidRPr="00C9527C">
        <w:rPr>
          <w:rFonts w:ascii="Arial Narrow" w:hAnsi="Arial Narrow"/>
          <w:sz w:val="24"/>
          <w:szCs w:val="24"/>
        </w:rPr>
        <w:t>5</w:t>
      </w:r>
      <w:r w:rsidR="00C9527C" w:rsidRPr="00C9527C">
        <w:rPr>
          <w:rFonts w:ascii="Arial Narrow" w:hAnsi="Arial Narrow"/>
          <w:sz w:val="24"/>
          <w:szCs w:val="24"/>
        </w:rPr>
        <w:t>,8</w:t>
      </w:r>
      <w:r w:rsidRPr="00C9527C">
        <w:rPr>
          <w:rFonts w:ascii="Arial Narrow" w:hAnsi="Arial Narrow"/>
          <w:sz w:val="24"/>
          <w:szCs w:val="24"/>
        </w:rPr>
        <w:t xml:space="preserve"> % domácností, které žijí v družstevních bytech, lze konstatovat, že téměř tři čtvrtiny domácností v Česku bydlí </w:t>
      </w:r>
      <w:r w:rsidR="00356651">
        <w:rPr>
          <w:rFonts w:ascii="Arial Narrow" w:hAnsi="Arial Narrow"/>
          <w:sz w:val="24"/>
          <w:szCs w:val="24"/>
        </w:rPr>
        <w:t>„</w:t>
      </w:r>
      <w:r w:rsidRPr="00C9527C">
        <w:rPr>
          <w:rFonts w:ascii="Arial Narrow" w:hAnsi="Arial Narrow"/>
          <w:sz w:val="24"/>
          <w:szCs w:val="24"/>
        </w:rPr>
        <w:t>ve svém</w:t>
      </w:r>
      <w:r w:rsidR="00356651">
        <w:rPr>
          <w:rFonts w:ascii="Arial Narrow" w:hAnsi="Arial Narrow"/>
          <w:sz w:val="24"/>
          <w:szCs w:val="24"/>
        </w:rPr>
        <w:t>“</w:t>
      </w:r>
      <w:r w:rsidRPr="00C9527C">
        <w:rPr>
          <w:rFonts w:ascii="Arial Narrow" w:hAnsi="Arial Narrow"/>
          <w:sz w:val="24"/>
          <w:szCs w:val="24"/>
        </w:rPr>
        <w:t>. Bydlení v nájmu se týká dlouhodobě zhruba pětiny domácností</w:t>
      </w:r>
      <w:r w:rsidR="00C9527C" w:rsidRPr="00C9527C">
        <w:rPr>
          <w:rFonts w:ascii="Arial Narrow" w:hAnsi="Arial Narrow"/>
          <w:sz w:val="24"/>
          <w:szCs w:val="24"/>
        </w:rPr>
        <w:t>, konkrétně 21,2 %</w:t>
      </w:r>
      <w:r w:rsidRPr="00C9527C">
        <w:rPr>
          <w:rFonts w:ascii="Arial Narrow" w:hAnsi="Arial Narrow"/>
          <w:sz w:val="24"/>
          <w:szCs w:val="24"/>
        </w:rPr>
        <w:t>.</w:t>
      </w:r>
      <w:r w:rsidR="00F73B5A">
        <w:rPr>
          <w:rFonts w:ascii="Arial Narrow" w:hAnsi="Arial Narrow"/>
          <w:sz w:val="24"/>
          <w:szCs w:val="24"/>
        </w:rPr>
        <w:t xml:space="preserve"> Struktura bydlení podle právní formy zůstává v průběhu let spíše stabilní.</w:t>
      </w:r>
    </w:p>
    <w:p w14:paraId="228D4AA6" w14:textId="2F888322" w:rsidR="001342AD" w:rsidRDefault="00AE1FAB" w:rsidP="00A42768">
      <w:pPr>
        <w:pStyle w:val="3GRAF"/>
        <w:spacing w:after="120"/>
        <w:jc w:val="both"/>
        <w:rPr>
          <w:color w:val="FF0000"/>
          <w:lang w:val="cs-CZ"/>
        </w:rPr>
      </w:pPr>
      <w:r>
        <w:br/>
      </w:r>
      <w:r w:rsidR="002C1813" w:rsidRPr="00761CD9">
        <w:t xml:space="preserve">Graf </w:t>
      </w:r>
      <w:r w:rsidR="006B7B9F">
        <w:rPr>
          <w:lang w:val="cs-CZ"/>
        </w:rPr>
        <w:t>12</w:t>
      </w:r>
      <w:r w:rsidR="002C1813" w:rsidRPr="00761CD9">
        <w:t xml:space="preserve">: </w:t>
      </w:r>
      <w:r w:rsidR="002C1813" w:rsidRPr="006B7B9F">
        <w:rPr>
          <w:lang w:val="cs-CZ"/>
        </w:rPr>
        <w:t>Domácnosti podle pr</w:t>
      </w:r>
      <w:r w:rsidR="00761CD9" w:rsidRPr="006B7B9F">
        <w:rPr>
          <w:lang w:val="cs-CZ"/>
        </w:rPr>
        <w:t>ávní formy bydlení (2023</w:t>
      </w:r>
      <w:r w:rsidR="00A42768" w:rsidRPr="006B7B9F">
        <w:rPr>
          <w:lang w:val="cs-CZ"/>
        </w:rPr>
        <w:t>, v %)</w:t>
      </w:r>
      <w:r w:rsidR="00F05D88">
        <w:rPr>
          <w:lang w:val="cs-CZ"/>
        </w:rPr>
        <w:t xml:space="preserve"> </w:t>
      </w:r>
    </w:p>
    <w:p w14:paraId="30A049D7" w14:textId="3BD7C79D" w:rsidR="00EF615A" w:rsidRPr="00010E79" w:rsidRDefault="00010E79" w:rsidP="000312B9">
      <w:pPr>
        <w:pStyle w:val="3GRAF"/>
        <w:spacing w:after="120"/>
        <w:rPr>
          <w:noProof/>
          <w:sz w:val="24"/>
          <w:szCs w:val="24"/>
          <w:lang w:eastAsia="cs-CZ"/>
        </w:rPr>
      </w:pPr>
      <w:r w:rsidRPr="00010E79">
        <w:rPr>
          <w:noProof/>
          <w:sz w:val="24"/>
          <w:szCs w:val="24"/>
          <w:lang w:val="cs-CZ" w:eastAsia="cs-CZ"/>
        </w:rPr>
        <w:drawing>
          <wp:inline distT="0" distB="0" distL="0" distR="0" wp14:anchorId="2903767E" wp14:editId="2418662A">
            <wp:extent cx="5019675" cy="2619375"/>
            <wp:effectExtent l="0" t="0" r="0" b="0"/>
            <wp:docPr id="5" name="Graf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C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6B5AD69C" w14:textId="77777777" w:rsidR="00010E79" w:rsidRDefault="00010E79" w:rsidP="002C1813">
      <w:pPr>
        <w:jc w:val="both"/>
        <w:rPr>
          <w:rFonts w:ascii="Arial Narrow" w:hAnsi="Arial Narrow"/>
          <w:sz w:val="24"/>
          <w:szCs w:val="24"/>
        </w:rPr>
      </w:pPr>
    </w:p>
    <w:p w14:paraId="63802EDB" w14:textId="02BB6D40" w:rsidR="002C1813" w:rsidRPr="00FB65B8" w:rsidRDefault="002C1813" w:rsidP="002C1813">
      <w:pPr>
        <w:jc w:val="both"/>
        <w:rPr>
          <w:rFonts w:ascii="Arial Narrow" w:hAnsi="Arial Narrow"/>
          <w:sz w:val="24"/>
          <w:szCs w:val="24"/>
          <w:highlight w:val="yellow"/>
        </w:rPr>
      </w:pPr>
      <w:r w:rsidRPr="00A42768">
        <w:rPr>
          <w:rFonts w:ascii="Arial Narrow" w:hAnsi="Arial Narrow"/>
          <w:sz w:val="24"/>
          <w:szCs w:val="24"/>
        </w:rPr>
        <w:lastRenderedPageBreak/>
        <w:t xml:space="preserve">Celkové výdaje za bydlení zjištěné </w:t>
      </w:r>
      <w:r w:rsidR="00A42768" w:rsidRPr="00A42768">
        <w:rPr>
          <w:rFonts w:ascii="Arial Narrow" w:hAnsi="Arial Narrow"/>
          <w:sz w:val="24"/>
          <w:szCs w:val="24"/>
          <w:u w:val="single"/>
        </w:rPr>
        <w:t>na jaře roku 2023</w:t>
      </w:r>
      <w:r w:rsidR="00A42768" w:rsidRPr="00A42768">
        <w:rPr>
          <w:rFonts w:ascii="Arial Narrow" w:hAnsi="Arial Narrow"/>
          <w:sz w:val="24"/>
          <w:szCs w:val="24"/>
        </w:rPr>
        <w:t xml:space="preserve"> činily v průměru 8 </w:t>
      </w:r>
      <w:r w:rsidRPr="00A42768">
        <w:rPr>
          <w:rFonts w:ascii="Arial Narrow" w:hAnsi="Arial Narrow"/>
          <w:sz w:val="24"/>
          <w:szCs w:val="24"/>
        </w:rPr>
        <w:t>2</w:t>
      </w:r>
      <w:r w:rsidR="00A42768" w:rsidRPr="00A42768">
        <w:rPr>
          <w:rFonts w:ascii="Arial Narrow" w:hAnsi="Arial Narrow"/>
          <w:sz w:val="24"/>
          <w:szCs w:val="24"/>
        </w:rPr>
        <w:t>99</w:t>
      </w:r>
      <w:r w:rsidRPr="00A42768">
        <w:rPr>
          <w:rFonts w:ascii="Arial Narrow" w:hAnsi="Arial Narrow"/>
          <w:sz w:val="24"/>
          <w:szCs w:val="24"/>
        </w:rPr>
        <w:t xml:space="preserve"> Kč měsíčně na domácnost, což bylo oproti předchozímu roku o </w:t>
      </w:r>
      <w:r w:rsidR="00A42768" w:rsidRPr="00A42768">
        <w:rPr>
          <w:rFonts w:ascii="Arial Narrow" w:hAnsi="Arial Narrow"/>
          <w:sz w:val="24"/>
          <w:szCs w:val="24"/>
        </w:rPr>
        <w:t>1</w:t>
      </w:r>
      <w:r w:rsidR="003D657C">
        <w:rPr>
          <w:rFonts w:ascii="Arial Narrow" w:hAnsi="Arial Narrow"/>
          <w:sz w:val="24"/>
          <w:szCs w:val="24"/>
        </w:rPr>
        <w:t xml:space="preserve"> </w:t>
      </w:r>
      <w:r w:rsidR="00A42768" w:rsidRPr="00A42768">
        <w:rPr>
          <w:rFonts w:ascii="Arial Narrow" w:hAnsi="Arial Narrow"/>
          <w:sz w:val="24"/>
          <w:szCs w:val="24"/>
        </w:rPr>
        <w:t>479</w:t>
      </w:r>
      <w:r w:rsidRPr="00A42768">
        <w:rPr>
          <w:rFonts w:ascii="Arial Narrow" w:hAnsi="Arial Narrow"/>
          <w:sz w:val="24"/>
          <w:szCs w:val="24"/>
        </w:rPr>
        <w:t xml:space="preserve"> Kč více. </w:t>
      </w:r>
      <w:r w:rsidR="006D6BB2">
        <w:rPr>
          <w:rFonts w:ascii="Arial Narrow" w:hAnsi="Arial Narrow"/>
          <w:sz w:val="24"/>
          <w:szCs w:val="24"/>
        </w:rPr>
        <w:t xml:space="preserve">Meziroční nárůst </w:t>
      </w:r>
      <w:r w:rsidR="00D73747">
        <w:rPr>
          <w:rFonts w:ascii="Arial Narrow" w:hAnsi="Arial Narrow"/>
          <w:sz w:val="24"/>
          <w:szCs w:val="24"/>
        </w:rPr>
        <w:t xml:space="preserve">výdajů za bydlení </w:t>
      </w:r>
      <w:r w:rsidR="006D6BB2">
        <w:rPr>
          <w:rFonts w:ascii="Arial Narrow" w:hAnsi="Arial Narrow"/>
          <w:sz w:val="24"/>
          <w:szCs w:val="24"/>
        </w:rPr>
        <w:t xml:space="preserve">byl v roce 2023 </w:t>
      </w:r>
      <w:r w:rsidR="00D73747">
        <w:rPr>
          <w:rFonts w:ascii="Arial Narrow" w:hAnsi="Arial Narrow"/>
          <w:sz w:val="24"/>
          <w:szCs w:val="24"/>
        </w:rPr>
        <w:t>více než</w:t>
      </w:r>
      <w:r w:rsidR="006D6BB2">
        <w:rPr>
          <w:rFonts w:ascii="Arial Narrow" w:hAnsi="Arial Narrow"/>
          <w:sz w:val="24"/>
          <w:szCs w:val="24"/>
        </w:rPr>
        <w:t xml:space="preserve"> dvojnásobný </w:t>
      </w:r>
      <w:r w:rsidR="00D73747">
        <w:rPr>
          <w:rFonts w:ascii="Arial Narrow" w:hAnsi="Arial Narrow"/>
          <w:sz w:val="24"/>
          <w:szCs w:val="24"/>
        </w:rPr>
        <w:t xml:space="preserve">(21,7 %) </w:t>
      </w:r>
      <w:r w:rsidR="006D6BB2">
        <w:rPr>
          <w:rFonts w:ascii="Arial Narrow" w:hAnsi="Arial Narrow"/>
          <w:sz w:val="24"/>
          <w:szCs w:val="24"/>
        </w:rPr>
        <w:t>oproti nárůstu mezi roky 2021 a 2022</w:t>
      </w:r>
      <w:r w:rsidR="00D73747">
        <w:rPr>
          <w:rFonts w:ascii="Arial Narrow" w:hAnsi="Arial Narrow"/>
          <w:sz w:val="24"/>
          <w:szCs w:val="24"/>
        </w:rPr>
        <w:t xml:space="preserve"> (10,4 %)</w:t>
      </w:r>
      <w:r w:rsidR="006D6BB2">
        <w:rPr>
          <w:rFonts w:ascii="Arial Narrow" w:hAnsi="Arial Narrow"/>
          <w:sz w:val="24"/>
          <w:szCs w:val="24"/>
        </w:rPr>
        <w:t xml:space="preserve">. </w:t>
      </w:r>
      <w:r w:rsidRPr="00A42768">
        <w:rPr>
          <w:rFonts w:ascii="Arial Narrow" w:hAnsi="Arial Narrow"/>
          <w:sz w:val="24"/>
          <w:szCs w:val="24"/>
        </w:rPr>
        <w:t xml:space="preserve">V těchto pravidelných výdajích je zahrnuto nájemné, resp. úhrada za užívání bytu, platby za dodávky energií (elektřina, plyn, teplo a teplá voda), vodné a stočné, odvoz odpadků, paliva a ostatní služby spojené s bydlením. Naopak zde nejsou zahrnuty náklady na pořízení samotného bydlení, příp. splátky hypotéky či úvěru ani náklady na údržbu či rekonstrukci. </w:t>
      </w:r>
    </w:p>
    <w:p w14:paraId="5A8BFFBA" w14:textId="0776A54E" w:rsidR="002C1813" w:rsidRPr="00FF3C8B" w:rsidRDefault="002C1813" w:rsidP="00FF3C8B">
      <w:pPr>
        <w:jc w:val="both"/>
        <w:rPr>
          <w:rFonts w:ascii="Arial Narrow" w:hAnsi="Arial Narrow"/>
          <w:sz w:val="24"/>
          <w:szCs w:val="24"/>
        </w:rPr>
      </w:pPr>
      <w:r w:rsidRPr="002A78FF">
        <w:rPr>
          <w:rFonts w:ascii="Arial Narrow" w:hAnsi="Arial Narrow"/>
          <w:sz w:val="24"/>
          <w:szCs w:val="24"/>
        </w:rPr>
        <w:t xml:space="preserve">Výdaje za bydlení se velmi významně liší podle toho, zda domácnost žije ve vlastním (rodinném) domě anebo v bytě. Bydlení v nájmu je pro domácnost dražší než bydlení ve vlastním bytě či domě. </w:t>
      </w:r>
      <w:r w:rsidRPr="00FF3C8B">
        <w:rPr>
          <w:rFonts w:ascii="Arial Narrow" w:hAnsi="Arial Narrow"/>
          <w:sz w:val="24"/>
          <w:szCs w:val="24"/>
        </w:rPr>
        <w:t>Bydlení v rodinném domě vyšlo loni z hlediska průměrný</w:t>
      </w:r>
      <w:r w:rsidR="00FF3C8B" w:rsidRPr="00FF3C8B">
        <w:rPr>
          <w:rFonts w:ascii="Arial Narrow" w:hAnsi="Arial Narrow"/>
          <w:sz w:val="24"/>
          <w:szCs w:val="24"/>
        </w:rPr>
        <w:t>ch vynaložených nákladů na 7 678</w:t>
      </w:r>
      <w:r w:rsidR="00A364FC">
        <w:rPr>
          <w:rFonts w:ascii="Arial Narrow" w:hAnsi="Arial Narrow"/>
          <w:sz w:val="24"/>
          <w:szCs w:val="24"/>
        </w:rPr>
        <w:t xml:space="preserve"> Kč měsíčně. N</w:t>
      </w:r>
      <w:r w:rsidRPr="00FF3C8B">
        <w:rPr>
          <w:rFonts w:ascii="Arial Narrow" w:hAnsi="Arial Narrow"/>
          <w:sz w:val="24"/>
          <w:szCs w:val="24"/>
        </w:rPr>
        <w:t xml:space="preserve">ejvíce zaplatily domácnosti </w:t>
      </w:r>
      <w:r w:rsidR="00A364FC">
        <w:rPr>
          <w:rFonts w:ascii="Arial Narrow" w:hAnsi="Arial Narrow"/>
          <w:sz w:val="24"/>
          <w:szCs w:val="24"/>
        </w:rPr>
        <w:t xml:space="preserve">ve vlastním domě </w:t>
      </w:r>
      <w:r w:rsidRPr="00FF3C8B">
        <w:rPr>
          <w:rFonts w:ascii="Arial Narrow" w:hAnsi="Arial Narrow"/>
          <w:sz w:val="24"/>
          <w:szCs w:val="24"/>
        </w:rPr>
        <w:t>za elektřinu</w:t>
      </w:r>
      <w:r w:rsidR="00A364FC">
        <w:rPr>
          <w:rFonts w:ascii="Arial Narrow" w:hAnsi="Arial Narrow"/>
          <w:sz w:val="24"/>
          <w:szCs w:val="24"/>
        </w:rPr>
        <w:t xml:space="preserve"> (42,7 %)</w:t>
      </w:r>
      <w:r w:rsidRPr="00FF3C8B">
        <w:rPr>
          <w:rFonts w:ascii="Arial Narrow" w:hAnsi="Arial Narrow"/>
          <w:sz w:val="24"/>
          <w:szCs w:val="24"/>
        </w:rPr>
        <w:t xml:space="preserve"> a plyn</w:t>
      </w:r>
      <w:r w:rsidR="00A364FC">
        <w:rPr>
          <w:rFonts w:ascii="Arial Narrow" w:hAnsi="Arial Narrow"/>
          <w:sz w:val="24"/>
          <w:szCs w:val="24"/>
        </w:rPr>
        <w:t xml:space="preserve"> (29,3 %)</w:t>
      </w:r>
      <w:r w:rsidRPr="00FF3C8B">
        <w:rPr>
          <w:rFonts w:ascii="Arial Narrow" w:hAnsi="Arial Narrow"/>
          <w:sz w:val="24"/>
          <w:szCs w:val="24"/>
        </w:rPr>
        <w:t>,</w:t>
      </w:r>
      <w:r w:rsidR="00A364FC">
        <w:rPr>
          <w:rFonts w:ascii="Arial Narrow" w:hAnsi="Arial Narrow"/>
          <w:sz w:val="24"/>
          <w:szCs w:val="24"/>
        </w:rPr>
        <w:t xml:space="preserve"> </w:t>
      </w:r>
      <w:r w:rsidR="007D0DA4">
        <w:rPr>
          <w:rFonts w:ascii="Arial Narrow" w:hAnsi="Arial Narrow"/>
          <w:sz w:val="24"/>
          <w:szCs w:val="24"/>
        </w:rPr>
        <w:t xml:space="preserve">tj. především </w:t>
      </w:r>
      <w:r w:rsidR="00A364FC">
        <w:rPr>
          <w:rFonts w:ascii="Arial Narrow" w:hAnsi="Arial Narrow"/>
          <w:sz w:val="24"/>
          <w:szCs w:val="24"/>
        </w:rPr>
        <w:t>za vytápění. D</w:t>
      </w:r>
      <w:r w:rsidRPr="00FF3C8B">
        <w:rPr>
          <w:rFonts w:ascii="Arial Narrow" w:hAnsi="Arial Narrow"/>
          <w:sz w:val="24"/>
          <w:szCs w:val="24"/>
        </w:rPr>
        <w:t xml:space="preserve">ohromady </w:t>
      </w:r>
      <w:r w:rsidR="00A364FC">
        <w:rPr>
          <w:rFonts w:ascii="Arial Narrow" w:hAnsi="Arial Narrow"/>
          <w:sz w:val="24"/>
          <w:szCs w:val="24"/>
        </w:rPr>
        <w:t>tak domácnosti ve vlastních domech vynakládají</w:t>
      </w:r>
      <w:r w:rsidR="007D0DA4">
        <w:rPr>
          <w:rFonts w:ascii="Arial Narrow" w:hAnsi="Arial Narrow"/>
          <w:sz w:val="24"/>
          <w:szCs w:val="24"/>
        </w:rPr>
        <w:t xml:space="preserve"> n</w:t>
      </w:r>
      <w:r w:rsidR="00A364FC">
        <w:rPr>
          <w:rFonts w:ascii="Arial Narrow" w:hAnsi="Arial Narrow"/>
          <w:sz w:val="24"/>
          <w:szCs w:val="24"/>
        </w:rPr>
        <w:t>a tyto dvě položky téměř tři čtvrtiny</w:t>
      </w:r>
      <w:r w:rsidR="00B65761">
        <w:rPr>
          <w:rFonts w:ascii="Arial Narrow" w:hAnsi="Arial Narrow"/>
          <w:sz w:val="24"/>
          <w:szCs w:val="24"/>
        </w:rPr>
        <w:t xml:space="preserve"> z </w:t>
      </w:r>
      <w:r w:rsidRPr="00FF3C8B">
        <w:rPr>
          <w:rFonts w:ascii="Arial Narrow" w:hAnsi="Arial Narrow"/>
          <w:sz w:val="24"/>
          <w:szCs w:val="24"/>
        </w:rPr>
        <w:t xml:space="preserve">celkových nákladů na bydlení, ale významné u nich byly též výdaje za paliva a vodné a stočné. </w:t>
      </w:r>
    </w:p>
    <w:p w14:paraId="791DF25D" w14:textId="7000A28B" w:rsidR="00FD79C8" w:rsidRPr="00FB65B8" w:rsidRDefault="00FD79C8" w:rsidP="00FD79C8">
      <w:pPr>
        <w:spacing w:after="0"/>
        <w:jc w:val="both"/>
        <w:rPr>
          <w:rFonts w:ascii="Arial Narrow" w:hAnsi="Arial Narrow"/>
          <w:sz w:val="24"/>
          <w:szCs w:val="24"/>
          <w:highlight w:val="yellow"/>
        </w:rPr>
      </w:pPr>
      <w:r w:rsidRPr="00664310">
        <w:rPr>
          <w:rFonts w:ascii="Arial Narrow" w:hAnsi="Arial Narrow"/>
          <w:sz w:val="24"/>
          <w:szCs w:val="24"/>
        </w:rPr>
        <w:t xml:space="preserve">Oproti tomu domácnosti žijící v bytech a </w:t>
      </w:r>
      <w:r w:rsidRPr="00664310">
        <w:rPr>
          <w:rFonts w:ascii="Arial Narrow" w:hAnsi="Arial Narrow"/>
          <w:bCs/>
          <w:sz w:val="24"/>
          <w:szCs w:val="24"/>
        </w:rPr>
        <w:t>bytových domech</w:t>
      </w:r>
      <w:r w:rsidRPr="00664310">
        <w:rPr>
          <w:rFonts w:ascii="Arial Narrow" w:hAnsi="Arial Narrow"/>
          <w:sz w:val="24"/>
          <w:szCs w:val="24"/>
        </w:rPr>
        <w:t xml:space="preserve"> měly jinou skladbu výdajových položek. Ve vlastních bytech připadla zhruba čtvrtina (24,1 %) na úhradu za užívání bytu, zatímco v pronajatých bytech utratily domácnosti za nájemné v průměru 43 % z celkové částky nákladů na bydlení.</w:t>
      </w:r>
      <w:r w:rsidR="00A364FC">
        <w:rPr>
          <w:rFonts w:ascii="Arial Narrow" w:hAnsi="Arial Narrow"/>
          <w:sz w:val="24"/>
          <w:szCs w:val="24"/>
        </w:rPr>
        <w:t xml:space="preserve"> Za </w:t>
      </w:r>
      <w:r w:rsidRPr="00FD79C8">
        <w:rPr>
          <w:rFonts w:ascii="Arial Narrow" w:hAnsi="Arial Narrow"/>
          <w:sz w:val="24"/>
          <w:szCs w:val="24"/>
        </w:rPr>
        <w:t>vytápění (tj. ústřední topení) a</w:t>
      </w:r>
      <w:r w:rsidRPr="00FD79C8">
        <w:rPr>
          <w:rFonts w:ascii="Arial Narrow" w:hAnsi="Arial Narrow"/>
          <w:spacing w:val="-20"/>
          <w:sz w:val="24"/>
          <w:szCs w:val="24"/>
        </w:rPr>
        <w:t xml:space="preserve"> </w:t>
      </w:r>
      <w:r w:rsidRPr="00FD79C8">
        <w:rPr>
          <w:rFonts w:ascii="Arial Narrow" w:hAnsi="Arial Narrow"/>
          <w:sz w:val="24"/>
          <w:szCs w:val="24"/>
        </w:rPr>
        <w:t>teplou vodu vydaly domácnosti v bytech v</w:t>
      </w:r>
      <w:r w:rsidRPr="00FD79C8">
        <w:rPr>
          <w:rFonts w:ascii="Arial Narrow" w:hAnsi="Arial Narrow"/>
          <w:spacing w:val="-20"/>
          <w:sz w:val="24"/>
          <w:szCs w:val="24"/>
        </w:rPr>
        <w:t> </w:t>
      </w:r>
      <w:r w:rsidRPr="00FD79C8">
        <w:rPr>
          <w:rFonts w:ascii="Arial Narrow" w:hAnsi="Arial Narrow"/>
          <w:sz w:val="24"/>
          <w:szCs w:val="24"/>
        </w:rPr>
        <w:t>osobním vlastnictví částku</w:t>
      </w:r>
      <w:r w:rsidR="000C676E">
        <w:rPr>
          <w:rFonts w:ascii="Arial Narrow" w:hAnsi="Arial Narrow"/>
          <w:sz w:val="24"/>
          <w:szCs w:val="24"/>
        </w:rPr>
        <w:t xml:space="preserve"> v průměru 1 </w:t>
      </w:r>
      <w:r w:rsidRPr="00FD79C8">
        <w:rPr>
          <w:rFonts w:ascii="Arial Narrow" w:hAnsi="Arial Narrow"/>
          <w:sz w:val="24"/>
          <w:szCs w:val="24"/>
        </w:rPr>
        <w:t>481 Kč měsíčně, což odpovídá podílu 21 % z celkových nákladů, z</w:t>
      </w:r>
      <w:r w:rsidR="00B65761">
        <w:rPr>
          <w:rFonts w:ascii="Arial Narrow" w:hAnsi="Arial Narrow"/>
          <w:sz w:val="24"/>
          <w:szCs w:val="24"/>
        </w:rPr>
        <w:t>atímco v nájemních bytech jde o </w:t>
      </w:r>
      <w:r w:rsidRPr="00FD79C8">
        <w:rPr>
          <w:rFonts w:ascii="Arial Narrow" w:hAnsi="Arial Narrow"/>
          <w:sz w:val="24"/>
          <w:szCs w:val="24"/>
        </w:rPr>
        <w:t>částku 1 582 Kč, která činí 12,9 % z celkových výdajů – u bytů v soukromém vlastnictví tak oproti předchozímu roku tato částka stoupla (z 960 Kč), přičemž v nájemních by</w:t>
      </w:r>
      <w:r w:rsidR="00E96587">
        <w:rPr>
          <w:rFonts w:ascii="Arial Narrow" w:hAnsi="Arial Narrow"/>
          <w:sz w:val="24"/>
          <w:szCs w:val="24"/>
        </w:rPr>
        <w:t>tech zůstala téměř stejná. Domácnosti, jejichž členové</w:t>
      </w:r>
      <w:r w:rsidRPr="00FD79C8">
        <w:rPr>
          <w:rFonts w:ascii="Arial Narrow" w:hAnsi="Arial Narrow"/>
          <w:sz w:val="24"/>
          <w:szCs w:val="24"/>
        </w:rPr>
        <w:t xml:space="preserve"> bydlí u příbuzných či známých, uvádějí jako největší položky ze svých výdajů za bydlení </w:t>
      </w:r>
      <w:r w:rsidR="00A364FC">
        <w:rPr>
          <w:rFonts w:ascii="Arial Narrow" w:hAnsi="Arial Narrow"/>
          <w:sz w:val="24"/>
          <w:szCs w:val="24"/>
        </w:rPr>
        <w:t xml:space="preserve">výdaje na energie, tedy </w:t>
      </w:r>
      <w:r w:rsidRPr="00FD79C8">
        <w:rPr>
          <w:rFonts w:ascii="Arial Narrow" w:hAnsi="Arial Narrow"/>
          <w:sz w:val="24"/>
          <w:szCs w:val="24"/>
        </w:rPr>
        <w:t>elektřinu a plyn, případně jistou (skrytou) formu nájemného.</w:t>
      </w:r>
      <w:r w:rsidRPr="00255697">
        <w:rPr>
          <w:rFonts w:ascii="Arial Narrow" w:hAnsi="Arial Narrow"/>
          <w:sz w:val="24"/>
          <w:szCs w:val="24"/>
        </w:rPr>
        <w:t xml:space="preserve"> </w:t>
      </w:r>
    </w:p>
    <w:p w14:paraId="0A7FE858" w14:textId="3AF7D0F7" w:rsidR="00A42768" w:rsidRDefault="002C1813" w:rsidP="006A1643">
      <w:pPr>
        <w:pStyle w:val="3GRAF"/>
        <w:spacing w:before="240" w:after="180"/>
        <w:jc w:val="both"/>
        <w:rPr>
          <w:lang w:val="cs-CZ"/>
        </w:rPr>
      </w:pPr>
      <w:r w:rsidRPr="00BE3BBB">
        <w:t xml:space="preserve">Graf </w:t>
      </w:r>
      <w:r w:rsidR="006B7B9F">
        <w:rPr>
          <w:lang w:val="cs-CZ"/>
        </w:rPr>
        <w:t>13</w:t>
      </w:r>
      <w:r w:rsidRPr="002A78FF">
        <w:t xml:space="preserve">: </w:t>
      </w:r>
      <w:r w:rsidRPr="006B7B9F">
        <w:rPr>
          <w:lang w:val="cs-CZ"/>
        </w:rPr>
        <w:t>Výdaje za bydlení v jednotlivých po</w:t>
      </w:r>
      <w:r w:rsidR="00BE3BBB" w:rsidRPr="006B7B9F">
        <w:rPr>
          <w:lang w:val="cs-CZ"/>
        </w:rPr>
        <w:t>ložkách podle právní formy (2023</w:t>
      </w:r>
      <w:r w:rsidRPr="006B7B9F">
        <w:rPr>
          <w:lang w:val="cs-CZ"/>
        </w:rPr>
        <w:t>, v Kč)</w:t>
      </w:r>
      <w:r w:rsidRPr="00BE3BBB">
        <w:rPr>
          <w:lang w:val="cs-CZ"/>
        </w:rPr>
        <w:t xml:space="preserve"> </w:t>
      </w:r>
    </w:p>
    <w:p w14:paraId="50186421" w14:textId="659F661C" w:rsidR="00010E79" w:rsidRPr="00272882" w:rsidRDefault="00010E79" w:rsidP="00D026C0">
      <w:pPr>
        <w:pStyle w:val="3GRAF"/>
        <w:spacing w:before="240" w:after="180"/>
        <w:rPr>
          <w:sz w:val="24"/>
          <w:szCs w:val="24"/>
        </w:rPr>
      </w:pPr>
      <w:r w:rsidRPr="00010E79">
        <w:rPr>
          <w:noProof/>
          <w:sz w:val="24"/>
          <w:szCs w:val="24"/>
          <w:lang w:val="cs-CZ" w:eastAsia="cs-CZ"/>
        </w:rPr>
        <w:drawing>
          <wp:inline distT="0" distB="0" distL="0" distR="0" wp14:anchorId="2F1D3297" wp14:editId="044CB069">
            <wp:extent cx="5953125" cy="3400425"/>
            <wp:effectExtent l="0" t="0" r="0" b="0"/>
            <wp:docPr id="12" name="Graf 1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D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10AA10E5" w14:textId="5369943A" w:rsidR="00D10A70" w:rsidRPr="00EF615A" w:rsidRDefault="00D10A70" w:rsidP="00EF615A">
      <w:pPr>
        <w:pStyle w:val="3GRAF"/>
        <w:spacing w:before="0" w:after="0" w:line="288" w:lineRule="auto"/>
        <w:rPr>
          <w:color w:val="auto"/>
          <w:sz w:val="24"/>
          <w:szCs w:val="24"/>
          <w:highlight w:val="yellow"/>
          <w:lang w:val="cs-CZ"/>
        </w:rPr>
      </w:pPr>
    </w:p>
    <w:p w14:paraId="677A7E3A" w14:textId="77777777" w:rsidR="00D10A70" w:rsidRDefault="00D10A70" w:rsidP="009F2BFB">
      <w:pPr>
        <w:pStyle w:val="3GRAF"/>
        <w:keepNext w:val="0"/>
        <w:spacing w:before="0" w:after="0" w:line="288" w:lineRule="auto"/>
        <w:jc w:val="both"/>
        <w:rPr>
          <w:color w:val="auto"/>
          <w:sz w:val="24"/>
          <w:szCs w:val="24"/>
          <w:lang w:val="cs-CZ"/>
        </w:rPr>
      </w:pPr>
    </w:p>
    <w:p w14:paraId="7B117986" w14:textId="77777777" w:rsidR="00EF615A" w:rsidRDefault="00EF615A" w:rsidP="009F2BFB">
      <w:pPr>
        <w:pStyle w:val="3GRAF"/>
        <w:keepNext w:val="0"/>
        <w:spacing w:before="0" w:after="0" w:line="288" w:lineRule="auto"/>
        <w:jc w:val="both"/>
        <w:rPr>
          <w:color w:val="auto"/>
          <w:sz w:val="24"/>
          <w:szCs w:val="24"/>
          <w:lang w:val="cs-CZ"/>
        </w:rPr>
      </w:pPr>
    </w:p>
    <w:p w14:paraId="4C1125C8" w14:textId="75DA16EE" w:rsidR="009F2BFB" w:rsidRDefault="002C1813" w:rsidP="009F2BFB">
      <w:pPr>
        <w:pStyle w:val="3GRAF"/>
        <w:keepNext w:val="0"/>
        <w:spacing w:before="0" w:after="0" w:line="288" w:lineRule="auto"/>
        <w:jc w:val="both"/>
        <w:rPr>
          <w:color w:val="auto"/>
          <w:sz w:val="24"/>
          <w:szCs w:val="24"/>
          <w:lang w:val="cs-CZ"/>
        </w:rPr>
      </w:pPr>
      <w:r w:rsidRPr="009830D8">
        <w:rPr>
          <w:color w:val="auto"/>
          <w:sz w:val="24"/>
          <w:szCs w:val="24"/>
          <w:lang w:val="cs-CZ"/>
        </w:rPr>
        <w:lastRenderedPageBreak/>
        <w:t xml:space="preserve">Výdaje za bydlení v posledních letech významně rostou. </w:t>
      </w:r>
      <w:r w:rsidR="009830D8">
        <w:rPr>
          <w:color w:val="auto"/>
          <w:sz w:val="24"/>
          <w:szCs w:val="24"/>
          <w:lang w:val="cs-CZ"/>
        </w:rPr>
        <w:t>V roce</w:t>
      </w:r>
      <w:r w:rsidR="009830D8" w:rsidRPr="009830D8">
        <w:rPr>
          <w:color w:val="auto"/>
          <w:sz w:val="24"/>
          <w:szCs w:val="24"/>
          <w:lang w:val="cs-CZ"/>
        </w:rPr>
        <w:t xml:space="preserve"> 2023 došlo k</w:t>
      </w:r>
      <w:r w:rsidR="009830D8">
        <w:rPr>
          <w:color w:val="auto"/>
          <w:sz w:val="24"/>
          <w:szCs w:val="24"/>
          <w:lang w:val="cs-CZ"/>
        </w:rPr>
        <w:t xml:space="preserve"> meziročnímu </w:t>
      </w:r>
      <w:r w:rsidR="009830D8" w:rsidRPr="009830D8">
        <w:rPr>
          <w:color w:val="auto"/>
          <w:sz w:val="24"/>
          <w:szCs w:val="24"/>
          <w:lang w:val="cs-CZ"/>
        </w:rPr>
        <w:t>rů</w:t>
      </w:r>
      <w:r w:rsidRPr="009830D8">
        <w:rPr>
          <w:color w:val="auto"/>
          <w:sz w:val="24"/>
          <w:szCs w:val="24"/>
          <w:lang w:val="cs-CZ"/>
        </w:rPr>
        <w:t>st</w:t>
      </w:r>
      <w:r w:rsidR="009830D8" w:rsidRPr="009830D8">
        <w:rPr>
          <w:color w:val="auto"/>
          <w:sz w:val="24"/>
          <w:szCs w:val="24"/>
          <w:lang w:val="cs-CZ"/>
        </w:rPr>
        <w:t>u</w:t>
      </w:r>
      <w:r w:rsidRPr="009830D8">
        <w:rPr>
          <w:color w:val="auto"/>
          <w:sz w:val="24"/>
          <w:szCs w:val="24"/>
          <w:lang w:val="cs-CZ"/>
        </w:rPr>
        <w:t xml:space="preserve"> celkových výdajů za bydlení </w:t>
      </w:r>
      <w:r w:rsidR="009830D8" w:rsidRPr="009830D8">
        <w:rPr>
          <w:color w:val="auto"/>
          <w:sz w:val="24"/>
          <w:szCs w:val="24"/>
          <w:lang w:val="cs-CZ"/>
        </w:rPr>
        <w:t>o </w:t>
      </w:r>
      <w:r w:rsidR="00FD79C8" w:rsidRPr="00CE0683">
        <w:rPr>
          <w:color w:val="auto"/>
          <w:sz w:val="24"/>
          <w:szCs w:val="24"/>
          <w:lang w:val="cs-CZ"/>
        </w:rPr>
        <w:t>21,7</w:t>
      </w:r>
      <w:r w:rsidR="009830D8" w:rsidRPr="00CE0683">
        <w:rPr>
          <w:color w:val="auto"/>
          <w:sz w:val="24"/>
          <w:szCs w:val="24"/>
          <w:lang w:val="cs-CZ"/>
        </w:rPr>
        <w:t> %,</w:t>
      </w:r>
      <w:r w:rsidR="009830D8" w:rsidRPr="009830D8">
        <w:rPr>
          <w:color w:val="auto"/>
          <w:sz w:val="24"/>
          <w:szCs w:val="24"/>
          <w:lang w:val="cs-CZ"/>
        </w:rPr>
        <w:t xml:space="preserve"> přičemž tento nárůst </w:t>
      </w:r>
      <w:r w:rsidR="009830D8" w:rsidRPr="00CE0683">
        <w:rPr>
          <w:color w:val="auto"/>
          <w:sz w:val="24"/>
          <w:szCs w:val="24"/>
          <w:lang w:val="cs-CZ"/>
        </w:rPr>
        <w:t xml:space="preserve">navazoval na trend z roku 2022. </w:t>
      </w:r>
      <w:r w:rsidRPr="00CE0683">
        <w:rPr>
          <w:color w:val="auto"/>
          <w:sz w:val="24"/>
          <w:szCs w:val="24"/>
          <w:lang w:val="cs-CZ"/>
        </w:rPr>
        <w:t xml:space="preserve"> Nejvíce se na tom podílel růst cen </w:t>
      </w:r>
      <w:r w:rsidR="009830D8" w:rsidRPr="00CE0683">
        <w:rPr>
          <w:color w:val="auto"/>
          <w:sz w:val="24"/>
          <w:szCs w:val="24"/>
          <w:lang w:val="cs-CZ"/>
        </w:rPr>
        <w:t>plynu</w:t>
      </w:r>
      <w:r w:rsidR="00CE0683" w:rsidRPr="00CE0683">
        <w:rPr>
          <w:color w:val="auto"/>
          <w:sz w:val="24"/>
          <w:szCs w:val="24"/>
          <w:lang w:val="cs-CZ"/>
        </w:rPr>
        <w:t xml:space="preserve"> (o 43,6 %) a růst ceny elektřiny (o 26,4</w:t>
      </w:r>
      <w:r w:rsidRPr="00CE0683">
        <w:rPr>
          <w:color w:val="auto"/>
          <w:sz w:val="24"/>
          <w:szCs w:val="24"/>
          <w:lang w:val="cs-CZ"/>
        </w:rPr>
        <w:t xml:space="preserve"> %). </w:t>
      </w:r>
      <w:r w:rsidR="000A24C5" w:rsidRPr="000A24C5">
        <w:rPr>
          <w:color w:val="auto"/>
          <w:sz w:val="24"/>
          <w:szCs w:val="24"/>
          <w:lang w:val="cs-CZ"/>
        </w:rPr>
        <w:t xml:space="preserve">Nárůst výdajů za vytápění se odráží </w:t>
      </w:r>
      <w:r w:rsidR="000A24C5">
        <w:rPr>
          <w:color w:val="auto"/>
          <w:sz w:val="24"/>
          <w:szCs w:val="24"/>
          <w:lang w:val="cs-CZ"/>
        </w:rPr>
        <w:t xml:space="preserve">také </w:t>
      </w:r>
      <w:r w:rsidR="000A24C5" w:rsidRPr="000A24C5">
        <w:rPr>
          <w:color w:val="auto"/>
          <w:sz w:val="24"/>
          <w:szCs w:val="24"/>
          <w:lang w:val="cs-CZ"/>
        </w:rPr>
        <w:t>v n</w:t>
      </w:r>
      <w:r w:rsidR="000A24C5">
        <w:rPr>
          <w:color w:val="auto"/>
          <w:sz w:val="24"/>
          <w:szCs w:val="24"/>
          <w:lang w:val="cs-CZ"/>
        </w:rPr>
        <w:t>avýšení</w:t>
      </w:r>
      <w:r w:rsidR="000A24C5" w:rsidRPr="000A24C5">
        <w:rPr>
          <w:color w:val="auto"/>
          <w:sz w:val="24"/>
          <w:szCs w:val="24"/>
          <w:lang w:val="cs-CZ"/>
        </w:rPr>
        <w:t xml:space="preserve"> podílu domácností, které si nemohly dovolit dostatečně vytápět svůj byt či dům (viz graf </w:t>
      </w:r>
      <w:r w:rsidR="006B7B9F" w:rsidRPr="004A2ABE">
        <w:rPr>
          <w:color w:val="auto"/>
          <w:sz w:val="24"/>
          <w:szCs w:val="24"/>
          <w:lang w:val="cs-CZ"/>
        </w:rPr>
        <w:t>10</w:t>
      </w:r>
      <w:r w:rsidR="000A24C5" w:rsidRPr="004A2ABE">
        <w:rPr>
          <w:color w:val="auto"/>
          <w:sz w:val="24"/>
          <w:szCs w:val="24"/>
          <w:lang w:val="cs-CZ"/>
        </w:rPr>
        <w:t>).</w:t>
      </w:r>
      <w:r w:rsidR="000A24C5" w:rsidRPr="000A24C5">
        <w:rPr>
          <w:color w:val="auto"/>
          <w:sz w:val="24"/>
          <w:szCs w:val="24"/>
          <w:lang w:val="cs-CZ"/>
        </w:rPr>
        <w:t xml:space="preserve"> </w:t>
      </w:r>
      <w:r w:rsidRPr="00CE0683">
        <w:rPr>
          <w:color w:val="auto"/>
          <w:sz w:val="24"/>
          <w:szCs w:val="24"/>
          <w:lang w:val="cs-CZ"/>
        </w:rPr>
        <w:t>Vodné a stočné se také zvýšilo,</w:t>
      </w:r>
      <w:r w:rsidR="009F2BFB" w:rsidRPr="00CE0683">
        <w:rPr>
          <w:color w:val="auto"/>
          <w:spacing w:val="-20"/>
          <w:sz w:val="24"/>
          <w:szCs w:val="24"/>
          <w:lang w:val="cs-CZ"/>
        </w:rPr>
        <w:t xml:space="preserve"> </w:t>
      </w:r>
      <w:r w:rsidR="00CE0683" w:rsidRPr="00CE0683">
        <w:rPr>
          <w:color w:val="auto"/>
          <w:sz w:val="24"/>
          <w:szCs w:val="24"/>
          <w:lang w:val="cs-CZ"/>
        </w:rPr>
        <w:t>konkrétně o 12,2</w:t>
      </w:r>
      <w:r w:rsidRPr="00CE0683">
        <w:rPr>
          <w:color w:val="auto"/>
          <w:sz w:val="24"/>
          <w:szCs w:val="24"/>
          <w:lang w:val="cs-CZ"/>
        </w:rPr>
        <w:t xml:space="preserve"> %. Nájemné a úhrada za užívání bytu sice také neustále</w:t>
      </w:r>
      <w:r w:rsidR="00746688">
        <w:rPr>
          <w:color w:val="auto"/>
          <w:sz w:val="24"/>
          <w:szCs w:val="24"/>
          <w:lang w:val="cs-CZ"/>
        </w:rPr>
        <w:t xml:space="preserve"> rostly</w:t>
      </w:r>
      <w:r w:rsidR="00CE0683" w:rsidRPr="00CE0683">
        <w:rPr>
          <w:color w:val="auto"/>
          <w:sz w:val="24"/>
          <w:szCs w:val="24"/>
          <w:lang w:val="cs-CZ"/>
        </w:rPr>
        <w:t>, ale meziročně pouze o 6,3</w:t>
      </w:r>
      <w:r w:rsidRPr="00CE0683">
        <w:rPr>
          <w:color w:val="auto"/>
          <w:sz w:val="24"/>
          <w:szCs w:val="24"/>
          <w:lang w:val="cs-CZ"/>
        </w:rPr>
        <w:t xml:space="preserve"> %.</w:t>
      </w:r>
      <w:r w:rsidR="00C9527C" w:rsidRPr="00CE0683">
        <w:rPr>
          <w:color w:val="auto"/>
          <w:sz w:val="24"/>
          <w:szCs w:val="24"/>
          <w:lang w:val="cs-CZ"/>
        </w:rPr>
        <w:t xml:space="preserve"> </w:t>
      </w:r>
    </w:p>
    <w:p w14:paraId="5B5A048D" w14:textId="256947D1" w:rsidR="000A62AF" w:rsidRPr="006A32CE" w:rsidRDefault="002C1813" w:rsidP="006A32CE">
      <w:pPr>
        <w:pStyle w:val="3GRAF"/>
        <w:spacing w:before="240" w:after="0"/>
        <w:jc w:val="both"/>
        <w:rPr>
          <w:color w:val="FF0000"/>
          <w:lang w:val="cs-CZ"/>
        </w:rPr>
      </w:pPr>
      <w:r w:rsidRPr="00761CD9">
        <w:t xml:space="preserve">Graf </w:t>
      </w:r>
      <w:r w:rsidR="006B7B9F">
        <w:rPr>
          <w:lang w:val="cs-CZ"/>
        </w:rPr>
        <w:t>14</w:t>
      </w:r>
      <w:r w:rsidRPr="002A78FF">
        <w:t xml:space="preserve">: </w:t>
      </w:r>
      <w:r w:rsidRPr="002A78FF">
        <w:rPr>
          <w:lang w:val="cs-CZ"/>
        </w:rPr>
        <w:t xml:space="preserve">Meziroční indexy </w:t>
      </w:r>
      <w:r w:rsidRPr="006A32CE">
        <w:rPr>
          <w:lang w:val="cs-CZ"/>
        </w:rPr>
        <w:t xml:space="preserve">výdajů </w:t>
      </w:r>
      <w:r w:rsidR="004D535D">
        <w:rPr>
          <w:lang w:val="cs-CZ"/>
        </w:rPr>
        <w:t>za bydlení (2018</w:t>
      </w:r>
      <w:r w:rsidR="004D535D" w:rsidRPr="00596332">
        <w:t>–</w:t>
      </w:r>
      <w:r w:rsidR="004D535D">
        <w:rPr>
          <w:lang w:val="cs-CZ"/>
        </w:rPr>
        <w:t>2023)</w:t>
      </w:r>
      <w:r w:rsidR="000A62AF">
        <w:rPr>
          <w:lang w:val="cs-CZ"/>
        </w:rPr>
        <w:t xml:space="preserve"> </w:t>
      </w:r>
    </w:p>
    <w:p w14:paraId="65184CAD" w14:textId="4613FD2E" w:rsidR="006A32CE" w:rsidRDefault="006A32CE" w:rsidP="002C1813">
      <w:pPr>
        <w:spacing w:after="0" w:line="240" w:lineRule="auto"/>
        <w:rPr>
          <w:rFonts w:ascii="Arial Narrow" w:hAnsi="Arial Narrow"/>
          <w:sz w:val="24"/>
          <w:szCs w:val="24"/>
          <w:highlight w:val="yellow"/>
        </w:rPr>
      </w:pPr>
    </w:p>
    <w:p w14:paraId="07E49B6A" w14:textId="2BDF48E8" w:rsidR="006A32CE" w:rsidRDefault="006A32CE" w:rsidP="00D026C0">
      <w:pPr>
        <w:spacing w:after="0" w:line="240" w:lineRule="auto"/>
        <w:jc w:val="center"/>
        <w:rPr>
          <w:rFonts w:ascii="Arial Narrow" w:hAnsi="Arial Narrow"/>
          <w:sz w:val="24"/>
          <w:szCs w:val="24"/>
          <w:highlight w:val="yellow"/>
        </w:rPr>
      </w:pPr>
      <w:r w:rsidRPr="00533815">
        <w:rPr>
          <w:rFonts w:ascii="Arial Narrow" w:hAnsi="Arial Narrow"/>
          <w:noProof/>
          <w:sz w:val="24"/>
          <w:szCs w:val="24"/>
          <w:lang w:eastAsia="cs-CZ"/>
        </w:rPr>
        <w:drawing>
          <wp:inline distT="0" distB="0" distL="0" distR="0" wp14:anchorId="2FFCAAEC" wp14:editId="753AE26D">
            <wp:extent cx="5838825" cy="3305175"/>
            <wp:effectExtent l="0" t="0" r="0" b="0"/>
            <wp:docPr id="18" name="Graf 1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E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14E7D0FB" w14:textId="77777777" w:rsidR="001342AD" w:rsidRPr="00FB65B8" w:rsidRDefault="001342AD" w:rsidP="002C1813">
      <w:pPr>
        <w:spacing w:after="0" w:line="240" w:lineRule="auto"/>
        <w:rPr>
          <w:rFonts w:ascii="Arial Narrow" w:hAnsi="Arial Narrow"/>
          <w:sz w:val="24"/>
          <w:szCs w:val="24"/>
          <w:highlight w:val="yellow"/>
        </w:rPr>
      </w:pPr>
    </w:p>
    <w:p w14:paraId="7E933493" w14:textId="1CF86FB0" w:rsidR="00195EBE" w:rsidRDefault="002C1813" w:rsidP="00195EBE">
      <w:pPr>
        <w:spacing w:after="0" w:line="288" w:lineRule="auto"/>
        <w:jc w:val="both"/>
        <w:rPr>
          <w:rFonts w:ascii="Arial Narrow" w:hAnsi="Arial Narrow"/>
          <w:sz w:val="24"/>
          <w:szCs w:val="24"/>
        </w:rPr>
      </w:pPr>
      <w:r w:rsidRPr="00195EBE">
        <w:rPr>
          <w:rFonts w:ascii="Arial Narrow" w:hAnsi="Arial Narrow"/>
          <w:sz w:val="24"/>
          <w:szCs w:val="24"/>
        </w:rPr>
        <w:t xml:space="preserve">Podíl z čistých peněžních příjmů, které domácnosti vynakládaly na bydlení, se během posledních deseti let postupně snižoval, jelikož příjmy domácností rostly v průměru rychleji než jejich náklady na bydlení. Avšak </w:t>
      </w:r>
      <w:r w:rsidR="00E26129">
        <w:rPr>
          <w:rFonts w:ascii="Arial Narrow" w:hAnsi="Arial Narrow"/>
          <w:sz w:val="24"/>
          <w:szCs w:val="24"/>
        </w:rPr>
        <w:t>od roku 2022 již tento trend nepokračoval a nárůst zaznamenaný v daném roce pokračoval i v roce 2023</w:t>
      </w:r>
      <w:r w:rsidRPr="00195EBE">
        <w:rPr>
          <w:rFonts w:ascii="Arial Narrow" w:hAnsi="Arial Narrow"/>
          <w:sz w:val="24"/>
          <w:szCs w:val="24"/>
        </w:rPr>
        <w:t>. Podle výsledků šetření v roce 20</w:t>
      </w:r>
      <w:r w:rsidR="00E26129">
        <w:rPr>
          <w:rFonts w:ascii="Arial Narrow" w:hAnsi="Arial Narrow"/>
          <w:sz w:val="24"/>
          <w:szCs w:val="24"/>
        </w:rPr>
        <w:t>23</w:t>
      </w:r>
      <w:r w:rsidR="00195EBE" w:rsidRPr="00195EBE">
        <w:rPr>
          <w:rFonts w:ascii="Arial Narrow" w:hAnsi="Arial Narrow"/>
          <w:sz w:val="24"/>
          <w:szCs w:val="24"/>
        </w:rPr>
        <w:t xml:space="preserve"> činil podíl </w:t>
      </w:r>
      <w:r w:rsidR="00E26129">
        <w:rPr>
          <w:rFonts w:ascii="Arial Narrow" w:hAnsi="Arial Narrow"/>
          <w:sz w:val="24"/>
          <w:szCs w:val="24"/>
        </w:rPr>
        <w:t xml:space="preserve">výdajů za bydlení na čistém příjmu </w:t>
      </w:r>
      <w:r w:rsidR="00745838">
        <w:rPr>
          <w:rFonts w:ascii="Arial Narrow" w:hAnsi="Arial Narrow"/>
          <w:sz w:val="24"/>
          <w:szCs w:val="24"/>
        </w:rPr>
        <w:t>průměrně 16,7</w:t>
      </w:r>
      <w:r w:rsidR="00C76CD3">
        <w:rPr>
          <w:rFonts w:ascii="Arial Narrow" w:hAnsi="Arial Narrow"/>
          <w:sz w:val="24"/>
          <w:szCs w:val="24"/>
        </w:rPr>
        <w:t> </w:t>
      </w:r>
      <w:r w:rsidRPr="00195EBE">
        <w:rPr>
          <w:rFonts w:ascii="Arial Narrow" w:hAnsi="Arial Narrow"/>
          <w:sz w:val="24"/>
          <w:szCs w:val="24"/>
        </w:rPr>
        <w:t>%, nicméně nelze pominout významné rozdíly mezi</w:t>
      </w:r>
      <w:r w:rsidR="00E26129">
        <w:rPr>
          <w:rFonts w:ascii="Arial Narrow" w:hAnsi="Arial Narrow"/>
          <w:sz w:val="24"/>
          <w:szCs w:val="24"/>
        </w:rPr>
        <w:t xml:space="preserve"> jednotlivými typy domácností. Tyto rozdíly </w:t>
      </w:r>
      <w:r w:rsidRPr="00195EBE">
        <w:rPr>
          <w:rFonts w:ascii="Arial Narrow" w:hAnsi="Arial Narrow"/>
          <w:sz w:val="24"/>
          <w:szCs w:val="24"/>
        </w:rPr>
        <w:t>se odvíjejí zejména od toho, zda žijí ve vlastním anebo pronajatém bytě, a pochopitelně také od počtu členů domácnosti.</w:t>
      </w:r>
      <w:r w:rsidR="00195EBE" w:rsidRPr="00195EBE">
        <w:rPr>
          <w:rFonts w:ascii="Arial Narrow" w:hAnsi="Arial Narrow"/>
          <w:sz w:val="24"/>
          <w:szCs w:val="24"/>
        </w:rPr>
        <w:t xml:space="preserve">    </w:t>
      </w:r>
      <w:r w:rsidR="00596332">
        <w:rPr>
          <w:rFonts w:ascii="Arial Narrow" w:hAnsi="Arial Narrow"/>
          <w:sz w:val="24"/>
          <w:szCs w:val="24"/>
        </w:rPr>
        <w:t xml:space="preserve"> </w:t>
      </w:r>
    </w:p>
    <w:p w14:paraId="3B0659A0" w14:textId="79FEE676" w:rsidR="002C1813" w:rsidRDefault="002C1813" w:rsidP="006F7023">
      <w:pPr>
        <w:spacing w:before="240" w:after="0" w:line="288" w:lineRule="auto"/>
        <w:jc w:val="both"/>
        <w:rPr>
          <w:rFonts w:ascii="Arial Narrow" w:hAnsi="Arial Narrow"/>
          <w:sz w:val="24"/>
          <w:szCs w:val="24"/>
        </w:rPr>
      </w:pPr>
      <w:r w:rsidRPr="00195EBE">
        <w:rPr>
          <w:rFonts w:ascii="Arial Narrow" w:hAnsi="Arial Narrow"/>
          <w:sz w:val="24"/>
          <w:szCs w:val="24"/>
        </w:rPr>
        <w:t xml:space="preserve">U domácností žijících ve vlastním rodinném domě je poměr celkových výdajů za bydlení vůči jejich čistým </w:t>
      </w:r>
      <w:r w:rsidRPr="006A32CE">
        <w:rPr>
          <w:rFonts w:ascii="Arial Narrow" w:hAnsi="Arial Narrow"/>
          <w:sz w:val="24"/>
          <w:szCs w:val="24"/>
        </w:rPr>
        <w:t>pří</w:t>
      </w:r>
      <w:r w:rsidR="00195EBE" w:rsidRPr="006A32CE">
        <w:rPr>
          <w:rFonts w:ascii="Arial Narrow" w:hAnsi="Arial Narrow"/>
          <w:sz w:val="24"/>
          <w:szCs w:val="24"/>
        </w:rPr>
        <w:t>jm</w:t>
      </w:r>
      <w:r w:rsidR="00E26129" w:rsidRPr="006A32CE">
        <w:rPr>
          <w:rFonts w:ascii="Arial Narrow" w:hAnsi="Arial Narrow"/>
          <w:sz w:val="24"/>
          <w:szCs w:val="24"/>
        </w:rPr>
        <w:t>ům nejnižší, a to konkrétně 13,5</w:t>
      </w:r>
      <w:r w:rsidRPr="006A32CE">
        <w:rPr>
          <w:rFonts w:ascii="Arial Narrow" w:hAnsi="Arial Narrow"/>
          <w:sz w:val="24"/>
          <w:szCs w:val="24"/>
        </w:rPr>
        <w:t xml:space="preserve"> %. Naopak</w:t>
      </w:r>
      <w:r w:rsidRPr="00195EBE">
        <w:rPr>
          <w:rFonts w:ascii="Arial Narrow" w:hAnsi="Arial Narrow"/>
          <w:sz w:val="24"/>
          <w:szCs w:val="24"/>
        </w:rPr>
        <w:t xml:space="preserve"> rodiny i jednotlivci, kteří žijí v pronajatých bytech a kteří musejí vydat ze své </w:t>
      </w:r>
      <w:r w:rsidRPr="00C75FA5">
        <w:rPr>
          <w:rFonts w:ascii="Arial Narrow" w:hAnsi="Arial Narrow"/>
          <w:sz w:val="24"/>
          <w:szCs w:val="24"/>
        </w:rPr>
        <w:t xml:space="preserve">kapsy v průměru </w:t>
      </w:r>
      <w:r w:rsidR="00195EBE" w:rsidRPr="00C75FA5">
        <w:rPr>
          <w:rFonts w:ascii="Arial Narrow" w:hAnsi="Arial Narrow"/>
          <w:sz w:val="24"/>
          <w:szCs w:val="24"/>
        </w:rPr>
        <w:t>více než 12</w:t>
      </w:r>
      <w:r w:rsidRPr="00C75FA5">
        <w:rPr>
          <w:rFonts w:ascii="Arial Narrow" w:hAnsi="Arial Narrow"/>
          <w:sz w:val="24"/>
          <w:szCs w:val="24"/>
        </w:rPr>
        <w:t xml:space="preserve"> tis. korun</w:t>
      </w:r>
      <w:r w:rsidRPr="00195EBE">
        <w:rPr>
          <w:rFonts w:ascii="Arial Narrow" w:hAnsi="Arial Narrow"/>
          <w:sz w:val="24"/>
          <w:szCs w:val="24"/>
        </w:rPr>
        <w:t xml:space="preserve"> měsíčně na bydlení, mají tento poměr vzhledem ke svým čistým</w:t>
      </w:r>
      <w:r w:rsidRPr="00195EBE">
        <w:rPr>
          <w:rFonts w:ascii="Arial Narrow" w:hAnsi="Arial Narrow"/>
          <w:spacing w:val="-20"/>
          <w:sz w:val="24"/>
          <w:szCs w:val="24"/>
        </w:rPr>
        <w:t xml:space="preserve"> </w:t>
      </w:r>
      <w:r w:rsidRPr="00195EBE">
        <w:rPr>
          <w:rFonts w:ascii="Arial Narrow" w:hAnsi="Arial Narrow"/>
          <w:sz w:val="24"/>
          <w:szCs w:val="24"/>
        </w:rPr>
        <w:t xml:space="preserve">příjmům </w:t>
      </w:r>
      <w:r w:rsidRPr="00C75FA5">
        <w:rPr>
          <w:rFonts w:ascii="Arial Narrow" w:hAnsi="Arial Narrow"/>
          <w:sz w:val="24"/>
          <w:szCs w:val="24"/>
        </w:rPr>
        <w:t>nejvyšší,</w:t>
      </w:r>
      <w:r w:rsidRPr="00C75FA5">
        <w:rPr>
          <w:rFonts w:ascii="Arial Narrow" w:hAnsi="Arial Narrow"/>
          <w:spacing w:val="-20"/>
          <w:sz w:val="24"/>
          <w:szCs w:val="24"/>
        </w:rPr>
        <w:t xml:space="preserve"> </w:t>
      </w:r>
      <w:r w:rsidR="00E26129" w:rsidRPr="00C75FA5">
        <w:rPr>
          <w:rFonts w:ascii="Arial Narrow" w:hAnsi="Arial Narrow"/>
          <w:sz w:val="24"/>
          <w:szCs w:val="24"/>
        </w:rPr>
        <w:t xml:space="preserve">a </w:t>
      </w:r>
      <w:r w:rsidR="00745838">
        <w:rPr>
          <w:rFonts w:ascii="Arial Narrow" w:hAnsi="Arial Narrow"/>
          <w:sz w:val="24"/>
          <w:szCs w:val="24"/>
        </w:rPr>
        <w:t>to 30,3</w:t>
      </w:r>
      <w:r w:rsidRPr="00C75FA5">
        <w:rPr>
          <w:rFonts w:ascii="Arial Narrow" w:hAnsi="Arial Narrow"/>
          <w:spacing w:val="-20"/>
          <w:sz w:val="24"/>
          <w:szCs w:val="24"/>
        </w:rPr>
        <w:t xml:space="preserve"> </w:t>
      </w:r>
      <w:r w:rsidRPr="00C75FA5">
        <w:rPr>
          <w:rFonts w:ascii="Arial Narrow" w:hAnsi="Arial Narrow"/>
          <w:sz w:val="24"/>
          <w:szCs w:val="24"/>
        </w:rPr>
        <w:t>%. Jejich</w:t>
      </w:r>
      <w:r w:rsidRPr="00195EBE">
        <w:rPr>
          <w:rFonts w:ascii="Arial Narrow" w:hAnsi="Arial Narrow"/>
          <w:sz w:val="24"/>
          <w:szCs w:val="24"/>
        </w:rPr>
        <w:t xml:space="preserve"> průměrné náklady na bydlení by</w:t>
      </w:r>
      <w:r w:rsidR="00195EBE" w:rsidRPr="00195EBE">
        <w:rPr>
          <w:rFonts w:ascii="Arial Narrow" w:hAnsi="Arial Narrow"/>
          <w:sz w:val="24"/>
          <w:szCs w:val="24"/>
        </w:rPr>
        <w:t>ly oproti vlastnickému bydlení téměř</w:t>
      </w:r>
      <w:r w:rsidRPr="00195EBE">
        <w:rPr>
          <w:rFonts w:ascii="Arial Narrow" w:hAnsi="Arial Narrow"/>
          <w:sz w:val="24"/>
          <w:szCs w:val="24"/>
        </w:rPr>
        <w:t xml:space="preserve"> dvojnásobné. Lidé, kteří bydlí u příbuzných či známých, sice platí za bydlení výrazně méně než je</w:t>
      </w:r>
      <w:r w:rsidRPr="00195EBE">
        <w:rPr>
          <w:rFonts w:ascii="Arial Narrow" w:hAnsi="Arial Narrow"/>
          <w:spacing w:val="-20"/>
          <w:sz w:val="24"/>
          <w:szCs w:val="24"/>
        </w:rPr>
        <w:t xml:space="preserve"> </w:t>
      </w:r>
      <w:r w:rsidRPr="00195EBE">
        <w:rPr>
          <w:rFonts w:ascii="Arial Narrow" w:hAnsi="Arial Narrow"/>
          <w:sz w:val="24"/>
          <w:szCs w:val="24"/>
        </w:rPr>
        <w:t>průměr za</w:t>
      </w:r>
      <w:r w:rsidRPr="00195EBE">
        <w:rPr>
          <w:rFonts w:ascii="Arial Narrow" w:hAnsi="Arial Narrow"/>
          <w:spacing w:val="-20"/>
          <w:sz w:val="24"/>
          <w:szCs w:val="24"/>
        </w:rPr>
        <w:t xml:space="preserve"> </w:t>
      </w:r>
      <w:r w:rsidRPr="00195EBE">
        <w:rPr>
          <w:rFonts w:ascii="Arial Narrow" w:hAnsi="Arial Narrow"/>
          <w:sz w:val="24"/>
          <w:szCs w:val="24"/>
        </w:rPr>
        <w:t>ČR,</w:t>
      </w:r>
      <w:r w:rsidRPr="00195EBE">
        <w:rPr>
          <w:rFonts w:ascii="Arial Narrow" w:hAnsi="Arial Narrow"/>
          <w:spacing w:val="-20"/>
          <w:sz w:val="24"/>
          <w:szCs w:val="24"/>
        </w:rPr>
        <w:t xml:space="preserve"> </w:t>
      </w:r>
      <w:r w:rsidRPr="00195EBE">
        <w:rPr>
          <w:rFonts w:ascii="Arial Narrow" w:hAnsi="Arial Narrow"/>
          <w:sz w:val="24"/>
          <w:szCs w:val="24"/>
        </w:rPr>
        <w:t xml:space="preserve">avšak vzhledem k jejich nižším čistým příjmům jde o významnou částku </w:t>
      </w:r>
      <w:r w:rsidR="00195EBE" w:rsidRPr="00195EBE">
        <w:rPr>
          <w:rFonts w:ascii="Arial Narrow" w:hAnsi="Arial Narrow"/>
          <w:sz w:val="24"/>
          <w:szCs w:val="24"/>
        </w:rPr>
        <w:t xml:space="preserve">a </w:t>
      </w:r>
      <w:r w:rsidR="00E26129">
        <w:rPr>
          <w:rFonts w:ascii="Arial Narrow" w:hAnsi="Arial Narrow"/>
          <w:sz w:val="24"/>
          <w:szCs w:val="24"/>
        </w:rPr>
        <w:t xml:space="preserve">zmíněný </w:t>
      </w:r>
      <w:r w:rsidR="00E26129" w:rsidRPr="000A24C5">
        <w:rPr>
          <w:rFonts w:ascii="Arial Narrow" w:hAnsi="Arial Narrow"/>
          <w:sz w:val="24"/>
          <w:szCs w:val="24"/>
        </w:rPr>
        <w:t xml:space="preserve">podíl z příjmu </w:t>
      </w:r>
      <w:r w:rsidR="000C676E">
        <w:rPr>
          <w:rFonts w:ascii="Arial Narrow" w:hAnsi="Arial Narrow"/>
          <w:sz w:val="24"/>
          <w:szCs w:val="24"/>
        </w:rPr>
        <w:t xml:space="preserve">činí </w:t>
      </w:r>
      <w:r w:rsidR="00745838">
        <w:rPr>
          <w:rFonts w:ascii="Arial Narrow" w:hAnsi="Arial Narrow"/>
          <w:sz w:val="24"/>
          <w:szCs w:val="24"/>
        </w:rPr>
        <w:t>17,6</w:t>
      </w:r>
      <w:r w:rsidRPr="000A24C5">
        <w:rPr>
          <w:rFonts w:ascii="Arial Narrow" w:hAnsi="Arial Narrow"/>
          <w:sz w:val="24"/>
          <w:szCs w:val="24"/>
        </w:rPr>
        <w:t xml:space="preserve"> %.</w:t>
      </w:r>
    </w:p>
    <w:p w14:paraId="65A88DE1" w14:textId="3817D484" w:rsidR="00C75FA5" w:rsidRDefault="00C75FA5" w:rsidP="00195EBE">
      <w:pPr>
        <w:spacing w:after="0" w:line="288" w:lineRule="auto"/>
        <w:jc w:val="both"/>
        <w:rPr>
          <w:rFonts w:ascii="Arial Narrow" w:hAnsi="Arial Narrow"/>
          <w:sz w:val="24"/>
          <w:szCs w:val="24"/>
        </w:rPr>
      </w:pPr>
    </w:p>
    <w:p w14:paraId="0540A3A0" w14:textId="77777777" w:rsidR="00C75FA5" w:rsidRPr="00FB65B8" w:rsidRDefault="00C75FA5" w:rsidP="00195EBE">
      <w:pPr>
        <w:spacing w:after="0" w:line="288" w:lineRule="auto"/>
        <w:jc w:val="both"/>
        <w:rPr>
          <w:rFonts w:ascii="Arial Narrow" w:hAnsi="Arial Narrow"/>
          <w:sz w:val="24"/>
          <w:szCs w:val="24"/>
          <w:highlight w:val="yellow"/>
        </w:rPr>
      </w:pPr>
    </w:p>
    <w:p w14:paraId="2D1D9343" w14:textId="317B0187" w:rsidR="00C75FA5" w:rsidRPr="00745838" w:rsidRDefault="002C1813" w:rsidP="00745838">
      <w:pPr>
        <w:pStyle w:val="3GRAF"/>
        <w:spacing w:before="240" w:after="160"/>
        <w:jc w:val="both"/>
        <w:rPr>
          <w:color w:val="FF0000"/>
          <w:lang w:val="cs-CZ"/>
        </w:rPr>
      </w:pPr>
      <w:r w:rsidRPr="00C75FA5">
        <w:lastRenderedPageBreak/>
        <w:t xml:space="preserve">Graf </w:t>
      </w:r>
      <w:r w:rsidR="006B7B9F" w:rsidRPr="00C75FA5">
        <w:rPr>
          <w:lang w:val="cs-CZ"/>
        </w:rPr>
        <w:t>15</w:t>
      </w:r>
      <w:r w:rsidRPr="00C75FA5">
        <w:t xml:space="preserve">: </w:t>
      </w:r>
      <w:r w:rsidRPr="00C75FA5">
        <w:rPr>
          <w:lang w:val="cs-CZ"/>
        </w:rPr>
        <w:t>Podíl výdajů za bydlení na čistém příjmu domácnosti podle právní formy (2023, v %)</w:t>
      </w:r>
      <w:r w:rsidRPr="002C1813">
        <w:rPr>
          <w:lang w:val="cs-CZ"/>
        </w:rPr>
        <w:t xml:space="preserve"> </w:t>
      </w:r>
    </w:p>
    <w:p w14:paraId="293C9C50" w14:textId="1B3B953B" w:rsidR="00745838" w:rsidRPr="00FB65B8" w:rsidRDefault="00745838" w:rsidP="00D026C0">
      <w:pPr>
        <w:spacing w:before="240" w:after="120" w:line="288" w:lineRule="auto"/>
        <w:jc w:val="center"/>
        <w:rPr>
          <w:rFonts w:ascii="Arial Narrow" w:hAnsi="Arial Narrow"/>
          <w:sz w:val="24"/>
          <w:szCs w:val="24"/>
          <w:highlight w:val="yellow"/>
        </w:rPr>
      </w:pPr>
      <w:r w:rsidRPr="00745838">
        <w:rPr>
          <w:rFonts w:ascii="Arial Narrow" w:hAnsi="Arial Narrow"/>
          <w:noProof/>
          <w:sz w:val="18"/>
          <w:szCs w:val="18"/>
          <w:lang w:eastAsia="cs-CZ"/>
        </w:rPr>
        <w:drawing>
          <wp:inline distT="0" distB="0" distL="0" distR="0" wp14:anchorId="57D8BB6B" wp14:editId="2FE64303">
            <wp:extent cx="5759450" cy="3475990"/>
            <wp:effectExtent l="0" t="0" r="0" b="0"/>
            <wp:docPr id="33" name="Graf 3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5C285273" w14:textId="2777885C" w:rsidR="002C1813" w:rsidRPr="00FB65B8" w:rsidRDefault="002C1813" w:rsidP="002C1813">
      <w:pPr>
        <w:spacing w:after="120" w:line="288" w:lineRule="auto"/>
        <w:jc w:val="both"/>
        <w:rPr>
          <w:rFonts w:ascii="Arial Narrow" w:hAnsi="Arial Narrow"/>
          <w:sz w:val="24"/>
          <w:szCs w:val="24"/>
          <w:highlight w:val="yellow"/>
        </w:rPr>
      </w:pPr>
      <w:r w:rsidRPr="00195EBE">
        <w:rPr>
          <w:rFonts w:ascii="Arial Narrow" w:hAnsi="Arial Narrow"/>
          <w:sz w:val="24"/>
          <w:szCs w:val="24"/>
        </w:rPr>
        <w:t>S růstem nákladů na bydlení došlo i ke zhoršení vnímání těchto nákladů coby zátěže rodinné</w:t>
      </w:r>
      <w:r w:rsidR="00195EBE" w:rsidRPr="00195EBE">
        <w:rPr>
          <w:rFonts w:ascii="Arial Narrow" w:hAnsi="Arial Narrow"/>
          <w:sz w:val="24"/>
          <w:szCs w:val="24"/>
        </w:rPr>
        <w:t>ho rozpočtu. Zatímco v roce 2022</w:t>
      </w:r>
      <w:r w:rsidRPr="00195EBE">
        <w:rPr>
          <w:rFonts w:ascii="Arial Narrow" w:hAnsi="Arial Narrow"/>
          <w:sz w:val="24"/>
          <w:szCs w:val="24"/>
        </w:rPr>
        <w:t xml:space="preserve"> vnímalo náklady</w:t>
      </w:r>
      <w:r w:rsidR="00195EBE" w:rsidRPr="00195EBE">
        <w:rPr>
          <w:rFonts w:ascii="Arial Narrow" w:hAnsi="Arial Narrow"/>
          <w:sz w:val="24"/>
          <w:szCs w:val="24"/>
        </w:rPr>
        <w:t xml:space="preserve"> na bydlení jako velkou zátěž 17,8 % domácností, v roce 2023</w:t>
      </w:r>
      <w:r w:rsidRPr="00195EBE">
        <w:rPr>
          <w:rFonts w:ascii="Arial Narrow" w:hAnsi="Arial Narrow"/>
          <w:sz w:val="24"/>
          <w:szCs w:val="24"/>
        </w:rPr>
        <w:t xml:space="preserve"> podíl</w:t>
      </w:r>
      <w:r w:rsidR="00195EBE" w:rsidRPr="00195EBE">
        <w:rPr>
          <w:rFonts w:ascii="Arial Narrow" w:hAnsi="Arial Narrow"/>
          <w:sz w:val="24"/>
          <w:szCs w:val="24"/>
        </w:rPr>
        <w:t xml:space="preserve"> těchto domácností vzrostl na 21,2</w:t>
      </w:r>
      <w:r w:rsidRPr="00195EBE">
        <w:rPr>
          <w:rFonts w:ascii="Arial Narrow" w:hAnsi="Arial Narrow"/>
          <w:sz w:val="24"/>
          <w:szCs w:val="24"/>
        </w:rPr>
        <w:t xml:space="preserve"> %. </w:t>
      </w:r>
      <w:r w:rsidRPr="00093BFA">
        <w:rPr>
          <w:rFonts w:ascii="Arial Narrow" w:hAnsi="Arial Narrow"/>
          <w:sz w:val="24"/>
          <w:szCs w:val="24"/>
        </w:rPr>
        <w:t>Nejvíce pociťovaly velkou zátěž náklady na bydlení domácnosti</w:t>
      </w:r>
      <w:r w:rsidR="00093BFA" w:rsidRPr="00093BFA">
        <w:rPr>
          <w:rFonts w:ascii="Arial Narrow" w:hAnsi="Arial Narrow"/>
          <w:sz w:val="24"/>
          <w:szCs w:val="24"/>
        </w:rPr>
        <w:t xml:space="preserve"> v nájemním bydlení, necelých 35</w:t>
      </w:r>
      <w:r w:rsidRPr="00093BFA">
        <w:rPr>
          <w:rFonts w:ascii="Arial Narrow" w:hAnsi="Arial Narrow"/>
          <w:sz w:val="24"/>
          <w:szCs w:val="24"/>
        </w:rPr>
        <w:t xml:space="preserve"> % z nich. </w:t>
      </w:r>
    </w:p>
    <w:p w14:paraId="21E87002" w14:textId="0BB498CE" w:rsidR="00010E79" w:rsidRDefault="002C1813" w:rsidP="007C3A71">
      <w:pPr>
        <w:spacing w:after="0" w:line="288" w:lineRule="auto"/>
        <w:jc w:val="both"/>
        <w:rPr>
          <w:rFonts w:ascii="Arial Narrow" w:hAnsi="Arial Narrow"/>
          <w:sz w:val="24"/>
          <w:szCs w:val="24"/>
        </w:rPr>
      </w:pPr>
      <w:r w:rsidRPr="005869F8">
        <w:rPr>
          <w:rFonts w:ascii="Arial Narrow" w:hAnsi="Arial Narrow"/>
          <w:sz w:val="24"/>
          <w:szCs w:val="24"/>
        </w:rPr>
        <w:t xml:space="preserve">V České republice </w:t>
      </w:r>
      <w:r w:rsidRPr="00A364FC">
        <w:rPr>
          <w:rFonts w:ascii="Arial Narrow" w:hAnsi="Arial Narrow"/>
          <w:sz w:val="24"/>
          <w:szCs w:val="24"/>
        </w:rPr>
        <w:t xml:space="preserve">žije </w:t>
      </w:r>
      <w:r w:rsidR="00010E79" w:rsidRPr="00A364FC">
        <w:rPr>
          <w:rFonts w:ascii="Arial Narrow" w:hAnsi="Arial Narrow"/>
          <w:sz w:val="24"/>
          <w:szCs w:val="24"/>
        </w:rPr>
        <w:t>již více než půl milionu</w:t>
      </w:r>
      <w:r w:rsidR="00C61F50">
        <w:rPr>
          <w:rFonts w:ascii="Arial Narrow" w:hAnsi="Arial Narrow"/>
          <w:sz w:val="24"/>
          <w:szCs w:val="24"/>
        </w:rPr>
        <w:t xml:space="preserve"> (514,5 tisíc)</w:t>
      </w:r>
      <w:r w:rsidR="00010E79" w:rsidRPr="00A364FC">
        <w:rPr>
          <w:rFonts w:ascii="Arial Narrow" w:hAnsi="Arial Narrow"/>
          <w:sz w:val="24"/>
          <w:szCs w:val="24"/>
        </w:rPr>
        <w:t xml:space="preserve"> domácností, které v roce 2023 platily za bydlení včetně energií více než 40 % ze svých čistých příjmů. V takovém případě hovoříme o tzv. vysoké zátěži bydlením. </w:t>
      </w:r>
      <w:r w:rsidR="00A364FC" w:rsidRPr="00A364FC">
        <w:rPr>
          <w:rFonts w:ascii="Arial Narrow" w:hAnsi="Arial Narrow"/>
          <w:sz w:val="24"/>
          <w:szCs w:val="24"/>
        </w:rPr>
        <w:t>Necelé dvě třetiny z nich, tj. zhruba 310 tis. domácností, bydlí v pronajatém bytě. Je mezi nimi každý pátý senior starší 65 let, který žije sám.</w:t>
      </w:r>
      <w:r w:rsidR="005B3DD8">
        <w:rPr>
          <w:rFonts w:ascii="Arial Narrow" w:hAnsi="Arial Narrow"/>
          <w:sz w:val="24"/>
          <w:szCs w:val="24"/>
        </w:rPr>
        <w:t xml:space="preserve"> </w:t>
      </w:r>
      <w:r w:rsidR="00344082">
        <w:rPr>
          <w:rFonts w:ascii="Arial Narrow" w:hAnsi="Arial Narrow"/>
          <w:sz w:val="24"/>
          <w:szCs w:val="24"/>
        </w:rPr>
        <w:t>Podíl domácností s vysokou</w:t>
      </w:r>
      <w:r w:rsidR="005B3DD8">
        <w:rPr>
          <w:rFonts w:ascii="Arial Narrow" w:hAnsi="Arial Narrow"/>
          <w:sz w:val="24"/>
          <w:szCs w:val="24"/>
        </w:rPr>
        <w:t xml:space="preserve"> zátěž</w:t>
      </w:r>
      <w:r w:rsidR="00344082">
        <w:rPr>
          <w:rFonts w:ascii="Arial Narrow" w:hAnsi="Arial Narrow"/>
          <w:sz w:val="24"/>
          <w:szCs w:val="24"/>
        </w:rPr>
        <w:t>í</w:t>
      </w:r>
      <w:r w:rsidR="005B3DD8">
        <w:rPr>
          <w:rFonts w:ascii="Arial Narrow" w:hAnsi="Arial Narrow"/>
          <w:sz w:val="24"/>
          <w:szCs w:val="24"/>
        </w:rPr>
        <w:t xml:space="preserve"> bydlením v posledních dvou letech stoupá, v roce </w:t>
      </w:r>
      <w:r w:rsidR="00344082">
        <w:rPr>
          <w:rFonts w:ascii="Arial Narrow" w:hAnsi="Arial Narrow"/>
          <w:sz w:val="24"/>
          <w:szCs w:val="24"/>
        </w:rPr>
        <w:t xml:space="preserve">2023 vzrostl </w:t>
      </w:r>
      <w:r w:rsidR="005B3DD8">
        <w:rPr>
          <w:rFonts w:ascii="Arial Narrow" w:hAnsi="Arial Narrow"/>
          <w:sz w:val="24"/>
          <w:szCs w:val="24"/>
        </w:rPr>
        <w:t xml:space="preserve">meziročně o 2,3 p.b.  </w:t>
      </w:r>
    </w:p>
    <w:p w14:paraId="0E1A998D" w14:textId="6790581E" w:rsidR="009F43C8" w:rsidRDefault="009F43C8" w:rsidP="009F43C8">
      <w:pPr>
        <w:pStyle w:val="3GRAF"/>
        <w:jc w:val="both"/>
        <w:rPr>
          <w:lang w:val="cs-CZ"/>
        </w:rPr>
      </w:pPr>
      <w:r>
        <w:br/>
      </w:r>
      <w:r w:rsidRPr="006B7B9F">
        <w:t xml:space="preserve">Graf </w:t>
      </w:r>
      <w:r w:rsidRPr="006B7B9F">
        <w:rPr>
          <w:noProof/>
          <w:lang w:val="cs-CZ"/>
        </w:rPr>
        <w:t>16</w:t>
      </w:r>
      <w:r w:rsidRPr="006B7B9F">
        <w:t>:</w:t>
      </w:r>
      <w:r w:rsidRPr="006B7B9F">
        <w:rPr>
          <w:lang w:val="cs-CZ"/>
        </w:rPr>
        <w:t xml:space="preserve"> </w:t>
      </w:r>
      <w:r w:rsidR="000A1D3C">
        <w:rPr>
          <w:lang w:val="cs-CZ"/>
        </w:rPr>
        <w:t>Podíl domácností s výdaji za bydlení vyššími než 40 % z čistých příjmů</w:t>
      </w:r>
      <w:r w:rsidRPr="00106439">
        <w:rPr>
          <w:lang w:val="cs-CZ"/>
        </w:rPr>
        <w:t xml:space="preserve"> (</w:t>
      </w:r>
      <w:r w:rsidR="000A1D3C">
        <w:rPr>
          <w:lang w:val="cs-CZ"/>
        </w:rPr>
        <w:t>2019</w:t>
      </w:r>
      <w:r w:rsidR="000A1D3C">
        <w:rPr>
          <w:sz w:val="24"/>
          <w:szCs w:val="24"/>
        </w:rPr>
        <w:t>–</w:t>
      </w:r>
      <w:r w:rsidRPr="00106439">
        <w:rPr>
          <w:lang w:val="cs-CZ"/>
        </w:rPr>
        <w:t>2023, v %)</w:t>
      </w:r>
    </w:p>
    <w:p w14:paraId="127B59F2" w14:textId="77777777" w:rsidR="00C61F50" w:rsidRDefault="00C61F50" w:rsidP="007C3A71">
      <w:pPr>
        <w:spacing w:after="0" w:line="288" w:lineRule="auto"/>
        <w:jc w:val="both"/>
        <w:rPr>
          <w:rFonts w:ascii="Arial Narrow" w:hAnsi="Arial Narrow"/>
          <w:sz w:val="24"/>
          <w:szCs w:val="24"/>
        </w:rPr>
      </w:pPr>
    </w:p>
    <w:p w14:paraId="3354275A" w14:textId="5FA6DEC5" w:rsidR="006F7023" w:rsidRDefault="00C61F50" w:rsidP="00FF5FCB">
      <w:pPr>
        <w:spacing w:after="120" w:line="240" w:lineRule="auto"/>
        <w:rPr>
          <w:rFonts w:ascii="Arial Narrow" w:hAnsi="Arial Narrow"/>
          <w:b/>
          <w:sz w:val="28"/>
          <w:szCs w:val="32"/>
        </w:rPr>
      </w:pPr>
      <w:r>
        <w:rPr>
          <w:noProof/>
          <w:lang w:eastAsia="cs-CZ"/>
        </w:rPr>
        <w:drawing>
          <wp:inline distT="0" distB="0" distL="0" distR="0" wp14:anchorId="1FBD1837" wp14:editId="74E78822">
            <wp:extent cx="5743575" cy="2590800"/>
            <wp:effectExtent l="0" t="0" r="0" b="0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51344637" w14:textId="7FE0FD76" w:rsidR="009A42BD" w:rsidRDefault="009A42BD" w:rsidP="00FF5FCB">
      <w:pPr>
        <w:spacing w:after="120" w:line="240" w:lineRule="auto"/>
        <w:rPr>
          <w:rFonts w:ascii="Arial Narrow" w:hAnsi="Arial Narrow"/>
          <w:b/>
          <w:sz w:val="28"/>
          <w:szCs w:val="32"/>
        </w:rPr>
      </w:pPr>
    </w:p>
    <w:p w14:paraId="7F131420" w14:textId="39C4E28E" w:rsidR="00746688" w:rsidRDefault="00FF5FCB" w:rsidP="00FF5FCB">
      <w:pPr>
        <w:spacing w:after="120" w:line="240" w:lineRule="auto"/>
        <w:rPr>
          <w:rFonts w:ascii="Arial Narrow" w:hAnsi="Arial Narrow"/>
          <w:b/>
          <w:sz w:val="28"/>
          <w:szCs w:val="32"/>
        </w:rPr>
      </w:pPr>
      <w:r>
        <w:rPr>
          <w:rFonts w:ascii="Arial Narrow" w:hAnsi="Arial Narrow"/>
          <w:b/>
          <w:sz w:val="28"/>
          <w:szCs w:val="32"/>
        </w:rPr>
        <w:lastRenderedPageBreak/>
        <w:t>MODUL</w:t>
      </w:r>
    </w:p>
    <w:p w14:paraId="3BB6A4EE" w14:textId="05265489" w:rsidR="006F7023" w:rsidRDefault="006F7023" w:rsidP="006F7023">
      <w:pPr>
        <w:spacing w:before="240" w:after="120" w:line="288" w:lineRule="auto"/>
        <w:jc w:val="both"/>
        <w:rPr>
          <w:rFonts w:ascii="Arial Narrow" w:hAnsi="Arial Narrow"/>
          <w:sz w:val="24"/>
          <w:szCs w:val="24"/>
        </w:rPr>
      </w:pPr>
      <w:r w:rsidRPr="00827663">
        <w:rPr>
          <w:rFonts w:ascii="Arial Narrow" w:hAnsi="Arial Narrow"/>
          <w:sz w:val="24"/>
          <w:szCs w:val="24"/>
        </w:rPr>
        <w:t xml:space="preserve">Šetření Životní podmínky zahrnuje každoročně speciální okruh otázek zvaný modul, který byl v loňském roce věnován </w:t>
      </w:r>
      <w:r>
        <w:rPr>
          <w:rFonts w:ascii="Arial Narrow" w:hAnsi="Arial Narrow"/>
          <w:sz w:val="24"/>
          <w:szCs w:val="24"/>
        </w:rPr>
        <w:t>několika významným tématům. Prvním z nich byla kvalita bydlení. Druhý tematický okruh tvořilo mezigenerační srovnání sociálních a materiálních podmínek</w:t>
      </w:r>
      <w:r w:rsidRPr="003E7897">
        <w:rPr>
          <w:rFonts w:ascii="Arial Narrow" w:hAnsi="Arial Narrow"/>
          <w:sz w:val="24"/>
          <w:szCs w:val="24"/>
        </w:rPr>
        <w:t>.</w:t>
      </w:r>
    </w:p>
    <w:p w14:paraId="61AD93D4" w14:textId="61268E21" w:rsidR="00746688" w:rsidRDefault="00FF5FCB" w:rsidP="00FF5FCB">
      <w:pPr>
        <w:spacing w:after="120" w:line="240" w:lineRule="auto"/>
        <w:rPr>
          <w:rFonts w:ascii="Arial Narrow" w:hAnsi="Arial Narrow"/>
          <w:b/>
          <w:sz w:val="28"/>
          <w:szCs w:val="32"/>
        </w:rPr>
      </w:pPr>
      <w:r>
        <w:rPr>
          <w:rFonts w:ascii="Arial Narrow" w:hAnsi="Arial Narrow"/>
          <w:b/>
          <w:sz w:val="28"/>
          <w:szCs w:val="32"/>
        </w:rPr>
        <w:t>Kvalita bydlení</w:t>
      </w:r>
    </w:p>
    <w:p w14:paraId="284A68F9" w14:textId="38ACD239" w:rsidR="00FF5FCB" w:rsidRPr="00FF5FCB" w:rsidRDefault="00FF5FCB" w:rsidP="00FF5FCB">
      <w:pPr>
        <w:spacing w:before="240" w:after="0" w:line="288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Součástí letošního šetření bylo také hodnocení celkové spokojenosti respondentů s bydlením. Ukázalo se, že devět z deseti českých domácností je s kvalitou svého bydlení </w:t>
      </w:r>
      <w:r w:rsidRPr="00272882">
        <w:rPr>
          <w:rFonts w:ascii="Arial Narrow" w:hAnsi="Arial Narrow"/>
          <w:sz w:val="24"/>
          <w:szCs w:val="24"/>
        </w:rPr>
        <w:t>spokojen</w:t>
      </w:r>
      <w:r>
        <w:rPr>
          <w:rFonts w:ascii="Arial Narrow" w:hAnsi="Arial Narrow"/>
          <w:sz w:val="24"/>
          <w:szCs w:val="24"/>
        </w:rPr>
        <w:t xml:space="preserve">o nebo dokonce </w:t>
      </w:r>
      <w:r w:rsidRPr="00272882">
        <w:rPr>
          <w:rFonts w:ascii="Arial Narrow" w:hAnsi="Arial Narrow"/>
          <w:sz w:val="24"/>
          <w:szCs w:val="24"/>
        </w:rPr>
        <w:t>velmi spokojen</w:t>
      </w:r>
      <w:r>
        <w:rPr>
          <w:rFonts w:ascii="Arial Narrow" w:hAnsi="Arial Narrow"/>
          <w:sz w:val="24"/>
          <w:szCs w:val="24"/>
        </w:rPr>
        <w:t>o, dohromady 92,2 %. Pouze 7,8 % domácností bylo nespokojených či velmi nespokojených.</w:t>
      </w:r>
      <w:r w:rsidRPr="00272882">
        <w:rPr>
          <w:rFonts w:ascii="Arial Narrow" w:hAnsi="Arial Narrow"/>
          <w:sz w:val="24"/>
          <w:szCs w:val="24"/>
        </w:rPr>
        <w:t xml:space="preserve"> </w:t>
      </w:r>
    </w:p>
    <w:p w14:paraId="72ACA237" w14:textId="0353F06E" w:rsidR="00AC017F" w:rsidRDefault="00AC017F" w:rsidP="00AC017F">
      <w:pPr>
        <w:pStyle w:val="3GRAF"/>
        <w:jc w:val="both"/>
        <w:rPr>
          <w:lang w:val="cs-CZ"/>
        </w:rPr>
      </w:pPr>
      <w:r w:rsidRPr="006B7B9F">
        <w:t xml:space="preserve">Graf </w:t>
      </w:r>
      <w:r w:rsidR="00461CA1">
        <w:rPr>
          <w:noProof/>
          <w:lang w:val="cs-CZ"/>
        </w:rPr>
        <w:t>17</w:t>
      </w:r>
      <w:r w:rsidRPr="006B7B9F">
        <w:t>:</w:t>
      </w:r>
      <w:r w:rsidRPr="006B7B9F">
        <w:rPr>
          <w:lang w:val="cs-CZ"/>
        </w:rPr>
        <w:t xml:space="preserve"> Spokojenost</w:t>
      </w:r>
      <w:r>
        <w:rPr>
          <w:lang w:val="cs-CZ"/>
        </w:rPr>
        <w:t xml:space="preserve"> s bydlením</w:t>
      </w:r>
      <w:r w:rsidRPr="00106439">
        <w:rPr>
          <w:lang w:val="cs-CZ"/>
        </w:rPr>
        <w:t xml:space="preserve"> (2023, v %)</w:t>
      </w:r>
    </w:p>
    <w:p w14:paraId="63D813C3" w14:textId="19FC1C2B" w:rsidR="00AC017F" w:rsidRDefault="00AC017F" w:rsidP="000C676E">
      <w:pPr>
        <w:spacing w:after="120" w:line="288" w:lineRule="auto"/>
        <w:rPr>
          <w:rFonts w:ascii="Arial Narrow" w:hAnsi="Arial Narrow"/>
          <w:b/>
          <w:color w:val="FF0000"/>
          <w:sz w:val="24"/>
          <w:szCs w:val="24"/>
        </w:rPr>
      </w:pPr>
    </w:p>
    <w:p w14:paraId="1A87B981" w14:textId="155EE538" w:rsidR="000C676E" w:rsidRDefault="000C676E" w:rsidP="00AC017F">
      <w:pPr>
        <w:spacing w:after="120" w:line="288" w:lineRule="auto"/>
        <w:jc w:val="center"/>
        <w:rPr>
          <w:rFonts w:ascii="Arial Narrow" w:hAnsi="Arial Narrow"/>
          <w:b/>
          <w:color w:val="FF0000"/>
          <w:sz w:val="24"/>
          <w:szCs w:val="24"/>
        </w:rPr>
      </w:pPr>
      <w:r w:rsidRPr="000C676E">
        <w:rPr>
          <w:rFonts w:ascii="Arial Narrow" w:hAnsi="Arial Narrow"/>
          <w:b/>
          <w:noProof/>
          <w:color w:val="FF0000"/>
          <w:sz w:val="24"/>
          <w:szCs w:val="24"/>
          <w:lang w:eastAsia="cs-CZ"/>
        </w:rPr>
        <w:drawing>
          <wp:inline distT="0" distB="0" distL="0" distR="0" wp14:anchorId="748C557B" wp14:editId="67282D70">
            <wp:extent cx="4981575" cy="2181225"/>
            <wp:effectExtent l="0" t="0" r="0" b="0"/>
            <wp:docPr id="30" name="Graf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14:paraId="1980AB13" w14:textId="107655DC" w:rsidR="00195EBE" w:rsidRDefault="007C3A71" w:rsidP="006A1643">
      <w:pPr>
        <w:spacing w:after="0" w:line="288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 přes vysoký podíl </w:t>
      </w:r>
      <w:r w:rsidR="006A1643">
        <w:rPr>
          <w:rFonts w:ascii="Arial Narrow" w:hAnsi="Arial Narrow"/>
          <w:sz w:val="24"/>
          <w:szCs w:val="24"/>
        </w:rPr>
        <w:t xml:space="preserve">pozitivního vnímání </w:t>
      </w:r>
      <w:r>
        <w:rPr>
          <w:rFonts w:ascii="Arial Narrow" w:hAnsi="Arial Narrow"/>
          <w:sz w:val="24"/>
          <w:szCs w:val="24"/>
        </w:rPr>
        <w:t>spokojenosti se domácnosti moh</w:t>
      </w:r>
      <w:r w:rsidR="006A1643">
        <w:rPr>
          <w:rFonts w:ascii="Arial Narrow" w:hAnsi="Arial Narrow"/>
          <w:sz w:val="24"/>
          <w:szCs w:val="24"/>
        </w:rPr>
        <w:t xml:space="preserve">ou potýkat s některými problémy </w:t>
      </w:r>
      <w:r>
        <w:rPr>
          <w:rFonts w:ascii="Arial Narrow" w:hAnsi="Arial Narrow"/>
          <w:sz w:val="24"/>
          <w:szCs w:val="24"/>
        </w:rPr>
        <w:t>spojenými s bydlením. Nejčastějším problémem je hluk od sousedů nebo z ulice, na který si stěžovalo 15,5 % respondentů, dále kouř, zápach</w:t>
      </w:r>
      <w:r w:rsidR="00193BFE">
        <w:rPr>
          <w:rFonts w:ascii="Arial Narrow" w:hAnsi="Arial Narrow"/>
          <w:sz w:val="24"/>
          <w:szCs w:val="24"/>
        </w:rPr>
        <w:t>, zne</w:t>
      </w:r>
      <w:r>
        <w:rPr>
          <w:rFonts w:ascii="Arial Narrow" w:hAnsi="Arial Narrow"/>
          <w:sz w:val="24"/>
          <w:szCs w:val="24"/>
        </w:rPr>
        <w:t>čiš</w:t>
      </w:r>
      <w:r w:rsidR="00193BFE">
        <w:rPr>
          <w:rFonts w:ascii="Arial Narrow" w:hAnsi="Arial Narrow"/>
          <w:sz w:val="24"/>
          <w:szCs w:val="24"/>
        </w:rPr>
        <w:t xml:space="preserve">tění nebo jiné problémy se životním prostředím </w:t>
      </w:r>
      <w:r>
        <w:rPr>
          <w:rFonts w:ascii="Arial Narrow" w:hAnsi="Arial Narrow"/>
          <w:sz w:val="24"/>
          <w:szCs w:val="24"/>
        </w:rPr>
        <w:t>v</w:t>
      </w:r>
      <w:r w:rsidR="00193BFE">
        <w:rPr>
          <w:rFonts w:ascii="Arial Narrow" w:hAnsi="Arial Narrow"/>
          <w:sz w:val="24"/>
          <w:szCs w:val="24"/>
        </w:rPr>
        <w:t> </w:t>
      </w:r>
      <w:r>
        <w:rPr>
          <w:rFonts w:ascii="Arial Narrow" w:hAnsi="Arial Narrow"/>
          <w:sz w:val="24"/>
          <w:szCs w:val="24"/>
        </w:rPr>
        <w:t>okolí</w:t>
      </w:r>
      <w:r w:rsidR="00422C9C">
        <w:rPr>
          <w:rFonts w:ascii="Arial Narrow" w:hAnsi="Arial Narrow"/>
          <w:sz w:val="24"/>
          <w:szCs w:val="24"/>
        </w:rPr>
        <w:t>, které</w:t>
      </w:r>
      <w:r w:rsidR="00193BFE">
        <w:rPr>
          <w:rFonts w:ascii="Arial Narrow" w:hAnsi="Arial Narrow"/>
          <w:sz w:val="24"/>
          <w:szCs w:val="24"/>
        </w:rPr>
        <w:t xml:space="preserve"> trápí </w:t>
      </w:r>
      <w:r>
        <w:rPr>
          <w:rFonts w:ascii="Arial Narrow" w:hAnsi="Arial Narrow"/>
          <w:sz w:val="24"/>
          <w:szCs w:val="24"/>
        </w:rPr>
        <w:t>7,9</w:t>
      </w:r>
      <w:r w:rsidR="00193BFE">
        <w:rPr>
          <w:rFonts w:ascii="Arial Narrow" w:hAnsi="Arial Narrow"/>
          <w:sz w:val="24"/>
          <w:szCs w:val="24"/>
        </w:rPr>
        <w:t> </w:t>
      </w:r>
      <w:r>
        <w:rPr>
          <w:rFonts w:ascii="Arial Narrow" w:hAnsi="Arial Narrow"/>
          <w:sz w:val="24"/>
          <w:szCs w:val="24"/>
        </w:rPr>
        <w:t>%</w:t>
      </w:r>
      <w:r w:rsidR="00193BFE">
        <w:rPr>
          <w:rFonts w:ascii="Arial Narrow" w:hAnsi="Arial Narrow"/>
          <w:sz w:val="24"/>
          <w:szCs w:val="24"/>
        </w:rPr>
        <w:t xml:space="preserve"> domácností. Dalším neduhem je </w:t>
      </w:r>
      <w:r>
        <w:rPr>
          <w:rFonts w:ascii="Arial Narrow" w:hAnsi="Arial Narrow"/>
          <w:sz w:val="24"/>
          <w:szCs w:val="24"/>
        </w:rPr>
        <w:t xml:space="preserve">zatékání </w:t>
      </w:r>
      <w:r w:rsidR="00193BFE">
        <w:rPr>
          <w:rFonts w:ascii="Arial Narrow" w:hAnsi="Arial Narrow"/>
          <w:sz w:val="24"/>
          <w:szCs w:val="24"/>
        </w:rPr>
        <w:t xml:space="preserve">střechou, </w:t>
      </w:r>
      <w:r>
        <w:rPr>
          <w:rFonts w:ascii="Arial Narrow" w:hAnsi="Arial Narrow"/>
          <w:sz w:val="24"/>
          <w:szCs w:val="24"/>
        </w:rPr>
        <w:t>vlhk</w:t>
      </w:r>
      <w:r w:rsidR="00193BFE">
        <w:rPr>
          <w:rFonts w:ascii="Arial Narrow" w:hAnsi="Arial Narrow"/>
          <w:sz w:val="24"/>
          <w:szCs w:val="24"/>
        </w:rPr>
        <w:t xml:space="preserve">é zdi </w:t>
      </w:r>
      <w:r w:rsidR="00FD3AC9">
        <w:rPr>
          <w:rFonts w:ascii="Arial Narrow" w:hAnsi="Arial Narrow"/>
          <w:sz w:val="24"/>
          <w:szCs w:val="24"/>
        </w:rPr>
        <w:t>v bytě nebo shnilé rámy oken, což zmínilo 7,6 % respondentů. Okrajově si lidé stěžovali také na vandalismus nebo kriminalitu v okolí (</w:t>
      </w:r>
      <w:r w:rsidR="00EE6D1C">
        <w:rPr>
          <w:rFonts w:ascii="Arial Narrow" w:hAnsi="Arial Narrow"/>
          <w:sz w:val="24"/>
          <w:szCs w:val="24"/>
        </w:rPr>
        <w:t>6,6 %</w:t>
      </w:r>
      <w:r w:rsidR="00FD3AC9">
        <w:rPr>
          <w:rFonts w:ascii="Arial Narrow" w:hAnsi="Arial Narrow"/>
          <w:sz w:val="24"/>
          <w:szCs w:val="24"/>
        </w:rPr>
        <w:t>)</w:t>
      </w:r>
      <w:r w:rsidR="00EE6D1C">
        <w:rPr>
          <w:rFonts w:ascii="Arial Narrow" w:hAnsi="Arial Narrow"/>
          <w:sz w:val="24"/>
          <w:szCs w:val="24"/>
        </w:rPr>
        <w:t xml:space="preserve">, popř. na to, že mají </w:t>
      </w:r>
      <w:r w:rsidR="00FD3AC9" w:rsidRPr="00FD3AC9">
        <w:rPr>
          <w:rFonts w:ascii="Arial Narrow" w:hAnsi="Arial Narrow"/>
          <w:sz w:val="24"/>
          <w:szCs w:val="24"/>
        </w:rPr>
        <w:t>příliš tmavý byt</w:t>
      </w:r>
      <w:r w:rsidR="00EE6D1C">
        <w:rPr>
          <w:rFonts w:ascii="Arial Narrow" w:hAnsi="Arial Narrow"/>
          <w:sz w:val="24"/>
          <w:szCs w:val="24"/>
        </w:rPr>
        <w:t xml:space="preserve"> s nedostat</w:t>
      </w:r>
      <w:r w:rsidR="00FD3AC9" w:rsidRPr="00FD3AC9">
        <w:rPr>
          <w:rFonts w:ascii="Arial Narrow" w:hAnsi="Arial Narrow"/>
          <w:sz w:val="24"/>
          <w:szCs w:val="24"/>
        </w:rPr>
        <w:t>k</w:t>
      </w:r>
      <w:r w:rsidR="00EE6D1C">
        <w:rPr>
          <w:rFonts w:ascii="Arial Narrow" w:hAnsi="Arial Narrow"/>
          <w:sz w:val="24"/>
          <w:szCs w:val="24"/>
        </w:rPr>
        <w:t>em</w:t>
      </w:r>
      <w:r w:rsidR="00FD3AC9" w:rsidRPr="00FD3AC9">
        <w:rPr>
          <w:rFonts w:ascii="Arial Narrow" w:hAnsi="Arial Narrow"/>
          <w:sz w:val="24"/>
          <w:szCs w:val="24"/>
        </w:rPr>
        <w:t xml:space="preserve"> denního světla</w:t>
      </w:r>
      <w:r w:rsidR="00EE6D1C">
        <w:rPr>
          <w:rFonts w:ascii="Arial Narrow" w:hAnsi="Arial Narrow"/>
          <w:sz w:val="24"/>
          <w:szCs w:val="24"/>
        </w:rPr>
        <w:t>.</w:t>
      </w:r>
    </w:p>
    <w:p w14:paraId="26C8880E" w14:textId="77777777" w:rsidR="003171EA" w:rsidRPr="002A4D83" w:rsidRDefault="003171EA" w:rsidP="006A1643">
      <w:pPr>
        <w:spacing w:after="0" w:line="288" w:lineRule="auto"/>
        <w:jc w:val="both"/>
        <w:rPr>
          <w:rFonts w:ascii="Arial Narrow" w:hAnsi="Arial Narrow"/>
          <w:sz w:val="24"/>
          <w:szCs w:val="24"/>
        </w:rPr>
      </w:pPr>
    </w:p>
    <w:p w14:paraId="41F185E7" w14:textId="558F8167" w:rsidR="00422C9C" w:rsidRPr="007B5EE9" w:rsidRDefault="00C9527C" w:rsidP="002A4D83">
      <w:pPr>
        <w:pStyle w:val="3GRAF"/>
        <w:jc w:val="both"/>
        <w:rPr>
          <w:sz w:val="24"/>
          <w:szCs w:val="24"/>
        </w:rPr>
      </w:pPr>
      <w:r w:rsidRPr="006B7B9F">
        <w:t xml:space="preserve">Graf </w:t>
      </w:r>
      <w:r w:rsidR="00461CA1">
        <w:rPr>
          <w:noProof/>
          <w:lang w:val="cs-CZ"/>
        </w:rPr>
        <w:t>18</w:t>
      </w:r>
      <w:r w:rsidRPr="006B7B9F">
        <w:t>:</w:t>
      </w:r>
      <w:r w:rsidRPr="006B7B9F">
        <w:rPr>
          <w:lang w:val="cs-CZ"/>
        </w:rPr>
        <w:t xml:space="preserve"> Problémy</w:t>
      </w:r>
      <w:r>
        <w:rPr>
          <w:lang w:val="cs-CZ"/>
        </w:rPr>
        <w:t xml:space="preserve"> spojené s bydlením</w:t>
      </w:r>
      <w:r w:rsidRPr="00106439">
        <w:rPr>
          <w:lang w:val="cs-CZ"/>
        </w:rPr>
        <w:t xml:space="preserve"> (2023, v %)</w:t>
      </w:r>
    </w:p>
    <w:p w14:paraId="4EBD2ED0" w14:textId="274FE5CC" w:rsidR="007B5EE9" w:rsidRDefault="007B5EE9" w:rsidP="007C3A71">
      <w:pPr>
        <w:spacing w:after="120" w:line="288" w:lineRule="auto"/>
        <w:jc w:val="center"/>
        <w:rPr>
          <w:rFonts w:ascii="Arial Narrow" w:hAnsi="Arial Narrow"/>
          <w:b/>
          <w:color w:val="FF0000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3F2F9528" wp14:editId="57CB4ECC">
            <wp:extent cx="5886450" cy="2333625"/>
            <wp:effectExtent l="0" t="0" r="0" b="0"/>
            <wp:docPr id="10" name="Graf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14:paraId="61A6353F" w14:textId="6B0D7C60" w:rsidR="00F05D88" w:rsidRDefault="00DB079A" w:rsidP="00F05D88">
      <w:pPr>
        <w:spacing w:after="120" w:line="288" w:lineRule="auto"/>
        <w:jc w:val="both"/>
        <w:rPr>
          <w:rFonts w:ascii="Arial Narrow" w:hAnsi="Arial Narrow"/>
          <w:sz w:val="24"/>
          <w:szCs w:val="24"/>
        </w:rPr>
      </w:pPr>
      <w:r w:rsidRPr="00DB079A">
        <w:rPr>
          <w:rFonts w:ascii="Arial Narrow" w:hAnsi="Arial Narrow"/>
          <w:sz w:val="24"/>
          <w:szCs w:val="24"/>
        </w:rPr>
        <w:lastRenderedPageBreak/>
        <w:t xml:space="preserve">Dalším tématem, které bylo v rámci šetření zjišťováno, byla oblast </w:t>
      </w:r>
      <w:r>
        <w:rPr>
          <w:rFonts w:ascii="Arial Narrow" w:hAnsi="Arial Narrow"/>
          <w:sz w:val="24"/>
          <w:szCs w:val="24"/>
        </w:rPr>
        <w:t>renovací</w:t>
      </w:r>
      <w:r w:rsidR="00EE6D1C">
        <w:rPr>
          <w:rFonts w:ascii="Arial Narrow" w:hAnsi="Arial Narrow"/>
          <w:sz w:val="24"/>
          <w:szCs w:val="24"/>
        </w:rPr>
        <w:t xml:space="preserve"> domů a bytů</w:t>
      </w:r>
      <w:r>
        <w:rPr>
          <w:rFonts w:ascii="Arial Narrow" w:hAnsi="Arial Narrow"/>
          <w:sz w:val="24"/>
          <w:szCs w:val="24"/>
        </w:rPr>
        <w:t xml:space="preserve">, především z hlediska </w:t>
      </w:r>
      <w:r w:rsidRPr="00DB079A">
        <w:rPr>
          <w:rFonts w:ascii="Arial Narrow" w:hAnsi="Arial Narrow"/>
          <w:sz w:val="24"/>
          <w:szCs w:val="24"/>
        </w:rPr>
        <w:t>zvyšován</w:t>
      </w:r>
      <w:r w:rsidR="00EE6D1C">
        <w:rPr>
          <w:rFonts w:ascii="Arial Narrow" w:hAnsi="Arial Narrow"/>
          <w:sz w:val="24"/>
          <w:szCs w:val="24"/>
        </w:rPr>
        <w:t>í energetické účinnosti bydlení</w:t>
      </w:r>
      <w:r w:rsidRPr="00DB079A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Téměř </w:t>
      </w:r>
      <w:r w:rsidR="008668DD">
        <w:rPr>
          <w:rFonts w:ascii="Arial Narrow" w:hAnsi="Arial Narrow"/>
          <w:sz w:val="24"/>
          <w:szCs w:val="24"/>
        </w:rPr>
        <w:t xml:space="preserve">dvě třetiny </w:t>
      </w:r>
      <w:r>
        <w:rPr>
          <w:rFonts w:ascii="Arial Narrow" w:hAnsi="Arial Narrow"/>
          <w:sz w:val="24"/>
          <w:szCs w:val="24"/>
        </w:rPr>
        <w:t>domácností uvedl</w:t>
      </w:r>
      <w:r w:rsidR="008668DD">
        <w:rPr>
          <w:rFonts w:ascii="Arial Narrow" w:hAnsi="Arial Narrow"/>
          <w:sz w:val="24"/>
          <w:szCs w:val="24"/>
        </w:rPr>
        <w:t>y, ž</w:t>
      </w:r>
      <w:r>
        <w:rPr>
          <w:rFonts w:ascii="Arial Narrow" w:hAnsi="Arial Narrow"/>
          <w:sz w:val="24"/>
          <w:szCs w:val="24"/>
        </w:rPr>
        <w:t>e</w:t>
      </w:r>
      <w:r w:rsidR="008668D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mají</w:t>
      </w:r>
      <w:r w:rsidR="008668D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zateplenou fasádu, střechu </w:t>
      </w:r>
      <w:r w:rsidR="008668DD">
        <w:rPr>
          <w:rFonts w:ascii="Arial Narrow" w:hAnsi="Arial Narrow"/>
          <w:sz w:val="24"/>
          <w:szCs w:val="24"/>
        </w:rPr>
        <w:t xml:space="preserve">nebo </w:t>
      </w:r>
      <w:r>
        <w:rPr>
          <w:rFonts w:ascii="Arial Narrow" w:hAnsi="Arial Narrow"/>
          <w:sz w:val="24"/>
          <w:szCs w:val="24"/>
        </w:rPr>
        <w:t>podlahy</w:t>
      </w:r>
      <w:r w:rsidR="008668DD">
        <w:rPr>
          <w:rFonts w:ascii="Arial Narrow" w:hAnsi="Arial Narrow"/>
          <w:sz w:val="24"/>
          <w:szCs w:val="24"/>
        </w:rPr>
        <w:t xml:space="preserve">, ale jenom desetina </w:t>
      </w:r>
      <w:r>
        <w:rPr>
          <w:rFonts w:ascii="Arial Narrow" w:hAnsi="Arial Narrow"/>
          <w:sz w:val="24"/>
          <w:szCs w:val="24"/>
        </w:rPr>
        <w:t xml:space="preserve">domů </w:t>
      </w:r>
      <w:r w:rsidR="008668DD">
        <w:rPr>
          <w:rFonts w:ascii="Arial Narrow" w:hAnsi="Arial Narrow"/>
          <w:sz w:val="24"/>
          <w:szCs w:val="24"/>
        </w:rPr>
        <w:t xml:space="preserve">či bytů </w:t>
      </w:r>
      <w:r>
        <w:rPr>
          <w:rFonts w:ascii="Arial Narrow" w:hAnsi="Arial Narrow"/>
          <w:sz w:val="24"/>
          <w:szCs w:val="24"/>
        </w:rPr>
        <w:t xml:space="preserve">má zateplení </w:t>
      </w:r>
      <w:r w:rsidR="008668DD">
        <w:rPr>
          <w:rFonts w:ascii="Arial Narrow" w:hAnsi="Arial Narrow"/>
          <w:sz w:val="24"/>
          <w:szCs w:val="24"/>
        </w:rPr>
        <w:t xml:space="preserve">relativně </w:t>
      </w:r>
      <w:r>
        <w:rPr>
          <w:rFonts w:ascii="Arial Narrow" w:hAnsi="Arial Narrow"/>
          <w:sz w:val="24"/>
          <w:szCs w:val="24"/>
        </w:rPr>
        <w:t xml:space="preserve">nové, </w:t>
      </w:r>
      <w:r w:rsidR="008668DD">
        <w:rPr>
          <w:rFonts w:ascii="Arial Narrow" w:hAnsi="Arial Narrow"/>
          <w:sz w:val="24"/>
          <w:szCs w:val="24"/>
        </w:rPr>
        <w:t>provedené před méně než 5 roky</w:t>
      </w:r>
      <w:r>
        <w:rPr>
          <w:rFonts w:ascii="Arial Narrow" w:hAnsi="Arial Narrow"/>
          <w:sz w:val="24"/>
          <w:szCs w:val="24"/>
        </w:rPr>
        <w:t xml:space="preserve">. </w:t>
      </w:r>
    </w:p>
    <w:p w14:paraId="7DC380C6" w14:textId="3337E036" w:rsidR="00F05D88" w:rsidRDefault="00F05D88" w:rsidP="00F05D88">
      <w:pPr>
        <w:spacing w:after="120" w:line="288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Pokud jde o výměnu starých netěsnících oken za nová, s lep</w:t>
      </w:r>
      <w:r w:rsidRPr="008668DD">
        <w:rPr>
          <w:rFonts w:ascii="Arial Narrow" w:hAnsi="Arial Narrow"/>
          <w:sz w:val="24"/>
          <w:szCs w:val="24"/>
        </w:rPr>
        <w:t>š</w:t>
      </w:r>
      <w:r>
        <w:rPr>
          <w:rFonts w:ascii="Arial Narrow" w:hAnsi="Arial Narrow"/>
          <w:sz w:val="24"/>
          <w:szCs w:val="24"/>
        </w:rPr>
        <w:t>ím</w:t>
      </w:r>
      <w:r w:rsidRPr="008668DD">
        <w:rPr>
          <w:rFonts w:ascii="Arial Narrow" w:hAnsi="Arial Narrow"/>
          <w:sz w:val="24"/>
          <w:szCs w:val="24"/>
        </w:rPr>
        <w:t>i t</w:t>
      </w:r>
      <w:r>
        <w:rPr>
          <w:rFonts w:ascii="Arial Narrow" w:hAnsi="Arial Narrow"/>
          <w:sz w:val="24"/>
          <w:szCs w:val="24"/>
        </w:rPr>
        <w:t>ermo</w:t>
      </w:r>
      <w:r w:rsidR="0058575B">
        <w:rPr>
          <w:rFonts w:ascii="Arial Narrow" w:hAnsi="Arial Narrow"/>
          <w:sz w:val="24"/>
          <w:szCs w:val="24"/>
        </w:rPr>
        <w:t>-</w:t>
      </w:r>
      <w:r w:rsidRPr="008668DD">
        <w:rPr>
          <w:rFonts w:ascii="Arial Narrow" w:hAnsi="Arial Narrow"/>
          <w:sz w:val="24"/>
          <w:szCs w:val="24"/>
        </w:rPr>
        <w:t>izolační</w:t>
      </w:r>
      <w:r>
        <w:rPr>
          <w:rFonts w:ascii="Arial Narrow" w:hAnsi="Arial Narrow"/>
          <w:sz w:val="24"/>
          <w:szCs w:val="24"/>
        </w:rPr>
        <w:t>mi</w:t>
      </w:r>
      <w:r w:rsidRPr="008668DD">
        <w:rPr>
          <w:rFonts w:ascii="Arial Narrow" w:hAnsi="Arial Narrow"/>
          <w:sz w:val="24"/>
          <w:szCs w:val="24"/>
        </w:rPr>
        <w:t xml:space="preserve"> vlastnost</w:t>
      </w:r>
      <w:r w:rsidR="0058575B">
        <w:rPr>
          <w:rFonts w:ascii="Arial Narrow" w:hAnsi="Arial Narrow"/>
          <w:sz w:val="24"/>
          <w:szCs w:val="24"/>
        </w:rPr>
        <w:t>m</w:t>
      </w:r>
      <w:r w:rsidRPr="008668DD">
        <w:rPr>
          <w:rFonts w:ascii="Arial Narrow" w:hAnsi="Arial Narrow"/>
          <w:sz w:val="24"/>
          <w:szCs w:val="24"/>
        </w:rPr>
        <w:t>i</w:t>
      </w:r>
      <w:r>
        <w:rPr>
          <w:rFonts w:ascii="Arial Narrow" w:hAnsi="Arial Narrow"/>
          <w:sz w:val="24"/>
          <w:szCs w:val="24"/>
        </w:rPr>
        <w:t>, je z výsledků patrné, že p</w:t>
      </w:r>
      <w:r w:rsidR="00F5777F">
        <w:rPr>
          <w:rFonts w:ascii="Arial Narrow" w:hAnsi="Arial Narrow"/>
          <w:sz w:val="24"/>
          <w:szCs w:val="24"/>
        </w:rPr>
        <w:t>řevážná většina domácností (87,7</w:t>
      </w:r>
      <w:bookmarkStart w:id="4" w:name="_GoBack"/>
      <w:bookmarkEnd w:id="4"/>
      <w:r>
        <w:rPr>
          <w:rFonts w:ascii="Arial Narrow" w:hAnsi="Arial Narrow"/>
          <w:sz w:val="24"/>
          <w:szCs w:val="24"/>
        </w:rPr>
        <w:t xml:space="preserve"> %) již má okna s dvojitými nebo trojitými skly, ale jen 11,7 % respondentů uvedlo, že tuto renovaci podstoupili v posledních 5 letech. </w:t>
      </w:r>
    </w:p>
    <w:p w14:paraId="69695DFC" w14:textId="750875A8" w:rsidR="0058575B" w:rsidRPr="0058575B" w:rsidRDefault="00F05D88" w:rsidP="0058575B">
      <w:pPr>
        <w:pStyle w:val="3GRAF"/>
        <w:spacing w:before="240"/>
        <w:jc w:val="both"/>
        <w:rPr>
          <w:lang w:val="cs-CZ"/>
        </w:rPr>
      </w:pPr>
      <w:r w:rsidRPr="006B7B9F">
        <w:t xml:space="preserve">Graf </w:t>
      </w:r>
      <w:r w:rsidRPr="006B7B9F">
        <w:rPr>
          <w:lang w:val="cs-CZ"/>
        </w:rPr>
        <w:t>1</w:t>
      </w:r>
      <w:r w:rsidR="00461CA1">
        <w:rPr>
          <w:lang w:val="cs-CZ"/>
        </w:rPr>
        <w:t>9</w:t>
      </w:r>
      <w:r w:rsidRPr="006B7B9F">
        <w:t>:</w:t>
      </w:r>
      <w:r w:rsidRPr="006B7B9F">
        <w:rPr>
          <w:lang w:val="cs-CZ"/>
        </w:rPr>
        <w:t xml:space="preserve"> Renovace</w:t>
      </w:r>
      <w:r w:rsidRPr="00D71995">
        <w:rPr>
          <w:lang w:val="cs-CZ"/>
        </w:rPr>
        <w:t xml:space="preserve"> domu/bytu – zateplení </w:t>
      </w:r>
      <w:r>
        <w:rPr>
          <w:lang w:val="cs-CZ"/>
        </w:rPr>
        <w:t xml:space="preserve">stěn </w:t>
      </w:r>
      <w:r w:rsidRPr="00D71995">
        <w:rPr>
          <w:lang w:val="cs-CZ"/>
        </w:rPr>
        <w:t>a výměna oken (2023, v %)</w:t>
      </w:r>
    </w:p>
    <w:p w14:paraId="08BF55BE" w14:textId="7E733D2A" w:rsidR="00EE6D1C" w:rsidRDefault="00EE6D1C" w:rsidP="0058575B">
      <w:pPr>
        <w:spacing w:after="0" w:line="240" w:lineRule="auto"/>
        <w:rPr>
          <w:rFonts w:ascii="Arial Narrow" w:hAnsi="Arial Narrow"/>
          <w:b/>
          <w:sz w:val="28"/>
          <w:szCs w:val="32"/>
        </w:rPr>
      </w:pPr>
    </w:p>
    <w:p w14:paraId="4174F83A" w14:textId="65633F70" w:rsidR="00E951F1" w:rsidRDefault="00E951F1" w:rsidP="00D026C0">
      <w:pPr>
        <w:spacing w:after="0" w:line="240" w:lineRule="auto"/>
        <w:jc w:val="center"/>
        <w:rPr>
          <w:rFonts w:ascii="Arial Narrow" w:hAnsi="Arial Narrow"/>
          <w:b/>
          <w:sz w:val="28"/>
          <w:szCs w:val="32"/>
        </w:rPr>
      </w:pPr>
      <w:r w:rsidRPr="00E951F1">
        <w:rPr>
          <w:rFonts w:ascii="Arial Narrow" w:hAnsi="Arial Narrow"/>
          <w:b/>
          <w:noProof/>
          <w:sz w:val="28"/>
          <w:szCs w:val="32"/>
          <w:lang w:eastAsia="cs-CZ"/>
        </w:rPr>
        <w:drawing>
          <wp:inline distT="0" distB="0" distL="0" distR="0" wp14:anchorId="2B859078" wp14:editId="452A76C9">
            <wp:extent cx="5759450" cy="2411095"/>
            <wp:effectExtent l="0" t="0" r="0" b="8255"/>
            <wp:docPr id="39" name="Obráze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41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1CE37D" w14:textId="77777777" w:rsidR="00FF5FCB" w:rsidRDefault="00FF5FCB" w:rsidP="00432AC7">
      <w:pPr>
        <w:spacing w:after="120" w:line="240" w:lineRule="auto"/>
        <w:rPr>
          <w:rFonts w:ascii="Arial Narrow" w:hAnsi="Arial Narrow"/>
          <w:b/>
          <w:sz w:val="28"/>
          <w:szCs w:val="32"/>
        </w:rPr>
      </w:pPr>
    </w:p>
    <w:p w14:paraId="1F0B97CD" w14:textId="53738E09" w:rsidR="00A9331C" w:rsidRDefault="00FF5FCB" w:rsidP="00432AC7">
      <w:pPr>
        <w:spacing w:after="120" w:line="240" w:lineRule="auto"/>
        <w:rPr>
          <w:rFonts w:ascii="Arial Narrow" w:hAnsi="Arial Narrow"/>
          <w:b/>
          <w:sz w:val="28"/>
          <w:szCs w:val="32"/>
        </w:rPr>
      </w:pPr>
      <w:r>
        <w:rPr>
          <w:rFonts w:ascii="Arial Narrow" w:hAnsi="Arial Narrow"/>
          <w:b/>
          <w:sz w:val="28"/>
          <w:szCs w:val="32"/>
        </w:rPr>
        <w:t>Mezigenerační srovnání</w:t>
      </w:r>
    </w:p>
    <w:p w14:paraId="0342858E" w14:textId="2E587FCF" w:rsidR="00432AC7" w:rsidRPr="009B6FF4" w:rsidRDefault="00432AC7" w:rsidP="00FF5FCB">
      <w:pPr>
        <w:spacing w:before="240"/>
        <w:jc w:val="both"/>
        <w:rPr>
          <w:rFonts w:ascii="Arial Narrow" w:hAnsi="Arial Narrow"/>
          <w:sz w:val="24"/>
          <w:szCs w:val="24"/>
        </w:rPr>
      </w:pPr>
      <w:r w:rsidRPr="009B6FF4">
        <w:rPr>
          <w:rFonts w:ascii="Arial Narrow" w:hAnsi="Arial Narrow"/>
          <w:sz w:val="24"/>
          <w:szCs w:val="24"/>
        </w:rPr>
        <w:t>V</w:t>
      </w:r>
      <w:r>
        <w:rPr>
          <w:rFonts w:ascii="Arial Narrow" w:hAnsi="Arial Narrow"/>
          <w:sz w:val="24"/>
          <w:szCs w:val="24"/>
        </w:rPr>
        <w:t xml:space="preserve"> roce </w:t>
      </w:r>
      <w:r w:rsidRPr="009B6FF4">
        <w:rPr>
          <w:rFonts w:ascii="Arial Narrow" w:hAnsi="Arial Narrow"/>
          <w:sz w:val="24"/>
          <w:szCs w:val="24"/>
        </w:rPr>
        <w:t>20</w:t>
      </w:r>
      <w:r>
        <w:rPr>
          <w:rFonts w:ascii="Arial Narrow" w:hAnsi="Arial Narrow"/>
          <w:sz w:val="24"/>
          <w:szCs w:val="24"/>
        </w:rPr>
        <w:t>23</w:t>
      </w:r>
      <w:r w:rsidRPr="009B6FF4">
        <w:rPr>
          <w:rFonts w:ascii="Arial Narrow" w:hAnsi="Arial Narrow"/>
          <w:sz w:val="24"/>
          <w:szCs w:val="24"/>
        </w:rPr>
        <w:t xml:space="preserve"> bylo </w:t>
      </w:r>
      <w:r w:rsidR="00746688">
        <w:rPr>
          <w:rFonts w:ascii="Arial Narrow" w:hAnsi="Arial Narrow"/>
          <w:sz w:val="24"/>
          <w:szCs w:val="24"/>
        </w:rPr>
        <w:t xml:space="preserve">dalším </w:t>
      </w:r>
      <w:r w:rsidRPr="009B6FF4">
        <w:rPr>
          <w:rFonts w:ascii="Arial Narrow" w:hAnsi="Arial Narrow"/>
          <w:sz w:val="24"/>
          <w:szCs w:val="24"/>
        </w:rPr>
        <w:t xml:space="preserve">tématem modulových otázek v rámci šetření Životní podmínky mezigenerační srovnání sociálních a materiálních podmínek. </w:t>
      </w:r>
      <w:r w:rsidR="00415C12">
        <w:rPr>
          <w:rFonts w:ascii="Arial Narrow" w:hAnsi="Arial Narrow"/>
          <w:sz w:val="24"/>
          <w:szCs w:val="24"/>
        </w:rPr>
        <w:t>Bylo t</w:t>
      </w:r>
      <w:r w:rsidR="00415C12" w:rsidRPr="009B6FF4">
        <w:rPr>
          <w:rFonts w:ascii="Arial Narrow" w:hAnsi="Arial Narrow"/>
          <w:sz w:val="24"/>
          <w:szCs w:val="24"/>
        </w:rPr>
        <w:t>o téma o</w:t>
      </w:r>
      <w:r w:rsidR="00415C12" w:rsidRPr="008A0CB6">
        <w:rPr>
          <w:rFonts w:ascii="Arial Narrow" w:hAnsi="Arial Narrow"/>
          <w:spacing w:val="-20"/>
          <w:sz w:val="24"/>
          <w:szCs w:val="24"/>
        </w:rPr>
        <w:t xml:space="preserve"> </w:t>
      </w:r>
      <w:r w:rsidR="00415C12" w:rsidRPr="009B6FF4">
        <w:rPr>
          <w:rFonts w:ascii="Arial Narrow" w:hAnsi="Arial Narrow"/>
          <w:sz w:val="24"/>
          <w:szCs w:val="24"/>
        </w:rPr>
        <w:t xml:space="preserve">rodičích, </w:t>
      </w:r>
      <w:r w:rsidR="00415C12">
        <w:rPr>
          <w:rFonts w:ascii="Arial Narrow" w:hAnsi="Arial Narrow"/>
          <w:sz w:val="24"/>
          <w:szCs w:val="24"/>
        </w:rPr>
        <w:t xml:space="preserve">o tom, kde a jak žil </w:t>
      </w:r>
      <w:r w:rsidR="00415C12" w:rsidRPr="009B6FF4">
        <w:rPr>
          <w:rFonts w:ascii="Arial Narrow" w:hAnsi="Arial Narrow"/>
          <w:sz w:val="24"/>
          <w:szCs w:val="24"/>
        </w:rPr>
        <w:t>respondent ve</w:t>
      </w:r>
      <w:r w:rsidR="00415C12">
        <w:rPr>
          <w:rFonts w:ascii="Arial Narrow" w:hAnsi="Arial Narrow"/>
          <w:sz w:val="24"/>
          <w:szCs w:val="24"/>
        </w:rPr>
        <w:t xml:space="preserve"> věku </w:t>
      </w:r>
      <w:r w:rsidR="00415C12" w:rsidRPr="009B6FF4">
        <w:rPr>
          <w:rFonts w:ascii="Arial Narrow" w:hAnsi="Arial Narrow"/>
          <w:sz w:val="24"/>
          <w:szCs w:val="24"/>
        </w:rPr>
        <w:t>14</w:t>
      </w:r>
      <w:r w:rsidR="00415C12">
        <w:rPr>
          <w:rFonts w:ascii="Arial Narrow" w:hAnsi="Arial Narrow"/>
          <w:sz w:val="24"/>
          <w:szCs w:val="24"/>
        </w:rPr>
        <w:t> </w:t>
      </w:r>
      <w:r w:rsidR="00415C12" w:rsidRPr="009B6FF4">
        <w:rPr>
          <w:rFonts w:ascii="Arial Narrow" w:hAnsi="Arial Narrow"/>
          <w:sz w:val="24"/>
          <w:szCs w:val="24"/>
        </w:rPr>
        <w:t xml:space="preserve">let a o </w:t>
      </w:r>
      <w:r w:rsidR="00415C12">
        <w:rPr>
          <w:rFonts w:ascii="Arial Narrow" w:hAnsi="Arial Narrow"/>
          <w:sz w:val="24"/>
          <w:szCs w:val="24"/>
        </w:rPr>
        <w:t xml:space="preserve">finanční situaci jeho </w:t>
      </w:r>
      <w:r w:rsidR="00415C12" w:rsidRPr="009B6FF4">
        <w:rPr>
          <w:rFonts w:ascii="Arial Narrow" w:hAnsi="Arial Narrow"/>
          <w:sz w:val="24"/>
          <w:szCs w:val="24"/>
        </w:rPr>
        <w:t>domácnosti</w:t>
      </w:r>
      <w:r w:rsidR="00415C12">
        <w:rPr>
          <w:rFonts w:ascii="Arial Narrow" w:hAnsi="Arial Narrow"/>
          <w:sz w:val="24"/>
          <w:szCs w:val="24"/>
        </w:rPr>
        <w:t xml:space="preserve"> v </w:t>
      </w:r>
      <w:r w:rsidR="00415C12" w:rsidRPr="00415C12">
        <w:rPr>
          <w:rFonts w:ascii="Arial Narrow" w:hAnsi="Arial Narrow"/>
          <w:sz w:val="24"/>
          <w:szCs w:val="24"/>
        </w:rPr>
        <w:t>té době</w:t>
      </w:r>
      <w:r w:rsidR="00415C12">
        <w:rPr>
          <w:rFonts w:ascii="Arial Narrow" w:hAnsi="Arial Narrow"/>
          <w:sz w:val="24"/>
          <w:szCs w:val="24"/>
        </w:rPr>
        <w:t xml:space="preserve">. </w:t>
      </w:r>
      <w:r w:rsidRPr="00415C12">
        <w:rPr>
          <w:rFonts w:ascii="Arial Narrow" w:hAnsi="Arial Narrow"/>
          <w:sz w:val="24"/>
          <w:szCs w:val="24"/>
        </w:rPr>
        <w:t>Modulový dotazník vyplňovaly pouze osoby narozené v letech 1963</w:t>
      </w:r>
      <w:r w:rsidRPr="00415C12">
        <w:rPr>
          <w:rFonts w:ascii="Arial Narrow" w:hAnsi="Arial Narrow"/>
          <w:spacing w:val="-20"/>
          <w:sz w:val="24"/>
          <w:szCs w:val="24"/>
        </w:rPr>
        <w:t xml:space="preserve"> </w:t>
      </w:r>
      <w:r w:rsidRPr="00415C12">
        <w:rPr>
          <w:rFonts w:ascii="Arial Narrow" w:hAnsi="Arial Narrow"/>
          <w:sz w:val="24"/>
          <w:szCs w:val="24"/>
        </w:rPr>
        <w:t>-</w:t>
      </w:r>
      <w:r w:rsidRPr="00415C12">
        <w:rPr>
          <w:rFonts w:ascii="Arial Narrow" w:hAnsi="Arial Narrow"/>
          <w:spacing w:val="-20"/>
          <w:sz w:val="24"/>
          <w:szCs w:val="24"/>
        </w:rPr>
        <w:t xml:space="preserve"> </w:t>
      </w:r>
      <w:r w:rsidRPr="00415C12">
        <w:rPr>
          <w:rFonts w:ascii="Arial Narrow" w:hAnsi="Arial Narrow"/>
          <w:sz w:val="24"/>
          <w:szCs w:val="24"/>
        </w:rPr>
        <w:t>1997, tj. osoby ve</w:t>
      </w:r>
      <w:r w:rsidRPr="00415C12">
        <w:rPr>
          <w:rFonts w:ascii="Arial Narrow" w:hAnsi="Arial Narrow"/>
          <w:spacing w:val="-20"/>
          <w:sz w:val="24"/>
          <w:szCs w:val="24"/>
        </w:rPr>
        <w:t xml:space="preserve"> </w:t>
      </w:r>
      <w:r w:rsidRPr="00415C12">
        <w:rPr>
          <w:rFonts w:ascii="Arial Narrow" w:hAnsi="Arial Narrow"/>
          <w:sz w:val="24"/>
          <w:szCs w:val="24"/>
        </w:rPr>
        <w:t>věku 25</w:t>
      </w:r>
      <w:r w:rsidRPr="00415C12">
        <w:rPr>
          <w:rFonts w:ascii="Arial Narrow" w:hAnsi="Arial Narrow"/>
          <w:spacing w:val="-20"/>
          <w:sz w:val="24"/>
          <w:szCs w:val="24"/>
        </w:rPr>
        <w:t xml:space="preserve"> </w:t>
      </w:r>
      <w:r w:rsidRPr="00415C12">
        <w:rPr>
          <w:rFonts w:ascii="Arial Narrow" w:hAnsi="Arial Narrow"/>
          <w:sz w:val="24"/>
          <w:szCs w:val="24"/>
        </w:rPr>
        <w:t>až 59 let. Všechny otázky se</w:t>
      </w:r>
      <w:r w:rsidRPr="00415C12">
        <w:rPr>
          <w:rFonts w:ascii="Arial Narrow" w:hAnsi="Arial Narrow"/>
          <w:spacing w:val="-20"/>
          <w:sz w:val="24"/>
          <w:szCs w:val="24"/>
        </w:rPr>
        <w:t xml:space="preserve"> </w:t>
      </w:r>
      <w:r w:rsidRPr="00415C12">
        <w:rPr>
          <w:rFonts w:ascii="Arial Narrow" w:hAnsi="Arial Narrow"/>
          <w:sz w:val="24"/>
          <w:szCs w:val="24"/>
        </w:rPr>
        <w:t>týkaly</w:t>
      </w:r>
      <w:r w:rsidRPr="009B6FF4">
        <w:rPr>
          <w:rFonts w:ascii="Arial Narrow" w:hAnsi="Arial Narrow"/>
          <w:sz w:val="24"/>
          <w:szCs w:val="24"/>
        </w:rPr>
        <w:t xml:space="preserve"> období,</w:t>
      </w:r>
      <w:r w:rsidRPr="008A0CB6">
        <w:rPr>
          <w:rFonts w:ascii="Arial Narrow" w:hAnsi="Arial Narrow"/>
          <w:spacing w:val="-20"/>
          <w:sz w:val="24"/>
          <w:szCs w:val="24"/>
        </w:rPr>
        <w:t xml:space="preserve"> </w:t>
      </w:r>
      <w:r w:rsidRPr="009B6FF4">
        <w:rPr>
          <w:rFonts w:ascii="Arial Narrow" w:hAnsi="Arial Narrow"/>
          <w:sz w:val="24"/>
          <w:szCs w:val="24"/>
        </w:rPr>
        <w:t>kdy bylo respondentovi</w:t>
      </w:r>
      <w:r>
        <w:rPr>
          <w:rFonts w:ascii="Arial Narrow" w:hAnsi="Arial Narrow"/>
          <w:sz w:val="24"/>
          <w:szCs w:val="24"/>
        </w:rPr>
        <w:t xml:space="preserve"> </w:t>
      </w:r>
      <w:r w:rsidRPr="009B6FF4">
        <w:rPr>
          <w:rFonts w:ascii="Arial Narrow" w:hAnsi="Arial Narrow"/>
          <w:sz w:val="24"/>
          <w:szCs w:val="24"/>
        </w:rPr>
        <w:t>14</w:t>
      </w:r>
      <w:r>
        <w:rPr>
          <w:rFonts w:ascii="Arial Narrow" w:hAnsi="Arial Narrow"/>
          <w:sz w:val="24"/>
          <w:szCs w:val="24"/>
        </w:rPr>
        <w:t> </w:t>
      </w:r>
      <w:r w:rsidRPr="009B6FF4">
        <w:rPr>
          <w:rFonts w:ascii="Arial Narrow" w:hAnsi="Arial Narrow"/>
          <w:sz w:val="24"/>
          <w:szCs w:val="24"/>
        </w:rPr>
        <w:t>let, tedy raného dospívání.</w:t>
      </w:r>
    </w:p>
    <w:p w14:paraId="6679C5FA" w14:textId="7F1CC67D" w:rsidR="00432AC7" w:rsidRPr="00A9331C" w:rsidRDefault="00432AC7" w:rsidP="00FF5FCB">
      <w:pPr>
        <w:spacing w:before="240"/>
        <w:rPr>
          <w:rFonts w:ascii="Arial Narrow" w:hAnsi="Arial Narrow" w:cs="Arial"/>
          <w:color w:val="00B0F0"/>
        </w:rPr>
      </w:pPr>
      <w:r>
        <w:rPr>
          <w:rFonts w:ascii="Arial Narrow" w:hAnsi="Arial Narrow" w:cs="Arial"/>
          <w:color w:val="00B0F0"/>
        </w:rPr>
        <w:t xml:space="preserve">Graf </w:t>
      </w:r>
      <w:r w:rsidR="00461CA1">
        <w:rPr>
          <w:rFonts w:ascii="Arial Narrow" w:hAnsi="Arial Narrow" w:cs="Arial"/>
          <w:color w:val="00B0F0"/>
        </w:rPr>
        <w:t>20</w:t>
      </w:r>
      <w:r w:rsidRPr="009B6FF4">
        <w:rPr>
          <w:rFonts w:ascii="Arial Narrow" w:hAnsi="Arial Narrow" w:cs="Arial"/>
          <w:color w:val="00B0F0"/>
        </w:rPr>
        <w:t xml:space="preserve">: </w:t>
      </w:r>
      <w:r>
        <w:rPr>
          <w:rFonts w:ascii="Arial Narrow" w:hAnsi="Arial Narrow" w:cs="Arial"/>
          <w:bCs/>
          <w:color w:val="00B0F0"/>
        </w:rPr>
        <w:t xml:space="preserve">Rodinné prostředí, </w:t>
      </w:r>
      <w:r w:rsidRPr="009B6FF4">
        <w:rPr>
          <w:rFonts w:ascii="Arial Narrow" w:hAnsi="Arial Narrow" w:cs="Arial"/>
          <w:bCs/>
          <w:color w:val="00B0F0"/>
        </w:rPr>
        <w:t>ve které</w:t>
      </w:r>
      <w:r>
        <w:rPr>
          <w:rFonts w:ascii="Arial Narrow" w:hAnsi="Arial Narrow" w:cs="Arial"/>
          <w:bCs/>
          <w:color w:val="00B0F0"/>
        </w:rPr>
        <w:t>m</w:t>
      </w:r>
      <w:r w:rsidRPr="009B6FF4">
        <w:rPr>
          <w:rFonts w:ascii="Arial Narrow" w:hAnsi="Arial Narrow" w:cs="Arial"/>
          <w:bCs/>
          <w:color w:val="00B0F0"/>
        </w:rPr>
        <w:t xml:space="preserve"> žil respondent ve 14 let</w:t>
      </w:r>
      <w:r>
        <w:rPr>
          <w:rFonts w:ascii="Arial Narrow" w:hAnsi="Arial Narrow" w:cs="Arial"/>
          <w:bCs/>
          <w:color w:val="00B0F0"/>
        </w:rPr>
        <w:t>ech (2023, v %)</w:t>
      </w:r>
    </w:p>
    <w:p w14:paraId="0F805A97" w14:textId="75ED76F8" w:rsidR="00A9331C" w:rsidRPr="009B6FF4" w:rsidRDefault="00A9331C" w:rsidP="00432AC7">
      <w:pPr>
        <w:spacing w:after="160"/>
        <w:jc w:val="center"/>
        <w:rPr>
          <w:rFonts w:ascii="Arial Narrow" w:hAnsi="Arial Narrow"/>
          <w:sz w:val="24"/>
          <w:szCs w:val="24"/>
        </w:rPr>
      </w:pPr>
      <w:r w:rsidRPr="00A9331C">
        <w:rPr>
          <w:rFonts w:ascii="Arial Narrow" w:hAnsi="Arial Narrow"/>
          <w:noProof/>
          <w:sz w:val="24"/>
          <w:szCs w:val="24"/>
          <w:lang w:eastAsia="cs-CZ"/>
        </w:rPr>
        <w:drawing>
          <wp:inline distT="0" distB="0" distL="0" distR="0" wp14:anchorId="31F9F21E" wp14:editId="4B8385FE">
            <wp:extent cx="4610100" cy="2238375"/>
            <wp:effectExtent l="0" t="0" r="0" b="0"/>
            <wp:docPr id="36" name="Graf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14:paraId="2D72FA7C" w14:textId="77777777" w:rsidR="008A68CC" w:rsidRDefault="008A68CC" w:rsidP="00FF5FCB">
      <w:pPr>
        <w:spacing w:before="240" w:after="0" w:line="288" w:lineRule="auto"/>
        <w:jc w:val="both"/>
        <w:rPr>
          <w:rFonts w:ascii="Arial Narrow" w:hAnsi="Arial Narrow"/>
          <w:sz w:val="24"/>
          <w:szCs w:val="24"/>
        </w:rPr>
      </w:pPr>
    </w:p>
    <w:p w14:paraId="3B9D3F22" w14:textId="67540709" w:rsidR="00F05D88" w:rsidRPr="009B6FF4" w:rsidRDefault="00F05D88" w:rsidP="00FF5FCB">
      <w:pPr>
        <w:spacing w:before="240" w:after="0" w:line="288" w:lineRule="auto"/>
        <w:jc w:val="both"/>
        <w:rPr>
          <w:rFonts w:ascii="Arial Narrow" w:hAnsi="Arial Narrow"/>
          <w:sz w:val="24"/>
          <w:szCs w:val="24"/>
        </w:rPr>
      </w:pPr>
      <w:r w:rsidRPr="009B6FF4">
        <w:rPr>
          <w:rFonts w:ascii="Arial Narrow" w:hAnsi="Arial Narrow"/>
          <w:sz w:val="24"/>
          <w:szCs w:val="24"/>
        </w:rPr>
        <w:lastRenderedPageBreak/>
        <w:t xml:space="preserve">Ze zjišťování vyplynulo, že </w:t>
      </w:r>
      <w:r w:rsidR="00530EA7">
        <w:rPr>
          <w:rFonts w:ascii="Arial Narrow" w:hAnsi="Arial Narrow"/>
          <w:sz w:val="24"/>
          <w:szCs w:val="24"/>
        </w:rPr>
        <w:t xml:space="preserve">drtivá většina </w:t>
      </w:r>
      <w:r w:rsidR="00A9331C">
        <w:rPr>
          <w:rFonts w:ascii="Arial Narrow" w:hAnsi="Arial Narrow"/>
          <w:sz w:val="24"/>
          <w:szCs w:val="24"/>
        </w:rPr>
        <w:t>osob žila</w:t>
      </w:r>
      <w:r w:rsidRPr="009B6FF4">
        <w:rPr>
          <w:rFonts w:ascii="Arial Narrow" w:hAnsi="Arial Narrow"/>
          <w:sz w:val="24"/>
          <w:szCs w:val="24"/>
        </w:rPr>
        <w:t xml:space="preserve"> v</w:t>
      </w:r>
      <w:r w:rsidRPr="009B6FF4">
        <w:rPr>
          <w:rFonts w:ascii="Arial Narrow" w:hAnsi="Arial Narrow"/>
          <w:spacing w:val="-20"/>
          <w:sz w:val="24"/>
          <w:szCs w:val="24"/>
        </w:rPr>
        <w:t xml:space="preserve"> </w:t>
      </w:r>
      <w:r w:rsidRPr="009B6FF4">
        <w:rPr>
          <w:rFonts w:ascii="Arial Narrow" w:hAnsi="Arial Narrow"/>
          <w:sz w:val="24"/>
          <w:szCs w:val="24"/>
        </w:rPr>
        <w:t>daném období v</w:t>
      </w:r>
      <w:r w:rsidRPr="009B6FF4">
        <w:rPr>
          <w:rFonts w:ascii="Arial Narrow" w:hAnsi="Arial Narrow"/>
          <w:spacing w:val="-20"/>
          <w:sz w:val="24"/>
          <w:szCs w:val="24"/>
        </w:rPr>
        <w:t xml:space="preserve"> </w:t>
      </w:r>
      <w:r w:rsidRPr="009B6FF4">
        <w:rPr>
          <w:rFonts w:ascii="Arial Narrow" w:hAnsi="Arial Narrow"/>
          <w:sz w:val="24"/>
          <w:szCs w:val="24"/>
        </w:rPr>
        <w:t>úplné rod</w:t>
      </w:r>
      <w:r>
        <w:rPr>
          <w:rFonts w:ascii="Arial Narrow" w:hAnsi="Arial Narrow"/>
          <w:sz w:val="24"/>
          <w:szCs w:val="24"/>
        </w:rPr>
        <w:t>ině s oběma rodiči. Dalších 12</w:t>
      </w:r>
      <w:r w:rsidRPr="009B6FF4">
        <w:rPr>
          <w:rFonts w:ascii="Arial Narrow" w:hAnsi="Arial Narrow"/>
          <w:sz w:val="24"/>
          <w:szCs w:val="24"/>
        </w:rPr>
        <w:t> %</w:t>
      </w:r>
      <w:r>
        <w:rPr>
          <w:rFonts w:ascii="Arial Narrow" w:hAnsi="Arial Narrow"/>
          <w:sz w:val="24"/>
          <w:szCs w:val="24"/>
        </w:rPr>
        <w:t xml:space="preserve"> </w:t>
      </w:r>
      <w:r w:rsidRPr="009B6FF4">
        <w:rPr>
          <w:rFonts w:ascii="Arial Narrow" w:hAnsi="Arial Narrow"/>
          <w:sz w:val="24"/>
          <w:szCs w:val="24"/>
        </w:rPr>
        <w:t>osob žilo pouze s matkou</w:t>
      </w:r>
      <w:r w:rsidRPr="00446228">
        <w:rPr>
          <w:rFonts w:ascii="Arial Narrow" w:hAnsi="Arial Narrow"/>
          <w:sz w:val="24"/>
          <w:szCs w:val="24"/>
        </w:rPr>
        <w:t>, přičemž 6,</w:t>
      </w:r>
      <w:r>
        <w:rPr>
          <w:rFonts w:ascii="Arial Narrow" w:hAnsi="Arial Narrow"/>
          <w:sz w:val="24"/>
          <w:szCs w:val="24"/>
        </w:rPr>
        <w:t>6</w:t>
      </w:r>
      <w:r w:rsidRPr="00446228">
        <w:rPr>
          <w:rFonts w:ascii="Arial Narrow" w:hAnsi="Arial Narrow"/>
          <w:sz w:val="24"/>
          <w:szCs w:val="24"/>
        </w:rPr>
        <w:t xml:space="preserve"> % z nich bylo v k</w:t>
      </w:r>
      <w:r w:rsidR="00A9331C">
        <w:rPr>
          <w:rFonts w:ascii="Arial Narrow" w:hAnsi="Arial Narrow"/>
          <w:sz w:val="24"/>
          <w:szCs w:val="24"/>
        </w:rPr>
        <w:t>ontaktu se svým otcem a 5,4 % s </w:t>
      </w:r>
      <w:r w:rsidRPr="00446228">
        <w:rPr>
          <w:rFonts w:ascii="Arial Narrow" w:hAnsi="Arial Narrow"/>
          <w:sz w:val="24"/>
          <w:szCs w:val="24"/>
        </w:rPr>
        <w:t>ním v kontaktu nebylo (buď s ním neudržovali styky, nebo svého otce ani neznali nebo již otec v té době nežil).</w:t>
      </w:r>
      <w:r>
        <w:rPr>
          <w:rFonts w:ascii="Arial Narrow" w:hAnsi="Arial Narrow"/>
          <w:sz w:val="24"/>
          <w:szCs w:val="24"/>
        </w:rPr>
        <w:t xml:space="preserve"> </w:t>
      </w:r>
      <w:r w:rsidRPr="009B6FF4">
        <w:rPr>
          <w:rFonts w:ascii="Arial Narrow" w:hAnsi="Arial Narrow"/>
          <w:sz w:val="24"/>
          <w:szCs w:val="24"/>
        </w:rPr>
        <w:t>Pouze 1</w:t>
      </w:r>
      <w:r>
        <w:rPr>
          <w:rFonts w:ascii="Arial Narrow" w:hAnsi="Arial Narrow"/>
          <w:sz w:val="24"/>
          <w:szCs w:val="24"/>
        </w:rPr>
        <w:t> </w:t>
      </w:r>
      <w:r w:rsidRPr="009B6FF4">
        <w:rPr>
          <w:rFonts w:ascii="Arial Narrow" w:hAnsi="Arial Narrow"/>
          <w:sz w:val="24"/>
          <w:szCs w:val="24"/>
        </w:rPr>
        <w:t xml:space="preserve">% respondentů žilo v té době </w:t>
      </w:r>
      <w:r>
        <w:rPr>
          <w:rFonts w:ascii="Arial Narrow" w:hAnsi="Arial Narrow"/>
          <w:sz w:val="24"/>
          <w:szCs w:val="24"/>
        </w:rPr>
        <w:t xml:space="preserve">jen </w:t>
      </w:r>
      <w:r w:rsidRPr="009B6FF4">
        <w:rPr>
          <w:rFonts w:ascii="Arial Narrow" w:hAnsi="Arial Narrow"/>
          <w:sz w:val="24"/>
          <w:szCs w:val="24"/>
        </w:rPr>
        <w:t xml:space="preserve">se svým otcem a </w:t>
      </w:r>
      <w:r>
        <w:rPr>
          <w:rFonts w:ascii="Arial Narrow" w:hAnsi="Arial Narrow"/>
          <w:sz w:val="24"/>
          <w:szCs w:val="24"/>
        </w:rPr>
        <w:t xml:space="preserve">polovina </w:t>
      </w:r>
      <w:r w:rsidRPr="009B6FF4">
        <w:rPr>
          <w:rFonts w:ascii="Arial Narrow" w:hAnsi="Arial Narrow"/>
          <w:sz w:val="24"/>
          <w:szCs w:val="24"/>
        </w:rPr>
        <w:t xml:space="preserve">z nich nebyla v kontaktu se svou matkou. V ojedinělých případech (0,5 %) žily tyto osoby bez obou rodičů u příbuzných nebo v pěstounské péči. </w:t>
      </w:r>
    </w:p>
    <w:p w14:paraId="41EF62D4" w14:textId="77777777" w:rsidR="00FF5FCB" w:rsidRDefault="00F05D88" w:rsidP="00A833B5">
      <w:pPr>
        <w:widowControl w:val="0"/>
        <w:spacing w:before="240" w:after="0" w:line="288" w:lineRule="auto"/>
        <w:jc w:val="both"/>
        <w:rPr>
          <w:rFonts w:ascii="Arial Narrow" w:hAnsi="Arial Narrow"/>
          <w:sz w:val="24"/>
          <w:szCs w:val="24"/>
        </w:rPr>
      </w:pPr>
      <w:r w:rsidRPr="009B6FF4">
        <w:rPr>
          <w:rFonts w:ascii="Arial Narrow" w:hAnsi="Arial Narrow"/>
          <w:sz w:val="24"/>
          <w:szCs w:val="24"/>
        </w:rPr>
        <w:t>Jejich odpovědi se však významně lišily podle stáří respondenta.</w:t>
      </w:r>
      <w:r w:rsidRPr="009B6FF4">
        <w:t xml:space="preserve"> </w:t>
      </w:r>
      <w:r w:rsidRPr="009B6FF4">
        <w:rPr>
          <w:rFonts w:ascii="Arial Narrow" w:hAnsi="Arial Narrow"/>
          <w:sz w:val="24"/>
          <w:szCs w:val="24"/>
        </w:rPr>
        <w:t>Z rozdělení podle věku dotazovaných je z</w:t>
      </w:r>
      <w:r>
        <w:rPr>
          <w:rFonts w:ascii="Arial Narrow" w:hAnsi="Arial Narrow"/>
          <w:sz w:val="24"/>
          <w:szCs w:val="24"/>
        </w:rPr>
        <w:t xml:space="preserve">cela patrný </w:t>
      </w:r>
      <w:r w:rsidRPr="009B6FF4">
        <w:rPr>
          <w:rFonts w:ascii="Arial Narrow" w:hAnsi="Arial Narrow"/>
          <w:sz w:val="24"/>
          <w:szCs w:val="24"/>
        </w:rPr>
        <w:t xml:space="preserve">snižující se podíl dětí vyrůstajících v úplných rodinách. </w:t>
      </w:r>
      <w:r>
        <w:rPr>
          <w:rFonts w:ascii="Arial Narrow" w:hAnsi="Arial Narrow"/>
          <w:sz w:val="24"/>
          <w:szCs w:val="24"/>
        </w:rPr>
        <w:t>Mladší respondenti do 30</w:t>
      </w:r>
      <w:r w:rsidRPr="002A3F15">
        <w:rPr>
          <w:rFonts w:ascii="Arial Narrow" w:hAnsi="Arial Narrow"/>
          <w:spacing w:val="-2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let žili</w:t>
      </w:r>
      <w:r w:rsidRPr="009B6FF4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ve 14 letech </w:t>
      </w:r>
      <w:r w:rsidRPr="009B6FF4">
        <w:rPr>
          <w:rFonts w:ascii="Arial Narrow" w:hAnsi="Arial Narrow"/>
          <w:sz w:val="24"/>
          <w:szCs w:val="24"/>
        </w:rPr>
        <w:t>s oběma rodiči v</w:t>
      </w:r>
      <w:r>
        <w:rPr>
          <w:rFonts w:ascii="Arial Narrow" w:hAnsi="Arial Narrow"/>
          <w:sz w:val="24"/>
          <w:szCs w:val="24"/>
        </w:rPr>
        <w:t> </w:t>
      </w:r>
      <w:r w:rsidRPr="009B6FF4">
        <w:rPr>
          <w:rFonts w:ascii="Arial Narrow" w:hAnsi="Arial Narrow"/>
          <w:sz w:val="24"/>
          <w:szCs w:val="24"/>
        </w:rPr>
        <w:t>8</w:t>
      </w:r>
      <w:r>
        <w:rPr>
          <w:rFonts w:ascii="Arial Narrow" w:hAnsi="Arial Narrow"/>
          <w:sz w:val="24"/>
          <w:szCs w:val="24"/>
        </w:rPr>
        <w:t>1,1</w:t>
      </w:r>
      <w:r w:rsidRPr="002A3F15">
        <w:rPr>
          <w:rFonts w:ascii="Arial Narrow" w:hAnsi="Arial Narrow"/>
          <w:spacing w:val="-20"/>
          <w:sz w:val="24"/>
          <w:szCs w:val="24"/>
        </w:rPr>
        <w:t xml:space="preserve"> </w:t>
      </w:r>
      <w:r w:rsidRPr="009B6FF4">
        <w:rPr>
          <w:rFonts w:ascii="Arial Narrow" w:hAnsi="Arial Narrow"/>
          <w:sz w:val="24"/>
          <w:szCs w:val="24"/>
        </w:rPr>
        <w:t>% případů</w:t>
      </w:r>
      <w:r>
        <w:rPr>
          <w:rFonts w:ascii="Arial Narrow" w:hAnsi="Arial Narrow"/>
          <w:sz w:val="24"/>
          <w:szCs w:val="24"/>
        </w:rPr>
        <w:t>, zatímco 18,5</w:t>
      </w:r>
      <w:r w:rsidRPr="002A3F15">
        <w:rPr>
          <w:rFonts w:ascii="Arial Narrow" w:hAnsi="Arial Narrow"/>
          <w:spacing w:val="-2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% z nich </w:t>
      </w:r>
      <w:r w:rsidRPr="009B6FF4">
        <w:rPr>
          <w:rFonts w:ascii="Arial Narrow" w:hAnsi="Arial Narrow"/>
          <w:sz w:val="24"/>
          <w:szCs w:val="24"/>
        </w:rPr>
        <w:t>žil</w:t>
      </w:r>
      <w:r>
        <w:rPr>
          <w:rFonts w:ascii="Arial Narrow" w:hAnsi="Arial Narrow"/>
          <w:sz w:val="24"/>
          <w:szCs w:val="24"/>
        </w:rPr>
        <w:t>o j</w:t>
      </w:r>
      <w:r w:rsidRPr="009B6FF4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>n</w:t>
      </w:r>
      <w:r w:rsidRPr="009B6FF4">
        <w:rPr>
          <w:rFonts w:ascii="Arial Narrow" w:hAnsi="Arial Narrow"/>
          <w:sz w:val="24"/>
          <w:szCs w:val="24"/>
        </w:rPr>
        <w:t xml:space="preserve"> s</w:t>
      </w:r>
      <w:r>
        <w:rPr>
          <w:rFonts w:ascii="Arial Narrow" w:hAnsi="Arial Narrow"/>
          <w:sz w:val="24"/>
          <w:szCs w:val="24"/>
        </w:rPr>
        <w:t> </w:t>
      </w:r>
      <w:r w:rsidRPr="009B6FF4">
        <w:rPr>
          <w:rFonts w:ascii="Arial Narrow" w:hAnsi="Arial Narrow"/>
          <w:sz w:val="24"/>
          <w:szCs w:val="24"/>
        </w:rPr>
        <w:t xml:space="preserve">jedním ze svých rodičů. </w:t>
      </w:r>
    </w:p>
    <w:p w14:paraId="03251777" w14:textId="0A64F25F" w:rsidR="00F05D88" w:rsidRPr="00A9331C" w:rsidRDefault="00F05D88" w:rsidP="00F05D88">
      <w:pPr>
        <w:widowControl w:val="0"/>
        <w:spacing w:after="0" w:line="288" w:lineRule="auto"/>
        <w:jc w:val="both"/>
      </w:pPr>
      <w:r w:rsidRPr="009B6FF4">
        <w:rPr>
          <w:rFonts w:ascii="Arial Narrow" w:hAnsi="Arial Narrow"/>
          <w:sz w:val="24"/>
          <w:szCs w:val="24"/>
        </w:rPr>
        <w:t>Oproti tomu osoby starší 5</w:t>
      </w:r>
      <w:r>
        <w:rPr>
          <w:rFonts w:ascii="Arial Narrow" w:hAnsi="Arial Narrow"/>
          <w:sz w:val="24"/>
          <w:szCs w:val="24"/>
        </w:rPr>
        <w:t>0</w:t>
      </w:r>
      <w:r w:rsidRPr="009B6FF4">
        <w:rPr>
          <w:rFonts w:ascii="Arial Narrow" w:hAnsi="Arial Narrow"/>
          <w:sz w:val="24"/>
          <w:szCs w:val="24"/>
        </w:rPr>
        <w:t xml:space="preserve"> let žily v úplné rodině s oběma rodiči </w:t>
      </w:r>
      <w:r>
        <w:rPr>
          <w:rFonts w:ascii="Arial Narrow" w:hAnsi="Arial Narrow"/>
          <w:sz w:val="24"/>
          <w:szCs w:val="24"/>
        </w:rPr>
        <w:t xml:space="preserve">téměř </w:t>
      </w:r>
      <w:r w:rsidRPr="009B6FF4">
        <w:rPr>
          <w:rFonts w:ascii="Arial Narrow" w:hAnsi="Arial Narrow"/>
          <w:sz w:val="24"/>
          <w:szCs w:val="24"/>
        </w:rPr>
        <w:t>v 9</w:t>
      </w:r>
      <w:r>
        <w:rPr>
          <w:rFonts w:ascii="Arial Narrow" w:hAnsi="Arial Narrow"/>
          <w:sz w:val="24"/>
          <w:szCs w:val="24"/>
        </w:rPr>
        <w:t>1</w:t>
      </w:r>
      <w:r w:rsidRPr="009B6FF4">
        <w:rPr>
          <w:rFonts w:ascii="Arial Narrow" w:hAnsi="Arial Narrow"/>
          <w:spacing w:val="-20"/>
          <w:sz w:val="24"/>
          <w:szCs w:val="24"/>
        </w:rPr>
        <w:t xml:space="preserve"> </w:t>
      </w:r>
      <w:r w:rsidRPr="009B6FF4">
        <w:rPr>
          <w:rFonts w:ascii="Arial Narrow" w:hAnsi="Arial Narrow"/>
          <w:sz w:val="24"/>
          <w:szCs w:val="24"/>
        </w:rPr>
        <w:t xml:space="preserve">% případů a </w:t>
      </w:r>
      <w:r>
        <w:rPr>
          <w:rFonts w:ascii="Arial Narrow" w:hAnsi="Arial Narrow"/>
          <w:sz w:val="24"/>
          <w:szCs w:val="24"/>
        </w:rPr>
        <w:t xml:space="preserve">pouze </w:t>
      </w:r>
      <w:r w:rsidRPr="009B6FF4">
        <w:rPr>
          <w:rFonts w:ascii="Arial Narrow" w:hAnsi="Arial Narrow"/>
          <w:sz w:val="24"/>
          <w:szCs w:val="24"/>
        </w:rPr>
        <w:t xml:space="preserve">každý </w:t>
      </w:r>
      <w:r>
        <w:rPr>
          <w:rFonts w:ascii="Arial Narrow" w:hAnsi="Arial Narrow"/>
          <w:sz w:val="24"/>
          <w:szCs w:val="24"/>
        </w:rPr>
        <w:t xml:space="preserve">jedenáctý </w:t>
      </w:r>
      <w:r w:rsidRPr="009B6FF4">
        <w:rPr>
          <w:rFonts w:ascii="Arial Narrow" w:hAnsi="Arial Narrow"/>
          <w:sz w:val="24"/>
          <w:szCs w:val="24"/>
        </w:rPr>
        <w:t xml:space="preserve">člověk žil </w:t>
      </w:r>
      <w:r>
        <w:rPr>
          <w:rFonts w:ascii="Arial Narrow" w:hAnsi="Arial Narrow"/>
          <w:sz w:val="24"/>
          <w:szCs w:val="24"/>
        </w:rPr>
        <w:t xml:space="preserve">jenom </w:t>
      </w:r>
      <w:r w:rsidRPr="009B6FF4">
        <w:rPr>
          <w:rFonts w:ascii="Arial Narrow" w:hAnsi="Arial Narrow"/>
          <w:sz w:val="24"/>
          <w:szCs w:val="24"/>
        </w:rPr>
        <w:t xml:space="preserve">s jedním rodičem, zpravidla s matkou. </w:t>
      </w:r>
    </w:p>
    <w:p w14:paraId="4AAE5FFC" w14:textId="78EF6344" w:rsidR="007C3A71" w:rsidRDefault="00432AC7" w:rsidP="00A833B5">
      <w:pPr>
        <w:widowControl w:val="0"/>
        <w:spacing w:before="240" w:after="120"/>
        <w:rPr>
          <w:rFonts w:ascii="Arial Narrow" w:hAnsi="Arial Narrow" w:cs="Arial"/>
          <w:bCs/>
          <w:color w:val="00B0F0"/>
        </w:rPr>
      </w:pPr>
      <w:r w:rsidRPr="006B7B9F">
        <w:rPr>
          <w:rFonts w:ascii="Arial Narrow" w:hAnsi="Arial Narrow" w:cs="Arial"/>
          <w:color w:val="00B0F0"/>
        </w:rPr>
        <w:t xml:space="preserve">Graf </w:t>
      </w:r>
      <w:r w:rsidR="00461CA1">
        <w:rPr>
          <w:rFonts w:ascii="Arial Narrow" w:hAnsi="Arial Narrow" w:cs="Arial"/>
          <w:color w:val="00B0F0"/>
        </w:rPr>
        <w:t>21</w:t>
      </w:r>
      <w:r w:rsidRPr="006B7B9F">
        <w:rPr>
          <w:rFonts w:ascii="Arial Narrow" w:hAnsi="Arial Narrow" w:cs="Arial"/>
          <w:color w:val="00B0F0"/>
        </w:rPr>
        <w:t>:</w:t>
      </w:r>
      <w:r w:rsidRPr="009B6FF4">
        <w:rPr>
          <w:rFonts w:ascii="Arial Narrow" w:hAnsi="Arial Narrow" w:cs="Arial"/>
          <w:color w:val="00B0F0"/>
        </w:rPr>
        <w:t xml:space="preserve"> </w:t>
      </w:r>
      <w:r w:rsidRPr="009B6FF4">
        <w:rPr>
          <w:rFonts w:ascii="Arial Narrow" w:hAnsi="Arial Narrow" w:cs="Arial"/>
          <w:bCs/>
          <w:color w:val="00B0F0"/>
        </w:rPr>
        <w:t>Typ domácnosti podle věku respondenta</w:t>
      </w:r>
      <w:r>
        <w:rPr>
          <w:rFonts w:ascii="Arial Narrow" w:hAnsi="Arial Narrow" w:cs="Arial"/>
          <w:bCs/>
          <w:color w:val="00B0F0"/>
        </w:rPr>
        <w:t xml:space="preserve"> (2023, v %)</w:t>
      </w:r>
    </w:p>
    <w:p w14:paraId="0B85A85E" w14:textId="79E6F69F" w:rsidR="00E951F1" w:rsidRDefault="004D555B" w:rsidP="00E951F1">
      <w:pPr>
        <w:widowControl w:val="0"/>
        <w:spacing w:after="120"/>
        <w:rPr>
          <w:rFonts w:ascii="Arial Narrow" w:eastAsia="Times New Roman" w:hAnsi="Arial Narrow"/>
          <w:sz w:val="24"/>
          <w:szCs w:val="24"/>
          <w:lang w:eastAsia="ar-SA"/>
        </w:rPr>
      </w:pPr>
      <w:r>
        <w:rPr>
          <w:noProof/>
          <w:lang w:eastAsia="cs-CZ"/>
        </w:rPr>
        <w:drawing>
          <wp:inline distT="0" distB="0" distL="0" distR="0" wp14:anchorId="79FC7D53" wp14:editId="4104A2CC">
            <wp:extent cx="5857875" cy="2286000"/>
            <wp:effectExtent l="0" t="0" r="0" b="0"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14:paraId="3794A790" w14:textId="77777777" w:rsidR="001D0DE1" w:rsidRPr="009B6FF4" w:rsidRDefault="001D0DE1" w:rsidP="001D0DE1">
      <w:pPr>
        <w:keepNext/>
        <w:suppressAutoHyphens/>
        <w:spacing w:after="240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  <w:r w:rsidRPr="009B6FF4">
        <w:rPr>
          <w:rFonts w:ascii="Arial Narrow" w:eastAsia="Times New Roman" w:hAnsi="Arial Narrow"/>
          <w:sz w:val="24"/>
          <w:szCs w:val="24"/>
          <w:lang w:eastAsia="ar-SA"/>
        </w:rPr>
        <w:t xml:space="preserve">Další sledovanou charakteristikou v rámci modulových otázek byla velikost obce, ve které žil dotazovaný ve </w:t>
      </w:r>
      <w:r>
        <w:rPr>
          <w:rFonts w:ascii="Arial Narrow" w:eastAsia="Times New Roman" w:hAnsi="Arial Narrow"/>
          <w:sz w:val="24"/>
          <w:szCs w:val="24"/>
          <w:lang w:eastAsia="ar-SA"/>
        </w:rPr>
        <w:t xml:space="preserve">svých </w:t>
      </w:r>
      <w:r w:rsidRPr="009B6FF4">
        <w:rPr>
          <w:rFonts w:ascii="Arial Narrow" w:eastAsia="Times New Roman" w:hAnsi="Arial Narrow"/>
          <w:sz w:val="24"/>
          <w:szCs w:val="24"/>
          <w:lang w:eastAsia="ar-SA"/>
        </w:rPr>
        <w:t xml:space="preserve">14 letech. Obce byly rozděleny do 3 kategorií – vesnice či menší města do 10 tisíc obyvatel, středně velká města od 10 do 100 tisíc obyvatel a velká města nad 100 tisíc obyvatel. </w:t>
      </w:r>
    </w:p>
    <w:p w14:paraId="2F041FF9" w14:textId="4F58064C" w:rsidR="00432AC7" w:rsidRPr="009B6FF4" w:rsidRDefault="00432AC7" w:rsidP="006B3CA1">
      <w:pPr>
        <w:keepNext/>
        <w:suppressAutoHyphens/>
        <w:spacing w:before="120" w:after="0" w:line="240" w:lineRule="auto"/>
        <w:rPr>
          <w:rFonts w:ascii="Arial Narrow" w:eastAsia="Times New Roman" w:hAnsi="Arial Narrow" w:cs="Arial"/>
          <w:bCs/>
          <w:color w:val="00ADDC"/>
          <w:lang w:eastAsia="ar-SA"/>
        </w:rPr>
      </w:pPr>
      <w:r w:rsidRPr="006B7B9F">
        <w:rPr>
          <w:rFonts w:ascii="Arial Narrow" w:eastAsia="Times New Roman" w:hAnsi="Arial Narrow" w:cs="Arial"/>
          <w:color w:val="00ADDC"/>
          <w:lang w:eastAsia="ar-SA"/>
        </w:rPr>
        <w:t xml:space="preserve">Graf </w:t>
      </w:r>
      <w:r w:rsidR="00461CA1">
        <w:rPr>
          <w:rFonts w:ascii="Arial Narrow" w:eastAsia="Times New Roman" w:hAnsi="Arial Narrow" w:cs="Arial"/>
          <w:color w:val="00ADDC"/>
          <w:lang w:eastAsia="ar-SA"/>
        </w:rPr>
        <w:t>22</w:t>
      </w:r>
      <w:r w:rsidRPr="006B7B9F">
        <w:rPr>
          <w:rFonts w:ascii="Arial Narrow" w:eastAsia="Times New Roman" w:hAnsi="Arial Narrow" w:cs="Arial"/>
          <w:color w:val="00ADDC"/>
          <w:lang w:eastAsia="ar-SA"/>
        </w:rPr>
        <w:t xml:space="preserve">: </w:t>
      </w:r>
      <w:r w:rsidRPr="006B7B9F">
        <w:rPr>
          <w:rFonts w:ascii="Arial Narrow" w:eastAsia="Times New Roman" w:hAnsi="Arial Narrow" w:cs="Arial"/>
          <w:bCs/>
          <w:color w:val="00ADDC"/>
          <w:lang w:eastAsia="ar-SA"/>
        </w:rPr>
        <w:t>Velikost</w:t>
      </w:r>
      <w:r w:rsidRPr="009B6FF4">
        <w:rPr>
          <w:rFonts w:ascii="Arial Narrow" w:eastAsia="Times New Roman" w:hAnsi="Arial Narrow" w:cs="Arial"/>
          <w:bCs/>
          <w:color w:val="00ADDC"/>
          <w:lang w:eastAsia="ar-SA"/>
        </w:rPr>
        <w:t xml:space="preserve"> obce, kde respondent vyrůstal ve 14 letech a kde žije nyní</w:t>
      </w:r>
    </w:p>
    <w:p w14:paraId="06764A25" w14:textId="0156ADFD" w:rsidR="00432AC7" w:rsidRPr="00F92E0F" w:rsidRDefault="00F05D88" w:rsidP="00F92E0F">
      <w:pPr>
        <w:keepNext/>
        <w:suppressAutoHyphens/>
        <w:spacing w:before="120" w:after="160" w:line="240" w:lineRule="auto"/>
        <w:jc w:val="right"/>
        <w:rPr>
          <w:rFonts w:ascii="Arial Narrow" w:eastAsia="Times New Roman" w:hAnsi="Arial Narrow"/>
          <w:color w:val="00ADDC"/>
          <w:lang w:eastAsia="ar-SA"/>
        </w:rPr>
      </w:pPr>
      <w:r w:rsidRPr="009B6FF4">
        <w:rPr>
          <w:rFonts w:ascii="Arial Narrow" w:eastAsia="Times New Roman" w:hAnsi="Arial Narrow"/>
          <w:noProof/>
          <w:color w:val="00ADDC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AE56A9" wp14:editId="64046B97">
                <wp:simplePos x="0" y="0"/>
                <wp:positionH relativeFrom="margin">
                  <wp:posOffset>1460500</wp:posOffset>
                </wp:positionH>
                <wp:positionV relativeFrom="paragraph">
                  <wp:posOffset>192405</wp:posOffset>
                </wp:positionV>
                <wp:extent cx="2880000" cy="180000"/>
                <wp:effectExtent l="0" t="0" r="15875" b="10795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18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</wps:spPr>
                      <wps:txbx>
                        <w:txbxContent>
                          <w:p w14:paraId="1A96BF63" w14:textId="77777777" w:rsidR="00432AC7" w:rsidRPr="00922F07" w:rsidRDefault="00432AC7" w:rsidP="00432AC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bg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2F07"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bg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Velikost obce, kde žije respondent </w:t>
                            </w:r>
                            <w:r w:rsidRPr="00922F07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bg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 současnosti</w:t>
                            </w:r>
                          </w:p>
                          <w:p w14:paraId="24390B63" w14:textId="77777777" w:rsidR="00432AC7" w:rsidRPr="008D17B5" w:rsidRDefault="00432AC7" w:rsidP="00432A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AE56A9"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6" type="#_x0000_t202" style="position:absolute;left:0;text-align:left;margin-left:115pt;margin-top:15.15pt;width:226.7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" fillcolor="window" strokecolor="#bfbfbf" strokeweight=".5pt">
                <v:textbox inset=".5mm,.5mm,.5mm,.5mm">
                  <w:txbxContent>
                    <w:p w14:paraId="1A96BF63" w14:textId="77777777" w:rsidR="00432AC7" w:rsidRPr="00922F07" w:rsidRDefault="00432AC7" w:rsidP="00432AC7">
                      <w:pPr>
                        <w:jc w:val="center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bg1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2F07"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bg1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Velikost obce, kde žije respondent </w:t>
                      </w:r>
                      <w:r w:rsidRPr="00922F07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bg1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 současnosti</w:t>
                      </w:r>
                    </w:p>
                    <w:p w14:paraId="24390B63" w14:textId="77777777" w:rsidR="00432AC7" w:rsidRPr="008D17B5" w:rsidRDefault="00432AC7" w:rsidP="00432AC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8DEB63" w14:textId="1DBC75B1" w:rsidR="002A4D83" w:rsidRDefault="00E951F1" w:rsidP="00106490">
      <w:pPr>
        <w:spacing w:before="160" w:after="0"/>
        <w:jc w:val="right"/>
        <w:rPr>
          <w:rFonts w:ascii="Arial Narrow" w:hAnsi="Arial Narrow"/>
          <w:sz w:val="24"/>
          <w:szCs w:val="24"/>
        </w:rPr>
      </w:pPr>
      <w:r w:rsidRPr="00E951F1">
        <w:rPr>
          <w:noProof/>
          <w:lang w:eastAsia="cs-CZ"/>
        </w:rPr>
        <w:drawing>
          <wp:inline distT="0" distB="0" distL="0" distR="0" wp14:anchorId="61FBD872" wp14:editId="36C0AF72">
            <wp:extent cx="5467350" cy="2695575"/>
            <wp:effectExtent l="0" t="0" r="0" b="0"/>
            <wp:docPr id="35" name="Graf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  <w:r w:rsidR="00F92E0F" w:rsidRPr="009B6FF4">
        <w:rPr>
          <w:rFonts w:ascii="Arial Narrow" w:eastAsia="Times New Roman" w:hAnsi="Arial Narrow"/>
          <w:noProof/>
          <w:color w:val="00ADDC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D49903" wp14:editId="50BB3C67">
                <wp:simplePos x="0" y="0"/>
                <wp:positionH relativeFrom="margin">
                  <wp:align>left</wp:align>
                </wp:positionH>
                <wp:positionV relativeFrom="paragraph">
                  <wp:posOffset>77470</wp:posOffset>
                </wp:positionV>
                <wp:extent cx="215900" cy="2087880"/>
                <wp:effectExtent l="0" t="0" r="12700" b="2667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087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</wps:spPr>
                      <wps:txbx>
                        <w:txbxContent>
                          <w:p w14:paraId="2286F7F0" w14:textId="77777777" w:rsidR="00F92E0F" w:rsidRPr="00922F07" w:rsidRDefault="00F92E0F" w:rsidP="00F92E0F">
                            <w:pP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bg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2F07"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bg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Velikost obce, kde respondent </w:t>
                            </w:r>
                            <w:r w:rsidRPr="00922F07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bg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vyrůstal</w:t>
                            </w:r>
                          </w:p>
                          <w:p w14:paraId="2EE27DB7" w14:textId="77777777" w:rsidR="00F92E0F" w:rsidRPr="00B1758D" w:rsidRDefault="00F92E0F" w:rsidP="00F92E0F">
                            <w:pPr>
                              <w:rPr>
                                <w:b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1FDB2EB" w14:textId="77777777" w:rsidR="00F92E0F" w:rsidRPr="00B1758D" w:rsidRDefault="00F92E0F" w:rsidP="00F92E0F">
                            <w:r w:rsidRPr="00B1758D">
                              <w:rPr>
                                <w:b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,)</w:t>
                            </w:r>
                            <w:r>
                              <w:rPr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.¨§</w:t>
                            </w:r>
                            <w:r w:rsidRPr="00B1758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VelikoVkeofpodjkvpjsd</w:t>
                            </w:r>
                            <w:r>
                              <w:t>¨vdl</w:t>
                            </w:r>
                            <w:r>
                              <w:br/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36000" tIns="18000" rIns="1800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49903" id="Textové pole 17" o:spid="_x0000_s1027" type="#_x0000_t202" style="position:absolute;left:0;text-align:left;margin-left:0;margin-top:6.1pt;width:17pt;height:164.4pt;z-index:25167257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" fillcolor="window" strokecolor="#bfbfbf" strokeweight=".25pt">
                <v:textbox style="layout-flow:vertical;mso-layout-flow-alt:bottom-to-top" inset="1mm,.5mm,.5mm,.5mm">
                  <w:txbxContent>
                    <w:p w14:paraId="2286F7F0" w14:textId="77777777" w:rsidR="00F92E0F" w:rsidRPr="00922F07" w:rsidRDefault="00F92E0F" w:rsidP="00F92E0F">
                      <w:pP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bg1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2F07"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bg1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Velikost obce, kde respondent </w:t>
                      </w:r>
                      <w:r w:rsidRPr="00922F07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bg1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vyrůstal</w:t>
                      </w:r>
                    </w:p>
                    <w:p w14:paraId="2EE27DB7" w14:textId="77777777" w:rsidR="00F92E0F" w:rsidRPr="00B1758D" w:rsidRDefault="00F92E0F" w:rsidP="00F92E0F">
                      <w:pPr>
                        <w:rPr>
                          <w:b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1FDB2EB" w14:textId="77777777" w:rsidR="00F92E0F" w:rsidRPr="00B1758D" w:rsidRDefault="00F92E0F" w:rsidP="00F92E0F">
                      <w:r w:rsidRPr="00B1758D">
                        <w:rPr>
                          <w:b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,)</w:t>
                      </w:r>
                      <w:r>
                        <w:rPr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.¨§</w:t>
                      </w:r>
                      <w:r w:rsidRPr="00B1758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VelikoVkeofpodjkvpjsd</w:t>
                      </w:r>
                      <w:r>
                        <w:t>¨vdl</w:t>
                      </w:r>
                      <w:r>
                        <w:br/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7DD47E" w14:textId="4C631D21" w:rsidR="00FF5FCB" w:rsidRDefault="00432AC7" w:rsidP="003B5C40">
      <w:pPr>
        <w:spacing w:before="160" w:after="0"/>
        <w:jc w:val="both"/>
        <w:rPr>
          <w:rFonts w:ascii="Arial Narrow" w:hAnsi="Arial Narrow"/>
          <w:sz w:val="24"/>
          <w:szCs w:val="24"/>
        </w:rPr>
      </w:pPr>
      <w:r w:rsidRPr="009B6FF4">
        <w:rPr>
          <w:rFonts w:ascii="Arial Narrow" w:hAnsi="Arial Narrow"/>
          <w:sz w:val="24"/>
          <w:szCs w:val="24"/>
        </w:rPr>
        <w:lastRenderedPageBreak/>
        <w:t>Téměř tři čtvrtiny osob, které ve</w:t>
      </w:r>
      <w:r w:rsidRPr="009B6FF4">
        <w:rPr>
          <w:rFonts w:ascii="Arial Narrow" w:hAnsi="Arial Narrow"/>
          <w:spacing w:val="-20"/>
          <w:sz w:val="24"/>
          <w:szCs w:val="24"/>
        </w:rPr>
        <w:t xml:space="preserve"> </w:t>
      </w:r>
      <w:r w:rsidRPr="009B6FF4">
        <w:rPr>
          <w:rFonts w:ascii="Arial Narrow" w:hAnsi="Arial Narrow"/>
          <w:sz w:val="24"/>
          <w:szCs w:val="24"/>
        </w:rPr>
        <w:t>14 letech žily ve velkém městě nad 100 tisíc obyvatel,</w:t>
      </w:r>
      <w:r w:rsidRPr="009B6FF4">
        <w:rPr>
          <w:rFonts w:ascii="Arial Narrow" w:hAnsi="Arial Narrow"/>
          <w:spacing w:val="-20"/>
          <w:sz w:val="24"/>
          <w:szCs w:val="24"/>
        </w:rPr>
        <w:t xml:space="preserve"> </w:t>
      </w:r>
      <w:r w:rsidRPr="009B6FF4">
        <w:rPr>
          <w:rFonts w:ascii="Arial Narrow" w:hAnsi="Arial Narrow"/>
          <w:sz w:val="24"/>
          <w:szCs w:val="24"/>
        </w:rPr>
        <w:t>v něm žijí i</w:t>
      </w:r>
      <w:r w:rsidRPr="009B6FF4">
        <w:rPr>
          <w:rFonts w:ascii="Arial Narrow" w:hAnsi="Arial Narrow"/>
          <w:spacing w:val="-20"/>
          <w:sz w:val="24"/>
          <w:szCs w:val="24"/>
        </w:rPr>
        <w:t> </w:t>
      </w:r>
      <w:r w:rsidR="001E6073">
        <w:rPr>
          <w:rFonts w:ascii="Arial Narrow" w:hAnsi="Arial Narrow"/>
          <w:sz w:val="24"/>
          <w:szCs w:val="24"/>
        </w:rPr>
        <w:t>nadále,</w:t>
      </w:r>
      <w:r w:rsidR="00530EA7">
        <w:rPr>
          <w:rFonts w:ascii="Arial Narrow" w:hAnsi="Arial Narrow"/>
          <w:sz w:val="24"/>
          <w:szCs w:val="24"/>
        </w:rPr>
        <w:t xml:space="preserve"> 14,5</w:t>
      </w:r>
      <w:r w:rsidRPr="007B63CD">
        <w:rPr>
          <w:rFonts w:ascii="Arial Narrow" w:hAnsi="Arial Narrow"/>
          <w:sz w:val="24"/>
          <w:szCs w:val="24"/>
        </w:rPr>
        <w:t xml:space="preserve"> % z</w:t>
      </w:r>
      <w:r w:rsidRPr="009B6FF4">
        <w:rPr>
          <w:rFonts w:ascii="Arial Narrow" w:hAnsi="Arial Narrow"/>
          <w:sz w:val="24"/>
          <w:szCs w:val="24"/>
        </w:rPr>
        <w:t xml:space="preserve"> nich se přestěhovalo na venkov. Naopak z těch osob, které ve 14 letech žily na vesnici či v malém městě, se </w:t>
      </w:r>
      <w:r>
        <w:rPr>
          <w:rFonts w:ascii="Arial Narrow" w:hAnsi="Arial Narrow"/>
          <w:sz w:val="24"/>
          <w:szCs w:val="24"/>
        </w:rPr>
        <w:t xml:space="preserve">necelá desetina </w:t>
      </w:r>
      <w:r w:rsidRPr="009B6FF4">
        <w:rPr>
          <w:rFonts w:ascii="Arial Narrow" w:hAnsi="Arial Narrow"/>
          <w:sz w:val="24"/>
          <w:szCs w:val="24"/>
        </w:rPr>
        <w:t xml:space="preserve">respondentů </w:t>
      </w:r>
      <w:r>
        <w:rPr>
          <w:rFonts w:ascii="Arial Narrow" w:hAnsi="Arial Narrow"/>
          <w:sz w:val="24"/>
          <w:szCs w:val="24"/>
        </w:rPr>
        <w:t>(9,6</w:t>
      </w:r>
      <w:r w:rsidRPr="009B6FF4">
        <w:rPr>
          <w:rFonts w:ascii="Arial Narrow" w:hAnsi="Arial Narrow"/>
          <w:sz w:val="24"/>
          <w:szCs w:val="24"/>
        </w:rPr>
        <w:t xml:space="preserve"> %</w:t>
      </w:r>
      <w:r>
        <w:rPr>
          <w:rFonts w:ascii="Arial Narrow" w:hAnsi="Arial Narrow"/>
          <w:sz w:val="24"/>
          <w:szCs w:val="24"/>
        </w:rPr>
        <w:t xml:space="preserve">) </w:t>
      </w:r>
      <w:r w:rsidRPr="009B6FF4">
        <w:rPr>
          <w:rFonts w:ascii="Arial Narrow" w:hAnsi="Arial Narrow"/>
          <w:sz w:val="24"/>
          <w:szCs w:val="24"/>
        </w:rPr>
        <w:t>přestěhoval</w:t>
      </w:r>
      <w:r>
        <w:rPr>
          <w:rFonts w:ascii="Arial Narrow" w:hAnsi="Arial Narrow"/>
          <w:sz w:val="24"/>
          <w:szCs w:val="24"/>
        </w:rPr>
        <w:t>a</w:t>
      </w:r>
      <w:r w:rsidRPr="009B6FF4">
        <w:rPr>
          <w:rFonts w:ascii="Arial Narrow" w:hAnsi="Arial Narrow"/>
          <w:sz w:val="24"/>
          <w:szCs w:val="24"/>
        </w:rPr>
        <w:t xml:space="preserve"> do velkého města a bezmála tři čtvrtiny z nich zůstaly bydlet v malé obci. Největší podíl stěhování byl ze středně velkých měst, odkud se téměř polovina respondentů přesunula do menšího </w:t>
      </w:r>
      <w:r>
        <w:rPr>
          <w:rFonts w:ascii="Arial Narrow" w:hAnsi="Arial Narrow"/>
          <w:sz w:val="24"/>
          <w:szCs w:val="24"/>
        </w:rPr>
        <w:t xml:space="preserve">nebo </w:t>
      </w:r>
      <w:r w:rsidRPr="009B6FF4">
        <w:rPr>
          <w:rFonts w:ascii="Arial Narrow" w:hAnsi="Arial Narrow"/>
          <w:sz w:val="24"/>
          <w:szCs w:val="24"/>
        </w:rPr>
        <w:t xml:space="preserve">naopak </w:t>
      </w:r>
      <w:r>
        <w:rPr>
          <w:rFonts w:ascii="Arial Narrow" w:hAnsi="Arial Narrow"/>
          <w:sz w:val="24"/>
          <w:szCs w:val="24"/>
        </w:rPr>
        <w:t xml:space="preserve">do </w:t>
      </w:r>
      <w:r w:rsidRPr="009B6FF4">
        <w:rPr>
          <w:rFonts w:ascii="Arial Narrow" w:hAnsi="Arial Narrow"/>
          <w:sz w:val="24"/>
          <w:szCs w:val="24"/>
        </w:rPr>
        <w:t>většího města.</w:t>
      </w:r>
    </w:p>
    <w:p w14:paraId="16AC8D2E" w14:textId="43F56F72" w:rsidR="00432AC7" w:rsidRDefault="00432AC7" w:rsidP="003B5C40">
      <w:pPr>
        <w:spacing w:before="240" w:after="160"/>
        <w:jc w:val="both"/>
        <w:rPr>
          <w:rFonts w:ascii="Arial Narrow" w:hAnsi="Arial Narrow"/>
          <w:sz w:val="24"/>
          <w:szCs w:val="24"/>
        </w:rPr>
      </w:pPr>
      <w:r w:rsidRPr="009B6FF4">
        <w:rPr>
          <w:rFonts w:ascii="Arial Narrow" w:hAnsi="Arial Narrow"/>
          <w:sz w:val="24"/>
          <w:szCs w:val="24"/>
        </w:rPr>
        <w:t>Dalším okruhem otázek bylo nejvyšší dokončené vzdělání rodičů respondenta v době, kdy mu bylo 14</w:t>
      </w:r>
      <w:r w:rsidRPr="009B6FF4">
        <w:rPr>
          <w:rFonts w:ascii="Arial Narrow" w:hAnsi="Arial Narrow"/>
          <w:spacing w:val="-20"/>
          <w:sz w:val="24"/>
          <w:szCs w:val="24"/>
        </w:rPr>
        <w:t xml:space="preserve"> </w:t>
      </w:r>
      <w:r w:rsidRPr="009B6FF4">
        <w:rPr>
          <w:rFonts w:ascii="Arial Narrow" w:hAnsi="Arial Narrow"/>
          <w:sz w:val="24"/>
          <w:szCs w:val="24"/>
        </w:rPr>
        <w:t xml:space="preserve">let. Dotazovaní, kteří dosáhli maximálně středního vzdělání bez maturity (tj. ukončili jen základní školu nebo obdrželi výuční list) měli v </w:t>
      </w:r>
      <w:r w:rsidRPr="003519F5">
        <w:rPr>
          <w:rFonts w:ascii="Arial Narrow" w:hAnsi="Arial Narrow"/>
          <w:sz w:val="24"/>
          <w:szCs w:val="24"/>
        </w:rPr>
        <w:t>69,3</w:t>
      </w:r>
      <w:r w:rsidRPr="009B6FF4">
        <w:rPr>
          <w:rFonts w:ascii="Arial Narrow" w:hAnsi="Arial Narrow"/>
          <w:sz w:val="24"/>
          <w:szCs w:val="24"/>
        </w:rPr>
        <w:t xml:space="preserve"> % také rodiče s tímto stupněm vzdělání. Pouze </w:t>
      </w:r>
      <w:r>
        <w:rPr>
          <w:rFonts w:ascii="Arial Narrow" w:hAnsi="Arial Narrow"/>
          <w:sz w:val="24"/>
          <w:szCs w:val="24"/>
        </w:rPr>
        <w:t>2,2</w:t>
      </w:r>
      <w:r w:rsidRPr="009B6FF4">
        <w:rPr>
          <w:rFonts w:ascii="Arial Narrow" w:hAnsi="Arial Narrow"/>
          <w:sz w:val="24"/>
          <w:szCs w:val="24"/>
        </w:rPr>
        <w:t xml:space="preserve"> % z nich měla alespoň jednoho z rodičů vysokoškoláka. </w:t>
      </w:r>
      <w:r>
        <w:rPr>
          <w:rFonts w:ascii="Arial Narrow" w:hAnsi="Arial Narrow"/>
          <w:sz w:val="24"/>
          <w:szCs w:val="24"/>
        </w:rPr>
        <w:t xml:space="preserve">Přes </w:t>
      </w:r>
      <w:r w:rsidRPr="009B6FF4">
        <w:rPr>
          <w:rFonts w:ascii="Arial Narrow" w:hAnsi="Arial Narrow"/>
          <w:sz w:val="24"/>
          <w:szCs w:val="24"/>
        </w:rPr>
        <w:t>polovin</w:t>
      </w:r>
      <w:r>
        <w:rPr>
          <w:rFonts w:ascii="Arial Narrow" w:hAnsi="Arial Narrow"/>
          <w:sz w:val="24"/>
          <w:szCs w:val="24"/>
        </w:rPr>
        <w:t>u</w:t>
      </w:r>
      <w:r w:rsidRPr="009B6FF4">
        <w:rPr>
          <w:rFonts w:ascii="Arial Narrow" w:hAnsi="Arial Narrow"/>
          <w:sz w:val="24"/>
          <w:szCs w:val="24"/>
        </w:rPr>
        <w:t xml:space="preserve"> dnešních středoškoláků s maturitou, příp. s nástavbou nebo absolventů vyšší odborné školy</w:t>
      </w:r>
      <w:r w:rsidR="001E6073">
        <w:rPr>
          <w:rFonts w:ascii="Arial Narrow" w:hAnsi="Arial Narrow"/>
          <w:sz w:val="24"/>
          <w:szCs w:val="24"/>
        </w:rPr>
        <w:t>,</w:t>
      </w:r>
      <w:r w:rsidRPr="009B6FF4">
        <w:rPr>
          <w:rFonts w:ascii="Arial Narrow" w:hAnsi="Arial Narrow"/>
          <w:sz w:val="24"/>
          <w:szCs w:val="24"/>
        </w:rPr>
        <w:t xml:space="preserve"> mělo také matku či otce s úplným středoškolským</w:t>
      </w:r>
      <w:r>
        <w:rPr>
          <w:rFonts w:ascii="Arial Narrow" w:hAnsi="Arial Narrow"/>
          <w:sz w:val="24"/>
          <w:szCs w:val="24"/>
        </w:rPr>
        <w:t xml:space="preserve"> vzděláním. Velká část z nich (37</w:t>
      </w:r>
      <w:r w:rsidRPr="009B6FF4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>3</w:t>
      </w:r>
      <w:r w:rsidRPr="009B6FF4">
        <w:rPr>
          <w:rFonts w:ascii="Arial Narrow" w:hAnsi="Arial Narrow"/>
          <w:sz w:val="24"/>
          <w:szCs w:val="24"/>
        </w:rPr>
        <w:t xml:space="preserve"> %) ale měla oba rodiče bez maturity. Osoby, které úspěšně dok</w:t>
      </w:r>
      <w:r>
        <w:rPr>
          <w:rFonts w:ascii="Arial Narrow" w:hAnsi="Arial Narrow"/>
          <w:sz w:val="24"/>
          <w:szCs w:val="24"/>
        </w:rPr>
        <w:t xml:space="preserve">ončily studium na vysoké škole, </w:t>
      </w:r>
      <w:r w:rsidRPr="009B6FF4">
        <w:rPr>
          <w:rFonts w:ascii="Arial Narrow" w:hAnsi="Arial Narrow"/>
          <w:sz w:val="24"/>
          <w:szCs w:val="24"/>
        </w:rPr>
        <w:t>měly nejčastěji rodiče středoškoláky</w:t>
      </w:r>
      <w:r>
        <w:rPr>
          <w:rFonts w:ascii="Arial Narrow" w:hAnsi="Arial Narrow"/>
          <w:sz w:val="24"/>
          <w:szCs w:val="24"/>
        </w:rPr>
        <w:t>, bezmála polovina z nich (49</w:t>
      </w:r>
      <w:r w:rsidRPr="009B6FF4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>2</w:t>
      </w:r>
      <w:r w:rsidRPr="009B6FF4">
        <w:rPr>
          <w:rFonts w:ascii="Arial Narrow" w:hAnsi="Arial Narrow"/>
          <w:sz w:val="24"/>
          <w:szCs w:val="24"/>
        </w:rPr>
        <w:t xml:space="preserve"> %), avšak 36 % </w:t>
      </w:r>
      <w:r>
        <w:rPr>
          <w:rFonts w:ascii="Arial Narrow" w:hAnsi="Arial Narrow"/>
          <w:sz w:val="24"/>
          <w:szCs w:val="24"/>
        </w:rPr>
        <w:t xml:space="preserve">současných vysokoškoláků </w:t>
      </w:r>
      <w:r w:rsidRPr="009B6FF4">
        <w:rPr>
          <w:rFonts w:ascii="Arial Narrow" w:hAnsi="Arial Narrow"/>
          <w:sz w:val="24"/>
          <w:szCs w:val="24"/>
        </w:rPr>
        <w:t xml:space="preserve">mělo alespoň jednoho rodiče s vysokoškolským diplomem. </w:t>
      </w:r>
    </w:p>
    <w:p w14:paraId="2B3C714A" w14:textId="440CEF40" w:rsidR="00115745" w:rsidRPr="00115745" w:rsidRDefault="006B7B9F" w:rsidP="00993140">
      <w:pPr>
        <w:spacing w:before="240" w:after="160"/>
        <w:rPr>
          <w:rFonts w:ascii="Arial Narrow" w:hAnsi="Arial Narrow" w:cs="Arial"/>
          <w:bCs/>
          <w:color w:val="00B0F0"/>
        </w:rPr>
      </w:pPr>
      <w:r>
        <w:rPr>
          <w:rFonts w:ascii="Arial Narrow" w:hAnsi="Arial Narrow" w:cs="Arial"/>
          <w:color w:val="00B0F0"/>
        </w:rPr>
        <w:t>Tab. 3</w:t>
      </w:r>
      <w:r w:rsidR="00432AC7" w:rsidRPr="009B6FF4">
        <w:rPr>
          <w:rFonts w:ascii="Arial Narrow" w:hAnsi="Arial Narrow" w:cs="Arial"/>
          <w:color w:val="00B0F0"/>
        </w:rPr>
        <w:t xml:space="preserve">: Dosažené </w:t>
      </w:r>
      <w:r w:rsidR="00432AC7" w:rsidRPr="009B6FF4">
        <w:rPr>
          <w:rFonts w:ascii="Arial Narrow" w:hAnsi="Arial Narrow" w:cs="Arial"/>
          <w:bCs/>
          <w:color w:val="00B0F0"/>
        </w:rPr>
        <w:t>vzdělání respondenta oproti vzdělání jeho rodičů</w:t>
      </w:r>
      <w:r w:rsidR="00432AC7">
        <w:rPr>
          <w:rFonts w:ascii="Arial Narrow" w:hAnsi="Arial Narrow" w:cs="Arial"/>
          <w:bCs/>
          <w:color w:val="00B0F0"/>
        </w:rPr>
        <w:t xml:space="preserve"> (2023, v %)</w:t>
      </w:r>
    </w:p>
    <w:tbl>
      <w:tblPr>
        <w:tblStyle w:val="Mkatabulky"/>
        <w:tblW w:w="9072" w:type="dxa"/>
        <w:jc w:val="center"/>
        <w:tblLook w:val="04A0" w:firstRow="1" w:lastRow="0" w:firstColumn="1" w:lastColumn="0" w:noHBand="0" w:noVBand="1"/>
      </w:tblPr>
      <w:tblGrid>
        <w:gridCol w:w="988"/>
        <w:gridCol w:w="2838"/>
        <w:gridCol w:w="1746"/>
        <w:gridCol w:w="1748"/>
        <w:gridCol w:w="1752"/>
      </w:tblGrid>
      <w:tr w:rsidR="00115745" w:rsidRPr="009B6FF4" w14:paraId="5E59FEDD" w14:textId="77777777" w:rsidTr="00115745">
        <w:trPr>
          <w:trHeight w:val="372"/>
          <w:jc w:val="center"/>
        </w:trPr>
        <w:tc>
          <w:tcPr>
            <w:tcW w:w="988" w:type="dxa"/>
            <w:textDirection w:val="btLr"/>
            <w:vAlign w:val="center"/>
          </w:tcPr>
          <w:p w14:paraId="1D4C3410" w14:textId="77777777" w:rsidR="00115745" w:rsidRPr="001E6073" w:rsidRDefault="00115745" w:rsidP="004A0827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2838" w:type="dxa"/>
          </w:tcPr>
          <w:p w14:paraId="0F75F892" w14:textId="77777777" w:rsidR="00115745" w:rsidRPr="009B6FF4" w:rsidRDefault="00115745" w:rsidP="004A0827">
            <w:pPr>
              <w:spacing w:after="160"/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</w:tc>
        <w:tc>
          <w:tcPr>
            <w:tcW w:w="5246" w:type="dxa"/>
            <w:gridSpan w:val="3"/>
            <w:vAlign w:val="center"/>
          </w:tcPr>
          <w:p w14:paraId="3BCDB9B4" w14:textId="77777777" w:rsidR="00115745" w:rsidRPr="001E6073" w:rsidRDefault="00115745" w:rsidP="004A0827">
            <w:pPr>
              <w:spacing w:after="0" w:line="240" w:lineRule="auto"/>
              <w:jc w:val="center"/>
              <w:rPr>
                <w:rFonts w:ascii="Arial Narrow" w:hAnsi="Arial Narrow" w:cs="Arial"/>
                <w:color w:val="00B0F0"/>
              </w:rPr>
            </w:pPr>
            <w:r w:rsidRPr="001E6073">
              <w:rPr>
                <w:rFonts w:ascii="Arial Narrow" w:hAnsi="Arial Narrow" w:cs="Arial"/>
                <w:b/>
              </w:rPr>
              <w:t>Nejvyšší dokončené vzdělání rodičů</w:t>
            </w:r>
          </w:p>
        </w:tc>
      </w:tr>
      <w:tr w:rsidR="00115745" w:rsidRPr="009B6FF4" w14:paraId="3AD8B271" w14:textId="77777777" w:rsidTr="00115745">
        <w:trPr>
          <w:trHeight w:hRule="exact" w:val="680"/>
          <w:jc w:val="center"/>
        </w:trPr>
        <w:tc>
          <w:tcPr>
            <w:tcW w:w="988" w:type="dxa"/>
            <w:vMerge w:val="restart"/>
            <w:textDirection w:val="btLr"/>
          </w:tcPr>
          <w:p w14:paraId="3D934146" w14:textId="77777777" w:rsidR="00115745" w:rsidRPr="001E6073" w:rsidRDefault="00115745" w:rsidP="004A0827">
            <w:pPr>
              <w:spacing w:after="160"/>
              <w:ind w:left="113" w:right="113"/>
              <w:jc w:val="center"/>
              <w:rPr>
                <w:rFonts w:ascii="Arial Narrow" w:hAnsi="Arial Narrow" w:cs="Arial"/>
                <w:color w:val="00B0F0"/>
              </w:rPr>
            </w:pPr>
            <w:r w:rsidRPr="001E6073">
              <w:rPr>
                <w:rFonts w:ascii="Arial Narrow" w:hAnsi="Arial Narrow" w:cs="Arial"/>
                <w:b/>
              </w:rPr>
              <w:t>Nejvyšší dokončené vzdělání respondenta nyní</w:t>
            </w:r>
          </w:p>
        </w:tc>
        <w:tc>
          <w:tcPr>
            <w:tcW w:w="2838" w:type="dxa"/>
            <w:vAlign w:val="center"/>
          </w:tcPr>
          <w:p w14:paraId="553BDDDD" w14:textId="77777777" w:rsidR="00115745" w:rsidRPr="009B6FF4" w:rsidRDefault="00115745" w:rsidP="004A0827">
            <w:pPr>
              <w:spacing w:after="160"/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</w:tc>
        <w:tc>
          <w:tcPr>
            <w:tcW w:w="1746" w:type="dxa"/>
            <w:vAlign w:val="center"/>
          </w:tcPr>
          <w:p w14:paraId="74BB5367" w14:textId="77777777" w:rsidR="00115745" w:rsidRPr="001E6073" w:rsidRDefault="00115745" w:rsidP="004A0827">
            <w:pPr>
              <w:spacing w:before="40" w:after="40" w:line="240" w:lineRule="auto"/>
              <w:jc w:val="center"/>
              <w:rPr>
                <w:rFonts w:ascii="Arial Narrow" w:hAnsi="Arial Narrow" w:cs="Arial"/>
                <w:color w:val="00B0F0"/>
                <w:sz w:val="20"/>
                <w:szCs w:val="20"/>
              </w:rPr>
            </w:pPr>
            <w:r w:rsidRPr="001E607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cs-CZ"/>
              </w:rPr>
              <w:t xml:space="preserve">oba rodiče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cs-CZ"/>
              </w:rPr>
              <w:t>ZŠ nebo v</w:t>
            </w:r>
            <w:r w:rsidRPr="001E607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cs-CZ"/>
              </w:rPr>
              <w:t>yučeni</w:t>
            </w:r>
          </w:p>
        </w:tc>
        <w:tc>
          <w:tcPr>
            <w:tcW w:w="1748" w:type="dxa"/>
            <w:vAlign w:val="center"/>
          </w:tcPr>
          <w:p w14:paraId="517B9ABE" w14:textId="77777777" w:rsidR="00115745" w:rsidRPr="001E6073" w:rsidRDefault="00115745" w:rsidP="004A0827">
            <w:pPr>
              <w:spacing w:before="40" w:after="40" w:line="240" w:lineRule="auto"/>
              <w:jc w:val="center"/>
              <w:rPr>
                <w:rFonts w:ascii="Arial Narrow" w:hAnsi="Arial Narrow" w:cs="Arial"/>
                <w:color w:val="00B0F0"/>
                <w:sz w:val="20"/>
                <w:szCs w:val="20"/>
              </w:rPr>
            </w:pPr>
            <w:r w:rsidRPr="001E607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cs-CZ"/>
              </w:rPr>
              <w:t xml:space="preserve">alespoň jeden </w:t>
            </w:r>
            <w:r w:rsidRPr="001E607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cs-CZ"/>
              </w:rPr>
              <w:br/>
              <w:t>z rodičů SŠ</w:t>
            </w:r>
          </w:p>
        </w:tc>
        <w:tc>
          <w:tcPr>
            <w:tcW w:w="1752" w:type="dxa"/>
            <w:vAlign w:val="center"/>
          </w:tcPr>
          <w:p w14:paraId="0DEC3C79" w14:textId="77777777" w:rsidR="00115745" w:rsidRPr="001E6073" w:rsidRDefault="00115745" w:rsidP="004A0827">
            <w:pPr>
              <w:spacing w:before="40" w:after="40" w:line="240" w:lineRule="auto"/>
              <w:jc w:val="center"/>
              <w:rPr>
                <w:rFonts w:ascii="Arial Narrow" w:hAnsi="Arial Narrow" w:cs="Arial"/>
                <w:color w:val="00B0F0"/>
                <w:sz w:val="20"/>
                <w:szCs w:val="20"/>
              </w:rPr>
            </w:pPr>
            <w:r w:rsidRPr="001E607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cs-CZ"/>
              </w:rPr>
              <w:t xml:space="preserve">alespoň jeden </w:t>
            </w:r>
            <w:r w:rsidRPr="001E607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cs-CZ"/>
              </w:rPr>
              <w:br/>
              <w:t>z rodičů VŠ</w:t>
            </w:r>
          </w:p>
        </w:tc>
      </w:tr>
      <w:tr w:rsidR="00115745" w:rsidRPr="009B6FF4" w14:paraId="64365F26" w14:textId="77777777" w:rsidTr="00115745">
        <w:trPr>
          <w:trHeight w:hRule="exact" w:val="680"/>
          <w:jc w:val="center"/>
        </w:trPr>
        <w:tc>
          <w:tcPr>
            <w:tcW w:w="988" w:type="dxa"/>
            <w:vMerge/>
            <w:textDirection w:val="btLr"/>
            <w:vAlign w:val="center"/>
          </w:tcPr>
          <w:p w14:paraId="264273A4" w14:textId="77777777" w:rsidR="00115745" w:rsidRPr="009B6FF4" w:rsidRDefault="00115745" w:rsidP="004A0827">
            <w:pPr>
              <w:spacing w:after="160"/>
              <w:ind w:left="113" w:right="113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</w:tc>
        <w:tc>
          <w:tcPr>
            <w:tcW w:w="2838" w:type="dxa"/>
            <w:vAlign w:val="center"/>
          </w:tcPr>
          <w:p w14:paraId="5E5B2535" w14:textId="77777777" w:rsidR="00115745" w:rsidRPr="001E6073" w:rsidRDefault="00115745" w:rsidP="004A0827">
            <w:pPr>
              <w:spacing w:after="0" w:line="240" w:lineRule="auto"/>
              <w:rPr>
                <w:rFonts w:ascii="Arial Narrow" w:hAnsi="Arial Narrow" w:cs="Arial"/>
                <w:color w:val="00B0F0"/>
                <w:sz w:val="20"/>
                <w:szCs w:val="20"/>
              </w:rPr>
            </w:pPr>
            <w:r w:rsidRPr="001E607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cs-CZ"/>
              </w:rPr>
              <w:t>základní, vyučen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cs-CZ"/>
              </w:rPr>
              <w:t>/</w:t>
            </w:r>
            <w:r w:rsidRPr="001E607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1746" w:type="dxa"/>
            <w:vAlign w:val="center"/>
          </w:tcPr>
          <w:p w14:paraId="69AF38CB" w14:textId="77777777" w:rsidR="00115745" w:rsidRPr="00F05D88" w:rsidRDefault="00115745" w:rsidP="004A08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F05D88">
              <w:rPr>
                <w:rFonts w:ascii="Arial Narrow" w:eastAsia="Times New Roman" w:hAnsi="Arial Narrow" w:cs="Arial"/>
                <w:lang w:eastAsia="cs-CZ"/>
              </w:rPr>
              <w:t>69,3</w:t>
            </w:r>
          </w:p>
        </w:tc>
        <w:tc>
          <w:tcPr>
            <w:tcW w:w="1748" w:type="dxa"/>
            <w:vAlign w:val="center"/>
          </w:tcPr>
          <w:p w14:paraId="0222BC16" w14:textId="77777777" w:rsidR="00115745" w:rsidRPr="00F05D88" w:rsidRDefault="00115745" w:rsidP="004A08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B6FF4">
              <w:rPr>
                <w:rFonts w:ascii="Arial Narrow" w:eastAsia="Times New Roman" w:hAnsi="Arial Narrow" w:cs="Arial"/>
                <w:lang w:eastAsia="cs-CZ"/>
              </w:rPr>
              <w:t>2</w:t>
            </w:r>
            <w:r>
              <w:rPr>
                <w:rFonts w:ascii="Arial Narrow" w:eastAsia="Times New Roman" w:hAnsi="Arial Narrow" w:cs="Arial"/>
                <w:lang w:eastAsia="cs-CZ"/>
              </w:rPr>
              <w:t>8</w:t>
            </w:r>
            <w:r w:rsidRPr="009B6FF4">
              <w:rPr>
                <w:rFonts w:ascii="Arial Narrow" w:eastAsia="Times New Roman" w:hAnsi="Arial Narrow" w:cs="Arial"/>
                <w:lang w:eastAsia="cs-CZ"/>
              </w:rPr>
              <w:t>,</w:t>
            </w:r>
            <w:r>
              <w:rPr>
                <w:rFonts w:ascii="Arial Narrow" w:eastAsia="Times New Roman" w:hAnsi="Arial Narrow" w:cs="Arial"/>
                <w:lang w:eastAsia="cs-CZ"/>
              </w:rPr>
              <w:t>5</w:t>
            </w:r>
          </w:p>
        </w:tc>
        <w:tc>
          <w:tcPr>
            <w:tcW w:w="1752" w:type="dxa"/>
            <w:vAlign w:val="center"/>
          </w:tcPr>
          <w:p w14:paraId="09964088" w14:textId="77777777" w:rsidR="00115745" w:rsidRPr="00F05D88" w:rsidRDefault="00115745" w:rsidP="004A08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>
              <w:rPr>
                <w:rFonts w:ascii="Arial Narrow" w:eastAsia="Times New Roman" w:hAnsi="Arial Narrow" w:cs="Arial"/>
                <w:lang w:eastAsia="cs-CZ"/>
              </w:rPr>
              <w:t>2,2</w:t>
            </w:r>
          </w:p>
        </w:tc>
      </w:tr>
      <w:tr w:rsidR="00115745" w:rsidRPr="009B6FF4" w14:paraId="30B6EAA1" w14:textId="77777777" w:rsidTr="00115745">
        <w:trPr>
          <w:trHeight w:hRule="exact" w:val="680"/>
          <w:jc w:val="center"/>
        </w:trPr>
        <w:tc>
          <w:tcPr>
            <w:tcW w:w="988" w:type="dxa"/>
            <w:vMerge/>
          </w:tcPr>
          <w:p w14:paraId="14ED190D" w14:textId="77777777" w:rsidR="00115745" w:rsidRPr="009B6FF4" w:rsidRDefault="00115745" w:rsidP="004A0827">
            <w:pPr>
              <w:spacing w:after="160"/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</w:tc>
        <w:tc>
          <w:tcPr>
            <w:tcW w:w="2838" w:type="dxa"/>
            <w:vAlign w:val="center"/>
          </w:tcPr>
          <w:p w14:paraId="66E6D39F" w14:textId="77777777" w:rsidR="00115745" w:rsidRPr="001E6073" w:rsidRDefault="00115745" w:rsidP="004A0827">
            <w:pPr>
              <w:spacing w:before="40" w:after="40" w:line="240" w:lineRule="auto"/>
              <w:rPr>
                <w:rFonts w:ascii="Arial Narrow" w:hAnsi="Arial Narrow" w:cs="Arial"/>
                <w:color w:val="00B0F0"/>
                <w:sz w:val="20"/>
                <w:szCs w:val="20"/>
              </w:rPr>
            </w:pPr>
            <w:r w:rsidRPr="001E607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cs-CZ"/>
              </w:rPr>
              <w:t>úplné střední s maturitou, nástavbové, vyšší odborné</w:t>
            </w:r>
          </w:p>
        </w:tc>
        <w:tc>
          <w:tcPr>
            <w:tcW w:w="1746" w:type="dxa"/>
            <w:vAlign w:val="center"/>
          </w:tcPr>
          <w:p w14:paraId="40517B0A" w14:textId="77777777" w:rsidR="00115745" w:rsidRPr="00F05D88" w:rsidRDefault="00115745" w:rsidP="004A08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F05D88">
              <w:rPr>
                <w:rFonts w:ascii="Arial Narrow" w:eastAsia="Times New Roman" w:hAnsi="Arial Narrow" w:cs="Arial"/>
                <w:lang w:eastAsia="cs-CZ"/>
              </w:rPr>
              <w:t>37,3</w:t>
            </w:r>
          </w:p>
        </w:tc>
        <w:tc>
          <w:tcPr>
            <w:tcW w:w="1748" w:type="dxa"/>
            <w:vAlign w:val="center"/>
          </w:tcPr>
          <w:p w14:paraId="10EA0747" w14:textId="77777777" w:rsidR="00115745" w:rsidRPr="00F05D88" w:rsidRDefault="00115745" w:rsidP="004A08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>
              <w:rPr>
                <w:rFonts w:ascii="Arial Narrow" w:eastAsia="Times New Roman" w:hAnsi="Arial Narrow" w:cs="Arial"/>
                <w:lang w:eastAsia="cs-CZ"/>
              </w:rPr>
              <w:t>52,3</w:t>
            </w:r>
          </w:p>
        </w:tc>
        <w:tc>
          <w:tcPr>
            <w:tcW w:w="1752" w:type="dxa"/>
            <w:vAlign w:val="center"/>
          </w:tcPr>
          <w:p w14:paraId="7D25DDB2" w14:textId="77777777" w:rsidR="00115745" w:rsidRPr="00F05D88" w:rsidRDefault="00115745" w:rsidP="004A08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B6FF4">
              <w:rPr>
                <w:rFonts w:ascii="Arial Narrow" w:eastAsia="Times New Roman" w:hAnsi="Arial Narrow" w:cs="Arial"/>
                <w:lang w:eastAsia="cs-CZ"/>
              </w:rPr>
              <w:t>1</w:t>
            </w:r>
            <w:r>
              <w:rPr>
                <w:rFonts w:ascii="Arial Narrow" w:eastAsia="Times New Roman" w:hAnsi="Arial Narrow" w:cs="Arial"/>
                <w:lang w:eastAsia="cs-CZ"/>
              </w:rPr>
              <w:t>0,4</w:t>
            </w:r>
          </w:p>
        </w:tc>
      </w:tr>
      <w:tr w:rsidR="00115745" w:rsidRPr="009B6FF4" w14:paraId="640916A9" w14:textId="77777777" w:rsidTr="00115745">
        <w:trPr>
          <w:trHeight w:hRule="exact" w:val="680"/>
          <w:jc w:val="center"/>
        </w:trPr>
        <w:tc>
          <w:tcPr>
            <w:tcW w:w="988" w:type="dxa"/>
            <w:vMerge/>
          </w:tcPr>
          <w:p w14:paraId="7453EACB" w14:textId="77777777" w:rsidR="00115745" w:rsidRPr="009B6FF4" w:rsidRDefault="00115745" w:rsidP="004A0827">
            <w:pPr>
              <w:spacing w:after="160"/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</w:tc>
        <w:tc>
          <w:tcPr>
            <w:tcW w:w="2838" w:type="dxa"/>
            <w:vAlign w:val="center"/>
          </w:tcPr>
          <w:p w14:paraId="52635273" w14:textId="77777777" w:rsidR="00115745" w:rsidRPr="001E6073" w:rsidRDefault="00115745" w:rsidP="004A0827">
            <w:pPr>
              <w:spacing w:before="40" w:after="40" w:line="240" w:lineRule="auto"/>
              <w:rPr>
                <w:rFonts w:ascii="Arial Narrow" w:hAnsi="Arial Narrow" w:cs="Arial"/>
                <w:color w:val="00B0F0"/>
                <w:sz w:val="20"/>
                <w:szCs w:val="20"/>
              </w:rPr>
            </w:pPr>
            <w:r w:rsidRPr="001E607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cs-CZ"/>
              </w:rPr>
              <w:t>vysokoškolské bakalářské, magisterské, doktorské</w:t>
            </w:r>
          </w:p>
        </w:tc>
        <w:tc>
          <w:tcPr>
            <w:tcW w:w="1746" w:type="dxa"/>
            <w:vAlign w:val="center"/>
          </w:tcPr>
          <w:p w14:paraId="475EE469" w14:textId="77777777" w:rsidR="00115745" w:rsidRPr="00F05D88" w:rsidRDefault="00115745" w:rsidP="004A08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F05D88">
              <w:rPr>
                <w:rFonts w:ascii="Arial Narrow" w:eastAsia="Times New Roman" w:hAnsi="Arial Narrow" w:cs="Arial"/>
                <w:lang w:eastAsia="cs-CZ"/>
              </w:rPr>
              <w:t>14,8</w:t>
            </w:r>
          </w:p>
        </w:tc>
        <w:tc>
          <w:tcPr>
            <w:tcW w:w="1748" w:type="dxa"/>
            <w:vAlign w:val="center"/>
          </w:tcPr>
          <w:p w14:paraId="1E6D79CC" w14:textId="77777777" w:rsidR="00115745" w:rsidRPr="00F05D88" w:rsidRDefault="00115745" w:rsidP="004A08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B6FF4">
              <w:rPr>
                <w:rFonts w:ascii="Arial Narrow" w:eastAsia="Times New Roman" w:hAnsi="Arial Narrow" w:cs="Arial"/>
                <w:lang w:eastAsia="cs-CZ"/>
              </w:rPr>
              <w:t>4</w:t>
            </w:r>
            <w:r>
              <w:rPr>
                <w:rFonts w:ascii="Arial Narrow" w:eastAsia="Times New Roman" w:hAnsi="Arial Narrow" w:cs="Arial"/>
                <w:lang w:eastAsia="cs-CZ"/>
              </w:rPr>
              <w:t>9</w:t>
            </w:r>
            <w:r w:rsidRPr="009B6FF4">
              <w:rPr>
                <w:rFonts w:ascii="Arial Narrow" w:eastAsia="Times New Roman" w:hAnsi="Arial Narrow" w:cs="Arial"/>
                <w:lang w:eastAsia="cs-CZ"/>
              </w:rPr>
              <w:t>,</w:t>
            </w:r>
            <w:r>
              <w:rPr>
                <w:rFonts w:ascii="Arial Narrow" w:eastAsia="Times New Roman" w:hAnsi="Arial Narrow" w:cs="Arial"/>
                <w:lang w:eastAsia="cs-CZ"/>
              </w:rPr>
              <w:t>2</w:t>
            </w:r>
          </w:p>
        </w:tc>
        <w:tc>
          <w:tcPr>
            <w:tcW w:w="1752" w:type="dxa"/>
            <w:vAlign w:val="center"/>
          </w:tcPr>
          <w:p w14:paraId="68E63EEE" w14:textId="77777777" w:rsidR="00115745" w:rsidRPr="00F05D88" w:rsidRDefault="00115745" w:rsidP="004A08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B6FF4">
              <w:rPr>
                <w:rFonts w:ascii="Arial Narrow" w:eastAsia="Times New Roman" w:hAnsi="Arial Narrow" w:cs="Arial"/>
                <w:lang w:eastAsia="cs-CZ"/>
              </w:rPr>
              <w:t>36,</w:t>
            </w:r>
            <w:r>
              <w:rPr>
                <w:rFonts w:ascii="Arial Narrow" w:eastAsia="Times New Roman" w:hAnsi="Arial Narrow" w:cs="Arial"/>
                <w:lang w:eastAsia="cs-CZ"/>
              </w:rPr>
              <w:t>0</w:t>
            </w:r>
          </w:p>
        </w:tc>
      </w:tr>
    </w:tbl>
    <w:p w14:paraId="770E9D7E" w14:textId="2BABF00B" w:rsidR="006B5874" w:rsidRPr="009B6FF4" w:rsidRDefault="00115745" w:rsidP="006B5874">
      <w:pPr>
        <w:spacing w:before="200" w:after="1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bCs/>
          <w:color w:val="00B0F0"/>
        </w:rPr>
        <w:br/>
      </w:r>
      <w:r w:rsidR="006B5874" w:rsidRPr="009B6FF4">
        <w:rPr>
          <w:rFonts w:ascii="Arial Narrow" w:hAnsi="Arial Narrow"/>
          <w:sz w:val="24"/>
          <w:szCs w:val="24"/>
        </w:rPr>
        <w:t>Celkově je jasně patrný posun ve vzdělání českých obyvatel oproti jejich rodičům, neboť skoro třetina osob (3</w:t>
      </w:r>
      <w:r w:rsidR="006B5874">
        <w:rPr>
          <w:rFonts w:ascii="Arial Narrow" w:hAnsi="Arial Narrow"/>
          <w:sz w:val="24"/>
          <w:szCs w:val="24"/>
        </w:rPr>
        <w:t>2</w:t>
      </w:r>
      <w:r w:rsidR="006B5874" w:rsidRPr="009B6FF4">
        <w:rPr>
          <w:rFonts w:ascii="Arial Narrow" w:hAnsi="Arial Narrow"/>
          <w:sz w:val="24"/>
          <w:szCs w:val="24"/>
        </w:rPr>
        <w:t>,</w:t>
      </w:r>
      <w:r w:rsidR="006B5874">
        <w:rPr>
          <w:rFonts w:ascii="Arial Narrow" w:hAnsi="Arial Narrow"/>
          <w:sz w:val="24"/>
          <w:szCs w:val="24"/>
        </w:rPr>
        <w:t>3</w:t>
      </w:r>
      <w:r w:rsidR="006B5874" w:rsidRPr="009B6FF4">
        <w:rPr>
          <w:rFonts w:ascii="Arial Narrow" w:hAnsi="Arial Narrow"/>
          <w:spacing w:val="-20"/>
          <w:sz w:val="24"/>
          <w:szCs w:val="24"/>
        </w:rPr>
        <w:t xml:space="preserve"> </w:t>
      </w:r>
      <w:r w:rsidR="006B5874" w:rsidRPr="009B6FF4">
        <w:rPr>
          <w:rFonts w:ascii="Arial Narrow" w:hAnsi="Arial Narrow"/>
          <w:sz w:val="24"/>
          <w:szCs w:val="24"/>
        </w:rPr>
        <w:t>%) dosáhla vyššího stupně vzdělání, než měl jejich otec či matka. Více než polovina (5</w:t>
      </w:r>
      <w:r w:rsidR="006B5874">
        <w:rPr>
          <w:rFonts w:ascii="Arial Narrow" w:hAnsi="Arial Narrow"/>
          <w:sz w:val="24"/>
          <w:szCs w:val="24"/>
        </w:rPr>
        <w:t>3</w:t>
      </w:r>
      <w:r w:rsidR="006B5874" w:rsidRPr="009B6FF4">
        <w:rPr>
          <w:rFonts w:ascii="Arial Narrow" w:hAnsi="Arial Narrow"/>
          <w:sz w:val="24"/>
          <w:szCs w:val="24"/>
        </w:rPr>
        <w:t>,</w:t>
      </w:r>
      <w:r w:rsidR="00415C12">
        <w:rPr>
          <w:rFonts w:ascii="Arial Narrow" w:hAnsi="Arial Narrow"/>
          <w:sz w:val="24"/>
          <w:szCs w:val="24"/>
        </w:rPr>
        <w:t>4</w:t>
      </w:r>
      <w:r w:rsidR="006B5874" w:rsidRPr="009B6FF4">
        <w:rPr>
          <w:rFonts w:ascii="Arial Narrow" w:hAnsi="Arial Narrow"/>
          <w:sz w:val="24"/>
          <w:szCs w:val="24"/>
        </w:rPr>
        <w:t> %) má stejné vzdělání jako jejich rodiče a pouze každý sedmý člověk získal nižší vzdělání než jeho rodiče.</w:t>
      </w:r>
    </w:p>
    <w:p w14:paraId="18EB466E" w14:textId="37E7C24A" w:rsidR="006B5874" w:rsidRDefault="006B5874" w:rsidP="006B5874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Součástí dotazníku byla i otázka, jak vnímal respondent finanční situaci jeho domácnosti v době, kdy mu bylo 14 let. </w:t>
      </w:r>
      <w:r w:rsidR="00415C12">
        <w:rPr>
          <w:rFonts w:ascii="Arial Narrow" w:hAnsi="Arial Narrow"/>
          <w:sz w:val="24"/>
          <w:szCs w:val="24"/>
        </w:rPr>
        <w:t>Při porovnání se současnou finanční situací jeho domácnosti v době rozhovoru, přesněji s tím, jaký má aktuálně domácnost respondenta čistý roční příjem na</w:t>
      </w:r>
      <w:r w:rsidR="00415C12" w:rsidRPr="004C533E">
        <w:rPr>
          <w:rFonts w:ascii="Arial Narrow" w:hAnsi="Arial Narrow"/>
          <w:spacing w:val="-20"/>
          <w:sz w:val="24"/>
          <w:szCs w:val="24"/>
        </w:rPr>
        <w:t xml:space="preserve"> </w:t>
      </w:r>
      <w:r w:rsidR="00415C12">
        <w:rPr>
          <w:rFonts w:ascii="Arial Narrow" w:hAnsi="Arial Narrow"/>
          <w:sz w:val="24"/>
          <w:szCs w:val="24"/>
        </w:rPr>
        <w:t xml:space="preserve">hlavu, lze konstatovat zajímavé zjištění. </w:t>
      </w:r>
      <w:r>
        <w:rPr>
          <w:rFonts w:ascii="Arial Narrow" w:hAnsi="Arial Narrow"/>
          <w:sz w:val="24"/>
          <w:szCs w:val="24"/>
        </w:rPr>
        <w:t xml:space="preserve">Respondenti, kterým se jevila tehdejší finanční situace jejich rodiny jako velmi špatná, zůstávají i nadále mezi nízkopříjmovými domácnostmi, </w:t>
      </w:r>
      <w:r w:rsidR="00B557C0">
        <w:rPr>
          <w:rFonts w:ascii="Arial Narrow" w:hAnsi="Arial Narrow"/>
          <w:sz w:val="24"/>
          <w:szCs w:val="24"/>
        </w:rPr>
        <w:t xml:space="preserve">konkrétně </w:t>
      </w:r>
      <w:r w:rsidR="0093012B">
        <w:rPr>
          <w:rFonts w:ascii="Arial Narrow" w:hAnsi="Arial Narrow"/>
          <w:sz w:val="24"/>
          <w:szCs w:val="24"/>
        </w:rPr>
        <w:t xml:space="preserve">35,3 % z nich má </w:t>
      </w:r>
      <w:r w:rsidR="00B557C0">
        <w:rPr>
          <w:rFonts w:ascii="Arial Narrow" w:hAnsi="Arial Narrow"/>
          <w:sz w:val="24"/>
          <w:szCs w:val="24"/>
        </w:rPr>
        <w:t xml:space="preserve">v současnosti </w:t>
      </w:r>
      <w:r w:rsidR="0093012B">
        <w:rPr>
          <w:rFonts w:ascii="Arial Narrow" w:hAnsi="Arial Narrow"/>
          <w:sz w:val="24"/>
          <w:szCs w:val="24"/>
        </w:rPr>
        <w:t>příjem z 1.</w:t>
      </w:r>
      <w:r w:rsidR="001E6073">
        <w:rPr>
          <w:rFonts w:ascii="Arial Narrow" w:hAnsi="Arial Narrow"/>
          <w:sz w:val="24"/>
          <w:szCs w:val="24"/>
        </w:rPr>
        <w:t> </w:t>
      </w:r>
      <w:r>
        <w:rPr>
          <w:rFonts w:ascii="Arial Narrow" w:hAnsi="Arial Narrow"/>
          <w:sz w:val="24"/>
          <w:szCs w:val="24"/>
        </w:rPr>
        <w:t>kvintilu</w:t>
      </w:r>
      <w:r w:rsidR="00115745">
        <w:rPr>
          <w:rFonts w:ascii="Arial Narrow" w:hAnsi="Arial Narrow"/>
          <w:sz w:val="24"/>
          <w:szCs w:val="24"/>
        </w:rPr>
        <w:t xml:space="preserve"> příjmového rozdělení v ČR</w:t>
      </w:r>
      <w:r w:rsidR="00B557C0">
        <w:rPr>
          <w:rFonts w:ascii="Arial Narrow" w:hAnsi="Arial Narrow"/>
          <w:sz w:val="24"/>
          <w:szCs w:val="24"/>
        </w:rPr>
        <w:t>, což znamená, že patří mezi pětinu nejchudších domácností</w:t>
      </w:r>
      <w:r w:rsidR="001E6073">
        <w:rPr>
          <w:rFonts w:ascii="Arial Narrow" w:hAnsi="Arial Narrow"/>
          <w:sz w:val="24"/>
          <w:szCs w:val="24"/>
        </w:rPr>
        <w:t>,</w:t>
      </w:r>
      <w:r w:rsidR="00115745">
        <w:rPr>
          <w:rFonts w:ascii="Arial Narrow" w:hAnsi="Arial Narrow"/>
          <w:sz w:val="24"/>
          <w:szCs w:val="24"/>
        </w:rPr>
        <w:t xml:space="preserve"> a dalších 25,6 </w:t>
      </w:r>
      <w:r w:rsidR="00B557C0">
        <w:rPr>
          <w:rFonts w:ascii="Arial Narrow" w:hAnsi="Arial Narrow"/>
          <w:sz w:val="24"/>
          <w:szCs w:val="24"/>
        </w:rPr>
        <w:t xml:space="preserve">% respondentů má nyní příjmy z 2. kvintilu. </w:t>
      </w:r>
      <w:r>
        <w:rPr>
          <w:rFonts w:ascii="Arial Narrow" w:hAnsi="Arial Narrow"/>
          <w:sz w:val="24"/>
          <w:szCs w:val="24"/>
        </w:rPr>
        <w:t xml:space="preserve">Naopak respondenti, kteří hodnotili, že </w:t>
      </w:r>
      <w:r w:rsidR="00115745">
        <w:rPr>
          <w:rFonts w:ascii="Arial Narrow" w:hAnsi="Arial Narrow"/>
          <w:sz w:val="24"/>
          <w:szCs w:val="24"/>
        </w:rPr>
        <w:t xml:space="preserve">byla </w:t>
      </w:r>
      <w:r>
        <w:rPr>
          <w:rFonts w:ascii="Arial Narrow" w:hAnsi="Arial Narrow"/>
          <w:sz w:val="24"/>
          <w:szCs w:val="24"/>
        </w:rPr>
        <w:t>finan</w:t>
      </w:r>
      <w:r w:rsidR="004D555B">
        <w:rPr>
          <w:rFonts w:ascii="Arial Narrow" w:hAnsi="Arial Narrow"/>
          <w:sz w:val="24"/>
          <w:szCs w:val="24"/>
        </w:rPr>
        <w:t>ční situace jejich rodiny ve 14 </w:t>
      </w:r>
      <w:r>
        <w:rPr>
          <w:rFonts w:ascii="Arial Narrow" w:hAnsi="Arial Narrow"/>
          <w:sz w:val="24"/>
          <w:szCs w:val="24"/>
        </w:rPr>
        <w:t xml:space="preserve">letech velmi dobrá, patří i v současné době </w:t>
      </w:r>
      <w:r w:rsidR="00B557C0">
        <w:rPr>
          <w:rFonts w:ascii="Arial Narrow" w:hAnsi="Arial Narrow"/>
          <w:sz w:val="24"/>
          <w:szCs w:val="24"/>
        </w:rPr>
        <w:t xml:space="preserve">spíše </w:t>
      </w:r>
      <w:r>
        <w:rPr>
          <w:rFonts w:ascii="Arial Narrow" w:hAnsi="Arial Narrow"/>
          <w:sz w:val="24"/>
          <w:szCs w:val="24"/>
        </w:rPr>
        <w:t>mezi</w:t>
      </w:r>
      <w:r w:rsidR="00B557C0">
        <w:rPr>
          <w:rFonts w:ascii="Arial Narrow" w:hAnsi="Arial Narrow"/>
          <w:sz w:val="24"/>
          <w:szCs w:val="24"/>
        </w:rPr>
        <w:t xml:space="preserve"> vysoko</w:t>
      </w:r>
      <w:r w:rsidR="00102B40">
        <w:rPr>
          <w:rFonts w:ascii="Arial Narrow" w:hAnsi="Arial Narrow"/>
          <w:sz w:val="24"/>
          <w:szCs w:val="24"/>
        </w:rPr>
        <w:t>-</w:t>
      </w:r>
      <w:r w:rsidR="00B557C0">
        <w:rPr>
          <w:rFonts w:ascii="Arial Narrow" w:hAnsi="Arial Narrow"/>
          <w:sz w:val="24"/>
          <w:szCs w:val="24"/>
        </w:rPr>
        <w:t>příjmové domácnosti,</w:t>
      </w:r>
      <w:r w:rsidR="0069355A">
        <w:rPr>
          <w:rFonts w:ascii="Arial Narrow" w:hAnsi="Arial Narrow"/>
          <w:sz w:val="24"/>
          <w:szCs w:val="24"/>
        </w:rPr>
        <w:t xml:space="preserve"> </w:t>
      </w:r>
      <w:r w:rsidR="001E6073" w:rsidRPr="00115745">
        <w:rPr>
          <w:rFonts w:ascii="Arial Narrow" w:hAnsi="Arial Narrow"/>
          <w:spacing w:val="-2"/>
          <w:sz w:val="24"/>
          <w:szCs w:val="24"/>
        </w:rPr>
        <w:t>přesněji 34,9 </w:t>
      </w:r>
      <w:r w:rsidR="00B557C0" w:rsidRPr="00115745">
        <w:rPr>
          <w:rFonts w:ascii="Arial Narrow" w:hAnsi="Arial Narrow"/>
          <w:spacing w:val="-2"/>
          <w:sz w:val="24"/>
          <w:szCs w:val="24"/>
        </w:rPr>
        <w:t xml:space="preserve">% z nich má </w:t>
      </w:r>
      <w:r w:rsidR="005869F8" w:rsidRPr="00115745">
        <w:rPr>
          <w:rFonts w:ascii="Arial Narrow" w:hAnsi="Arial Narrow"/>
          <w:spacing w:val="-2"/>
          <w:sz w:val="24"/>
          <w:szCs w:val="24"/>
        </w:rPr>
        <w:t>příjem z 5. kvintilu, což znamená, že patří mezi pětinu nejbohatších domácností.</w:t>
      </w:r>
    </w:p>
    <w:p w14:paraId="14F9B98A" w14:textId="77777777" w:rsidR="006B5874" w:rsidRDefault="006B5874" w:rsidP="006B5874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46C1F6CF" w14:textId="4AFB842A" w:rsidR="006B5874" w:rsidRDefault="006B5874" w:rsidP="006B5874">
      <w:pPr>
        <w:keepNext/>
        <w:suppressAutoHyphens/>
        <w:spacing w:before="120" w:after="160" w:line="240" w:lineRule="auto"/>
        <w:rPr>
          <w:rFonts w:ascii="Arial Narrow" w:eastAsia="Times New Roman" w:hAnsi="Arial Narrow" w:cs="Arial"/>
          <w:bCs/>
          <w:color w:val="00ADDC"/>
          <w:lang w:eastAsia="ar-SA"/>
        </w:rPr>
      </w:pPr>
      <w:r w:rsidRPr="006B7B9F">
        <w:rPr>
          <w:rFonts w:ascii="Arial Narrow" w:eastAsia="Times New Roman" w:hAnsi="Arial Narrow" w:cs="Arial"/>
          <w:color w:val="00ADDC"/>
          <w:lang w:eastAsia="ar-SA"/>
        </w:rPr>
        <w:lastRenderedPageBreak/>
        <w:t xml:space="preserve">Graf </w:t>
      </w:r>
      <w:r w:rsidR="00461CA1">
        <w:rPr>
          <w:rFonts w:ascii="Arial Narrow" w:eastAsia="Times New Roman" w:hAnsi="Arial Narrow" w:cs="Arial"/>
          <w:color w:val="00ADDC"/>
          <w:lang w:eastAsia="ar-SA"/>
        </w:rPr>
        <w:t>23</w:t>
      </w:r>
      <w:r w:rsidRPr="006B7B9F">
        <w:rPr>
          <w:rFonts w:ascii="Arial Narrow" w:eastAsia="Times New Roman" w:hAnsi="Arial Narrow" w:cs="Arial"/>
          <w:color w:val="00ADDC"/>
          <w:lang w:eastAsia="ar-SA"/>
        </w:rPr>
        <w:t>: Finanční</w:t>
      </w:r>
      <w:r>
        <w:rPr>
          <w:rFonts w:ascii="Arial Narrow" w:eastAsia="Times New Roman" w:hAnsi="Arial Narrow" w:cs="Arial"/>
          <w:color w:val="00ADDC"/>
          <w:lang w:eastAsia="ar-SA"/>
        </w:rPr>
        <w:t xml:space="preserve"> situace </w:t>
      </w:r>
      <w:r w:rsidRPr="009B6FF4">
        <w:rPr>
          <w:rFonts w:ascii="Arial Narrow" w:eastAsia="Times New Roman" w:hAnsi="Arial Narrow" w:cs="Arial"/>
          <w:bCs/>
          <w:color w:val="00ADDC"/>
          <w:lang w:eastAsia="ar-SA"/>
        </w:rPr>
        <w:t xml:space="preserve">ve 14 letech respondenta </w:t>
      </w:r>
      <w:r w:rsidRPr="00EA5C5D">
        <w:rPr>
          <w:rFonts w:ascii="Arial Narrow" w:eastAsia="Times New Roman" w:hAnsi="Arial Narrow" w:cs="Arial"/>
          <w:bCs/>
          <w:color w:val="00ADDC"/>
          <w:lang w:eastAsia="ar-SA"/>
        </w:rPr>
        <w:t>a nyní (2023, v %)</w:t>
      </w:r>
    </w:p>
    <w:p w14:paraId="1A264AD4" w14:textId="41129669" w:rsidR="006B5874" w:rsidRPr="009B6FF4" w:rsidRDefault="001E6073" w:rsidP="006B5874">
      <w:pPr>
        <w:keepNext/>
        <w:suppressAutoHyphens/>
        <w:spacing w:before="120" w:after="60" w:line="240" w:lineRule="auto"/>
        <w:jc w:val="center"/>
        <w:rPr>
          <w:rFonts w:ascii="Arial Narrow" w:eastAsia="Times New Roman" w:hAnsi="Arial Narrow" w:cs="Arial"/>
          <w:color w:val="00ADDC"/>
          <w:lang w:eastAsia="ar-SA"/>
        </w:rPr>
      </w:pPr>
      <w:r w:rsidRPr="001E6073">
        <w:rPr>
          <w:noProof/>
          <w:lang w:eastAsia="cs-CZ"/>
        </w:rPr>
        <w:t xml:space="preserve"> </w:t>
      </w:r>
      <w:r w:rsidRPr="001E6073">
        <w:rPr>
          <w:rFonts w:ascii="Arial Narrow" w:eastAsia="Times New Roman" w:hAnsi="Arial Narrow" w:cs="Arial"/>
          <w:noProof/>
          <w:color w:val="00ADDC"/>
          <w:lang w:eastAsia="cs-CZ"/>
        </w:rPr>
        <w:drawing>
          <wp:inline distT="0" distB="0" distL="0" distR="0" wp14:anchorId="164BA0F0" wp14:editId="5D4AAED8">
            <wp:extent cx="5314950" cy="3086100"/>
            <wp:effectExtent l="0" t="0" r="0" b="0"/>
            <wp:docPr id="44" name="Graf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14:paraId="062D68F5" w14:textId="77777777" w:rsidR="00FF5FCB" w:rsidRDefault="00FF5FCB" w:rsidP="006B5874">
      <w:pPr>
        <w:spacing w:before="360" w:after="120"/>
        <w:rPr>
          <w:rFonts w:ascii="Arial Narrow" w:hAnsi="Arial Narrow" w:cs="Arial"/>
          <w:sz w:val="24"/>
          <w:szCs w:val="24"/>
        </w:rPr>
      </w:pPr>
    </w:p>
    <w:p w14:paraId="5B4A6C6B" w14:textId="382EC68B" w:rsidR="006B5874" w:rsidRDefault="006B5874" w:rsidP="006B5874">
      <w:pPr>
        <w:spacing w:before="360" w:after="120"/>
        <w:rPr>
          <w:rFonts w:ascii="Arial Narrow" w:hAnsi="Arial Narrow" w:cs="Segoe UI"/>
          <w:color w:val="353838"/>
          <w:sz w:val="24"/>
          <w:szCs w:val="24"/>
        </w:rPr>
      </w:pPr>
      <w:r w:rsidRPr="009B6FF4">
        <w:rPr>
          <w:rFonts w:ascii="Arial Narrow" w:hAnsi="Arial Narrow" w:cs="Arial"/>
          <w:sz w:val="24"/>
          <w:szCs w:val="24"/>
        </w:rPr>
        <w:t xml:space="preserve">Publikace s výsledky šetření </w:t>
      </w:r>
      <w:r w:rsidRPr="009B6FF4">
        <w:rPr>
          <w:rFonts w:ascii="Arial Narrow" w:hAnsi="Arial Narrow" w:cs="Arial"/>
          <w:i/>
          <w:sz w:val="24"/>
          <w:szCs w:val="24"/>
        </w:rPr>
        <w:t>Životní podmínky 20</w:t>
      </w:r>
      <w:r>
        <w:rPr>
          <w:rFonts w:ascii="Arial Narrow" w:hAnsi="Arial Narrow" w:cs="Arial"/>
          <w:i/>
          <w:sz w:val="24"/>
          <w:szCs w:val="24"/>
        </w:rPr>
        <w:t xml:space="preserve">23 </w:t>
      </w:r>
      <w:r w:rsidRPr="009B6FF4">
        <w:rPr>
          <w:rFonts w:ascii="Arial Narrow" w:hAnsi="Arial Narrow" w:cs="Arial"/>
          <w:sz w:val="24"/>
          <w:szCs w:val="24"/>
        </w:rPr>
        <w:t>je dostupná na webových stránkách ČSÚ:</w:t>
      </w:r>
      <w:r w:rsidRPr="00AC100D">
        <w:rPr>
          <w:rFonts w:ascii="Segoe UI" w:hAnsi="Segoe UI" w:cs="Segoe UI"/>
          <w:color w:val="353838"/>
          <w:sz w:val="20"/>
          <w:szCs w:val="20"/>
        </w:rPr>
        <w:t xml:space="preserve"> </w:t>
      </w:r>
      <w:hyperlink r:id="rId37" w:history="1">
        <w:r w:rsidRPr="00A46681">
          <w:rPr>
            <w:rStyle w:val="Hypertextovodkaz"/>
            <w:rFonts w:ascii="Arial Narrow" w:hAnsi="Arial Narrow" w:cs="Segoe UI"/>
            <w:sz w:val="24"/>
            <w:szCs w:val="24"/>
          </w:rPr>
          <w:t>https://www.czso.cz/csu/czso/prijmy-a-zivotni-podminky-domacnosti-2023</w:t>
        </w:r>
      </w:hyperlink>
      <w:r w:rsidRPr="009B6FF4">
        <w:rPr>
          <w:rFonts w:ascii="Arial Narrow" w:hAnsi="Arial Narrow" w:cs="Segoe UI"/>
          <w:color w:val="353838"/>
          <w:sz w:val="24"/>
          <w:szCs w:val="24"/>
        </w:rPr>
        <w:tab/>
      </w:r>
    </w:p>
    <w:p w14:paraId="053EB5DA" w14:textId="3772221A" w:rsidR="0021554E" w:rsidRDefault="0021554E" w:rsidP="006B5874">
      <w:pPr>
        <w:spacing w:before="360" w:after="120"/>
        <w:rPr>
          <w:rFonts w:ascii="Arial Narrow" w:hAnsi="Arial Narrow"/>
          <w:sz w:val="19"/>
          <w:szCs w:val="19"/>
        </w:rPr>
      </w:pPr>
    </w:p>
    <w:p w14:paraId="30930056" w14:textId="384BE260" w:rsidR="00FF5FCB" w:rsidRDefault="00FF5FCB" w:rsidP="006B5874">
      <w:pPr>
        <w:spacing w:before="360" w:after="120"/>
        <w:rPr>
          <w:rFonts w:ascii="Arial Narrow" w:hAnsi="Arial Narrow"/>
          <w:sz w:val="19"/>
          <w:szCs w:val="19"/>
        </w:rPr>
      </w:pPr>
    </w:p>
    <w:p w14:paraId="52384C39" w14:textId="384117B9" w:rsidR="00FF5FCB" w:rsidRDefault="00FF5FCB" w:rsidP="006B5874">
      <w:pPr>
        <w:spacing w:before="360" w:after="120"/>
        <w:rPr>
          <w:rFonts w:ascii="Arial Narrow" w:hAnsi="Arial Narrow"/>
          <w:sz w:val="19"/>
          <w:szCs w:val="19"/>
        </w:rPr>
      </w:pPr>
    </w:p>
    <w:p w14:paraId="3437DB8A" w14:textId="678A8730" w:rsidR="00FF5FCB" w:rsidRDefault="00FF5FCB" w:rsidP="006B5874">
      <w:pPr>
        <w:spacing w:before="360" w:after="120"/>
        <w:rPr>
          <w:rFonts w:ascii="Arial Narrow" w:hAnsi="Arial Narrow"/>
          <w:sz w:val="19"/>
          <w:szCs w:val="19"/>
        </w:rPr>
      </w:pPr>
    </w:p>
    <w:p w14:paraId="48712304" w14:textId="6D7F97A6" w:rsidR="00FF5FCB" w:rsidRDefault="00FF5FCB" w:rsidP="006B5874">
      <w:pPr>
        <w:spacing w:before="360" w:after="120"/>
        <w:rPr>
          <w:rFonts w:ascii="Arial Narrow" w:hAnsi="Arial Narrow"/>
          <w:sz w:val="19"/>
          <w:szCs w:val="19"/>
        </w:rPr>
      </w:pPr>
    </w:p>
    <w:p w14:paraId="52E9A63A" w14:textId="5E96CC70" w:rsidR="00FF5FCB" w:rsidRDefault="00FF5FCB" w:rsidP="006B5874">
      <w:pPr>
        <w:spacing w:before="360" w:after="120"/>
        <w:rPr>
          <w:rFonts w:ascii="Arial Narrow" w:hAnsi="Arial Narrow"/>
          <w:sz w:val="19"/>
          <w:szCs w:val="19"/>
        </w:rPr>
      </w:pPr>
    </w:p>
    <w:p w14:paraId="5A2DC75E" w14:textId="77777777" w:rsidR="00FF5FCB" w:rsidRPr="009B6FF4" w:rsidRDefault="00FF5FCB" w:rsidP="006B5874">
      <w:pPr>
        <w:spacing w:before="360" w:after="120"/>
        <w:rPr>
          <w:rFonts w:ascii="Arial Narrow" w:hAnsi="Arial Narrow"/>
          <w:sz w:val="19"/>
          <w:szCs w:val="19"/>
        </w:rPr>
      </w:pPr>
    </w:p>
    <w:p w14:paraId="4159C628" w14:textId="5078CE5B" w:rsidR="006B5874" w:rsidRDefault="006B5874" w:rsidP="006B5874">
      <w:pPr>
        <w:spacing w:after="0" w:line="240" w:lineRule="auto"/>
        <w:rPr>
          <w:rFonts w:ascii="Arial Narrow" w:hAnsi="Arial Narrow" w:cs="Arial"/>
          <w:b/>
          <w:sz w:val="20"/>
        </w:rPr>
      </w:pPr>
    </w:p>
    <w:p w14:paraId="2400A0CF" w14:textId="1C5D0E10" w:rsidR="00486C41" w:rsidRDefault="00486C41" w:rsidP="00486C41">
      <w:pPr>
        <w:spacing w:line="240" w:lineRule="auto"/>
        <w:jc w:val="right"/>
        <w:rPr>
          <w:rFonts w:ascii="Arial Narrow" w:hAnsi="Arial Narrow" w:cs="Arial"/>
          <w:b/>
          <w:sz w:val="20"/>
        </w:rPr>
      </w:pPr>
      <w:r>
        <w:rPr>
          <w:noProof/>
          <w:lang w:eastAsia="cs-CZ"/>
        </w:rPr>
        <w:drawing>
          <wp:inline distT="0" distB="0" distL="0" distR="0" wp14:anchorId="5737447B" wp14:editId="38F13F2C">
            <wp:extent cx="914400" cy="609600"/>
            <wp:effectExtent l="0" t="0" r="0" b="0"/>
            <wp:docPr id="37" name="Obrázek 37" descr="cid:image001.jpg@01D9D9A6.D6B428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id:image001.jpg@01D9D9A6.D6B428F0"/>
                    <pic:cNvPicPr>
                      <a:picLocks noChangeAspect="1" noChangeArrowheads="1"/>
                    </pic:cNvPicPr>
                  </pic:nvPicPr>
                  <pic:blipFill>
                    <a:blip r:embed="rId38" r:link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362" cy="616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D9AA4" w14:textId="190D89E8" w:rsidR="00486C41" w:rsidRPr="0021554E" w:rsidRDefault="00486C41" w:rsidP="0021554E">
      <w:pPr>
        <w:spacing w:after="0" w:line="240" w:lineRule="auto"/>
        <w:jc w:val="right"/>
        <w:rPr>
          <w:rFonts w:ascii="Arial Narrow" w:eastAsia="Times New Roman" w:hAnsi="Arial Narrow" w:cs="Arial"/>
          <w:color w:val="00ADDC"/>
          <w:sz w:val="20"/>
          <w:szCs w:val="20"/>
          <w:lang w:eastAsia="ar-SA"/>
        </w:rPr>
      </w:pPr>
      <w:r w:rsidRPr="00486C41">
        <w:rPr>
          <w:rFonts w:ascii="Arial Narrow" w:eastAsia="Times New Roman" w:hAnsi="Arial Narrow" w:cs="Arial"/>
          <w:color w:val="00ADDC"/>
          <w:sz w:val="20"/>
          <w:szCs w:val="20"/>
          <w:lang w:eastAsia="ar-SA"/>
        </w:rPr>
        <w:t>Modul EU-SILC 2023 byl spolufinancován grantem EU</w:t>
      </w:r>
    </w:p>
    <w:p w14:paraId="37EED80B" w14:textId="77777777" w:rsidR="00486C41" w:rsidRDefault="00486C41" w:rsidP="006B5874">
      <w:pPr>
        <w:spacing w:after="0" w:line="240" w:lineRule="auto"/>
        <w:rPr>
          <w:rFonts w:ascii="Arial Narrow" w:hAnsi="Arial Narrow" w:cs="Arial"/>
          <w:b/>
          <w:sz w:val="20"/>
        </w:rPr>
      </w:pPr>
    </w:p>
    <w:p w14:paraId="512E3DE1" w14:textId="017A068B" w:rsidR="006B5874" w:rsidRPr="009B6FF4" w:rsidRDefault="006B5874" w:rsidP="006B5874">
      <w:pPr>
        <w:spacing w:after="0" w:line="240" w:lineRule="auto"/>
        <w:rPr>
          <w:rFonts w:ascii="Arial Narrow" w:hAnsi="Arial Narrow" w:cs="Arial"/>
          <w:sz w:val="20"/>
          <w:szCs w:val="20"/>
          <w:u w:val="single"/>
          <w:lang w:eastAsia="cs-CZ"/>
        </w:rPr>
      </w:pPr>
      <w:r w:rsidRPr="009B6FF4">
        <w:rPr>
          <w:rFonts w:ascii="Arial Narrow" w:hAnsi="Arial Narrow" w:cs="Arial"/>
          <w:b/>
          <w:sz w:val="20"/>
        </w:rPr>
        <w:t>Kontakt:</w:t>
      </w:r>
    </w:p>
    <w:tbl>
      <w:tblPr>
        <w:tblW w:w="9869" w:type="dxa"/>
        <w:tblLook w:val="04A0" w:firstRow="1" w:lastRow="0" w:firstColumn="1" w:lastColumn="0" w:noHBand="0" w:noVBand="1"/>
      </w:tblPr>
      <w:tblGrid>
        <w:gridCol w:w="4928"/>
        <w:gridCol w:w="4941"/>
      </w:tblGrid>
      <w:tr w:rsidR="006B5874" w:rsidRPr="00492533" w14:paraId="0DC32E78" w14:textId="77777777" w:rsidTr="00A81E3C">
        <w:trPr>
          <w:trHeight w:val="491"/>
        </w:trPr>
        <w:tc>
          <w:tcPr>
            <w:tcW w:w="4928" w:type="dxa"/>
          </w:tcPr>
          <w:p w14:paraId="7608C7FD" w14:textId="77777777" w:rsidR="006B5874" w:rsidRPr="00492533" w:rsidRDefault="006B5874" w:rsidP="00A81E3C">
            <w:pPr>
              <w:spacing w:after="0" w:line="240" w:lineRule="auto"/>
              <w:ind w:left="601" w:right="-284" w:hanging="601"/>
              <w:rPr>
                <w:rFonts w:ascii="Arial Narrow" w:hAnsi="Arial Narrow"/>
                <w:sz w:val="19"/>
                <w:szCs w:val="19"/>
              </w:rPr>
            </w:pPr>
            <w:r w:rsidRPr="00492533">
              <w:rPr>
                <w:rFonts w:ascii="Arial Narrow" w:hAnsi="Arial Narrow"/>
                <w:sz w:val="19"/>
                <w:szCs w:val="19"/>
              </w:rPr>
              <w:t xml:space="preserve">Ing. </w:t>
            </w:r>
            <w:r>
              <w:rPr>
                <w:rFonts w:ascii="Arial Narrow" w:hAnsi="Arial Narrow"/>
                <w:sz w:val="19"/>
                <w:szCs w:val="19"/>
              </w:rPr>
              <w:t>Táňa Dvornáková</w:t>
            </w:r>
            <w:r w:rsidRPr="00492533">
              <w:rPr>
                <w:rFonts w:ascii="Arial Narrow" w:hAnsi="Arial Narrow"/>
                <w:sz w:val="19"/>
                <w:szCs w:val="19"/>
              </w:rPr>
              <w:t xml:space="preserve">, </w:t>
            </w:r>
            <w:r>
              <w:rPr>
                <w:rFonts w:ascii="Arial Narrow" w:hAnsi="Arial Narrow"/>
                <w:sz w:val="19"/>
                <w:szCs w:val="19"/>
              </w:rPr>
              <w:t xml:space="preserve">vedoucí oddělení sociálních </w:t>
            </w:r>
            <w:r w:rsidRPr="00492533">
              <w:rPr>
                <w:rFonts w:ascii="Arial Narrow" w:hAnsi="Arial Narrow"/>
                <w:sz w:val="19"/>
                <w:szCs w:val="19"/>
              </w:rPr>
              <w:t>šetření</w:t>
            </w:r>
            <w:r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492533">
              <w:rPr>
                <w:rFonts w:ascii="Arial Narrow" w:hAnsi="Arial Narrow"/>
                <w:sz w:val="19"/>
                <w:szCs w:val="19"/>
              </w:rPr>
              <w:t>ČSÚ</w:t>
            </w:r>
          </w:p>
          <w:p w14:paraId="49ED1A4A" w14:textId="77777777" w:rsidR="006B5874" w:rsidRPr="00492533" w:rsidRDefault="006B5874" w:rsidP="00A81E3C">
            <w:pPr>
              <w:spacing w:after="0" w:line="240" w:lineRule="auto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492533">
              <w:rPr>
                <w:rFonts w:ascii="Arial Narrow" w:hAnsi="Arial Narrow"/>
                <w:sz w:val="19"/>
                <w:szCs w:val="19"/>
              </w:rPr>
              <w:t xml:space="preserve">tel.: 274 05 </w:t>
            </w:r>
            <w:r>
              <w:rPr>
                <w:rFonts w:ascii="Arial Narrow" w:hAnsi="Arial Narrow"/>
                <w:sz w:val="19"/>
                <w:szCs w:val="19"/>
              </w:rPr>
              <w:t>4360</w:t>
            </w:r>
            <w:r w:rsidRPr="00492533">
              <w:rPr>
                <w:rFonts w:ascii="Arial Narrow" w:hAnsi="Arial Narrow"/>
                <w:sz w:val="19"/>
                <w:szCs w:val="19"/>
              </w:rPr>
              <w:t xml:space="preserve">, e-mail: </w:t>
            </w:r>
            <w:r w:rsidRPr="001F2CF4">
              <w:rPr>
                <w:rFonts w:ascii="Arial Narrow" w:hAnsi="Arial Narrow"/>
                <w:sz w:val="19"/>
                <w:szCs w:val="19"/>
              </w:rPr>
              <w:t>tana.dvornakova@czso.cz</w:t>
            </w:r>
          </w:p>
        </w:tc>
        <w:tc>
          <w:tcPr>
            <w:tcW w:w="4941" w:type="dxa"/>
          </w:tcPr>
          <w:p w14:paraId="28165995" w14:textId="77777777" w:rsidR="006B5874" w:rsidRPr="00492533" w:rsidRDefault="006B5874" w:rsidP="00A81E3C">
            <w:pPr>
              <w:spacing w:after="0" w:line="240" w:lineRule="auto"/>
              <w:ind w:left="601" w:right="-284" w:hanging="601"/>
              <w:rPr>
                <w:rFonts w:ascii="Arial Narrow" w:hAnsi="Arial Narrow"/>
                <w:sz w:val="19"/>
                <w:szCs w:val="19"/>
              </w:rPr>
            </w:pPr>
            <w:r w:rsidRPr="00492533">
              <w:rPr>
                <w:rFonts w:ascii="Arial Narrow" w:hAnsi="Arial Narrow"/>
                <w:sz w:val="19"/>
                <w:szCs w:val="19"/>
              </w:rPr>
              <w:t xml:space="preserve">RNDr. Simona Měřinská, </w:t>
            </w:r>
            <w:r>
              <w:rPr>
                <w:rFonts w:ascii="Arial Narrow" w:hAnsi="Arial Narrow"/>
                <w:sz w:val="19"/>
                <w:szCs w:val="19"/>
              </w:rPr>
              <w:t xml:space="preserve">oddělení sociálních </w:t>
            </w:r>
            <w:r w:rsidRPr="00492533">
              <w:rPr>
                <w:rFonts w:ascii="Arial Narrow" w:hAnsi="Arial Narrow"/>
                <w:sz w:val="19"/>
                <w:szCs w:val="19"/>
              </w:rPr>
              <w:t>šetření</w:t>
            </w:r>
            <w:r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492533">
              <w:rPr>
                <w:rFonts w:ascii="Arial Narrow" w:hAnsi="Arial Narrow"/>
                <w:sz w:val="19"/>
                <w:szCs w:val="19"/>
              </w:rPr>
              <w:t>ČSÚ</w:t>
            </w:r>
          </w:p>
          <w:p w14:paraId="7C7774A7" w14:textId="77777777" w:rsidR="006B5874" w:rsidRPr="00492533" w:rsidRDefault="006B5874" w:rsidP="00A81E3C">
            <w:pPr>
              <w:spacing w:after="0" w:line="240" w:lineRule="auto"/>
              <w:ind w:left="601" w:right="-284" w:hanging="601"/>
              <w:rPr>
                <w:rFonts w:ascii="Arial Narrow" w:hAnsi="Arial Narrow"/>
                <w:sz w:val="19"/>
                <w:szCs w:val="19"/>
              </w:rPr>
            </w:pPr>
            <w:r w:rsidRPr="00492533">
              <w:rPr>
                <w:rFonts w:ascii="Arial Narrow" w:hAnsi="Arial Narrow"/>
                <w:sz w:val="19"/>
                <w:szCs w:val="19"/>
              </w:rPr>
              <w:t>tel.: 274 05 2345, e-mail: simona.merinska@czso.cz</w:t>
            </w:r>
          </w:p>
        </w:tc>
      </w:tr>
      <w:bookmarkEnd w:id="3"/>
    </w:tbl>
    <w:p w14:paraId="42C9C223" w14:textId="6C614C16" w:rsidR="00664E38" w:rsidRPr="002B0FE8" w:rsidRDefault="00664E38" w:rsidP="0021554E">
      <w:pPr>
        <w:spacing w:after="0" w:line="240" w:lineRule="auto"/>
        <w:jc w:val="both"/>
        <w:rPr>
          <w:sz w:val="20"/>
          <w:szCs w:val="20"/>
        </w:rPr>
      </w:pPr>
    </w:p>
    <w:sectPr w:rsidR="00664E38" w:rsidRPr="002B0FE8" w:rsidSect="0069355A">
      <w:headerReference w:type="even" r:id="rId40"/>
      <w:footerReference w:type="even" r:id="rId41"/>
      <w:footerReference w:type="default" r:id="rId42"/>
      <w:headerReference w:type="first" r:id="rId43"/>
      <w:type w:val="continuous"/>
      <w:pgSz w:w="11906" w:h="16838" w:code="9"/>
      <w:pgMar w:top="1077" w:right="1418" w:bottom="510" w:left="1418" w:header="0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F1701" w16cex:dateUtc="2022-01-16T21:13:00Z"/>
  <w16cex:commentExtensible w16cex:durableId="258F17D5" w16cex:dateUtc="2022-01-16T21:16:00Z"/>
  <w16cex:commentExtensible w16cex:durableId="258F17E0" w16cex:dateUtc="2022-01-16T21:17:00Z"/>
  <w16cex:commentExtensible w16cex:durableId="258F1843" w16cex:dateUtc="2022-01-16T21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60B6C70" w16cid:durableId="258F1701"/>
  <w16cid:commentId w16cid:paraId="114744E5" w16cid:durableId="258F17D5"/>
  <w16cid:commentId w16cid:paraId="668F0826" w16cid:durableId="258F17E0"/>
  <w16cid:commentId w16cid:paraId="4BDB2864" w16cid:durableId="258F184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D8DEA" w14:textId="77777777" w:rsidR="00FC3F85" w:rsidRDefault="00FC3F85">
      <w:r>
        <w:separator/>
      </w:r>
    </w:p>
  </w:endnote>
  <w:endnote w:type="continuationSeparator" w:id="0">
    <w:p w14:paraId="1CD5BEC3" w14:textId="77777777" w:rsidR="00FC3F85" w:rsidRDefault="00FC3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65C9C" w14:textId="77777777" w:rsidR="009A07D8" w:rsidRDefault="00DA303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A07D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78BA53C" w14:textId="77777777" w:rsidR="009A07D8" w:rsidRDefault="009A07D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8F897" w14:textId="77777777" w:rsidR="009A07D8" w:rsidRDefault="009A07D8">
    <w:pPr>
      <w:pStyle w:val="Zpat"/>
      <w:ind w:right="360" w:hanging="1417"/>
      <w:jc w:val="center"/>
      <w:rPr>
        <w:rFonts w:ascii="Arial Narrow" w:hAnsi="Arial Narrow"/>
        <w:color w:val="5F5F5F"/>
        <w:sz w:val="16"/>
      </w:rPr>
    </w:pPr>
  </w:p>
  <w:p w14:paraId="1FE580B7" w14:textId="7C5408BD" w:rsidR="009A07D8" w:rsidRDefault="00DA303A">
    <w:pPr>
      <w:pStyle w:val="Zpat"/>
      <w:framePr w:wrap="notBeside" w:vAnchor="page" w:hAnchor="page" w:x="11137" w:y="16047"/>
      <w:rPr>
        <w:rStyle w:val="slostrnky"/>
        <w:color w:val="5F5F5F"/>
      </w:rPr>
    </w:pPr>
    <w:r>
      <w:rPr>
        <w:rStyle w:val="slostrnky"/>
        <w:color w:val="5F5F5F"/>
      </w:rPr>
      <w:fldChar w:fldCharType="begin"/>
    </w:r>
    <w:r w:rsidR="009A07D8">
      <w:rPr>
        <w:rStyle w:val="slostrnky"/>
        <w:color w:val="5F5F5F"/>
      </w:rPr>
      <w:instrText xml:space="preserve">PAGE  </w:instrText>
    </w:r>
    <w:r>
      <w:rPr>
        <w:rStyle w:val="slostrnky"/>
        <w:color w:val="5F5F5F"/>
      </w:rPr>
      <w:fldChar w:fldCharType="separate"/>
    </w:r>
    <w:r w:rsidR="00F5777F">
      <w:rPr>
        <w:rStyle w:val="slostrnky"/>
        <w:noProof/>
        <w:color w:val="5F5F5F"/>
      </w:rPr>
      <w:t>17</w:t>
    </w:r>
    <w:r>
      <w:rPr>
        <w:rStyle w:val="slostrnky"/>
        <w:color w:val="5F5F5F"/>
      </w:rPr>
      <w:fldChar w:fldCharType="end"/>
    </w:r>
  </w:p>
  <w:p w14:paraId="4287A760" w14:textId="77777777" w:rsidR="009A07D8" w:rsidRDefault="009A07D8">
    <w:pPr>
      <w:pStyle w:val="Zpat"/>
      <w:jc w:val="center"/>
      <w:rPr>
        <w:color w:val="5F5F5F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1F072" w14:textId="77777777" w:rsidR="00FC3F85" w:rsidRDefault="00FC3F85">
      <w:r>
        <w:separator/>
      </w:r>
    </w:p>
  </w:footnote>
  <w:footnote w:type="continuationSeparator" w:id="0">
    <w:p w14:paraId="20065AF8" w14:textId="77777777" w:rsidR="00FC3F85" w:rsidRDefault="00FC3F85">
      <w:r>
        <w:continuationSeparator/>
      </w:r>
    </w:p>
  </w:footnote>
  <w:footnote w:id="1">
    <w:p w14:paraId="6E0AAABB" w14:textId="77777777" w:rsidR="003A5F67" w:rsidRPr="00E25D4D" w:rsidRDefault="003A5F67">
      <w:pPr>
        <w:pStyle w:val="Textpoznpodarou"/>
        <w:rPr>
          <w:rFonts w:ascii="Arial" w:hAnsi="Arial" w:cs="Arial"/>
          <w:sz w:val="18"/>
          <w:szCs w:val="18"/>
          <w:lang w:val="cs-CZ"/>
        </w:rPr>
      </w:pPr>
      <w:r w:rsidRPr="00E25D4D">
        <w:rPr>
          <w:rStyle w:val="Znakapoznpodarou"/>
          <w:rFonts w:ascii="Arial" w:hAnsi="Arial" w:cs="Arial"/>
          <w:sz w:val="18"/>
          <w:szCs w:val="18"/>
        </w:rPr>
        <w:footnoteRef/>
      </w:r>
      <w:r w:rsidRPr="00E25D4D">
        <w:rPr>
          <w:rFonts w:ascii="Arial" w:hAnsi="Arial" w:cs="Arial"/>
          <w:sz w:val="18"/>
          <w:szCs w:val="18"/>
        </w:rPr>
        <w:t xml:space="preserve"> </w:t>
      </w:r>
      <w:r w:rsidRPr="00E25D4D">
        <w:rPr>
          <w:rFonts w:ascii="Arial" w:hAnsi="Arial" w:cs="Arial"/>
          <w:sz w:val="18"/>
          <w:szCs w:val="18"/>
          <w:lang w:val="cs-CZ"/>
        </w:rPr>
        <w:t>Zohledňuje rozdílné složení vícečlenných domácností.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D3FF5" w14:textId="77777777" w:rsidR="009A07D8" w:rsidRDefault="00DA303A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A07D8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A07D8">
      <w:rPr>
        <w:rStyle w:val="slostrnky"/>
        <w:noProof/>
      </w:rPr>
      <w:t>4</w:t>
    </w:r>
    <w:r>
      <w:rPr>
        <w:rStyle w:val="slostrnky"/>
      </w:rPr>
      <w:fldChar w:fldCharType="end"/>
    </w:r>
  </w:p>
  <w:p w14:paraId="0ABB793E" w14:textId="77777777" w:rsidR="009A07D8" w:rsidRDefault="009A07D8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EF869" w14:textId="77777777" w:rsidR="009A07D8" w:rsidRDefault="009A07D8">
    <w:pPr>
      <w:pStyle w:val="Zhlav"/>
    </w:pPr>
  </w:p>
  <w:p w14:paraId="313CC776" w14:textId="77777777" w:rsidR="009A07D8" w:rsidRDefault="009A07D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E7D2A"/>
    <w:multiLevelType w:val="hybridMultilevel"/>
    <w:tmpl w:val="EDF6A61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974F5"/>
    <w:multiLevelType w:val="hybridMultilevel"/>
    <w:tmpl w:val="B5368AC2"/>
    <w:lvl w:ilvl="0" w:tplc="B7EECE4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7D2334"/>
    <w:multiLevelType w:val="hybridMultilevel"/>
    <w:tmpl w:val="7304F360"/>
    <w:lvl w:ilvl="0" w:tplc="FD02F8C6">
      <w:start w:val="3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E6FA1"/>
    <w:multiLevelType w:val="hybridMultilevel"/>
    <w:tmpl w:val="C78866AA"/>
    <w:lvl w:ilvl="0" w:tplc="E6AE4164">
      <w:start w:val="1"/>
      <w:numFmt w:val="decimal"/>
      <w:pStyle w:val="5selnodrky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70D06"/>
    <w:multiLevelType w:val="hybridMultilevel"/>
    <w:tmpl w:val="B5368AC2"/>
    <w:lvl w:ilvl="0" w:tplc="B7EECE4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BF7154"/>
    <w:multiLevelType w:val="hybridMultilevel"/>
    <w:tmpl w:val="B5368AC2"/>
    <w:lvl w:ilvl="0" w:tplc="B7EECE4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6A1275F"/>
    <w:multiLevelType w:val="hybridMultilevel"/>
    <w:tmpl w:val="3E50F4A0"/>
    <w:lvl w:ilvl="0" w:tplc="202239A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64B044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40AB6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9C7E76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7CF152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F63BFC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FCB9F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E40AD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34101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7575E13"/>
    <w:multiLevelType w:val="hybridMultilevel"/>
    <w:tmpl w:val="90FC830A"/>
    <w:lvl w:ilvl="0" w:tplc="7A9E85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F0D535C"/>
    <w:multiLevelType w:val="hybridMultilevel"/>
    <w:tmpl w:val="90FC830A"/>
    <w:lvl w:ilvl="0" w:tplc="7A9E85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0987D53"/>
    <w:multiLevelType w:val="hybridMultilevel"/>
    <w:tmpl w:val="6D4465BC"/>
    <w:lvl w:ilvl="0" w:tplc="504CCAD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00E460"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8A0052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02A48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78429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34EAB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3ECB6E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8E3BC4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1A290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0B43380"/>
    <w:multiLevelType w:val="hybridMultilevel"/>
    <w:tmpl w:val="EDF2F8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86E92"/>
    <w:multiLevelType w:val="hybridMultilevel"/>
    <w:tmpl w:val="72FE0448"/>
    <w:lvl w:ilvl="0" w:tplc="76A65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87C74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684E65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522AD9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DD6297F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D7E18A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79D8B46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552F87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1C14771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34B5393B"/>
    <w:multiLevelType w:val="hybridMultilevel"/>
    <w:tmpl w:val="BBD0C806"/>
    <w:lvl w:ilvl="0" w:tplc="497685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DE5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7A8B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720F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881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14BA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DCEA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F655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769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EB265A1"/>
    <w:multiLevelType w:val="hybridMultilevel"/>
    <w:tmpl w:val="32426F4C"/>
    <w:lvl w:ilvl="0" w:tplc="504CCAD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864F6E">
      <w:numFmt w:val="bullet"/>
      <w:lvlText w:val="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8A0052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02A48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78429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34EAB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3ECB6E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8E3BC4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1A290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9074E3B"/>
    <w:multiLevelType w:val="hybridMultilevel"/>
    <w:tmpl w:val="E4C0176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953458A"/>
    <w:multiLevelType w:val="hybridMultilevel"/>
    <w:tmpl w:val="B5368AC2"/>
    <w:lvl w:ilvl="0" w:tplc="B7EECE4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12B30C9"/>
    <w:multiLevelType w:val="hybridMultilevel"/>
    <w:tmpl w:val="B8366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202C9"/>
    <w:multiLevelType w:val="hybridMultilevel"/>
    <w:tmpl w:val="2828ED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A4291"/>
    <w:multiLevelType w:val="hybridMultilevel"/>
    <w:tmpl w:val="9E1E6BBA"/>
    <w:lvl w:ilvl="0" w:tplc="2F4A7010">
      <w:start w:val="1"/>
      <w:numFmt w:val="lowerLetter"/>
      <w:pStyle w:val="8aodrky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E27C14"/>
    <w:multiLevelType w:val="hybridMultilevel"/>
    <w:tmpl w:val="A77CEBDC"/>
    <w:lvl w:ilvl="0" w:tplc="12884AC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98C592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BA22C2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4808A2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5AFE9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6C220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04B096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2410C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72FD8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0AF64AE"/>
    <w:multiLevelType w:val="hybridMultilevel"/>
    <w:tmpl w:val="B5368AC2"/>
    <w:lvl w:ilvl="0" w:tplc="B7EECE4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7673799"/>
    <w:multiLevelType w:val="hybridMultilevel"/>
    <w:tmpl w:val="848C578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9397A55"/>
    <w:multiLevelType w:val="hybridMultilevel"/>
    <w:tmpl w:val="C096DB9A"/>
    <w:lvl w:ilvl="0" w:tplc="04050019">
      <w:start w:val="1"/>
      <w:numFmt w:val="lowerLetter"/>
      <w:lvlText w:val="%1.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3" w15:restartNumberingAfterBreak="0">
    <w:nsid w:val="6EC37926"/>
    <w:multiLevelType w:val="hybridMultilevel"/>
    <w:tmpl w:val="41DABF00"/>
    <w:lvl w:ilvl="0" w:tplc="2FD8B7AE">
      <w:start w:val="1"/>
      <w:numFmt w:val="lowerLetter"/>
      <w:lvlText w:val="%1)"/>
      <w:lvlJc w:val="left"/>
      <w:pPr>
        <w:ind w:left="720" w:hanging="360"/>
      </w:pPr>
    </w:lvl>
    <w:lvl w:ilvl="1" w:tplc="33B63198">
      <w:start w:val="1"/>
      <w:numFmt w:val="lowerLetter"/>
      <w:lvlText w:val="%2."/>
      <w:lvlJc w:val="left"/>
      <w:pPr>
        <w:ind w:left="1440" w:hanging="360"/>
      </w:pPr>
    </w:lvl>
    <w:lvl w:ilvl="2" w:tplc="0220C356">
      <w:start w:val="1"/>
      <w:numFmt w:val="lowerRoman"/>
      <w:lvlText w:val="%3."/>
      <w:lvlJc w:val="right"/>
      <w:pPr>
        <w:ind w:left="2160" w:hanging="180"/>
      </w:pPr>
    </w:lvl>
    <w:lvl w:ilvl="3" w:tplc="65E0B9A4">
      <w:start w:val="1"/>
      <w:numFmt w:val="decimal"/>
      <w:lvlText w:val="%4."/>
      <w:lvlJc w:val="left"/>
      <w:pPr>
        <w:ind w:left="2880" w:hanging="360"/>
      </w:pPr>
    </w:lvl>
    <w:lvl w:ilvl="4" w:tplc="4708871C">
      <w:start w:val="1"/>
      <w:numFmt w:val="lowerLetter"/>
      <w:lvlText w:val="%5."/>
      <w:lvlJc w:val="left"/>
      <w:pPr>
        <w:ind w:left="3600" w:hanging="360"/>
      </w:pPr>
    </w:lvl>
    <w:lvl w:ilvl="5" w:tplc="C3E025AE">
      <w:start w:val="1"/>
      <w:numFmt w:val="lowerRoman"/>
      <w:lvlText w:val="%6."/>
      <w:lvlJc w:val="right"/>
      <w:pPr>
        <w:ind w:left="4320" w:hanging="180"/>
      </w:pPr>
    </w:lvl>
    <w:lvl w:ilvl="6" w:tplc="05504F04">
      <w:start w:val="1"/>
      <w:numFmt w:val="decimal"/>
      <w:lvlText w:val="%7."/>
      <w:lvlJc w:val="left"/>
      <w:pPr>
        <w:ind w:left="5040" w:hanging="360"/>
      </w:pPr>
    </w:lvl>
    <w:lvl w:ilvl="7" w:tplc="B26A4132">
      <w:start w:val="1"/>
      <w:numFmt w:val="lowerLetter"/>
      <w:lvlText w:val="%8."/>
      <w:lvlJc w:val="left"/>
      <w:pPr>
        <w:ind w:left="5760" w:hanging="360"/>
      </w:pPr>
    </w:lvl>
    <w:lvl w:ilvl="8" w:tplc="708C22B4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F66DDA"/>
    <w:multiLevelType w:val="multilevel"/>
    <w:tmpl w:val="698A43FE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76A60064"/>
    <w:multiLevelType w:val="multilevel"/>
    <w:tmpl w:val="24B80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76DE7A6C"/>
    <w:multiLevelType w:val="hybridMultilevel"/>
    <w:tmpl w:val="EE54CD16"/>
    <w:lvl w:ilvl="0" w:tplc="65783EA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122F9E"/>
    <w:multiLevelType w:val="hybridMultilevel"/>
    <w:tmpl w:val="CD7CAB2C"/>
    <w:lvl w:ilvl="0" w:tplc="23389272">
      <w:start w:val="1"/>
      <w:numFmt w:val="bullet"/>
      <w:pStyle w:val="6odrky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AE1285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9809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3E82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7608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C6B4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F6BC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FAD9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86C2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C255EA"/>
    <w:multiLevelType w:val="hybridMultilevel"/>
    <w:tmpl w:val="8E7E15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540774"/>
    <w:multiLevelType w:val="hybridMultilevel"/>
    <w:tmpl w:val="B5368AC2"/>
    <w:lvl w:ilvl="0" w:tplc="B7EECE4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3"/>
  </w:num>
  <w:num w:numId="3">
    <w:abstractNumId w:val="27"/>
  </w:num>
  <w:num w:numId="4">
    <w:abstractNumId w:val="11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0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1"/>
  </w:num>
  <w:num w:numId="12">
    <w:abstractNumId w:val="8"/>
  </w:num>
  <w:num w:numId="13">
    <w:abstractNumId w:val="28"/>
  </w:num>
  <w:num w:numId="14">
    <w:abstractNumId w:val="22"/>
  </w:num>
  <w:num w:numId="15">
    <w:abstractNumId w:val="4"/>
  </w:num>
  <w:num w:numId="16">
    <w:abstractNumId w:val="7"/>
  </w:num>
  <w:num w:numId="17">
    <w:abstractNumId w:val="15"/>
  </w:num>
  <w:num w:numId="18">
    <w:abstractNumId w:val="29"/>
  </w:num>
  <w:num w:numId="19">
    <w:abstractNumId w:val="1"/>
  </w:num>
  <w:num w:numId="20">
    <w:abstractNumId w:val="5"/>
  </w:num>
  <w:num w:numId="21">
    <w:abstractNumId w:val="20"/>
  </w:num>
  <w:num w:numId="22">
    <w:abstractNumId w:val="3"/>
    <w:lvlOverride w:ilvl="0">
      <w:startOverride w:val="1"/>
    </w:lvlOverride>
  </w:num>
  <w:num w:numId="23">
    <w:abstractNumId w:val="24"/>
  </w:num>
  <w:num w:numId="24">
    <w:abstractNumId w:val="24"/>
  </w:num>
  <w:num w:numId="25">
    <w:abstractNumId w:val="24"/>
  </w:num>
  <w:num w:numId="26">
    <w:abstractNumId w:val="24"/>
  </w:num>
  <w:num w:numId="27">
    <w:abstractNumId w:val="24"/>
  </w:num>
  <w:num w:numId="28">
    <w:abstractNumId w:val="24"/>
  </w:num>
  <w:num w:numId="29">
    <w:abstractNumId w:val="24"/>
  </w:num>
  <w:num w:numId="30">
    <w:abstractNumId w:val="24"/>
  </w:num>
  <w:num w:numId="31">
    <w:abstractNumId w:val="12"/>
  </w:num>
  <w:num w:numId="32">
    <w:abstractNumId w:val="24"/>
  </w:num>
  <w:num w:numId="33">
    <w:abstractNumId w:val="24"/>
  </w:num>
  <w:num w:numId="34">
    <w:abstractNumId w:val="14"/>
  </w:num>
  <w:num w:numId="35">
    <w:abstractNumId w:val="24"/>
  </w:num>
  <w:num w:numId="36">
    <w:abstractNumId w:val="24"/>
  </w:num>
  <w:num w:numId="37">
    <w:abstractNumId w:val="19"/>
  </w:num>
  <w:num w:numId="38">
    <w:abstractNumId w:val="6"/>
  </w:num>
  <w:num w:numId="39">
    <w:abstractNumId w:val="17"/>
  </w:num>
  <w:num w:numId="40">
    <w:abstractNumId w:val="2"/>
  </w:num>
  <w:num w:numId="41">
    <w:abstractNumId w:val="9"/>
  </w:num>
  <w:num w:numId="42">
    <w:abstractNumId w:val="13"/>
  </w:num>
  <w:num w:numId="43">
    <w:abstractNumId w:val="24"/>
  </w:num>
  <w:num w:numId="44">
    <w:abstractNumId w:val="24"/>
  </w:num>
  <w:num w:numId="45">
    <w:abstractNumId w:val="24"/>
  </w:num>
  <w:num w:numId="46">
    <w:abstractNumId w:val="2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Empty"/>
  </w:docVars>
  <w:rsids>
    <w:rsidRoot w:val="00DC67F9"/>
    <w:rsid w:val="00000348"/>
    <w:rsid w:val="00000FD3"/>
    <w:rsid w:val="00001522"/>
    <w:rsid w:val="00003578"/>
    <w:rsid w:val="000038F8"/>
    <w:rsid w:val="00003F76"/>
    <w:rsid w:val="00004B1E"/>
    <w:rsid w:val="00007075"/>
    <w:rsid w:val="00010476"/>
    <w:rsid w:val="000104B9"/>
    <w:rsid w:val="0001062A"/>
    <w:rsid w:val="00010E79"/>
    <w:rsid w:val="00011037"/>
    <w:rsid w:val="00011A4B"/>
    <w:rsid w:val="0001292D"/>
    <w:rsid w:val="00012D8B"/>
    <w:rsid w:val="000144EB"/>
    <w:rsid w:val="00014639"/>
    <w:rsid w:val="0001485D"/>
    <w:rsid w:val="00014DAD"/>
    <w:rsid w:val="00014DC2"/>
    <w:rsid w:val="00015BD9"/>
    <w:rsid w:val="00015E18"/>
    <w:rsid w:val="00017252"/>
    <w:rsid w:val="000178CB"/>
    <w:rsid w:val="00017A02"/>
    <w:rsid w:val="000206DC"/>
    <w:rsid w:val="00020714"/>
    <w:rsid w:val="000217F1"/>
    <w:rsid w:val="00021FB8"/>
    <w:rsid w:val="00022282"/>
    <w:rsid w:val="00022618"/>
    <w:rsid w:val="00022B5C"/>
    <w:rsid w:val="00023DAC"/>
    <w:rsid w:val="00024B32"/>
    <w:rsid w:val="00024C8B"/>
    <w:rsid w:val="00025021"/>
    <w:rsid w:val="000252FF"/>
    <w:rsid w:val="00025B11"/>
    <w:rsid w:val="00025C41"/>
    <w:rsid w:val="00025FAC"/>
    <w:rsid w:val="000267F4"/>
    <w:rsid w:val="00027325"/>
    <w:rsid w:val="00027B72"/>
    <w:rsid w:val="000312B9"/>
    <w:rsid w:val="000326BE"/>
    <w:rsid w:val="00033534"/>
    <w:rsid w:val="00034970"/>
    <w:rsid w:val="00034A5A"/>
    <w:rsid w:val="00035ADF"/>
    <w:rsid w:val="00037513"/>
    <w:rsid w:val="00037FE6"/>
    <w:rsid w:val="00040F4A"/>
    <w:rsid w:val="00041009"/>
    <w:rsid w:val="00041241"/>
    <w:rsid w:val="00041514"/>
    <w:rsid w:val="00043078"/>
    <w:rsid w:val="0004696D"/>
    <w:rsid w:val="00046A9B"/>
    <w:rsid w:val="00047EDB"/>
    <w:rsid w:val="00050DF5"/>
    <w:rsid w:val="00050EBB"/>
    <w:rsid w:val="00051F64"/>
    <w:rsid w:val="00052267"/>
    <w:rsid w:val="000522EE"/>
    <w:rsid w:val="0005337C"/>
    <w:rsid w:val="00054154"/>
    <w:rsid w:val="00054A19"/>
    <w:rsid w:val="00055C59"/>
    <w:rsid w:val="0005646C"/>
    <w:rsid w:val="000564A3"/>
    <w:rsid w:val="0005681F"/>
    <w:rsid w:val="000622BC"/>
    <w:rsid w:val="00062598"/>
    <w:rsid w:val="00062667"/>
    <w:rsid w:val="00062970"/>
    <w:rsid w:val="00065731"/>
    <w:rsid w:val="000657BB"/>
    <w:rsid w:val="00066B76"/>
    <w:rsid w:val="00067B49"/>
    <w:rsid w:val="00070025"/>
    <w:rsid w:val="000704B0"/>
    <w:rsid w:val="000715DA"/>
    <w:rsid w:val="00071F40"/>
    <w:rsid w:val="000730EB"/>
    <w:rsid w:val="000749C5"/>
    <w:rsid w:val="0007778B"/>
    <w:rsid w:val="0007788A"/>
    <w:rsid w:val="000804D8"/>
    <w:rsid w:val="000805E6"/>
    <w:rsid w:val="0008085A"/>
    <w:rsid w:val="00081118"/>
    <w:rsid w:val="0008120F"/>
    <w:rsid w:val="00081782"/>
    <w:rsid w:val="0008215B"/>
    <w:rsid w:val="000832DE"/>
    <w:rsid w:val="00084FE7"/>
    <w:rsid w:val="0008565A"/>
    <w:rsid w:val="00085E14"/>
    <w:rsid w:val="00086991"/>
    <w:rsid w:val="00086C69"/>
    <w:rsid w:val="00087F73"/>
    <w:rsid w:val="0009087C"/>
    <w:rsid w:val="00090937"/>
    <w:rsid w:val="00091760"/>
    <w:rsid w:val="0009307D"/>
    <w:rsid w:val="00093741"/>
    <w:rsid w:val="00093BFA"/>
    <w:rsid w:val="0009477B"/>
    <w:rsid w:val="00095AF6"/>
    <w:rsid w:val="00095D9C"/>
    <w:rsid w:val="00096364"/>
    <w:rsid w:val="000965D1"/>
    <w:rsid w:val="00096E97"/>
    <w:rsid w:val="00097701"/>
    <w:rsid w:val="000977C6"/>
    <w:rsid w:val="00097B40"/>
    <w:rsid w:val="00097C83"/>
    <w:rsid w:val="000A18BD"/>
    <w:rsid w:val="000A1D3C"/>
    <w:rsid w:val="000A2091"/>
    <w:rsid w:val="000A24C5"/>
    <w:rsid w:val="000A28A1"/>
    <w:rsid w:val="000A4035"/>
    <w:rsid w:val="000A45E0"/>
    <w:rsid w:val="000A553A"/>
    <w:rsid w:val="000A5C79"/>
    <w:rsid w:val="000A6146"/>
    <w:rsid w:val="000A62AF"/>
    <w:rsid w:val="000A6375"/>
    <w:rsid w:val="000A6755"/>
    <w:rsid w:val="000A7021"/>
    <w:rsid w:val="000A7042"/>
    <w:rsid w:val="000A7C81"/>
    <w:rsid w:val="000A7DA9"/>
    <w:rsid w:val="000B07BA"/>
    <w:rsid w:val="000B155F"/>
    <w:rsid w:val="000B17F9"/>
    <w:rsid w:val="000B2A4F"/>
    <w:rsid w:val="000B38E5"/>
    <w:rsid w:val="000B5561"/>
    <w:rsid w:val="000B57DA"/>
    <w:rsid w:val="000C0112"/>
    <w:rsid w:val="000C10B1"/>
    <w:rsid w:val="000C17D3"/>
    <w:rsid w:val="000C193F"/>
    <w:rsid w:val="000C2038"/>
    <w:rsid w:val="000C242B"/>
    <w:rsid w:val="000C3134"/>
    <w:rsid w:val="000C32FE"/>
    <w:rsid w:val="000C3BC2"/>
    <w:rsid w:val="000C47DE"/>
    <w:rsid w:val="000C5034"/>
    <w:rsid w:val="000C5263"/>
    <w:rsid w:val="000C5447"/>
    <w:rsid w:val="000C59AA"/>
    <w:rsid w:val="000C629D"/>
    <w:rsid w:val="000C676E"/>
    <w:rsid w:val="000D1A71"/>
    <w:rsid w:val="000D1DB4"/>
    <w:rsid w:val="000D2DC6"/>
    <w:rsid w:val="000D2FDA"/>
    <w:rsid w:val="000D3368"/>
    <w:rsid w:val="000D4ABE"/>
    <w:rsid w:val="000D5132"/>
    <w:rsid w:val="000D55BD"/>
    <w:rsid w:val="000D5E8C"/>
    <w:rsid w:val="000D6302"/>
    <w:rsid w:val="000D6886"/>
    <w:rsid w:val="000D6DEC"/>
    <w:rsid w:val="000D79C8"/>
    <w:rsid w:val="000D7D49"/>
    <w:rsid w:val="000E09B5"/>
    <w:rsid w:val="000E10F9"/>
    <w:rsid w:val="000E16C5"/>
    <w:rsid w:val="000E27BA"/>
    <w:rsid w:val="000E2F0E"/>
    <w:rsid w:val="000E39AE"/>
    <w:rsid w:val="000E447A"/>
    <w:rsid w:val="000E47E5"/>
    <w:rsid w:val="000E4AC3"/>
    <w:rsid w:val="000E610C"/>
    <w:rsid w:val="000E6DA5"/>
    <w:rsid w:val="000E724B"/>
    <w:rsid w:val="000E74A3"/>
    <w:rsid w:val="000F14A7"/>
    <w:rsid w:val="000F2464"/>
    <w:rsid w:val="000F2DCF"/>
    <w:rsid w:val="000F2EB2"/>
    <w:rsid w:val="000F3A30"/>
    <w:rsid w:val="000F5D39"/>
    <w:rsid w:val="000F7101"/>
    <w:rsid w:val="000F7F6E"/>
    <w:rsid w:val="00100792"/>
    <w:rsid w:val="00100A72"/>
    <w:rsid w:val="001014A8"/>
    <w:rsid w:val="00101DE0"/>
    <w:rsid w:val="00102B40"/>
    <w:rsid w:val="001032D0"/>
    <w:rsid w:val="00103814"/>
    <w:rsid w:val="00103CA3"/>
    <w:rsid w:val="0010461E"/>
    <w:rsid w:val="00104A83"/>
    <w:rsid w:val="00104C65"/>
    <w:rsid w:val="00105758"/>
    <w:rsid w:val="00105B70"/>
    <w:rsid w:val="00105EDB"/>
    <w:rsid w:val="00106439"/>
    <w:rsid w:val="00106490"/>
    <w:rsid w:val="00107110"/>
    <w:rsid w:val="001077EE"/>
    <w:rsid w:val="00111D4A"/>
    <w:rsid w:val="00111F39"/>
    <w:rsid w:val="00112C07"/>
    <w:rsid w:val="00113D05"/>
    <w:rsid w:val="0011559E"/>
    <w:rsid w:val="00115745"/>
    <w:rsid w:val="00116F03"/>
    <w:rsid w:val="001202DB"/>
    <w:rsid w:val="00120EF8"/>
    <w:rsid w:val="001219D7"/>
    <w:rsid w:val="00124D82"/>
    <w:rsid w:val="00131F4E"/>
    <w:rsid w:val="001342AD"/>
    <w:rsid w:val="0013644B"/>
    <w:rsid w:val="00136C9E"/>
    <w:rsid w:val="00136F6F"/>
    <w:rsid w:val="001370AA"/>
    <w:rsid w:val="001373C3"/>
    <w:rsid w:val="00141615"/>
    <w:rsid w:val="00141971"/>
    <w:rsid w:val="00141CE6"/>
    <w:rsid w:val="00141FFE"/>
    <w:rsid w:val="00142818"/>
    <w:rsid w:val="0014294A"/>
    <w:rsid w:val="00142F45"/>
    <w:rsid w:val="0014379C"/>
    <w:rsid w:val="00143886"/>
    <w:rsid w:val="001443CE"/>
    <w:rsid w:val="001459E3"/>
    <w:rsid w:val="00146563"/>
    <w:rsid w:val="0014666E"/>
    <w:rsid w:val="00147074"/>
    <w:rsid w:val="0014778A"/>
    <w:rsid w:val="0015159F"/>
    <w:rsid w:val="001516A9"/>
    <w:rsid w:val="00151A78"/>
    <w:rsid w:val="001520E6"/>
    <w:rsid w:val="0015240C"/>
    <w:rsid w:val="00152B77"/>
    <w:rsid w:val="00154E23"/>
    <w:rsid w:val="00155274"/>
    <w:rsid w:val="001555A9"/>
    <w:rsid w:val="001558A7"/>
    <w:rsid w:val="00156887"/>
    <w:rsid w:val="00156ED6"/>
    <w:rsid w:val="001570D8"/>
    <w:rsid w:val="0016088C"/>
    <w:rsid w:val="00164ADB"/>
    <w:rsid w:val="00164B2E"/>
    <w:rsid w:val="00165A28"/>
    <w:rsid w:val="00166D78"/>
    <w:rsid w:val="001676CA"/>
    <w:rsid w:val="001676D5"/>
    <w:rsid w:val="00170FC0"/>
    <w:rsid w:val="0017186A"/>
    <w:rsid w:val="001726F3"/>
    <w:rsid w:val="00172DE9"/>
    <w:rsid w:val="0017469E"/>
    <w:rsid w:val="001758DD"/>
    <w:rsid w:val="00175E94"/>
    <w:rsid w:val="00177BEB"/>
    <w:rsid w:val="00177E81"/>
    <w:rsid w:val="00180B3B"/>
    <w:rsid w:val="00182728"/>
    <w:rsid w:val="001836FE"/>
    <w:rsid w:val="00183E17"/>
    <w:rsid w:val="00184D06"/>
    <w:rsid w:val="0018519D"/>
    <w:rsid w:val="001853D0"/>
    <w:rsid w:val="001853E4"/>
    <w:rsid w:val="00185801"/>
    <w:rsid w:val="00185B2B"/>
    <w:rsid w:val="00185E7D"/>
    <w:rsid w:val="00186125"/>
    <w:rsid w:val="00186FF4"/>
    <w:rsid w:val="00190535"/>
    <w:rsid w:val="00190ABB"/>
    <w:rsid w:val="00190BF7"/>
    <w:rsid w:val="00191329"/>
    <w:rsid w:val="001914A2"/>
    <w:rsid w:val="0019180C"/>
    <w:rsid w:val="00191D79"/>
    <w:rsid w:val="00192505"/>
    <w:rsid w:val="001928C5"/>
    <w:rsid w:val="00192A57"/>
    <w:rsid w:val="00193166"/>
    <w:rsid w:val="00193928"/>
    <w:rsid w:val="00193BFE"/>
    <w:rsid w:val="00193EB5"/>
    <w:rsid w:val="001941FA"/>
    <w:rsid w:val="00195EBE"/>
    <w:rsid w:val="00197E6D"/>
    <w:rsid w:val="001A007C"/>
    <w:rsid w:val="001A0146"/>
    <w:rsid w:val="001A0F0D"/>
    <w:rsid w:val="001A100B"/>
    <w:rsid w:val="001A1DD5"/>
    <w:rsid w:val="001A249C"/>
    <w:rsid w:val="001A2FBC"/>
    <w:rsid w:val="001A54CD"/>
    <w:rsid w:val="001A5AF6"/>
    <w:rsid w:val="001A5FA5"/>
    <w:rsid w:val="001A6FEE"/>
    <w:rsid w:val="001B0817"/>
    <w:rsid w:val="001B10BB"/>
    <w:rsid w:val="001B1994"/>
    <w:rsid w:val="001B3A05"/>
    <w:rsid w:val="001B50F8"/>
    <w:rsid w:val="001B52F1"/>
    <w:rsid w:val="001B6A4E"/>
    <w:rsid w:val="001B7495"/>
    <w:rsid w:val="001C078E"/>
    <w:rsid w:val="001C10FE"/>
    <w:rsid w:val="001C38ED"/>
    <w:rsid w:val="001C3D9B"/>
    <w:rsid w:val="001C408B"/>
    <w:rsid w:val="001C55E8"/>
    <w:rsid w:val="001C5A90"/>
    <w:rsid w:val="001D08AB"/>
    <w:rsid w:val="001D0B66"/>
    <w:rsid w:val="001D0DE1"/>
    <w:rsid w:val="001D10CC"/>
    <w:rsid w:val="001D2A72"/>
    <w:rsid w:val="001D50F2"/>
    <w:rsid w:val="001D5326"/>
    <w:rsid w:val="001D5500"/>
    <w:rsid w:val="001D5E0E"/>
    <w:rsid w:val="001D6F88"/>
    <w:rsid w:val="001D770E"/>
    <w:rsid w:val="001D7BB9"/>
    <w:rsid w:val="001E0282"/>
    <w:rsid w:val="001E457B"/>
    <w:rsid w:val="001E4F69"/>
    <w:rsid w:val="001E6073"/>
    <w:rsid w:val="001E6CD0"/>
    <w:rsid w:val="001E705A"/>
    <w:rsid w:val="001F0935"/>
    <w:rsid w:val="001F0EC9"/>
    <w:rsid w:val="001F104B"/>
    <w:rsid w:val="001F1F70"/>
    <w:rsid w:val="001F3663"/>
    <w:rsid w:val="001F3A92"/>
    <w:rsid w:val="001F3E5F"/>
    <w:rsid w:val="001F5945"/>
    <w:rsid w:val="001F6C24"/>
    <w:rsid w:val="001F6D2A"/>
    <w:rsid w:val="00200192"/>
    <w:rsid w:val="00201F05"/>
    <w:rsid w:val="00203248"/>
    <w:rsid w:val="00204972"/>
    <w:rsid w:val="00205128"/>
    <w:rsid w:val="0020544F"/>
    <w:rsid w:val="002055B9"/>
    <w:rsid w:val="0021038D"/>
    <w:rsid w:val="00210DBC"/>
    <w:rsid w:val="00211824"/>
    <w:rsid w:val="002129F0"/>
    <w:rsid w:val="002138E1"/>
    <w:rsid w:val="002139EC"/>
    <w:rsid w:val="0021554E"/>
    <w:rsid w:val="002162EE"/>
    <w:rsid w:val="002177A7"/>
    <w:rsid w:val="002206F1"/>
    <w:rsid w:val="00221042"/>
    <w:rsid w:val="00221B95"/>
    <w:rsid w:val="00222261"/>
    <w:rsid w:val="0022285C"/>
    <w:rsid w:val="0022304B"/>
    <w:rsid w:val="00224441"/>
    <w:rsid w:val="002254A5"/>
    <w:rsid w:val="00225830"/>
    <w:rsid w:val="0022690D"/>
    <w:rsid w:val="00226CEC"/>
    <w:rsid w:val="00227C59"/>
    <w:rsid w:val="00230390"/>
    <w:rsid w:val="002304FD"/>
    <w:rsid w:val="00231E12"/>
    <w:rsid w:val="0023254A"/>
    <w:rsid w:val="002329AB"/>
    <w:rsid w:val="00232D30"/>
    <w:rsid w:val="00233B14"/>
    <w:rsid w:val="0023489C"/>
    <w:rsid w:val="002361E8"/>
    <w:rsid w:val="00236590"/>
    <w:rsid w:val="00237DEC"/>
    <w:rsid w:val="00240483"/>
    <w:rsid w:val="00240D72"/>
    <w:rsid w:val="002419C1"/>
    <w:rsid w:val="00241F72"/>
    <w:rsid w:val="00242615"/>
    <w:rsid w:val="0024337B"/>
    <w:rsid w:val="0024376C"/>
    <w:rsid w:val="00244844"/>
    <w:rsid w:val="002455EB"/>
    <w:rsid w:val="002456F1"/>
    <w:rsid w:val="00245E21"/>
    <w:rsid w:val="00247399"/>
    <w:rsid w:val="00247EEE"/>
    <w:rsid w:val="00250539"/>
    <w:rsid w:val="00250C1B"/>
    <w:rsid w:val="00251BCF"/>
    <w:rsid w:val="00251FB6"/>
    <w:rsid w:val="0025213D"/>
    <w:rsid w:val="00253E9A"/>
    <w:rsid w:val="00254BF4"/>
    <w:rsid w:val="00255697"/>
    <w:rsid w:val="00255FEA"/>
    <w:rsid w:val="00256286"/>
    <w:rsid w:val="00257E4B"/>
    <w:rsid w:val="00260B4F"/>
    <w:rsid w:val="00261383"/>
    <w:rsid w:val="00261D95"/>
    <w:rsid w:val="00264780"/>
    <w:rsid w:val="00264F3C"/>
    <w:rsid w:val="0026513F"/>
    <w:rsid w:val="00266007"/>
    <w:rsid w:val="002660B0"/>
    <w:rsid w:val="00270E4F"/>
    <w:rsid w:val="002711FB"/>
    <w:rsid w:val="0027199C"/>
    <w:rsid w:val="00272882"/>
    <w:rsid w:val="00272A2E"/>
    <w:rsid w:val="002739DB"/>
    <w:rsid w:val="00275B6B"/>
    <w:rsid w:val="00275DCC"/>
    <w:rsid w:val="0027666C"/>
    <w:rsid w:val="00280060"/>
    <w:rsid w:val="00280347"/>
    <w:rsid w:val="00280B37"/>
    <w:rsid w:val="002811B1"/>
    <w:rsid w:val="002811FB"/>
    <w:rsid w:val="002814E9"/>
    <w:rsid w:val="0028177C"/>
    <w:rsid w:val="00282025"/>
    <w:rsid w:val="00282088"/>
    <w:rsid w:val="00282937"/>
    <w:rsid w:val="0028340E"/>
    <w:rsid w:val="00284330"/>
    <w:rsid w:val="00284F57"/>
    <w:rsid w:val="00285DD4"/>
    <w:rsid w:val="00287185"/>
    <w:rsid w:val="00290D27"/>
    <w:rsid w:val="00292774"/>
    <w:rsid w:val="00292E34"/>
    <w:rsid w:val="0029313C"/>
    <w:rsid w:val="00293151"/>
    <w:rsid w:val="00293875"/>
    <w:rsid w:val="002939C0"/>
    <w:rsid w:val="00293C2A"/>
    <w:rsid w:val="00293EAE"/>
    <w:rsid w:val="00293F90"/>
    <w:rsid w:val="00294405"/>
    <w:rsid w:val="00297E9B"/>
    <w:rsid w:val="002A2150"/>
    <w:rsid w:val="002A2589"/>
    <w:rsid w:val="002A2E39"/>
    <w:rsid w:val="002A32EB"/>
    <w:rsid w:val="002A4CF0"/>
    <w:rsid w:val="002A4D83"/>
    <w:rsid w:val="002A59C0"/>
    <w:rsid w:val="002A6BA7"/>
    <w:rsid w:val="002A6E8B"/>
    <w:rsid w:val="002A78FF"/>
    <w:rsid w:val="002A7F53"/>
    <w:rsid w:val="002B0C10"/>
    <w:rsid w:val="002B0D01"/>
    <w:rsid w:val="002B0FE8"/>
    <w:rsid w:val="002B1828"/>
    <w:rsid w:val="002B1ECF"/>
    <w:rsid w:val="002B27B9"/>
    <w:rsid w:val="002B3807"/>
    <w:rsid w:val="002B51F2"/>
    <w:rsid w:val="002B54F5"/>
    <w:rsid w:val="002B5FD3"/>
    <w:rsid w:val="002B6127"/>
    <w:rsid w:val="002B6BCC"/>
    <w:rsid w:val="002B6BD4"/>
    <w:rsid w:val="002B737F"/>
    <w:rsid w:val="002B7C53"/>
    <w:rsid w:val="002B7E8A"/>
    <w:rsid w:val="002C0994"/>
    <w:rsid w:val="002C0FAC"/>
    <w:rsid w:val="002C1234"/>
    <w:rsid w:val="002C1496"/>
    <w:rsid w:val="002C1813"/>
    <w:rsid w:val="002C1D7E"/>
    <w:rsid w:val="002C349D"/>
    <w:rsid w:val="002C5685"/>
    <w:rsid w:val="002C5F51"/>
    <w:rsid w:val="002C7B74"/>
    <w:rsid w:val="002D02BF"/>
    <w:rsid w:val="002D05A7"/>
    <w:rsid w:val="002D1069"/>
    <w:rsid w:val="002D3D8E"/>
    <w:rsid w:val="002D4707"/>
    <w:rsid w:val="002D52AA"/>
    <w:rsid w:val="002D578B"/>
    <w:rsid w:val="002D5931"/>
    <w:rsid w:val="002D655F"/>
    <w:rsid w:val="002D6E4D"/>
    <w:rsid w:val="002D7629"/>
    <w:rsid w:val="002E01EA"/>
    <w:rsid w:val="002E132A"/>
    <w:rsid w:val="002E1AB9"/>
    <w:rsid w:val="002E217D"/>
    <w:rsid w:val="002E2E39"/>
    <w:rsid w:val="002E42B1"/>
    <w:rsid w:val="002E6926"/>
    <w:rsid w:val="002E7096"/>
    <w:rsid w:val="002E7E92"/>
    <w:rsid w:val="002F0144"/>
    <w:rsid w:val="002F1409"/>
    <w:rsid w:val="002F27D0"/>
    <w:rsid w:val="002F36A2"/>
    <w:rsid w:val="002F3E15"/>
    <w:rsid w:val="002F3EB0"/>
    <w:rsid w:val="002F49E8"/>
    <w:rsid w:val="002F5592"/>
    <w:rsid w:val="002F6D6C"/>
    <w:rsid w:val="00300B6C"/>
    <w:rsid w:val="00301BAC"/>
    <w:rsid w:val="0030238B"/>
    <w:rsid w:val="00302637"/>
    <w:rsid w:val="00303277"/>
    <w:rsid w:val="003035BA"/>
    <w:rsid w:val="003038C4"/>
    <w:rsid w:val="00303A5D"/>
    <w:rsid w:val="00303AD5"/>
    <w:rsid w:val="00303B7D"/>
    <w:rsid w:val="0030514D"/>
    <w:rsid w:val="00305DC7"/>
    <w:rsid w:val="00306F44"/>
    <w:rsid w:val="00307661"/>
    <w:rsid w:val="003077B5"/>
    <w:rsid w:val="003124C4"/>
    <w:rsid w:val="00313C78"/>
    <w:rsid w:val="00315C7C"/>
    <w:rsid w:val="00315FAB"/>
    <w:rsid w:val="003171EA"/>
    <w:rsid w:val="0031724C"/>
    <w:rsid w:val="003176AE"/>
    <w:rsid w:val="0031779F"/>
    <w:rsid w:val="00320F08"/>
    <w:rsid w:val="00321B9F"/>
    <w:rsid w:val="00321CE0"/>
    <w:rsid w:val="0032262E"/>
    <w:rsid w:val="00322961"/>
    <w:rsid w:val="00325DED"/>
    <w:rsid w:val="00326011"/>
    <w:rsid w:val="003266B6"/>
    <w:rsid w:val="00327BDF"/>
    <w:rsid w:val="0033001F"/>
    <w:rsid w:val="00330A60"/>
    <w:rsid w:val="00331A2B"/>
    <w:rsid w:val="00331A36"/>
    <w:rsid w:val="00331E3A"/>
    <w:rsid w:val="0033213B"/>
    <w:rsid w:val="0033262D"/>
    <w:rsid w:val="00334CCB"/>
    <w:rsid w:val="00335CFA"/>
    <w:rsid w:val="00336136"/>
    <w:rsid w:val="00340817"/>
    <w:rsid w:val="0034084B"/>
    <w:rsid w:val="0034108E"/>
    <w:rsid w:val="003410A3"/>
    <w:rsid w:val="0034152A"/>
    <w:rsid w:val="00341AA6"/>
    <w:rsid w:val="00343B0D"/>
    <w:rsid w:val="00344082"/>
    <w:rsid w:val="00344103"/>
    <w:rsid w:val="003444B0"/>
    <w:rsid w:val="003461FB"/>
    <w:rsid w:val="00346FF8"/>
    <w:rsid w:val="00351092"/>
    <w:rsid w:val="0035169A"/>
    <w:rsid w:val="00352E2D"/>
    <w:rsid w:val="00353A7E"/>
    <w:rsid w:val="003544F7"/>
    <w:rsid w:val="00354E5D"/>
    <w:rsid w:val="00356651"/>
    <w:rsid w:val="003568C0"/>
    <w:rsid w:val="00357DB5"/>
    <w:rsid w:val="003603F8"/>
    <w:rsid w:val="00361D03"/>
    <w:rsid w:val="003627F8"/>
    <w:rsid w:val="00363A5F"/>
    <w:rsid w:val="003642CB"/>
    <w:rsid w:val="0036464E"/>
    <w:rsid w:val="00365975"/>
    <w:rsid w:val="00365B3C"/>
    <w:rsid w:val="00365DAE"/>
    <w:rsid w:val="003703AC"/>
    <w:rsid w:val="003703C3"/>
    <w:rsid w:val="003719DD"/>
    <w:rsid w:val="00371E8B"/>
    <w:rsid w:val="00371EA3"/>
    <w:rsid w:val="00374EFA"/>
    <w:rsid w:val="003751CC"/>
    <w:rsid w:val="00376FCC"/>
    <w:rsid w:val="0037716C"/>
    <w:rsid w:val="003772DB"/>
    <w:rsid w:val="003773CC"/>
    <w:rsid w:val="00377632"/>
    <w:rsid w:val="00377B76"/>
    <w:rsid w:val="00380C64"/>
    <w:rsid w:val="00381547"/>
    <w:rsid w:val="0038163A"/>
    <w:rsid w:val="0038274D"/>
    <w:rsid w:val="00382CDD"/>
    <w:rsid w:val="0038349B"/>
    <w:rsid w:val="00383641"/>
    <w:rsid w:val="00383913"/>
    <w:rsid w:val="00384C45"/>
    <w:rsid w:val="003876D3"/>
    <w:rsid w:val="0039034F"/>
    <w:rsid w:val="00390B7E"/>
    <w:rsid w:val="00390C14"/>
    <w:rsid w:val="00391F31"/>
    <w:rsid w:val="00392623"/>
    <w:rsid w:val="003946F1"/>
    <w:rsid w:val="003958AA"/>
    <w:rsid w:val="00395D8A"/>
    <w:rsid w:val="00396350"/>
    <w:rsid w:val="003963AE"/>
    <w:rsid w:val="003A0FF8"/>
    <w:rsid w:val="003A146C"/>
    <w:rsid w:val="003A3CFB"/>
    <w:rsid w:val="003A580B"/>
    <w:rsid w:val="003A5A99"/>
    <w:rsid w:val="003A5B59"/>
    <w:rsid w:val="003A5F67"/>
    <w:rsid w:val="003A7186"/>
    <w:rsid w:val="003B0130"/>
    <w:rsid w:val="003B0318"/>
    <w:rsid w:val="003B2C6F"/>
    <w:rsid w:val="003B2F61"/>
    <w:rsid w:val="003B42D3"/>
    <w:rsid w:val="003B5614"/>
    <w:rsid w:val="003B5C40"/>
    <w:rsid w:val="003B6959"/>
    <w:rsid w:val="003B6B5D"/>
    <w:rsid w:val="003B7073"/>
    <w:rsid w:val="003B74F9"/>
    <w:rsid w:val="003C005F"/>
    <w:rsid w:val="003C1644"/>
    <w:rsid w:val="003C1754"/>
    <w:rsid w:val="003C18CE"/>
    <w:rsid w:val="003C1D89"/>
    <w:rsid w:val="003C1E64"/>
    <w:rsid w:val="003C3173"/>
    <w:rsid w:val="003C3896"/>
    <w:rsid w:val="003C3C94"/>
    <w:rsid w:val="003C40D5"/>
    <w:rsid w:val="003C42B4"/>
    <w:rsid w:val="003C4B13"/>
    <w:rsid w:val="003C4B2D"/>
    <w:rsid w:val="003C5096"/>
    <w:rsid w:val="003C5A13"/>
    <w:rsid w:val="003C6337"/>
    <w:rsid w:val="003C7458"/>
    <w:rsid w:val="003C795E"/>
    <w:rsid w:val="003D0D53"/>
    <w:rsid w:val="003D2006"/>
    <w:rsid w:val="003D2549"/>
    <w:rsid w:val="003D32F4"/>
    <w:rsid w:val="003D3879"/>
    <w:rsid w:val="003D4419"/>
    <w:rsid w:val="003D4DEC"/>
    <w:rsid w:val="003D51CD"/>
    <w:rsid w:val="003D5AAC"/>
    <w:rsid w:val="003D657C"/>
    <w:rsid w:val="003D77ED"/>
    <w:rsid w:val="003E08F7"/>
    <w:rsid w:val="003E09BE"/>
    <w:rsid w:val="003E1FD8"/>
    <w:rsid w:val="003E23B4"/>
    <w:rsid w:val="003E2A51"/>
    <w:rsid w:val="003E3485"/>
    <w:rsid w:val="003E474B"/>
    <w:rsid w:val="003E60A9"/>
    <w:rsid w:val="003E60E3"/>
    <w:rsid w:val="003E612D"/>
    <w:rsid w:val="003E69E7"/>
    <w:rsid w:val="003E6F6C"/>
    <w:rsid w:val="003E7897"/>
    <w:rsid w:val="003F0798"/>
    <w:rsid w:val="003F2BCD"/>
    <w:rsid w:val="003F3E0F"/>
    <w:rsid w:val="003F459C"/>
    <w:rsid w:val="003F5C04"/>
    <w:rsid w:val="003F623F"/>
    <w:rsid w:val="003F766F"/>
    <w:rsid w:val="004002C2"/>
    <w:rsid w:val="00400EC9"/>
    <w:rsid w:val="00400F6B"/>
    <w:rsid w:val="00401168"/>
    <w:rsid w:val="00401E3F"/>
    <w:rsid w:val="004022C4"/>
    <w:rsid w:val="00402882"/>
    <w:rsid w:val="00402DF2"/>
    <w:rsid w:val="00403F64"/>
    <w:rsid w:val="004043E1"/>
    <w:rsid w:val="00404F26"/>
    <w:rsid w:val="004068AC"/>
    <w:rsid w:val="00406C07"/>
    <w:rsid w:val="004104B1"/>
    <w:rsid w:val="00410533"/>
    <w:rsid w:val="004119B2"/>
    <w:rsid w:val="00411CFE"/>
    <w:rsid w:val="00411F3C"/>
    <w:rsid w:val="00412BE6"/>
    <w:rsid w:val="00414583"/>
    <w:rsid w:val="00415C12"/>
    <w:rsid w:val="004176E5"/>
    <w:rsid w:val="00420783"/>
    <w:rsid w:val="00421452"/>
    <w:rsid w:val="00421909"/>
    <w:rsid w:val="00422C9C"/>
    <w:rsid w:val="00423E8E"/>
    <w:rsid w:val="00423F88"/>
    <w:rsid w:val="00425026"/>
    <w:rsid w:val="004252D8"/>
    <w:rsid w:val="00426540"/>
    <w:rsid w:val="00427648"/>
    <w:rsid w:val="004302D8"/>
    <w:rsid w:val="0043062D"/>
    <w:rsid w:val="00431CD3"/>
    <w:rsid w:val="00431CE7"/>
    <w:rsid w:val="0043257E"/>
    <w:rsid w:val="00432AC7"/>
    <w:rsid w:val="004334DE"/>
    <w:rsid w:val="00434B80"/>
    <w:rsid w:val="004358A3"/>
    <w:rsid w:val="00436104"/>
    <w:rsid w:val="0043614E"/>
    <w:rsid w:val="00437731"/>
    <w:rsid w:val="00440101"/>
    <w:rsid w:val="00441922"/>
    <w:rsid w:val="00442B3A"/>
    <w:rsid w:val="00443878"/>
    <w:rsid w:val="004449E3"/>
    <w:rsid w:val="00444D56"/>
    <w:rsid w:val="00444DAF"/>
    <w:rsid w:val="00445134"/>
    <w:rsid w:val="00447822"/>
    <w:rsid w:val="00450366"/>
    <w:rsid w:val="00450528"/>
    <w:rsid w:val="004505C3"/>
    <w:rsid w:val="004509DD"/>
    <w:rsid w:val="004512E4"/>
    <w:rsid w:val="0045157A"/>
    <w:rsid w:val="004519B3"/>
    <w:rsid w:val="00452314"/>
    <w:rsid w:val="00453B7A"/>
    <w:rsid w:val="00453E6E"/>
    <w:rsid w:val="00454009"/>
    <w:rsid w:val="00454E87"/>
    <w:rsid w:val="004556CC"/>
    <w:rsid w:val="00456303"/>
    <w:rsid w:val="00457B3D"/>
    <w:rsid w:val="00460278"/>
    <w:rsid w:val="004603F8"/>
    <w:rsid w:val="00461CA1"/>
    <w:rsid w:val="00461E44"/>
    <w:rsid w:val="00463440"/>
    <w:rsid w:val="0046357B"/>
    <w:rsid w:val="00463A7F"/>
    <w:rsid w:val="00464446"/>
    <w:rsid w:val="00464A28"/>
    <w:rsid w:val="00465295"/>
    <w:rsid w:val="00466587"/>
    <w:rsid w:val="00466C7D"/>
    <w:rsid w:val="00467127"/>
    <w:rsid w:val="004705E9"/>
    <w:rsid w:val="00470D15"/>
    <w:rsid w:val="00471BBB"/>
    <w:rsid w:val="004724C8"/>
    <w:rsid w:val="004728DB"/>
    <w:rsid w:val="0047325A"/>
    <w:rsid w:val="00473602"/>
    <w:rsid w:val="004736BE"/>
    <w:rsid w:val="0047447F"/>
    <w:rsid w:val="00474607"/>
    <w:rsid w:val="0047517D"/>
    <w:rsid w:val="00476120"/>
    <w:rsid w:val="004776D0"/>
    <w:rsid w:val="00485D45"/>
    <w:rsid w:val="00485EF3"/>
    <w:rsid w:val="00486C41"/>
    <w:rsid w:val="00490030"/>
    <w:rsid w:val="004900FD"/>
    <w:rsid w:val="00490C57"/>
    <w:rsid w:val="0049230B"/>
    <w:rsid w:val="00492533"/>
    <w:rsid w:val="004929D7"/>
    <w:rsid w:val="00494170"/>
    <w:rsid w:val="00494593"/>
    <w:rsid w:val="004946B7"/>
    <w:rsid w:val="00494824"/>
    <w:rsid w:val="0049490B"/>
    <w:rsid w:val="004953C4"/>
    <w:rsid w:val="004955CC"/>
    <w:rsid w:val="00496090"/>
    <w:rsid w:val="00496903"/>
    <w:rsid w:val="00496986"/>
    <w:rsid w:val="004969F7"/>
    <w:rsid w:val="004970AE"/>
    <w:rsid w:val="004A03D9"/>
    <w:rsid w:val="004A04E4"/>
    <w:rsid w:val="004A135F"/>
    <w:rsid w:val="004A1BB8"/>
    <w:rsid w:val="004A2ABE"/>
    <w:rsid w:val="004A30E7"/>
    <w:rsid w:val="004A46D1"/>
    <w:rsid w:val="004A754B"/>
    <w:rsid w:val="004A76D3"/>
    <w:rsid w:val="004B0306"/>
    <w:rsid w:val="004B20BE"/>
    <w:rsid w:val="004B23FE"/>
    <w:rsid w:val="004B2559"/>
    <w:rsid w:val="004B29E8"/>
    <w:rsid w:val="004B35CE"/>
    <w:rsid w:val="004B4D22"/>
    <w:rsid w:val="004B4D6C"/>
    <w:rsid w:val="004B50B6"/>
    <w:rsid w:val="004B5333"/>
    <w:rsid w:val="004B55CD"/>
    <w:rsid w:val="004B71D9"/>
    <w:rsid w:val="004B76F6"/>
    <w:rsid w:val="004C042D"/>
    <w:rsid w:val="004C1793"/>
    <w:rsid w:val="004C1BE6"/>
    <w:rsid w:val="004C2328"/>
    <w:rsid w:val="004C2B40"/>
    <w:rsid w:val="004C2D1D"/>
    <w:rsid w:val="004C39FA"/>
    <w:rsid w:val="004C3F65"/>
    <w:rsid w:val="004C44A0"/>
    <w:rsid w:val="004C490E"/>
    <w:rsid w:val="004C6AB3"/>
    <w:rsid w:val="004C75A3"/>
    <w:rsid w:val="004C7768"/>
    <w:rsid w:val="004C7FBE"/>
    <w:rsid w:val="004D0B57"/>
    <w:rsid w:val="004D2354"/>
    <w:rsid w:val="004D2C8D"/>
    <w:rsid w:val="004D3AA0"/>
    <w:rsid w:val="004D44CE"/>
    <w:rsid w:val="004D5338"/>
    <w:rsid w:val="004D535D"/>
    <w:rsid w:val="004D555B"/>
    <w:rsid w:val="004D5673"/>
    <w:rsid w:val="004D5FAC"/>
    <w:rsid w:val="004D6435"/>
    <w:rsid w:val="004D7243"/>
    <w:rsid w:val="004D7E3F"/>
    <w:rsid w:val="004D7F7A"/>
    <w:rsid w:val="004E0093"/>
    <w:rsid w:val="004E0840"/>
    <w:rsid w:val="004E0D0D"/>
    <w:rsid w:val="004E0E10"/>
    <w:rsid w:val="004E14EB"/>
    <w:rsid w:val="004E1505"/>
    <w:rsid w:val="004E3184"/>
    <w:rsid w:val="004E40B5"/>
    <w:rsid w:val="004E44BA"/>
    <w:rsid w:val="004E4DBA"/>
    <w:rsid w:val="004E5465"/>
    <w:rsid w:val="004E5DC1"/>
    <w:rsid w:val="004E7145"/>
    <w:rsid w:val="004E7B3B"/>
    <w:rsid w:val="004F065F"/>
    <w:rsid w:val="004F0683"/>
    <w:rsid w:val="004F1B87"/>
    <w:rsid w:val="004F247E"/>
    <w:rsid w:val="004F2C25"/>
    <w:rsid w:val="004F7869"/>
    <w:rsid w:val="004F7994"/>
    <w:rsid w:val="004F7AB7"/>
    <w:rsid w:val="005003C2"/>
    <w:rsid w:val="00500A06"/>
    <w:rsid w:val="00501001"/>
    <w:rsid w:val="00501B59"/>
    <w:rsid w:val="00501DEB"/>
    <w:rsid w:val="005032BB"/>
    <w:rsid w:val="005034CE"/>
    <w:rsid w:val="005035C2"/>
    <w:rsid w:val="00503653"/>
    <w:rsid w:val="005037DD"/>
    <w:rsid w:val="00505631"/>
    <w:rsid w:val="00506952"/>
    <w:rsid w:val="005069F5"/>
    <w:rsid w:val="00506C0A"/>
    <w:rsid w:val="0051095D"/>
    <w:rsid w:val="00511238"/>
    <w:rsid w:val="00511A5C"/>
    <w:rsid w:val="00511F59"/>
    <w:rsid w:val="005120C0"/>
    <w:rsid w:val="0051273B"/>
    <w:rsid w:val="00512A63"/>
    <w:rsid w:val="00512C56"/>
    <w:rsid w:val="00512CFB"/>
    <w:rsid w:val="005143A0"/>
    <w:rsid w:val="00515A05"/>
    <w:rsid w:val="00516D3E"/>
    <w:rsid w:val="0051773F"/>
    <w:rsid w:val="00517F27"/>
    <w:rsid w:val="0052131D"/>
    <w:rsid w:val="005219C3"/>
    <w:rsid w:val="00521D43"/>
    <w:rsid w:val="00523311"/>
    <w:rsid w:val="005240C4"/>
    <w:rsid w:val="005250F0"/>
    <w:rsid w:val="00525290"/>
    <w:rsid w:val="0052614D"/>
    <w:rsid w:val="005263C6"/>
    <w:rsid w:val="005274D3"/>
    <w:rsid w:val="00530EA7"/>
    <w:rsid w:val="005316C9"/>
    <w:rsid w:val="005316CD"/>
    <w:rsid w:val="00532C12"/>
    <w:rsid w:val="00532DF3"/>
    <w:rsid w:val="00533815"/>
    <w:rsid w:val="00535A36"/>
    <w:rsid w:val="00536934"/>
    <w:rsid w:val="005415CC"/>
    <w:rsid w:val="0054221B"/>
    <w:rsid w:val="00542709"/>
    <w:rsid w:val="0054476F"/>
    <w:rsid w:val="005451A9"/>
    <w:rsid w:val="005451B7"/>
    <w:rsid w:val="00545972"/>
    <w:rsid w:val="0054606D"/>
    <w:rsid w:val="0055019B"/>
    <w:rsid w:val="005503F4"/>
    <w:rsid w:val="00550BC3"/>
    <w:rsid w:val="00550D95"/>
    <w:rsid w:val="005537F2"/>
    <w:rsid w:val="00553884"/>
    <w:rsid w:val="005542BC"/>
    <w:rsid w:val="005545F5"/>
    <w:rsid w:val="0055474D"/>
    <w:rsid w:val="005548AA"/>
    <w:rsid w:val="00554B8D"/>
    <w:rsid w:val="00555024"/>
    <w:rsid w:val="00555260"/>
    <w:rsid w:val="005611E7"/>
    <w:rsid w:val="00561345"/>
    <w:rsid w:val="00563642"/>
    <w:rsid w:val="0056423E"/>
    <w:rsid w:val="00564D19"/>
    <w:rsid w:val="00565A88"/>
    <w:rsid w:val="005662DE"/>
    <w:rsid w:val="005702E6"/>
    <w:rsid w:val="00570501"/>
    <w:rsid w:val="005705A3"/>
    <w:rsid w:val="00572A6D"/>
    <w:rsid w:val="005741F3"/>
    <w:rsid w:val="005742AD"/>
    <w:rsid w:val="00574961"/>
    <w:rsid w:val="00574CF1"/>
    <w:rsid w:val="00575D9D"/>
    <w:rsid w:val="0058011E"/>
    <w:rsid w:val="0058184A"/>
    <w:rsid w:val="00581E9E"/>
    <w:rsid w:val="005838E5"/>
    <w:rsid w:val="00583BEE"/>
    <w:rsid w:val="00583C16"/>
    <w:rsid w:val="00583ECD"/>
    <w:rsid w:val="00584573"/>
    <w:rsid w:val="00584FF0"/>
    <w:rsid w:val="0058575B"/>
    <w:rsid w:val="005867F6"/>
    <w:rsid w:val="005869F8"/>
    <w:rsid w:val="005878D7"/>
    <w:rsid w:val="00587ECC"/>
    <w:rsid w:val="00587FC5"/>
    <w:rsid w:val="0059166C"/>
    <w:rsid w:val="00591FCF"/>
    <w:rsid w:val="005924C2"/>
    <w:rsid w:val="0059357A"/>
    <w:rsid w:val="00593D94"/>
    <w:rsid w:val="00594570"/>
    <w:rsid w:val="00594C67"/>
    <w:rsid w:val="00595BF3"/>
    <w:rsid w:val="00596332"/>
    <w:rsid w:val="0059785B"/>
    <w:rsid w:val="00597A70"/>
    <w:rsid w:val="005A009F"/>
    <w:rsid w:val="005A022E"/>
    <w:rsid w:val="005A1059"/>
    <w:rsid w:val="005A1F02"/>
    <w:rsid w:val="005A2619"/>
    <w:rsid w:val="005A31B5"/>
    <w:rsid w:val="005A3F8E"/>
    <w:rsid w:val="005A69BB"/>
    <w:rsid w:val="005A6CC6"/>
    <w:rsid w:val="005B1454"/>
    <w:rsid w:val="005B2684"/>
    <w:rsid w:val="005B2C9D"/>
    <w:rsid w:val="005B2D4B"/>
    <w:rsid w:val="005B32EC"/>
    <w:rsid w:val="005B3A60"/>
    <w:rsid w:val="005B3D36"/>
    <w:rsid w:val="005B3DD8"/>
    <w:rsid w:val="005B4AC3"/>
    <w:rsid w:val="005B5189"/>
    <w:rsid w:val="005B54A2"/>
    <w:rsid w:val="005B60B5"/>
    <w:rsid w:val="005B6245"/>
    <w:rsid w:val="005B66F4"/>
    <w:rsid w:val="005B683A"/>
    <w:rsid w:val="005B693E"/>
    <w:rsid w:val="005B6C73"/>
    <w:rsid w:val="005B70F1"/>
    <w:rsid w:val="005B7697"/>
    <w:rsid w:val="005B77A2"/>
    <w:rsid w:val="005C19BF"/>
    <w:rsid w:val="005C2F25"/>
    <w:rsid w:val="005C3563"/>
    <w:rsid w:val="005C36E3"/>
    <w:rsid w:val="005C3E36"/>
    <w:rsid w:val="005C3F61"/>
    <w:rsid w:val="005C4C56"/>
    <w:rsid w:val="005C5B2C"/>
    <w:rsid w:val="005C6C02"/>
    <w:rsid w:val="005C6EFA"/>
    <w:rsid w:val="005C6F45"/>
    <w:rsid w:val="005C7E32"/>
    <w:rsid w:val="005D01C9"/>
    <w:rsid w:val="005D09CA"/>
    <w:rsid w:val="005D216D"/>
    <w:rsid w:val="005D2BF3"/>
    <w:rsid w:val="005D3A53"/>
    <w:rsid w:val="005D3E00"/>
    <w:rsid w:val="005D3EF4"/>
    <w:rsid w:val="005D5812"/>
    <w:rsid w:val="005D5CFF"/>
    <w:rsid w:val="005D6159"/>
    <w:rsid w:val="005D6C88"/>
    <w:rsid w:val="005D6E6C"/>
    <w:rsid w:val="005D76C5"/>
    <w:rsid w:val="005E099D"/>
    <w:rsid w:val="005E1F49"/>
    <w:rsid w:val="005E3B9D"/>
    <w:rsid w:val="005E4784"/>
    <w:rsid w:val="005E5648"/>
    <w:rsid w:val="005E781E"/>
    <w:rsid w:val="005E78AF"/>
    <w:rsid w:val="005F1352"/>
    <w:rsid w:val="005F2155"/>
    <w:rsid w:val="005F274E"/>
    <w:rsid w:val="005F36FF"/>
    <w:rsid w:val="005F415D"/>
    <w:rsid w:val="005F4392"/>
    <w:rsid w:val="005F4AEA"/>
    <w:rsid w:val="005F57D5"/>
    <w:rsid w:val="005F5FF8"/>
    <w:rsid w:val="005F639C"/>
    <w:rsid w:val="005F775F"/>
    <w:rsid w:val="005F794C"/>
    <w:rsid w:val="005F7D68"/>
    <w:rsid w:val="006003CF"/>
    <w:rsid w:val="00600617"/>
    <w:rsid w:val="00600DD1"/>
    <w:rsid w:val="00601C34"/>
    <w:rsid w:val="00603674"/>
    <w:rsid w:val="00604CC2"/>
    <w:rsid w:val="00605CB7"/>
    <w:rsid w:val="0060625A"/>
    <w:rsid w:val="00606954"/>
    <w:rsid w:val="006108B9"/>
    <w:rsid w:val="006124DE"/>
    <w:rsid w:val="00612540"/>
    <w:rsid w:val="00613600"/>
    <w:rsid w:val="00614E79"/>
    <w:rsid w:val="00615976"/>
    <w:rsid w:val="00616161"/>
    <w:rsid w:val="00621DDF"/>
    <w:rsid w:val="006223C7"/>
    <w:rsid w:val="00622C79"/>
    <w:rsid w:val="00624018"/>
    <w:rsid w:val="00624F6E"/>
    <w:rsid w:val="006262E8"/>
    <w:rsid w:val="00627E82"/>
    <w:rsid w:val="00627EA6"/>
    <w:rsid w:val="00630245"/>
    <w:rsid w:val="00631C8E"/>
    <w:rsid w:val="00633C54"/>
    <w:rsid w:val="00633F80"/>
    <w:rsid w:val="00634539"/>
    <w:rsid w:val="00634B07"/>
    <w:rsid w:val="00637A76"/>
    <w:rsid w:val="00640A96"/>
    <w:rsid w:val="00640D6C"/>
    <w:rsid w:val="006413E9"/>
    <w:rsid w:val="00641449"/>
    <w:rsid w:val="006421E7"/>
    <w:rsid w:val="00642337"/>
    <w:rsid w:val="00642FC1"/>
    <w:rsid w:val="006433AA"/>
    <w:rsid w:val="00643A1A"/>
    <w:rsid w:val="00644C7E"/>
    <w:rsid w:val="00645404"/>
    <w:rsid w:val="00645EC4"/>
    <w:rsid w:val="00646B4D"/>
    <w:rsid w:val="00647888"/>
    <w:rsid w:val="00647F6E"/>
    <w:rsid w:val="006502CF"/>
    <w:rsid w:val="00650E4E"/>
    <w:rsid w:val="0065203C"/>
    <w:rsid w:val="006523DB"/>
    <w:rsid w:val="00652605"/>
    <w:rsid w:val="006527A3"/>
    <w:rsid w:val="00652D1A"/>
    <w:rsid w:val="00652E3A"/>
    <w:rsid w:val="00654EB9"/>
    <w:rsid w:val="00655AEF"/>
    <w:rsid w:val="00657B3B"/>
    <w:rsid w:val="00657E0A"/>
    <w:rsid w:val="00660257"/>
    <w:rsid w:val="00661496"/>
    <w:rsid w:val="00662415"/>
    <w:rsid w:val="0066263E"/>
    <w:rsid w:val="00662C34"/>
    <w:rsid w:val="006630DA"/>
    <w:rsid w:val="006631A6"/>
    <w:rsid w:val="00663C06"/>
    <w:rsid w:val="00664310"/>
    <w:rsid w:val="00664ABD"/>
    <w:rsid w:val="00664E38"/>
    <w:rsid w:val="00665781"/>
    <w:rsid w:val="00671074"/>
    <w:rsid w:val="006714D5"/>
    <w:rsid w:val="006716AD"/>
    <w:rsid w:val="00671710"/>
    <w:rsid w:val="0067192D"/>
    <w:rsid w:val="00671BC8"/>
    <w:rsid w:val="00672729"/>
    <w:rsid w:val="00672B60"/>
    <w:rsid w:val="00672B9B"/>
    <w:rsid w:val="006739CB"/>
    <w:rsid w:val="00674489"/>
    <w:rsid w:val="00674B51"/>
    <w:rsid w:val="00674BF4"/>
    <w:rsid w:val="00675311"/>
    <w:rsid w:val="00676147"/>
    <w:rsid w:val="00677463"/>
    <w:rsid w:val="00677B4F"/>
    <w:rsid w:val="00680113"/>
    <w:rsid w:val="00680538"/>
    <w:rsid w:val="00680A6C"/>
    <w:rsid w:val="00681186"/>
    <w:rsid w:val="00681FBA"/>
    <w:rsid w:val="006825B1"/>
    <w:rsid w:val="00682852"/>
    <w:rsid w:val="00683749"/>
    <w:rsid w:val="0068457B"/>
    <w:rsid w:val="006867EC"/>
    <w:rsid w:val="006868ED"/>
    <w:rsid w:val="00690684"/>
    <w:rsid w:val="0069075A"/>
    <w:rsid w:val="00690C79"/>
    <w:rsid w:val="00691C62"/>
    <w:rsid w:val="00691D87"/>
    <w:rsid w:val="00691F9C"/>
    <w:rsid w:val="00692196"/>
    <w:rsid w:val="0069355A"/>
    <w:rsid w:val="00694058"/>
    <w:rsid w:val="00695E16"/>
    <w:rsid w:val="00697DB1"/>
    <w:rsid w:val="006A0285"/>
    <w:rsid w:val="006A0E7F"/>
    <w:rsid w:val="006A1643"/>
    <w:rsid w:val="006A1B41"/>
    <w:rsid w:val="006A32CE"/>
    <w:rsid w:val="006A53D1"/>
    <w:rsid w:val="006A563F"/>
    <w:rsid w:val="006A6620"/>
    <w:rsid w:val="006A7EC8"/>
    <w:rsid w:val="006B3CA1"/>
    <w:rsid w:val="006B431D"/>
    <w:rsid w:val="006B49FA"/>
    <w:rsid w:val="006B5874"/>
    <w:rsid w:val="006B6BC5"/>
    <w:rsid w:val="006B7164"/>
    <w:rsid w:val="006B7663"/>
    <w:rsid w:val="006B7B9F"/>
    <w:rsid w:val="006B7D46"/>
    <w:rsid w:val="006C1C2E"/>
    <w:rsid w:val="006C21E1"/>
    <w:rsid w:val="006C36B1"/>
    <w:rsid w:val="006C4A0A"/>
    <w:rsid w:val="006C61EE"/>
    <w:rsid w:val="006C6C5F"/>
    <w:rsid w:val="006C7520"/>
    <w:rsid w:val="006D09F7"/>
    <w:rsid w:val="006D1BBE"/>
    <w:rsid w:val="006D40E6"/>
    <w:rsid w:val="006D41E2"/>
    <w:rsid w:val="006D464F"/>
    <w:rsid w:val="006D52E1"/>
    <w:rsid w:val="006D5C06"/>
    <w:rsid w:val="006D668A"/>
    <w:rsid w:val="006D6BB2"/>
    <w:rsid w:val="006D6C69"/>
    <w:rsid w:val="006D7FCF"/>
    <w:rsid w:val="006E12CE"/>
    <w:rsid w:val="006E1DEF"/>
    <w:rsid w:val="006E1F9B"/>
    <w:rsid w:val="006E24E2"/>
    <w:rsid w:val="006E26E4"/>
    <w:rsid w:val="006E378A"/>
    <w:rsid w:val="006E5041"/>
    <w:rsid w:val="006E668C"/>
    <w:rsid w:val="006E69E6"/>
    <w:rsid w:val="006E6C9A"/>
    <w:rsid w:val="006F0247"/>
    <w:rsid w:val="006F10C5"/>
    <w:rsid w:val="006F1752"/>
    <w:rsid w:val="006F1ED4"/>
    <w:rsid w:val="006F3DAA"/>
    <w:rsid w:val="006F5025"/>
    <w:rsid w:val="006F5AD2"/>
    <w:rsid w:val="006F7023"/>
    <w:rsid w:val="006F7996"/>
    <w:rsid w:val="006F7DE2"/>
    <w:rsid w:val="007001CA"/>
    <w:rsid w:val="007008B7"/>
    <w:rsid w:val="00700A1E"/>
    <w:rsid w:val="007010FD"/>
    <w:rsid w:val="007011D5"/>
    <w:rsid w:val="00701861"/>
    <w:rsid w:val="007018D7"/>
    <w:rsid w:val="00701957"/>
    <w:rsid w:val="00701AF8"/>
    <w:rsid w:val="0070252C"/>
    <w:rsid w:val="007033AB"/>
    <w:rsid w:val="007033E1"/>
    <w:rsid w:val="00704B1E"/>
    <w:rsid w:val="00704D31"/>
    <w:rsid w:val="00706750"/>
    <w:rsid w:val="0070762A"/>
    <w:rsid w:val="00710D8E"/>
    <w:rsid w:val="00711D63"/>
    <w:rsid w:val="00714BCE"/>
    <w:rsid w:val="00716CCC"/>
    <w:rsid w:val="00717D48"/>
    <w:rsid w:val="00721D2E"/>
    <w:rsid w:val="00722994"/>
    <w:rsid w:val="00722C3D"/>
    <w:rsid w:val="00722F56"/>
    <w:rsid w:val="00722F7F"/>
    <w:rsid w:val="007231EC"/>
    <w:rsid w:val="007236D8"/>
    <w:rsid w:val="007236DF"/>
    <w:rsid w:val="00723DAB"/>
    <w:rsid w:val="00723F88"/>
    <w:rsid w:val="0072489C"/>
    <w:rsid w:val="00726193"/>
    <w:rsid w:val="00726B51"/>
    <w:rsid w:val="00726BF8"/>
    <w:rsid w:val="00727C0D"/>
    <w:rsid w:val="0073034F"/>
    <w:rsid w:val="00730846"/>
    <w:rsid w:val="00730B9A"/>
    <w:rsid w:val="00730FBD"/>
    <w:rsid w:val="0073181F"/>
    <w:rsid w:val="007326D3"/>
    <w:rsid w:val="00732C00"/>
    <w:rsid w:val="00733652"/>
    <w:rsid w:val="00735147"/>
    <w:rsid w:val="00737AEF"/>
    <w:rsid w:val="00737BA3"/>
    <w:rsid w:val="00740EC9"/>
    <w:rsid w:val="007412BC"/>
    <w:rsid w:val="00741931"/>
    <w:rsid w:val="007421B3"/>
    <w:rsid w:val="007421C0"/>
    <w:rsid w:val="00742DFF"/>
    <w:rsid w:val="00743EFD"/>
    <w:rsid w:val="0074544A"/>
    <w:rsid w:val="00745838"/>
    <w:rsid w:val="00746531"/>
    <w:rsid w:val="00746688"/>
    <w:rsid w:val="007471B2"/>
    <w:rsid w:val="007500E5"/>
    <w:rsid w:val="00750642"/>
    <w:rsid w:val="00750A24"/>
    <w:rsid w:val="00752C81"/>
    <w:rsid w:val="0075319C"/>
    <w:rsid w:val="00754323"/>
    <w:rsid w:val="00754679"/>
    <w:rsid w:val="00754A81"/>
    <w:rsid w:val="00755FEF"/>
    <w:rsid w:val="00756F7C"/>
    <w:rsid w:val="00757861"/>
    <w:rsid w:val="00761CD9"/>
    <w:rsid w:val="00762599"/>
    <w:rsid w:val="007638EE"/>
    <w:rsid w:val="00763E59"/>
    <w:rsid w:val="00765C72"/>
    <w:rsid w:val="00766336"/>
    <w:rsid w:val="007668F7"/>
    <w:rsid w:val="0077005C"/>
    <w:rsid w:val="00770398"/>
    <w:rsid w:val="00770AC4"/>
    <w:rsid w:val="00771971"/>
    <w:rsid w:val="00772138"/>
    <w:rsid w:val="00772290"/>
    <w:rsid w:val="00773622"/>
    <w:rsid w:val="00773A6A"/>
    <w:rsid w:val="00773ED4"/>
    <w:rsid w:val="00774856"/>
    <w:rsid w:val="00774A42"/>
    <w:rsid w:val="00774E5F"/>
    <w:rsid w:val="00775427"/>
    <w:rsid w:val="0077576B"/>
    <w:rsid w:val="00775941"/>
    <w:rsid w:val="007776CC"/>
    <w:rsid w:val="00777A9D"/>
    <w:rsid w:val="00781ED5"/>
    <w:rsid w:val="0078210A"/>
    <w:rsid w:val="00784C34"/>
    <w:rsid w:val="0078579C"/>
    <w:rsid w:val="00787DBF"/>
    <w:rsid w:val="007900E7"/>
    <w:rsid w:val="00791713"/>
    <w:rsid w:val="00793E11"/>
    <w:rsid w:val="00796A2E"/>
    <w:rsid w:val="00797D41"/>
    <w:rsid w:val="007A2683"/>
    <w:rsid w:val="007A2C91"/>
    <w:rsid w:val="007A37D2"/>
    <w:rsid w:val="007A3AC8"/>
    <w:rsid w:val="007A3CA1"/>
    <w:rsid w:val="007A47E8"/>
    <w:rsid w:val="007A4E99"/>
    <w:rsid w:val="007A523C"/>
    <w:rsid w:val="007A5E96"/>
    <w:rsid w:val="007B110D"/>
    <w:rsid w:val="007B17CA"/>
    <w:rsid w:val="007B247E"/>
    <w:rsid w:val="007B2FE3"/>
    <w:rsid w:val="007B3FB0"/>
    <w:rsid w:val="007B58BB"/>
    <w:rsid w:val="007B5AFC"/>
    <w:rsid w:val="007B5EE9"/>
    <w:rsid w:val="007B6782"/>
    <w:rsid w:val="007B7C21"/>
    <w:rsid w:val="007B7E66"/>
    <w:rsid w:val="007B7E6C"/>
    <w:rsid w:val="007C0574"/>
    <w:rsid w:val="007C087A"/>
    <w:rsid w:val="007C108F"/>
    <w:rsid w:val="007C1507"/>
    <w:rsid w:val="007C1A4D"/>
    <w:rsid w:val="007C1E35"/>
    <w:rsid w:val="007C2171"/>
    <w:rsid w:val="007C21CF"/>
    <w:rsid w:val="007C26FD"/>
    <w:rsid w:val="007C2C7B"/>
    <w:rsid w:val="007C3A71"/>
    <w:rsid w:val="007C44E9"/>
    <w:rsid w:val="007C4F15"/>
    <w:rsid w:val="007C54F7"/>
    <w:rsid w:val="007C7417"/>
    <w:rsid w:val="007C744C"/>
    <w:rsid w:val="007C7C8C"/>
    <w:rsid w:val="007C7E15"/>
    <w:rsid w:val="007D0DA4"/>
    <w:rsid w:val="007D2B59"/>
    <w:rsid w:val="007D3270"/>
    <w:rsid w:val="007D47BD"/>
    <w:rsid w:val="007D4834"/>
    <w:rsid w:val="007D51DF"/>
    <w:rsid w:val="007D5A87"/>
    <w:rsid w:val="007D5B75"/>
    <w:rsid w:val="007D5C12"/>
    <w:rsid w:val="007E00B3"/>
    <w:rsid w:val="007E0855"/>
    <w:rsid w:val="007E1C0D"/>
    <w:rsid w:val="007E3FAD"/>
    <w:rsid w:val="007E6A5A"/>
    <w:rsid w:val="007F03FB"/>
    <w:rsid w:val="007F0550"/>
    <w:rsid w:val="007F24AC"/>
    <w:rsid w:val="007F46DB"/>
    <w:rsid w:val="007F4935"/>
    <w:rsid w:val="007F550A"/>
    <w:rsid w:val="007F6518"/>
    <w:rsid w:val="007F6700"/>
    <w:rsid w:val="008007A9"/>
    <w:rsid w:val="00800B59"/>
    <w:rsid w:val="0080301C"/>
    <w:rsid w:val="0080395F"/>
    <w:rsid w:val="00804A42"/>
    <w:rsid w:val="00805090"/>
    <w:rsid w:val="0080592B"/>
    <w:rsid w:val="008060A4"/>
    <w:rsid w:val="00806655"/>
    <w:rsid w:val="008078FA"/>
    <w:rsid w:val="0081054E"/>
    <w:rsid w:val="0081069E"/>
    <w:rsid w:val="00810A5F"/>
    <w:rsid w:val="00810D18"/>
    <w:rsid w:val="008110C2"/>
    <w:rsid w:val="0081463B"/>
    <w:rsid w:val="0081636D"/>
    <w:rsid w:val="00817934"/>
    <w:rsid w:val="008203C9"/>
    <w:rsid w:val="008205D4"/>
    <w:rsid w:val="00821C8A"/>
    <w:rsid w:val="008222C4"/>
    <w:rsid w:val="00822FE4"/>
    <w:rsid w:val="008246BF"/>
    <w:rsid w:val="00825D10"/>
    <w:rsid w:val="00827663"/>
    <w:rsid w:val="008276F3"/>
    <w:rsid w:val="0083242E"/>
    <w:rsid w:val="00835580"/>
    <w:rsid w:val="00837999"/>
    <w:rsid w:val="00840997"/>
    <w:rsid w:val="00841041"/>
    <w:rsid w:val="00842786"/>
    <w:rsid w:val="00843CF1"/>
    <w:rsid w:val="00846284"/>
    <w:rsid w:val="008470E8"/>
    <w:rsid w:val="00847E6D"/>
    <w:rsid w:val="008511FA"/>
    <w:rsid w:val="00851BD7"/>
    <w:rsid w:val="00851D83"/>
    <w:rsid w:val="008524A3"/>
    <w:rsid w:val="00852A72"/>
    <w:rsid w:val="008531F3"/>
    <w:rsid w:val="00853B47"/>
    <w:rsid w:val="00854047"/>
    <w:rsid w:val="008570F9"/>
    <w:rsid w:val="008576A9"/>
    <w:rsid w:val="00857812"/>
    <w:rsid w:val="0086029A"/>
    <w:rsid w:val="00860628"/>
    <w:rsid w:val="00861662"/>
    <w:rsid w:val="00861DDC"/>
    <w:rsid w:val="0086222F"/>
    <w:rsid w:val="00865652"/>
    <w:rsid w:val="008668DD"/>
    <w:rsid w:val="00866B50"/>
    <w:rsid w:val="0086724F"/>
    <w:rsid w:val="008705D4"/>
    <w:rsid w:val="00870658"/>
    <w:rsid w:val="00870A4E"/>
    <w:rsid w:val="00870FAD"/>
    <w:rsid w:val="00871588"/>
    <w:rsid w:val="008736EE"/>
    <w:rsid w:val="00873C98"/>
    <w:rsid w:val="0087433F"/>
    <w:rsid w:val="00874567"/>
    <w:rsid w:val="00875A29"/>
    <w:rsid w:val="00875DE0"/>
    <w:rsid w:val="008764E4"/>
    <w:rsid w:val="00876756"/>
    <w:rsid w:val="008769FD"/>
    <w:rsid w:val="008808A5"/>
    <w:rsid w:val="00880A08"/>
    <w:rsid w:val="00880AF9"/>
    <w:rsid w:val="00880B62"/>
    <w:rsid w:val="0088221B"/>
    <w:rsid w:val="0088231A"/>
    <w:rsid w:val="00882381"/>
    <w:rsid w:val="00882B80"/>
    <w:rsid w:val="008840B7"/>
    <w:rsid w:val="00885A3C"/>
    <w:rsid w:val="00885E13"/>
    <w:rsid w:val="00887C57"/>
    <w:rsid w:val="00890468"/>
    <w:rsid w:val="00890FCE"/>
    <w:rsid w:val="00892515"/>
    <w:rsid w:val="00893ADB"/>
    <w:rsid w:val="008951EF"/>
    <w:rsid w:val="00895DED"/>
    <w:rsid w:val="00896D41"/>
    <w:rsid w:val="00897083"/>
    <w:rsid w:val="008A036C"/>
    <w:rsid w:val="008A05F2"/>
    <w:rsid w:val="008A1C47"/>
    <w:rsid w:val="008A1E40"/>
    <w:rsid w:val="008A34AE"/>
    <w:rsid w:val="008A446C"/>
    <w:rsid w:val="008A44B4"/>
    <w:rsid w:val="008A4978"/>
    <w:rsid w:val="008A50B4"/>
    <w:rsid w:val="008A5A58"/>
    <w:rsid w:val="008A68CC"/>
    <w:rsid w:val="008B0665"/>
    <w:rsid w:val="008B17D9"/>
    <w:rsid w:val="008B4E72"/>
    <w:rsid w:val="008B5990"/>
    <w:rsid w:val="008B5BD8"/>
    <w:rsid w:val="008C2625"/>
    <w:rsid w:val="008C3D65"/>
    <w:rsid w:val="008C4C4C"/>
    <w:rsid w:val="008C4DFE"/>
    <w:rsid w:val="008C5C5E"/>
    <w:rsid w:val="008C717B"/>
    <w:rsid w:val="008C7867"/>
    <w:rsid w:val="008D0D8D"/>
    <w:rsid w:val="008D1656"/>
    <w:rsid w:val="008D181F"/>
    <w:rsid w:val="008D2683"/>
    <w:rsid w:val="008D3C05"/>
    <w:rsid w:val="008D3D95"/>
    <w:rsid w:val="008D5E32"/>
    <w:rsid w:val="008D61A1"/>
    <w:rsid w:val="008D6564"/>
    <w:rsid w:val="008D77AA"/>
    <w:rsid w:val="008E00CE"/>
    <w:rsid w:val="008E0B8B"/>
    <w:rsid w:val="008E0E07"/>
    <w:rsid w:val="008E24CF"/>
    <w:rsid w:val="008E2A17"/>
    <w:rsid w:val="008E36DE"/>
    <w:rsid w:val="008E40FD"/>
    <w:rsid w:val="008E5598"/>
    <w:rsid w:val="008E5658"/>
    <w:rsid w:val="008E69A5"/>
    <w:rsid w:val="008E7B77"/>
    <w:rsid w:val="008F0F07"/>
    <w:rsid w:val="008F146C"/>
    <w:rsid w:val="008F1B85"/>
    <w:rsid w:val="008F1D29"/>
    <w:rsid w:val="008F2829"/>
    <w:rsid w:val="008F39F6"/>
    <w:rsid w:val="008F413B"/>
    <w:rsid w:val="008F77E4"/>
    <w:rsid w:val="008F7C0E"/>
    <w:rsid w:val="008F7FB8"/>
    <w:rsid w:val="00900814"/>
    <w:rsid w:val="00901837"/>
    <w:rsid w:val="00902601"/>
    <w:rsid w:val="009032CC"/>
    <w:rsid w:val="00904499"/>
    <w:rsid w:val="00904CBE"/>
    <w:rsid w:val="0090677C"/>
    <w:rsid w:val="00906FBF"/>
    <w:rsid w:val="009102FC"/>
    <w:rsid w:val="0091103A"/>
    <w:rsid w:val="00911124"/>
    <w:rsid w:val="00913F65"/>
    <w:rsid w:val="009143D9"/>
    <w:rsid w:val="009150DC"/>
    <w:rsid w:val="00916837"/>
    <w:rsid w:val="00917A59"/>
    <w:rsid w:val="00920969"/>
    <w:rsid w:val="00921399"/>
    <w:rsid w:val="00921BA2"/>
    <w:rsid w:val="00921F13"/>
    <w:rsid w:val="00921F57"/>
    <w:rsid w:val="009228A9"/>
    <w:rsid w:val="00923EED"/>
    <w:rsid w:val="00925FAE"/>
    <w:rsid w:val="0093012B"/>
    <w:rsid w:val="009304D1"/>
    <w:rsid w:val="009343F1"/>
    <w:rsid w:val="00934A6A"/>
    <w:rsid w:val="00935197"/>
    <w:rsid w:val="009365EE"/>
    <w:rsid w:val="00937D14"/>
    <w:rsid w:val="00937EA8"/>
    <w:rsid w:val="00940DD4"/>
    <w:rsid w:val="00941A18"/>
    <w:rsid w:val="00941FB8"/>
    <w:rsid w:val="00941FFE"/>
    <w:rsid w:val="00942CC9"/>
    <w:rsid w:val="00943D11"/>
    <w:rsid w:val="009440C4"/>
    <w:rsid w:val="0094499F"/>
    <w:rsid w:val="00944B46"/>
    <w:rsid w:val="00945A8C"/>
    <w:rsid w:val="00946168"/>
    <w:rsid w:val="00946C0C"/>
    <w:rsid w:val="00950577"/>
    <w:rsid w:val="00952E28"/>
    <w:rsid w:val="0095389B"/>
    <w:rsid w:val="0095574F"/>
    <w:rsid w:val="00956E6A"/>
    <w:rsid w:val="0095708C"/>
    <w:rsid w:val="00962DC0"/>
    <w:rsid w:val="0096642D"/>
    <w:rsid w:val="00967A08"/>
    <w:rsid w:val="00967B8C"/>
    <w:rsid w:val="009701DE"/>
    <w:rsid w:val="009713D3"/>
    <w:rsid w:val="00971E21"/>
    <w:rsid w:val="009730C6"/>
    <w:rsid w:val="009731F5"/>
    <w:rsid w:val="00974C8C"/>
    <w:rsid w:val="00975A4D"/>
    <w:rsid w:val="00975B9A"/>
    <w:rsid w:val="00976E45"/>
    <w:rsid w:val="00981FD0"/>
    <w:rsid w:val="00982624"/>
    <w:rsid w:val="0098264D"/>
    <w:rsid w:val="00982EEC"/>
    <w:rsid w:val="009830D8"/>
    <w:rsid w:val="00983DC5"/>
    <w:rsid w:val="009850CF"/>
    <w:rsid w:val="009850E7"/>
    <w:rsid w:val="00985A89"/>
    <w:rsid w:val="00985E2E"/>
    <w:rsid w:val="00985EE9"/>
    <w:rsid w:val="009862D9"/>
    <w:rsid w:val="00986586"/>
    <w:rsid w:val="00986BDE"/>
    <w:rsid w:val="00990A0D"/>
    <w:rsid w:val="00991164"/>
    <w:rsid w:val="009920F8"/>
    <w:rsid w:val="009927A2"/>
    <w:rsid w:val="00993140"/>
    <w:rsid w:val="0099387B"/>
    <w:rsid w:val="00993CDB"/>
    <w:rsid w:val="00995F16"/>
    <w:rsid w:val="009969B3"/>
    <w:rsid w:val="00996EED"/>
    <w:rsid w:val="00997938"/>
    <w:rsid w:val="009A016F"/>
    <w:rsid w:val="009A07D8"/>
    <w:rsid w:val="009A1866"/>
    <w:rsid w:val="009A1CB5"/>
    <w:rsid w:val="009A21D2"/>
    <w:rsid w:val="009A2554"/>
    <w:rsid w:val="009A25FE"/>
    <w:rsid w:val="009A2C51"/>
    <w:rsid w:val="009A2DA9"/>
    <w:rsid w:val="009A31F8"/>
    <w:rsid w:val="009A3D19"/>
    <w:rsid w:val="009A42BD"/>
    <w:rsid w:val="009A43D2"/>
    <w:rsid w:val="009A4CEE"/>
    <w:rsid w:val="009A6686"/>
    <w:rsid w:val="009A6E8A"/>
    <w:rsid w:val="009A6F93"/>
    <w:rsid w:val="009A7C09"/>
    <w:rsid w:val="009B1596"/>
    <w:rsid w:val="009B3938"/>
    <w:rsid w:val="009B4E25"/>
    <w:rsid w:val="009B5322"/>
    <w:rsid w:val="009B5DF7"/>
    <w:rsid w:val="009B69E2"/>
    <w:rsid w:val="009B6FC6"/>
    <w:rsid w:val="009B6FF4"/>
    <w:rsid w:val="009B72E3"/>
    <w:rsid w:val="009C0444"/>
    <w:rsid w:val="009C1F47"/>
    <w:rsid w:val="009C2FAA"/>
    <w:rsid w:val="009C3092"/>
    <w:rsid w:val="009C3ABC"/>
    <w:rsid w:val="009C460C"/>
    <w:rsid w:val="009C4FD2"/>
    <w:rsid w:val="009C514E"/>
    <w:rsid w:val="009C6609"/>
    <w:rsid w:val="009C6FC8"/>
    <w:rsid w:val="009D005B"/>
    <w:rsid w:val="009D0BD4"/>
    <w:rsid w:val="009D3080"/>
    <w:rsid w:val="009D31DA"/>
    <w:rsid w:val="009D3756"/>
    <w:rsid w:val="009D40E1"/>
    <w:rsid w:val="009D4918"/>
    <w:rsid w:val="009D55B4"/>
    <w:rsid w:val="009D6295"/>
    <w:rsid w:val="009D64B5"/>
    <w:rsid w:val="009D7538"/>
    <w:rsid w:val="009D774A"/>
    <w:rsid w:val="009D7938"/>
    <w:rsid w:val="009E4BF9"/>
    <w:rsid w:val="009E5F5C"/>
    <w:rsid w:val="009E68BB"/>
    <w:rsid w:val="009E7CB2"/>
    <w:rsid w:val="009E7E8A"/>
    <w:rsid w:val="009F000B"/>
    <w:rsid w:val="009F08E3"/>
    <w:rsid w:val="009F0CA8"/>
    <w:rsid w:val="009F1360"/>
    <w:rsid w:val="009F1763"/>
    <w:rsid w:val="009F27BF"/>
    <w:rsid w:val="009F28BE"/>
    <w:rsid w:val="009F2BFB"/>
    <w:rsid w:val="009F43C8"/>
    <w:rsid w:val="009F4EBD"/>
    <w:rsid w:val="009F5735"/>
    <w:rsid w:val="009F6044"/>
    <w:rsid w:val="009F66E3"/>
    <w:rsid w:val="009F6B29"/>
    <w:rsid w:val="009F7DA2"/>
    <w:rsid w:val="00A0037F"/>
    <w:rsid w:val="00A01B24"/>
    <w:rsid w:val="00A04895"/>
    <w:rsid w:val="00A05AB9"/>
    <w:rsid w:val="00A05F52"/>
    <w:rsid w:val="00A067D9"/>
    <w:rsid w:val="00A10296"/>
    <w:rsid w:val="00A11347"/>
    <w:rsid w:val="00A129EB"/>
    <w:rsid w:val="00A13319"/>
    <w:rsid w:val="00A1473E"/>
    <w:rsid w:val="00A152F8"/>
    <w:rsid w:val="00A154F2"/>
    <w:rsid w:val="00A168CD"/>
    <w:rsid w:val="00A16F46"/>
    <w:rsid w:val="00A20802"/>
    <w:rsid w:val="00A2095B"/>
    <w:rsid w:val="00A2157C"/>
    <w:rsid w:val="00A24ABD"/>
    <w:rsid w:val="00A2569E"/>
    <w:rsid w:val="00A26B67"/>
    <w:rsid w:val="00A26BD4"/>
    <w:rsid w:val="00A26D17"/>
    <w:rsid w:val="00A30C37"/>
    <w:rsid w:val="00A30C38"/>
    <w:rsid w:val="00A31108"/>
    <w:rsid w:val="00A3161A"/>
    <w:rsid w:val="00A325CA"/>
    <w:rsid w:val="00A32A91"/>
    <w:rsid w:val="00A330EE"/>
    <w:rsid w:val="00A35F75"/>
    <w:rsid w:val="00A364FC"/>
    <w:rsid w:val="00A36A0F"/>
    <w:rsid w:val="00A37EB4"/>
    <w:rsid w:val="00A423AB"/>
    <w:rsid w:val="00A42768"/>
    <w:rsid w:val="00A430A5"/>
    <w:rsid w:val="00A43325"/>
    <w:rsid w:val="00A45EB3"/>
    <w:rsid w:val="00A460CC"/>
    <w:rsid w:val="00A4636A"/>
    <w:rsid w:val="00A50576"/>
    <w:rsid w:val="00A51457"/>
    <w:rsid w:val="00A542F2"/>
    <w:rsid w:val="00A552CE"/>
    <w:rsid w:val="00A5587D"/>
    <w:rsid w:val="00A55981"/>
    <w:rsid w:val="00A55E20"/>
    <w:rsid w:val="00A569DC"/>
    <w:rsid w:val="00A611C1"/>
    <w:rsid w:val="00A6309B"/>
    <w:rsid w:val="00A6548F"/>
    <w:rsid w:val="00A6709D"/>
    <w:rsid w:val="00A67361"/>
    <w:rsid w:val="00A6769C"/>
    <w:rsid w:val="00A67BF7"/>
    <w:rsid w:val="00A70206"/>
    <w:rsid w:val="00A709CA"/>
    <w:rsid w:val="00A72DAD"/>
    <w:rsid w:val="00A73183"/>
    <w:rsid w:val="00A73D14"/>
    <w:rsid w:val="00A74024"/>
    <w:rsid w:val="00A74196"/>
    <w:rsid w:val="00A74547"/>
    <w:rsid w:val="00A756EB"/>
    <w:rsid w:val="00A75833"/>
    <w:rsid w:val="00A75A10"/>
    <w:rsid w:val="00A75AE3"/>
    <w:rsid w:val="00A75F1E"/>
    <w:rsid w:val="00A7749D"/>
    <w:rsid w:val="00A77CB3"/>
    <w:rsid w:val="00A77F19"/>
    <w:rsid w:val="00A810C1"/>
    <w:rsid w:val="00A81F4E"/>
    <w:rsid w:val="00A82CAE"/>
    <w:rsid w:val="00A830FF"/>
    <w:rsid w:val="00A833B5"/>
    <w:rsid w:val="00A8359B"/>
    <w:rsid w:val="00A85639"/>
    <w:rsid w:val="00A85ABC"/>
    <w:rsid w:val="00A865C9"/>
    <w:rsid w:val="00A86CB8"/>
    <w:rsid w:val="00A905B4"/>
    <w:rsid w:val="00A90C29"/>
    <w:rsid w:val="00A91123"/>
    <w:rsid w:val="00A92A61"/>
    <w:rsid w:val="00A92D70"/>
    <w:rsid w:val="00A9331C"/>
    <w:rsid w:val="00A936F8"/>
    <w:rsid w:val="00A93CE3"/>
    <w:rsid w:val="00A94EFC"/>
    <w:rsid w:val="00A956F5"/>
    <w:rsid w:val="00A96B94"/>
    <w:rsid w:val="00A96F26"/>
    <w:rsid w:val="00AA0116"/>
    <w:rsid w:val="00AA01A8"/>
    <w:rsid w:val="00AA17A4"/>
    <w:rsid w:val="00AA3384"/>
    <w:rsid w:val="00AA41C4"/>
    <w:rsid w:val="00AA5194"/>
    <w:rsid w:val="00AA6296"/>
    <w:rsid w:val="00AA68A5"/>
    <w:rsid w:val="00AB1EA3"/>
    <w:rsid w:val="00AB2F3A"/>
    <w:rsid w:val="00AB3189"/>
    <w:rsid w:val="00AB38A6"/>
    <w:rsid w:val="00AB42E4"/>
    <w:rsid w:val="00AB4CF6"/>
    <w:rsid w:val="00AB5D28"/>
    <w:rsid w:val="00AB7553"/>
    <w:rsid w:val="00AB7B54"/>
    <w:rsid w:val="00AB7FAF"/>
    <w:rsid w:val="00AC017F"/>
    <w:rsid w:val="00AC100D"/>
    <w:rsid w:val="00AC389A"/>
    <w:rsid w:val="00AC3E8A"/>
    <w:rsid w:val="00AC4B87"/>
    <w:rsid w:val="00AC57D4"/>
    <w:rsid w:val="00AC77D0"/>
    <w:rsid w:val="00AD00D9"/>
    <w:rsid w:val="00AD2117"/>
    <w:rsid w:val="00AD2200"/>
    <w:rsid w:val="00AD234F"/>
    <w:rsid w:val="00AD2C1A"/>
    <w:rsid w:val="00AD479B"/>
    <w:rsid w:val="00AD4B14"/>
    <w:rsid w:val="00AD56BC"/>
    <w:rsid w:val="00AD5B33"/>
    <w:rsid w:val="00AD5DE7"/>
    <w:rsid w:val="00AD6899"/>
    <w:rsid w:val="00AD6B5C"/>
    <w:rsid w:val="00AD75B7"/>
    <w:rsid w:val="00AE0596"/>
    <w:rsid w:val="00AE0DE4"/>
    <w:rsid w:val="00AE1BE3"/>
    <w:rsid w:val="00AE1FAB"/>
    <w:rsid w:val="00AE2275"/>
    <w:rsid w:val="00AE303C"/>
    <w:rsid w:val="00AE30DD"/>
    <w:rsid w:val="00AE410E"/>
    <w:rsid w:val="00AE496F"/>
    <w:rsid w:val="00AE4A02"/>
    <w:rsid w:val="00AE5FDC"/>
    <w:rsid w:val="00AE7D89"/>
    <w:rsid w:val="00AF04BC"/>
    <w:rsid w:val="00AF059A"/>
    <w:rsid w:val="00AF14D3"/>
    <w:rsid w:val="00AF17DE"/>
    <w:rsid w:val="00AF1FAC"/>
    <w:rsid w:val="00AF4397"/>
    <w:rsid w:val="00AF53E2"/>
    <w:rsid w:val="00AF620E"/>
    <w:rsid w:val="00AF6B33"/>
    <w:rsid w:val="00AF6FFC"/>
    <w:rsid w:val="00B00049"/>
    <w:rsid w:val="00B00B47"/>
    <w:rsid w:val="00B018BE"/>
    <w:rsid w:val="00B01EF5"/>
    <w:rsid w:val="00B027D9"/>
    <w:rsid w:val="00B04D54"/>
    <w:rsid w:val="00B05553"/>
    <w:rsid w:val="00B05BBF"/>
    <w:rsid w:val="00B06187"/>
    <w:rsid w:val="00B066D4"/>
    <w:rsid w:val="00B100BC"/>
    <w:rsid w:val="00B11570"/>
    <w:rsid w:val="00B11885"/>
    <w:rsid w:val="00B126CF"/>
    <w:rsid w:val="00B13114"/>
    <w:rsid w:val="00B14256"/>
    <w:rsid w:val="00B16356"/>
    <w:rsid w:val="00B20058"/>
    <w:rsid w:val="00B20E99"/>
    <w:rsid w:val="00B2279D"/>
    <w:rsid w:val="00B22D68"/>
    <w:rsid w:val="00B24C7F"/>
    <w:rsid w:val="00B25116"/>
    <w:rsid w:val="00B259A9"/>
    <w:rsid w:val="00B25D46"/>
    <w:rsid w:val="00B26441"/>
    <w:rsid w:val="00B2719B"/>
    <w:rsid w:val="00B27BBC"/>
    <w:rsid w:val="00B30961"/>
    <w:rsid w:val="00B30E8E"/>
    <w:rsid w:val="00B310B6"/>
    <w:rsid w:val="00B318AA"/>
    <w:rsid w:val="00B34555"/>
    <w:rsid w:val="00B34B18"/>
    <w:rsid w:val="00B366DB"/>
    <w:rsid w:val="00B373DF"/>
    <w:rsid w:val="00B37FC4"/>
    <w:rsid w:val="00B405B5"/>
    <w:rsid w:val="00B417C7"/>
    <w:rsid w:val="00B4209E"/>
    <w:rsid w:val="00B431D3"/>
    <w:rsid w:val="00B4401A"/>
    <w:rsid w:val="00B4489B"/>
    <w:rsid w:val="00B44A0B"/>
    <w:rsid w:val="00B45045"/>
    <w:rsid w:val="00B46AFB"/>
    <w:rsid w:val="00B4749C"/>
    <w:rsid w:val="00B47CCE"/>
    <w:rsid w:val="00B504CD"/>
    <w:rsid w:val="00B52771"/>
    <w:rsid w:val="00B52BD5"/>
    <w:rsid w:val="00B52C1D"/>
    <w:rsid w:val="00B53C78"/>
    <w:rsid w:val="00B557C0"/>
    <w:rsid w:val="00B57158"/>
    <w:rsid w:val="00B579D9"/>
    <w:rsid w:val="00B57AC5"/>
    <w:rsid w:val="00B603D1"/>
    <w:rsid w:val="00B60569"/>
    <w:rsid w:val="00B608AD"/>
    <w:rsid w:val="00B61C7B"/>
    <w:rsid w:val="00B643FB"/>
    <w:rsid w:val="00B64AF3"/>
    <w:rsid w:val="00B64EFD"/>
    <w:rsid w:val="00B656D0"/>
    <w:rsid w:val="00B65761"/>
    <w:rsid w:val="00B67ECF"/>
    <w:rsid w:val="00B706E1"/>
    <w:rsid w:val="00B70A93"/>
    <w:rsid w:val="00B710A8"/>
    <w:rsid w:val="00B7202E"/>
    <w:rsid w:val="00B72855"/>
    <w:rsid w:val="00B73F95"/>
    <w:rsid w:val="00B748D2"/>
    <w:rsid w:val="00B7628A"/>
    <w:rsid w:val="00B7645F"/>
    <w:rsid w:val="00B76916"/>
    <w:rsid w:val="00B832F0"/>
    <w:rsid w:val="00B834B1"/>
    <w:rsid w:val="00B83E01"/>
    <w:rsid w:val="00B8423E"/>
    <w:rsid w:val="00B850AD"/>
    <w:rsid w:val="00B86FC6"/>
    <w:rsid w:val="00B874A1"/>
    <w:rsid w:val="00B8762F"/>
    <w:rsid w:val="00B90012"/>
    <w:rsid w:val="00B9033D"/>
    <w:rsid w:val="00B91329"/>
    <w:rsid w:val="00B917C5"/>
    <w:rsid w:val="00B92ABF"/>
    <w:rsid w:val="00B92ADF"/>
    <w:rsid w:val="00B92EB0"/>
    <w:rsid w:val="00B949B0"/>
    <w:rsid w:val="00B94E25"/>
    <w:rsid w:val="00B95CD4"/>
    <w:rsid w:val="00B9682E"/>
    <w:rsid w:val="00B975AF"/>
    <w:rsid w:val="00B9778E"/>
    <w:rsid w:val="00BA03CC"/>
    <w:rsid w:val="00BA412B"/>
    <w:rsid w:val="00BA531C"/>
    <w:rsid w:val="00BA5433"/>
    <w:rsid w:val="00BA5ED2"/>
    <w:rsid w:val="00BA6305"/>
    <w:rsid w:val="00BA66BF"/>
    <w:rsid w:val="00BA6AB6"/>
    <w:rsid w:val="00BA6B5F"/>
    <w:rsid w:val="00BA6E44"/>
    <w:rsid w:val="00BA77A4"/>
    <w:rsid w:val="00BA78A6"/>
    <w:rsid w:val="00BA797A"/>
    <w:rsid w:val="00BB007A"/>
    <w:rsid w:val="00BB0D0C"/>
    <w:rsid w:val="00BB12CF"/>
    <w:rsid w:val="00BB248F"/>
    <w:rsid w:val="00BB27E2"/>
    <w:rsid w:val="00BB3BF0"/>
    <w:rsid w:val="00BB5F4E"/>
    <w:rsid w:val="00BC1315"/>
    <w:rsid w:val="00BC140D"/>
    <w:rsid w:val="00BC1546"/>
    <w:rsid w:val="00BC177D"/>
    <w:rsid w:val="00BC1780"/>
    <w:rsid w:val="00BC17EA"/>
    <w:rsid w:val="00BC1DD7"/>
    <w:rsid w:val="00BC3550"/>
    <w:rsid w:val="00BC4666"/>
    <w:rsid w:val="00BC5EE4"/>
    <w:rsid w:val="00BC6976"/>
    <w:rsid w:val="00BD04BF"/>
    <w:rsid w:val="00BD2B44"/>
    <w:rsid w:val="00BD62CC"/>
    <w:rsid w:val="00BD6F5B"/>
    <w:rsid w:val="00BD7240"/>
    <w:rsid w:val="00BD76D9"/>
    <w:rsid w:val="00BD79CE"/>
    <w:rsid w:val="00BE05B3"/>
    <w:rsid w:val="00BE0B36"/>
    <w:rsid w:val="00BE195C"/>
    <w:rsid w:val="00BE1C31"/>
    <w:rsid w:val="00BE2C32"/>
    <w:rsid w:val="00BE3BBB"/>
    <w:rsid w:val="00BE751E"/>
    <w:rsid w:val="00BE78D7"/>
    <w:rsid w:val="00BE7D0F"/>
    <w:rsid w:val="00BF06C0"/>
    <w:rsid w:val="00BF088C"/>
    <w:rsid w:val="00BF0993"/>
    <w:rsid w:val="00BF14F7"/>
    <w:rsid w:val="00BF28F9"/>
    <w:rsid w:val="00BF3C3F"/>
    <w:rsid w:val="00BF53CC"/>
    <w:rsid w:val="00BF5B30"/>
    <w:rsid w:val="00BF5BBC"/>
    <w:rsid w:val="00BF676C"/>
    <w:rsid w:val="00BF6BD4"/>
    <w:rsid w:val="00C0005C"/>
    <w:rsid w:val="00C00C19"/>
    <w:rsid w:val="00C03826"/>
    <w:rsid w:val="00C03D69"/>
    <w:rsid w:val="00C0586D"/>
    <w:rsid w:val="00C07676"/>
    <w:rsid w:val="00C10406"/>
    <w:rsid w:val="00C119D4"/>
    <w:rsid w:val="00C14733"/>
    <w:rsid w:val="00C15D02"/>
    <w:rsid w:val="00C163C0"/>
    <w:rsid w:val="00C16B01"/>
    <w:rsid w:val="00C17396"/>
    <w:rsid w:val="00C202A9"/>
    <w:rsid w:val="00C20651"/>
    <w:rsid w:val="00C20ABA"/>
    <w:rsid w:val="00C227F4"/>
    <w:rsid w:val="00C22B4C"/>
    <w:rsid w:val="00C22D3E"/>
    <w:rsid w:val="00C233AA"/>
    <w:rsid w:val="00C23F2B"/>
    <w:rsid w:val="00C25A7F"/>
    <w:rsid w:val="00C25B7B"/>
    <w:rsid w:val="00C25F98"/>
    <w:rsid w:val="00C30FE6"/>
    <w:rsid w:val="00C32840"/>
    <w:rsid w:val="00C330C5"/>
    <w:rsid w:val="00C339FD"/>
    <w:rsid w:val="00C351B5"/>
    <w:rsid w:val="00C36C3F"/>
    <w:rsid w:val="00C376E1"/>
    <w:rsid w:val="00C406A3"/>
    <w:rsid w:val="00C412CE"/>
    <w:rsid w:val="00C42260"/>
    <w:rsid w:val="00C43152"/>
    <w:rsid w:val="00C445E5"/>
    <w:rsid w:val="00C45353"/>
    <w:rsid w:val="00C46076"/>
    <w:rsid w:val="00C47879"/>
    <w:rsid w:val="00C507EE"/>
    <w:rsid w:val="00C50FA4"/>
    <w:rsid w:val="00C51091"/>
    <w:rsid w:val="00C527FD"/>
    <w:rsid w:val="00C54682"/>
    <w:rsid w:val="00C55CF4"/>
    <w:rsid w:val="00C55F8E"/>
    <w:rsid w:val="00C56D89"/>
    <w:rsid w:val="00C574F9"/>
    <w:rsid w:val="00C57DAB"/>
    <w:rsid w:val="00C57DBF"/>
    <w:rsid w:val="00C61F50"/>
    <w:rsid w:val="00C62C6D"/>
    <w:rsid w:val="00C64DCA"/>
    <w:rsid w:val="00C65B0E"/>
    <w:rsid w:val="00C65EBD"/>
    <w:rsid w:val="00C66A22"/>
    <w:rsid w:val="00C70088"/>
    <w:rsid w:val="00C722ED"/>
    <w:rsid w:val="00C72BD5"/>
    <w:rsid w:val="00C746A7"/>
    <w:rsid w:val="00C75888"/>
    <w:rsid w:val="00C75FA5"/>
    <w:rsid w:val="00C76CD3"/>
    <w:rsid w:val="00C770B7"/>
    <w:rsid w:val="00C7721B"/>
    <w:rsid w:val="00C773B5"/>
    <w:rsid w:val="00C81760"/>
    <w:rsid w:val="00C82B5C"/>
    <w:rsid w:val="00C82E15"/>
    <w:rsid w:val="00C839CB"/>
    <w:rsid w:val="00C83CE4"/>
    <w:rsid w:val="00C85371"/>
    <w:rsid w:val="00C853B4"/>
    <w:rsid w:val="00C858A5"/>
    <w:rsid w:val="00C86103"/>
    <w:rsid w:val="00C87CB2"/>
    <w:rsid w:val="00C90E1C"/>
    <w:rsid w:val="00C90E25"/>
    <w:rsid w:val="00C915E7"/>
    <w:rsid w:val="00C91FFC"/>
    <w:rsid w:val="00C931DB"/>
    <w:rsid w:val="00C933B7"/>
    <w:rsid w:val="00C937D8"/>
    <w:rsid w:val="00C93849"/>
    <w:rsid w:val="00C9527C"/>
    <w:rsid w:val="00C95FFD"/>
    <w:rsid w:val="00C96210"/>
    <w:rsid w:val="00C97941"/>
    <w:rsid w:val="00CA097D"/>
    <w:rsid w:val="00CA19C1"/>
    <w:rsid w:val="00CA2FD2"/>
    <w:rsid w:val="00CA41E9"/>
    <w:rsid w:val="00CA4E16"/>
    <w:rsid w:val="00CA5ACE"/>
    <w:rsid w:val="00CA63A9"/>
    <w:rsid w:val="00CA653D"/>
    <w:rsid w:val="00CA65AA"/>
    <w:rsid w:val="00CA75D4"/>
    <w:rsid w:val="00CB0356"/>
    <w:rsid w:val="00CB03A2"/>
    <w:rsid w:val="00CB137F"/>
    <w:rsid w:val="00CB1857"/>
    <w:rsid w:val="00CB1D83"/>
    <w:rsid w:val="00CB25F3"/>
    <w:rsid w:val="00CB2ACC"/>
    <w:rsid w:val="00CB376C"/>
    <w:rsid w:val="00CB4B94"/>
    <w:rsid w:val="00CB4FA7"/>
    <w:rsid w:val="00CB56CD"/>
    <w:rsid w:val="00CB6B02"/>
    <w:rsid w:val="00CB6FAB"/>
    <w:rsid w:val="00CC03E2"/>
    <w:rsid w:val="00CC1944"/>
    <w:rsid w:val="00CC291C"/>
    <w:rsid w:val="00CC3B3A"/>
    <w:rsid w:val="00CC4602"/>
    <w:rsid w:val="00CC4A54"/>
    <w:rsid w:val="00CC4D6B"/>
    <w:rsid w:val="00CC50DB"/>
    <w:rsid w:val="00CC6CD6"/>
    <w:rsid w:val="00CC6E9D"/>
    <w:rsid w:val="00CC6F54"/>
    <w:rsid w:val="00CC732E"/>
    <w:rsid w:val="00CC7914"/>
    <w:rsid w:val="00CD0A43"/>
    <w:rsid w:val="00CD1D0F"/>
    <w:rsid w:val="00CD1FAB"/>
    <w:rsid w:val="00CD211A"/>
    <w:rsid w:val="00CD318F"/>
    <w:rsid w:val="00CD3CCF"/>
    <w:rsid w:val="00CD3D3C"/>
    <w:rsid w:val="00CD4344"/>
    <w:rsid w:val="00CD54B0"/>
    <w:rsid w:val="00CD56B6"/>
    <w:rsid w:val="00CD58A8"/>
    <w:rsid w:val="00CD664C"/>
    <w:rsid w:val="00CD71AD"/>
    <w:rsid w:val="00CD745D"/>
    <w:rsid w:val="00CD76CD"/>
    <w:rsid w:val="00CE024A"/>
    <w:rsid w:val="00CE02A9"/>
    <w:rsid w:val="00CE0683"/>
    <w:rsid w:val="00CE0E76"/>
    <w:rsid w:val="00CE0EAD"/>
    <w:rsid w:val="00CE1318"/>
    <w:rsid w:val="00CE2752"/>
    <w:rsid w:val="00CE2AEC"/>
    <w:rsid w:val="00CE346F"/>
    <w:rsid w:val="00CE3910"/>
    <w:rsid w:val="00CE3936"/>
    <w:rsid w:val="00CE399C"/>
    <w:rsid w:val="00CE3ADD"/>
    <w:rsid w:val="00CE50BD"/>
    <w:rsid w:val="00CE6D26"/>
    <w:rsid w:val="00CE7248"/>
    <w:rsid w:val="00CE731A"/>
    <w:rsid w:val="00CE75F3"/>
    <w:rsid w:val="00CF034F"/>
    <w:rsid w:val="00CF0E45"/>
    <w:rsid w:val="00CF0E6D"/>
    <w:rsid w:val="00CF30F1"/>
    <w:rsid w:val="00CF5964"/>
    <w:rsid w:val="00CF5BB9"/>
    <w:rsid w:val="00CF5EEC"/>
    <w:rsid w:val="00CF669F"/>
    <w:rsid w:val="00CF6CD0"/>
    <w:rsid w:val="00CF6E85"/>
    <w:rsid w:val="00D0171C"/>
    <w:rsid w:val="00D0193B"/>
    <w:rsid w:val="00D02605"/>
    <w:rsid w:val="00D026C0"/>
    <w:rsid w:val="00D03266"/>
    <w:rsid w:val="00D03471"/>
    <w:rsid w:val="00D03BD1"/>
    <w:rsid w:val="00D05318"/>
    <w:rsid w:val="00D05670"/>
    <w:rsid w:val="00D06132"/>
    <w:rsid w:val="00D061F5"/>
    <w:rsid w:val="00D0643A"/>
    <w:rsid w:val="00D07705"/>
    <w:rsid w:val="00D0791F"/>
    <w:rsid w:val="00D10482"/>
    <w:rsid w:val="00D107D8"/>
    <w:rsid w:val="00D10A70"/>
    <w:rsid w:val="00D10FE0"/>
    <w:rsid w:val="00D11921"/>
    <w:rsid w:val="00D17DED"/>
    <w:rsid w:val="00D2106D"/>
    <w:rsid w:val="00D2142D"/>
    <w:rsid w:val="00D31153"/>
    <w:rsid w:val="00D3257F"/>
    <w:rsid w:val="00D32796"/>
    <w:rsid w:val="00D328A4"/>
    <w:rsid w:val="00D329FE"/>
    <w:rsid w:val="00D33D4A"/>
    <w:rsid w:val="00D35447"/>
    <w:rsid w:val="00D357DB"/>
    <w:rsid w:val="00D3661F"/>
    <w:rsid w:val="00D36688"/>
    <w:rsid w:val="00D404C5"/>
    <w:rsid w:val="00D438B2"/>
    <w:rsid w:val="00D43C8E"/>
    <w:rsid w:val="00D445BF"/>
    <w:rsid w:val="00D47902"/>
    <w:rsid w:val="00D51733"/>
    <w:rsid w:val="00D52822"/>
    <w:rsid w:val="00D528EF"/>
    <w:rsid w:val="00D52C87"/>
    <w:rsid w:val="00D530F2"/>
    <w:rsid w:val="00D53184"/>
    <w:rsid w:val="00D54322"/>
    <w:rsid w:val="00D55104"/>
    <w:rsid w:val="00D55939"/>
    <w:rsid w:val="00D572A2"/>
    <w:rsid w:val="00D60801"/>
    <w:rsid w:val="00D60BBC"/>
    <w:rsid w:val="00D6268A"/>
    <w:rsid w:val="00D626E1"/>
    <w:rsid w:val="00D62A4E"/>
    <w:rsid w:val="00D6311D"/>
    <w:rsid w:val="00D651A6"/>
    <w:rsid w:val="00D65581"/>
    <w:rsid w:val="00D65A1B"/>
    <w:rsid w:val="00D67550"/>
    <w:rsid w:val="00D705AD"/>
    <w:rsid w:val="00D70C7F"/>
    <w:rsid w:val="00D717E8"/>
    <w:rsid w:val="00D71F1F"/>
    <w:rsid w:val="00D729F4"/>
    <w:rsid w:val="00D73747"/>
    <w:rsid w:val="00D7681E"/>
    <w:rsid w:val="00D76F18"/>
    <w:rsid w:val="00D7712D"/>
    <w:rsid w:val="00D775B6"/>
    <w:rsid w:val="00D800B7"/>
    <w:rsid w:val="00D811CF"/>
    <w:rsid w:val="00D81742"/>
    <w:rsid w:val="00D8199A"/>
    <w:rsid w:val="00D81DA1"/>
    <w:rsid w:val="00D81E84"/>
    <w:rsid w:val="00D81FFF"/>
    <w:rsid w:val="00D82498"/>
    <w:rsid w:val="00D83B4B"/>
    <w:rsid w:val="00D83BC7"/>
    <w:rsid w:val="00D84342"/>
    <w:rsid w:val="00D847D1"/>
    <w:rsid w:val="00D85D0E"/>
    <w:rsid w:val="00D8642D"/>
    <w:rsid w:val="00D86D5E"/>
    <w:rsid w:val="00D87818"/>
    <w:rsid w:val="00D91504"/>
    <w:rsid w:val="00D918F9"/>
    <w:rsid w:val="00D9342F"/>
    <w:rsid w:val="00D937FA"/>
    <w:rsid w:val="00D9384C"/>
    <w:rsid w:val="00D93DC1"/>
    <w:rsid w:val="00D94132"/>
    <w:rsid w:val="00D962EB"/>
    <w:rsid w:val="00D970BB"/>
    <w:rsid w:val="00DA0271"/>
    <w:rsid w:val="00DA03FC"/>
    <w:rsid w:val="00DA0668"/>
    <w:rsid w:val="00DA0857"/>
    <w:rsid w:val="00DA0B9B"/>
    <w:rsid w:val="00DA0F26"/>
    <w:rsid w:val="00DA14BB"/>
    <w:rsid w:val="00DA1800"/>
    <w:rsid w:val="00DA1DFB"/>
    <w:rsid w:val="00DA2480"/>
    <w:rsid w:val="00DA254C"/>
    <w:rsid w:val="00DA2FF9"/>
    <w:rsid w:val="00DA303A"/>
    <w:rsid w:val="00DA43BC"/>
    <w:rsid w:val="00DA76DB"/>
    <w:rsid w:val="00DA7878"/>
    <w:rsid w:val="00DB00F7"/>
    <w:rsid w:val="00DB079A"/>
    <w:rsid w:val="00DB0951"/>
    <w:rsid w:val="00DB2373"/>
    <w:rsid w:val="00DB2B9D"/>
    <w:rsid w:val="00DB3CDA"/>
    <w:rsid w:val="00DB4306"/>
    <w:rsid w:val="00DB461E"/>
    <w:rsid w:val="00DB4770"/>
    <w:rsid w:val="00DB498D"/>
    <w:rsid w:val="00DB5C35"/>
    <w:rsid w:val="00DB7487"/>
    <w:rsid w:val="00DB7A5F"/>
    <w:rsid w:val="00DC1961"/>
    <w:rsid w:val="00DC2316"/>
    <w:rsid w:val="00DC2EA2"/>
    <w:rsid w:val="00DC3A53"/>
    <w:rsid w:val="00DC3EE8"/>
    <w:rsid w:val="00DC4581"/>
    <w:rsid w:val="00DC676B"/>
    <w:rsid w:val="00DC67F9"/>
    <w:rsid w:val="00DC723F"/>
    <w:rsid w:val="00DC76BD"/>
    <w:rsid w:val="00DD11B2"/>
    <w:rsid w:val="00DD1829"/>
    <w:rsid w:val="00DD198E"/>
    <w:rsid w:val="00DD222D"/>
    <w:rsid w:val="00DD2852"/>
    <w:rsid w:val="00DD4E1D"/>
    <w:rsid w:val="00DD4E9F"/>
    <w:rsid w:val="00DD5550"/>
    <w:rsid w:val="00DD63C9"/>
    <w:rsid w:val="00DE03D5"/>
    <w:rsid w:val="00DE2263"/>
    <w:rsid w:val="00DE331D"/>
    <w:rsid w:val="00DE352D"/>
    <w:rsid w:val="00DE3765"/>
    <w:rsid w:val="00DE3F1C"/>
    <w:rsid w:val="00DE47D8"/>
    <w:rsid w:val="00DE4868"/>
    <w:rsid w:val="00DE4F58"/>
    <w:rsid w:val="00DE5642"/>
    <w:rsid w:val="00DF072E"/>
    <w:rsid w:val="00DF0DD4"/>
    <w:rsid w:val="00DF1F03"/>
    <w:rsid w:val="00DF21DD"/>
    <w:rsid w:val="00DF276E"/>
    <w:rsid w:val="00DF27A3"/>
    <w:rsid w:val="00DF31CE"/>
    <w:rsid w:val="00DF347A"/>
    <w:rsid w:val="00DF38C8"/>
    <w:rsid w:val="00DF460D"/>
    <w:rsid w:val="00DF5310"/>
    <w:rsid w:val="00DF7884"/>
    <w:rsid w:val="00E00F91"/>
    <w:rsid w:val="00E02183"/>
    <w:rsid w:val="00E03E20"/>
    <w:rsid w:val="00E04656"/>
    <w:rsid w:val="00E061B4"/>
    <w:rsid w:val="00E06262"/>
    <w:rsid w:val="00E0650A"/>
    <w:rsid w:val="00E06F6E"/>
    <w:rsid w:val="00E07D22"/>
    <w:rsid w:val="00E10788"/>
    <w:rsid w:val="00E12328"/>
    <w:rsid w:val="00E14083"/>
    <w:rsid w:val="00E14593"/>
    <w:rsid w:val="00E148B8"/>
    <w:rsid w:val="00E15876"/>
    <w:rsid w:val="00E16A30"/>
    <w:rsid w:val="00E16B5D"/>
    <w:rsid w:val="00E17482"/>
    <w:rsid w:val="00E20149"/>
    <w:rsid w:val="00E21FC5"/>
    <w:rsid w:val="00E22DFC"/>
    <w:rsid w:val="00E234DC"/>
    <w:rsid w:val="00E23673"/>
    <w:rsid w:val="00E24713"/>
    <w:rsid w:val="00E24C50"/>
    <w:rsid w:val="00E25D4D"/>
    <w:rsid w:val="00E25DE6"/>
    <w:rsid w:val="00E26129"/>
    <w:rsid w:val="00E26B46"/>
    <w:rsid w:val="00E26D5E"/>
    <w:rsid w:val="00E27299"/>
    <w:rsid w:val="00E2791A"/>
    <w:rsid w:val="00E27A4D"/>
    <w:rsid w:val="00E30327"/>
    <w:rsid w:val="00E31618"/>
    <w:rsid w:val="00E33D29"/>
    <w:rsid w:val="00E34CE5"/>
    <w:rsid w:val="00E34F6D"/>
    <w:rsid w:val="00E37FC9"/>
    <w:rsid w:val="00E40C15"/>
    <w:rsid w:val="00E41121"/>
    <w:rsid w:val="00E43248"/>
    <w:rsid w:val="00E43956"/>
    <w:rsid w:val="00E43BCF"/>
    <w:rsid w:val="00E44827"/>
    <w:rsid w:val="00E44E4C"/>
    <w:rsid w:val="00E4673A"/>
    <w:rsid w:val="00E47170"/>
    <w:rsid w:val="00E53F65"/>
    <w:rsid w:val="00E54F4F"/>
    <w:rsid w:val="00E57701"/>
    <w:rsid w:val="00E614DD"/>
    <w:rsid w:val="00E6178B"/>
    <w:rsid w:val="00E6203A"/>
    <w:rsid w:val="00E63081"/>
    <w:rsid w:val="00E65582"/>
    <w:rsid w:val="00E66253"/>
    <w:rsid w:val="00E6757D"/>
    <w:rsid w:val="00E67827"/>
    <w:rsid w:val="00E67DEF"/>
    <w:rsid w:val="00E70B54"/>
    <w:rsid w:val="00E710DB"/>
    <w:rsid w:val="00E71BCC"/>
    <w:rsid w:val="00E744F4"/>
    <w:rsid w:val="00E748FE"/>
    <w:rsid w:val="00E77386"/>
    <w:rsid w:val="00E77577"/>
    <w:rsid w:val="00E815D6"/>
    <w:rsid w:val="00E82CE7"/>
    <w:rsid w:val="00E83CFA"/>
    <w:rsid w:val="00E83EA8"/>
    <w:rsid w:val="00E852BB"/>
    <w:rsid w:val="00E85D77"/>
    <w:rsid w:val="00E8655C"/>
    <w:rsid w:val="00E90AE0"/>
    <w:rsid w:val="00E91D1C"/>
    <w:rsid w:val="00E92297"/>
    <w:rsid w:val="00E9369A"/>
    <w:rsid w:val="00E951F1"/>
    <w:rsid w:val="00E953D3"/>
    <w:rsid w:val="00E95E1F"/>
    <w:rsid w:val="00E96587"/>
    <w:rsid w:val="00EA0902"/>
    <w:rsid w:val="00EA1A23"/>
    <w:rsid w:val="00EA1F0C"/>
    <w:rsid w:val="00EA26A6"/>
    <w:rsid w:val="00EA392E"/>
    <w:rsid w:val="00EA3A5D"/>
    <w:rsid w:val="00EA50B2"/>
    <w:rsid w:val="00EA664F"/>
    <w:rsid w:val="00EA6C9E"/>
    <w:rsid w:val="00EB09DC"/>
    <w:rsid w:val="00EB0D10"/>
    <w:rsid w:val="00EB1497"/>
    <w:rsid w:val="00EB248E"/>
    <w:rsid w:val="00EB2893"/>
    <w:rsid w:val="00EB3AEB"/>
    <w:rsid w:val="00EB42F5"/>
    <w:rsid w:val="00EB43DD"/>
    <w:rsid w:val="00EB613D"/>
    <w:rsid w:val="00EB6B00"/>
    <w:rsid w:val="00EC0A0A"/>
    <w:rsid w:val="00EC0BC2"/>
    <w:rsid w:val="00EC0C90"/>
    <w:rsid w:val="00EC192A"/>
    <w:rsid w:val="00EC2B6B"/>
    <w:rsid w:val="00EC2BDF"/>
    <w:rsid w:val="00EC36F3"/>
    <w:rsid w:val="00EC56A3"/>
    <w:rsid w:val="00EC6470"/>
    <w:rsid w:val="00EC675F"/>
    <w:rsid w:val="00EC7AD4"/>
    <w:rsid w:val="00ED0ED6"/>
    <w:rsid w:val="00ED462F"/>
    <w:rsid w:val="00ED570D"/>
    <w:rsid w:val="00ED5E5F"/>
    <w:rsid w:val="00ED6186"/>
    <w:rsid w:val="00ED6B53"/>
    <w:rsid w:val="00EE115B"/>
    <w:rsid w:val="00EE1BE7"/>
    <w:rsid w:val="00EE3386"/>
    <w:rsid w:val="00EE3BCD"/>
    <w:rsid w:val="00EE412F"/>
    <w:rsid w:val="00EE4B47"/>
    <w:rsid w:val="00EE6D1C"/>
    <w:rsid w:val="00EE7E07"/>
    <w:rsid w:val="00EF04CF"/>
    <w:rsid w:val="00EF0D6A"/>
    <w:rsid w:val="00EF2A06"/>
    <w:rsid w:val="00EF4A18"/>
    <w:rsid w:val="00EF5D17"/>
    <w:rsid w:val="00EF5FE6"/>
    <w:rsid w:val="00EF615A"/>
    <w:rsid w:val="00EF6414"/>
    <w:rsid w:val="00EF6B12"/>
    <w:rsid w:val="00EF6FBC"/>
    <w:rsid w:val="00F00151"/>
    <w:rsid w:val="00F00A2D"/>
    <w:rsid w:val="00F0537D"/>
    <w:rsid w:val="00F054A9"/>
    <w:rsid w:val="00F054B3"/>
    <w:rsid w:val="00F05D88"/>
    <w:rsid w:val="00F06E2C"/>
    <w:rsid w:val="00F07218"/>
    <w:rsid w:val="00F11508"/>
    <w:rsid w:val="00F117A1"/>
    <w:rsid w:val="00F11B8A"/>
    <w:rsid w:val="00F139A8"/>
    <w:rsid w:val="00F13A6D"/>
    <w:rsid w:val="00F13AF5"/>
    <w:rsid w:val="00F13CE4"/>
    <w:rsid w:val="00F13FB1"/>
    <w:rsid w:val="00F144C4"/>
    <w:rsid w:val="00F15025"/>
    <w:rsid w:val="00F15EC6"/>
    <w:rsid w:val="00F164E3"/>
    <w:rsid w:val="00F164E9"/>
    <w:rsid w:val="00F1716F"/>
    <w:rsid w:val="00F20431"/>
    <w:rsid w:val="00F20543"/>
    <w:rsid w:val="00F2140E"/>
    <w:rsid w:val="00F22ECD"/>
    <w:rsid w:val="00F234B1"/>
    <w:rsid w:val="00F2362C"/>
    <w:rsid w:val="00F24345"/>
    <w:rsid w:val="00F243E8"/>
    <w:rsid w:val="00F247F5"/>
    <w:rsid w:val="00F2482E"/>
    <w:rsid w:val="00F249C7"/>
    <w:rsid w:val="00F24DFD"/>
    <w:rsid w:val="00F26153"/>
    <w:rsid w:val="00F265E5"/>
    <w:rsid w:val="00F272CB"/>
    <w:rsid w:val="00F30072"/>
    <w:rsid w:val="00F304C3"/>
    <w:rsid w:val="00F31A5C"/>
    <w:rsid w:val="00F33B51"/>
    <w:rsid w:val="00F33B75"/>
    <w:rsid w:val="00F33D6C"/>
    <w:rsid w:val="00F350FD"/>
    <w:rsid w:val="00F363B4"/>
    <w:rsid w:val="00F37C29"/>
    <w:rsid w:val="00F37E9F"/>
    <w:rsid w:val="00F41030"/>
    <w:rsid w:val="00F413A8"/>
    <w:rsid w:val="00F428CC"/>
    <w:rsid w:val="00F43813"/>
    <w:rsid w:val="00F43C1A"/>
    <w:rsid w:val="00F44723"/>
    <w:rsid w:val="00F45FF1"/>
    <w:rsid w:val="00F466B1"/>
    <w:rsid w:val="00F469BA"/>
    <w:rsid w:val="00F46EE0"/>
    <w:rsid w:val="00F47AA9"/>
    <w:rsid w:val="00F501A9"/>
    <w:rsid w:val="00F50CAD"/>
    <w:rsid w:val="00F51099"/>
    <w:rsid w:val="00F521CC"/>
    <w:rsid w:val="00F5240C"/>
    <w:rsid w:val="00F54A06"/>
    <w:rsid w:val="00F560EA"/>
    <w:rsid w:val="00F56C7D"/>
    <w:rsid w:val="00F56FF3"/>
    <w:rsid w:val="00F5777F"/>
    <w:rsid w:val="00F57DB4"/>
    <w:rsid w:val="00F60809"/>
    <w:rsid w:val="00F60868"/>
    <w:rsid w:val="00F6087E"/>
    <w:rsid w:val="00F614C7"/>
    <w:rsid w:val="00F61DD7"/>
    <w:rsid w:val="00F63656"/>
    <w:rsid w:val="00F64234"/>
    <w:rsid w:val="00F643A5"/>
    <w:rsid w:val="00F674DA"/>
    <w:rsid w:val="00F7229E"/>
    <w:rsid w:val="00F73B5A"/>
    <w:rsid w:val="00F74230"/>
    <w:rsid w:val="00F753C2"/>
    <w:rsid w:val="00F76AAF"/>
    <w:rsid w:val="00F776E0"/>
    <w:rsid w:val="00F779C9"/>
    <w:rsid w:val="00F77E74"/>
    <w:rsid w:val="00F801A4"/>
    <w:rsid w:val="00F80DA2"/>
    <w:rsid w:val="00F80E7A"/>
    <w:rsid w:val="00F81577"/>
    <w:rsid w:val="00F81779"/>
    <w:rsid w:val="00F83A73"/>
    <w:rsid w:val="00F840AA"/>
    <w:rsid w:val="00F86F0A"/>
    <w:rsid w:val="00F86F22"/>
    <w:rsid w:val="00F90583"/>
    <w:rsid w:val="00F92475"/>
    <w:rsid w:val="00F92E0F"/>
    <w:rsid w:val="00F93979"/>
    <w:rsid w:val="00F94A09"/>
    <w:rsid w:val="00F94C8E"/>
    <w:rsid w:val="00F95760"/>
    <w:rsid w:val="00F96175"/>
    <w:rsid w:val="00F97D49"/>
    <w:rsid w:val="00FA0BBE"/>
    <w:rsid w:val="00FA0C75"/>
    <w:rsid w:val="00FA1188"/>
    <w:rsid w:val="00FA201D"/>
    <w:rsid w:val="00FA2941"/>
    <w:rsid w:val="00FA2ADE"/>
    <w:rsid w:val="00FA2DD4"/>
    <w:rsid w:val="00FA3C66"/>
    <w:rsid w:val="00FA3E53"/>
    <w:rsid w:val="00FA3F30"/>
    <w:rsid w:val="00FA570B"/>
    <w:rsid w:val="00FA5D34"/>
    <w:rsid w:val="00FA641B"/>
    <w:rsid w:val="00FA64C3"/>
    <w:rsid w:val="00FA7413"/>
    <w:rsid w:val="00FA774D"/>
    <w:rsid w:val="00FB0011"/>
    <w:rsid w:val="00FB0F74"/>
    <w:rsid w:val="00FB104E"/>
    <w:rsid w:val="00FB1C13"/>
    <w:rsid w:val="00FB24E2"/>
    <w:rsid w:val="00FB3264"/>
    <w:rsid w:val="00FB3E5C"/>
    <w:rsid w:val="00FB474E"/>
    <w:rsid w:val="00FB4E00"/>
    <w:rsid w:val="00FB541D"/>
    <w:rsid w:val="00FB5CFD"/>
    <w:rsid w:val="00FB6407"/>
    <w:rsid w:val="00FB65B8"/>
    <w:rsid w:val="00FB66B0"/>
    <w:rsid w:val="00FB6BE3"/>
    <w:rsid w:val="00FB6D12"/>
    <w:rsid w:val="00FB7288"/>
    <w:rsid w:val="00FB7A5D"/>
    <w:rsid w:val="00FC0220"/>
    <w:rsid w:val="00FC10F7"/>
    <w:rsid w:val="00FC312F"/>
    <w:rsid w:val="00FC3866"/>
    <w:rsid w:val="00FC398F"/>
    <w:rsid w:val="00FC3F85"/>
    <w:rsid w:val="00FC4248"/>
    <w:rsid w:val="00FC616B"/>
    <w:rsid w:val="00FC77A6"/>
    <w:rsid w:val="00FC7DB3"/>
    <w:rsid w:val="00FD003D"/>
    <w:rsid w:val="00FD38FB"/>
    <w:rsid w:val="00FD3AC9"/>
    <w:rsid w:val="00FD3AF0"/>
    <w:rsid w:val="00FD3EA7"/>
    <w:rsid w:val="00FD483F"/>
    <w:rsid w:val="00FD4A16"/>
    <w:rsid w:val="00FD4B80"/>
    <w:rsid w:val="00FD4C20"/>
    <w:rsid w:val="00FD4CF6"/>
    <w:rsid w:val="00FD72F4"/>
    <w:rsid w:val="00FD79C8"/>
    <w:rsid w:val="00FD7E28"/>
    <w:rsid w:val="00FD7FF7"/>
    <w:rsid w:val="00FE0A86"/>
    <w:rsid w:val="00FE1241"/>
    <w:rsid w:val="00FE1282"/>
    <w:rsid w:val="00FE3B54"/>
    <w:rsid w:val="00FE4435"/>
    <w:rsid w:val="00FE4A4D"/>
    <w:rsid w:val="00FE4BF9"/>
    <w:rsid w:val="00FF14BA"/>
    <w:rsid w:val="00FF2398"/>
    <w:rsid w:val="00FF3953"/>
    <w:rsid w:val="00FF3C8B"/>
    <w:rsid w:val="00FF3E89"/>
    <w:rsid w:val="00FF5FCB"/>
    <w:rsid w:val="00FF679C"/>
    <w:rsid w:val="00FF6FB0"/>
    <w:rsid w:val="00FF7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B16755"/>
  <w15:docId w15:val="{B6E06E44-1ECC-414B-B7FF-60D7650A6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195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aliases w:val="1 Nadpis 1"/>
    <w:basedOn w:val="Normln"/>
    <w:next w:val="2TEXT"/>
    <w:link w:val="Nadpis1Char"/>
    <w:qFormat/>
    <w:rsid w:val="00FE4A4D"/>
    <w:pPr>
      <w:keepNext/>
      <w:numPr>
        <w:numId w:val="7"/>
      </w:numPr>
      <w:pBdr>
        <w:bottom w:val="single" w:sz="4" w:space="1" w:color="auto"/>
      </w:pBdr>
      <w:spacing w:before="600" w:after="480" w:line="288" w:lineRule="auto"/>
      <w:outlineLvl w:val="0"/>
    </w:pPr>
    <w:rPr>
      <w:rFonts w:ascii="Arial Narrow" w:hAnsi="Arial Narrow"/>
      <w:b/>
      <w:bCs/>
      <w:kern w:val="32"/>
      <w:sz w:val="40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710A8"/>
    <w:pPr>
      <w:keepNext/>
      <w:keepLines/>
      <w:numPr>
        <w:ilvl w:val="1"/>
        <w:numId w:val="7"/>
      </w:numPr>
      <w:spacing w:before="200" w:after="0"/>
      <w:outlineLvl w:val="1"/>
    </w:pPr>
    <w:rPr>
      <w:rFonts w:ascii="Cambria" w:eastAsia="Times New Roman" w:hAnsi="Cambria"/>
      <w:b/>
      <w:bCs/>
      <w:color w:val="00ADDC"/>
      <w:sz w:val="26"/>
      <w:szCs w:val="26"/>
      <w:lang w:val="x-non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C67F9"/>
    <w:pPr>
      <w:keepNext/>
      <w:keepLines/>
      <w:numPr>
        <w:ilvl w:val="2"/>
        <w:numId w:val="7"/>
      </w:numPr>
      <w:spacing w:before="200" w:after="0"/>
      <w:outlineLvl w:val="2"/>
    </w:pPr>
    <w:rPr>
      <w:rFonts w:ascii="Cambria" w:eastAsia="Times New Roman" w:hAnsi="Cambria"/>
      <w:b/>
      <w:bCs/>
      <w:color w:val="00ADDC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B710A8"/>
    <w:rPr>
      <w:rFonts w:ascii="Cambria" w:eastAsia="Times New Roman" w:hAnsi="Cambria" w:cs="Times New Roman"/>
      <w:b/>
      <w:bCs/>
      <w:color w:val="00ADDC"/>
      <w:sz w:val="26"/>
      <w:szCs w:val="26"/>
      <w:lang w:eastAsia="en-US"/>
    </w:rPr>
  </w:style>
  <w:style w:type="character" w:customStyle="1" w:styleId="Nadpis3Char">
    <w:name w:val="Nadpis 3 Char"/>
    <w:link w:val="Nadpis3"/>
    <w:uiPriority w:val="9"/>
    <w:rsid w:val="00DC67F9"/>
    <w:rPr>
      <w:rFonts w:ascii="Cambria" w:eastAsia="Times New Roman" w:hAnsi="Cambria" w:cs="Times New Roman"/>
      <w:b/>
      <w:bCs/>
      <w:color w:val="00ADDC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rsid w:val="009C460C"/>
    <w:pPr>
      <w:tabs>
        <w:tab w:val="center" w:pos="4536"/>
        <w:tab w:val="right" w:pos="9072"/>
      </w:tabs>
    </w:pPr>
    <w:rPr>
      <w:lang w:val="x-none"/>
    </w:rPr>
  </w:style>
  <w:style w:type="paragraph" w:styleId="Zpat">
    <w:name w:val="footer"/>
    <w:basedOn w:val="Normln"/>
    <w:link w:val="ZpatChar"/>
    <w:semiHidden/>
    <w:rsid w:val="009C460C"/>
    <w:pPr>
      <w:tabs>
        <w:tab w:val="center" w:pos="4536"/>
        <w:tab w:val="right" w:pos="9072"/>
      </w:tabs>
    </w:pPr>
    <w:rPr>
      <w:lang w:val="x-none"/>
    </w:rPr>
  </w:style>
  <w:style w:type="character" w:styleId="slostrnky">
    <w:name w:val="page number"/>
    <w:semiHidden/>
    <w:rsid w:val="009C460C"/>
    <w:rPr>
      <w:rFonts w:ascii="Arial Narrow" w:hAnsi="Arial Narrow"/>
      <w:sz w:val="18"/>
    </w:rPr>
  </w:style>
  <w:style w:type="paragraph" w:customStyle="1" w:styleId="ipntext">
    <w:name w:val="ipn text"/>
    <w:basedOn w:val="Normln"/>
    <w:rsid w:val="009C460C"/>
    <w:rPr>
      <w:rFonts w:ascii="Arial Narrow" w:hAnsi="Arial Narrow"/>
      <w:position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2637"/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302637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DC67F9"/>
    <w:rPr>
      <w:color w:val="EB8803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C67F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xtpoznpodarouChar">
    <w:name w:val="Text pozn. pod čarou Char"/>
    <w:link w:val="Textpoznpodarou"/>
    <w:uiPriority w:val="99"/>
    <w:semiHidden/>
    <w:rsid w:val="00DC67F9"/>
    <w:rPr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DC67F9"/>
    <w:pPr>
      <w:suppressAutoHyphens/>
      <w:spacing w:after="0" w:line="240" w:lineRule="auto"/>
      <w:ind w:left="720"/>
    </w:pPr>
    <w:rPr>
      <w:rFonts w:eastAsia="Times New Roman"/>
      <w:lang w:val="x-none" w:eastAsia="ar-SA"/>
    </w:rPr>
  </w:style>
  <w:style w:type="character" w:customStyle="1" w:styleId="OdstavecseseznamemChar">
    <w:name w:val="Odstavec se seznamem Char"/>
    <w:link w:val="Odstavecseseznamem"/>
    <w:uiPriority w:val="34"/>
    <w:rsid w:val="00007075"/>
    <w:rPr>
      <w:rFonts w:ascii="Calibri" w:hAnsi="Calibri"/>
      <w:sz w:val="22"/>
      <w:szCs w:val="22"/>
      <w:lang w:eastAsia="ar-SA"/>
    </w:rPr>
  </w:style>
  <w:style w:type="character" w:styleId="Znakapoznpodarou">
    <w:name w:val="footnote reference"/>
    <w:uiPriority w:val="99"/>
    <w:semiHidden/>
    <w:unhideWhenUsed/>
    <w:rsid w:val="00DC67F9"/>
    <w:rPr>
      <w:vertAlign w:val="superscript"/>
    </w:rPr>
  </w:style>
  <w:style w:type="table" w:customStyle="1" w:styleId="Stednstnovn1zvraznn51">
    <w:name w:val="Střední stínování 1 – zvýraznění 51"/>
    <w:basedOn w:val="Normlntabulka"/>
    <w:uiPriority w:val="63"/>
    <w:rsid w:val="00DC67F9"/>
    <w:tblPr>
      <w:tblStyleRowBandSize w:val="1"/>
      <w:tblStyleColBandSize w:val="1"/>
      <w:tblBorders>
        <w:top w:val="single" w:sz="8" w:space="0" w:color="4ACF2B"/>
        <w:left w:val="single" w:sz="8" w:space="0" w:color="4ACF2B"/>
        <w:bottom w:val="single" w:sz="8" w:space="0" w:color="4ACF2B"/>
        <w:right w:val="single" w:sz="8" w:space="0" w:color="4ACF2B"/>
        <w:insideH w:val="single" w:sz="8" w:space="0" w:color="4ACF2B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4ACF2B"/>
          <w:left w:val="single" w:sz="8" w:space="0" w:color="4ACF2B"/>
          <w:bottom w:val="single" w:sz="8" w:space="0" w:color="4ACF2B"/>
          <w:right w:val="single" w:sz="8" w:space="0" w:color="4ACF2B"/>
          <w:insideH w:val="nil"/>
          <w:insideV w:val="nil"/>
        </w:tcBorders>
        <w:shd w:val="clear" w:color="auto" w:fill="31881C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ACF2B"/>
          <w:left w:val="single" w:sz="8" w:space="0" w:color="4ACF2B"/>
          <w:bottom w:val="single" w:sz="8" w:space="0" w:color="4ACF2B"/>
          <w:right w:val="single" w:sz="8" w:space="0" w:color="4ACF2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0B7"/>
      </w:tcPr>
    </w:tblStylePr>
    <w:tblStylePr w:type="band1Horz">
      <w:tblPr/>
      <w:tcPr>
        <w:tcBorders>
          <w:insideH w:val="nil"/>
          <w:insideV w:val="nil"/>
        </w:tcBorders>
        <w:shd w:val="clear" w:color="auto" w:fill="C2F0B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35"/>
    <w:unhideWhenUsed/>
    <w:qFormat/>
    <w:rsid w:val="0070252C"/>
    <w:pPr>
      <w:suppressAutoHyphens/>
      <w:spacing w:line="240" w:lineRule="auto"/>
    </w:pPr>
    <w:rPr>
      <w:rFonts w:ascii="Times New Roman" w:eastAsia="Times New Roman" w:hAnsi="Times New Roman"/>
      <w:b/>
      <w:bCs/>
      <w:color w:val="00ADDC"/>
      <w:sz w:val="18"/>
      <w:szCs w:val="18"/>
      <w:lang w:val="x-none" w:eastAsia="ar-SA"/>
    </w:rPr>
  </w:style>
  <w:style w:type="character" w:customStyle="1" w:styleId="TitulekChar">
    <w:name w:val="Titulek Char"/>
    <w:link w:val="Titulek"/>
    <w:uiPriority w:val="35"/>
    <w:rsid w:val="00AD5B33"/>
    <w:rPr>
      <w:b/>
      <w:bCs/>
      <w:color w:val="00ADDC"/>
      <w:sz w:val="18"/>
      <w:szCs w:val="18"/>
      <w:lang w:eastAsia="ar-SA"/>
    </w:rPr>
  </w:style>
  <w:style w:type="table" w:customStyle="1" w:styleId="Tabulkasmkou4zvraznn51">
    <w:name w:val="Tabulka s mřížkou 4 – zvýraznění 51"/>
    <w:basedOn w:val="Normlntabulka"/>
    <w:uiPriority w:val="49"/>
    <w:rsid w:val="0070252C"/>
    <w:tblPr>
      <w:tblStyleRowBandSize w:val="1"/>
      <w:tblStyleColBandSize w:val="1"/>
      <w:tblBorders>
        <w:top w:val="single" w:sz="4" w:space="0" w:color="6CDB52"/>
        <w:left w:val="single" w:sz="4" w:space="0" w:color="6CDB52"/>
        <w:bottom w:val="single" w:sz="4" w:space="0" w:color="6CDB52"/>
        <w:right w:val="single" w:sz="4" w:space="0" w:color="6CDB52"/>
        <w:insideH w:val="single" w:sz="4" w:space="0" w:color="6CDB52"/>
        <w:insideV w:val="single" w:sz="4" w:space="0" w:color="6CDB52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31881C"/>
          <w:left w:val="single" w:sz="4" w:space="0" w:color="31881C"/>
          <w:bottom w:val="single" w:sz="4" w:space="0" w:color="31881C"/>
          <w:right w:val="single" w:sz="4" w:space="0" w:color="31881C"/>
          <w:insideH w:val="nil"/>
          <w:insideV w:val="nil"/>
        </w:tcBorders>
        <w:shd w:val="clear" w:color="auto" w:fill="31881C"/>
      </w:tcPr>
    </w:tblStylePr>
    <w:tblStylePr w:type="lastRow">
      <w:rPr>
        <w:b/>
        <w:bCs/>
      </w:rPr>
      <w:tblPr/>
      <w:tcPr>
        <w:tcBorders>
          <w:top w:val="double" w:sz="4" w:space="0" w:color="31881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F3C5"/>
      </w:tcPr>
    </w:tblStylePr>
    <w:tblStylePr w:type="band1Horz">
      <w:tblPr/>
      <w:tcPr>
        <w:shd w:val="clear" w:color="auto" w:fill="CEF3C5"/>
      </w:tcPr>
    </w:tblStylePr>
  </w:style>
  <w:style w:type="table" w:styleId="Stednstnovn1zvraznn5">
    <w:name w:val="Medium Shading 1 Accent 5"/>
    <w:basedOn w:val="Normlntabulka"/>
    <w:uiPriority w:val="63"/>
    <w:rsid w:val="0070252C"/>
    <w:tblPr>
      <w:tblStyleRowBandSize w:val="1"/>
      <w:tblStyleColBandSize w:val="1"/>
      <w:tblBorders>
        <w:top w:val="single" w:sz="8" w:space="0" w:color="4ACF2B"/>
        <w:left w:val="single" w:sz="8" w:space="0" w:color="4ACF2B"/>
        <w:bottom w:val="single" w:sz="8" w:space="0" w:color="4ACF2B"/>
        <w:right w:val="single" w:sz="8" w:space="0" w:color="4ACF2B"/>
        <w:insideH w:val="single" w:sz="8" w:space="0" w:color="4ACF2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ACF2B"/>
          <w:left w:val="single" w:sz="8" w:space="0" w:color="4ACF2B"/>
          <w:bottom w:val="single" w:sz="8" w:space="0" w:color="4ACF2B"/>
          <w:right w:val="single" w:sz="8" w:space="0" w:color="4ACF2B"/>
          <w:insideH w:val="nil"/>
          <w:insideV w:val="nil"/>
        </w:tcBorders>
        <w:shd w:val="clear" w:color="auto" w:fill="31881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CF2B"/>
          <w:left w:val="single" w:sz="8" w:space="0" w:color="4ACF2B"/>
          <w:bottom w:val="single" w:sz="8" w:space="0" w:color="4ACF2B"/>
          <w:right w:val="single" w:sz="8" w:space="0" w:color="4ACF2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0B7"/>
      </w:tcPr>
    </w:tblStylePr>
    <w:tblStylePr w:type="band1Horz">
      <w:tblPr/>
      <w:tcPr>
        <w:tcBorders>
          <w:insideH w:val="nil"/>
          <w:insideV w:val="nil"/>
        </w:tcBorders>
        <w:shd w:val="clear" w:color="auto" w:fill="C2F0B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komente">
    <w:name w:val="annotation text"/>
    <w:basedOn w:val="Normln"/>
    <w:link w:val="TextkomenteChar"/>
    <w:uiPriority w:val="99"/>
    <w:unhideWhenUsed/>
    <w:rsid w:val="004043E1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rsid w:val="004043E1"/>
    <w:rPr>
      <w:rFonts w:ascii="Calibri" w:eastAsia="Calibri" w:hAnsi="Calibri"/>
    </w:rPr>
  </w:style>
  <w:style w:type="character" w:customStyle="1" w:styleId="apple-converted-space">
    <w:name w:val="apple-converted-space"/>
    <w:basedOn w:val="Standardnpsmoodstavce"/>
    <w:rsid w:val="001726F3"/>
  </w:style>
  <w:style w:type="character" w:styleId="Zdraznn">
    <w:name w:val="Emphasis"/>
    <w:uiPriority w:val="20"/>
    <w:qFormat/>
    <w:rsid w:val="001726F3"/>
    <w:rPr>
      <w:i/>
      <w:iCs/>
    </w:rPr>
  </w:style>
  <w:style w:type="paragraph" w:customStyle="1" w:styleId="1Nadpis">
    <w:name w:val="1 Nadpis"/>
    <w:basedOn w:val="Odstavecseseznamem"/>
    <w:link w:val="1NadpisChar"/>
    <w:qFormat/>
    <w:rsid w:val="00007075"/>
    <w:pPr>
      <w:pBdr>
        <w:bottom w:val="single" w:sz="4" w:space="1" w:color="auto"/>
      </w:pBdr>
      <w:spacing w:before="720" w:after="480"/>
      <w:ind w:left="0"/>
      <w:jc w:val="both"/>
    </w:pPr>
    <w:rPr>
      <w:rFonts w:ascii="Arial Narrow" w:hAnsi="Arial Narrow"/>
      <w:b/>
      <w:bCs/>
      <w:sz w:val="40"/>
    </w:rPr>
  </w:style>
  <w:style w:type="character" w:customStyle="1" w:styleId="1NadpisChar">
    <w:name w:val="1 Nadpis Char"/>
    <w:link w:val="1Nadpis"/>
    <w:rsid w:val="00007075"/>
    <w:rPr>
      <w:rFonts w:ascii="Arial Narrow" w:hAnsi="Arial Narrow"/>
      <w:b/>
      <w:bCs/>
      <w:sz w:val="40"/>
      <w:szCs w:val="22"/>
      <w:lang w:eastAsia="ar-SA"/>
    </w:rPr>
  </w:style>
  <w:style w:type="paragraph" w:customStyle="1" w:styleId="11PODNADPIS">
    <w:name w:val="1.1 PODNADPIS"/>
    <w:basedOn w:val="1Nadpis"/>
    <w:next w:val="2TEXT"/>
    <w:link w:val="11PODNADPISChar"/>
    <w:qFormat/>
    <w:rsid w:val="00FD4A16"/>
    <w:pPr>
      <w:pBdr>
        <w:bottom w:val="none" w:sz="0" w:space="0" w:color="auto"/>
      </w:pBdr>
      <w:spacing w:before="360" w:after="360"/>
    </w:pPr>
    <w:rPr>
      <w:b w:val="0"/>
      <w:bCs w:val="0"/>
      <w:sz w:val="36"/>
      <w:szCs w:val="36"/>
    </w:rPr>
  </w:style>
  <w:style w:type="character" w:customStyle="1" w:styleId="11PODNADPISChar">
    <w:name w:val="1.1 PODNADPIS Char"/>
    <w:link w:val="11PODNADPIS"/>
    <w:rsid w:val="00FD4A16"/>
    <w:rPr>
      <w:rFonts w:ascii="Arial Narrow" w:hAnsi="Arial Narrow"/>
      <w:b w:val="0"/>
      <w:bCs w:val="0"/>
      <w:sz w:val="36"/>
      <w:szCs w:val="36"/>
      <w:lang w:eastAsia="ar-SA"/>
    </w:rPr>
  </w:style>
  <w:style w:type="paragraph" w:customStyle="1" w:styleId="111PODPODNADPIS">
    <w:name w:val="1.1.1 PODPODNADPIS"/>
    <w:basedOn w:val="11PODNADPIS"/>
    <w:next w:val="2TEXT"/>
    <w:link w:val="111PODPODNADPISChar"/>
    <w:qFormat/>
    <w:rsid w:val="00FD4A16"/>
    <w:pPr>
      <w:spacing w:before="240" w:after="240"/>
    </w:pPr>
    <w:rPr>
      <w:b/>
      <w:bCs/>
      <w:sz w:val="28"/>
    </w:rPr>
  </w:style>
  <w:style w:type="character" w:customStyle="1" w:styleId="111PODPODNADPISChar">
    <w:name w:val="1.1.1 PODPODNADPIS Char"/>
    <w:link w:val="111PODPODNADPIS"/>
    <w:rsid w:val="00FD4A16"/>
    <w:rPr>
      <w:rFonts w:ascii="Arial Narrow" w:hAnsi="Arial Narrow"/>
      <w:b/>
      <w:bCs/>
      <w:sz w:val="28"/>
      <w:szCs w:val="36"/>
      <w:lang w:eastAsia="ar-SA"/>
    </w:rPr>
  </w:style>
  <w:style w:type="paragraph" w:customStyle="1" w:styleId="2TEXT">
    <w:name w:val="2 TEXT"/>
    <w:basedOn w:val="Normln"/>
    <w:link w:val="2TEXTChar"/>
    <w:uiPriority w:val="99"/>
    <w:qFormat/>
    <w:rsid w:val="00AD5B33"/>
    <w:pPr>
      <w:spacing w:before="120" w:after="120" w:line="288" w:lineRule="auto"/>
      <w:jc w:val="both"/>
    </w:pPr>
    <w:rPr>
      <w:rFonts w:ascii="Arial Narrow" w:hAnsi="Arial Narrow"/>
      <w:sz w:val="24"/>
      <w:szCs w:val="32"/>
      <w:lang w:val="x-none"/>
    </w:rPr>
  </w:style>
  <w:style w:type="character" w:customStyle="1" w:styleId="2TEXTChar">
    <w:name w:val="2 TEXT Char"/>
    <w:link w:val="2TEXT"/>
    <w:uiPriority w:val="99"/>
    <w:rsid w:val="00AD5B33"/>
    <w:rPr>
      <w:rFonts w:ascii="Arial Narrow" w:eastAsia="Calibri" w:hAnsi="Arial Narrow"/>
      <w:sz w:val="24"/>
      <w:szCs w:val="32"/>
      <w:lang w:eastAsia="en-US"/>
    </w:rPr>
  </w:style>
  <w:style w:type="paragraph" w:customStyle="1" w:styleId="3GRAF">
    <w:name w:val="3 GRAF"/>
    <w:basedOn w:val="Titulek"/>
    <w:link w:val="3GRAFChar"/>
    <w:qFormat/>
    <w:rsid w:val="00AD5B33"/>
    <w:pPr>
      <w:keepNext/>
      <w:spacing w:before="120" w:after="60"/>
      <w:jc w:val="center"/>
    </w:pPr>
    <w:rPr>
      <w:rFonts w:ascii="Arial Narrow" w:hAnsi="Arial Narrow"/>
      <w:b w:val="0"/>
      <w:bCs w:val="0"/>
      <w:sz w:val="22"/>
      <w:szCs w:val="22"/>
    </w:rPr>
  </w:style>
  <w:style w:type="character" w:customStyle="1" w:styleId="3GRAFChar">
    <w:name w:val="3 GRAF Char"/>
    <w:link w:val="3GRAF"/>
    <w:rsid w:val="00AD5B33"/>
    <w:rPr>
      <w:rFonts w:ascii="Arial Narrow" w:hAnsi="Arial Narrow"/>
      <w:b w:val="0"/>
      <w:bCs w:val="0"/>
      <w:color w:val="00ADDC"/>
      <w:sz w:val="22"/>
      <w:szCs w:val="22"/>
      <w:lang w:eastAsia="ar-SA"/>
    </w:rPr>
  </w:style>
  <w:style w:type="paragraph" w:customStyle="1" w:styleId="5selnodrky">
    <w:name w:val="5 číselné odrážky"/>
    <w:basedOn w:val="2TEXT"/>
    <w:link w:val="5selnodrkyChar"/>
    <w:qFormat/>
    <w:rsid w:val="00403F64"/>
    <w:pPr>
      <w:numPr>
        <w:numId w:val="2"/>
      </w:numPr>
      <w:spacing w:before="60" w:after="60"/>
      <w:ind w:left="714" w:hanging="357"/>
    </w:pPr>
  </w:style>
  <w:style w:type="character" w:customStyle="1" w:styleId="5selnodrkyChar">
    <w:name w:val="5 číselné odrážky Char"/>
    <w:link w:val="5selnodrky"/>
    <w:rsid w:val="00403F64"/>
    <w:rPr>
      <w:rFonts w:ascii="Arial Narrow" w:eastAsia="Calibri" w:hAnsi="Arial Narrow"/>
      <w:sz w:val="24"/>
      <w:szCs w:val="32"/>
      <w:lang w:eastAsia="en-US"/>
    </w:rPr>
  </w:style>
  <w:style w:type="paragraph" w:customStyle="1" w:styleId="6odrky">
    <w:name w:val="6 odrážky"/>
    <w:basedOn w:val="2TEXT"/>
    <w:link w:val="6odrkyChar"/>
    <w:qFormat/>
    <w:rsid w:val="00403F64"/>
    <w:pPr>
      <w:numPr>
        <w:numId w:val="3"/>
      </w:numPr>
      <w:spacing w:before="60" w:after="60"/>
      <w:ind w:left="714" w:hanging="357"/>
    </w:pPr>
    <w:rPr>
      <w:szCs w:val="24"/>
    </w:rPr>
  </w:style>
  <w:style w:type="character" w:customStyle="1" w:styleId="6odrkyChar">
    <w:name w:val="6 odrážky Char"/>
    <w:link w:val="6odrky"/>
    <w:rsid w:val="00403F64"/>
    <w:rPr>
      <w:rFonts w:ascii="Arial Narrow" w:eastAsia="Calibri" w:hAnsi="Arial Narrow"/>
      <w:sz w:val="24"/>
      <w:szCs w:val="24"/>
      <w:lang w:eastAsia="en-US"/>
    </w:rPr>
  </w:style>
  <w:style w:type="paragraph" w:customStyle="1" w:styleId="4TABULKA">
    <w:name w:val="4 TABULKA"/>
    <w:basedOn w:val="3GRAF"/>
    <w:link w:val="4TABULKAChar"/>
    <w:qFormat/>
    <w:rsid w:val="00BC5EE4"/>
    <w:rPr>
      <w:b/>
      <w:bCs/>
    </w:rPr>
  </w:style>
  <w:style w:type="character" w:customStyle="1" w:styleId="4TABULKAChar">
    <w:name w:val="4 TABULKA Char"/>
    <w:link w:val="4TABULKA"/>
    <w:rsid w:val="00BC5EE4"/>
    <w:rPr>
      <w:rFonts w:ascii="Arial Narrow" w:hAnsi="Arial Narrow"/>
      <w:b/>
      <w:bCs/>
      <w:color w:val="00ADDC"/>
      <w:sz w:val="22"/>
      <w:szCs w:val="22"/>
      <w:lang w:eastAsia="ar-SA"/>
    </w:rPr>
  </w:style>
  <w:style w:type="paragraph" w:styleId="Obsah1">
    <w:name w:val="toc 1"/>
    <w:basedOn w:val="Normln"/>
    <w:next w:val="Normln"/>
    <w:autoRedefine/>
    <w:uiPriority w:val="39"/>
    <w:unhideWhenUsed/>
    <w:rsid w:val="00BA412B"/>
    <w:pPr>
      <w:tabs>
        <w:tab w:val="left" w:pos="340"/>
        <w:tab w:val="left" w:pos="567"/>
        <w:tab w:val="right" w:leader="dot" w:pos="9062"/>
      </w:tabs>
      <w:spacing w:after="100"/>
    </w:pPr>
    <w:rPr>
      <w:rFonts w:ascii="Arial Narrow" w:hAnsi="Arial Narrow"/>
    </w:rPr>
  </w:style>
  <w:style w:type="paragraph" w:styleId="Obsah2">
    <w:name w:val="toc 2"/>
    <w:basedOn w:val="Normln"/>
    <w:next w:val="Normln"/>
    <w:autoRedefine/>
    <w:uiPriority w:val="39"/>
    <w:unhideWhenUsed/>
    <w:rsid w:val="00BA412B"/>
    <w:pPr>
      <w:tabs>
        <w:tab w:val="left" w:pos="567"/>
        <w:tab w:val="left" w:pos="851"/>
        <w:tab w:val="right" w:leader="dot" w:pos="9062"/>
      </w:tabs>
      <w:spacing w:after="100"/>
      <w:ind w:left="1219" w:hanging="879"/>
    </w:pPr>
    <w:rPr>
      <w:rFonts w:ascii="Arial Narrow" w:hAnsi="Arial Narrow"/>
    </w:rPr>
  </w:style>
  <w:style w:type="paragraph" w:styleId="Obsah3">
    <w:name w:val="toc 3"/>
    <w:basedOn w:val="Normln"/>
    <w:next w:val="Normln"/>
    <w:autoRedefine/>
    <w:uiPriority w:val="39"/>
    <w:unhideWhenUsed/>
    <w:rsid w:val="00BA412B"/>
    <w:pPr>
      <w:tabs>
        <w:tab w:val="left" w:pos="1588"/>
      </w:tabs>
      <w:spacing w:after="100"/>
      <w:ind w:left="851"/>
    </w:pPr>
    <w:rPr>
      <w:rFonts w:ascii="Arial Narrow" w:hAnsi="Arial Narrow"/>
    </w:rPr>
  </w:style>
  <w:style w:type="paragraph" w:customStyle="1" w:styleId="7Obsahvod">
    <w:name w:val="7 Obsah+úvod"/>
    <w:basedOn w:val="1Nadpis"/>
    <w:link w:val="7ObsahvodChar"/>
    <w:qFormat/>
    <w:rsid w:val="00B710A8"/>
    <w:pPr>
      <w:ind w:left="432" w:hanging="432"/>
    </w:pPr>
    <w:rPr>
      <w:b w:val="0"/>
      <w:bCs w:val="0"/>
    </w:rPr>
  </w:style>
  <w:style w:type="character" w:customStyle="1" w:styleId="7ObsahvodChar">
    <w:name w:val="7 Obsah+úvod Char"/>
    <w:link w:val="7Obsahvod"/>
    <w:rsid w:val="00B710A8"/>
    <w:rPr>
      <w:rFonts w:ascii="Arial Narrow" w:hAnsi="Arial Narrow"/>
      <w:b w:val="0"/>
      <w:bCs w:val="0"/>
      <w:sz w:val="40"/>
      <w:szCs w:val="22"/>
      <w:lang w:eastAsia="ar-SA"/>
    </w:rPr>
  </w:style>
  <w:style w:type="paragraph" w:customStyle="1" w:styleId="8aodrky">
    <w:name w:val="8 a) odrážky"/>
    <w:basedOn w:val="Odstavecseseznamem"/>
    <w:link w:val="8aodrkyChar"/>
    <w:qFormat/>
    <w:rsid w:val="00321B9F"/>
    <w:pPr>
      <w:numPr>
        <w:numId w:val="1"/>
      </w:numPr>
      <w:spacing w:after="120" w:line="288" w:lineRule="auto"/>
      <w:ind w:left="567" w:hanging="357"/>
    </w:pPr>
    <w:rPr>
      <w:rFonts w:ascii="Arial Narrow" w:hAnsi="Arial Narrow"/>
      <w:b/>
      <w:sz w:val="24"/>
      <w:szCs w:val="24"/>
    </w:rPr>
  </w:style>
  <w:style w:type="character" w:customStyle="1" w:styleId="8aodrkyChar">
    <w:name w:val="8 a) odrážky Char"/>
    <w:link w:val="8aodrky"/>
    <w:rsid w:val="00321B9F"/>
    <w:rPr>
      <w:rFonts w:ascii="Arial Narrow" w:hAnsi="Arial Narrow"/>
      <w:b/>
      <w:sz w:val="24"/>
      <w:szCs w:val="24"/>
      <w:lang w:eastAsia="ar-SA"/>
    </w:rPr>
  </w:style>
  <w:style w:type="table" w:customStyle="1" w:styleId="Stednstnovn1zvraznn11">
    <w:name w:val="Střední stínování 1 – zvýraznění 11"/>
    <w:basedOn w:val="Normlntabulka"/>
    <w:uiPriority w:val="63"/>
    <w:rsid w:val="009B1596"/>
    <w:tblPr>
      <w:tblStyleRowBandSize w:val="1"/>
      <w:tblStyleColBandSize w:val="1"/>
      <w:tblBorders>
        <w:top w:val="single" w:sz="8" w:space="0" w:color="25D0FF"/>
        <w:left w:val="single" w:sz="8" w:space="0" w:color="25D0FF"/>
        <w:bottom w:val="single" w:sz="8" w:space="0" w:color="25D0FF"/>
        <w:right w:val="single" w:sz="8" w:space="0" w:color="25D0FF"/>
        <w:insideH w:val="single" w:sz="8" w:space="0" w:color="25D0F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25D0FF"/>
          <w:left w:val="single" w:sz="8" w:space="0" w:color="25D0FF"/>
          <w:bottom w:val="single" w:sz="8" w:space="0" w:color="25D0FF"/>
          <w:right w:val="single" w:sz="8" w:space="0" w:color="25D0FF"/>
          <w:insideH w:val="nil"/>
          <w:insideV w:val="nil"/>
        </w:tcBorders>
        <w:shd w:val="clear" w:color="auto" w:fill="00ADD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D0FF"/>
          <w:left w:val="single" w:sz="8" w:space="0" w:color="25D0FF"/>
          <w:bottom w:val="single" w:sz="8" w:space="0" w:color="25D0FF"/>
          <w:right w:val="single" w:sz="8" w:space="0" w:color="25D0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rsid w:val="006108B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BD74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BD74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BD74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mka3zvraznn2">
    <w:name w:val="Medium Grid 3 Accent 2"/>
    <w:basedOn w:val="Normlntabulka"/>
    <w:uiPriority w:val="69"/>
    <w:rsid w:val="006108B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2F5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BD74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BD74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BD74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BD74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5EB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5EBA2"/>
      </w:tcPr>
    </w:tblStylePr>
  </w:style>
  <w:style w:type="table" w:styleId="Tmavseznamzvraznn2">
    <w:name w:val="Dark List Accent 2"/>
    <w:basedOn w:val="Normlntabulka"/>
    <w:uiPriority w:val="70"/>
    <w:rsid w:val="006108B9"/>
    <w:rPr>
      <w:color w:val="FFFFFF"/>
    </w:rPr>
    <w:tblPr>
      <w:tblStyleRowBandSize w:val="1"/>
      <w:tblStyleColBandSize w:val="1"/>
    </w:tblPr>
    <w:tcPr>
      <w:shd w:val="clear" w:color="auto" w:fill="8BD74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47419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7AE2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7AE2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AE2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AE25"/>
      </w:tcPr>
    </w:tblStylePr>
  </w:style>
  <w:style w:type="table" w:styleId="Stednstnovn1zvraznn2">
    <w:name w:val="Medium Shading 1 Accent 2"/>
    <w:basedOn w:val="Normlntabulka"/>
    <w:uiPriority w:val="63"/>
    <w:rsid w:val="006108B9"/>
    <w:tblPr>
      <w:tblStyleRowBandSize w:val="1"/>
      <w:tblStyleColBandSize w:val="1"/>
      <w:tblBorders>
        <w:top w:val="single" w:sz="8" w:space="0" w:color="A7E173"/>
        <w:left w:val="single" w:sz="8" w:space="0" w:color="A7E173"/>
        <w:bottom w:val="single" w:sz="8" w:space="0" w:color="A7E173"/>
        <w:right w:val="single" w:sz="8" w:space="0" w:color="A7E173"/>
        <w:insideH w:val="single" w:sz="8" w:space="0" w:color="A7E173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A7E173"/>
          <w:left w:val="single" w:sz="8" w:space="0" w:color="A7E173"/>
          <w:bottom w:val="single" w:sz="8" w:space="0" w:color="A7E173"/>
          <w:right w:val="single" w:sz="8" w:space="0" w:color="A7E173"/>
          <w:insideH w:val="nil"/>
          <w:insideV w:val="nil"/>
        </w:tcBorders>
        <w:shd w:val="clear" w:color="auto" w:fill="8BD74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E173"/>
          <w:left w:val="single" w:sz="8" w:space="0" w:color="A7E173"/>
          <w:bottom w:val="single" w:sz="8" w:space="0" w:color="A7E173"/>
          <w:right w:val="single" w:sz="8" w:space="0" w:color="A7E17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5D0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5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mka3zvraznn1">
    <w:name w:val="Medium Grid 3 Accent 1"/>
    <w:basedOn w:val="Normlntabulka"/>
    <w:uiPriority w:val="69"/>
    <w:rsid w:val="006108B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B7EFF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ADDC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ADDC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ADDC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ADDC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6EDFF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6EDFFF"/>
      </w:tcPr>
    </w:tblStylePr>
  </w:style>
  <w:style w:type="table" w:customStyle="1" w:styleId="Stednstnovn2zvraznn11">
    <w:name w:val="Střední stínování 2 – zvýraznění 11"/>
    <w:basedOn w:val="Normlntabulka"/>
    <w:uiPriority w:val="64"/>
    <w:rsid w:val="006108B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D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DC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DD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2Text0">
    <w:name w:val="2 Text"/>
    <w:basedOn w:val="Normln"/>
    <w:link w:val="2TextChar0"/>
    <w:qFormat/>
    <w:rsid w:val="00532DF3"/>
    <w:pPr>
      <w:spacing w:before="120" w:after="120" w:line="288" w:lineRule="auto"/>
      <w:jc w:val="both"/>
    </w:pPr>
    <w:rPr>
      <w:rFonts w:ascii="Arial Narrow" w:hAnsi="Arial Narrow"/>
      <w:sz w:val="24"/>
      <w:szCs w:val="32"/>
      <w:lang w:val="x-none"/>
    </w:rPr>
  </w:style>
  <w:style w:type="character" w:customStyle="1" w:styleId="2TextChar0">
    <w:name w:val="2 Text Char"/>
    <w:link w:val="2Text0"/>
    <w:locked/>
    <w:rsid w:val="00532DF3"/>
    <w:rPr>
      <w:rFonts w:ascii="Arial Narrow" w:eastAsia="Calibri" w:hAnsi="Arial Narrow"/>
      <w:sz w:val="24"/>
      <w:szCs w:val="32"/>
      <w:lang w:eastAsia="en-US"/>
    </w:rPr>
  </w:style>
  <w:style w:type="character" w:styleId="Odkaznakoment">
    <w:name w:val="annotation reference"/>
    <w:uiPriority w:val="99"/>
    <w:semiHidden/>
    <w:unhideWhenUsed/>
    <w:rsid w:val="00532DF3"/>
    <w:rPr>
      <w:sz w:val="16"/>
      <w:szCs w:val="16"/>
    </w:rPr>
  </w:style>
  <w:style w:type="character" w:customStyle="1" w:styleId="Nadpis1Char">
    <w:name w:val="Nadpis 1 Char"/>
    <w:aliases w:val="1 Nadpis 1 Char1"/>
    <w:link w:val="Nadpis1"/>
    <w:rsid w:val="00FE4A4D"/>
    <w:rPr>
      <w:rFonts w:ascii="Arial Narrow" w:eastAsia="Calibri" w:hAnsi="Arial Narrow" w:cs="Arial"/>
      <w:b/>
      <w:bCs/>
      <w:kern w:val="32"/>
      <w:sz w:val="40"/>
      <w:szCs w:val="32"/>
      <w:lang w:eastAsia="en-US"/>
    </w:rPr>
  </w:style>
  <w:style w:type="character" w:styleId="Sledovanodkaz">
    <w:name w:val="FollowedHyperlink"/>
    <w:uiPriority w:val="99"/>
    <w:semiHidden/>
    <w:unhideWhenUsed/>
    <w:rsid w:val="00532DF3"/>
    <w:rPr>
      <w:color w:val="5F7791"/>
      <w:u w:val="single"/>
    </w:rPr>
  </w:style>
  <w:style w:type="character" w:customStyle="1" w:styleId="Nadpis1Char1">
    <w:name w:val="Nadpis 1 Char1"/>
    <w:aliases w:val="1 Nadpis 1 Char"/>
    <w:rsid w:val="00532DF3"/>
    <w:rPr>
      <w:rFonts w:ascii="Cambria" w:eastAsia="Times New Roman" w:hAnsi="Cambria" w:cs="Times New Roman"/>
      <w:b/>
      <w:bCs/>
      <w:color w:val="0081A4"/>
      <w:sz w:val="28"/>
      <w:szCs w:val="28"/>
      <w:lang w:eastAsia="en-US"/>
    </w:rPr>
  </w:style>
  <w:style w:type="character" w:customStyle="1" w:styleId="ZhlavChar">
    <w:name w:val="Záhlaví Char"/>
    <w:link w:val="Zhlav"/>
    <w:uiPriority w:val="99"/>
    <w:rsid w:val="00532DF3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ZpatChar">
    <w:name w:val="Zápatí Char"/>
    <w:link w:val="Zpat"/>
    <w:semiHidden/>
    <w:rsid w:val="00532DF3"/>
    <w:rPr>
      <w:rFonts w:ascii="Calibri" w:eastAsia="Calibri" w:hAnsi="Calibri" w:cs="Times New Roman"/>
      <w:sz w:val="22"/>
      <w:szCs w:val="22"/>
      <w:lang w:eastAsia="en-US"/>
    </w:rPr>
  </w:style>
  <w:style w:type="paragraph" w:styleId="Seznamobrzk">
    <w:name w:val="table of figures"/>
    <w:basedOn w:val="Normln"/>
    <w:next w:val="Normln"/>
    <w:uiPriority w:val="99"/>
    <w:unhideWhenUsed/>
    <w:rsid w:val="00532DF3"/>
    <w:pPr>
      <w:spacing w:after="0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2DF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32DF3"/>
    <w:rPr>
      <w:rFonts w:ascii="Calibri" w:eastAsia="Calibri" w:hAnsi="Calibri" w:cs="Times New Roman"/>
      <w:b/>
      <w:bCs/>
      <w:lang w:eastAsia="en-US"/>
    </w:rPr>
  </w:style>
  <w:style w:type="paragraph" w:styleId="Revize">
    <w:name w:val="Revision"/>
    <w:uiPriority w:val="99"/>
    <w:semiHidden/>
    <w:rsid w:val="00532DF3"/>
    <w:rPr>
      <w:rFonts w:ascii="Calibri" w:eastAsia="Calibri" w:hAnsi="Calibri"/>
      <w:sz w:val="22"/>
      <w:szCs w:val="22"/>
      <w:lang w:eastAsia="en-US"/>
    </w:rPr>
  </w:style>
  <w:style w:type="table" w:customStyle="1" w:styleId="Tmavtabulkasmkou5zvraznn11">
    <w:name w:val="Tmavá tabulka s mřížkou 5 – zvýraznění 11"/>
    <w:basedOn w:val="Normlntabulka"/>
    <w:uiPriority w:val="50"/>
    <w:rsid w:val="00532DF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5F2FF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ADDC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ADDC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ADDC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ADDC"/>
      </w:tcPr>
    </w:tblStylePr>
    <w:tblStylePr w:type="band1Vert">
      <w:tblPr/>
      <w:tcPr>
        <w:shd w:val="clear" w:color="auto" w:fill="8BE5FF"/>
      </w:tcPr>
    </w:tblStylePr>
    <w:tblStylePr w:type="band1Horz">
      <w:tblPr/>
      <w:tcPr>
        <w:shd w:val="clear" w:color="auto" w:fill="8BE5FF"/>
      </w:tcPr>
    </w:tblStylePr>
  </w:style>
  <w:style w:type="table" w:customStyle="1" w:styleId="Tabulkasmkou4zvraznn11">
    <w:name w:val="Tabulka s mřížkou 4 – zvýraznění 11"/>
    <w:basedOn w:val="Normlntabulka"/>
    <w:uiPriority w:val="49"/>
    <w:rsid w:val="00532DF3"/>
    <w:tblPr>
      <w:tblStyleRowBandSize w:val="1"/>
      <w:tblStyleColBandSize w:val="1"/>
      <w:tblBorders>
        <w:top w:val="single" w:sz="4" w:space="0" w:color="51D9FF"/>
        <w:left w:val="single" w:sz="4" w:space="0" w:color="51D9FF"/>
        <w:bottom w:val="single" w:sz="4" w:space="0" w:color="51D9FF"/>
        <w:right w:val="single" w:sz="4" w:space="0" w:color="51D9FF"/>
        <w:insideH w:val="single" w:sz="4" w:space="0" w:color="51D9FF"/>
        <w:insideV w:val="single" w:sz="4" w:space="0" w:color="51D9F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ADDC"/>
          <w:left w:val="single" w:sz="4" w:space="0" w:color="00ADDC"/>
          <w:bottom w:val="single" w:sz="4" w:space="0" w:color="00ADDC"/>
          <w:right w:val="single" w:sz="4" w:space="0" w:color="00ADDC"/>
          <w:insideH w:val="nil"/>
          <w:insideV w:val="nil"/>
        </w:tcBorders>
        <w:shd w:val="clear" w:color="auto" w:fill="00ADDC"/>
      </w:tcPr>
    </w:tblStylePr>
    <w:tblStylePr w:type="lastRow">
      <w:rPr>
        <w:b/>
        <w:bCs/>
      </w:rPr>
      <w:tblPr/>
      <w:tcPr>
        <w:tcBorders>
          <w:top w:val="double" w:sz="4" w:space="0" w:color="00A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/>
      </w:tcPr>
    </w:tblStylePr>
    <w:tblStylePr w:type="band1Horz">
      <w:tblPr/>
      <w:tcPr>
        <w:shd w:val="clear" w:color="auto" w:fill="C5F2FF"/>
      </w:tcPr>
    </w:tblStylePr>
  </w:style>
  <w:style w:type="paragraph" w:customStyle="1" w:styleId="1Podnadpis11">
    <w:name w:val="1 Podnadpis 1.1"/>
    <w:basedOn w:val="Nadpis2"/>
    <w:link w:val="1Podnadpis11Char"/>
    <w:qFormat/>
    <w:rsid w:val="000252FF"/>
    <w:pPr>
      <w:spacing w:before="360" w:after="360" w:line="240" w:lineRule="auto"/>
    </w:pPr>
    <w:rPr>
      <w:rFonts w:ascii="Arial Narrow" w:hAnsi="Arial Narrow"/>
      <w:b w:val="0"/>
      <w:bCs w:val="0"/>
      <w:sz w:val="36"/>
    </w:rPr>
  </w:style>
  <w:style w:type="paragraph" w:customStyle="1" w:styleId="1Podpodnadpis111">
    <w:name w:val="1 Podpodnadpis 1.1.1"/>
    <w:basedOn w:val="Nadpis3"/>
    <w:link w:val="1Podpodnadpis111Char"/>
    <w:qFormat/>
    <w:rsid w:val="000252FF"/>
    <w:pPr>
      <w:spacing w:before="240" w:after="240" w:line="240" w:lineRule="auto"/>
    </w:pPr>
    <w:rPr>
      <w:rFonts w:ascii="Arial Narrow" w:hAnsi="Arial Narrow"/>
      <w:b w:val="0"/>
      <w:bCs w:val="0"/>
      <w:sz w:val="28"/>
    </w:rPr>
  </w:style>
  <w:style w:type="character" w:customStyle="1" w:styleId="1Podnadpis11Char">
    <w:name w:val="1 Podnadpis 1.1 Char"/>
    <w:link w:val="1Podnadpis11"/>
    <w:rsid w:val="000252FF"/>
    <w:rPr>
      <w:rFonts w:ascii="Arial Narrow" w:eastAsia="Times New Roman" w:hAnsi="Arial Narrow" w:cs="Times New Roman"/>
      <w:b w:val="0"/>
      <w:bCs w:val="0"/>
      <w:color w:val="00ADDC"/>
      <w:sz w:val="36"/>
      <w:szCs w:val="26"/>
      <w:lang w:eastAsia="en-US"/>
    </w:rPr>
  </w:style>
  <w:style w:type="character" w:customStyle="1" w:styleId="1Podpodnadpis111Char">
    <w:name w:val="1 Podpodnadpis 1.1.1 Char"/>
    <w:link w:val="1Podpodnadpis111"/>
    <w:rsid w:val="000252FF"/>
    <w:rPr>
      <w:rFonts w:ascii="Arial Narrow" w:eastAsia="Times New Roman" w:hAnsi="Arial Narrow" w:cs="Times New Roman"/>
      <w:b w:val="0"/>
      <w:bCs w:val="0"/>
      <w:color w:val="00ADDC"/>
      <w:sz w:val="28"/>
      <w:szCs w:val="22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C2316"/>
    <w:rPr>
      <w:rFonts w:ascii="Cambria" w:eastAsia="Times New Roman" w:hAnsi="Cambria"/>
      <w:i/>
      <w:iCs/>
      <w:color w:val="00ADDC"/>
      <w:spacing w:val="15"/>
      <w:sz w:val="24"/>
      <w:szCs w:val="24"/>
      <w:lang w:val="x-none"/>
    </w:rPr>
  </w:style>
  <w:style w:type="character" w:customStyle="1" w:styleId="PodnadpisChar">
    <w:name w:val="Podnadpis Char"/>
    <w:link w:val="Podnadpis"/>
    <w:uiPriority w:val="11"/>
    <w:rsid w:val="00DC2316"/>
    <w:rPr>
      <w:rFonts w:ascii="Cambria" w:eastAsia="Times New Roman" w:hAnsi="Cambria" w:cs="Times New Roman"/>
      <w:i/>
      <w:iCs/>
      <w:color w:val="00ADDC"/>
      <w:spacing w:val="15"/>
      <w:sz w:val="24"/>
      <w:szCs w:val="24"/>
      <w:lang w:eastAsia="en-US"/>
    </w:rPr>
  </w:style>
  <w:style w:type="paragraph" w:customStyle="1" w:styleId="11Podnadpis0">
    <w:name w:val="1.1 Podnadpis"/>
    <w:basedOn w:val="1Nadpis"/>
    <w:qFormat/>
    <w:rsid w:val="009E7CB2"/>
    <w:pPr>
      <w:pBdr>
        <w:bottom w:val="none" w:sz="0" w:space="0" w:color="auto"/>
      </w:pBdr>
      <w:spacing w:before="360" w:after="360"/>
      <w:ind w:left="576" w:hanging="576"/>
    </w:pPr>
    <w:rPr>
      <w:sz w:val="36"/>
      <w:szCs w:val="36"/>
    </w:rPr>
  </w:style>
  <w:style w:type="paragraph" w:customStyle="1" w:styleId="111Podpodnadpis0">
    <w:name w:val="1.1.1 Podpodnadpis"/>
    <w:basedOn w:val="11Podnadpis0"/>
    <w:link w:val="111PodpodnadpisChar0"/>
    <w:qFormat/>
    <w:rsid w:val="009E7CB2"/>
    <w:pPr>
      <w:spacing w:before="240" w:after="240"/>
      <w:ind w:left="720" w:hanging="720"/>
    </w:pPr>
    <w:rPr>
      <w:sz w:val="28"/>
    </w:rPr>
  </w:style>
  <w:style w:type="character" w:customStyle="1" w:styleId="111PodpodnadpisChar0">
    <w:name w:val="1.1.1 Podpodnadpis Char"/>
    <w:link w:val="111Podpodnadpis0"/>
    <w:rsid w:val="009E7CB2"/>
    <w:rPr>
      <w:rFonts w:ascii="Arial Narrow" w:hAnsi="Arial Narrow"/>
      <w:b/>
      <w:bCs/>
      <w:sz w:val="28"/>
      <w:szCs w:val="36"/>
      <w:lang w:eastAsia="ar-SA"/>
    </w:rPr>
  </w:style>
  <w:style w:type="table" w:customStyle="1" w:styleId="Tabulkasmkou4zvraznn21">
    <w:name w:val="Tabulka s mřížkou 4 – zvýraznění 21"/>
    <w:basedOn w:val="Normlntabulka"/>
    <w:uiPriority w:val="49"/>
    <w:rsid w:val="00D0791F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9E78F"/>
        <w:left w:val="single" w:sz="4" w:space="0" w:color="B9E78F"/>
        <w:bottom w:val="single" w:sz="4" w:space="0" w:color="B9E78F"/>
        <w:right w:val="single" w:sz="4" w:space="0" w:color="B9E78F"/>
        <w:insideH w:val="single" w:sz="4" w:space="0" w:color="B9E78F"/>
        <w:insideV w:val="single" w:sz="4" w:space="0" w:color="B9E78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BD745"/>
          <w:left w:val="single" w:sz="4" w:space="0" w:color="8BD745"/>
          <w:bottom w:val="single" w:sz="4" w:space="0" w:color="8BD745"/>
          <w:right w:val="single" w:sz="4" w:space="0" w:color="8BD745"/>
          <w:insideH w:val="nil"/>
          <w:insideV w:val="nil"/>
        </w:tcBorders>
        <w:shd w:val="clear" w:color="auto" w:fill="8BD745"/>
      </w:tcPr>
    </w:tblStylePr>
    <w:tblStylePr w:type="lastRow">
      <w:rPr>
        <w:b/>
        <w:bCs/>
      </w:rPr>
      <w:tblPr/>
      <w:tcPr>
        <w:tcBorders>
          <w:top w:val="double" w:sz="4" w:space="0" w:color="8BD74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7D9"/>
      </w:tcPr>
    </w:tblStylePr>
    <w:tblStylePr w:type="band1Horz">
      <w:tblPr/>
      <w:tcPr>
        <w:shd w:val="clear" w:color="auto" w:fill="E7F7D9"/>
      </w:tcPr>
    </w:tblStylePr>
  </w:style>
  <w:style w:type="table" w:styleId="Mkatabulky">
    <w:name w:val="Table Grid"/>
    <w:basedOn w:val="Normlntabulka"/>
    <w:uiPriority w:val="59"/>
    <w:rsid w:val="00D07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D52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itgraf">
    <w:name w:val="Tit. graf"/>
    <w:qFormat/>
    <w:rsid w:val="00CF6CD0"/>
    <w:pPr>
      <w:spacing w:after="40" w:line="276" w:lineRule="auto"/>
    </w:pPr>
    <w:rPr>
      <w:rFonts w:ascii="Arial" w:hAnsi="Arial"/>
      <w:b/>
    </w:rPr>
  </w:style>
  <w:style w:type="table" w:customStyle="1" w:styleId="Kalend2">
    <w:name w:val="Kalendář 2"/>
    <w:basedOn w:val="Normlntabulka"/>
    <w:uiPriority w:val="99"/>
    <w:qFormat/>
    <w:rsid w:val="007B7E66"/>
    <w:pPr>
      <w:jc w:val="center"/>
    </w:pPr>
    <w:rPr>
      <w:rFonts w:asciiTheme="minorHAnsi" w:eastAsiaTheme="minorEastAsia" w:hAnsiTheme="minorHAnsi" w:cstheme="minorBidi"/>
      <w:sz w:val="28"/>
      <w:szCs w:val="28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ulkasmkou2zvraznn11">
    <w:name w:val="Tabulka s mřížkou 2 – zvýraznění 11"/>
    <w:basedOn w:val="Normlntabulka"/>
    <w:uiPriority w:val="47"/>
    <w:rsid w:val="00FB0011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Default">
    <w:name w:val="Default"/>
    <w:rsid w:val="002138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255FE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55FEA"/>
    <w:rPr>
      <w:sz w:val="24"/>
      <w:szCs w:val="24"/>
    </w:rPr>
  </w:style>
  <w:style w:type="table" w:styleId="Tabulkasmkou2zvraznn1">
    <w:name w:val="Grid Table 2 Accent 1"/>
    <w:basedOn w:val="Normlntabulka"/>
    <w:uiPriority w:val="47"/>
    <w:rsid w:val="00A85ABC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A85ABC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normaltextrun">
    <w:name w:val="normaltextrun"/>
    <w:basedOn w:val="Standardnpsmoodstavce"/>
    <w:rsid w:val="00E31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488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629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1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8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53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4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1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71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3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0280">
          <w:marLeft w:val="15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414">
          <w:marLeft w:val="15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8050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438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989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42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059">
          <w:marLeft w:val="15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2639">
          <w:marLeft w:val="15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58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32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7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17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34748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6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8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08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5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56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4151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53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0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3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677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7153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3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51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06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chart" Target="charts/chart6.xml"/><Relationship Id="rId26" Type="http://schemas.openxmlformats.org/officeDocument/2006/relationships/chart" Target="charts/chart10.xml"/><Relationship Id="rId39" Type="http://schemas.openxmlformats.org/officeDocument/2006/relationships/image" Target="cid:image001.jpg@01D9D9A6.D6B428F0" TargetMode="External"/><Relationship Id="rId21" Type="http://schemas.openxmlformats.org/officeDocument/2006/relationships/image" Target="media/image4.png"/><Relationship Id="rId34" Type="http://schemas.openxmlformats.org/officeDocument/2006/relationships/chart" Target="charts/chart17.xml"/><Relationship Id="rId42" Type="http://schemas.openxmlformats.org/officeDocument/2006/relationships/footer" Target="footer2.xml"/><Relationship Id="rId47" Type="http://schemas.microsoft.com/office/2016/09/relationships/commentsIds" Target="commentsIds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chart" Target="charts/chart4.xml"/><Relationship Id="rId29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chart" Target="charts/chart8.xml"/><Relationship Id="rId32" Type="http://schemas.openxmlformats.org/officeDocument/2006/relationships/image" Target="media/image6.png"/><Relationship Id="rId37" Type="http://schemas.openxmlformats.org/officeDocument/2006/relationships/hyperlink" Target="https://www.czso.cz/csu/czso/prijmy-a-zivotni-podminky-domacnosti-2023" TargetMode="External"/><Relationship Id="rId40" Type="http://schemas.openxmlformats.org/officeDocument/2006/relationships/header" Target="header1.xml"/><Relationship Id="rId45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chart" Target="charts/chart3.xml"/><Relationship Id="rId23" Type="http://schemas.openxmlformats.org/officeDocument/2006/relationships/image" Target="media/image5.png"/><Relationship Id="rId28" Type="http://schemas.openxmlformats.org/officeDocument/2006/relationships/chart" Target="charts/chart12.xml"/><Relationship Id="rId36" Type="http://schemas.openxmlformats.org/officeDocument/2006/relationships/chart" Target="charts/chart19.xml"/><Relationship Id="rId10" Type="http://schemas.openxmlformats.org/officeDocument/2006/relationships/endnotes" Target="endnotes.xml"/><Relationship Id="rId19" Type="http://schemas.openxmlformats.org/officeDocument/2006/relationships/chart" Target="charts/chart7.xml"/><Relationship Id="rId31" Type="http://schemas.openxmlformats.org/officeDocument/2006/relationships/chart" Target="charts/chart15.xml"/><Relationship Id="rId4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2.xml"/><Relationship Id="rId22" Type="http://schemas.openxmlformats.org/officeDocument/2006/relationships/hyperlink" Target="https://ec.europa.eu/eurostat/databrowser/view/tespm010/default/table?lang=en" TargetMode="External"/><Relationship Id="rId27" Type="http://schemas.openxmlformats.org/officeDocument/2006/relationships/chart" Target="charts/chart11.xml"/><Relationship Id="rId30" Type="http://schemas.openxmlformats.org/officeDocument/2006/relationships/chart" Target="charts/chart14.xml"/><Relationship Id="rId35" Type="http://schemas.openxmlformats.org/officeDocument/2006/relationships/chart" Target="charts/chart18.xml"/><Relationship Id="rId43" Type="http://schemas.openxmlformats.org/officeDocument/2006/relationships/header" Target="header2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chart" Target="charts/chart1.xml"/><Relationship Id="rId17" Type="http://schemas.openxmlformats.org/officeDocument/2006/relationships/chart" Target="charts/chart5.xml"/><Relationship Id="rId25" Type="http://schemas.openxmlformats.org/officeDocument/2006/relationships/chart" Target="charts/chart9.xml"/><Relationship Id="rId33" Type="http://schemas.openxmlformats.org/officeDocument/2006/relationships/chart" Target="charts/chart16.xml"/><Relationship Id="rId38" Type="http://schemas.openxmlformats.org/officeDocument/2006/relationships/image" Target="media/image7.jpeg"/><Relationship Id="rId46" Type="http://schemas.microsoft.com/office/2018/08/relationships/commentsExtensible" Target="commentsExtensible.xml"/><Relationship Id="rId20" Type="http://schemas.openxmlformats.org/officeDocument/2006/relationships/image" Target="media/image3.png"/><Relationship Id="rId41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otlacilova35131\MOJE\Tiskovka\TK_%20SILC%202023\Podklady_zaklad_cast%201_20240216.xlsx" TargetMode="Externa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otlacilova35131\MOJE\Tiskovka\TK_%20SILC%202023\Kopie%20-%20Podklady_zaklad_cast%201_20240202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otlacilova35131\MOJE\Tiskovka\TK_%20SILC%202023\Podklady_zaklad_cast%201_20240202.xlsx" TargetMode="Externa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chartUserShapes" Target="../drawings/drawing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otlacilova35131\MOJE\Tiskovka\TK_%20SILC%202023\Podklady_zaklad_cast%201_20240216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inhartova43761\AppData\Local\Microsoft\Windows\INetCache\Content.Outlook\6IXSCN4Q\Zatez%20naklady%20na%20bydleni_nova%20verze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1.xml"/><Relationship Id="rId1" Type="http://schemas.microsoft.com/office/2011/relationships/chartStyle" Target="style11.xml"/><Relationship Id="rId4" Type="http://schemas.openxmlformats.org/officeDocument/2006/relationships/package" Target="../embeddings/List_aplikace_Microsoft_Excel.xlsx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inhartova43761\AppData\Local\Microsoft\Windows\INetCache\Content.Outlook\6IXSCN4Q\Podklady_pro_infografiku_Merinska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13.xml"/><Relationship Id="rId1" Type="http://schemas.microsoft.com/office/2011/relationships/chartStyle" Target="style13.xml"/><Relationship Id="rId4" Type="http://schemas.openxmlformats.org/officeDocument/2006/relationships/package" Target="../embeddings/List_aplikace_Microsoft_Excel1.xlsx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inhartova43761\Downloads\03_Kde_respondent_vyrustal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inhartova43761\AppData\Local\Microsoft\Windows\INetCache\Content.Outlook\6IXSCN4Q\Podklady_pro_infografiku_Merinska%20(002)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16.xml"/><Relationship Id="rId1" Type="http://schemas.microsoft.com/office/2011/relationships/chartStyle" Target="style16.xml"/><Relationship Id="rId4" Type="http://schemas.openxmlformats.org/officeDocument/2006/relationships/package" Target="../embeddings/List_aplikace_Microsoft_Excel2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otlacilova35131\MOJE\Tiskovka\TK_%20SILC%202023\Podklady_zaklad_cast%201_20240216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otlacilova35131\Downloads\Podklady_zaklad_cast%201_2024022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otlacilova35131\MOJE\Tiskovka\TK_%20SILC%202023\Podklady_zakladni_dotaznky_23_12_20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otlacilova35131\MOJE\Tiskovka\TK_%20SILC%202023\Podklady_zaklad_cast%201_20240221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vornakova1582\Documents\SILC_2023\TK2023\Podklady_zaklad_cast%201_20240221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otlacilova35131\MOJE\Tiskovka\TK_%20SILC%202023\Podklady_zaklad_cast%201_20240216.xlsx" TargetMode="Externa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inhartova43761\Desktop\TK_SILC2023\mat.%20a%20soc.%20deprivace%20dle%20typu%20dom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otlacilova35131\MOJE\Tiskovka\TK_%20SILC%202023\Kopie%20-%20Podklady_zaklad_cast%201_20240202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677339327520555"/>
          <c:y val="3.1086335959473639E-2"/>
          <c:w val="0.78491921936793452"/>
          <c:h val="0.8121769302525041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'Průměrný příjem na osobu'!$B$1</c:f>
              <c:strCache>
                <c:ptCount val="1"/>
                <c:pt idx="0">
                  <c:v>průměrný příjem na osobu</c:v>
                </c:pt>
              </c:strCache>
            </c:strRef>
          </c:tx>
          <c:spPr>
            <a:solidFill>
              <a:srgbClr val="00558E"/>
            </a:solidFill>
          </c:spPr>
          <c:invertIfNegative val="0"/>
          <c:dLbls>
            <c:numFmt formatCode="#,##0.0" sourceLinked="0"/>
            <c:spPr>
              <a:solidFill>
                <a:sysClr val="window" lastClr="FFFFFF"/>
              </a:solidFill>
              <a:ln>
                <a:solidFill>
                  <a:srgbClr val="00558E"/>
                </a:solidFill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'Průměrný příjem na osobu'!$A$10:$A$19</c:f>
              <c:numCache>
                <c:formatCode>General</c:formatCode>
                <c:ptCount val="10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  <c:pt idx="9">
                  <c:v>2022</c:v>
                </c:pt>
              </c:numCache>
            </c:numRef>
          </c:cat>
          <c:val>
            <c:numRef>
              <c:f>'Průměrný příjem na osobu'!$B$10:$B$19</c:f>
              <c:numCache>
                <c:formatCode>#,##0</c:formatCode>
                <c:ptCount val="10"/>
                <c:pt idx="0">
                  <c:v>153269</c:v>
                </c:pt>
                <c:pt idx="1">
                  <c:v>157623</c:v>
                </c:pt>
                <c:pt idx="2">
                  <c:v>164852.49</c:v>
                </c:pt>
                <c:pt idx="3">
                  <c:v>172173.34</c:v>
                </c:pt>
                <c:pt idx="4">
                  <c:v>182443</c:v>
                </c:pt>
                <c:pt idx="5">
                  <c:v>195071</c:v>
                </c:pt>
                <c:pt idx="6">
                  <c:v>209753.76</c:v>
                </c:pt>
                <c:pt idx="7">
                  <c:v>220106.33</c:v>
                </c:pt>
                <c:pt idx="8">
                  <c:v>241160.5</c:v>
                </c:pt>
                <c:pt idx="9">
                  <c:v>259850.12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AF-4000-84DE-F08690FC30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85609472"/>
        <c:axId val="85635840"/>
      </c:barChart>
      <c:lineChart>
        <c:grouping val="standard"/>
        <c:varyColors val="0"/>
        <c:ser>
          <c:idx val="2"/>
          <c:order val="1"/>
          <c:tx>
            <c:strRef>
              <c:f>'Průměrný příjem na osobu'!$C$1</c:f>
              <c:strCache>
                <c:ptCount val="1"/>
                <c:pt idx="0">
                  <c:v>meziroční růst příjmů</c:v>
                </c:pt>
              </c:strCache>
            </c:strRef>
          </c:tx>
          <c:spPr>
            <a:ln w="19050">
              <a:noFill/>
            </a:ln>
          </c:spPr>
          <c:marker>
            <c:symbol val="diamond"/>
            <c:size val="14"/>
            <c:spPr>
              <a:solidFill>
                <a:srgbClr val="BD1B21"/>
              </a:solidFill>
              <a:ln>
                <a:solidFill>
                  <a:srgbClr val="C00000"/>
                </a:solidFill>
              </a:ln>
            </c:spPr>
          </c:marker>
          <c:dLbls>
            <c:spPr>
              <a:noFill/>
              <a:ln>
                <a:solidFill>
                  <a:srgbClr val="C00000"/>
                </a:solidFill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'Průměrný příjem na osobu'!$A$10:$A$19</c:f>
              <c:numCache>
                <c:formatCode>General</c:formatCode>
                <c:ptCount val="10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  <c:pt idx="9">
                  <c:v>2022</c:v>
                </c:pt>
              </c:numCache>
            </c:numRef>
          </c:cat>
          <c:val>
            <c:numRef>
              <c:f>'Průměrný příjem na osobu'!$C$10:$C$19</c:f>
              <c:numCache>
                <c:formatCode>0.0</c:formatCode>
                <c:ptCount val="10"/>
                <c:pt idx="0">
                  <c:v>102.35880243360025</c:v>
                </c:pt>
                <c:pt idx="1">
                  <c:v>102.84075710026164</c:v>
                </c:pt>
                <c:pt idx="2">
                  <c:v>104.58657048780951</c:v>
                </c:pt>
                <c:pt idx="3">
                  <c:v>104.44084890680148</c:v>
                </c:pt>
                <c:pt idx="4">
                  <c:v>105.96472136743122</c:v>
                </c:pt>
                <c:pt idx="5">
                  <c:v>106.92161387392227</c:v>
                </c:pt>
                <c:pt idx="6">
                  <c:v>107.52687995652866</c:v>
                </c:pt>
                <c:pt idx="7">
                  <c:v>104.93558256118985</c:v>
                </c:pt>
                <c:pt idx="8">
                  <c:v>109.56545411483623</c:v>
                </c:pt>
                <c:pt idx="9">
                  <c:v>107.7498678266134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AAF-4000-84DE-F08690FC30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5066880"/>
        <c:axId val="85638144"/>
      </c:lineChart>
      <c:catAx>
        <c:axId val="856094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solidFill>
              <a:srgbClr val="D9D9D9"/>
            </a:solidFill>
          </a:ln>
        </c:spPr>
        <c:txPr>
          <a:bodyPr/>
          <a:lstStyle/>
          <a:p>
            <a:pPr>
              <a:defRPr sz="9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cs-CZ"/>
          </a:p>
        </c:txPr>
        <c:crossAx val="85635840"/>
        <c:crosses val="autoZero"/>
        <c:auto val="1"/>
        <c:lblAlgn val="ctr"/>
        <c:lblOffset val="100"/>
        <c:noMultiLvlLbl val="0"/>
      </c:catAx>
      <c:valAx>
        <c:axId val="85635840"/>
        <c:scaling>
          <c:orientation val="minMax"/>
          <c:max val="350000"/>
        </c:scaling>
        <c:delete val="0"/>
        <c:axPos val="l"/>
        <c:majorGridlines>
          <c:spPr>
            <a:ln>
              <a:solidFill>
                <a:srgbClr val="D9D9D9"/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 sz="900" b="0">
                    <a:solidFill>
                      <a:srgbClr val="00558E"/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r>
                  <a:rPr lang="cs-CZ" sz="900" b="0">
                    <a:solidFill>
                      <a:srgbClr val="00558E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Čisté roční příjmy na osobu (</a:t>
                </a:r>
                <a:r>
                  <a:rPr lang="en-US" sz="900" b="0">
                    <a:solidFill>
                      <a:srgbClr val="00558E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v tis. Kč</a:t>
                </a:r>
                <a:r>
                  <a:rPr lang="cs-CZ" sz="900" b="0">
                    <a:solidFill>
                      <a:srgbClr val="00558E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)</a:t>
                </a:r>
                <a:endParaRPr lang="en-US" sz="900" b="0">
                  <a:solidFill>
                    <a:srgbClr val="00558E"/>
                  </a:solidFill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layout>
            <c:manualLayout>
              <c:xMode val="edge"/>
              <c:yMode val="edge"/>
              <c:x val="4.4392402402426649E-3"/>
              <c:y val="0.16808026641470689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spPr>
          <a:ln>
            <a:solidFill>
              <a:srgbClr val="D9D9D9"/>
            </a:solidFill>
          </a:ln>
        </c:spPr>
        <c:txPr>
          <a:bodyPr/>
          <a:lstStyle/>
          <a:p>
            <a:pPr>
              <a:defRPr sz="900">
                <a:solidFill>
                  <a:srgbClr val="00558E"/>
                </a:solidFill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cs-CZ"/>
          </a:p>
        </c:txPr>
        <c:crossAx val="85609472"/>
        <c:crosses val="autoZero"/>
        <c:crossBetween val="between"/>
        <c:dispUnits>
          <c:builtInUnit val="thousands"/>
        </c:dispUnits>
      </c:valAx>
      <c:valAx>
        <c:axId val="85638144"/>
        <c:scaling>
          <c:orientation val="minMax"/>
          <c:max val="115"/>
          <c:min val="80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 sz="900" b="0">
                    <a:solidFill>
                      <a:srgbClr val="BD1B21"/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r>
                  <a:rPr lang="cs-CZ" sz="900" b="0">
                    <a:solidFill>
                      <a:srgbClr val="BD1B21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Meziroční</a:t>
                </a:r>
                <a:r>
                  <a:rPr lang="cs-CZ" sz="900" b="0" baseline="0">
                    <a:solidFill>
                      <a:srgbClr val="BD1B21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 r</a:t>
                </a:r>
                <a:r>
                  <a:rPr lang="cs-CZ" sz="900" b="0">
                    <a:solidFill>
                      <a:srgbClr val="BD1B21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ůst příjmů (</a:t>
                </a:r>
                <a:r>
                  <a:rPr lang="en-US" sz="900" b="0">
                    <a:solidFill>
                      <a:srgbClr val="BD1B21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v %</a:t>
                </a:r>
                <a:r>
                  <a:rPr lang="cs-CZ" sz="900" b="0">
                    <a:solidFill>
                      <a:srgbClr val="BD1B21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)</a:t>
                </a:r>
                <a:endParaRPr lang="en-US" sz="900" b="0">
                  <a:solidFill>
                    <a:srgbClr val="BD1B21"/>
                  </a:solidFill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layout>
            <c:manualLayout>
              <c:xMode val="edge"/>
              <c:yMode val="edge"/>
              <c:x val="0.96002057523916995"/>
              <c:y val="0.2594821398810806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spPr>
          <a:ln>
            <a:solidFill>
              <a:srgbClr val="D9D9D9"/>
            </a:solidFill>
          </a:ln>
        </c:spPr>
        <c:txPr>
          <a:bodyPr/>
          <a:lstStyle/>
          <a:p>
            <a:pPr>
              <a:defRPr sz="900">
                <a:solidFill>
                  <a:srgbClr val="BD1B21"/>
                </a:solidFill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cs-CZ"/>
          </a:p>
        </c:txPr>
        <c:crossAx val="85066880"/>
        <c:crosses val="max"/>
        <c:crossBetween val="between"/>
      </c:valAx>
      <c:catAx>
        <c:axId val="8506688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85638144"/>
        <c:crosses val="autoZero"/>
        <c:auto val="1"/>
        <c:lblAlgn val="ctr"/>
        <c:lblOffset val="100"/>
        <c:noMultiLvlLbl val="0"/>
      </c:catAx>
      <c:spPr>
        <a:ln>
          <a:solidFill>
            <a:schemeClr val="bg1">
              <a:lumMod val="6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0.10479648692537236"/>
          <c:y val="0.92841140111197618"/>
          <c:w val="0.79040691851565936"/>
          <c:h val="5.8863696253569985E-2"/>
        </c:manualLayout>
      </c:layout>
      <c:overlay val="0"/>
      <c:spPr>
        <a:solidFill>
          <a:sysClr val="window" lastClr="FFFFFF"/>
        </a:solidFill>
        <a:ln>
          <a:solidFill>
            <a:srgbClr val="D9D9D9"/>
          </a:solidFill>
        </a:ln>
      </c:spPr>
      <c:txPr>
        <a:bodyPr/>
        <a:lstStyle/>
        <a:p>
          <a:pPr>
            <a:defRPr sz="900">
              <a:latin typeface="Arial" panose="020B0604020202020204" pitchFamily="34" charset="0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800"/>
      </a:pPr>
      <a:endParaRPr lang="cs-CZ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25657532808399"/>
          <c:y val="4.2998154642434401E-2"/>
          <c:w val="0.87791722834645669"/>
          <c:h val="0.63701722832716945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'Naklady na bydlení_položky'!$B$3</c:f>
              <c:strCache>
                <c:ptCount val="1"/>
                <c:pt idx="0">
                  <c:v>nájemné, úhrada za užívání bytu</c:v>
                </c:pt>
              </c:strCache>
            </c:strRef>
          </c:tx>
          <c:spPr>
            <a:solidFill>
              <a:srgbClr val="00558E"/>
            </a:solidFill>
            <a:ln>
              <a:noFill/>
            </a:ln>
            <a:effectLst/>
          </c:spPr>
          <c:invertIfNegative val="0"/>
          <c:cat>
            <c:strRef>
              <c:f>'Naklady na bydlení_položky'!$C$2:$G$2</c:f>
              <c:strCache>
                <c:ptCount val="5"/>
                <c:pt idx="0">
                  <c:v>celkem</c:v>
                </c:pt>
                <c:pt idx="1">
                  <c:v>vlastní dům</c:v>
                </c:pt>
                <c:pt idx="2">
                  <c:v>byt v osobním vlastnictví</c:v>
                </c:pt>
                <c:pt idx="3">
                  <c:v>nájemní
bydlení</c:v>
                </c:pt>
                <c:pt idx="4">
                  <c:v>bydlení
u příbuzných, známých</c:v>
                </c:pt>
              </c:strCache>
            </c:strRef>
          </c:cat>
          <c:val>
            <c:numRef>
              <c:f>'Naklady na bydlení_položky'!$C$3:$G$3</c:f>
              <c:numCache>
                <c:formatCode>General</c:formatCode>
                <c:ptCount val="5"/>
                <c:pt idx="0">
                  <c:v>1768.8</c:v>
                </c:pt>
                <c:pt idx="1">
                  <c:v>74.7</c:v>
                </c:pt>
                <c:pt idx="2">
                  <c:v>1688.52</c:v>
                </c:pt>
                <c:pt idx="3">
                  <c:v>5306.17</c:v>
                </c:pt>
                <c:pt idx="4">
                  <c:v>607.04999999999995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5B-4271-BEA8-341512366927}"/>
            </c:ext>
          </c:extLst>
        </c:ser>
        <c:ser>
          <c:idx val="1"/>
          <c:order val="1"/>
          <c:tx>
            <c:strRef>
              <c:f>'Naklady na bydlení_položky'!$B$4</c:f>
              <c:strCache>
                <c:ptCount val="1"/>
                <c:pt idx="0">
                  <c:v>elektřina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cat>
            <c:strRef>
              <c:f>'Naklady na bydlení_položky'!$C$2:$G$2</c:f>
              <c:strCache>
                <c:ptCount val="5"/>
                <c:pt idx="0">
                  <c:v>celkem</c:v>
                </c:pt>
                <c:pt idx="1">
                  <c:v>vlastní dům</c:v>
                </c:pt>
                <c:pt idx="2">
                  <c:v>byt v osobním vlastnictví</c:v>
                </c:pt>
                <c:pt idx="3">
                  <c:v>nájemní
bydlení</c:v>
                </c:pt>
                <c:pt idx="4">
                  <c:v>bydlení
u příbuzných, známých</c:v>
                </c:pt>
              </c:strCache>
            </c:strRef>
          </c:cat>
          <c:val>
            <c:numRef>
              <c:f>'Naklady na bydlení_položky'!$C$4:$G$4</c:f>
              <c:numCache>
                <c:formatCode>General</c:formatCode>
                <c:ptCount val="5"/>
                <c:pt idx="0">
                  <c:v>2493.92</c:v>
                </c:pt>
                <c:pt idx="1">
                  <c:v>3277.96</c:v>
                </c:pt>
                <c:pt idx="2">
                  <c:v>1656.91</c:v>
                </c:pt>
                <c:pt idx="3">
                  <c:v>2524.8000000000002</c:v>
                </c:pt>
                <c:pt idx="4">
                  <c:v>2158.38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D5B-4271-BEA8-341512366927}"/>
            </c:ext>
          </c:extLst>
        </c:ser>
        <c:ser>
          <c:idx val="2"/>
          <c:order val="2"/>
          <c:tx>
            <c:strRef>
              <c:f>'Naklady na bydlení_položky'!$B$5</c:f>
              <c:strCache>
                <c:ptCount val="1"/>
                <c:pt idx="0">
                  <c:v>vodné a stočné</c:v>
                </c:pt>
              </c:strCache>
            </c:strRef>
          </c:tx>
          <c:spPr>
            <a:solidFill>
              <a:srgbClr val="66FFFF"/>
            </a:solidFill>
            <a:ln>
              <a:noFill/>
            </a:ln>
            <a:effectLst/>
          </c:spPr>
          <c:invertIfNegative val="0"/>
          <c:cat>
            <c:strRef>
              <c:f>'Naklady na bydlení_položky'!$C$2:$G$2</c:f>
              <c:strCache>
                <c:ptCount val="5"/>
                <c:pt idx="0">
                  <c:v>celkem</c:v>
                </c:pt>
                <c:pt idx="1">
                  <c:v>vlastní dům</c:v>
                </c:pt>
                <c:pt idx="2">
                  <c:v>byt v osobním vlastnictví</c:v>
                </c:pt>
                <c:pt idx="3">
                  <c:v>nájemní
bydlení</c:v>
                </c:pt>
                <c:pt idx="4">
                  <c:v>bydlení
u příbuzných, známých</c:v>
                </c:pt>
              </c:strCache>
            </c:strRef>
          </c:cat>
          <c:val>
            <c:numRef>
              <c:f>'Naklady na bydlení_položky'!$C$5:$G$5</c:f>
              <c:numCache>
                <c:formatCode>General</c:formatCode>
                <c:ptCount val="5"/>
                <c:pt idx="0">
                  <c:v>739.26</c:v>
                </c:pt>
                <c:pt idx="1">
                  <c:v>693.05</c:v>
                </c:pt>
                <c:pt idx="2">
                  <c:v>772.29</c:v>
                </c:pt>
                <c:pt idx="3">
                  <c:v>836.2</c:v>
                </c:pt>
                <c:pt idx="4">
                  <c:v>509.39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D5B-4271-BEA8-341512366927}"/>
            </c:ext>
          </c:extLst>
        </c:ser>
        <c:ser>
          <c:idx val="3"/>
          <c:order val="3"/>
          <c:tx>
            <c:strRef>
              <c:f>'Naklady na bydlení_položky'!$B$6</c:f>
              <c:strCache>
                <c:ptCount val="1"/>
                <c:pt idx="0">
                  <c:v>plyn z dálkového zdroje</c:v>
                </c:pt>
              </c:strCache>
            </c:strRef>
          </c:tx>
          <c:spPr>
            <a:solidFill>
              <a:srgbClr val="FFCC66"/>
            </a:solidFill>
            <a:ln>
              <a:noFill/>
            </a:ln>
            <a:effectLst/>
          </c:spPr>
          <c:invertIfNegative val="0"/>
          <c:cat>
            <c:strRef>
              <c:f>'Naklady na bydlení_položky'!$C$2:$G$2</c:f>
              <c:strCache>
                <c:ptCount val="5"/>
                <c:pt idx="0">
                  <c:v>celkem</c:v>
                </c:pt>
                <c:pt idx="1">
                  <c:v>vlastní dům</c:v>
                </c:pt>
                <c:pt idx="2">
                  <c:v>byt v osobním vlastnictví</c:v>
                </c:pt>
                <c:pt idx="3">
                  <c:v>nájemní
bydlení</c:v>
                </c:pt>
                <c:pt idx="4">
                  <c:v>bydlení
u příbuzných, známých</c:v>
                </c:pt>
              </c:strCache>
            </c:strRef>
          </c:cat>
          <c:val>
            <c:numRef>
              <c:f>'Naklady na bydlení_položky'!$C$6:$G$6</c:f>
              <c:numCache>
                <c:formatCode>General</c:formatCode>
                <c:ptCount val="5"/>
                <c:pt idx="0">
                  <c:v>1472.35</c:v>
                </c:pt>
                <c:pt idx="1">
                  <c:v>2245.5</c:v>
                </c:pt>
                <c:pt idx="2">
                  <c:v>849.79</c:v>
                </c:pt>
                <c:pt idx="3">
                  <c:v>1092.32</c:v>
                </c:pt>
                <c:pt idx="4">
                  <c:v>1425.05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D5B-4271-BEA8-341512366927}"/>
            </c:ext>
          </c:extLst>
        </c:ser>
        <c:ser>
          <c:idx val="4"/>
          <c:order val="4"/>
          <c:tx>
            <c:strRef>
              <c:f>'Naklady na bydlení_položky'!$B$7</c:f>
              <c:strCache>
                <c:ptCount val="1"/>
                <c:pt idx="0">
                  <c:v>ústřední topení, teplá voda</c:v>
                </c:pt>
              </c:strCache>
            </c:strRef>
          </c:tx>
          <c:spPr>
            <a:solidFill>
              <a:srgbClr val="FF7C80"/>
            </a:solidFill>
            <a:ln>
              <a:noFill/>
            </a:ln>
            <a:effectLst/>
          </c:spPr>
          <c:invertIfNegative val="0"/>
          <c:cat>
            <c:strRef>
              <c:f>'Naklady na bydlení_položky'!$C$2:$G$2</c:f>
              <c:strCache>
                <c:ptCount val="5"/>
                <c:pt idx="0">
                  <c:v>celkem</c:v>
                </c:pt>
                <c:pt idx="1">
                  <c:v>vlastní dům</c:v>
                </c:pt>
                <c:pt idx="2">
                  <c:v>byt v osobním vlastnictví</c:v>
                </c:pt>
                <c:pt idx="3">
                  <c:v>nájemní
bydlení</c:v>
                </c:pt>
                <c:pt idx="4">
                  <c:v>bydlení
u příbuzných, známých</c:v>
                </c:pt>
              </c:strCache>
            </c:strRef>
          </c:cat>
          <c:val>
            <c:numRef>
              <c:f>'Naklady na bydlení_položky'!$C$7:$G$7</c:f>
              <c:numCache>
                <c:formatCode>General</c:formatCode>
                <c:ptCount val="5"/>
                <c:pt idx="0">
                  <c:v>884.53</c:v>
                </c:pt>
                <c:pt idx="1">
                  <c:v>43</c:v>
                </c:pt>
                <c:pt idx="2">
                  <c:v>1480.59</c:v>
                </c:pt>
                <c:pt idx="3">
                  <c:v>1582.44</c:v>
                </c:pt>
                <c:pt idx="4">
                  <c:v>410.84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D5B-4271-BEA8-341512366927}"/>
            </c:ext>
          </c:extLst>
        </c:ser>
        <c:ser>
          <c:idx val="5"/>
          <c:order val="5"/>
          <c:tx>
            <c:strRef>
              <c:f>'Naklady na bydlení_položky'!$B$8</c:f>
              <c:strCache>
                <c:ptCount val="1"/>
                <c:pt idx="0">
                  <c:v>tuhá a tekutá paliva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cat>
            <c:strRef>
              <c:f>'Naklady na bydlení_položky'!$C$2:$G$2</c:f>
              <c:strCache>
                <c:ptCount val="5"/>
                <c:pt idx="0">
                  <c:v>celkem</c:v>
                </c:pt>
                <c:pt idx="1">
                  <c:v>vlastní dům</c:v>
                </c:pt>
                <c:pt idx="2">
                  <c:v>byt v osobním vlastnictví</c:v>
                </c:pt>
                <c:pt idx="3">
                  <c:v>nájemní
bydlení</c:v>
                </c:pt>
                <c:pt idx="4">
                  <c:v>bydlení
u příbuzných, známých</c:v>
                </c:pt>
              </c:strCache>
            </c:strRef>
          </c:cat>
          <c:val>
            <c:numRef>
              <c:f>'Naklady na bydlení_položky'!$C$8:$G$8</c:f>
              <c:numCache>
                <c:formatCode>General</c:formatCode>
                <c:ptCount val="5"/>
                <c:pt idx="0">
                  <c:v>383.32</c:v>
                </c:pt>
                <c:pt idx="1">
                  <c:v>816.32</c:v>
                </c:pt>
                <c:pt idx="2">
                  <c:v>46.06</c:v>
                </c:pt>
                <c:pt idx="3">
                  <c:v>129.12</c:v>
                </c:pt>
                <c:pt idx="4">
                  <c:v>435.73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D5B-4271-BEA8-341512366927}"/>
            </c:ext>
          </c:extLst>
        </c:ser>
        <c:ser>
          <c:idx val="6"/>
          <c:order val="6"/>
          <c:tx>
            <c:strRef>
              <c:f>'Naklady na bydlení_položky'!$B$9</c:f>
              <c:strCache>
                <c:ptCount val="1"/>
                <c:pt idx="0">
                  <c:v>ostatní služby související s bydlením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noFill/>
            </a:ln>
            <a:effectLst/>
          </c:spPr>
          <c:invertIfNegative val="0"/>
          <c:cat>
            <c:strRef>
              <c:f>'Naklady na bydlení_položky'!$C$2:$G$2</c:f>
              <c:strCache>
                <c:ptCount val="5"/>
                <c:pt idx="0">
                  <c:v>celkem</c:v>
                </c:pt>
                <c:pt idx="1">
                  <c:v>vlastní dům</c:v>
                </c:pt>
                <c:pt idx="2">
                  <c:v>byt v osobním vlastnictví</c:v>
                </c:pt>
                <c:pt idx="3">
                  <c:v>nájemní
bydlení</c:v>
                </c:pt>
                <c:pt idx="4">
                  <c:v>bydlení
u příbuzných, známých</c:v>
                </c:pt>
              </c:strCache>
            </c:strRef>
          </c:cat>
          <c:val>
            <c:numRef>
              <c:f>'Naklady na bydlení_položky'!$C$9:$G$9</c:f>
              <c:numCache>
                <c:formatCode>General</c:formatCode>
                <c:ptCount val="5"/>
                <c:pt idx="0">
                  <c:v>556.58000000000004</c:v>
                </c:pt>
                <c:pt idx="1">
                  <c:v>527.84</c:v>
                </c:pt>
                <c:pt idx="2">
                  <c:v>501.98</c:v>
                </c:pt>
                <c:pt idx="3">
                  <c:v>780.42</c:v>
                </c:pt>
                <c:pt idx="4">
                  <c:v>268.98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5D5B-4271-BEA8-3415123669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1933640511"/>
        <c:axId val="1933630111"/>
      </c:barChart>
      <c:lineChart>
        <c:grouping val="standard"/>
        <c:varyColors val="0"/>
        <c:ser>
          <c:idx val="7"/>
          <c:order val="7"/>
          <c:tx>
            <c:strRef>
              <c:f>'Naklady na bydlení_položky'!$B$12</c:f>
              <c:strCache>
                <c:ptCount val="1"/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diamond"/>
            <c:size val="12"/>
            <c:spPr>
              <a:noFill/>
              <a:ln w="9525">
                <a:noFill/>
              </a:ln>
              <a:effectLst/>
            </c:spPr>
          </c:marker>
          <c:dLbls>
            <c:dLbl>
              <c:idx val="3"/>
              <c:layout>
                <c:manualLayout>
                  <c:x val="-4.8416752253794472E-2"/>
                  <c:y val="-3.95112016293279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D5B-4271-BEA8-341512366927}"/>
                </c:ext>
              </c:extLst>
            </c:dLbl>
            <c:dLbl>
              <c:idx val="4"/>
              <c:layout>
                <c:manualLayout>
                  <c:x val="-4.5673970101563391E-2"/>
                  <c:y val="-3.67956551255940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5D5B-4271-BEA8-341512366927}"/>
                </c:ext>
              </c:extLst>
            </c:dLbl>
            <c:numFmt formatCode="#,##0" sourceLinked="0"/>
            <c:spPr>
              <a:noFill/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'Naklady na bydlení_položky'!$C$2:$G$2</c:f>
              <c:strCache>
                <c:ptCount val="5"/>
                <c:pt idx="0">
                  <c:v>celkem</c:v>
                </c:pt>
                <c:pt idx="1">
                  <c:v>vlastní dům</c:v>
                </c:pt>
                <c:pt idx="2">
                  <c:v>byt v osobním vlastnictví</c:v>
                </c:pt>
                <c:pt idx="3">
                  <c:v>nájemní
bydlení</c:v>
                </c:pt>
                <c:pt idx="4">
                  <c:v>bydlení
u příbuzných, známých</c:v>
                </c:pt>
              </c:strCache>
            </c:strRef>
          </c:cat>
          <c:val>
            <c:numRef>
              <c:f>'Naklady na bydlení_položky'!$C$11:$G$11</c:f>
              <c:numCache>
                <c:formatCode>General</c:formatCode>
                <c:ptCount val="5"/>
                <c:pt idx="0">
                  <c:v>8298.75</c:v>
                </c:pt>
                <c:pt idx="1">
                  <c:v>7678.37</c:v>
                </c:pt>
                <c:pt idx="2">
                  <c:v>6996.15</c:v>
                </c:pt>
                <c:pt idx="3">
                  <c:v>12251.47</c:v>
                </c:pt>
                <c:pt idx="4">
                  <c:v>5815.42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5D5B-4271-BEA8-3415123669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33640511"/>
        <c:axId val="1933630111"/>
      </c:lineChart>
      <c:catAx>
        <c:axId val="1933640511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933630111"/>
        <c:crosses val="autoZero"/>
        <c:auto val="1"/>
        <c:lblAlgn val="ctr"/>
        <c:lblOffset val="100"/>
        <c:noMultiLvlLbl val="0"/>
      </c:catAx>
      <c:valAx>
        <c:axId val="1933630111"/>
        <c:scaling>
          <c:orientation val="minMax"/>
          <c:max val="14000"/>
          <c:min val="0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/>
                  <a:t>Výdaje</a:t>
                </a:r>
                <a:r>
                  <a:rPr lang="cs-CZ" baseline="0"/>
                  <a:t> za bydlení (v Kč)</a:t>
                </a:r>
                <a:endParaRPr lang="cs-CZ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#,##0" sourceLinked="0"/>
        <c:majorTickMark val="out"/>
        <c:minorTickMark val="none"/>
        <c:tickLblPos val="nextTo"/>
        <c:spPr>
          <a:noFill/>
          <a:ln>
            <a:solidFill>
              <a:srgbClr val="D9D9D9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933640511"/>
        <c:crosses val="autoZero"/>
        <c:crossBetween val="between"/>
        <c:majorUnit val="200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7.7541252995549481E-2"/>
          <c:y val="0.83528585403402977"/>
          <c:w val="0.89709140705237922"/>
          <c:h val="0.15779484794543247"/>
        </c:manualLayout>
      </c:layout>
      <c:overlay val="0"/>
      <c:spPr>
        <a:noFill/>
        <a:ln>
          <a:solidFill>
            <a:schemeClr val="bg1">
              <a:lumMod val="7500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150498264029698E-2"/>
          <c:y val="3.4338219939793656E-2"/>
          <c:w val="0.71927249673500959"/>
          <c:h val="0.87701148163596843"/>
        </c:manualLayout>
      </c:layout>
      <c:lineChart>
        <c:grouping val="standard"/>
        <c:varyColors val="0"/>
        <c:ser>
          <c:idx val="0"/>
          <c:order val="0"/>
          <c:tx>
            <c:strRef>
              <c:f>'Naklady na bydlení_položky (2)'!$U$18</c:f>
              <c:strCache>
                <c:ptCount val="1"/>
                <c:pt idx="0">
                  <c:v>plyn
z dálkového zdroje</c:v>
                </c:pt>
              </c:strCache>
            </c:strRef>
          </c:tx>
          <c:spPr>
            <a:ln w="28575" cap="rnd">
              <a:solidFill>
                <a:srgbClr val="FFCC66"/>
              </a:solidFill>
              <a:prstDash val="solid"/>
              <a:round/>
            </a:ln>
            <a:effectLst/>
          </c:spPr>
          <c:marker>
            <c:symbol val="none"/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4A4-4283-865D-97204E3E011E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4A4-4283-865D-97204E3E011E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4A4-4283-865D-97204E3E011E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4A4-4283-865D-97204E3E011E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4A4-4283-865D-97204E3E011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rgbClr val="FFCC66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'Naklady na bydlení_položky (2)'!$V$17:$AA$17</c:f>
              <c:numCache>
                <c:formatCode>General</c:formatCode>
                <c:ptCount val="6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</c:numCache>
            </c:numRef>
          </c:cat>
          <c:val>
            <c:numRef>
              <c:f>'Naklady na bydlení_položky (2)'!$V$18:$AA$18</c:f>
              <c:numCache>
                <c:formatCode>0.0</c:formatCode>
                <c:ptCount val="6"/>
                <c:pt idx="0">
                  <c:v>98.264006312704325</c:v>
                </c:pt>
                <c:pt idx="1">
                  <c:v>100.19043248824136</c:v>
                </c:pt>
                <c:pt idx="2">
                  <c:v>99.54657873042045</c:v>
                </c:pt>
                <c:pt idx="3">
                  <c:v>100.78674948240165</c:v>
                </c:pt>
                <c:pt idx="4">
                  <c:v>117.0444170546882</c:v>
                </c:pt>
                <c:pt idx="5">
                  <c:v>143.56126717304184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54A4-4283-865D-97204E3E011E}"/>
            </c:ext>
          </c:extLst>
        </c:ser>
        <c:ser>
          <c:idx val="2"/>
          <c:order val="2"/>
          <c:tx>
            <c:strRef>
              <c:f>'Naklady na bydlení_položky (2)'!$U$20</c:f>
              <c:strCache>
                <c:ptCount val="1"/>
                <c:pt idx="0">
                  <c:v>elektřina</c:v>
                </c:pt>
              </c:strCache>
            </c:strRef>
          </c:tx>
          <c:spPr>
            <a:ln w="28575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4A4-4283-865D-97204E3E011E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4A4-4283-865D-97204E3E011E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54A4-4283-865D-97204E3E011E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4A4-4283-865D-97204E3E011E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54A4-4283-865D-97204E3E011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rgbClr val="C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'Naklady na bydlení_položky (2)'!$V$17:$AA$17</c:f>
              <c:numCache>
                <c:formatCode>General</c:formatCode>
                <c:ptCount val="6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</c:numCache>
            </c:numRef>
          </c:cat>
          <c:val>
            <c:numRef>
              <c:f>'Naklady na bydlení_položky (2)'!$V$20:$AA$20</c:f>
              <c:numCache>
                <c:formatCode>0.0</c:formatCode>
                <c:ptCount val="6"/>
                <c:pt idx="0">
                  <c:v>101.51119198774079</c:v>
                </c:pt>
                <c:pt idx="1">
                  <c:v>104.18505913670519</c:v>
                </c:pt>
                <c:pt idx="2">
                  <c:v>103.55574242375238</c:v>
                </c:pt>
                <c:pt idx="3">
                  <c:v>105.24760762561527</c:v>
                </c:pt>
                <c:pt idx="4">
                  <c:v>117.10397464583097</c:v>
                </c:pt>
                <c:pt idx="5">
                  <c:v>126.39474537787869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54A4-4283-865D-97204E3E011E}"/>
            </c:ext>
          </c:extLst>
        </c:ser>
        <c:ser>
          <c:idx val="4"/>
          <c:order val="4"/>
          <c:tx>
            <c:strRef>
              <c:f>'Naklady na bydlení_položky (2)'!$U$22</c:f>
              <c:strCache>
                <c:ptCount val="1"/>
                <c:pt idx="0">
                  <c:v>výdaje za bydlení celkem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sysDash"/>
              <a:round/>
            </a:ln>
            <a:effectLst/>
          </c:spPr>
          <c:marker>
            <c:symbol val="none"/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54A4-4283-865D-97204E3E011E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54A4-4283-865D-97204E3E011E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54A4-4283-865D-97204E3E011E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54A4-4283-865D-97204E3E011E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54A4-4283-865D-97204E3E011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'Naklady na bydlení_položky (2)'!$V$17:$AA$17</c:f>
              <c:numCache>
                <c:formatCode>General</c:formatCode>
                <c:ptCount val="6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</c:numCache>
            </c:numRef>
          </c:cat>
          <c:val>
            <c:numRef>
              <c:f>'Naklady na bydlení_položky (2)'!$V$22:$AA$22</c:f>
              <c:numCache>
                <c:formatCode>0.0</c:formatCode>
                <c:ptCount val="6"/>
                <c:pt idx="0">
                  <c:v>101.41889477996733</c:v>
                </c:pt>
                <c:pt idx="1">
                  <c:v>101.62827460024815</c:v>
                </c:pt>
                <c:pt idx="2">
                  <c:v>103.11332223937093</c:v>
                </c:pt>
                <c:pt idx="3">
                  <c:v>103.28874201645961</c:v>
                </c:pt>
                <c:pt idx="4">
                  <c:v>110.42835816545609</c:v>
                </c:pt>
                <c:pt idx="5">
                  <c:v>121.67880461158819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1-54A4-4283-865D-97204E3E011E}"/>
            </c:ext>
          </c:extLst>
        </c:ser>
        <c:ser>
          <c:idx val="5"/>
          <c:order val="5"/>
          <c:tx>
            <c:strRef>
              <c:f>'Naklady na bydlení_položky (2)'!$U$23</c:f>
              <c:strCache>
                <c:ptCount val="1"/>
                <c:pt idx="0">
                  <c:v>vodné
a stočné</c:v>
                </c:pt>
              </c:strCache>
              <c:extLst xmlns:c15="http://schemas.microsoft.com/office/drawing/2012/chart"/>
            </c:strRef>
          </c:tx>
          <c:spPr>
            <a:ln w="28575" cap="rnd">
              <a:solidFill>
                <a:srgbClr val="66FFFF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delete val="1"/>
              <c:extLst xmlns:c15="http://schemas.microsoft.com/office/drawing/2012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54A4-4283-865D-97204E3E011E}"/>
                </c:ext>
              </c:extLst>
            </c:dLbl>
            <c:dLbl>
              <c:idx val="1"/>
              <c:delete val="1"/>
              <c:extLst xmlns:c15="http://schemas.microsoft.com/office/drawing/2012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54A4-4283-865D-97204E3E011E}"/>
                </c:ext>
              </c:extLst>
            </c:dLbl>
            <c:dLbl>
              <c:idx val="2"/>
              <c:delete val="1"/>
              <c:extLst xmlns:c15="http://schemas.microsoft.com/office/drawing/2012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54A4-4283-865D-97204E3E011E}"/>
                </c:ext>
              </c:extLst>
            </c:dLbl>
            <c:dLbl>
              <c:idx val="3"/>
              <c:delete val="1"/>
              <c:extLst xmlns:c15="http://schemas.microsoft.com/office/drawing/2012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54A4-4283-865D-97204E3E011E}"/>
                </c:ext>
              </c:extLst>
            </c:dLbl>
            <c:dLbl>
              <c:idx val="4"/>
              <c:delete val="1"/>
              <c:extLst xmlns:c15="http://schemas.microsoft.com/office/drawing/2012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54A4-4283-865D-97204E3E011E}"/>
                </c:ext>
              </c:extLst>
            </c:dLbl>
            <c:dLbl>
              <c:idx val="5"/>
              <c:layout>
                <c:manualLayout>
                  <c:x val="6.4412238325281803E-3"/>
                  <c:y val="4.496909171641003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5="http://schemas.microsoft.com/office/drawing/2012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54A4-4283-865D-97204E3E011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rgbClr val="66FFFF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5="http://schemas.microsoft.com/office/drawing/2012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'Naklady na bydlení_položky (2)'!$V$17:$AA$17</c:f>
              <c:numCache>
                <c:formatCode>General</c:formatCode>
                <c:ptCount val="6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</c:numCache>
              <c:extLst xmlns:c15="http://schemas.microsoft.com/office/drawing/2012/chart"/>
            </c:numRef>
          </c:cat>
          <c:val>
            <c:numRef>
              <c:f>'Naklady na bydlení_položky (2)'!$V$23:$AA$23</c:f>
              <c:numCache>
                <c:formatCode>0.0</c:formatCode>
                <c:ptCount val="6"/>
                <c:pt idx="0">
                  <c:v>101.79452909204313</c:v>
                </c:pt>
                <c:pt idx="1">
                  <c:v>101.12566086621615</c:v>
                </c:pt>
                <c:pt idx="2">
                  <c:v>104.41790011252488</c:v>
                </c:pt>
                <c:pt idx="3">
                  <c:v>104.03037286337187</c:v>
                </c:pt>
                <c:pt idx="4">
                  <c:v>104.99298782431312</c:v>
                </c:pt>
                <c:pt idx="5">
                  <c:v>112.21141148434299</c:v>
                </c:pt>
              </c:numCache>
              <c:extLst xmlns:c15="http://schemas.microsoft.com/office/drawing/2012/chart"/>
            </c:numRef>
          </c:val>
          <c:smooth val="0"/>
          <c:extLst xmlns:c15="http://schemas.microsoft.com/office/drawing/2012/chart">
            <c:ext xmlns:c16="http://schemas.microsoft.com/office/drawing/2014/chart" uri="{C3380CC4-5D6E-409C-BE32-E72D297353CC}">
              <c16:uniqueId val="{00000018-54A4-4283-865D-97204E3E011E}"/>
            </c:ext>
          </c:extLst>
        </c:ser>
        <c:ser>
          <c:idx val="6"/>
          <c:order val="6"/>
          <c:tx>
            <c:strRef>
              <c:f>'Naklady na bydlení_položky (2)'!$U$24</c:f>
              <c:strCache>
                <c:ptCount val="1"/>
                <c:pt idx="0">
                  <c:v>nájemné, úhrada za užívání bytu</c:v>
                </c:pt>
              </c:strCache>
              <c:extLst xmlns:c15="http://schemas.microsoft.com/office/drawing/2012/chart"/>
            </c:strRef>
          </c:tx>
          <c:spPr>
            <a:ln w="28575" cap="rnd">
              <a:solidFill>
                <a:srgbClr val="255E91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delete val="1"/>
              <c:extLst xmlns:c15="http://schemas.microsoft.com/office/drawing/2012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54A4-4283-865D-97204E3E011E}"/>
                </c:ext>
              </c:extLst>
            </c:dLbl>
            <c:dLbl>
              <c:idx val="1"/>
              <c:delete val="1"/>
              <c:extLst xmlns:c15="http://schemas.microsoft.com/office/drawing/2012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54A4-4283-865D-97204E3E011E}"/>
                </c:ext>
              </c:extLst>
            </c:dLbl>
            <c:dLbl>
              <c:idx val="2"/>
              <c:delete val="1"/>
              <c:extLst xmlns:c15="http://schemas.microsoft.com/office/drawing/2012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54A4-4283-865D-97204E3E011E}"/>
                </c:ext>
              </c:extLst>
            </c:dLbl>
            <c:dLbl>
              <c:idx val="3"/>
              <c:delete val="1"/>
              <c:extLst xmlns:c15="http://schemas.microsoft.com/office/drawing/2012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54A4-4283-865D-97204E3E011E}"/>
                </c:ext>
              </c:extLst>
            </c:dLbl>
            <c:dLbl>
              <c:idx val="4"/>
              <c:delete val="1"/>
              <c:extLst xmlns:c15="http://schemas.microsoft.com/office/drawing/2012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54A4-4283-865D-97204E3E011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rgbClr val="255E9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5="http://schemas.microsoft.com/office/drawing/2012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'Naklady na bydlení_položky (2)'!$V$17:$AA$17</c:f>
              <c:numCache>
                <c:formatCode>General</c:formatCode>
                <c:ptCount val="6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</c:numCache>
              <c:extLst xmlns:c15="http://schemas.microsoft.com/office/drawing/2012/chart"/>
            </c:numRef>
          </c:cat>
          <c:val>
            <c:numRef>
              <c:f>'Naklady na bydlení_položky (2)'!$V$24:$AA$24</c:f>
              <c:numCache>
                <c:formatCode>0.0</c:formatCode>
                <c:ptCount val="6"/>
                <c:pt idx="0">
                  <c:v>104.33339647660543</c:v>
                </c:pt>
                <c:pt idx="1">
                  <c:v>103.37124348192368</c:v>
                </c:pt>
                <c:pt idx="2">
                  <c:v>109.22816434352518</c:v>
                </c:pt>
                <c:pt idx="3">
                  <c:v>103.35496652108753</c:v>
                </c:pt>
                <c:pt idx="4">
                  <c:v>103.51677484799644</c:v>
                </c:pt>
                <c:pt idx="5">
                  <c:v>106.33769794033834</c:v>
                </c:pt>
              </c:numCache>
              <c:extLst xmlns:c15="http://schemas.microsoft.com/office/drawing/2012/chart"/>
            </c:numRef>
          </c:val>
          <c:smooth val="0"/>
          <c:extLst xmlns:c15="http://schemas.microsoft.com/office/drawing/2012/chart">
            <c:ext xmlns:c16="http://schemas.microsoft.com/office/drawing/2014/chart" uri="{C3380CC4-5D6E-409C-BE32-E72D297353CC}">
              <c16:uniqueId val="{0000001E-54A4-4283-865D-97204E3E01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71260095"/>
        <c:axId val="671260511"/>
        <c:extLst>
          <c:ext xmlns:c15="http://schemas.microsoft.com/office/drawing/2012/chart" uri="{02D57815-91ED-43cb-92C2-25804820EDAC}">
            <c15:filteredLine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'Naklady na bydlení_položky (2)'!$U$19</c15:sqref>
                        </c15:formulaRef>
                      </c:ext>
                    </c:extLst>
                    <c:strCache>
                      <c:ptCount val="1"/>
                      <c:pt idx="0">
                        <c:v>ústřední topení, teplá voda</c:v>
                      </c:pt>
                    </c:strCache>
                  </c:strRef>
                </c:tx>
                <c:spPr>
                  <a:ln w="28575" cap="rnd">
                    <a:solidFill>
                      <a:srgbClr val="00558E"/>
                    </a:solidFill>
                    <a:round/>
                  </a:ln>
                  <a:effectLst/>
                </c:spPr>
                <c:marker>
                  <c:symbol val="none"/>
                </c:marker>
                <c:dLbls>
                  <c:dLbl>
                    <c:idx val="0"/>
                    <c:delete val="1"/>
                    <c:extLst>
                      <c:ext uri="{CE6537A1-D6FC-4f65-9D91-7224C49458BB}"/>
                      <c:ext xmlns:c16="http://schemas.microsoft.com/office/drawing/2014/chart" uri="{C3380CC4-5D6E-409C-BE32-E72D297353CC}">
                        <c16:uniqueId val="{0000001F-54A4-4283-865D-97204E3E011E}"/>
                      </c:ext>
                    </c:extLst>
                  </c:dLbl>
                  <c:dLbl>
                    <c:idx val="1"/>
                    <c:delete val="1"/>
                    <c:extLst>
                      <c:ext uri="{CE6537A1-D6FC-4f65-9D91-7224C49458BB}"/>
                      <c:ext xmlns:c16="http://schemas.microsoft.com/office/drawing/2014/chart" uri="{C3380CC4-5D6E-409C-BE32-E72D297353CC}">
                        <c16:uniqueId val="{00000020-54A4-4283-865D-97204E3E011E}"/>
                      </c:ext>
                    </c:extLst>
                  </c:dLbl>
                  <c:dLbl>
                    <c:idx val="2"/>
                    <c:delete val="1"/>
                    <c:extLst>
                      <c:ext uri="{CE6537A1-D6FC-4f65-9D91-7224C49458BB}"/>
                      <c:ext xmlns:c16="http://schemas.microsoft.com/office/drawing/2014/chart" uri="{C3380CC4-5D6E-409C-BE32-E72D297353CC}">
                        <c16:uniqueId val="{00000021-54A4-4283-865D-97204E3E011E}"/>
                      </c:ext>
                    </c:extLst>
                  </c:dLbl>
                  <c:dLbl>
                    <c:idx val="3"/>
                    <c:delete val="1"/>
                    <c:extLst>
                      <c:ext uri="{CE6537A1-D6FC-4f65-9D91-7224C49458BB}"/>
                      <c:ext xmlns:c16="http://schemas.microsoft.com/office/drawing/2014/chart" uri="{C3380CC4-5D6E-409C-BE32-E72D297353CC}">
                        <c16:uniqueId val="{00000022-54A4-4283-865D-97204E3E011E}"/>
                      </c:ext>
                    </c:extLst>
                  </c:dLbl>
                  <c:dLbl>
                    <c:idx val="4"/>
                    <c:delete val="1"/>
                    <c:extLst>
                      <c:ext uri="{CE6537A1-D6FC-4f65-9D91-7224C49458BB}"/>
                      <c:ext xmlns:c16="http://schemas.microsoft.com/office/drawing/2014/chart" uri="{C3380CC4-5D6E-409C-BE32-E72D297353CC}">
                        <c16:uniqueId val="{00000023-54A4-4283-865D-97204E3E011E}"/>
                      </c:ext>
                    </c:extLst>
                  </c:dLbl>
                  <c:dLbl>
                    <c:idx val="5"/>
                    <c:layout>
                      <c:manualLayout>
                        <c:x val="-1.2882447665056361E-3"/>
                        <c:y val="2.0236091272384515E-2"/>
                      </c:manualLayout>
                    </c:layout>
                    <c:showLegendKey val="0"/>
                    <c:showVal val="1"/>
                    <c:showCatName val="0"/>
                    <c:showSerName val="0"/>
                    <c:showPercent val="0"/>
                    <c:showBubbleSize val="0"/>
                    <c:extLst>
                      <c:ext uri="{CE6537A1-D6FC-4f65-9D91-7224C49458BB}"/>
                      <c:ext xmlns:c16="http://schemas.microsoft.com/office/drawing/2014/chart" uri="{C3380CC4-5D6E-409C-BE32-E72D297353CC}">
                        <c16:uniqueId val="{00000024-54A4-4283-865D-97204E3E011E}"/>
                      </c:ext>
                    </c:extLst>
                  </c:dLbl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200" b="1" i="0" u="none" strike="noStrike" kern="1200" baseline="0">
                          <a:solidFill>
                            <a:srgbClr val="00558E"/>
                          </a:solidFill>
                          <a:latin typeface="Arial" panose="020B0604020202020204" pitchFamily="34" charset="0"/>
                          <a:ea typeface="+mn-ea"/>
                          <a:cs typeface="Arial" panose="020B0604020202020204" pitchFamily="34" charset="0"/>
                        </a:defRPr>
                      </a:pPr>
                      <a:endParaRPr lang="cs-CZ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numRef>
                    <c:extLst>
                      <c:ext uri="{02D57815-91ED-43cb-92C2-25804820EDAC}">
                        <c15:formulaRef>
                          <c15:sqref>'Naklady na bydlení_položky (2)'!$V$17:$AA$17</c15:sqref>
                        </c15:formulaRef>
                      </c:ext>
                    </c:extLst>
                    <c:numCache>
                      <c:formatCode>General</c:formatCode>
                      <c:ptCount val="6"/>
                      <c:pt idx="0">
                        <c:v>2018</c:v>
                      </c:pt>
                      <c:pt idx="1">
                        <c:v>2019</c:v>
                      </c:pt>
                      <c:pt idx="2">
                        <c:v>2020</c:v>
                      </c:pt>
                      <c:pt idx="3">
                        <c:v>2021</c:v>
                      </c:pt>
                      <c:pt idx="4">
                        <c:v>2022</c:v>
                      </c:pt>
                      <c:pt idx="5">
                        <c:v>2023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'Naklady na bydlení_položky (2)'!$V$19:$AA$19</c15:sqref>
                        </c15:formulaRef>
                      </c:ext>
                    </c:extLst>
                    <c:numCache>
                      <c:formatCode>0.0</c:formatCode>
                      <c:ptCount val="6"/>
                      <c:pt idx="0">
                        <c:v>98.151867639621415</c:v>
                      </c:pt>
                      <c:pt idx="1">
                        <c:v>96.730265288696515</c:v>
                      </c:pt>
                      <c:pt idx="2">
                        <c:v>96.344266037592277</c:v>
                      </c:pt>
                      <c:pt idx="3">
                        <c:v>100.42336066221192</c:v>
                      </c:pt>
                      <c:pt idx="4">
                        <c:v>105.15486621258121</c:v>
                      </c:pt>
                      <c:pt idx="5">
                        <c:v>132.31959071325991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25-54A4-4283-865D-97204E3E011E}"/>
                  </c:ext>
                </c:extLst>
              </c15:ser>
            </c15:filteredLineSeries>
            <c15:filteredLine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'Naklady na bydlení_položky (2)'!$U$21</c15:sqref>
                        </c15:formulaRef>
                      </c:ext>
                    </c:extLst>
                    <c:strCache>
                      <c:ptCount val="1"/>
                      <c:pt idx="0">
                        <c:v>tuhá a tekutá paliva</c:v>
                      </c:pt>
                    </c:strCache>
                  </c:strRef>
                </c:tx>
                <c:spPr>
                  <a:ln w="28575" cap="rnd">
                    <a:solidFill>
                      <a:srgbClr val="FFCC66"/>
                    </a:solidFill>
                    <a:round/>
                  </a:ln>
                  <a:effectLst/>
                </c:spPr>
                <c:marker>
                  <c:symbol val="none"/>
                </c:marker>
                <c:dLbls>
                  <c:dLbl>
                    <c:idx val="0"/>
                    <c:delete val="1"/>
                    <c:extLst xmlns:c15="http://schemas.microsoft.com/office/drawing/2012/chart">
                      <c:ext xmlns:c15="http://schemas.microsoft.com/office/drawing/2012/chart" uri="{CE6537A1-D6FC-4f65-9D91-7224C49458BB}"/>
                      <c:ext xmlns:c16="http://schemas.microsoft.com/office/drawing/2014/chart" uri="{C3380CC4-5D6E-409C-BE32-E72D297353CC}">
                        <c16:uniqueId val="{00000026-54A4-4283-865D-97204E3E011E}"/>
                      </c:ext>
                    </c:extLst>
                  </c:dLbl>
                  <c:dLbl>
                    <c:idx val="1"/>
                    <c:delete val="1"/>
                    <c:extLst xmlns:c15="http://schemas.microsoft.com/office/drawing/2012/chart">
                      <c:ext xmlns:c15="http://schemas.microsoft.com/office/drawing/2012/chart" uri="{CE6537A1-D6FC-4f65-9D91-7224C49458BB}"/>
                      <c:ext xmlns:c16="http://schemas.microsoft.com/office/drawing/2014/chart" uri="{C3380CC4-5D6E-409C-BE32-E72D297353CC}">
                        <c16:uniqueId val="{00000027-54A4-4283-865D-97204E3E011E}"/>
                      </c:ext>
                    </c:extLst>
                  </c:dLbl>
                  <c:dLbl>
                    <c:idx val="2"/>
                    <c:delete val="1"/>
                    <c:extLst xmlns:c15="http://schemas.microsoft.com/office/drawing/2012/chart">
                      <c:ext xmlns:c15="http://schemas.microsoft.com/office/drawing/2012/chart" uri="{CE6537A1-D6FC-4f65-9D91-7224C49458BB}"/>
                      <c:ext xmlns:c16="http://schemas.microsoft.com/office/drawing/2014/chart" uri="{C3380CC4-5D6E-409C-BE32-E72D297353CC}">
                        <c16:uniqueId val="{00000028-54A4-4283-865D-97204E3E011E}"/>
                      </c:ext>
                    </c:extLst>
                  </c:dLbl>
                  <c:dLbl>
                    <c:idx val="3"/>
                    <c:delete val="1"/>
                    <c:extLst xmlns:c15="http://schemas.microsoft.com/office/drawing/2012/chart">
                      <c:ext xmlns:c15="http://schemas.microsoft.com/office/drawing/2012/chart" uri="{CE6537A1-D6FC-4f65-9D91-7224C49458BB}"/>
                      <c:ext xmlns:c16="http://schemas.microsoft.com/office/drawing/2014/chart" uri="{C3380CC4-5D6E-409C-BE32-E72D297353CC}">
                        <c16:uniqueId val="{00000029-54A4-4283-865D-97204E3E011E}"/>
                      </c:ext>
                    </c:extLst>
                  </c:dLbl>
                  <c:dLbl>
                    <c:idx val="4"/>
                    <c:delete val="1"/>
                    <c:extLst xmlns:c15="http://schemas.microsoft.com/office/drawing/2012/chart">
                      <c:ext xmlns:c15="http://schemas.microsoft.com/office/drawing/2012/chart" uri="{CE6537A1-D6FC-4f65-9D91-7224C49458BB}"/>
                      <c:ext xmlns:c16="http://schemas.microsoft.com/office/drawing/2014/chart" uri="{C3380CC4-5D6E-409C-BE32-E72D297353CC}">
                        <c16:uniqueId val="{0000002A-54A4-4283-865D-97204E3E011E}"/>
                      </c:ext>
                    </c:extLst>
                  </c:dLbl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200" b="1" i="0" u="none" strike="noStrike" kern="1200" baseline="0">
                          <a:solidFill>
                            <a:srgbClr val="FFCC66"/>
                          </a:solidFill>
                          <a:latin typeface="Arial" panose="020B0604020202020204" pitchFamily="34" charset="0"/>
                          <a:ea typeface="+mn-ea"/>
                          <a:cs typeface="Arial" panose="020B0604020202020204" pitchFamily="34" charset="0"/>
                        </a:defRPr>
                      </a:pPr>
                      <a:endParaRPr lang="cs-CZ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'Naklady na bydlení_položky (2)'!$V$17:$AA$17</c15:sqref>
                        </c15:formulaRef>
                      </c:ext>
                    </c:extLst>
                    <c:numCache>
                      <c:formatCode>General</c:formatCode>
                      <c:ptCount val="6"/>
                      <c:pt idx="0">
                        <c:v>2018</c:v>
                      </c:pt>
                      <c:pt idx="1">
                        <c:v>2019</c:v>
                      </c:pt>
                      <c:pt idx="2">
                        <c:v>2020</c:v>
                      </c:pt>
                      <c:pt idx="3">
                        <c:v>2021</c:v>
                      </c:pt>
                      <c:pt idx="4">
                        <c:v>2022</c:v>
                      </c:pt>
                      <c:pt idx="5">
                        <c:v>2023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'Naklady na bydlení_položky (2)'!$V$21:$AA$21</c15:sqref>
                        </c15:formulaRef>
                      </c:ext>
                    </c:extLst>
                    <c:numCache>
                      <c:formatCode>0.0</c:formatCode>
                      <c:ptCount val="6"/>
                      <c:pt idx="0">
                        <c:v>100.9124830393487</c:v>
                      </c:pt>
                      <c:pt idx="1">
                        <c:v>98.423476419375447</c:v>
                      </c:pt>
                      <c:pt idx="2">
                        <c:v>95.614754098360649</c:v>
                      </c:pt>
                      <c:pt idx="3">
                        <c:v>99.039148449778537</c:v>
                      </c:pt>
                      <c:pt idx="4">
                        <c:v>110.25715007032856</c:v>
                      </c:pt>
                      <c:pt idx="5">
                        <c:v>125.38680448791339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B-54A4-4283-865D-97204E3E011E}"/>
                  </c:ext>
                </c:extLst>
              </c15:ser>
            </c15:filteredLineSeries>
            <c15:filteredLineSeries>
              <c15:ser>
                <c:idx val="7"/>
                <c:order val="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'Naklady na bydlení_položky (2)'!$U$25</c15:sqref>
                        </c15:formulaRef>
                      </c:ext>
                    </c:extLst>
                    <c:strCache>
                      <c:ptCount val="1"/>
                      <c:pt idx="0">
                        <c:v>ostatní služby související s bydlením</c:v>
                      </c:pt>
                    </c:strCache>
                  </c:strRef>
                </c:tx>
                <c:spPr>
                  <a:ln w="28575" cap="rnd">
                    <a:solidFill>
                      <a:srgbClr val="000000"/>
                    </a:solidFill>
                    <a:prstDash val="sysDot"/>
                    <a:round/>
                  </a:ln>
                  <a:effectLst/>
                </c:spPr>
                <c:marker>
                  <c:symbol val="none"/>
                </c:marker>
                <c:dLbls>
                  <c:dLbl>
                    <c:idx val="0"/>
                    <c:delete val="1"/>
                    <c:extLst xmlns:c15="http://schemas.microsoft.com/office/drawing/2012/chart">
                      <c:ext xmlns:c15="http://schemas.microsoft.com/office/drawing/2012/chart" uri="{CE6537A1-D6FC-4f65-9D91-7224C49458BB}"/>
                      <c:ext xmlns:c16="http://schemas.microsoft.com/office/drawing/2014/chart" uri="{C3380CC4-5D6E-409C-BE32-E72D297353CC}">
                        <c16:uniqueId val="{0000002C-54A4-4283-865D-97204E3E011E}"/>
                      </c:ext>
                    </c:extLst>
                  </c:dLbl>
                  <c:dLbl>
                    <c:idx val="1"/>
                    <c:delete val="1"/>
                    <c:extLst xmlns:c15="http://schemas.microsoft.com/office/drawing/2012/chart">
                      <c:ext xmlns:c15="http://schemas.microsoft.com/office/drawing/2012/chart" uri="{CE6537A1-D6FC-4f65-9D91-7224C49458BB}"/>
                      <c:ext xmlns:c16="http://schemas.microsoft.com/office/drawing/2014/chart" uri="{C3380CC4-5D6E-409C-BE32-E72D297353CC}">
                        <c16:uniqueId val="{0000002D-54A4-4283-865D-97204E3E011E}"/>
                      </c:ext>
                    </c:extLst>
                  </c:dLbl>
                  <c:dLbl>
                    <c:idx val="2"/>
                    <c:delete val="1"/>
                    <c:extLst xmlns:c15="http://schemas.microsoft.com/office/drawing/2012/chart">
                      <c:ext xmlns:c15="http://schemas.microsoft.com/office/drawing/2012/chart" uri="{CE6537A1-D6FC-4f65-9D91-7224C49458BB}"/>
                      <c:ext xmlns:c16="http://schemas.microsoft.com/office/drawing/2014/chart" uri="{C3380CC4-5D6E-409C-BE32-E72D297353CC}">
                        <c16:uniqueId val="{0000002E-54A4-4283-865D-97204E3E011E}"/>
                      </c:ext>
                    </c:extLst>
                  </c:dLbl>
                  <c:dLbl>
                    <c:idx val="3"/>
                    <c:delete val="1"/>
                    <c:extLst xmlns:c15="http://schemas.microsoft.com/office/drawing/2012/chart">
                      <c:ext xmlns:c15="http://schemas.microsoft.com/office/drawing/2012/chart" uri="{CE6537A1-D6FC-4f65-9D91-7224C49458BB}"/>
                      <c:ext xmlns:c16="http://schemas.microsoft.com/office/drawing/2014/chart" uri="{C3380CC4-5D6E-409C-BE32-E72D297353CC}">
                        <c16:uniqueId val="{0000002F-54A4-4283-865D-97204E3E011E}"/>
                      </c:ext>
                    </c:extLst>
                  </c:dLbl>
                  <c:dLbl>
                    <c:idx val="4"/>
                    <c:delete val="1"/>
                    <c:extLst xmlns:c15="http://schemas.microsoft.com/office/drawing/2012/chart">
                      <c:ext xmlns:c15="http://schemas.microsoft.com/office/drawing/2012/chart" uri="{CE6537A1-D6FC-4f65-9D91-7224C49458BB}"/>
                      <c:ext xmlns:c16="http://schemas.microsoft.com/office/drawing/2014/chart" uri="{C3380CC4-5D6E-409C-BE32-E72D297353CC}">
                        <c16:uniqueId val="{00000030-54A4-4283-865D-97204E3E011E}"/>
                      </c:ext>
                    </c:extLst>
                  </c:dLbl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200" b="1" i="0" u="none" strike="noStrike" kern="1200" baseline="0">
                          <a:solidFill>
                            <a:sysClr val="windowText" lastClr="000000"/>
                          </a:solidFill>
                          <a:latin typeface="Arial" panose="020B0604020202020204" pitchFamily="34" charset="0"/>
                          <a:ea typeface="+mn-ea"/>
                          <a:cs typeface="Arial" panose="020B0604020202020204" pitchFamily="34" charset="0"/>
                        </a:defRPr>
                      </a:pPr>
                      <a:endParaRPr lang="cs-CZ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'Naklady na bydlení_položky (2)'!$V$17:$AA$17</c15:sqref>
                        </c15:formulaRef>
                      </c:ext>
                    </c:extLst>
                    <c:numCache>
                      <c:formatCode>General</c:formatCode>
                      <c:ptCount val="6"/>
                      <c:pt idx="0">
                        <c:v>2018</c:v>
                      </c:pt>
                      <c:pt idx="1">
                        <c:v>2019</c:v>
                      </c:pt>
                      <c:pt idx="2">
                        <c:v>2020</c:v>
                      </c:pt>
                      <c:pt idx="3">
                        <c:v>2021</c:v>
                      </c:pt>
                      <c:pt idx="4">
                        <c:v>2022</c:v>
                      </c:pt>
                      <c:pt idx="5">
                        <c:v>2023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'Naklady na bydlení_položky (2)'!$V$25:$AA$25</c15:sqref>
                        </c15:formulaRef>
                      </c:ext>
                    </c:extLst>
                    <c:numCache>
                      <c:formatCode>0.0</c:formatCode>
                      <c:ptCount val="6"/>
                      <c:pt idx="0">
                        <c:v>103.89883059495617</c:v>
                      </c:pt>
                      <c:pt idx="1">
                        <c:v>100.7495652991212</c:v>
                      </c:pt>
                      <c:pt idx="2">
                        <c:v>102.22263684492852</c:v>
                      </c:pt>
                      <c:pt idx="3">
                        <c:v>106.69176363221537</c:v>
                      </c:pt>
                      <c:pt idx="4">
                        <c:v>112.29176913371684</c:v>
                      </c:pt>
                      <c:pt idx="5">
                        <c:v>105.99303003180287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31-54A4-4283-865D-97204E3E011E}"/>
                  </c:ext>
                </c:extLst>
              </c15:ser>
            </c15:filteredLineSeries>
          </c:ext>
        </c:extLst>
      </c:lineChart>
      <c:catAx>
        <c:axId val="671260095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671260511"/>
        <c:crossesAt val="100"/>
        <c:auto val="1"/>
        <c:lblAlgn val="ctr"/>
        <c:lblOffset val="100"/>
        <c:noMultiLvlLbl val="0"/>
      </c:catAx>
      <c:valAx>
        <c:axId val="671260511"/>
        <c:scaling>
          <c:orientation val="minMax"/>
          <c:min val="9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out"/>
        <c:minorTickMark val="none"/>
        <c:tickLblPos val="nextTo"/>
        <c:spPr>
          <a:noFill/>
          <a:ln>
            <a:solidFill>
              <a:srgbClr val="D9D9D9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67126009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</c:legendEntry>
      <c:layout>
        <c:manualLayout>
          <c:xMode val="edge"/>
          <c:yMode val="edge"/>
          <c:x val="0.80523262617650504"/>
          <c:y val="9.3108215761886062E-2"/>
          <c:w val="0.17429893479412098"/>
          <c:h val="0.69569209365691453"/>
        </c:manualLayout>
      </c:layout>
      <c:overlay val="0"/>
      <c:spPr>
        <a:noFill/>
        <a:ln>
          <a:solidFill>
            <a:schemeClr val="bg1">
              <a:lumMod val="7500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  <c:userShapes r:id="rId4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2.0313942751615882E-2"/>
          <c:y val="2.5396823088311864E-2"/>
          <c:w val="0.95937211449676829"/>
          <c:h val="0.7121365459877856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'Podíl nákladů na CP_Prij'!$D$1</c:f>
              <c:strCache>
                <c:ptCount val="1"/>
                <c:pt idx="0">
                  <c:v>výdaje za bydlení</c:v>
                </c:pt>
              </c:strCache>
            </c:strRef>
          </c:tx>
          <c:spPr>
            <a:solidFill>
              <a:srgbClr val="A6CDE8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71BC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FADF-4C04-9184-D869B731EF17}"/>
              </c:ext>
            </c:extLst>
          </c:dPt>
          <c:dLbls>
            <c:dLbl>
              <c:idx val="3"/>
              <c:layout>
                <c:manualLayout>
                  <c:x val="-1.3781223831273548E-3"/>
                  <c:y val="-1.41599815618030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ADF-4C04-9184-D869B731EF17}"/>
                </c:ext>
              </c:extLst>
            </c:dLbl>
            <c:dLbl>
              <c:idx val="4"/>
              <c:layout>
                <c:manualLayout>
                  <c:x val="0"/>
                  <c:y val="7.30727073438070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FADF-4C04-9184-D869B731EF17}"/>
                </c:ext>
              </c:extLst>
            </c:dLbl>
            <c:numFmt formatCode="#,##0\ &quot;Kč&quot;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'Podíl nákladů na CP_Prij'!$C$3:$C$7</c:f>
              <c:strCache>
                <c:ptCount val="5"/>
                <c:pt idx="0">
                  <c:v>celkem</c:v>
                </c:pt>
                <c:pt idx="1">
                  <c:v>vlastní dům</c:v>
                </c:pt>
                <c:pt idx="2">
                  <c:v>byt v osobním vlastnictví</c:v>
                </c:pt>
                <c:pt idx="3">
                  <c:v>nájemní
bydlení</c:v>
                </c:pt>
                <c:pt idx="4">
                  <c:v>bydlení
u příbuzných, známých</c:v>
                </c:pt>
              </c:strCache>
            </c:strRef>
          </c:cat>
          <c:val>
            <c:numRef>
              <c:f>'Podíl nákladů na CP_Prij'!$D$3:$D$7</c:f>
              <c:numCache>
                <c:formatCode>General</c:formatCode>
                <c:ptCount val="5"/>
                <c:pt idx="0">
                  <c:v>8298.75</c:v>
                </c:pt>
                <c:pt idx="1">
                  <c:v>7678.37</c:v>
                </c:pt>
                <c:pt idx="2">
                  <c:v>6996.15</c:v>
                </c:pt>
                <c:pt idx="3">
                  <c:v>12251.47</c:v>
                </c:pt>
                <c:pt idx="4">
                  <c:v>5815.42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ADF-4C04-9184-D869B731EF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00"/>
        <c:overlap val="-27"/>
        <c:axId val="1219491040"/>
        <c:axId val="1219491872"/>
      </c:barChart>
      <c:scatterChart>
        <c:scatterStyle val="lineMarker"/>
        <c:varyColors val="0"/>
        <c:ser>
          <c:idx val="1"/>
          <c:order val="1"/>
          <c:tx>
            <c:strRef>
              <c:f>'Podíl nákladů na CP_Prij'!$G$2</c:f>
              <c:strCache>
                <c:ptCount val="1"/>
                <c:pt idx="0">
                  <c:v>podíl výdajů za bydlení k čistému příjmu (v %)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diamond"/>
            <c:size val="12"/>
            <c:spPr>
              <a:solidFill>
                <a:srgbClr val="C00000"/>
              </a:solidFill>
              <a:ln w="9525">
                <a:noFill/>
              </a:ln>
              <a:effectLst/>
            </c:spPr>
          </c:marker>
          <c:dLbls>
            <c:dLbl>
              <c:idx val="0"/>
              <c:layout>
                <c:manualLayout>
                  <c:x val="2.53578859038372E-2"/>
                  <c:y val="-4.185820272414106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ADF-4C04-9184-D869B731EF17}"/>
                </c:ext>
              </c:extLst>
            </c:dLbl>
            <c:dLbl>
              <c:idx val="1"/>
              <c:layout>
                <c:manualLayout>
                  <c:x val="2.480620289629238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ADF-4C04-9184-D869B731EF17}"/>
                </c:ext>
              </c:extLst>
            </c:dLbl>
            <c:dLbl>
              <c:idx val="2"/>
              <c:layout>
                <c:manualLayout>
                  <c:x val="2.618432527941973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ADF-4C04-9184-D869B731EF17}"/>
                </c:ext>
              </c:extLst>
            </c:dLbl>
            <c:dLbl>
              <c:idx val="3"/>
              <c:layout>
                <c:manualLayout>
                  <c:x val="2.4806202896292283E-2"/>
                  <c:y val="2.13128729752770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ADF-4C04-9184-D869B731EF17}"/>
                </c:ext>
              </c:extLst>
            </c:dLbl>
            <c:dLbl>
              <c:idx val="4"/>
              <c:layout>
                <c:manualLayout>
                  <c:x val="2.0671835746910321E-2"/>
                  <c:y val="-9.436811601394125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ADF-4C04-9184-D869B731EF17}"/>
                </c:ext>
              </c:extLst>
            </c:dLbl>
            <c:spPr>
              <a:noFill/>
              <a:ln>
                <a:solidFill>
                  <a:srgbClr val="C00000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strRef>
              <c:f>'Podíl nákladů na CP_Prij'!$C$3:$C$7</c:f>
              <c:strCache>
                <c:ptCount val="5"/>
                <c:pt idx="0">
                  <c:v>celkem</c:v>
                </c:pt>
                <c:pt idx="1">
                  <c:v>vlastní dům</c:v>
                </c:pt>
                <c:pt idx="2">
                  <c:v>byt v osobním vlastnictví</c:v>
                </c:pt>
                <c:pt idx="3">
                  <c:v>nájemní
bydlení</c:v>
                </c:pt>
                <c:pt idx="4">
                  <c:v>bydlení
u příbuzných, známých</c:v>
                </c:pt>
              </c:strCache>
            </c:strRef>
          </c:xVal>
          <c:yVal>
            <c:numRef>
              <c:f>'Podíl nákladů na CP_Prij'!$G$3:$G$7</c:f>
              <c:numCache>
                <c:formatCode>0.0</c:formatCode>
                <c:ptCount val="5"/>
                <c:pt idx="0">
                  <c:v>16.748363395539833</c:v>
                </c:pt>
                <c:pt idx="1">
                  <c:v>13.475692162664663</c:v>
                </c:pt>
                <c:pt idx="2">
                  <c:v>14.028583762853971</c:v>
                </c:pt>
                <c:pt idx="3">
                  <c:v>30.349927983307808</c:v>
                </c:pt>
                <c:pt idx="4">
                  <c:v>17.634289134757179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9-FADF-4C04-9184-D869B731EF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19493120"/>
        <c:axId val="1225822240"/>
      </c:scatterChart>
      <c:catAx>
        <c:axId val="12194910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219491872"/>
        <c:crosses val="autoZero"/>
        <c:auto val="1"/>
        <c:lblAlgn val="ctr"/>
        <c:lblOffset val="100"/>
        <c:noMultiLvlLbl val="0"/>
      </c:catAx>
      <c:valAx>
        <c:axId val="1219491872"/>
        <c:scaling>
          <c:orientation val="minMax"/>
          <c:max val="14000"/>
          <c:min val="0"/>
        </c:scaling>
        <c:delete val="0"/>
        <c:axPos val="l"/>
        <c:numFmt formatCode="#,##0" sourceLinked="0"/>
        <c:majorTickMark val="none"/>
        <c:minorTickMark val="none"/>
        <c:tickLblPos val="none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219491040"/>
        <c:crosses val="autoZero"/>
        <c:crossBetween val="between"/>
      </c:valAx>
      <c:valAx>
        <c:axId val="1225822240"/>
        <c:scaling>
          <c:orientation val="minMax"/>
        </c:scaling>
        <c:delete val="0"/>
        <c:axPos val="r"/>
        <c:numFmt formatCode="0" sourceLinked="0"/>
        <c:majorTickMark val="out"/>
        <c:minorTickMark val="none"/>
        <c:tickLblPos val="none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219493120"/>
        <c:crosses val="max"/>
        <c:crossBetween val="midCat"/>
      </c:valAx>
      <c:valAx>
        <c:axId val="121949312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225822240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0403743197419714E-2"/>
          <c:y val="0.91287718211998259"/>
          <c:w val="0.82185370048105155"/>
          <c:h val="7.6140293723257896E-2"/>
        </c:manualLayout>
      </c:layout>
      <c:overlay val="0"/>
      <c:spPr>
        <a:noFill/>
        <a:ln>
          <a:solidFill>
            <a:srgbClr val="D9D9D9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224022906227631"/>
          <c:y val="3.9623256048217856E-2"/>
          <c:w val="0.79703982151073449"/>
          <c:h val="0.8775069843941542"/>
        </c:manualLayout>
      </c:layout>
      <c:lineChart>
        <c:grouping val="standard"/>
        <c:varyColors val="0"/>
        <c:ser>
          <c:idx val="0"/>
          <c:order val="0"/>
          <c:tx>
            <c:strRef>
              <c:f>'RELCETSLP '!$C$4</c:f>
              <c:strCache>
                <c:ptCount val="1"/>
                <c:pt idx="0">
                  <c:v>Zátěž
bydlením</c:v>
                </c:pt>
              </c:strCache>
            </c:strRef>
          </c:tx>
          <c:spPr>
            <a:ln w="28575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dLbls>
            <c:spPr>
              <a:solidFill>
                <a:schemeClr val="bg1"/>
              </a:solidFill>
              <a:ln>
                <a:solidFill>
                  <a:srgbClr val="C00000"/>
                </a:solidFill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'RELCETSLP '!$D$3:$H$3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'RELCETSLP '!$D$4:$H$4</c:f>
              <c:numCache>
                <c:formatCode>0.0</c:formatCode>
                <c:ptCount val="5"/>
                <c:pt idx="0">
                  <c:v>9.1</c:v>
                </c:pt>
                <c:pt idx="1">
                  <c:v>8.49</c:v>
                </c:pt>
                <c:pt idx="2">
                  <c:v>7.81</c:v>
                </c:pt>
                <c:pt idx="3">
                  <c:v>8.9600000000000009</c:v>
                </c:pt>
                <c:pt idx="4">
                  <c:v>11.32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42A-4474-8AFE-C946F4E65C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74552143"/>
        <c:axId val="474557551"/>
      </c:lineChart>
      <c:catAx>
        <c:axId val="474552143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47455755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74557551"/>
        <c:scaling>
          <c:orientation val="minMax"/>
          <c:max val="14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/>
                  <a:t>Podíl výdajů za bydlení na čistém  příjmu vyšší než 40 %</a:t>
                </a:r>
              </a:p>
            </c:rich>
          </c:tx>
          <c:layout>
            <c:manualLayout>
              <c:xMode val="edge"/>
              <c:yMode val="edge"/>
              <c:x val="2.9439179193509909E-2"/>
              <c:y val="7.8717765913063689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474552143"/>
        <c:crossesAt val="1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5362257298731342E-2"/>
          <c:y val="2.9696137585158741E-3"/>
          <c:w val="0.4627694760019268"/>
          <c:h val="0.95819148327331516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0066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A4B-4DFD-8243-A7CD088B9DBD}"/>
              </c:ext>
            </c:extLst>
          </c:dPt>
          <c:dPt>
            <c:idx val="1"/>
            <c:bubble3D val="0"/>
            <c:spPr>
              <a:solidFill>
                <a:srgbClr val="7DBB2D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A4B-4DFD-8243-A7CD088B9DBD}"/>
              </c:ext>
            </c:extLst>
          </c:dPt>
          <c:dPt>
            <c:idx val="2"/>
            <c:bubble3D val="0"/>
            <c:spPr>
              <a:solidFill>
                <a:srgbClr val="FF7979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A4B-4DFD-8243-A7CD088B9DBD}"/>
              </c:ext>
            </c:extLst>
          </c:dPt>
          <c:dPt>
            <c:idx val="3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A4B-4DFD-8243-A7CD088B9DBD}"/>
              </c:ext>
            </c:extLst>
          </c:dPt>
          <c:dLbls>
            <c:dLbl>
              <c:idx val="1"/>
              <c:layout>
                <c:manualLayout>
                  <c:x val="0.26388110434670803"/>
                  <c:y val="-0.45838541088027257"/>
                </c:manualLayout>
              </c:layout>
              <c:numFmt formatCode="#,##0.0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A4B-4DFD-8243-A7CD088B9DBD}"/>
                </c:ext>
              </c:extLst>
            </c:dLbl>
            <c:dLbl>
              <c:idx val="2"/>
              <c:layout>
                <c:manualLayout>
                  <c:x val="3.8065672001324838E-2"/>
                  <c:y val="3.2009535925913185E-2"/>
                </c:manualLayout>
              </c:layout>
              <c:numFmt formatCode="#,##0.0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2497653854453659E-2"/>
                      <c:h val="0.1042276702311774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0A4B-4DFD-8243-A7CD088B9DBD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Četnosti!$I$4:$I$7</c:f>
              <c:strCache>
                <c:ptCount val="4"/>
                <c:pt idx="0">
                  <c:v>velmi spokojeni</c:v>
                </c:pt>
                <c:pt idx="1">
                  <c:v>spokojeni</c:v>
                </c:pt>
                <c:pt idx="2">
                  <c:v>nespokojeni</c:v>
                </c:pt>
                <c:pt idx="3">
                  <c:v>velmi nespokojeni</c:v>
                </c:pt>
              </c:strCache>
            </c:strRef>
          </c:cat>
          <c:val>
            <c:numRef>
              <c:f>Četnosti!$J$4:$J$7</c:f>
              <c:numCache>
                <c:formatCode>General</c:formatCode>
                <c:ptCount val="4"/>
                <c:pt idx="0">
                  <c:v>21.12</c:v>
                </c:pt>
                <c:pt idx="1">
                  <c:v>71.11</c:v>
                </c:pt>
                <c:pt idx="2">
                  <c:v>3.7</c:v>
                </c:pt>
                <c:pt idx="3">
                  <c:v>4.0599999999999996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A4B-4DFD-8243-A7CD088B9D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1618644705740655"/>
          <c:y val="0.12128414079244461"/>
          <c:w val="0.25653293957676199"/>
          <c:h val="0.52349314582330353"/>
        </c:manualLayout>
      </c:layout>
      <c:overlay val="0"/>
      <c:spPr>
        <a:noFill/>
        <a:ln w="6350">
          <a:solidFill>
            <a:schemeClr val="bg1">
              <a:lumMod val="7500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4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9909453065939572"/>
          <c:y val="4.8881399552682378E-2"/>
          <c:w val="0.77716229646051527"/>
          <c:h val="0.8501203063902727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'Problémy s bydlením'!$B$3:$B$7</c:f>
              <c:strCache>
                <c:ptCount val="5"/>
                <c:pt idx="0">
                  <c:v>příliš tmavý byt,
nedostatek světla</c:v>
                </c:pt>
                <c:pt idx="1">
                  <c:v>vandalismus,
kriminalita</c:v>
                </c:pt>
                <c:pt idx="2">
                  <c:v>zatékání, vlhkost</c:v>
                </c:pt>
                <c:pt idx="3">
                  <c:v>kouř, zápach,
špína v okolí</c:v>
                </c:pt>
                <c:pt idx="4">
                  <c:v>hluk od sousedů
nebo z ulice</c:v>
                </c:pt>
              </c:strCache>
            </c:strRef>
          </c:cat>
          <c:val>
            <c:numRef>
              <c:f>'Problémy s bydlením'!$C$3:$C$7</c:f>
              <c:numCache>
                <c:formatCode>General</c:formatCode>
                <c:ptCount val="5"/>
                <c:pt idx="0">
                  <c:v>2.77</c:v>
                </c:pt>
                <c:pt idx="1">
                  <c:v>6.61</c:v>
                </c:pt>
                <c:pt idx="2">
                  <c:v>7.55</c:v>
                </c:pt>
                <c:pt idx="3">
                  <c:v>7.93</c:v>
                </c:pt>
                <c:pt idx="4">
                  <c:v>15.47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74-4661-A768-907C444ACE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axId val="1095115263"/>
        <c:axId val="1095115679"/>
      </c:barChart>
      <c:catAx>
        <c:axId val="109511526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095115679"/>
        <c:crosses val="autoZero"/>
        <c:auto val="1"/>
        <c:lblAlgn val="ctr"/>
        <c:lblOffset val="100"/>
        <c:noMultiLvlLbl val="0"/>
      </c:catAx>
      <c:valAx>
        <c:axId val="1095115679"/>
        <c:scaling>
          <c:orientation val="minMax"/>
          <c:max val="16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bg1">
                <a:lumMod val="7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09511526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0981759261052227E-2"/>
          <c:y val="0.11135219244568283"/>
          <c:w val="0.52075268646846096"/>
          <c:h val="0.86451026953448828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7DBB2D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109-4951-A351-48A9E5CD57F1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109-4951-A351-48A9E5CD57F1}"/>
              </c:ext>
            </c:extLst>
          </c:dPt>
          <c:dPt>
            <c:idx val="2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109-4951-A351-48A9E5CD57F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C109-4951-A351-48A9E5CD57F1}"/>
              </c:ext>
            </c:extLst>
          </c:dPt>
          <c:dLbls>
            <c:dLbl>
              <c:idx val="0"/>
              <c:layout>
                <c:manualLayout>
                  <c:x val="3.3680180473308501E-2"/>
                  <c:y val="-0.4584138046573966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109-4951-A351-48A9E5CD57F1}"/>
                </c:ext>
              </c:extLst>
            </c:dLbl>
            <c:dLbl>
              <c:idx val="3"/>
              <c:layout>
                <c:manualLayout>
                  <c:x val="3.1113528683340474E-3"/>
                  <c:y val="-8.8430704468017915E-3"/>
                </c:manualLayout>
              </c:layout>
              <c:numFmt formatCode="#,##0.0" sourceLinked="0"/>
              <c:spPr>
                <a:solidFill>
                  <a:sysClr val="window" lastClr="FFFFFF"/>
                </a:solidFill>
                <a:ln w="6350">
                  <a:solidFill>
                    <a:schemeClr val="bg1">
                      <a:lumMod val="75000"/>
                    </a:schemeClr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0002930034951128E-2"/>
                      <c:h val="7.690988858124138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C109-4951-A351-48A9E5CD57F1}"/>
                </c:ext>
              </c:extLst>
            </c:dLbl>
            <c:numFmt formatCode="#,##0.0" sourceLinked="0"/>
            <c:spPr>
              <a:solidFill>
                <a:sysClr val="window" lastClr="FFFFFF"/>
              </a:solidFill>
              <a:ln w="6350">
                <a:solidFill>
                  <a:schemeClr val="bg1">
                    <a:lumMod val="75000"/>
                  </a:schemeClr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'Rodinné prostředí'!$A$4:$A$7</c:f>
              <c:strCache>
                <c:ptCount val="4"/>
                <c:pt idx="0">
                  <c:v>v úplné rodině 
s oběma rodiči</c:v>
                </c:pt>
                <c:pt idx="1">
                  <c:v>žil jen s otcem</c:v>
                </c:pt>
                <c:pt idx="2">
                  <c:v>žil jen s matkou</c:v>
                </c:pt>
                <c:pt idx="3">
                  <c:v>bez rodičů, 
u příbuzných, 
v pěstounské péči aj.</c:v>
                </c:pt>
              </c:strCache>
            </c:strRef>
          </c:cat>
          <c:val>
            <c:numRef>
              <c:f>'Rodinné prostředí'!$B$4:$B$7</c:f>
              <c:numCache>
                <c:formatCode>General</c:formatCode>
                <c:ptCount val="4"/>
                <c:pt idx="0">
                  <c:v>86.54</c:v>
                </c:pt>
                <c:pt idx="1">
                  <c:v>1</c:v>
                </c:pt>
                <c:pt idx="2">
                  <c:v>11.96</c:v>
                </c:pt>
                <c:pt idx="3">
                  <c:v>0.51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109-4951-A351-48A9E5CD57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4573197978351882"/>
          <c:y val="0.15216931926062433"/>
          <c:w val="0.31513583726617894"/>
          <c:h val="0.68799305633802355"/>
        </c:manualLayout>
      </c:layout>
      <c:overlay val="0"/>
      <c:spPr>
        <a:noFill/>
        <a:ln w="6350">
          <a:solidFill>
            <a:schemeClr val="bg1">
              <a:lumMod val="7500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4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01395598497048"/>
          <c:y val="3.3816425120772944E-2"/>
          <c:w val="0.82871179749874258"/>
          <c:h val="0.7346399634828255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Četnosti!$K$4</c:f>
              <c:strCache>
                <c:ptCount val="1"/>
                <c:pt idx="0">
                  <c:v>s oběma rodiči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Četnosti!$L$3:$O$3</c:f>
              <c:strCache>
                <c:ptCount val="4"/>
                <c:pt idx="0">
                  <c:v>respondenti 
25–29 let</c:v>
                </c:pt>
                <c:pt idx="1">
                  <c:v>respondenti 
30–39 let</c:v>
                </c:pt>
                <c:pt idx="2">
                  <c:v>respondenti 
40–49 let</c:v>
                </c:pt>
                <c:pt idx="3">
                  <c:v>respondenti 
50–59 let</c:v>
                </c:pt>
              </c:strCache>
            </c:strRef>
          </c:cat>
          <c:val>
            <c:numRef>
              <c:f>Četnosti!$L$4:$O$4</c:f>
              <c:numCache>
                <c:formatCode>0.0</c:formatCode>
                <c:ptCount val="4"/>
                <c:pt idx="0">
                  <c:v>81.099999999999994</c:v>
                </c:pt>
                <c:pt idx="1">
                  <c:v>83.1</c:v>
                </c:pt>
                <c:pt idx="2">
                  <c:v>87.5</c:v>
                </c:pt>
                <c:pt idx="3">
                  <c:v>90.8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B78-4D33-9560-181BC62D76C1}"/>
            </c:ext>
          </c:extLst>
        </c:ser>
        <c:ser>
          <c:idx val="1"/>
          <c:order val="1"/>
          <c:tx>
            <c:strRef>
              <c:f>Četnosti!$K$5</c:f>
              <c:strCache>
                <c:ptCount val="1"/>
                <c:pt idx="0">
                  <c:v>s jedním rodičem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Četnosti!$L$3:$O$3</c:f>
              <c:strCache>
                <c:ptCount val="4"/>
                <c:pt idx="0">
                  <c:v>respondenti 
25–29 let</c:v>
                </c:pt>
                <c:pt idx="1">
                  <c:v>respondenti 
30–39 let</c:v>
                </c:pt>
                <c:pt idx="2">
                  <c:v>respondenti 
40–49 let</c:v>
                </c:pt>
                <c:pt idx="3">
                  <c:v>respondenti 
50–59 let</c:v>
                </c:pt>
              </c:strCache>
            </c:strRef>
          </c:cat>
          <c:val>
            <c:numRef>
              <c:f>Četnosti!$L$5:$O$5</c:f>
              <c:numCache>
                <c:formatCode>0.0</c:formatCode>
                <c:ptCount val="4"/>
                <c:pt idx="0">
                  <c:v>18.5</c:v>
                </c:pt>
                <c:pt idx="1">
                  <c:v>16.2</c:v>
                </c:pt>
                <c:pt idx="2">
                  <c:v>11.98</c:v>
                </c:pt>
                <c:pt idx="3">
                  <c:v>8.92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B78-4D33-9560-181BC62D76C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85"/>
        <c:axId val="1930826432"/>
        <c:axId val="1930828096"/>
      </c:barChart>
      <c:catAx>
        <c:axId val="19308264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930828096"/>
        <c:crosses val="autoZero"/>
        <c:auto val="1"/>
        <c:lblAlgn val="ctr"/>
        <c:lblOffset val="100"/>
        <c:noMultiLvlLbl val="0"/>
      </c:catAx>
      <c:valAx>
        <c:axId val="1930828096"/>
        <c:scaling>
          <c:orientation val="minMax"/>
          <c:min val="0"/>
        </c:scaling>
        <c:delete val="0"/>
        <c:axPos val="b"/>
        <c:numFmt formatCode="0" sourceLinked="0"/>
        <c:majorTickMark val="out"/>
        <c:minorTickMark val="none"/>
        <c:tickLblPos val="nextTo"/>
        <c:spPr>
          <a:noFill/>
          <a:ln>
            <a:solidFill>
              <a:schemeClr val="bg1">
                <a:lumMod val="7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930826432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solidFill>
            <a:schemeClr val="bg1">
              <a:lumMod val="7500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860170224386693"/>
          <c:y val="3.6632871871408228E-2"/>
          <c:w val="0.84059577938856123"/>
          <c:h val="0.70122167063404728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'Velikost obce tehdy a nyní'!$C$2</c:f>
              <c:strCache>
                <c:ptCount val="1"/>
                <c:pt idx="0">
                  <c:v>vesnice, obec 
do 10 tis.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dLbl>
              <c:idx val="0"/>
              <c:numFmt formatCode="#,##0.0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1" i="0" u="none" strike="noStrike" kern="1200" baseline="0">
                      <a:solidFill>
                        <a:schemeClr val="bg1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0-92DD-44B8-A318-8B64AD87C354}"/>
                </c:ext>
              </c:extLst>
            </c:dLbl>
            <c:dLbl>
              <c:idx val="1"/>
              <c:numFmt formatCode="#,##0.0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bg1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92DD-44B8-A318-8B64AD87C354}"/>
                </c:ext>
              </c:extLst>
            </c:dLbl>
            <c:dLbl>
              <c:idx val="2"/>
              <c:numFmt formatCode="#,##0.0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bg1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2-92DD-44B8-A318-8B64AD87C354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'Velikost obce tehdy a nyní'!$B$3:$B$5</c:f>
              <c:strCache>
                <c:ptCount val="3"/>
                <c:pt idx="0">
                  <c:v>velké město 
nad 100 tis.
obyvatel</c:v>
                </c:pt>
                <c:pt idx="1">
                  <c:v>město
10 až 100 tis. 
obyvatel</c:v>
                </c:pt>
                <c:pt idx="2">
                  <c:v>vesnice, obec
do 10 tis.
obyvatel</c:v>
                </c:pt>
              </c:strCache>
            </c:strRef>
          </c:cat>
          <c:val>
            <c:numRef>
              <c:f>'Velikost obce tehdy a nyní'!$C$3:$C$5</c:f>
              <c:numCache>
                <c:formatCode>General</c:formatCode>
                <c:ptCount val="3"/>
                <c:pt idx="0">
                  <c:v>14.5</c:v>
                </c:pt>
                <c:pt idx="1">
                  <c:v>29.96</c:v>
                </c:pt>
                <c:pt idx="2">
                  <c:v>72.739999999999995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2DD-44B8-A318-8B64AD87C354}"/>
            </c:ext>
          </c:extLst>
        </c:ser>
        <c:ser>
          <c:idx val="1"/>
          <c:order val="1"/>
          <c:tx>
            <c:strRef>
              <c:f>'Velikost obce tehdy a nyní'!$D$2</c:f>
              <c:strCache>
                <c:ptCount val="1"/>
                <c:pt idx="0">
                  <c:v>město 
10 až 100 tis.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'Velikost obce tehdy a nyní'!$B$3:$B$5</c:f>
              <c:strCache>
                <c:ptCount val="3"/>
                <c:pt idx="0">
                  <c:v>velké město 
nad 100 tis.
obyvatel</c:v>
                </c:pt>
                <c:pt idx="1">
                  <c:v>město
10 až 100 tis. 
obyvatel</c:v>
                </c:pt>
                <c:pt idx="2">
                  <c:v>vesnice, obec
do 10 tis.
obyvatel</c:v>
                </c:pt>
              </c:strCache>
            </c:strRef>
          </c:cat>
          <c:val>
            <c:numRef>
              <c:f>'Velikost obce tehdy a nyní'!$D$3:$D$5</c:f>
              <c:numCache>
                <c:formatCode>General</c:formatCode>
                <c:ptCount val="3"/>
                <c:pt idx="0">
                  <c:v>11.67</c:v>
                </c:pt>
                <c:pt idx="1">
                  <c:v>53</c:v>
                </c:pt>
                <c:pt idx="2">
                  <c:v>17.690000000000001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2DD-44B8-A318-8B64AD87C354}"/>
            </c:ext>
          </c:extLst>
        </c:ser>
        <c:ser>
          <c:idx val="2"/>
          <c:order val="2"/>
          <c:tx>
            <c:strRef>
              <c:f>'Velikost obce tehdy a nyní'!$E$2</c:f>
              <c:strCache>
                <c:ptCount val="1"/>
                <c:pt idx="0">
                  <c:v>velké město 
nad 100 tis.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0"/>
              <c:numFmt formatCode="#,##0.0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bg1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5-92DD-44B8-A318-8B64AD87C354}"/>
                </c:ext>
              </c:extLst>
            </c:dLbl>
            <c:dLbl>
              <c:idx val="1"/>
              <c:numFmt formatCode="#,##0.0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1" i="0" u="none" strike="noStrike" kern="1200" baseline="0">
                      <a:solidFill>
                        <a:schemeClr val="bg1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6-92DD-44B8-A318-8B64AD87C354}"/>
                </c:ext>
              </c:extLst>
            </c:dLbl>
            <c:dLbl>
              <c:idx val="2"/>
              <c:numFmt formatCode="#,##0.0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bg1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7-92DD-44B8-A318-8B64AD87C354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'Velikost obce tehdy a nyní'!$B$3:$B$5</c:f>
              <c:strCache>
                <c:ptCount val="3"/>
                <c:pt idx="0">
                  <c:v>velké město 
nad 100 tis.
obyvatel</c:v>
                </c:pt>
                <c:pt idx="1">
                  <c:v>město
10 až 100 tis. 
obyvatel</c:v>
                </c:pt>
                <c:pt idx="2">
                  <c:v>vesnice, obec
do 10 tis.
obyvatel</c:v>
                </c:pt>
              </c:strCache>
            </c:strRef>
          </c:cat>
          <c:val>
            <c:numRef>
              <c:f>'Velikost obce tehdy a nyní'!$E$3:$E$5</c:f>
              <c:numCache>
                <c:formatCode>General</c:formatCode>
                <c:ptCount val="3"/>
                <c:pt idx="0">
                  <c:v>73.77</c:v>
                </c:pt>
                <c:pt idx="1">
                  <c:v>17.04</c:v>
                </c:pt>
                <c:pt idx="2">
                  <c:v>9.57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2DD-44B8-A318-8B64AD87C3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047820512"/>
        <c:axId val="1047822176"/>
      </c:barChart>
      <c:catAx>
        <c:axId val="10478205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047822176"/>
        <c:crosses val="autoZero"/>
        <c:auto val="1"/>
        <c:lblAlgn val="ctr"/>
        <c:lblOffset val="100"/>
        <c:noMultiLvlLbl val="0"/>
      </c:catAx>
      <c:valAx>
        <c:axId val="1047822176"/>
        <c:scaling>
          <c:orientation val="minMax"/>
          <c:max val="100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047820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4008626652988824"/>
          <c:y val="0.85761286433657913"/>
          <c:w val="0.57956148624987203"/>
          <c:h val="0.12691326164249758"/>
        </c:manualLayout>
      </c:layout>
      <c:overlay val="0"/>
      <c:spPr>
        <a:noFill/>
        <a:ln w="6350">
          <a:solidFill>
            <a:schemeClr val="tx1">
              <a:lumMod val="15000"/>
              <a:lumOff val="8500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'Finanční situace tehdy a nyní'!$B$1</c:f>
              <c:strCache>
                <c:ptCount val="1"/>
                <c:pt idx="0">
                  <c:v>1. kvintil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0"/>
              <c:numFmt formatCode="#,##0.0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bg1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0-C0B6-4213-8F8D-DE1BFA721434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'Finanční situace tehdy a nyní'!$A$2:$A$5</c:f>
              <c:strCache>
                <c:ptCount val="4"/>
                <c:pt idx="0">
                  <c:v>velmi špatná</c:v>
                </c:pt>
                <c:pt idx="1">
                  <c:v>špatná nebo
spíše špatná</c:v>
                </c:pt>
                <c:pt idx="2">
                  <c:v>dobrá nebo
spíše dobrá</c:v>
                </c:pt>
                <c:pt idx="3">
                  <c:v>velmi dobrá</c:v>
                </c:pt>
              </c:strCache>
            </c:strRef>
          </c:cat>
          <c:val>
            <c:numRef>
              <c:f>'Finanční situace tehdy a nyní'!$B$2:$B$5</c:f>
              <c:numCache>
                <c:formatCode>General</c:formatCode>
                <c:ptCount val="4"/>
                <c:pt idx="0">
                  <c:v>35.31</c:v>
                </c:pt>
                <c:pt idx="1">
                  <c:v>23.88</c:v>
                </c:pt>
                <c:pt idx="2">
                  <c:v>19.399999999999999</c:v>
                </c:pt>
                <c:pt idx="3">
                  <c:v>11.81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0B6-4213-8F8D-DE1BFA721434}"/>
            </c:ext>
          </c:extLst>
        </c:ser>
        <c:ser>
          <c:idx val="1"/>
          <c:order val="1"/>
          <c:tx>
            <c:strRef>
              <c:f>'Finanční situace tehdy a nyní'!$C$1</c:f>
              <c:strCache>
                <c:ptCount val="1"/>
                <c:pt idx="0">
                  <c:v>2. kvintil</c:v>
                </c:pt>
              </c:strCache>
            </c:strRef>
          </c:tx>
          <c:spPr>
            <a:solidFill>
              <a:srgbClr val="FF8A3B"/>
            </a:solidFill>
            <a:ln>
              <a:noFill/>
            </a:ln>
            <a:effectLst/>
          </c:spPr>
          <c:invertIfNegative val="0"/>
          <c:cat>
            <c:strRef>
              <c:f>'Finanční situace tehdy a nyní'!$A$2:$A$5</c:f>
              <c:strCache>
                <c:ptCount val="4"/>
                <c:pt idx="0">
                  <c:v>velmi špatná</c:v>
                </c:pt>
                <c:pt idx="1">
                  <c:v>špatná nebo
spíše špatná</c:v>
                </c:pt>
                <c:pt idx="2">
                  <c:v>dobrá nebo
spíše dobrá</c:v>
                </c:pt>
                <c:pt idx="3">
                  <c:v>velmi dobrá</c:v>
                </c:pt>
              </c:strCache>
            </c:strRef>
          </c:cat>
          <c:val>
            <c:numRef>
              <c:f>'Finanční situace tehdy a nyní'!$C$2:$C$5</c:f>
              <c:numCache>
                <c:formatCode>General</c:formatCode>
                <c:ptCount val="4"/>
                <c:pt idx="0">
                  <c:v>25.64</c:v>
                </c:pt>
                <c:pt idx="1">
                  <c:v>19.350000000000001</c:v>
                </c:pt>
                <c:pt idx="2">
                  <c:v>20.54</c:v>
                </c:pt>
                <c:pt idx="3">
                  <c:v>13.56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0B6-4213-8F8D-DE1BFA721434}"/>
            </c:ext>
          </c:extLst>
        </c:ser>
        <c:ser>
          <c:idx val="2"/>
          <c:order val="2"/>
          <c:tx>
            <c:strRef>
              <c:f>'Finanční situace tehdy a nyní'!$D$1</c:f>
              <c:strCache>
                <c:ptCount val="1"/>
                <c:pt idx="0">
                  <c:v>3. kvintil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'Finanční situace tehdy a nyní'!$A$2:$A$5</c:f>
              <c:strCache>
                <c:ptCount val="4"/>
                <c:pt idx="0">
                  <c:v>velmi špatná</c:v>
                </c:pt>
                <c:pt idx="1">
                  <c:v>špatná nebo
spíše špatná</c:v>
                </c:pt>
                <c:pt idx="2">
                  <c:v>dobrá nebo
spíše dobrá</c:v>
                </c:pt>
                <c:pt idx="3">
                  <c:v>velmi dobrá</c:v>
                </c:pt>
              </c:strCache>
            </c:strRef>
          </c:cat>
          <c:val>
            <c:numRef>
              <c:f>'Finanční situace tehdy a nyní'!$D$2:$D$5</c:f>
              <c:numCache>
                <c:formatCode>General</c:formatCode>
                <c:ptCount val="4"/>
                <c:pt idx="0">
                  <c:v>8.67</c:v>
                </c:pt>
                <c:pt idx="1">
                  <c:v>20.29</c:v>
                </c:pt>
                <c:pt idx="2">
                  <c:v>20.329999999999998</c:v>
                </c:pt>
                <c:pt idx="3">
                  <c:v>18.510000000000002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0B6-4213-8F8D-DE1BFA721434}"/>
            </c:ext>
          </c:extLst>
        </c:ser>
        <c:ser>
          <c:idx val="3"/>
          <c:order val="3"/>
          <c:tx>
            <c:strRef>
              <c:f>'Finanční situace tehdy a nyní'!$E$1</c:f>
              <c:strCache>
                <c:ptCount val="1"/>
                <c:pt idx="0">
                  <c:v>4. kvintil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cat>
            <c:strRef>
              <c:f>'Finanční situace tehdy a nyní'!$A$2:$A$5</c:f>
              <c:strCache>
                <c:ptCount val="4"/>
                <c:pt idx="0">
                  <c:v>velmi špatná</c:v>
                </c:pt>
                <c:pt idx="1">
                  <c:v>špatná nebo
spíše špatná</c:v>
                </c:pt>
                <c:pt idx="2">
                  <c:v>dobrá nebo
spíše dobrá</c:v>
                </c:pt>
                <c:pt idx="3">
                  <c:v>velmi dobrá</c:v>
                </c:pt>
              </c:strCache>
            </c:strRef>
          </c:cat>
          <c:val>
            <c:numRef>
              <c:f>'Finanční situace tehdy a nyní'!$E$2:$E$5</c:f>
              <c:numCache>
                <c:formatCode>General</c:formatCode>
                <c:ptCount val="4"/>
                <c:pt idx="0">
                  <c:v>16.8</c:v>
                </c:pt>
                <c:pt idx="1">
                  <c:v>19.010000000000002</c:v>
                </c:pt>
                <c:pt idx="2">
                  <c:v>20.23</c:v>
                </c:pt>
                <c:pt idx="3">
                  <c:v>21.18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0B6-4213-8F8D-DE1BFA721434}"/>
            </c:ext>
          </c:extLst>
        </c:ser>
        <c:ser>
          <c:idx val="4"/>
          <c:order val="4"/>
          <c:tx>
            <c:strRef>
              <c:f>'Finanční situace tehdy a nyní'!$F$1</c:f>
              <c:strCache>
                <c:ptCount val="1"/>
                <c:pt idx="0">
                  <c:v>5. kvintil</c:v>
                </c:pt>
              </c:strCache>
            </c:strRef>
          </c:tx>
          <c:spPr>
            <a:solidFill>
              <a:srgbClr val="7DBB2D"/>
            </a:solidFill>
            <a:ln>
              <a:noFill/>
            </a:ln>
            <a:effectLst/>
          </c:spPr>
          <c:invertIfNegative val="0"/>
          <c:dLbls>
            <c:dLbl>
              <c:idx val="3"/>
              <c:numFmt formatCode="#,##0.0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bg1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5-C0B6-4213-8F8D-DE1BFA721434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'Finanční situace tehdy a nyní'!$A$2:$A$5</c:f>
              <c:strCache>
                <c:ptCount val="4"/>
                <c:pt idx="0">
                  <c:v>velmi špatná</c:v>
                </c:pt>
                <c:pt idx="1">
                  <c:v>špatná nebo
spíše špatná</c:v>
                </c:pt>
                <c:pt idx="2">
                  <c:v>dobrá nebo
spíše dobrá</c:v>
                </c:pt>
                <c:pt idx="3">
                  <c:v>velmi dobrá</c:v>
                </c:pt>
              </c:strCache>
            </c:strRef>
          </c:cat>
          <c:val>
            <c:numRef>
              <c:f>'Finanční situace tehdy a nyní'!$F$2:$F$5</c:f>
              <c:numCache>
                <c:formatCode>General</c:formatCode>
                <c:ptCount val="4"/>
                <c:pt idx="0">
                  <c:v>13.59</c:v>
                </c:pt>
                <c:pt idx="1">
                  <c:v>17.47</c:v>
                </c:pt>
                <c:pt idx="2">
                  <c:v>19.5</c:v>
                </c:pt>
                <c:pt idx="3">
                  <c:v>34.94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0B6-4213-8F8D-DE1BFA7214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907525648"/>
        <c:axId val="1907526480"/>
      </c:barChart>
      <c:catAx>
        <c:axId val="1907525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907526480"/>
        <c:crosses val="autoZero"/>
        <c:auto val="1"/>
        <c:lblAlgn val="ctr"/>
        <c:lblOffset val="100"/>
        <c:noMultiLvlLbl val="0"/>
      </c:catAx>
      <c:valAx>
        <c:axId val="1907526480"/>
        <c:scaling>
          <c:orientation val="minMax"/>
          <c:max val="100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bg1">
                <a:lumMod val="7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907525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7197019338099978"/>
          <c:y val="0.94244830840942051"/>
          <c:w val="0.67904811898512674"/>
          <c:h val="5.0564792667900593E-2"/>
        </c:manualLayout>
      </c:layout>
      <c:overlay val="0"/>
      <c:spPr>
        <a:noFill/>
        <a:ln w="9525">
          <a:solidFill>
            <a:schemeClr val="bg1">
              <a:lumMod val="7500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1141360597899115E-2"/>
          <c:y val="3.2163742690058478E-2"/>
          <c:w val="0.87324797883410643"/>
          <c:h val="0.78796680020260623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HPrijmy_struktura!$B$3</c:f>
              <c:strCache>
                <c:ptCount val="1"/>
                <c:pt idx="0">
                  <c:v>příjmy ze závislé činnosti</c:v>
                </c:pt>
              </c:strCache>
            </c:strRef>
          </c:tx>
          <c:spPr>
            <a:solidFill>
              <a:srgbClr val="0071BC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HPrijmy_struktura!$A$4:$A$6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HPrijmy_struktura!$B$4:$B$6</c:f>
              <c:numCache>
                <c:formatCode>0.0</c:formatCode>
                <c:ptCount val="3"/>
                <c:pt idx="0">
                  <c:v>63.376906738168039</c:v>
                </c:pt>
                <c:pt idx="1">
                  <c:v>62.25738561016356</c:v>
                </c:pt>
                <c:pt idx="2">
                  <c:v>61.499903934376256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837-4A67-ACAF-1E18959127F5}"/>
            </c:ext>
          </c:extLst>
        </c:ser>
        <c:ser>
          <c:idx val="1"/>
          <c:order val="1"/>
          <c:tx>
            <c:strRef>
              <c:f>HPrijmy_struktura!$C$3</c:f>
              <c:strCache>
                <c:ptCount val="1"/>
                <c:pt idx="0">
                  <c:v>příjmy z podnikání</c:v>
                </c:pt>
              </c:strCache>
            </c:strRef>
          </c:tx>
          <c:spPr>
            <a:solidFill>
              <a:srgbClr val="CCECFF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HPrijmy_struktura!$A$4:$A$6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HPrijmy_struktura!$C$4:$C$6</c:f>
              <c:numCache>
                <c:formatCode>0.0</c:formatCode>
                <c:ptCount val="3"/>
                <c:pt idx="0">
                  <c:v>13.544826702612825</c:v>
                </c:pt>
                <c:pt idx="1">
                  <c:v>13.255730575208574</c:v>
                </c:pt>
                <c:pt idx="2">
                  <c:v>13.850401786461635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837-4A67-ACAF-1E18959127F5}"/>
            </c:ext>
          </c:extLst>
        </c:ser>
        <c:ser>
          <c:idx val="2"/>
          <c:order val="2"/>
          <c:tx>
            <c:strRef>
              <c:f>HPrijmy_struktura!$D$3</c:f>
              <c:strCache>
                <c:ptCount val="1"/>
                <c:pt idx="0">
                  <c:v>jiné příjmy</c:v>
                </c:pt>
              </c:strCache>
            </c:strRef>
          </c:tx>
          <c:spPr>
            <a:solidFill>
              <a:srgbClr val="A5A5A5"/>
            </a:solidFill>
            <a:ln>
              <a:noFill/>
            </a:ln>
            <a:effectLst/>
          </c:spPr>
          <c:invertIfNegative val="0"/>
          <c:cat>
            <c:numRef>
              <c:f>HPrijmy_struktura!$A$4:$A$6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HPrijmy_struktura!$D$4:$D$6</c:f>
              <c:numCache>
                <c:formatCode>0.0</c:formatCode>
                <c:ptCount val="3"/>
                <c:pt idx="0">
                  <c:v>2.635068604567965</c:v>
                </c:pt>
                <c:pt idx="1">
                  <c:v>2.9407150317840345</c:v>
                </c:pt>
                <c:pt idx="2">
                  <c:v>3.0657535566299243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837-4A67-ACAF-1E18959127F5}"/>
            </c:ext>
          </c:extLst>
        </c:ser>
        <c:ser>
          <c:idx val="3"/>
          <c:order val="3"/>
          <c:tx>
            <c:strRef>
              <c:f>HPrijmy_struktura!$E$3</c:f>
              <c:strCache>
                <c:ptCount val="1"/>
                <c:pt idx="0">
                  <c:v>důchody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HPrijmy_struktura!$A$4:$A$6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HPrijmy_struktura!$E$4:$E$6</c:f>
              <c:numCache>
                <c:formatCode>0.0</c:formatCode>
                <c:ptCount val="3"/>
                <c:pt idx="0">
                  <c:v>17.114474485806362</c:v>
                </c:pt>
                <c:pt idx="1">
                  <c:v>17.933815837616116</c:v>
                </c:pt>
                <c:pt idx="2">
                  <c:v>18.144456329124349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837-4A67-ACAF-1E18959127F5}"/>
            </c:ext>
          </c:extLst>
        </c:ser>
        <c:ser>
          <c:idx val="4"/>
          <c:order val="4"/>
          <c:tx>
            <c:strRef>
              <c:f>HPrijmy_struktura!$F$3</c:f>
              <c:strCache>
                <c:ptCount val="1"/>
                <c:pt idx="0">
                  <c:v>sociální dávky</c:v>
                </c:pt>
              </c:strCache>
            </c:strRef>
          </c:tx>
          <c:spPr>
            <a:solidFill>
              <a:srgbClr val="FF7C8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1.0758205786074494E-3"/>
                  <c:y val="-4.8134777376654635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837-4A67-ACAF-1E18959127F5}"/>
                </c:ext>
              </c:extLst>
            </c:dLbl>
            <c:dLbl>
              <c:idx val="1"/>
              <c:layout>
                <c:manualLayout>
                  <c:x val="-2.3081946217398553E-3"/>
                  <c:y val="-4.4123036215520552E-1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837-4A67-ACAF-1E18959127F5}"/>
                </c:ext>
              </c:extLst>
            </c:dLbl>
            <c:dLbl>
              <c:idx val="2"/>
              <c:layout>
                <c:manualLayout>
                  <c:x val="-1.5741290765620591E-3"/>
                  <c:y val="-4.8134777376654635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837-4A67-ACAF-1E18959127F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HPrijmy_struktura!$A$4:$A$6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HPrijmy_struktura!$F$4:$F$6</c:f>
              <c:numCache>
                <c:formatCode>0.0</c:formatCode>
                <c:ptCount val="3"/>
                <c:pt idx="0">
                  <c:v>3.3287234688448111</c:v>
                </c:pt>
                <c:pt idx="1">
                  <c:v>3.6123529452277148</c:v>
                </c:pt>
                <c:pt idx="2">
                  <c:v>3.443406612153102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9837-4A67-ACAF-1E18959127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902069423"/>
        <c:axId val="1902069839"/>
      </c:barChart>
      <c:catAx>
        <c:axId val="190206942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902069839"/>
        <c:crosses val="autoZero"/>
        <c:auto val="1"/>
        <c:lblAlgn val="ctr"/>
        <c:lblOffset val="100"/>
        <c:noMultiLvlLbl val="0"/>
      </c:catAx>
      <c:valAx>
        <c:axId val="1902069839"/>
        <c:scaling>
          <c:orientation val="minMax"/>
          <c:max val="100"/>
        </c:scaling>
        <c:delete val="0"/>
        <c:axPos val="b"/>
        <c:numFmt formatCode="0" sourceLinked="0"/>
        <c:majorTickMark val="out"/>
        <c:minorTickMark val="none"/>
        <c:tickLblPos val="nextTo"/>
        <c:spPr>
          <a:noFill/>
          <a:ln>
            <a:solidFill>
              <a:schemeClr val="bg1">
                <a:lumMod val="8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90206942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7.3238868017314829E-2"/>
          <c:y val="0.92548648524197641"/>
          <c:w val="0.9"/>
          <c:h val="6.2817608325275123E-2"/>
        </c:manualLayout>
      </c:layout>
      <c:overlay val="0"/>
      <c:spPr>
        <a:noFill/>
        <a:ln>
          <a:solidFill>
            <a:schemeClr val="bg1">
              <a:lumMod val="8500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'Průměrný příjem na osobu (2)'!$C$1</c:f>
              <c:strCache>
                <c:ptCount val="1"/>
                <c:pt idx="0">
                  <c:v>čisté peněžní příjmy</c:v>
                </c:pt>
              </c:strCache>
            </c:strRef>
          </c:tx>
          <c:spPr>
            <a:ln w="28575" cap="rnd">
              <a:solidFill>
                <a:srgbClr val="00558E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682-4A93-BCF6-ADA98A70D254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682-4A93-BCF6-ADA98A70D254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682-4A93-BCF6-ADA98A70D254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682-4A93-BCF6-ADA98A70D254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682-4A93-BCF6-ADA98A70D254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682-4A93-BCF6-ADA98A70D254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682-4A93-BCF6-ADA98A70D254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682-4A93-BCF6-ADA98A70D254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682-4A93-BCF6-ADA98A70D254}"/>
                </c:ext>
              </c:extLst>
            </c:dLbl>
            <c:dLbl>
              <c:idx val="9"/>
              <c:layout>
                <c:manualLayout>
                  <c:x val="-1.2684989851508709E-3"/>
                  <c:y val="-2.48447204968944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682-4A93-BCF6-ADA98A70D25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rgbClr val="00558E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'Průměrný příjem na osobu (2)'!$A$9:$A$19</c:f>
              <c:numCache>
                <c:formatCode>General</c:formatCode>
                <c:ptCount val="10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  <c:pt idx="9">
                  <c:v>2022</c:v>
                </c:pt>
              </c:numCache>
              <c:extLst/>
            </c:numRef>
          </c:cat>
          <c:val>
            <c:numRef>
              <c:f>'Průměrný příjem na osobu (2)'!$C$42:$C$52</c:f>
              <c:numCache>
                <c:formatCode>0.0</c:formatCode>
                <c:ptCount val="10"/>
                <c:pt idx="0">
                  <c:v>2.3588024336002462</c:v>
                </c:pt>
                <c:pt idx="1">
                  <c:v>2.8407571002616407</c:v>
                </c:pt>
                <c:pt idx="2">
                  <c:v>4.5865704878095102</c:v>
                </c:pt>
                <c:pt idx="3">
                  <c:v>4.4408489068014774</c:v>
                </c:pt>
                <c:pt idx="4">
                  <c:v>5.9647213674312241</c:v>
                </c:pt>
                <c:pt idx="5">
                  <c:v>6.9216138739222686</c:v>
                </c:pt>
                <c:pt idx="6">
                  <c:v>7.5268799565286599</c:v>
                </c:pt>
                <c:pt idx="7">
                  <c:v>4.9355825611898467</c:v>
                </c:pt>
                <c:pt idx="8">
                  <c:v>9.5654541148362284</c:v>
                </c:pt>
                <c:pt idx="9">
                  <c:v>7.7498678266133965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A-F682-4A93-BCF6-ADA98A70D254}"/>
            </c:ext>
          </c:extLst>
        </c:ser>
        <c:ser>
          <c:idx val="1"/>
          <c:order val="1"/>
          <c:tx>
            <c:strRef>
              <c:f>'Průměrný příjem na osobu (2)'!$D$1</c:f>
              <c:strCache>
                <c:ptCount val="1"/>
                <c:pt idx="0">
                  <c:v>hrubé peněžní příjmy</c:v>
                </c:pt>
              </c:strCache>
            </c:strRef>
          </c:tx>
          <c:spPr>
            <a:ln w="28575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F682-4A93-BCF6-ADA98A70D254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F682-4A93-BCF6-ADA98A70D254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F682-4A93-BCF6-ADA98A70D254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F682-4A93-BCF6-ADA98A70D254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F682-4A93-BCF6-ADA98A70D254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F682-4A93-BCF6-ADA98A70D254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F682-4A93-BCF6-ADA98A70D254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F682-4A93-BCF6-ADA98A70D254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F682-4A93-BCF6-ADA98A70D254}"/>
                </c:ext>
              </c:extLst>
            </c:dLbl>
            <c:dLbl>
              <c:idx val="9"/>
              <c:layout>
                <c:manualLayout>
                  <c:x val="-1.2684989851508709E-3"/>
                  <c:y val="2.48447204968944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F682-4A93-BCF6-ADA98A70D25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rgbClr val="C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'Průměrný příjem na osobu (2)'!$A$9:$A$19</c:f>
              <c:numCache>
                <c:formatCode>General</c:formatCode>
                <c:ptCount val="10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  <c:pt idx="9">
                  <c:v>2022</c:v>
                </c:pt>
              </c:numCache>
              <c:extLst/>
            </c:numRef>
          </c:cat>
          <c:val>
            <c:numRef>
              <c:f>'Průměrný příjem na osobu (2)'!$D$42:$D$52</c:f>
              <c:numCache>
                <c:formatCode>0.0</c:formatCode>
                <c:ptCount val="10"/>
                <c:pt idx="0">
                  <c:v>2.6778000061340066</c:v>
                </c:pt>
                <c:pt idx="1">
                  <c:v>3.4414212735640035</c:v>
                </c:pt>
                <c:pt idx="2">
                  <c:v>4.9250363825679955</c:v>
                </c:pt>
                <c:pt idx="3">
                  <c:v>4.9473737231590036</c:v>
                </c:pt>
                <c:pt idx="4">
                  <c:v>6.7128380033280024</c:v>
                </c:pt>
                <c:pt idx="5">
                  <c:v>7.5932528118309932</c:v>
                </c:pt>
                <c:pt idx="6">
                  <c:v>8.1738315002150017</c:v>
                </c:pt>
                <c:pt idx="7">
                  <c:v>4.886929888723003</c:v>
                </c:pt>
                <c:pt idx="8">
                  <c:v>5.3366540159649958</c:v>
                </c:pt>
                <c:pt idx="9">
                  <c:v>7.481349802310973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15-F682-4A93-BCF6-ADA98A70D254}"/>
            </c:ext>
          </c:extLst>
        </c:ser>
        <c:ser>
          <c:idx val="2"/>
          <c:order val="2"/>
          <c:tx>
            <c:strRef>
              <c:f>'Průměrný příjem na osobu (2)'!$E$1</c:f>
              <c:strCache>
                <c:ptCount val="1"/>
                <c:pt idx="0">
                  <c:v>reálné čisté peněžní příjmy</c:v>
                </c:pt>
              </c:strCache>
            </c:strRef>
          </c:tx>
          <c:spPr>
            <a:ln w="28575" cap="rnd">
              <a:solidFill>
                <a:srgbClr val="7DBB2D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F682-4A93-BCF6-ADA98A70D254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F682-4A93-BCF6-ADA98A70D254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F682-4A93-BCF6-ADA98A70D254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F682-4A93-BCF6-ADA98A70D254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F682-4A93-BCF6-ADA98A70D254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F682-4A93-BCF6-ADA98A70D254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F682-4A93-BCF6-ADA98A70D254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F682-4A93-BCF6-ADA98A70D254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F682-4A93-BCF6-ADA98A70D254}"/>
                </c:ext>
              </c:extLst>
            </c:dLbl>
            <c:dLbl>
              <c:idx val="9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rgbClr val="7DBB2D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F-F682-4A93-BCF6-ADA98A70D25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rgbClr val="A5A5A5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'Průměrný příjem na osobu (2)'!$A$9:$A$19</c:f>
              <c:numCache>
                <c:formatCode>General</c:formatCode>
                <c:ptCount val="10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  <c:pt idx="9">
                  <c:v>2022</c:v>
                </c:pt>
              </c:numCache>
              <c:extLst/>
            </c:numRef>
          </c:cat>
          <c:val>
            <c:numRef>
              <c:f>'Průměrný příjem na osobu (2)'!$E$42:$E$52</c:f>
              <c:numCache>
                <c:formatCode>0.0</c:formatCode>
                <c:ptCount val="10"/>
                <c:pt idx="0">
                  <c:v>0.94556453017800379</c:v>
                </c:pt>
                <c:pt idx="1">
                  <c:v>2.4310329683879957</c:v>
                </c:pt>
                <c:pt idx="2">
                  <c:v>4.2737492400890034</c:v>
                </c:pt>
                <c:pt idx="3">
                  <c:v>3.7148449918580013</c:v>
                </c:pt>
                <c:pt idx="4">
                  <c:v>3.3802159682259969</c:v>
                </c:pt>
                <c:pt idx="5">
                  <c:v>4.7224425797480052</c:v>
                </c:pt>
                <c:pt idx="6">
                  <c:v>4.5981322534329934</c:v>
                </c:pt>
                <c:pt idx="7">
                  <c:v>1.6817660476649934</c:v>
                </c:pt>
                <c:pt idx="8">
                  <c:v>5.5543873938690069</c:v>
                </c:pt>
                <c:pt idx="9">
                  <c:v>-6.4671286227314368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20-F682-4A93-BCF6-ADA98A70D2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221306895"/>
        <c:axId val="1221298159"/>
      </c:lineChart>
      <c:catAx>
        <c:axId val="1221306895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rgbClr val="D9D9D9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221298159"/>
        <c:crosses val="autoZero"/>
        <c:auto val="1"/>
        <c:lblAlgn val="ctr"/>
        <c:lblOffset val="100"/>
        <c:noMultiLvlLbl val="0"/>
      </c:catAx>
      <c:valAx>
        <c:axId val="1221298159"/>
        <c:scaling>
          <c:orientation val="minMax"/>
          <c:max val="10"/>
          <c:min val="-8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 sz="900"/>
                  <a:t>Meziroční</a:t>
                </a:r>
                <a:r>
                  <a:rPr lang="cs-CZ" sz="900" baseline="0"/>
                  <a:t> růst příjmů (v %)</a:t>
                </a:r>
                <a:endParaRPr lang="cs-CZ" sz="900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0.0" sourceLinked="0"/>
        <c:majorTickMark val="out"/>
        <c:minorTickMark val="none"/>
        <c:tickLblPos val="nextTo"/>
        <c:spPr>
          <a:noFill/>
          <a:ln>
            <a:solidFill>
              <a:srgbClr val="D9D9D9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221306895"/>
        <c:crosses val="autoZero"/>
        <c:crossBetween val="between"/>
        <c:majorUnit val="2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2768282176960247"/>
          <c:y val="0.93757839057625447"/>
          <c:w val="0.81905296514967219"/>
          <c:h val="5.262369148130825E-2"/>
        </c:manualLayout>
      </c:layout>
      <c:overlay val="0"/>
      <c:spPr>
        <a:noFill/>
        <a:ln>
          <a:solidFill>
            <a:srgbClr val="D9D9D9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2846262387864416E-2"/>
          <c:y val="6.8149709632752589E-2"/>
          <c:w val="0.86378158437180019"/>
          <c:h val="0.69294111820928039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'Vycházení s příjmy_2'!$B$4</c:f>
              <c:strCache>
                <c:ptCount val="1"/>
                <c:pt idx="0">
                  <c:v>snadno až velmi snadno</c:v>
                </c:pt>
              </c:strCache>
            </c:strRef>
          </c:tx>
          <c:spPr>
            <a:solidFill>
              <a:srgbClr val="7DBB2D"/>
            </a:solidFill>
          </c:spPr>
          <c:invertIfNegative val="0"/>
          <c:dLbls>
            <c:numFmt formatCode="#,##0.0" sourceLinked="0"/>
            <c:spPr>
              <a:noFill/>
              <a:ln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'Vycházení s příjmy_2'!$C$3:$H$3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'Vycházení s příjmy_2'!$C$4:$H$4</c:f>
              <c:numCache>
                <c:formatCode>General</c:formatCode>
                <c:ptCount val="5"/>
                <c:pt idx="0">
                  <c:v>18.399999999999999</c:v>
                </c:pt>
                <c:pt idx="1">
                  <c:v>19.38</c:v>
                </c:pt>
                <c:pt idx="2">
                  <c:v>20</c:v>
                </c:pt>
                <c:pt idx="3">
                  <c:v>18.66</c:v>
                </c:pt>
                <c:pt idx="4">
                  <c:v>17.7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27B-4CF9-ADFF-FC1CF0C4ED4E}"/>
            </c:ext>
          </c:extLst>
        </c:ser>
        <c:ser>
          <c:idx val="1"/>
          <c:order val="1"/>
          <c:tx>
            <c:strRef>
              <c:f>'Vycházení s příjmy_2'!$B$5</c:f>
              <c:strCache>
                <c:ptCount val="1"/>
                <c:pt idx="0">
                  <c:v>s menšími obtížemi, docela snadno</c:v>
                </c:pt>
              </c:strCache>
            </c:strRef>
          </c:tx>
          <c:spPr>
            <a:solidFill>
              <a:srgbClr val="0071BC"/>
            </a:solidFill>
          </c:spPr>
          <c:invertIfNegative val="0"/>
          <c:dLbls>
            <c:numFmt formatCode="#,##0.0" sourceLinked="0"/>
            <c:spPr>
              <a:noFill/>
              <a:ln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'Vycházení s příjmy_2'!$C$3:$H$3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'Vycházení s příjmy_2'!$C$5:$H$5</c:f>
              <c:numCache>
                <c:formatCode>General</c:formatCode>
                <c:ptCount val="5"/>
                <c:pt idx="0">
                  <c:v>67.33</c:v>
                </c:pt>
                <c:pt idx="1">
                  <c:v>67.62</c:v>
                </c:pt>
                <c:pt idx="2">
                  <c:v>68.05</c:v>
                </c:pt>
                <c:pt idx="3">
                  <c:v>68.14</c:v>
                </c:pt>
                <c:pt idx="4">
                  <c:v>68.599999999999994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27B-4CF9-ADFF-FC1CF0C4ED4E}"/>
            </c:ext>
          </c:extLst>
        </c:ser>
        <c:ser>
          <c:idx val="2"/>
          <c:order val="2"/>
          <c:tx>
            <c:strRef>
              <c:f>'Vycházení s příjmy_2'!$B$6</c:f>
              <c:strCache>
                <c:ptCount val="1"/>
                <c:pt idx="0">
                  <c:v>s obtížemi až velkými obtížemi</c:v>
                </c:pt>
              </c:strCache>
            </c:strRef>
          </c:tx>
          <c:spPr>
            <a:solidFill>
              <a:srgbClr val="BD1B21"/>
            </a:solidFill>
          </c:spPr>
          <c:invertIfNegative val="0"/>
          <c:dLbls>
            <c:numFmt formatCode="#,##0.0" sourceLinked="0"/>
            <c:spPr>
              <a:noFill/>
              <a:ln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'Vycházení s příjmy_2'!$C$3:$H$3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'Vycházení s příjmy_2'!$C$6:$H$6</c:f>
              <c:numCache>
                <c:formatCode>General</c:formatCode>
                <c:ptCount val="5"/>
                <c:pt idx="0">
                  <c:v>14.26</c:v>
                </c:pt>
                <c:pt idx="1">
                  <c:v>13</c:v>
                </c:pt>
                <c:pt idx="2">
                  <c:v>11.95</c:v>
                </c:pt>
                <c:pt idx="3">
                  <c:v>13.19</c:v>
                </c:pt>
                <c:pt idx="4">
                  <c:v>13.65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27B-4CF9-ADFF-FC1CF0C4ED4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0"/>
        <c:overlap val="100"/>
        <c:axId val="250208256"/>
        <c:axId val="250209792"/>
      </c:barChart>
      <c:catAx>
        <c:axId val="2502082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solidFill>
              <a:srgbClr val="D9D9D9"/>
            </a:solidFill>
          </a:ln>
        </c:spPr>
        <c:txPr>
          <a:bodyPr rot="0" vert="horz"/>
          <a:lstStyle/>
          <a:p>
            <a:pPr>
              <a:defRPr sz="900">
                <a:solidFill>
                  <a:sysClr val="windowText" lastClr="000000"/>
                </a:solidFill>
              </a:defRPr>
            </a:pPr>
            <a:endParaRPr lang="cs-CZ"/>
          </a:p>
        </c:txPr>
        <c:crossAx val="250209792"/>
        <c:crosses val="autoZero"/>
        <c:auto val="1"/>
        <c:lblAlgn val="ctr"/>
        <c:lblOffset val="100"/>
        <c:noMultiLvlLbl val="0"/>
      </c:catAx>
      <c:valAx>
        <c:axId val="250209792"/>
        <c:scaling>
          <c:orientation val="minMax"/>
        </c:scaling>
        <c:delete val="0"/>
        <c:axPos val="l"/>
        <c:majorGridlines>
          <c:spPr>
            <a:ln>
              <a:noFill/>
              <a:prstDash val="dash"/>
            </a:ln>
          </c:spPr>
        </c:majorGridlines>
        <c:numFmt formatCode="0#\ %" sourceLinked="0"/>
        <c:majorTickMark val="out"/>
        <c:minorTickMark val="none"/>
        <c:tickLblPos val="nextTo"/>
        <c:spPr>
          <a:ln>
            <a:noFill/>
          </a:ln>
        </c:spPr>
        <c:txPr>
          <a:bodyPr rot="0" vert="horz"/>
          <a:lstStyle/>
          <a:p>
            <a:pPr>
              <a:defRPr sz="900">
                <a:solidFill>
                  <a:sysClr val="windowText" lastClr="000000"/>
                </a:solidFill>
              </a:defRPr>
            </a:pPr>
            <a:endParaRPr lang="cs-CZ"/>
          </a:p>
        </c:txPr>
        <c:crossAx val="250208256"/>
        <c:crosses val="autoZero"/>
        <c:crossBetween val="between"/>
        <c:majorUnit val="0.2"/>
      </c:valAx>
    </c:plotArea>
    <c:legend>
      <c:legendPos val="b"/>
      <c:layout>
        <c:manualLayout>
          <c:xMode val="edge"/>
          <c:yMode val="edge"/>
          <c:x val="5.0000044713320542E-2"/>
          <c:y val="0.8775488523875169"/>
          <c:w val="0.89999991057335893"/>
          <c:h val="6.3103966603581085E-2"/>
        </c:manualLayout>
      </c:layout>
      <c:overlay val="0"/>
      <c:spPr>
        <a:ln>
          <a:solidFill>
            <a:srgbClr val="D9D9D9"/>
          </a:solidFill>
        </a:ln>
      </c:spPr>
      <c:txPr>
        <a:bodyPr/>
        <a:lstStyle/>
        <a:p>
          <a:pPr>
            <a:defRPr sz="900"/>
          </a:pPr>
          <a:endParaRPr lang="cs-CZ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400" b="0" i="0" u="none" strike="noStrike" baseline="0">
          <a:solidFill>
            <a:srgbClr val="000000"/>
          </a:solidFill>
          <a:latin typeface="Arial" pitchFamily="34" charset="0"/>
          <a:ea typeface="Calibri"/>
          <a:cs typeface="Arial" pitchFamily="34" charset="0"/>
        </a:defRPr>
      </a:pPr>
      <a:endParaRPr lang="cs-CZ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6273091944198618E-2"/>
          <c:y val="4.7533999078517554E-2"/>
          <c:w val="0.80135494388383333"/>
          <c:h val="0.7782561203518197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'Míra ohrožení p. chudobou'!$B$5</c:f>
              <c:strCache>
                <c:ptCount val="1"/>
                <c:pt idx="0">
                  <c:v>míra ohrožení příjmovou chudobou</c:v>
                </c:pt>
              </c:strCache>
            </c:strRef>
          </c:tx>
          <c:spPr>
            <a:solidFill>
              <a:srgbClr val="00558E"/>
            </a:solidFill>
            <a:ln>
              <a:noFill/>
            </a:ln>
            <a:effectLst/>
          </c:spPr>
          <c:invertIfNegative val="0"/>
          <c:dLbls>
            <c:spPr>
              <a:solidFill>
                <a:schemeClr val="lt1"/>
              </a:solidFill>
              <a:ln>
                <a:solidFill>
                  <a:schemeClr val="dk1">
                    <a:lumMod val="25000"/>
                    <a:lumOff val="75000"/>
                  </a:schemeClr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'Míra ohrožení p. chudobou'!$H$4:$Q$4</c:f>
              <c:numCache>
                <c:formatCode>General</c:formatCode>
                <c:ptCount val="10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  <c:pt idx="8">
                  <c:v>2022</c:v>
                </c:pt>
                <c:pt idx="9">
                  <c:v>2023</c:v>
                </c:pt>
              </c:numCache>
            </c:numRef>
          </c:cat>
          <c:val>
            <c:numRef>
              <c:f>'Míra ohrožení p. chudobou'!$H$5:$Q$5</c:f>
              <c:numCache>
                <c:formatCode>General</c:formatCode>
                <c:ptCount val="10"/>
                <c:pt idx="0">
                  <c:v>9.6999999999999993</c:v>
                </c:pt>
                <c:pt idx="1">
                  <c:v>9.6999999999999993</c:v>
                </c:pt>
                <c:pt idx="2">
                  <c:v>9.6999999999999993</c:v>
                </c:pt>
                <c:pt idx="3">
                  <c:v>9.1</c:v>
                </c:pt>
                <c:pt idx="4">
                  <c:v>9.6</c:v>
                </c:pt>
                <c:pt idx="5">
                  <c:v>10.1</c:v>
                </c:pt>
                <c:pt idx="6">
                  <c:v>9.5</c:v>
                </c:pt>
                <c:pt idx="7">
                  <c:v>8.6</c:v>
                </c:pt>
                <c:pt idx="8">
                  <c:v>10.199999999999999</c:v>
                </c:pt>
                <c:pt idx="9" formatCode="0.0">
                  <c:v>9.81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9D1-45BE-B50F-49CA13AE53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axId val="422312224"/>
        <c:axId val="336696512"/>
      </c:barChart>
      <c:lineChart>
        <c:grouping val="standard"/>
        <c:varyColors val="0"/>
        <c:ser>
          <c:idx val="1"/>
          <c:order val="1"/>
          <c:tx>
            <c:strRef>
              <c:f>'Míra ohrožení p. chudobou'!$B$6</c:f>
              <c:strCache>
                <c:ptCount val="1"/>
                <c:pt idx="0">
                  <c:v>hranice příjmové chudoby</c:v>
                </c:pt>
              </c:strCache>
            </c:strRef>
          </c:tx>
          <c:spPr>
            <a:ln w="28575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3.1558185404339252E-2"/>
                  <c:y val="-3.10077456290574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9D1-45BE-B50F-49CA13AE5330}"/>
                </c:ext>
              </c:extLst>
            </c:dLbl>
            <c:dLbl>
              <c:idx val="1"/>
              <c:layout>
                <c:manualLayout>
                  <c:x val="-2.6298487836949377E-2"/>
                  <c:y val="-3.10077456290574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9D1-45BE-B50F-49CA13AE5330}"/>
                </c:ext>
              </c:extLst>
            </c:dLbl>
            <c:dLbl>
              <c:idx val="2"/>
              <c:layout>
                <c:manualLayout>
                  <c:x val="-3.1558185404339349E-2"/>
                  <c:y val="-3.10077456290574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9D1-45BE-B50F-49CA13AE5330}"/>
                </c:ext>
              </c:extLst>
            </c:dLbl>
            <c:dLbl>
              <c:idx val="3"/>
              <c:layout>
                <c:manualLayout>
                  <c:x val="-3.2873109796186815E-2"/>
                  <c:y val="-3.10077456290574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9D1-45BE-B50F-49CA13AE5330}"/>
                </c:ext>
              </c:extLst>
            </c:dLbl>
            <c:dLbl>
              <c:idx val="4"/>
              <c:layout>
                <c:manualLayout>
                  <c:x val="-3.8132807363576687E-2"/>
                  <c:y val="-2.58397880242145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9D1-45BE-B50F-49CA13AE5330}"/>
                </c:ext>
              </c:extLst>
            </c:dLbl>
            <c:dLbl>
              <c:idx val="5"/>
              <c:layout>
                <c:manualLayout>
                  <c:x val="-3.9447731755424063E-2"/>
                  <c:y val="-2.32558092217930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9D1-45BE-B50F-49CA13AE5330}"/>
                </c:ext>
              </c:extLst>
            </c:dLbl>
            <c:dLbl>
              <c:idx val="6"/>
              <c:layout>
                <c:manualLayout>
                  <c:x val="-2.9458853666346648E-2"/>
                  <c:y val="-1.84089414858645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9D1-45BE-B50F-49CA13AE5330}"/>
                </c:ext>
              </c:extLst>
            </c:dLbl>
            <c:dLbl>
              <c:idx val="7"/>
              <c:layout>
                <c:manualLayout>
                  <c:x val="-1.536983669548511E-2"/>
                  <c:y val="-2.89283366206443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59D1-45BE-B50F-49CA13AE5330}"/>
                </c:ext>
              </c:extLst>
            </c:dLbl>
            <c:dLbl>
              <c:idx val="9"/>
              <c:layout>
                <c:manualLayout>
                  <c:x val="-2.6897214217098848E-2"/>
                  <c:y val="-2.6298487836949377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fld id="{6FAC0651-0938-4973-B51C-31ED65EC698C}" type="VALUE">
                      <a:rPr lang="en-US"/>
                      <a:pPr>
                        <a:defRPr/>
                      </a:pPr>
                      <a:t>[HODNOTA]</a:t>
                    </a:fld>
                    <a:endParaRPr lang="cs-CZ"/>
                  </a:p>
                </c:rich>
              </c:tx>
              <c:numFmt formatCode="#,##0" sourceLinked="0"/>
              <c:spPr>
                <a:solidFill>
                  <a:schemeClr val="bg1">
                    <a:lumMod val="95000"/>
                  </a:schemeClr>
                </a:solidFill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59D1-45BE-B50F-49CA13AE5330}"/>
                </c:ext>
              </c:extLst>
            </c:dLbl>
            <c:numFmt formatCode="#,##0" sourceLinked="0"/>
            <c:spPr>
              <a:solidFill>
                <a:schemeClr val="lt1"/>
              </a:solidFill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'Míra ohrožení p. chudobou'!$F$4:$O$4</c:f>
              <c:numCache>
                <c:formatCode>General</c:formatCode>
                <c:ptCount val="10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</c:numCache>
            </c:numRef>
          </c:cat>
          <c:val>
            <c:numRef>
              <c:f>'Míra ohrožení p. chudobou'!$H$6:$Q$6</c:f>
              <c:numCache>
                <c:formatCode>General</c:formatCode>
                <c:ptCount val="10"/>
                <c:pt idx="0">
                  <c:v>9901</c:v>
                </c:pt>
                <c:pt idx="1">
                  <c:v>10220</c:v>
                </c:pt>
                <c:pt idx="2">
                  <c:v>10691</c:v>
                </c:pt>
                <c:pt idx="3">
                  <c:v>11195</c:v>
                </c:pt>
                <c:pt idx="4">
                  <c:v>11963</c:v>
                </c:pt>
                <c:pt idx="5">
                  <c:v>12818</c:v>
                </c:pt>
                <c:pt idx="6">
                  <c:v>13640</c:v>
                </c:pt>
                <c:pt idx="7">
                  <c:v>14055</c:v>
                </c:pt>
                <c:pt idx="8">
                  <c:v>15571</c:v>
                </c:pt>
                <c:pt idx="9" formatCode="0">
                  <c:v>16773.583333333332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A-59D1-45BE-B50F-49CA13AE53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24748560"/>
        <c:axId val="448713456"/>
      </c:lineChart>
      <c:catAx>
        <c:axId val="4223122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rgbClr val="D9D9D9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336696512"/>
        <c:crossesAt val="0"/>
        <c:auto val="1"/>
        <c:lblAlgn val="ctr"/>
        <c:lblOffset val="100"/>
        <c:noMultiLvlLbl val="0"/>
      </c:catAx>
      <c:valAx>
        <c:axId val="336696512"/>
        <c:scaling>
          <c:orientation val="minMax"/>
          <c:max val="14"/>
          <c:min val="0"/>
        </c:scaling>
        <c:delete val="0"/>
        <c:axPos val="l"/>
        <c:majorGridlines>
          <c:spPr>
            <a:ln w="9525" cap="flat" cmpd="sng" algn="ctr">
              <a:solidFill>
                <a:srgbClr val="D9D9D9"/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/>
                  <a:t>Podíl osob pod hranicí chudoby (v %)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8.6382718010392795E-3"/>
              <c:y val="6.5942940564382116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0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422312224"/>
        <c:crosses val="autoZero"/>
        <c:crossBetween val="between"/>
        <c:majorUnit val="2"/>
      </c:valAx>
      <c:valAx>
        <c:axId val="448713456"/>
        <c:scaling>
          <c:orientation val="minMax"/>
          <c:max val="18000"/>
          <c:min val="0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H</a:t>
                </a:r>
                <a:r>
                  <a:rPr lang="cs-CZ"/>
                  <a:t>ranice chudoby (v Kč/měsíc)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0.96874799871918027"/>
              <c:y val="0.133670658031651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#,##0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424748560"/>
        <c:crosses val="max"/>
        <c:crossBetween val="between"/>
        <c:majorUnit val="2000"/>
      </c:valAx>
      <c:catAx>
        <c:axId val="424748560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448713456"/>
        <c:crosses val="max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solidFill>
            <a:schemeClr val="bg1">
              <a:lumMod val="8500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 baseline="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0" i="0" u="none" strike="noStrike" kern="1200" spc="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cs-CZ" sz="900"/>
              <a:t>Míra</a:t>
            </a:r>
            <a:r>
              <a:rPr lang="en-US" sz="900"/>
              <a:t> </a:t>
            </a:r>
            <a:r>
              <a:rPr lang="cs-CZ" sz="900"/>
              <a:t>příjmové </a:t>
            </a:r>
            <a:r>
              <a:rPr lang="en-US" sz="900"/>
              <a:t>chudoby</a:t>
            </a:r>
            <a:r>
              <a:rPr lang="cs-CZ" sz="900"/>
              <a:t> jako odraz vývoje příjmů "dolní" poloviny populace</a:t>
            </a:r>
            <a:endParaRPr lang="en-US" sz="9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spc="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9.9399606299212601E-2"/>
          <c:y val="0.11436937318319079"/>
          <c:w val="0.78841597925259344"/>
          <c:h val="0.65246352270482322"/>
        </c:manualLayout>
      </c:layout>
      <c:lineChart>
        <c:grouping val="standard"/>
        <c:varyColors val="0"/>
        <c:ser>
          <c:idx val="0"/>
          <c:order val="0"/>
          <c:tx>
            <c:strRef>
              <c:f>'GRAF_Jarda (verze 3)'!$C$3</c:f>
              <c:strCache>
                <c:ptCount val="1"/>
                <c:pt idx="0">
                  <c:v>1.decil</c:v>
                </c:pt>
              </c:strCache>
            </c:strRef>
          </c:tx>
          <c:spPr>
            <a:ln w="50800" cap="rnd">
              <a:solidFill>
                <a:srgbClr val="7DBB2D">
                  <a:alpha val="50000"/>
                </a:srgbClr>
              </a:solidFill>
              <a:prstDash val="sysDot"/>
              <a:round/>
            </a:ln>
            <a:effectLst/>
          </c:spPr>
          <c:marker>
            <c:symbol val="diamond"/>
            <c:size val="4"/>
            <c:spPr>
              <a:solidFill>
                <a:srgbClr val="7DBB2D"/>
              </a:solidFill>
              <a:ln w="50800">
                <a:solidFill>
                  <a:srgbClr val="7DBB2D"/>
                </a:solidFill>
              </a:ln>
              <a:effectLst/>
            </c:spPr>
          </c:marker>
          <c:cat>
            <c:numRef>
              <c:f>'GRAF_Jarda (verze 3)'!$B$5:$B$13</c:f>
              <c:numCache>
                <c:formatCode>General</c:formatCode>
                <c:ptCount val="6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</c:numCache>
              <c:extLst/>
            </c:numRef>
          </c:cat>
          <c:val>
            <c:numRef>
              <c:f>'GRAF_Jarda (verze 3)'!$D$5:$D$13</c:f>
              <c:numCache>
                <c:formatCode>0.000</c:formatCode>
                <c:ptCount val="6"/>
                <c:pt idx="0">
                  <c:v>1.0517518420455618</c:v>
                </c:pt>
                <c:pt idx="1">
                  <c:v>1.0586241987068548</c:v>
                </c:pt>
                <c:pt idx="2">
                  <c:v>1.0846452941849631</c:v>
                </c:pt>
                <c:pt idx="3">
                  <c:v>1.0540875993953456</c:v>
                </c:pt>
                <c:pt idx="4">
                  <c:v>1.0610279229915693</c:v>
                </c:pt>
                <c:pt idx="5">
                  <c:v>1.0890797162386527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0-7C91-4ABC-94E4-599A30AAEE11}"/>
            </c:ext>
          </c:extLst>
        </c:ser>
        <c:ser>
          <c:idx val="1"/>
          <c:order val="1"/>
          <c:tx>
            <c:strRef>
              <c:f>'GRAF_Jarda (verze 3)'!$E$3</c:f>
              <c:strCache>
                <c:ptCount val="1"/>
                <c:pt idx="0">
                  <c:v>5.decil</c:v>
                </c:pt>
              </c:strCache>
            </c:strRef>
          </c:tx>
          <c:spPr>
            <a:ln w="50800" cap="rnd">
              <a:solidFill>
                <a:srgbClr val="00558E">
                  <a:alpha val="50000"/>
                </a:srgbClr>
              </a:solidFill>
              <a:prstDash val="sysDot"/>
              <a:round/>
            </a:ln>
            <a:effectLst/>
          </c:spPr>
          <c:marker>
            <c:symbol val="diamond"/>
            <c:size val="4"/>
            <c:spPr>
              <a:solidFill>
                <a:srgbClr val="00558E"/>
              </a:solidFill>
              <a:ln w="50800">
                <a:solidFill>
                  <a:srgbClr val="00558E"/>
                </a:solidFill>
              </a:ln>
              <a:effectLst/>
            </c:spPr>
          </c:marker>
          <c:cat>
            <c:numRef>
              <c:f>'GRAF_Jarda (verze 3)'!$B$5:$B$13</c:f>
              <c:numCache>
                <c:formatCode>General</c:formatCode>
                <c:ptCount val="6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</c:numCache>
              <c:extLst/>
            </c:numRef>
          </c:cat>
          <c:val>
            <c:numRef>
              <c:f>'GRAF_Jarda (verze 3)'!$F$5:$F$13</c:f>
              <c:numCache>
                <c:formatCode>0.000</c:formatCode>
                <c:ptCount val="6"/>
                <c:pt idx="0">
                  <c:v>1.0686384638919473</c:v>
                </c:pt>
                <c:pt idx="1">
                  <c:v>1.0714444938100294</c:v>
                </c:pt>
                <c:pt idx="2">
                  <c:v>1.0641631611439801</c:v>
                </c:pt>
                <c:pt idx="3">
                  <c:v>1.0303922287390028</c:v>
                </c:pt>
                <c:pt idx="4">
                  <c:v>1.1078654243643518</c:v>
                </c:pt>
                <c:pt idx="5">
                  <c:v>1.0772612399690442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1-7C91-4ABC-94E4-599A30AAEE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92301823"/>
        <c:axId val="992303487"/>
        <c:extLst>
          <c:ext xmlns:c15="http://schemas.microsoft.com/office/drawing/2012/chart" uri="{02D57815-91ED-43cb-92C2-25804820EDAC}">
            <c15:filteredLineSeries>
              <c15:ser>
                <c:idx val="3"/>
                <c:order val="2"/>
                <c:tx>
                  <c:strRef>
                    <c:extLst>
                      <c:ext uri="{02D57815-91ED-43cb-92C2-25804820EDAC}">
                        <c15:formulaRef>
                          <c15:sqref>'GRAF_Jarda (verze 3)'!$K$3</c15:sqref>
                        </c15:formulaRef>
                      </c:ext>
                    </c:extLst>
                    <c:strCache>
                      <c:ptCount val="1"/>
                      <c:pt idx="0">
                        <c:v>5.decil/1.decil</c:v>
                      </c:pt>
                    </c:strCache>
                  </c:strRef>
                </c:tx>
                <c:spPr>
                  <a:ln w="28575" cap="rnd">
                    <a:solidFill>
                      <a:srgbClr val="92D050"/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rgbClr val="92D050"/>
                    </a:solidFill>
                    <a:ln w="9525">
                      <a:solidFill>
                        <a:srgbClr val="92D050"/>
                      </a:solidFill>
                    </a:ln>
                    <a:effectLst/>
                  </c:spPr>
                </c:marker>
                <c:cat>
                  <c:numRef>
                    <c:extLst>
                      <c:ext uri="{02D57815-91ED-43cb-92C2-25804820EDAC}">
                        <c15:formulaRef>
                          <c15:sqref>'GRAF_Jarda (verze 3)'!$B$5:$B$13</c15:sqref>
                        </c15:formulaRef>
                      </c:ext>
                    </c:extLst>
                    <c:numCache>
                      <c:formatCode>General</c:formatCode>
                      <c:ptCount val="6"/>
                      <c:pt idx="0">
                        <c:v>2018</c:v>
                      </c:pt>
                      <c:pt idx="1">
                        <c:v>2019</c:v>
                      </c:pt>
                      <c:pt idx="2">
                        <c:v>2020</c:v>
                      </c:pt>
                      <c:pt idx="3">
                        <c:v>2021</c:v>
                      </c:pt>
                      <c:pt idx="4">
                        <c:v>2022</c:v>
                      </c:pt>
                      <c:pt idx="5">
                        <c:v>2023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'GRAF_Jarda (verze 3)'!$K$5:$K$13</c15:sqref>
                        </c15:formulaRef>
                      </c:ext>
                    </c:extLst>
                    <c:numCache>
                      <c:formatCode>0.000</c:formatCode>
                      <c:ptCount val="6"/>
                      <c:pt idx="0">
                        <c:v>1.0160557093140361</c:v>
                      </c:pt>
                      <c:pt idx="1">
                        <c:v>1.0121103363392174</c:v>
                      </c:pt>
                      <c:pt idx="2">
                        <c:v>0.98111628460401523</c:v>
                      </c:pt>
                      <c:pt idx="3">
                        <c:v>0.97752049196866075</c:v>
                      </c:pt>
                      <c:pt idx="4">
                        <c:v>1.0441435143768167</c:v>
                      </c:pt>
                      <c:pt idx="5">
                        <c:v>0.98914819907726692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3-7C91-4ABC-94E4-599A30AAEE11}"/>
                  </c:ext>
                </c:extLst>
              </c15:ser>
            </c15:filteredLineSeries>
            <c15:filteredLineSeries>
              <c15:ser>
                <c:idx val="4"/>
                <c:order val="4"/>
                <c:spPr>
                  <a:ln w="28575" cap="rnd">
                    <a:solidFill>
                      <a:schemeClr val="tx1"/>
                    </a:solidFill>
                    <a:prstDash val="dash"/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'GRAF_Jarda (verze 3)'!$B$5:$B$13</c15:sqref>
                        </c15:formulaRef>
                      </c:ext>
                    </c:extLst>
                    <c:numCache>
                      <c:formatCode>General</c:formatCode>
                      <c:ptCount val="6"/>
                      <c:pt idx="0">
                        <c:v>2018</c:v>
                      </c:pt>
                      <c:pt idx="1">
                        <c:v>2019</c:v>
                      </c:pt>
                      <c:pt idx="2">
                        <c:v>2020</c:v>
                      </c:pt>
                      <c:pt idx="3">
                        <c:v>2021</c:v>
                      </c:pt>
                      <c:pt idx="4">
                        <c:v>2022</c:v>
                      </c:pt>
                      <c:pt idx="5">
                        <c:v>2023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'GRAF_Jarda (verze 3)'!$N$5:$N$13</c15:sqref>
                        </c15:formulaRef>
                      </c:ext>
                    </c:extLst>
                    <c:numCache>
                      <c:formatCode>General</c:formatCode>
                      <c:ptCount val="6"/>
                      <c:pt idx="0">
                        <c:v>1</c:v>
                      </c:pt>
                      <c:pt idx="1">
                        <c:v>1</c:v>
                      </c:pt>
                      <c:pt idx="2">
                        <c:v>1</c:v>
                      </c:pt>
                      <c:pt idx="3">
                        <c:v>1</c:v>
                      </c:pt>
                      <c:pt idx="4">
                        <c:v>1</c:v>
                      </c:pt>
                      <c:pt idx="5">
                        <c:v>1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7C91-4ABC-94E4-599A30AAEE11}"/>
                  </c:ext>
                </c:extLst>
              </c15:ser>
            </c15:filteredLineSeries>
            <c15:filteredLineSeries>
              <c15:ser>
                <c:idx val="7"/>
                <c:order val="5"/>
                <c:tx>
                  <c:v>chudoba R-1=100</c:v>
                </c:tx>
                <c:spPr>
                  <a:ln w="28575" cap="rnd">
                    <a:solidFill>
                      <a:srgbClr val="00B050"/>
                    </a:solidFill>
                    <a:prstDash val="sysDash"/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rgbClr val="00B050"/>
                    </a:solidFill>
                    <a:ln w="9525">
                      <a:solidFill>
                        <a:srgbClr val="00B050"/>
                      </a:solidFill>
                    </a:ln>
                    <a:effectLst/>
                  </c:spPr>
                </c:marker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'GRAF_Jarda (verze 3)'!$B$5:$B$13</c15:sqref>
                        </c15:formulaRef>
                      </c:ext>
                    </c:extLst>
                    <c:numCache>
                      <c:formatCode>General</c:formatCode>
                      <c:ptCount val="6"/>
                      <c:pt idx="0">
                        <c:v>2018</c:v>
                      </c:pt>
                      <c:pt idx="1">
                        <c:v>2019</c:v>
                      </c:pt>
                      <c:pt idx="2">
                        <c:v>2020</c:v>
                      </c:pt>
                      <c:pt idx="3">
                        <c:v>2021</c:v>
                      </c:pt>
                      <c:pt idx="4">
                        <c:v>2022</c:v>
                      </c:pt>
                      <c:pt idx="5">
                        <c:v>2023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'GRAF_Jarda (verze 3)'!$J$5:$J$13</c15:sqref>
                        </c15:formulaRef>
                      </c:ext>
                    </c:extLst>
                    <c:numCache>
                      <c:formatCode>0.000</c:formatCode>
                      <c:ptCount val="6"/>
                      <c:pt idx="0">
                        <c:v>1.048087431693989</c:v>
                      </c:pt>
                      <c:pt idx="1">
                        <c:v>1.0583941605839418</c:v>
                      </c:pt>
                      <c:pt idx="2">
                        <c:v>0.93497536945812809</c:v>
                      </c:pt>
                      <c:pt idx="3">
                        <c:v>0.90937829293993688</c:v>
                      </c:pt>
                      <c:pt idx="4">
                        <c:v>1.1819235225955966</c:v>
                      </c:pt>
                      <c:pt idx="5">
                        <c:v>0.96176470588235308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7C91-4ABC-94E4-599A30AAEE11}"/>
                  </c:ext>
                </c:extLst>
              </c15:ser>
            </c15:filteredLineSeries>
          </c:ext>
        </c:extLst>
      </c:lineChart>
      <c:lineChart>
        <c:grouping val="standard"/>
        <c:varyColors val="0"/>
        <c:ser>
          <c:idx val="2"/>
          <c:order val="3"/>
          <c:tx>
            <c:strRef>
              <c:f>'GRAF_Jarda (verze 3)'!$I$3</c:f>
              <c:strCache>
                <c:ptCount val="1"/>
                <c:pt idx="0">
                  <c:v>míra chudoby</c:v>
                </c:pt>
              </c:strCache>
            </c:strRef>
          </c:tx>
          <c:spPr>
            <a:ln w="38100" cap="rnd">
              <a:solidFill>
                <a:srgbClr val="C00000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rgbClr val="C00000"/>
              </a:solidFill>
              <a:ln w="50800">
                <a:solidFill>
                  <a:srgbClr val="C00000"/>
                </a:solidFill>
              </a:ln>
              <a:effectLst/>
            </c:spPr>
          </c:marker>
          <c:cat>
            <c:numRef>
              <c:f>'GRAF_Jarda (verze 3)'!$B$5:$B$9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  <c:extLst/>
            </c:numRef>
          </c:cat>
          <c:val>
            <c:numRef>
              <c:f>'GRAF_Jarda (verze 3)'!$M$5:$M$13</c:f>
              <c:numCache>
                <c:formatCode>0.0</c:formatCode>
                <c:ptCount val="6"/>
                <c:pt idx="0">
                  <c:v>9.59</c:v>
                </c:pt>
                <c:pt idx="1">
                  <c:v>10.15</c:v>
                </c:pt>
                <c:pt idx="2">
                  <c:v>9.49</c:v>
                </c:pt>
                <c:pt idx="3">
                  <c:v>8.6300000000000008</c:v>
                </c:pt>
                <c:pt idx="4">
                  <c:v>10.199999999999999</c:v>
                </c:pt>
                <c:pt idx="5">
                  <c:v>9.81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2-7C91-4ABC-94E4-599A30AAEE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59789872"/>
        <c:axId val="1259802768"/>
      </c:lineChart>
      <c:catAx>
        <c:axId val="99230182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992303487"/>
        <c:crosses val="autoZero"/>
        <c:auto val="1"/>
        <c:lblAlgn val="ctr"/>
        <c:lblOffset val="100"/>
        <c:noMultiLvlLbl val="0"/>
      </c:catAx>
      <c:valAx>
        <c:axId val="992303487"/>
        <c:scaling>
          <c:orientation val="minMax"/>
          <c:min val="0.8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/>
                  <a:t>Meziroční změna decilových příjmů</a:t>
                </a:r>
                <a:r>
                  <a:rPr lang="en-US"/>
                  <a:t> </a:t>
                </a:r>
                <a:r>
                  <a:rPr lang="cs-CZ"/>
                  <a:t>(</a:t>
                </a:r>
                <a:r>
                  <a:rPr lang="en-US"/>
                  <a:t>v %</a:t>
                </a:r>
                <a:r>
                  <a:rPr lang="cs-CZ"/>
                  <a:t>)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8.2549937766368126E-3"/>
              <c:y val="0.1025697952142082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0.0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992301823"/>
        <c:crosses val="autoZero"/>
        <c:crossBetween val="between"/>
      </c:valAx>
      <c:valAx>
        <c:axId val="1259802768"/>
        <c:scaling>
          <c:orientation val="minMax"/>
          <c:max val="12.5"/>
          <c:min val="8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rgbClr val="C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>
                    <a:solidFill>
                      <a:srgbClr val="C00000"/>
                    </a:solidFill>
                  </a:rPr>
                  <a:t>Míra chudoby (v </a:t>
                </a:r>
                <a:r>
                  <a:rPr lang="en-GB">
                    <a:solidFill>
                      <a:srgbClr val="C00000"/>
                    </a:solidFill>
                  </a:rPr>
                  <a:t>%</a:t>
                </a:r>
                <a:r>
                  <a:rPr lang="cs-CZ">
                    <a:solidFill>
                      <a:srgbClr val="C00000"/>
                    </a:solidFill>
                  </a:rPr>
                  <a:t>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rgbClr val="C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0.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rgbClr val="C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259789872"/>
        <c:crosses val="max"/>
        <c:crossBetween val="between"/>
      </c:valAx>
      <c:catAx>
        <c:axId val="125978987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259802768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3882874015748032"/>
          <c:y val="0.89265402308582398"/>
          <c:w val="0.53821553555805512"/>
          <c:h val="7.5087912398047019E-2"/>
        </c:manualLayout>
      </c:layout>
      <c:overlay val="0"/>
      <c:spPr>
        <a:noFill/>
        <a:ln>
          <a:solidFill>
            <a:schemeClr val="bg1">
              <a:lumMod val="8500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223061882365375"/>
          <c:y val="5.192238253455312E-2"/>
          <c:w val="0.85666360670433417"/>
          <c:h val="0.7580896505583860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'Složení chudých'!$C$3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A6CDE8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71BC"/>
              </a:solidFill>
              <a:ln>
                <a:noFill/>
              </a:ln>
              <a:effectLst/>
            </c:spPr>
            <c:extLst xmlns:c15="http://schemas.microsoft.com/office/drawing/2012/chart">
              <c:ext xmlns:c16="http://schemas.microsoft.com/office/drawing/2014/chart" uri="{C3380CC4-5D6E-409C-BE32-E72D297353CC}">
                <c16:uniqueId val="{00000001-539C-408D-8AC4-F88C4D79515C}"/>
              </c:ext>
            </c:extLst>
          </c:dPt>
          <c:dPt>
            <c:idx val="1"/>
            <c:invertIfNegative val="0"/>
            <c:bubble3D val="0"/>
            <c:extLst xmlns:c15="http://schemas.microsoft.com/office/drawing/2012/chart">
              <c:ext xmlns:c16="http://schemas.microsoft.com/office/drawing/2014/chart" uri="{C3380CC4-5D6E-409C-BE32-E72D297353CC}">
                <c16:uniqueId val="{00000002-539C-408D-8AC4-F88C4D79515C}"/>
              </c:ext>
            </c:extLst>
          </c:dPt>
          <c:dPt>
            <c:idx val="2"/>
            <c:invertIfNegative val="0"/>
            <c:bubble3D val="0"/>
            <c:extLst xmlns:c15="http://schemas.microsoft.com/office/drawing/2012/chart">
              <c:ext xmlns:c16="http://schemas.microsoft.com/office/drawing/2014/chart" uri="{C3380CC4-5D6E-409C-BE32-E72D297353CC}">
                <c16:uniqueId val="{00000003-539C-408D-8AC4-F88C4D79515C}"/>
              </c:ext>
            </c:extLst>
          </c:dPt>
          <c:dPt>
            <c:idx val="3"/>
            <c:invertIfNegative val="0"/>
            <c:bubble3D val="0"/>
            <c:extLst xmlns:c15="http://schemas.microsoft.com/office/drawing/2012/chart">
              <c:ext xmlns:c16="http://schemas.microsoft.com/office/drawing/2014/chart" uri="{C3380CC4-5D6E-409C-BE32-E72D297353CC}">
                <c16:uniqueId val="{00000004-539C-408D-8AC4-F88C4D79515C}"/>
              </c:ext>
            </c:extLst>
          </c:dPt>
          <c:dPt>
            <c:idx val="4"/>
            <c:invertIfNegative val="0"/>
            <c:bubble3D val="0"/>
            <c:extLst xmlns:c15="http://schemas.microsoft.com/office/drawing/2012/chart">
              <c:ext xmlns:c16="http://schemas.microsoft.com/office/drawing/2014/chart" uri="{C3380CC4-5D6E-409C-BE32-E72D297353CC}">
                <c16:uniqueId val="{00000005-539C-408D-8AC4-F88C4D79515C}"/>
              </c:ext>
            </c:extLst>
          </c:dPt>
          <c:dLbls>
            <c:dLbl>
              <c:idx val="0"/>
              <c:layout>
                <c:manualLayout>
                  <c:x val="-2.7562447662547347E-3"/>
                  <c:y val="-8.6400580846410012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39C-408D-8AC4-F88C4D79515C}"/>
                </c:ext>
              </c:extLst>
            </c:dLbl>
            <c:dLbl>
              <c:idx val="2"/>
              <c:layout>
                <c:manualLayout>
                  <c:x val="-8.448480230293846E-3"/>
                  <c:y val="-2.737202545014333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5="http://schemas.microsoft.com/office/drawing/2012/chart">
                <c:ext xmlns:c15="http://schemas.microsoft.com/office/drawing/2012/chart" uri="{CE6537A1-D6FC-4f65-9D91-7224C49458BB}">
                  <c15:layout>
                    <c:manualLayout>
                      <c:w val="5.8594409569771522E-2"/>
                      <c:h val="5.047329581106733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539C-408D-8AC4-F88C4D79515C}"/>
                </c:ext>
              </c:extLst>
            </c:dLbl>
            <c:numFmt formatCode="#,##0.0" sourceLinked="0"/>
            <c:spPr>
              <a:noFill/>
              <a:ln>
                <a:solidFill>
                  <a:srgbClr val="00558E"/>
                </a:solidFill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5="http://schemas.microsoft.com/office/drawing/2012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'Složení chudých'!$B$4:$B$9</c:f>
              <c:strCache>
                <c:ptCount val="6"/>
                <c:pt idx="0">
                  <c:v>celkem</c:v>
                </c:pt>
                <c:pt idx="1">
                  <c:v>úplná rodina
s dětmi</c:v>
                </c:pt>
                <c:pt idx="2">
                  <c:v>neúplná rodina
s dětmi</c:v>
                </c:pt>
                <c:pt idx="3">
                  <c:v>jednotlivec
(&lt; 65)</c:v>
                </c:pt>
                <c:pt idx="4">
                  <c:v>jednotlivec
(65+)</c:v>
                </c:pt>
                <c:pt idx="5">
                  <c:v>dvojice dospělých</c:v>
                </c:pt>
              </c:strCache>
            </c:strRef>
          </c:cat>
          <c:val>
            <c:numRef>
              <c:f>'Složení chudých'!$C$4:$C$9</c:f>
              <c:numCache>
                <c:formatCode>0.0</c:formatCode>
                <c:ptCount val="6"/>
                <c:pt idx="0">
                  <c:v>10.199999999999999</c:v>
                </c:pt>
                <c:pt idx="1">
                  <c:v>8.1999999999999993</c:v>
                </c:pt>
                <c:pt idx="2">
                  <c:v>30.8</c:v>
                </c:pt>
                <c:pt idx="3">
                  <c:v>15.41</c:v>
                </c:pt>
                <c:pt idx="4">
                  <c:v>37.83</c:v>
                </c:pt>
                <c:pt idx="5">
                  <c:v>4.2</c:v>
                </c:pt>
              </c:numCache>
            </c:numRef>
          </c:val>
          <c:extLst xmlns:c15="http://schemas.microsoft.com/office/drawing/2012/chart">
            <c:ext xmlns:c16="http://schemas.microsoft.com/office/drawing/2014/chart" uri="{C3380CC4-5D6E-409C-BE32-E72D297353CC}">
              <c16:uniqueId val="{00000006-539C-408D-8AC4-F88C4D79515C}"/>
            </c:ext>
          </c:extLst>
        </c:ser>
        <c:ser>
          <c:idx val="1"/>
          <c:order val="1"/>
          <c:tx>
            <c:strRef>
              <c:f>'Složení chudých'!$D$3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rgbClr val="E8AFB2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BD1B2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8-539C-408D-8AC4-F88C4D79515C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539C-408D-8AC4-F88C4D79515C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539C-408D-8AC4-F88C4D79515C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539C-408D-8AC4-F88C4D79515C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539C-408D-8AC4-F88C4D79515C}"/>
              </c:ext>
            </c:extLst>
          </c:dPt>
          <c:dLbls>
            <c:dLbl>
              <c:idx val="0"/>
              <c:layout>
                <c:manualLayout>
                  <c:x val="3.5461150675762851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539C-408D-8AC4-F88C4D79515C}"/>
                </c:ext>
              </c:extLst>
            </c:dLbl>
            <c:dLbl>
              <c:idx val="2"/>
              <c:layout>
                <c:manualLayout>
                  <c:x val="9.6686679101597745E-3"/>
                  <c:y val="-4.779609177888677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8594409569771522E-2"/>
                      <c:h val="4.78419668024072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A-539C-408D-8AC4-F88C4D79515C}"/>
                </c:ext>
              </c:extLst>
            </c:dLbl>
            <c:dLbl>
              <c:idx val="3"/>
              <c:layout>
                <c:manualLayout>
                  <c:x val="9.0586046000857047E-3"/>
                  <c:y val="0"/>
                </c:manualLayout>
              </c:layout>
              <c:numFmt formatCode="#,##0.0" sourceLinked="0"/>
              <c:spPr>
                <a:noFill/>
                <a:ln>
                  <a:solidFill>
                    <a:srgbClr val="BD1B21"/>
                  </a:solidFill>
                </a:ln>
                <a:effectLst/>
              </c:spPr>
              <c:txPr>
                <a:bodyPr rot="0" vert="horz"/>
                <a:lstStyle/>
                <a:p>
                  <a:pPr>
                    <a:defRPr/>
                  </a:pPr>
                  <a:endParaRPr lang="cs-CZ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B-539C-408D-8AC4-F88C4D79515C}"/>
                </c:ext>
              </c:extLst>
            </c:dLbl>
            <c:dLbl>
              <c:idx val="4"/>
              <c:layout>
                <c:manualLayout>
                  <c:x val="4.1343671493820639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539C-408D-8AC4-F88C4D79515C}"/>
                </c:ext>
              </c:extLst>
            </c:dLbl>
            <c:numFmt formatCode="#,##0.0" sourceLinked="0"/>
            <c:spPr>
              <a:noFill/>
              <a:ln>
                <a:solidFill>
                  <a:srgbClr val="BD1B21"/>
                </a:solidFill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'Složení chudých'!$B$4:$B$9</c:f>
              <c:strCache>
                <c:ptCount val="6"/>
                <c:pt idx="0">
                  <c:v>celkem</c:v>
                </c:pt>
                <c:pt idx="1">
                  <c:v>úplná rodina
s dětmi</c:v>
                </c:pt>
                <c:pt idx="2">
                  <c:v>neúplná rodina
s dětmi</c:v>
                </c:pt>
                <c:pt idx="3">
                  <c:v>jednotlivec
(&lt; 65)</c:v>
                </c:pt>
                <c:pt idx="4">
                  <c:v>jednotlivec
(65+)</c:v>
                </c:pt>
                <c:pt idx="5">
                  <c:v>dvojice dospělých</c:v>
                </c:pt>
              </c:strCache>
            </c:strRef>
          </c:cat>
          <c:val>
            <c:numRef>
              <c:f>'Složení chudých'!$D$4:$D$9</c:f>
              <c:numCache>
                <c:formatCode>0.0</c:formatCode>
                <c:ptCount val="6"/>
                <c:pt idx="0">
                  <c:v>9.81</c:v>
                </c:pt>
                <c:pt idx="1">
                  <c:v>7.41</c:v>
                </c:pt>
                <c:pt idx="2">
                  <c:v>32.99</c:v>
                </c:pt>
                <c:pt idx="3">
                  <c:v>13.08</c:v>
                </c:pt>
                <c:pt idx="4">
                  <c:v>33.25</c:v>
                </c:pt>
                <c:pt idx="5">
                  <c:v>4.08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539C-408D-8AC4-F88C4D7951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42414128"/>
        <c:axId val="1642417872"/>
        <c:extLst/>
      </c:barChart>
      <c:catAx>
        <c:axId val="1642414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rgbClr val="D9D9D9"/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cs-CZ"/>
          </a:p>
        </c:txPr>
        <c:crossAx val="1642417872"/>
        <c:crosses val="autoZero"/>
        <c:auto val="1"/>
        <c:lblAlgn val="ctr"/>
        <c:lblOffset val="100"/>
        <c:noMultiLvlLbl val="0"/>
      </c:catAx>
      <c:valAx>
        <c:axId val="1642417872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cs-CZ" b="0"/>
                  <a:t>Podíl osob pod hranicí příjmové chudoby (v %)</a:t>
                </a:r>
              </a:p>
            </c:rich>
          </c:tx>
          <c:layout>
            <c:manualLayout>
              <c:xMode val="edge"/>
              <c:yMode val="edge"/>
              <c:x val="1.805429493727077E-2"/>
              <c:y val="5.4615231919539473E-2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0" sourceLinked="0"/>
        <c:majorTickMark val="out"/>
        <c:minorTickMark val="none"/>
        <c:tickLblPos val="nextTo"/>
        <c:spPr>
          <a:solidFill>
            <a:schemeClr val="bg1"/>
          </a:solidFill>
          <a:ln>
            <a:solidFill>
              <a:srgbClr val="D9D9D9"/>
            </a:solidFill>
          </a:ln>
          <a:effectLst/>
        </c:spPr>
        <c:txPr>
          <a:bodyPr rot="-60000000" vert="horz"/>
          <a:lstStyle/>
          <a:p>
            <a:pPr>
              <a:defRPr/>
            </a:pPr>
            <a:endParaRPr lang="cs-CZ"/>
          </a:p>
        </c:txPr>
        <c:crossAx val="16424141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2197255544399231"/>
          <c:y val="0.92697677241211884"/>
          <c:w val="0.15605471295953777"/>
          <c:h val="6.1462533946262499E-2"/>
        </c:manualLayout>
      </c:layout>
      <c:overlay val="0"/>
      <c:spPr>
        <a:ln>
          <a:solidFill>
            <a:srgbClr val="A5A5A5"/>
          </a:solidFill>
        </a:ln>
      </c:sp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0259043706493208E-2"/>
          <c:y val="3.8360941586748042E-2"/>
          <c:w val="0.86005151529971802"/>
          <c:h val="0.7340029793573100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'Materální a soc. deprivace'!$B$1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A6CDE8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71BC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8C76-41C2-9F05-5B7C097FE4DD}"/>
              </c:ext>
            </c:extLst>
          </c:dPt>
          <c:dLbls>
            <c:dLbl>
              <c:idx val="2"/>
              <c:layout>
                <c:manualLayout>
                  <c:x val="-8.6720867208672885E-3"/>
                  <c:y val="-3.7376394592352274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486-4120-B7DC-84281E039C0E}"/>
                </c:ext>
              </c:extLst>
            </c:dLbl>
            <c:dLbl>
              <c:idx val="4"/>
              <c:layout>
                <c:manualLayout>
                  <c:x val="-4.3360433604336043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486-4120-B7DC-84281E039C0E}"/>
                </c:ext>
              </c:extLst>
            </c:dLbl>
            <c:spPr>
              <a:noFill/>
              <a:ln>
                <a:solidFill>
                  <a:srgbClr val="0071BC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'Materální a soc. deprivace'!$A$2:$A$7</c:f>
              <c:strCache>
                <c:ptCount val="6"/>
                <c:pt idx="0">
                  <c:v>celkem</c:v>
                </c:pt>
                <c:pt idx="1">
                  <c:v>úplná rodina           s dětmi</c:v>
                </c:pt>
                <c:pt idx="2">
                  <c:v>neúplná rodina           s dětmi</c:v>
                </c:pt>
                <c:pt idx="3">
                  <c:v>jednotlivec       (&lt;65)</c:v>
                </c:pt>
                <c:pt idx="4">
                  <c:v>jednotlivec        (65+)</c:v>
                </c:pt>
                <c:pt idx="5">
                  <c:v>dvojice dospělých </c:v>
                </c:pt>
              </c:strCache>
            </c:strRef>
          </c:cat>
          <c:val>
            <c:numRef>
              <c:f>'Materální a soc. deprivace'!$B$2:$B$7</c:f>
              <c:numCache>
                <c:formatCode>General</c:formatCode>
                <c:ptCount val="6"/>
                <c:pt idx="0">
                  <c:v>4.8</c:v>
                </c:pt>
                <c:pt idx="1">
                  <c:v>4.2</c:v>
                </c:pt>
                <c:pt idx="2">
                  <c:v>16.899999999999999</c:v>
                </c:pt>
                <c:pt idx="3">
                  <c:v>7.8</c:v>
                </c:pt>
                <c:pt idx="4">
                  <c:v>8.8000000000000007</c:v>
                </c:pt>
                <c:pt idx="5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C76-41C2-9F05-5B7C097FE4DD}"/>
            </c:ext>
          </c:extLst>
        </c:ser>
        <c:ser>
          <c:idx val="1"/>
          <c:order val="1"/>
          <c:tx>
            <c:strRef>
              <c:f>'Materální a soc. deprivace'!$C$1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rgbClr val="E8AFB2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BD1B2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4-8C76-41C2-9F05-5B7C097FE4DD}"/>
              </c:ext>
            </c:extLst>
          </c:dPt>
          <c:dLbls>
            <c:dLbl>
              <c:idx val="4"/>
              <c:layout>
                <c:manualLayout>
                  <c:x val="4.3360433604336043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486-4120-B7DC-84281E039C0E}"/>
                </c:ext>
              </c:extLst>
            </c:dLbl>
            <c:spPr>
              <a:noFill/>
              <a:ln>
                <a:solidFill>
                  <a:srgbClr val="C00000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'Materální a soc. deprivace'!$A$2:$A$7</c:f>
              <c:strCache>
                <c:ptCount val="6"/>
                <c:pt idx="0">
                  <c:v>celkem</c:v>
                </c:pt>
                <c:pt idx="1">
                  <c:v>úplná rodina           s dětmi</c:v>
                </c:pt>
                <c:pt idx="2">
                  <c:v>neúplná rodina           s dětmi</c:v>
                </c:pt>
                <c:pt idx="3">
                  <c:v>jednotlivec       (&lt;65)</c:v>
                </c:pt>
                <c:pt idx="4">
                  <c:v>jednotlivec        (65+)</c:v>
                </c:pt>
                <c:pt idx="5">
                  <c:v>dvojice dospělých </c:v>
                </c:pt>
              </c:strCache>
            </c:strRef>
          </c:cat>
          <c:val>
            <c:numRef>
              <c:f>'Materální a soc. deprivace'!$C$2:$C$7</c:f>
              <c:numCache>
                <c:formatCode>0.0</c:formatCode>
                <c:ptCount val="6"/>
                <c:pt idx="0" formatCode="General">
                  <c:v>6.3</c:v>
                </c:pt>
                <c:pt idx="1">
                  <c:v>5</c:v>
                </c:pt>
                <c:pt idx="2" formatCode="General">
                  <c:v>26.7</c:v>
                </c:pt>
                <c:pt idx="3" formatCode="General">
                  <c:v>9.8000000000000007</c:v>
                </c:pt>
                <c:pt idx="4" formatCode="General">
                  <c:v>10.4</c:v>
                </c:pt>
                <c:pt idx="5" formatCode="General">
                  <c:v>3.1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C76-41C2-9F05-5B7C097FE4D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30"/>
        <c:axId val="1938816864"/>
        <c:axId val="1938806048"/>
      </c:barChart>
      <c:catAx>
        <c:axId val="19388168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938806048"/>
        <c:crosses val="autoZero"/>
        <c:auto val="1"/>
        <c:lblAlgn val="ctr"/>
        <c:lblOffset val="100"/>
        <c:noMultiLvlLbl val="0"/>
      </c:catAx>
      <c:valAx>
        <c:axId val="1938806048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 sz="900">
                    <a:solidFill>
                      <a:schemeClr val="tx1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Míra materiální a sociální</a:t>
                </a:r>
                <a:r>
                  <a:rPr lang="cs-CZ" sz="900" baseline="0">
                    <a:solidFill>
                      <a:schemeClr val="tx1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 deprivace (v %)</a:t>
                </a:r>
                <a:endParaRPr lang="cs-CZ" sz="900">
                  <a:solidFill>
                    <a:schemeClr val="tx1"/>
                  </a:solidFill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938816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solidFill>
            <a:schemeClr val="bg1">
              <a:lumMod val="7500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00558E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269-4CBA-81D8-D4301D81DDA0}"/>
              </c:ext>
            </c:extLst>
          </c:dPt>
          <c:dPt>
            <c:idx val="1"/>
            <c:bubble3D val="0"/>
            <c:spPr>
              <a:solidFill>
                <a:srgbClr val="609ED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269-4CBA-81D8-D4301D81DDA0}"/>
              </c:ext>
            </c:extLst>
          </c:dPt>
          <c:dPt>
            <c:idx val="2"/>
            <c:bubble3D val="0"/>
            <c:spPr>
              <a:solidFill>
                <a:srgbClr val="CCFFFF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8269-4CBA-81D8-D4301D81DDA0}"/>
              </c:ext>
            </c:extLst>
          </c:dPt>
          <c:dPt>
            <c:idx val="3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269-4CBA-81D8-D4301D81DDA0}"/>
              </c:ext>
            </c:extLst>
          </c:dPt>
          <c:dPt>
            <c:idx val="4"/>
            <c:bubble3D val="0"/>
            <c:spPr>
              <a:solidFill>
                <a:schemeClr val="bg1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8269-4CBA-81D8-D4301D81DDA0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bg1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8269-4CBA-81D8-D4301D81DDA0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bg1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7-8269-4CBA-81D8-D4301D81DDA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'Domácnost_byt 2022'!$C$12:$C$16</c:f>
              <c:strCache>
                <c:ptCount val="5"/>
                <c:pt idx="0">
                  <c:v>vlastní dům</c:v>
                </c:pt>
                <c:pt idx="1">
                  <c:v>byt v osobním vlastnictví</c:v>
                </c:pt>
                <c:pt idx="2">
                  <c:v>družstevní byt</c:v>
                </c:pt>
                <c:pt idx="3">
                  <c:v>nájemní bydlení</c:v>
                </c:pt>
                <c:pt idx="4">
                  <c:v>bydlení u příbuzných, známých</c:v>
                </c:pt>
              </c:strCache>
            </c:strRef>
          </c:cat>
          <c:val>
            <c:numRef>
              <c:f>'Domácnost_byt 2022'!$D$12:$D$16</c:f>
              <c:numCache>
                <c:formatCode>0.0</c:formatCode>
                <c:ptCount val="5"/>
                <c:pt idx="0">
                  <c:v>38.39</c:v>
                </c:pt>
                <c:pt idx="1">
                  <c:v>28.5</c:v>
                </c:pt>
                <c:pt idx="2">
                  <c:v>5.78</c:v>
                </c:pt>
                <c:pt idx="3">
                  <c:v>21.18</c:v>
                </c:pt>
                <c:pt idx="4">
                  <c:v>6.14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8269-4CBA-81D8-D4301D81DD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8331544997553273"/>
          <c:y val="0.18031102789675721"/>
          <c:w val="0.25259908998347019"/>
          <c:h val="0.61136525686732168"/>
        </c:manualLayout>
      </c:layout>
      <c:overlay val="0"/>
      <c:spPr>
        <a:noFill/>
        <a:ln>
          <a:solidFill>
            <a:schemeClr val="bg1">
              <a:lumMod val="7500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0.00717</cdr:x>
      <cdr:y>0.73216</cdr:y>
    </cdr:from>
    <cdr:to>
      <cdr:x>0.04491</cdr:x>
      <cdr:y>0.78718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70708" y="4135505"/>
          <a:ext cx="372055" cy="310715"/>
        </a:xfrm>
        <a:prstGeom xmlns:a="http://schemas.openxmlformats.org/drawingml/2006/main" prst="rect">
          <a:avLst/>
        </a:prstGeom>
        <a:ln xmlns:a="http://schemas.openxmlformats.org/drawingml/2006/main">
          <a:solidFill>
            <a:schemeClr val="tx1"/>
          </a:solidFill>
        </a:ln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</c:userShape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Kancelář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Kancelář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Kancelář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E00E32D9964647925B05BE21A1B4C5" ma:contentTypeVersion="4" ma:contentTypeDescription="Vytvoří nový dokument" ma:contentTypeScope="" ma:versionID="38b78e38c05c9c65d8c8188cfb59c0b8">
  <xsd:schema xmlns:xsd="http://www.w3.org/2001/XMLSchema" xmlns:xs="http://www.w3.org/2001/XMLSchema" xmlns:p="http://schemas.microsoft.com/office/2006/metadata/properties" xmlns:ns2="6f5a4aca-455c-4012-a902-4d97d6c174df" targetNamespace="http://schemas.microsoft.com/office/2006/metadata/properties" ma:root="true" ma:fieldsID="cc0b9f12064dfd5747374f588f0c5227" ns2:_="">
    <xsd:import namespace="6f5a4aca-455c-4012-a902-4d97d6c174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a4aca-455c-4012-a902-4d97d6c174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85E02-F239-489D-8E49-92C93A2E93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80A6E2-44D3-45DE-AAA5-CAE035EADA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571A49-BFF7-4956-94B0-FBF56CA303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5a4aca-455c-4012-a902-4d97d6c174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18A2D8-6809-40B8-898F-7BF6ACB41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17</Pages>
  <Words>3651</Words>
  <Characters>21545</Characters>
  <Application>Microsoft Office Word</Application>
  <DocSecurity>0</DocSecurity>
  <Lines>179</Lines>
  <Paragraphs>50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Vážení,</vt:lpstr>
      <vt:lpstr>Vážení,</vt:lpstr>
    </vt:vector>
  </TitlesOfParts>
  <Company>VŠE</Company>
  <LinksUpToDate>false</LinksUpToDate>
  <CharactersWithSpaces>25146</CharactersWithSpaces>
  <SharedDoc>false</SharedDoc>
  <HLinks>
    <vt:vector size="6" baseType="variant">
      <vt:variant>
        <vt:i4>131166</vt:i4>
      </vt:variant>
      <vt:variant>
        <vt:i4>69</vt:i4>
      </vt:variant>
      <vt:variant>
        <vt:i4>0</vt:i4>
      </vt:variant>
      <vt:variant>
        <vt:i4>5</vt:i4>
      </vt:variant>
      <vt:variant>
        <vt:lpwstr>https://www.czso.cz/csu/czso/prijmy-a-zivotni-podminky-domacnosti-rn2to6gtkz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Vážení,</dc:title>
  <dc:creator>Martina Šimková</dc:creator>
  <cp:lastModifiedBy>Hortig Pavel</cp:lastModifiedBy>
  <cp:revision>22</cp:revision>
  <cp:lastPrinted>2023-01-31T07:55:00Z</cp:lastPrinted>
  <dcterms:created xsi:type="dcterms:W3CDTF">2024-02-23T06:45:00Z</dcterms:created>
  <dcterms:modified xsi:type="dcterms:W3CDTF">2024-02-27T16:54:00Z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0x0101001BE00E32D9964647925B05BE21A1B4C5</vt:lpwstr>
  </property>
</Properties>
</file>