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5921">
      <w:pPr>
        <w:pStyle w:val="Odstavecseseznamem"/>
        <w:ind w:left="0"/>
        <w:rPr>
          <w:sz w:val="2"/>
        </w:rPr>
      </w:pPr>
    </w:p>
    <w:p w:rsidR="00960769" w:rsidRPr="00A74192" w:rsidRDefault="00CD7E35" w:rsidP="004D497E">
      <w:pPr>
        <w:pStyle w:val="Nadpis1"/>
        <w:numPr>
          <w:ilvl w:val="0"/>
          <w:numId w:val="19"/>
        </w:numPr>
        <w:jc w:val="both"/>
      </w:pPr>
      <w:bookmarkStart w:id="0" w:name="_Toc469299930"/>
      <w:bookmarkStart w:id="1" w:name="_Toc469327799"/>
      <w:r w:rsidRPr="00A74192">
        <w:t>Souhrnná výkonnost</w:t>
      </w:r>
      <w:bookmarkEnd w:id="0"/>
      <w:bookmarkEnd w:id="1"/>
    </w:p>
    <w:tbl>
      <w:tblPr>
        <w:tblW w:w="5000" w:type="pct"/>
        <w:tblInd w:w="108" w:type="dxa"/>
        <w:tblLayout w:type="fixed"/>
        <w:tblLook w:val="00A0"/>
      </w:tblPr>
      <w:tblGrid>
        <w:gridCol w:w="987"/>
        <w:gridCol w:w="1129"/>
        <w:gridCol w:w="280"/>
        <w:gridCol w:w="2529"/>
        <w:gridCol w:w="887"/>
        <w:gridCol w:w="4042"/>
      </w:tblGrid>
      <w:tr w:rsidR="003875C2" w:rsidRPr="00A74192" w:rsidTr="00701382">
        <w:tc>
          <w:tcPr>
            <w:tcW w:w="1074" w:type="pct"/>
            <w:gridSpan w:val="2"/>
          </w:tcPr>
          <w:p w:rsidR="003875C2" w:rsidRPr="00A74192" w:rsidRDefault="003875C2" w:rsidP="00A9497A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Hrubý domácí produkt v roce 2016 vzrostl o 2,3 %. Ve srovnání s rokem 2015 růst zpomalil, především kvůli meziročnímu propadu investiční aktivity.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</w:pPr>
          </w:p>
        </w:tc>
        <w:tc>
          <w:tcPr>
            <w:tcW w:w="3784" w:type="pct"/>
            <w:gridSpan w:val="3"/>
          </w:tcPr>
          <w:p w:rsidR="003875C2" w:rsidRDefault="003875C2" w:rsidP="00A9497A">
            <w:pPr>
              <w:pStyle w:val="Textpoznpodarou"/>
              <w:jc w:val="both"/>
              <w:rPr>
                <w:rFonts w:cs="Arial"/>
                <w:sz w:val="16"/>
                <w:szCs w:val="16"/>
              </w:rPr>
            </w:pPr>
            <w:r w:rsidRPr="005E2AB2">
              <w:rPr>
                <w:rFonts w:cs="Arial"/>
              </w:rPr>
              <w:t xml:space="preserve">Hrubý domácí produkt (HDP) </w:t>
            </w:r>
            <w:r w:rsidR="00E63EC6">
              <w:rPr>
                <w:rFonts w:cs="Arial"/>
              </w:rPr>
              <w:t>v roce</w:t>
            </w:r>
            <w:r w:rsidRPr="005E2AB2">
              <w:rPr>
                <w:rFonts w:cs="Arial"/>
              </w:rPr>
              <w:t xml:space="preserve"> 2016 vzrostl o 2,3 %</w:t>
            </w:r>
            <w:r w:rsidR="007A4D58" w:rsidRPr="00A74192">
              <w:rPr>
                <w:rStyle w:val="Znakapoznpodarou"/>
                <w:rFonts w:cs="Arial"/>
              </w:rPr>
              <w:footnoteReference w:id="1"/>
            </w:r>
            <w:r w:rsidRPr="005E2AB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Česká ekonomika rostla v roce 2016 polovičním tempem ve srovnání s rokem 2015, kdy byl v</w:t>
            </w:r>
            <w:r w:rsidRPr="005E2AB2">
              <w:rPr>
                <w:rFonts w:cs="Arial"/>
              </w:rPr>
              <w:t>ýrazný</w:t>
            </w:r>
            <w:r>
              <w:rPr>
                <w:rFonts w:cs="Arial"/>
              </w:rPr>
              <w:t xml:space="preserve"> růst</w:t>
            </w:r>
            <w:r w:rsidRPr="005E2A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podpořen</w:t>
            </w:r>
            <w:r w:rsidRPr="005E2AB2">
              <w:rPr>
                <w:rFonts w:cs="Arial"/>
              </w:rPr>
              <w:t xml:space="preserve"> mimořádnou kombinací faktorů, které se v roce 2016 neopakovaly. Zmírnění růstové dynamiky začalo už v závěrečném čtvrtletí roku 2015 a během prvních třech čtvrtletí roku 2016 se meziroční přírůstky dále snižovaly (3</w:t>
            </w:r>
            <w:r>
              <w:rPr>
                <w:rFonts w:cs="Arial"/>
              </w:rPr>
              <w:t>,0</w:t>
            </w:r>
            <w:r w:rsidRPr="005E2AB2">
              <w:rPr>
                <w:rFonts w:cs="Arial"/>
              </w:rPr>
              <w:t xml:space="preserve"> %, 2,6</w:t>
            </w:r>
            <w:r w:rsidR="00E63EC6">
              <w:rPr>
                <w:rFonts w:cs="Arial"/>
              </w:rPr>
              <w:t> </w:t>
            </w:r>
            <w:r w:rsidRPr="005E2AB2">
              <w:rPr>
                <w:rFonts w:cs="Arial"/>
              </w:rPr>
              <w:t xml:space="preserve">%, 1,8 %). </w:t>
            </w:r>
            <w:r>
              <w:rPr>
                <w:rFonts w:cs="Arial"/>
              </w:rPr>
              <w:t>V</w:t>
            </w:r>
            <w:r w:rsidRPr="005E2AB2">
              <w:rPr>
                <w:rFonts w:cs="Arial"/>
              </w:rPr>
              <w:t> závěru roku se meziroční tempo růstu mírně zvýšilo na 1,9 %. Meziroční růst hrubé přidané hodnoty (HPH) korespondoval s HDP a během roku se zmírňoval (2,7 %, 2,6 %, 1,6 % a 1,6 % v jednotlivých čtvrtletích). Celkově HPH vzrostla o 2,1 %. Růst HDP podporovala domácí poptávka</w:t>
            </w:r>
            <w:r w:rsidR="00E63EC6">
              <w:rPr>
                <w:rFonts w:cs="Arial"/>
              </w:rPr>
              <w:t xml:space="preserve"> (výdaje na konečnou spotřebu domácností)</w:t>
            </w:r>
            <w:r w:rsidRPr="005E2AB2">
              <w:rPr>
                <w:rFonts w:cs="Arial"/>
              </w:rPr>
              <w:t>, jejíž význam po celý rok sílil</w:t>
            </w:r>
            <w:r w:rsidR="00E63EC6">
              <w:rPr>
                <w:rFonts w:cs="Arial"/>
              </w:rPr>
              <w:t xml:space="preserve"> i rostoucí přebytek bilance zahraničního obchodu, který byl klíčovým pro hospodářský růst především v první polovině roku 2016.</w:t>
            </w:r>
            <w:r w:rsidRPr="005E2AB2">
              <w:rPr>
                <w:rFonts w:cs="Arial"/>
              </w:rPr>
              <w:t xml:space="preserve"> Naopak investiční aktivita, která stála za mimořádnými výsledky roku 2015, byla po celý loňský rok utlumena. </w:t>
            </w:r>
            <w:r>
              <w:rPr>
                <w:rFonts w:cs="Arial"/>
              </w:rPr>
              <w:t>Řada ukazatelů svědčila o</w:t>
            </w:r>
            <w:r w:rsidR="00E63EC6">
              <w:rPr>
                <w:rFonts w:cs="Arial"/>
              </w:rPr>
              <w:t> </w:t>
            </w:r>
            <w:r>
              <w:rPr>
                <w:rFonts w:cs="Arial"/>
              </w:rPr>
              <w:t>příznivém vývoji ekonomiky.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Mezičtvrtletní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růst HDP byl nejsilnější ve 2. čtvrtletí. Ekonomický růst byl podpořen výjimečně dobrými výsledky v průmyslu i zahraničním obchodě. 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</w:pPr>
          </w:p>
        </w:tc>
        <w:tc>
          <w:tcPr>
            <w:tcW w:w="3784" w:type="pct"/>
            <w:gridSpan w:val="3"/>
          </w:tcPr>
          <w:p w:rsidR="003875C2" w:rsidRPr="00E41A59" w:rsidRDefault="00FD2F43" w:rsidP="00A9497A">
            <w:pPr>
              <w:pStyle w:val="Textpoznpodarou"/>
              <w:jc w:val="both"/>
              <w:rPr>
                <w:spacing w:val="-2"/>
                <w:sz w:val="16"/>
              </w:rPr>
            </w:pPr>
            <w:proofErr w:type="spellStart"/>
            <w:r w:rsidRPr="00FD2F43">
              <w:rPr>
                <w:spacing w:val="-2"/>
              </w:rPr>
              <w:t>Mezičtvrtletní</w:t>
            </w:r>
            <w:proofErr w:type="spellEnd"/>
            <w:r w:rsidRPr="00FD2F43">
              <w:rPr>
                <w:spacing w:val="-2"/>
              </w:rPr>
              <w:t xml:space="preserve"> dynamika růstu HDP zaostávala za předchozími dvěma lety. V první polovině roku dosáhly </w:t>
            </w:r>
            <w:proofErr w:type="spellStart"/>
            <w:r w:rsidRPr="00FD2F43">
              <w:rPr>
                <w:spacing w:val="-2"/>
              </w:rPr>
              <w:t>mezičtvrtletní</w:t>
            </w:r>
            <w:proofErr w:type="spellEnd"/>
            <w:r w:rsidRPr="00FD2F43">
              <w:rPr>
                <w:spacing w:val="-2"/>
              </w:rPr>
              <w:t xml:space="preserve"> přírůstky HDP 0,4 % a 0,9 %. Výrazné zpomalení nastalo ve 3. čtvrtletí (0,2 %). V závěru roku se růst zrychlil na 0,4 %. </w:t>
            </w:r>
            <w:proofErr w:type="spellStart"/>
            <w:r w:rsidRPr="00FD2F43">
              <w:rPr>
                <w:spacing w:val="-2"/>
              </w:rPr>
              <w:t>Mezičtvrtletní</w:t>
            </w:r>
            <w:proofErr w:type="spellEnd"/>
            <w:r w:rsidRPr="00FD2F43">
              <w:rPr>
                <w:spacing w:val="-2"/>
              </w:rPr>
              <w:t xml:space="preserve"> přírůstky HPH činily 0,4 %, 0,7 %, 0,2 % a 0,3 % v jednotlivých čtvrtletích.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3875C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Meziroční tempo českého hospodářského růstu se v druhé polovině roku srovnalo s průměrem EU. Pro většinu evropských zemí byl rok 2016 úspěšný. Silný růst pokračoval na Slovensku, stabilně rostla německá ekonomika.   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</w:pPr>
          </w:p>
        </w:tc>
        <w:tc>
          <w:tcPr>
            <w:tcW w:w="3784" w:type="pct"/>
            <w:gridSpan w:val="3"/>
          </w:tcPr>
          <w:p w:rsidR="003875C2" w:rsidRPr="005E2AB2" w:rsidRDefault="003875C2" w:rsidP="00A9497A">
            <w:pPr>
              <w:pStyle w:val="Textpoznpodarou"/>
              <w:jc w:val="both"/>
              <w:rPr>
                <w:rFonts w:cs="Arial"/>
                <w:sz w:val="18"/>
                <w:szCs w:val="18"/>
              </w:rPr>
            </w:pPr>
            <w:r w:rsidRPr="005E2AB2">
              <w:rPr>
                <w:rFonts w:cs="Arial"/>
              </w:rPr>
              <w:t xml:space="preserve">Meziroční tempo hospodářského růstu v Česku se během roku 2016 </w:t>
            </w:r>
            <w:r>
              <w:rPr>
                <w:rFonts w:cs="Arial"/>
              </w:rPr>
              <w:t xml:space="preserve">shora </w:t>
            </w:r>
            <w:r w:rsidRPr="005E2AB2">
              <w:rPr>
                <w:rFonts w:cs="Arial"/>
              </w:rPr>
              <w:t>přiblížilo růstu v EU a v</w:t>
            </w:r>
            <w:r>
              <w:rPr>
                <w:rFonts w:cs="Arial"/>
              </w:rPr>
              <w:t>e</w:t>
            </w:r>
            <w:r w:rsidRPr="005E2AB2">
              <w:rPr>
                <w:rFonts w:cs="Arial"/>
              </w:rPr>
              <w:t xml:space="preserve"> druhé polovině roku se mu vyrovnalo. </w:t>
            </w:r>
            <w:proofErr w:type="spellStart"/>
            <w:r w:rsidRPr="005E2AB2">
              <w:rPr>
                <w:rFonts w:cs="Arial"/>
              </w:rPr>
              <w:t>Mezičtvrtletní</w:t>
            </w:r>
            <w:proofErr w:type="spellEnd"/>
            <w:r w:rsidRPr="005E2AB2">
              <w:rPr>
                <w:rFonts w:cs="Arial"/>
              </w:rPr>
              <w:t xml:space="preserve"> růst ekonomiky EU se v posledních třech letech poměrně stabilně pohybuje okolo 0,5</w:t>
            </w:r>
            <w:r>
              <w:rPr>
                <w:rFonts w:cs="Arial"/>
              </w:rPr>
              <w:t> </w:t>
            </w:r>
            <w:r w:rsidRPr="005E2AB2">
              <w:rPr>
                <w:rFonts w:cs="Arial"/>
              </w:rPr>
              <w:t>% a Česko (s výjimkou 2. čtvrtletí) jej v roce 2016 nepřekonalo.</w:t>
            </w:r>
            <w:r>
              <w:rPr>
                <w:rFonts w:cs="Arial"/>
              </w:rPr>
              <w:t xml:space="preserve"> </w:t>
            </w:r>
            <w:r w:rsidRPr="005E2AB2">
              <w:rPr>
                <w:rFonts w:cs="Arial"/>
              </w:rPr>
              <w:t>Rok 2016 byl pro většinu evropských zemí</w:t>
            </w:r>
            <w:r w:rsidRPr="005E2AB2">
              <w:rPr>
                <w:rStyle w:val="Znakapoznpodarou"/>
                <w:rFonts w:cs="Arial"/>
              </w:rPr>
              <w:footnoteReference w:id="2"/>
            </w:r>
            <w:r w:rsidRPr="005E2AB2">
              <w:rPr>
                <w:rFonts w:cs="Arial"/>
              </w:rPr>
              <w:t xml:space="preserve"> z hlediska ekonomického vývoje </w:t>
            </w:r>
            <w:r>
              <w:rPr>
                <w:rFonts w:cs="Arial"/>
              </w:rPr>
              <w:t>příznivý</w:t>
            </w:r>
            <w:r w:rsidRPr="005E2AB2">
              <w:rPr>
                <w:rFonts w:cs="Arial"/>
              </w:rPr>
              <w:t>. HDP meziročně klesl pouze v Řecku, ostatní ekonom</w:t>
            </w:r>
            <w:r w:rsidR="00E63EC6">
              <w:rPr>
                <w:rFonts w:cs="Arial"/>
              </w:rPr>
              <w:t>i</w:t>
            </w:r>
            <w:r w:rsidRPr="005E2AB2">
              <w:rPr>
                <w:rFonts w:cs="Arial"/>
              </w:rPr>
              <w:t>ky zažívaly alespoň mírný meziroční růst. Nejsilnější nárůst HDP v roce 2016 zaznamenalo Rumunsko (4,8</w:t>
            </w:r>
            <w:r>
              <w:rPr>
                <w:rFonts w:cs="Arial"/>
              </w:rPr>
              <w:t> </w:t>
            </w:r>
            <w:r w:rsidRPr="005E2AB2">
              <w:rPr>
                <w:rFonts w:cs="Arial"/>
              </w:rPr>
              <w:t>%), následováno Španělskem (3,3 %). Sousedům Česka a jeho nejbližším ekonomickým partnerům se rovněž dařilo. Německá ekonomika meziročně vzrostla o 1,8 %, rakousk</w:t>
            </w:r>
            <w:r>
              <w:rPr>
                <w:rFonts w:cs="Arial"/>
              </w:rPr>
              <w:t>ý HDP se zvýšil</w:t>
            </w:r>
            <w:r w:rsidRPr="005E2AB2">
              <w:rPr>
                <w:rFonts w:cs="Arial"/>
              </w:rPr>
              <w:t xml:space="preserve"> o 1,5 %. Meziroční růst na Slovensku v průběhu roku mírně zpomaloval, přesto slovenská ekonomika za rok 2016 vzrostla o 3,3 % a patřila k nejrychleji rostoucím v EU. </w:t>
            </w:r>
            <w:r>
              <w:rPr>
                <w:rFonts w:cs="Arial"/>
              </w:rPr>
              <w:t xml:space="preserve">Růst polské ekonomiky </w:t>
            </w:r>
            <w:r w:rsidRPr="005E2AB2">
              <w:rPr>
                <w:rFonts w:cs="Arial"/>
              </w:rPr>
              <w:t>v</w:t>
            </w:r>
            <w:r>
              <w:rPr>
                <w:rFonts w:cs="Arial"/>
              </w:rPr>
              <w:t> posledním čtvrtletí</w:t>
            </w:r>
            <w:r w:rsidRPr="005E2A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zrychlil</w:t>
            </w:r>
            <w:r w:rsidRPr="005E2AB2">
              <w:rPr>
                <w:rFonts w:cs="Arial"/>
              </w:rPr>
              <w:t xml:space="preserve"> a za celý rok </w:t>
            </w:r>
            <w:r>
              <w:rPr>
                <w:rFonts w:cs="Arial"/>
              </w:rPr>
              <w:t>se polský HDP zvýšil o</w:t>
            </w:r>
            <w:r w:rsidRPr="005E2AB2">
              <w:rPr>
                <w:rFonts w:cs="Arial"/>
              </w:rPr>
              <w:t xml:space="preserve"> 2,9</w:t>
            </w:r>
            <w:r>
              <w:rPr>
                <w:rFonts w:cs="Arial"/>
              </w:rPr>
              <w:t xml:space="preserve"> </w:t>
            </w:r>
            <w:r w:rsidRPr="005E2AB2">
              <w:rPr>
                <w:rFonts w:cs="Arial"/>
              </w:rPr>
              <w:t>%.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  <w:highlight w:val="yellow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Růst výdajů na konečnou spotřebu domácností se významnou měrou podílel na růstu HDP v roce 2016. Významně se projevil i růst přebytku bilance zahraničního obchodu. Tvorba hrubého fixního kapitálu zaostávala za rokem 2015.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1E29AF" w:rsidRPr="00E41A59" w:rsidRDefault="003875C2" w:rsidP="001E29AF">
            <w:pPr>
              <w:pStyle w:val="Textpoznpodarou"/>
              <w:jc w:val="both"/>
              <w:rPr>
                <w:rFonts w:cs="Arial"/>
                <w:sz w:val="18"/>
                <w:szCs w:val="18"/>
              </w:rPr>
            </w:pPr>
            <w:r w:rsidRPr="00E41A59">
              <w:rPr>
                <w:rFonts w:cs="Arial"/>
              </w:rPr>
              <w:t>Po celý rok byl meziroční růst HDP tažen výdaji na konečnou spotřebu domácností. Jejich příspěvek k celkovému nárůstu HDP</w:t>
            </w:r>
            <w:r w:rsidRPr="00E41A59">
              <w:rPr>
                <w:rStyle w:val="Znakapoznpodarou"/>
                <w:rFonts w:cs="Arial"/>
              </w:rPr>
              <w:footnoteReference w:id="3"/>
            </w:r>
            <w:r w:rsidRPr="00E41A59">
              <w:rPr>
                <w:rFonts w:cs="Arial"/>
              </w:rPr>
              <w:t xml:space="preserve"> činil </w:t>
            </w:r>
            <w:r w:rsidR="003F32AB" w:rsidRPr="00E41A59">
              <w:rPr>
                <w:rFonts w:cs="Arial"/>
              </w:rPr>
              <w:t>+</w:t>
            </w:r>
            <w:r w:rsidRPr="00E41A59">
              <w:rPr>
                <w:rFonts w:cs="Arial"/>
              </w:rPr>
              <w:t xml:space="preserve">1,1 </w:t>
            </w:r>
            <w:proofErr w:type="spellStart"/>
            <w:proofErr w:type="gram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 a v průběhu</w:t>
            </w:r>
            <w:proofErr w:type="gramEnd"/>
            <w:r w:rsidRPr="00E41A59">
              <w:rPr>
                <w:rFonts w:cs="Arial"/>
              </w:rPr>
              <w:t xml:space="preserve"> roku jeho význam sílil. V první polovině roku dosáhl +0,9 </w:t>
            </w:r>
            <w:proofErr w:type="spell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 a +1,0 </w:t>
            </w:r>
            <w:proofErr w:type="spell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 xml:space="preserve">. a ve 3. a 4. kvartálu zesílil na +1,3 </w:t>
            </w:r>
            <w:proofErr w:type="spell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 xml:space="preserve">. a +1,4 </w:t>
            </w:r>
            <w:proofErr w:type="spellStart"/>
            <w:proofErr w:type="gram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</w:t>
            </w:r>
            <w:proofErr w:type="gramEnd"/>
            <w:r w:rsidRPr="00E41A59">
              <w:rPr>
                <w:rFonts w:cs="Arial"/>
              </w:rPr>
              <w:t xml:space="preserve"> Naopak příspěvek výdajů na konečnou spotřebu vládních institucí, který v prvních dvou čtvrtletích dosáhl +0,4 </w:t>
            </w:r>
            <w:proofErr w:type="spell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 xml:space="preserve">. a +0,5 </w:t>
            </w:r>
            <w:proofErr w:type="spellStart"/>
            <w:proofErr w:type="gram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, ve</w:t>
            </w:r>
            <w:proofErr w:type="gramEnd"/>
            <w:r w:rsidRPr="00E41A59">
              <w:rPr>
                <w:rFonts w:cs="Arial"/>
              </w:rPr>
              <w:t xml:space="preserve"> třetím kvartálu zeslabil na +0,2 a v závěrečném čtvrtletí byl nulový. Silněji a významněji než v minulém roce přispívala k růstu HDP bilance vývozu a dovozu (celkem +1,2 </w:t>
            </w:r>
            <w:proofErr w:type="spellStart"/>
            <w:proofErr w:type="gram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.).</w:t>
            </w:r>
            <w:proofErr w:type="gramEnd"/>
            <w:r w:rsidRPr="00E41A59">
              <w:rPr>
                <w:rFonts w:cs="Arial"/>
              </w:rPr>
              <w:t xml:space="preserve"> Její příspěvek v první polovině roku překonal i výše zmíněnou spotřebu domácností, když dosáhl </w:t>
            </w:r>
            <w:r w:rsidR="003F32AB" w:rsidRPr="00E41A59">
              <w:rPr>
                <w:rFonts w:cs="Arial"/>
              </w:rPr>
              <w:t>+</w:t>
            </w:r>
            <w:r w:rsidRPr="00E41A59">
              <w:rPr>
                <w:rFonts w:cs="Arial"/>
              </w:rPr>
              <w:t xml:space="preserve">1,2 </w:t>
            </w:r>
            <w:proofErr w:type="spell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 a </w:t>
            </w:r>
            <w:r w:rsidR="003F32AB" w:rsidRPr="00E41A59">
              <w:rPr>
                <w:rFonts w:cs="Arial"/>
              </w:rPr>
              <w:t>+</w:t>
            </w:r>
            <w:r w:rsidRPr="00E41A59">
              <w:rPr>
                <w:rFonts w:cs="Arial"/>
              </w:rPr>
              <w:t>2,0 </w:t>
            </w:r>
            <w:proofErr w:type="spellStart"/>
            <w:proofErr w:type="gram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</w:t>
            </w:r>
            <w:proofErr w:type="gramEnd"/>
            <w:r w:rsidR="003F32AB" w:rsidRPr="00E41A59">
              <w:rPr>
                <w:rFonts w:cs="Arial"/>
              </w:rPr>
              <w:t xml:space="preserve"> </w:t>
            </w:r>
            <w:r w:rsidRPr="00E41A59">
              <w:rPr>
                <w:rFonts w:cs="Arial"/>
              </w:rPr>
              <w:t xml:space="preserve">Ve třetím čtvrtletí, které bylo z pohledu výsledků zahraničního obchodu méně úspěšné, oslabil na +0,5 </w:t>
            </w:r>
            <w:proofErr w:type="spell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 a v závěru roku se zvýšil na +0,9</w:t>
            </w:r>
            <w:r w:rsidR="003F32AB" w:rsidRPr="00E41A59">
              <w:rPr>
                <w:rFonts w:cs="Arial"/>
              </w:rPr>
              <w:t> </w:t>
            </w:r>
            <w:proofErr w:type="spellStart"/>
            <w:proofErr w:type="gram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</w:t>
            </w:r>
            <w:proofErr w:type="gramEnd"/>
            <w:r w:rsidRPr="00E41A59">
              <w:rPr>
                <w:rFonts w:cs="Arial"/>
              </w:rPr>
              <w:t xml:space="preserve"> Hlavně v druhé polovině roku zesílil kladný příspěvek změny zásob k růstu (+0,9 </w:t>
            </w:r>
            <w:proofErr w:type="spellStart"/>
            <w:proofErr w:type="gram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 a +1,0</w:t>
            </w:r>
            <w:proofErr w:type="gramEnd"/>
            <w:r w:rsidRPr="00E41A59">
              <w:rPr>
                <w:rFonts w:cs="Arial"/>
              </w:rPr>
              <w:t xml:space="preserve"> </w:t>
            </w:r>
            <w:proofErr w:type="spell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 xml:space="preserve">. ve 3. a 4. čtvrtletí). Příspěvek již zmiňované investiční aktivity reprezentované tvorbou hrubého fixního kapitálu byl záporný (celkově </w:t>
            </w:r>
            <w:r w:rsidR="003F32AB" w:rsidRPr="00E41A59">
              <w:rPr>
                <w:rFonts w:cs="Arial"/>
              </w:rPr>
              <w:t>-</w:t>
            </w:r>
            <w:r w:rsidRPr="00E41A59">
              <w:rPr>
                <w:rFonts w:cs="Arial"/>
              </w:rPr>
              <w:t xml:space="preserve">0,9 </w:t>
            </w:r>
            <w:proofErr w:type="spellStart"/>
            <w:proofErr w:type="gramStart"/>
            <w:r w:rsidRPr="00E41A59">
              <w:rPr>
                <w:rFonts w:cs="Arial"/>
              </w:rPr>
              <w:t>p.b</w:t>
            </w:r>
            <w:proofErr w:type="spellEnd"/>
            <w:r w:rsidRPr="00E41A59">
              <w:rPr>
                <w:rFonts w:cs="Arial"/>
              </w:rPr>
              <w:t>.).</w:t>
            </w:r>
            <w:proofErr w:type="gramEnd"/>
          </w:p>
          <w:p w:rsidR="003875C2" w:rsidRPr="00E60FCE" w:rsidRDefault="003875C2" w:rsidP="001E29AF">
            <w:pPr>
              <w:pStyle w:val="Textpoznpodarou"/>
              <w:jc w:val="both"/>
              <w:rPr>
                <w:rFonts w:cs="Arial"/>
                <w:sz w:val="14"/>
                <w:szCs w:val="14"/>
                <w:highlight w:val="yellow"/>
              </w:rPr>
            </w:pPr>
            <w:r w:rsidRPr="005E2AB2">
              <w:rPr>
                <w:rFonts w:cs="Arial"/>
              </w:rPr>
              <w:t xml:space="preserve"> </w:t>
            </w: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Domácnosti si v roce 2016 ve větší míře pořizovaly statky dlouhodobé spotřeby.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3875C2" w:rsidRPr="005E2AB2" w:rsidRDefault="003875C2" w:rsidP="00A9497A">
            <w:pPr>
              <w:pStyle w:val="Textpoznpodarou"/>
              <w:jc w:val="both"/>
              <w:rPr>
                <w:rFonts w:cs="Arial"/>
                <w:sz w:val="18"/>
                <w:szCs w:val="18"/>
              </w:rPr>
            </w:pPr>
            <w:r w:rsidRPr="005E2AB2">
              <w:rPr>
                <w:rFonts w:cs="Arial"/>
              </w:rPr>
              <w:t>Růst spotřeby domácností v roce 2016 činil 2,9 % a byl tažen především silným nárůstem v kategorii předmětů dlouhodobé spotřeby (6,2 %). V závěrečném čtvrtletí roku se meziroční růst výdajů na spotřebu těchto statků zpomalil na 3,4</w:t>
            </w:r>
            <w:r>
              <w:rPr>
                <w:rFonts w:cs="Arial"/>
              </w:rPr>
              <w:t> %,</w:t>
            </w:r>
            <w:r w:rsidRPr="005E2AB2">
              <w:rPr>
                <w:rFonts w:cs="Arial"/>
              </w:rPr>
              <w:t xml:space="preserve"> ale byl nahrazen poměrně silným meziročním navýšením u předmětů střednědobé spotřeby (8,4 %). V posledním kvartálu roku 2016 zrychlil i růst </w:t>
            </w:r>
            <w:r w:rsidRPr="005E2AB2">
              <w:rPr>
                <w:rFonts w:cs="Arial"/>
              </w:rPr>
              <w:lastRenderedPageBreak/>
              <w:t xml:space="preserve">výdajů na </w:t>
            </w:r>
            <w:r w:rsidRPr="00D84949">
              <w:rPr>
                <w:rFonts w:cs="Arial"/>
              </w:rPr>
              <w:t>netrvanlivé statky</w:t>
            </w:r>
            <w:r w:rsidRPr="005E2AB2">
              <w:rPr>
                <w:rFonts w:cs="Arial"/>
              </w:rPr>
              <w:t xml:space="preserve"> na 3,1 %. Ve srovnání s předchozími lety výrazněji </w:t>
            </w:r>
            <w:r>
              <w:rPr>
                <w:rFonts w:cs="Arial"/>
              </w:rPr>
              <w:t>vz</w:t>
            </w:r>
            <w:r w:rsidRPr="005E2AB2">
              <w:rPr>
                <w:rFonts w:cs="Arial"/>
              </w:rPr>
              <w:t>rostly výdaje na služby (celkový meziroční nárůst o 2,5 %).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Příznivá ekonomická situace vedla ke zvýšení objemu vyplácených mezd, v závěru roku byl však reálný nárůst mezd utlumen.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3875C2" w:rsidRPr="00E41A59" w:rsidRDefault="00FD2F43" w:rsidP="00A9497A">
            <w:pPr>
              <w:pStyle w:val="Textpoznpodarou"/>
              <w:jc w:val="both"/>
              <w:rPr>
                <w:spacing w:val="-2"/>
                <w:sz w:val="18"/>
                <w:highlight w:val="yellow"/>
              </w:rPr>
            </w:pPr>
            <w:r w:rsidRPr="00FD2F43">
              <w:rPr>
                <w:spacing w:val="-2"/>
              </w:rPr>
              <w:t>Růst spotřeby byl podpořen pozitivním očekáváním spotřebitelů i nárůstem výdělků. Nárůst objemu vyplacených mezd v roce 2016 se v porovnání s rokem 2015 zrychlil a dosáhl 5,5 %. V prvních třech čtvrtletích roku byl růst silnější (6,0 %, 5,4</w:t>
            </w:r>
            <w:r w:rsidR="00E41A59" w:rsidRPr="00E41A59">
              <w:rPr>
                <w:rFonts w:cs="Arial"/>
                <w:spacing w:val="-2"/>
              </w:rPr>
              <w:t> </w:t>
            </w:r>
            <w:r w:rsidRPr="00FD2F43">
              <w:rPr>
                <w:spacing w:val="-2"/>
              </w:rPr>
              <w:t>% a 5,7 %) a v závěrečném kvartálu mírně polevil na 5,0 %. Především na konci roku se projevilo zvýšení cenové hladiny a v reálném vyjádření se růst objemu vyplacených mezd zredukoval (5,9 %, 5,4 %, 4,8 % a 3,6 % v jednotlivých čtvrtletích</w:t>
            </w:r>
            <w:r w:rsidR="003875C2" w:rsidRPr="00E41A59">
              <w:rPr>
                <w:rFonts w:cs="Arial"/>
                <w:spacing w:val="-2"/>
              </w:rPr>
              <w:t>)</w:t>
            </w:r>
            <w:r w:rsidR="00E372FD" w:rsidRPr="00E41A59">
              <w:rPr>
                <w:rStyle w:val="Znakapoznpodarou"/>
                <w:rFonts w:cs="Arial"/>
                <w:spacing w:val="-2"/>
              </w:rPr>
              <w:t xml:space="preserve"> </w:t>
            </w:r>
            <w:r w:rsidR="00E372FD" w:rsidRPr="00E41A59">
              <w:rPr>
                <w:rStyle w:val="Znakapoznpodarou"/>
                <w:rFonts w:cs="Arial"/>
                <w:spacing w:val="-2"/>
              </w:rPr>
              <w:footnoteReference w:id="4"/>
            </w:r>
            <w:r w:rsidR="003875C2" w:rsidRPr="00E41A59">
              <w:rPr>
                <w:rFonts w:cs="Arial"/>
                <w:spacing w:val="-2"/>
              </w:rPr>
              <w:t>.</w:t>
            </w:r>
            <w:r w:rsidRPr="00FD2F43">
              <w:rPr>
                <w:spacing w:val="-2"/>
              </w:rPr>
              <w:t xml:space="preserve"> Do růstu objemu vyplacených mezd a platů se částečně promítlo průběžné navyšování minimálních mezd, které je patrné především u nárůstu v odvětví obchod, doprava, ubytování a pohostinství o 6,2 %. Objem vyplácených mezd výrazně rostl i ve zpracovatelském průmyslu (6,6 %). Ve srovnání s předchozím rokem se zrychlila dynamika růstu v odvětví informačních a</w:t>
            </w:r>
            <w:r w:rsidR="00E41A59" w:rsidRPr="00E41A59">
              <w:rPr>
                <w:rFonts w:cs="Arial"/>
                <w:spacing w:val="-2"/>
              </w:rPr>
              <w:t> </w:t>
            </w:r>
            <w:r w:rsidRPr="00FD2F43">
              <w:rPr>
                <w:spacing w:val="-2"/>
              </w:rPr>
              <w:t>komunikačních činností (7,6 %) nebo u profesních, vědeckých, technických a</w:t>
            </w:r>
            <w:r w:rsidR="00E41A59" w:rsidRPr="00E41A59">
              <w:rPr>
                <w:rFonts w:cs="Arial"/>
                <w:spacing w:val="-2"/>
              </w:rPr>
              <w:t> </w:t>
            </w:r>
            <w:r w:rsidRPr="00FD2F43">
              <w:rPr>
                <w:spacing w:val="-2"/>
              </w:rPr>
              <w:t>administrativních činností (6,5 %), částečně i kvůli nárůstu zaměstnanosti. Mírněji než v předchozím roce rostl objem vyplácených mezd u činností v oblasti nemovitostí (3,2 %). Ve stavebnictví, které zažívá dlouhodobý útlum, vzrostl objem vyplácených mezd o 2,1 % za současného poklesu zaměstnanosti o 0,8 %.</w:t>
            </w:r>
            <w:r w:rsidRPr="00FD2F43">
              <w:rPr>
                <w:spacing w:val="-2"/>
                <w:highlight w:val="yellow"/>
              </w:rPr>
              <w:t xml:space="preserve">  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  <w:highlight w:val="yellow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 průběhu roku se zpomalil meziroční růst výdajů na vládní spotřebu. 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3875C2" w:rsidRPr="005E2AB2" w:rsidRDefault="003875C2" w:rsidP="00A9497A">
            <w:pPr>
              <w:pStyle w:val="Textpoznpodarou"/>
              <w:jc w:val="both"/>
              <w:rPr>
                <w:rFonts w:cs="Arial"/>
              </w:rPr>
            </w:pPr>
            <w:r w:rsidRPr="005E2AB2">
              <w:rPr>
                <w:rFonts w:cs="Arial"/>
              </w:rPr>
              <w:t>Celkový meziroční růst výdajů na spotřebu</w:t>
            </w:r>
            <w:r w:rsidR="001E29AF">
              <w:rPr>
                <w:rFonts w:cs="Arial"/>
              </w:rPr>
              <w:t xml:space="preserve"> vládních institucí</w:t>
            </w:r>
            <w:r w:rsidR="00080A41">
              <w:rPr>
                <w:rFonts w:cs="Arial"/>
              </w:rPr>
              <w:t xml:space="preserve"> činil 1,5 %, což bylo o </w:t>
            </w:r>
            <w:r w:rsidRPr="005E2AB2">
              <w:rPr>
                <w:rFonts w:cs="Arial"/>
              </w:rPr>
              <w:t xml:space="preserve">0,5 </w:t>
            </w:r>
            <w:proofErr w:type="spellStart"/>
            <w:proofErr w:type="gramStart"/>
            <w:r w:rsidRPr="005E2AB2">
              <w:rPr>
                <w:rFonts w:cs="Arial"/>
              </w:rPr>
              <w:t>p.b</w:t>
            </w:r>
            <w:proofErr w:type="spellEnd"/>
            <w:r w:rsidRPr="005E2AB2">
              <w:rPr>
                <w:rFonts w:cs="Arial"/>
              </w:rPr>
              <w:t>. méně</w:t>
            </w:r>
            <w:proofErr w:type="gramEnd"/>
            <w:r w:rsidRPr="005E2AB2">
              <w:rPr>
                <w:rFonts w:cs="Arial"/>
              </w:rPr>
              <w:t xml:space="preserve"> než v roce 2015. Růst byl soustředěn především do prvních dvou čtvrtletí, kdy dosáhl 2,3 % a 2,7 %. V</w:t>
            </w:r>
            <w:r w:rsidR="00E63EC6">
              <w:rPr>
                <w:rFonts w:cs="Arial"/>
              </w:rPr>
              <w:t>e druhé polovině roku</w:t>
            </w:r>
            <w:r w:rsidRPr="005E2AB2">
              <w:rPr>
                <w:rFonts w:cs="Arial"/>
              </w:rPr>
              <w:t xml:space="preserve"> se tak vysoké tempo neudrželo</w:t>
            </w:r>
            <w:r w:rsidR="001E29AF">
              <w:rPr>
                <w:rFonts w:cs="Arial"/>
              </w:rPr>
              <w:t>. Ve 3. čtvrtletí činil meziroční nárůst</w:t>
            </w:r>
            <w:r w:rsidR="00E63EC6">
              <w:rPr>
                <w:rFonts w:cs="Arial"/>
              </w:rPr>
              <w:t xml:space="preserve"> 1</w:t>
            </w:r>
            <w:r w:rsidR="003F32AB">
              <w:rPr>
                <w:rFonts w:cs="Arial"/>
              </w:rPr>
              <w:t>,0</w:t>
            </w:r>
            <w:r w:rsidR="00E63EC6">
              <w:rPr>
                <w:rFonts w:cs="Arial"/>
              </w:rPr>
              <w:t xml:space="preserve"> % a v z</w:t>
            </w:r>
            <w:r w:rsidRPr="005E2AB2">
              <w:rPr>
                <w:rFonts w:cs="Arial"/>
              </w:rPr>
              <w:t>ávěrečném čtvrtletí se hodnota výdajů na konečnou spotřebu vládních institucí nelišila od úrovně stejného období předchozího roku.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  <w:highlight w:val="yellow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Výdaje na tvorbu hrubého fixního kapitálu se meziročně snížily. Způsobil to hlavně propad investic do ostatních budov a staveb. 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3875C2" w:rsidRPr="005E2AB2" w:rsidRDefault="003875C2" w:rsidP="00A9497A">
            <w:pPr>
              <w:pStyle w:val="Textpoznpodarou"/>
              <w:jc w:val="both"/>
              <w:rPr>
                <w:rFonts w:cs="Arial"/>
                <w:sz w:val="18"/>
                <w:szCs w:val="18"/>
              </w:rPr>
            </w:pPr>
            <w:r w:rsidRPr="005E2AB2">
              <w:rPr>
                <w:rFonts w:cs="Arial"/>
              </w:rPr>
              <w:t xml:space="preserve">Výdaje na tvorbu hrubého fixního kapitálu, které </w:t>
            </w:r>
            <w:r>
              <w:rPr>
                <w:rFonts w:cs="Arial"/>
              </w:rPr>
              <w:t>reprezentují</w:t>
            </w:r>
            <w:r w:rsidRPr="005E2AB2">
              <w:rPr>
                <w:rFonts w:cs="Arial"/>
              </w:rPr>
              <w:t xml:space="preserve"> investiční aktivitu v ekonomice, klesly v roce 2016 o 3,6 %. Tento propad je výsledkem kombinace dočerpávání evropských fondů v roce 2015 a </w:t>
            </w:r>
            <w:r w:rsidR="00E63EC6">
              <w:rPr>
                <w:rFonts w:cs="Arial"/>
              </w:rPr>
              <w:t>pomalého tempa přípravy i realizace projektů pro následující p</w:t>
            </w:r>
            <w:r w:rsidRPr="005E2AB2">
              <w:rPr>
                <w:rFonts w:cs="Arial"/>
              </w:rPr>
              <w:t>rogramové období.</w:t>
            </w:r>
            <w:r>
              <w:rPr>
                <w:rFonts w:cs="Arial"/>
              </w:rPr>
              <w:t xml:space="preserve"> V</w:t>
            </w:r>
            <w:r w:rsidR="00E63EC6">
              <w:rPr>
                <w:rFonts w:cs="Arial"/>
              </w:rPr>
              <w:t xml:space="preserve"> </w:t>
            </w:r>
            <w:r w:rsidRPr="005E2AB2">
              <w:rPr>
                <w:rFonts w:cs="Arial"/>
              </w:rPr>
              <w:t>1.</w:t>
            </w:r>
            <w:r w:rsidR="00E63EC6">
              <w:rPr>
                <w:rFonts w:cs="Arial"/>
              </w:rPr>
              <w:t xml:space="preserve"> </w:t>
            </w:r>
            <w:r w:rsidRPr="005E2AB2">
              <w:rPr>
                <w:rFonts w:cs="Arial"/>
              </w:rPr>
              <w:t>čtvrtletí ještě investiční aktivita meziročně vzrostla o</w:t>
            </w:r>
            <w:r>
              <w:rPr>
                <w:rFonts w:cs="Arial"/>
              </w:rPr>
              <w:t> </w:t>
            </w:r>
            <w:r w:rsidRPr="005E2AB2">
              <w:rPr>
                <w:rFonts w:cs="Arial"/>
              </w:rPr>
              <w:t xml:space="preserve">1,8 %, ale v následujících třech kvartálech nastal pokles, který se v průběhu roku prohloubil až na </w:t>
            </w:r>
            <w:r w:rsidR="003F32AB">
              <w:rPr>
                <w:rFonts w:cs="Arial"/>
              </w:rPr>
              <w:t>-</w:t>
            </w:r>
            <w:r w:rsidRPr="005E2AB2">
              <w:rPr>
                <w:rFonts w:cs="Arial"/>
              </w:rPr>
              <w:t>5</w:t>
            </w:r>
            <w:r>
              <w:rPr>
                <w:rFonts w:cs="Arial"/>
              </w:rPr>
              <w:t>,0</w:t>
            </w:r>
            <w:r w:rsidRPr="005E2AB2">
              <w:rPr>
                <w:rFonts w:cs="Arial"/>
              </w:rPr>
              <w:t xml:space="preserve"> % ve 4. čtvrtletí. Meziroční propad byl způsoben především výpadkem investic do ostatních budov a staveb o 13,4 %. Tato kategorie zahrnuje velké infrastrukturní projekty často financované pomocí dotací </w:t>
            </w:r>
            <w:r>
              <w:rPr>
                <w:rFonts w:cs="Arial"/>
              </w:rPr>
              <w:t xml:space="preserve">(v </w:t>
            </w:r>
            <w:r w:rsidRPr="005E2AB2">
              <w:rPr>
                <w:rFonts w:cs="Arial"/>
              </w:rPr>
              <w:t>předchozím roce zde investice výrazně vzrostly</w:t>
            </w:r>
            <w:r>
              <w:rPr>
                <w:rFonts w:cs="Arial"/>
              </w:rPr>
              <w:t>)</w:t>
            </w:r>
            <w:r w:rsidRPr="005E2AB2">
              <w:rPr>
                <w:rFonts w:cs="Arial"/>
              </w:rPr>
              <w:t>. Podobný vývoj měl</w:t>
            </w:r>
            <w:r>
              <w:rPr>
                <w:rFonts w:cs="Arial"/>
              </w:rPr>
              <w:t xml:space="preserve">y investice do </w:t>
            </w:r>
            <w:r w:rsidRPr="005E2AB2">
              <w:rPr>
                <w:rFonts w:cs="Arial"/>
              </w:rPr>
              <w:t>ICT, ostatní</w:t>
            </w:r>
            <w:r>
              <w:rPr>
                <w:rFonts w:cs="Arial"/>
              </w:rPr>
              <w:t>ch</w:t>
            </w:r>
            <w:r w:rsidRPr="005E2AB2">
              <w:rPr>
                <w:rFonts w:cs="Arial"/>
              </w:rPr>
              <w:t xml:space="preserve"> stroj</w:t>
            </w:r>
            <w:r>
              <w:rPr>
                <w:rFonts w:cs="Arial"/>
              </w:rPr>
              <w:t>ů</w:t>
            </w:r>
            <w:r w:rsidRPr="005E2AB2">
              <w:rPr>
                <w:rFonts w:cs="Arial"/>
              </w:rPr>
              <w:t xml:space="preserve"> a zařízení a zbraňov</w:t>
            </w:r>
            <w:r>
              <w:rPr>
                <w:rFonts w:cs="Arial"/>
              </w:rPr>
              <w:t>ých systémů</w:t>
            </w:r>
            <w:r w:rsidRPr="005E2AB2">
              <w:rPr>
                <w:rFonts w:cs="Arial"/>
              </w:rPr>
              <w:t>, které zaznamenal</w:t>
            </w:r>
            <w:r>
              <w:rPr>
                <w:rFonts w:cs="Arial"/>
              </w:rPr>
              <w:t>y</w:t>
            </w:r>
            <w:r w:rsidRPr="005E2AB2">
              <w:rPr>
                <w:rFonts w:cs="Arial"/>
              </w:rPr>
              <w:t xml:space="preserve"> 5,4% meziroční pokles.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Rostly investice do dopravních prostředků a projektů duševního vlastnictví.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3875C2" w:rsidRPr="005E2AB2" w:rsidRDefault="003875C2" w:rsidP="00A9497A">
            <w:pPr>
              <w:pStyle w:val="Textpoznpodarou"/>
              <w:jc w:val="both"/>
              <w:rPr>
                <w:rFonts w:cs="Arial"/>
                <w:sz w:val="18"/>
                <w:szCs w:val="18"/>
              </w:rPr>
            </w:pPr>
            <w:r w:rsidRPr="005E2AB2">
              <w:rPr>
                <w:rFonts w:cs="Arial"/>
              </w:rPr>
              <w:t>Výše zmíněné investiční kategorie představují více než polovinu objemu tvorby hrubého fixního kapitálu, proto jejich pokles nevykompenzoval ani silný růst investic do dopravních prostředků a zařízení, který navázal na rok 2015 a dosáhl 7,2 %. Výrazně vzrostly investice do projektů duševního vlastnictví (8,1 %</w:t>
            </w:r>
            <w:r w:rsidR="00717726">
              <w:rPr>
                <w:rFonts w:cs="Arial"/>
              </w:rPr>
              <w:t xml:space="preserve"> v roce 2016</w:t>
            </w:r>
            <w:r w:rsidRPr="005E2AB2">
              <w:rPr>
                <w:rFonts w:cs="Arial"/>
              </w:rPr>
              <w:t>, 4</w:t>
            </w:r>
            <w:r w:rsidR="003F32AB">
              <w:rPr>
                <w:rFonts w:cs="Arial"/>
              </w:rPr>
              <w:t>,0</w:t>
            </w:r>
            <w:r w:rsidRPr="005E2AB2">
              <w:rPr>
                <w:rFonts w:cs="Arial"/>
              </w:rPr>
              <w:t xml:space="preserve"> % v roce 2015). Ve srovnání s předchozím rokem oslabil růst investic do obydlí (2,5</w:t>
            </w:r>
            <w:r>
              <w:rPr>
                <w:rFonts w:cs="Arial"/>
              </w:rPr>
              <w:t> </w:t>
            </w:r>
            <w:r w:rsidRPr="005E2AB2">
              <w:rPr>
                <w:rFonts w:cs="Arial"/>
              </w:rPr>
              <w:t>%</w:t>
            </w:r>
            <w:r w:rsidR="00CF7276">
              <w:rPr>
                <w:rFonts w:cs="Arial"/>
              </w:rPr>
              <w:t xml:space="preserve"> v roce 2016</w:t>
            </w:r>
            <w:r w:rsidRPr="005E2AB2">
              <w:rPr>
                <w:rFonts w:cs="Arial"/>
              </w:rPr>
              <w:t>, 8,4 % v roce 2015).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Bilance zahraničního obchodu v roce 2016 byla kladná a překonala předchozí rok o 67,4 mld.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3875C2" w:rsidRPr="005E2AB2" w:rsidRDefault="003875C2" w:rsidP="00A9497A">
            <w:pPr>
              <w:pStyle w:val="Textpoznpodarou"/>
              <w:jc w:val="both"/>
              <w:rPr>
                <w:rFonts w:cs="Arial"/>
                <w:sz w:val="18"/>
                <w:szCs w:val="18"/>
              </w:rPr>
            </w:pPr>
            <w:r w:rsidRPr="005E2AB2">
              <w:rPr>
                <w:rFonts w:cs="Arial"/>
              </w:rPr>
              <w:t>Přebytek bilance zahraničního obchodu se zbožím a službami (v běžných cenách) v roce 2016 činil 347,2 mld. korun, čímž překonal rok 2015 o 67,4 mld. Kladné saldo obchodu se zbožím dosáhlo 248 mld. korun (meziroční nárůst o</w:t>
            </w:r>
            <w:r>
              <w:rPr>
                <w:rFonts w:cs="Arial"/>
              </w:rPr>
              <w:t> </w:t>
            </w:r>
            <w:r w:rsidRPr="005E2AB2">
              <w:rPr>
                <w:rFonts w:cs="Arial"/>
              </w:rPr>
              <w:t>43</w:t>
            </w:r>
            <w:r>
              <w:rPr>
                <w:rFonts w:cs="Arial"/>
              </w:rPr>
              <w:t> </w:t>
            </w:r>
            <w:r w:rsidRPr="005E2AB2">
              <w:rPr>
                <w:rFonts w:cs="Arial"/>
              </w:rPr>
              <w:t xml:space="preserve">mld.) a u služeb dosáhlo 99,3 mld. korun (nárůst o 24,3 mld.). Směnné relace za rok 2016 měly hodnotu 100,9. V prvních třech čtvrtinách roku byly kladné, ale v posledním kvartálu se poprvé od 2. čtvrtletí 2015 dostaly do záporných hodnot (99,8). 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  <w:highlight w:val="yellow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E63EC6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průběhu roku klesaly zisky ze směnných relací.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3875C2" w:rsidRPr="005E2AB2" w:rsidRDefault="003875C2" w:rsidP="00A9497A">
            <w:pPr>
              <w:pStyle w:val="Textpoznpodarou"/>
              <w:jc w:val="both"/>
              <w:rPr>
                <w:sz w:val="18"/>
                <w:szCs w:val="18"/>
              </w:rPr>
            </w:pPr>
            <w:r w:rsidRPr="005E2AB2">
              <w:t>Reálný hrubý domácí důchod (RHDD), který na rozdíl od HDP zohledňuje dodatečné zisky, nebo ztráty z vývoje cen v zahraničním obchodě, resp. zisky, nebo ztráty ze směnných relací, vzrostl v roce 2016 o 3,1 % (bez očištění o</w:t>
            </w:r>
            <w:r>
              <w:t> </w:t>
            </w:r>
            <w:r w:rsidRPr="005E2AB2">
              <w:t>sezónní a kalendářní vlivy). V průběhu prvních tří čtvrtletí RHDD překonával růst HDP, ale jeho dynamika slábla a ve 4. čtvrtletí zaostával</w:t>
            </w:r>
            <w:r w:rsidR="00CF7276">
              <w:t>a</w:t>
            </w:r>
            <w:r w:rsidRPr="005E2AB2">
              <w:t xml:space="preserve"> za růstem HDP o</w:t>
            </w:r>
            <w:r>
              <w:t> </w:t>
            </w:r>
            <w:r w:rsidRPr="005E2AB2">
              <w:t xml:space="preserve">0,6 </w:t>
            </w:r>
            <w:proofErr w:type="spellStart"/>
            <w:proofErr w:type="gramStart"/>
            <w:r w:rsidRPr="005E2AB2">
              <w:t>p.b</w:t>
            </w:r>
            <w:proofErr w:type="spellEnd"/>
            <w:r w:rsidRPr="005E2AB2">
              <w:t>.</w:t>
            </w:r>
            <w:proofErr w:type="gramEnd"/>
            <w:r w:rsidRPr="005E2AB2">
              <w:t xml:space="preserve"> Zisk ze směnných relací se v průběhu roku snižoval a v posledním kvartálu došlo k mírné ztrátě.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  <w:highlight w:val="yellow"/>
              </w:rPr>
            </w:pPr>
            <w:r w:rsidRPr="005E2AB2">
              <w:t xml:space="preserve">  </w:t>
            </w: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5E2AB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Zpracovatelský </w:t>
            </w:r>
            <w:proofErr w:type="gramStart"/>
            <w:r>
              <w:rPr>
                <w:rFonts w:cs="Arial"/>
                <w:sz w:val="16"/>
                <w:szCs w:val="16"/>
              </w:rPr>
              <w:t>průmysl  přispěl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více než po</w:t>
            </w:r>
            <w:r w:rsidR="00AE6734">
              <w:rPr>
                <w:rFonts w:cs="Arial"/>
                <w:sz w:val="16"/>
                <w:szCs w:val="16"/>
              </w:rPr>
              <w:t>lovinou k celkovému růstu HPH a </w:t>
            </w:r>
            <w:r>
              <w:rPr>
                <w:rFonts w:cs="Arial"/>
                <w:sz w:val="16"/>
                <w:szCs w:val="16"/>
              </w:rPr>
              <w:t>je tak nejvýznamnějším zdrojem růstu.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3875C2" w:rsidRPr="005E2AB2" w:rsidRDefault="003875C2" w:rsidP="00A9497A">
            <w:pPr>
              <w:pStyle w:val="Textpoznpodarou"/>
              <w:jc w:val="both"/>
              <w:rPr>
                <w:rFonts w:cs="Arial"/>
                <w:sz w:val="18"/>
                <w:szCs w:val="18"/>
              </w:rPr>
            </w:pPr>
            <w:r w:rsidRPr="005E2AB2">
              <w:rPr>
                <w:rFonts w:cs="Arial"/>
              </w:rPr>
              <w:t xml:space="preserve">V roce 2016 se na růstu HDP nejvýrazněji podílel zpracovatelský průmysl. I když se jeho hrubá přidaná hodnota nezvýšila tak výrazně </w:t>
            </w:r>
            <w:r>
              <w:rPr>
                <w:rFonts w:cs="Arial"/>
              </w:rPr>
              <w:t xml:space="preserve">jako </w:t>
            </w:r>
            <w:r w:rsidRPr="005E2AB2">
              <w:rPr>
                <w:rFonts w:cs="Arial"/>
              </w:rPr>
              <w:t xml:space="preserve">v předchozích dvou letech (4,8 %, v roce 2015 to bylo 8,2 %), jeho příspěvek k celkovému růstu HPH činil +1,3 </w:t>
            </w:r>
            <w:proofErr w:type="spellStart"/>
            <w:proofErr w:type="gramStart"/>
            <w:r w:rsidRPr="005E2AB2">
              <w:rPr>
                <w:rFonts w:cs="Arial"/>
              </w:rPr>
              <w:t>p.b</w:t>
            </w:r>
            <w:proofErr w:type="spellEnd"/>
            <w:r w:rsidRPr="005E2AB2">
              <w:rPr>
                <w:rFonts w:cs="Arial"/>
              </w:rPr>
              <w:t>., tedy</w:t>
            </w:r>
            <w:proofErr w:type="gramEnd"/>
            <w:r w:rsidRPr="005E2AB2">
              <w:rPr>
                <w:rFonts w:cs="Arial"/>
              </w:rPr>
              <w:t xml:space="preserve"> více než polovinu</w:t>
            </w:r>
            <w:r>
              <w:rPr>
                <w:rFonts w:cs="Arial"/>
              </w:rPr>
              <w:t xml:space="preserve"> (podobně jako v roce 2015).</w:t>
            </w:r>
            <w:r w:rsidRPr="005E2AB2">
              <w:rPr>
                <w:rFonts w:cs="Arial"/>
              </w:rPr>
              <w:t xml:space="preserve"> Zpracovatelský průmysl přispíval k růstu HPH rovnoměrně ve všech čtvrtletích roku. Dalším výrazněji rostoucím odvětvím byly činnosti v oblasti nemovitostí (nárůst o 3,2 %), které sice rostly pomaleji než v roce 2015, ale jejich příspěvek k růstu HPH činil +0,3 </w:t>
            </w:r>
            <w:proofErr w:type="spellStart"/>
            <w:proofErr w:type="gramStart"/>
            <w:r w:rsidRPr="005E2AB2">
              <w:rPr>
                <w:rFonts w:cs="Arial"/>
              </w:rPr>
              <w:t>p.b</w:t>
            </w:r>
            <w:proofErr w:type="spellEnd"/>
            <w:r w:rsidRPr="005E2AB2">
              <w:rPr>
                <w:rFonts w:cs="Arial"/>
              </w:rPr>
              <w:t>. a rovněž</w:t>
            </w:r>
            <w:proofErr w:type="gramEnd"/>
            <w:r w:rsidRPr="005E2AB2">
              <w:rPr>
                <w:rFonts w:cs="Arial"/>
              </w:rPr>
              <w:t xml:space="preserve"> byl stabilní po celý rok.  </w:t>
            </w:r>
          </w:p>
          <w:p w:rsidR="003875C2" w:rsidRPr="00E60FCE" w:rsidRDefault="003875C2" w:rsidP="00A9497A">
            <w:pPr>
              <w:pStyle w:val="Textpoznpodarou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875C2" w:rsidRPr="00A74192" w:rsidTr="00701382">
        <w:tc>
          <w:tcPr>
            <w:tcW w:w="1074" w:type="pct"/>
            <w:gridSpan w:val="2"/>
          </w:tcPr>
          <w:p w:rsidR="003875C2" w:rsidRPr="00A74192" w:rsidRDefault="003875C2" w:rsidP="00A9497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Meziročně se zredukoval příspěvek odvět</w:t>
            </w:r>
            <w:r w:rsidR="00AE6734">
              <w:rPr>
                <w:rFonts w:cs="Arial"/>
                <w:sz w:val="16"/>
                <w:szCs w:val="16"/>
              </w:rPr>
              <w:t>ví obchod, doprava, ubytování a </w:t>
            </w:r>
            <w:r>
              <w:rPr>
                <w:rFonts w:cs="Arial"/>
                <w:sz w:val="16"/>
                <w:szCs w:val="16"/>
              </w:rPr>
              <w:t>pohostinství. Výrazně klesla HPH ve stavebnictví.</w:t>
            </w:r>
          </w:p>
        </w:tc>
        <w:tc>
          <w:tcPr>
            <w:tcW w:w="142" w:type="pct"/>
          </w:tcPr>
          <w:p w:rsidR="003875C2" w:rsidRPr="00A74192" w:rsidRDefault="003875C2" w:rsidP="00D94859">
            <w:pPr>
              <w:pStyle w:val="Textpoznpodarou"/>
              <w:jc w:val="both"/>
              <w:rPr>
                <w:rFonts w:cs="Arial"/>
              </w:rPr>
            </w:pPr>
          </w:p>
        </w:tc>
        <w:tc>
          <w:tcPr>
            <w:tcW w:w="3784" w:type="pct"/>
            <w:gridSpan w:val="3"/>
          </w:tcPr>
          <w:p w:rsidR="003875C2" w:rsidRPr="005E2AB2" w:rsidRDefault="003875C2" w:rsidP="00A9497A">
            <w:pPr>
              <w:pStyle w:val="Textpoznpodarou"/>
              <w:jc w:val="both"/>
              <w:rPr>
                <w:rFonts w:cs="Arial"/>
                <w:sz w:val="18"/>
                <w:szCs w:val="18"/>
              </w:rPr>
            </w:pPr>
            <w:r w:rsidRPr="005E2AB2">
              <w:rPr>
                <w:rFonts w:cs="Arial"/>
              </w:rPr>
              <w:t xml:space="preserve">V průběhu roku 2016 došlo ke zpomalení růstu v odvětví obchod, doprava, ubytování a pohostinství, jehož příspěvek k růstu HPH v roce 2015 činil +0,7 </w:t>
            </w:r>
            <w:proofErr w:type="spellStart"/>
            <w:proofErr w:type="gramStart"/>
            <w:r w:rsidRPr="005E2AB2">
              <w:rPr>
                <w:rFonts w:cs="Arial"/>
              </w:rPr>
              <w:t>p.b</w:t>
            </w:r>
            <w:proofErr w:type="spellEnd"/>
            <w:r w:rsidRPr="005E2AB2">
              <w:rPr>
                <w:rFonts w:cs="Arial"/>
              </w:rPr>
              <w:t>.</w:t>
            </w:r>
            <w:proofErr w:type="gramEnd"/>
            <w:r w:rsidRPr="005E2AB2">
              <w:rPr>
                <w:rFonts w:cs="Arial"/>
              </w:rPr>
              <w:t xml:space="preserve"> Během 1. čtvrtletí roku 2016 ještě </w:t>
            </w:r>
            <w:r>
              <w:rPr>
                <w:rFonts w:cs="Arial"/>
              </w:rPr>
              <w:t xml:space="preserve">uvedené </w:t>
            </w:r>
            <w:r w:rsidR="00080A41">
              <w:rPr>
                <w:rFonts w:cs="Arial"/>
              </w:rPr>
              <w:t xml:space="preserve">odvětví přispělo +0,5 </w:t>
            </w:r>
            <w:proofErr w:type="spellStart"/>
            <w:proofErr w:type="gramStart"/>
            <w:r w:rsidR="00080A41">
              <w:rPr>
                <w:rFonts w:cs="Arial"/>
              </w:rPr>
              <w:t>p.b</w:t>
            </w:r>
            <w:proofErr w:type="spellEnd"/>
            <w:r w:rsidR="00080A41">
              <w:rPr>
                <w:rFonts w:cs="Arial"/>
              </w:rPr>
              <w:t>.,</w:t>
            </w:r>
            <w:r w:rsidRPr="005E2AB2">
              <w:rPr>
                <w:rFonts w:cs="Arial"/>
              </w:rPr>
              <w:t xml:space="preserve"> ale</w:t>
            </w:r>
            <w:proofErr w:type="gramEnd"/>
            <w:r w:rsidRPr="005E2AB2">
              <w:rPr>
                <w:rFonts w:cs="Arial"/>
              </w:rPr>
              <w:t xml:space="preserve"> následně </w:t>
            </w:r>
            <w:r w:rsidR="003F32AB">
              <w:rPr>
                <w:rFonts w:cs="Arial"/>
              </w:rPr>
              <w:t>se příspěvky zredukovaly až na -</w:t>
            </w:r>
            <w:r w:rsidRPr="005E2AB2">
              <w:rPr>
                <w:rFonts w:cs="Arial"/>
              </w:rPr>
              <w:t xml:space="preserve">0,1 </w:t>
            </w:r>
            <w:proofErr w:type="spellStart"/>
            <w:r w:rsidRPr="005E2AB2">
              <w:rPr>
                <w:rFonts w:cs="Arial"/>
              </w:rPr>
              <w:t>p.b</w:t>
            </w:r>
            <w:proofErr w:type="spellEnd"/>
            <w:r w:rsidRPr="005E2AB2">
              <w:rPr>
                <w:rFonts w:cs="Arial"/>
              </w:rPr>
              <w:t>. v</w:t>
            </w:r>
            <w:r>
              <w:rPr>
                <w:rFonts w:cs="Arial"/>
              </w:rPr>
              <w:t> </w:t>
            </w:r>
            <w:r w:rsidRPr="005E2AB2">
              <w:rPr>
                <w:rFonts w:cs="Arial"/>
              </w:rPr>
              <w:t>závěr</w:t>
            </w:r>
            <w:r>
              <w:rPr>
                <w:rFonts w:cs="Arial"/>
              </w:rPr>
              <w:t>u roku. C</w:t>
            </w:r>
            <w:r w:rsidRPr="005E2AB2">
              <w:rPr>
                <w:rFonts w:cs="Arial"/>
              </w:rPr>
              <w:t xml:space="preserve">elkový příspěvek v roce 2016 byl +0,2 </w:t>
            </w:r>
            <w:proofErr w:type="spellStart"/>
            <w:proofErr w:type="gramStart"/>
            <w:r w:rsidRPr="005E2AB2">
              <w:rPr>
                <w:rFonts w:cs="Arial"/>
              </w:rPr>
              <w:t>p.b</w:t>
            </w:r>
            <w:proofErr w:type="spellEnd"/>
            <w:r w:rsidRPr="005E2AB2">
              <w:rPr>
                <w:rFonts w:cs="Arial"/>
              </w:rPr>
              <w:t>..</w:t>
            </w:r>
            <w:proofErr w:type="gramEnd"/>
            <w:r w:rsidRPr="005E2AB2">
              <w:rPr>
                <w:rFonts w:cs="Arial"/>
              </w:rPr>
              <w:t xml:space="preserve"> Dalšími odvětvími, která neudržela růst z předchozího roku, jsou informační a komunikační činnosti a profesní, vědecké, technické a administrativní činnosti. Obě </w:t>
            </w:r>
            <w:r>
              <w:rPr>
                <w:rFonts w:cs="Arial"/>
              </w:rPr>
              <w:t xml:space="preserve">odvětví </w:t>
            </w:r>
            <w:r w:rsidRPr="005E2AB2">
              <w:rPr>
                <w:rFonts w:cs="Arial"/>
              </w:rPr>
              <w:t xml:space="preserve">přispěla k nárůstu HPH v roce 2016 </w:t>
            </w:r>
            <w:r>
              <w:rPr>
                <w:rFonts w:cs="Arial"/>
              </w:rPr>
              <w:t xml:space="preserve">shodně jen </w:t>
            </w:r>
            <w:r w:rsidRPr="005E2AB2">
              <w:rPr>
                <w:rFonts w:cs="Arial"/>
              </w:rPr>
              <w:t xml:space="preserve">0,1 </w:t>
            </w:r>
            <w:proofErr w:type="spellStart"/>
            <w:proofErr w:type="gramStart"/>
            <w:r w:rsidRPr="005E2AB2">
              <w:rPr>
                <w:rFonts w:cs="Arial"/>
              </w:rPr>
              <w:t>p.b</w:t>
            </w:r>
            <w:proofErr w:type="spellEnd"/>
            <w:r w:rsidRPr="005E2AB2">
              <w:rPr>
                <w:rFonts w:cs="Arial"/>
              </w:rPr>
              <w:t>.</w:t>
            </w:r>
            <w:proofErr w:type="gramEnd"/>
            <w:r w:rsidRPr="005E2AB2">
              <w:rPr>
                <w:rFonts w:cs="Arial"/>
              </w:rPr>
              <w:t xml:space="preserve"> Rok 2016 byl neúspěšným pro stavebnictví, jehož HPH klesla o</w:t>
            </w:r>
            <w:r>
              <w:rPr>
                <w:rFonts w:cs="Arial"/>
              </w:rPr>
              <w:t> </w:t>
            </w:r>
            <w:r w:rsidRPr="005E2AB2">
              <w:rPr>
                <w:rFonts w:cs="Arial"/>
              </w:rPr>
              <w:t>5,8</w:t>
            </w:r>
            <w:r>
              <w:rPr>
                <w:rFonts w:cs="Arial"/>
              </w:rPr>
              <w:t> </w:t>
            </w:r>
            <w:r w:rsidRPr="005E2AB2">
              <w:rPr>
                <w:rFonts w:cs="Arial"/>
              </w:rPr>
              <w:t xml:space="preserve">%. Negativní dopad na celkový růst HPH ze strany tohoto odvětví se v průběhu roku prohluboval a celkově dosáhl </w:t>
            </w:r>
            <w:r w:rsidR="003F32AB">
              <w:rPr>
                <w:rFonts w:cs="Arial"/>
              </w:rPr>
              <w:t>-</w:t>
            </w:r>
            <w:r w:rsidRPr="005E2AB2">
              <w:rPr>
                <w:rFonts w:cs="Arial"/>
              </w:rPr>
              <w:t xml:space="preserve">0,3 </w:t>
            </w:r>
            <w:proofErr w:type="spellStart"/>
            <w:proofErr w:type="gramStart"/>
            <w:r w:rsidRPr="005E2AB2">
              <w:rPr>
                <w:rFonts w:cs="Arial"/>
              </w:rPr>
              <w:t>p.b</w:t>
            </w:r>
            <w:proofErr w:type="spellEnd"/>
            <w:r w:rsidRPr="005E2AB2">
              <w:rPr>
                <w:rFonts w:cs="Arial"/>
              </w:rPr>
              <w:t>.</w:t>
            </w:r>
            <w:proofErr w:type="gramEnd"/>
            <w:r w:rsidRPr="005E2AB2">
              <w:rPr>
                <w:rFonts w:cs="Arial"/>
              </w:rPr>
              <w:t xml:space="preserve"> </w:t>
            </w:r>
          </w:p>
          <w:p w:rsidR="003875C2" w:rsidRPr="005E2AB2" w:rsidRDefault="003875C2" w:rsidP="00A9497A">
            <w:pPr>
              <w:pStyle w:val="Textpoznpodarou"/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701382" w:rsidRPr="00A74192" w:rsidTr="00701382">
        <w:tc>
          <w:tcPr>
            <w:tcW w:w="501" w:type="pct"/>
          </w:tcPr>
          <w:p w:rsidR="00701382" w:rsidRDefault="00701382" w:rsidP="00BE2C15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 xml:space="preserve">Graf č. </w:t>
            </w:r>
          </w:p>
          <w:p w:rsidR="00701382" w:rsidRPr="00A74192" w:rsidRDefault="00701382" w:rsidP="00BE2C15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>1</w:t>
            </w:r>
          </w:p>
        </w:tc>
        <w:tc>
          <w:tcPr>
            <w:tcW w:w="1998" w:type="pct"/>
            <w:gridSpan w:val="3"/>
          </w:tcPr>
          <w:p w:rsidR="00701382" w:rsidRPr="00A74192" w:rsidRDefault="00701382" w:rsidP="00AD4FEF">
            <w:pPr>
              <w:pStyle w:val="Textpoznpodarou"/>
              <w:jc w:val="both"/>
              <w:rPr>
                <w:rFonts w:cs="Arial"/>
                <w:lang w:eastAsia="en-US"/>
              </w:rPr>
            </w:pPr>
            <w:r w:rsidRPr="00A74192">
              <w:rPr>
                <w:rFonts w:cs="Arial"/>
                <w:b/>
                <w:lang w:eastAsia="en-US"/>
              </w:rPr>
              <w:t>HDP</w:t>
            </w:r>
            <w:r>
              <w:rPr>
                <w:rFonts w:cs="Arial"/>
                <w:b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(stálé</w:t>
            </w:r>
            <w:r>
              <w:rPr>
                <w:rFonts w:cs="Arial"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ceny,</w:t>
            </w:r>
            <w:r>
              <w:rPr>
                <w:rFonts w:cs="Arial"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očištěno</w:t>
            </w:r>
            <w:r>
              <w:rPr>
                <w:rFonts w:cs="Arial"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o</w:t>
            </w:r>
            <w:r>
              <w:rPr>
                <w:rFonts w:cs="Arial"/>
                <w:lang w:eastAsia="en-US"/>
              </w:rPr>
              <w:t> </w:t>
            </w:r>
            <w:r w:rsidRPr="00A74192">
              <w:rPr>
                <w:rFonts w:cs="Arial"/>
                <w:lang w:eastAsia="en-US"/>
              </w:rPr>
              <w:t>sezónní a kalendářní vlivy, v %)</w:t>
            </w:r>
          </w:p>
        </w:tc>
        <w:tc>
          <w:tcPr>
            <w:tcW w:w="450" w:type="pct"/>
          </w:tcPr>
          <w:p w:rsidR="00701382" w:rsidRDefault="00701382" w:rsidP="00AD4FEF">
            <w:pPr>
              <w:pStyle w:val="Textpoznpodarou"/>
              <w:ind w:left="-71" w:right="-250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 xml:space="preserve">Graf č. </w:t>
            </w:r>
          </w:p>
          <w:p w:rsidR="00701382" w:rsidRPr="00A74192" w:rsidRDefault="00701382" w:rsidP="00AD4FEF">
            <w:pPr>
              <w:pStyle w:val="Textpoznpodarou"/>
              <w:ind w:left="-71" w:right="-250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>2</w:t>
            </w:r>
          </w:p>
        </w:tc>
        <w:tc>
          <w:tcPr>
            <w:tcW w:w="2051" w:type="pct"/>
          </w:tcPr>
          <w:p w:rsidR="00701382" w:rsidRPr="00A74192" w:rsidRDefault="00701382" w:rsidP="001752CB">
            <w:pPr>
              <w:pStyle w:val="Textpoznpodarou"/>
              <w:ind w:right="34"/>
              <w:jc w:val="both"/>
              <w:rPr>
                <w:rFonts w:cs="Arial"/>
                <w:lang w:eastAsia="en-US"/>
              </w:rPr>
            </w:pPr>
            <w:r w:rsidRPr="00A74192">
              <w:rPr>
                <w:rFonts w:cs="Arial"/>
                <w:b/>
                <w:lang w:eastAsia="en-US"/>
              </w:rPr>
              <w:t xml:space="preserve">HDP </w:t>
            </w:r>
            <w:r w:rsidRPr="00A74192">
              <w:rPr>
                <w:rFonts w:cs="Arial"/>
                <w:lang w:eastAsia="en-US"/>
              </w:rPr>
              <w:t xml:space="preserve">(stálé ceny, očištěno o sezónní a kalendářní vlivy, y/y v %, pravá osa) </w:t>
            </w:r>
            <w:r w:rsidRPr="00A74192">
              <w:rPr>
                <w:rFonts w:cs="Arial"/>
                <w:b/>
                <w:lang w:eastAsia="en-US"/>
              </w:rPr>
              <w:t>a indikátory důvěry</w:t>
            </w:r>
            <w:r w:rsidRPr="00A74192">
              <w:rPr>
                <w:rFonts w:cs="Arial"/>
                <w:lang w:eastAsia="en-US"/>
              </w:rPr>
              <w:t xml:space="preserve"> (2005=100, levá osa)</w:t>
            </w:r>
          </w:p>
        </w:tc>
      </w:tr>
      <w:tr w:rsidR="00701382" w:rsidRPr="00A74192" w:rsidTr="00701382">
        <w:tc>
          <w:tcPr>
            <w:tcW w:w="2499" w:type="pct"/>
            <w:gridSpan w:val="4"/>
          </w:tcPr>
          <w:p w:rsidR="00701382" w:rsidRPr="00A74192" w:rsidRDefault="003D5921" w:rsidP="00BE2C15">
            <w:pPr>
              <w:pStyle w:val="Textpoznpodarou"/>
              <w:ind w:left="-108"/>
              <w:jc w:val="both"/>
              <w:rPr>
                <w:rFonts w:cs="Arial"/>
                <w:color w:val="FF0000"/>
                <w:lang w:eastAsia="en-US"/>
              </w:rPr>
            </w:pPr>
            <w:r>
              <w:rPr>
                <w:rFonts w:cs="Arial"/>
                <w:noProof/>
                <w:color w:val="FF0000"/>
              </w:rPr>
              <w:drawing>
                <wp:inline distT="0" distB="0" distL="0" distR="0">
                  <wp:extent cx="3079750" cy="2435860"/>
                  <wp:effectExtent l="19050" t="0" r="6350" b="0"/>
                  <wp:docPr id="2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43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</w:tcPr>
          <w:p w:rsidR="00701382" w:rsidRPr="0085188D" w:rsidRDefault="003D5921" w:rsidP="00701382">
            <w:pPr>
              <w:pStyle w:val="Textpoznpodarou"/>
              <w:ind w:left="-71"/>
              <w:jc w:val="both"/>
              <w:rPr>
                <w:rFonts w:cs="Arial"/>
                <w:color w:val="FF0000"/>
                <w:sz w:val="6"/>
                <w:szCs w:val="6"/>
                <w:lang w:eastAsia="en-US"/>
              </w:rPr>
            </w:pPr>
            <w:r>
              <w:rPr>
                <w:rFonts w:cs="Arial"/>
                <w:noProof/>
                <w:color w:val="FF0000"/>
                <w:sz w:val="6"/>
                <w:szCs w:val="6"/>
              </w:rPr>
              <w:drawing>
                <wp:inline distT="0" distB="0" distL="0" distR="0">
                  <wp:extent cx="3079750" cy="2428875"/>
                  <wp:effectExtent l="19050" t="0" r="6350" b="0"/>
                  <wp:docPr id="2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382" w:rsidRPr="00A74192" w:rsidTr="00701382">
        <w:tc>
          <w:tcPr>
            <w:tcW w:w="501" w:type="pct"/>
          </w:tcPr>
          <w:p w:rsidR="00701382" w:rsidRDefault="00701382" w:rsidP="00BE2C15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 xml:space="preserve">Graf č. </w:t>
            </w:r>
          </w:p>
          <w:p w:rsidR="00701382" w:rsidRPr="00A74192" w:rsidRDefault="00701382" w:rsidP="00BE2C15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>3</w:t>
            </w:r>
          </w:p>
        </w:tc>
        <w:tc>
          <w:tcPr>
            <w:tcW w:w="1998" w:type="pct"/>
            <w:gridSpan w:val="3"/>
          </w:tcPr>
          <w:p w:rsidR="00701382" w:rsidRPr="00A74192" w:rsidRDefault="00701382" w:rsidP="00AD4FEF">
            <w:pPr>
              <w:pStyle w:val="Textpoznpodarou"/>
              <w:ind w:right="139"/>
              <w:rPr>
                <w:rFonts w:cs="Arial"/>
                <w:lang w:eastAsia="en-US"/>
              </w:rPr>
            </w:pPr>
            <w:r w:rsidRPr="00A74192">
              <w:rPr>
                <w:rFonts w:cs="Arial"/>
                <w:b/>
                <w:lang w:eastAsia="en-US"/>
              </w:rPr>
              <w:t>Příspěvky výdajových složek ke změně HDP*</w:t>
            </w:r>
            <w:r w:rsidRPr="00A74192">
              <w:rPr>
                <w:rFonts w:cs="Arial"/>
                <w:lang w:eastAsia="en-US"/>
              </w:rPr>
              <w:t xml:space="preserve"> (stálé ceny, y/y, příspěvky v </w:t>
            </w:r>
            <w:proofErr w:type="spellStart"/>
            <w:proofErr w:type="gramStart"/>
            <w:r w:rsidRPr="00A74192">
              <w:rPr>
                <w:rFonts w:cs="Arial"/>
                <w:lang w:eastAsia="en-US"/>
              </w:rPr>
              <w:t>p.b</w:t>
            </w:r>
            <w:proofErr w:type="spellEnd"/>
            <w:r w:rsidRPr="00A74192">
              <w:rPr>
                <w:rFonts w:cs="Arial"/>
                <w:lang w:eastAsia="en-US"/>
              </w:rPr>
              <w:t>., HDP</w:t>
            </w:r>
            <w:proofErr w:type="gramEnd"/>
            <w:r w:rsidRPr="00A74192">
              <w:rPr>
                <w:rFonts w:cs="Arial"/>
                <w:lang w:eastAsia="en-US"/>
              </w:rPr>
              <w:t xml:space="preserve"> v %)</w:t>
            </w:r>
          </w:p>
        </w:tc>
        <w:tc>
          <w:tcPr>
            <w:tcW w:w="450" w:type="pct"/>
          </w:tcPr>
          <w:p w:rsidR="00701382" w:rsidRDefault="00701382" w:rsidP="001752CB">
            <w:pPr>
              <w:pStyle w:val="Textpoznpodarou"/>
              <w:ind w:left="-71" w:right="-108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 xml:space="preserve">Graf č. </w:t>
            </w:r>
          </w:p>
          <w:p w:rsidR="00701382" w:rsidRPr="00A74192" w:rsidRDefault="00701382" w:rsidP="001752CB">
            <w:pPr>
              <w:pStyle w:val="Textpoznpodarou"/>
              <w:ind w:left="-71" w:right="-108"/>
              <w:rPr>
                <w:rFonts w:cs="Arial"/>
                <w:lang w:eastAsia="en-US"/>
              </w:rPr>
            </w:pPr>
            <w:r w:rsidRPr="00A74192">
              <w:rPr>
                <w:rFonts w:cs="Arial"/>
                <w:lang w:eastAsia="en-US"/>
              </w:rPr>
              <w:t>4</w:t>
            </w:r>
          </w:p>
        </w:tc>
        <w:tc>
          <w:tcPr>
            <w:tcW w:w="2051" w:type="pct"/>
          </w:tcPr>
          <w:p w:rsidR="00701382" w:rsidRPr="00A74192" w:rsidRDefault="00701382" w:rsidP="001752CB">
            <w:pPr>
              <w:pStyle w:val="Textpoznpodarou"/>
              <w:rPr>
                <w:rFonts w:cs="Arial"/>
                <w:lang w:eastAsia="en-US"/>
              </w:rPr>
            </w:pPr>
            <w:r w:rsidRPr="00A74192">
              <w:rPr>
                <w:rFonts w:cs="Arial"/>
                <w:b/>
                <w:lang w:eastAsia="en-US"/>
              </w:rPr>
              <w:t>Příspěvky odvětví ke změně HPH</w:t>
            </w:r>
            <w:r w:rsidRPr="00A74192">
              <w:rPr>
                <w:rFonts w:cs="Arial"/>
                <w:lang w:eastAsia="en-US"/>
              </w:rPr>
              <w:t xml:space="preserve"> (stálé ceny, y/y, příspěvky v </w:t>
            </w:r>
            <w:proofErr w:type="spellStart"/>
            <w:proofErr w:type="gramStart"/>
            <w:r w:rsidRPr="00A74192">
              <w:rPr>
                <w:rFonts w:cs="Arial"/>
                <w:lang w:eastAsia="en-US"/>
              </w:rPr>
              <w:t>p.b</w:t>
            </w:r>
            <w:proofErr w:type="spellEnd"/>
            <w:r w:rsidRPr="00A74192">
              <w:rPr>
                <w:rFonts w:cs="Arial"/>
                <w:lang w:eastAsia="en-US"/>
              </w:rPr>
              <w:t>., HPH</w:t>
            </w:r>
            <w:proofErr w:type="gramEnd"/>
            <w:r w:rsidRPr="00A74192">
              <w:rPr>
                <w:rFonts w:cs="Arial"/>
                <w:lang w:eastAsia="en-US"/>
              </w:rPr>
              <w:t xml:space="preserve"> v %)</w:t>
            </w:r>
          </w:p>
        </w:tc>
      </w:tr>
      <w:tr w:rsidR="00701382" w:rsidRPr="00A74192" w:rsidTr="00701382">
        <w:tc>
          <w:tcPr>
            <w:tcW w:w="2499" w:type="pct"/>
            <w:gridSpan w:val="4"/>
          </w:tcPr>
          <w:p w:rsidR="00701382" w:rsidRPr="00A74192" w:rsidRDefault="003D5921" w:rsidP="00BE2C15">
            <w:pPr>
              <w:pStyle w:val="Textpoznpodarou"/>
              <w:ind w:left="-108"/>
              <w:jc w:val="both"/>
              <w:rPr>
                <w:rFonts w:cs="Arial"/>
                <w:color w:val="FF0000"/>
                <w:sz w:val="22"/>
                <w:lang w:eastAsia="en-US"/>
              </w:rPr>
            </w:pPr>
            <w:r>
              <w:rPr>
                <w:rFonts w:cs="Arial"/>
                <w:noProof/>
                <w:color w:val="FF0000"/>
                <w:sz w:val="22"/>
              </w:rPr>
              <w:drawing>
                <wp:inline distT="0" distB="0" distL="0" distR="0">
                  <wp:extent cx="3086735" cy="2443480"/>
                  <wp:effectExtent l="19050" t="0" r="0" b="0"/>
                  <wp:docPr id="2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44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</w:tcPr>
          <w:p w:rsidR="00701382" w:rsidRPr="00A74192" w:rsidRDefault="003D5921" w:rsidP="00BE2C15">
            <w:pPr>
              <w:pStyle w:val="Textpoznpodarou"/>
              <w:ind w:left="-109"/>
              <w:jc w:val="both"/>
              <w:rPr>
                <w:rFonts w:cs="Arial"/>
                <w:color w:val="FF0000"/>
                <w:sz w:val="22"/>
                <w:lang w:eastAsia="en-US"/>
              </w:rPr>
            </w:pPr>
            <w:r>
              <w:rPr>
                <w:rFonts w:cs="Arial"/>
                <w:noProof/>
                <w:color w:val="FF0000"/>
                <w:sz w:val="22"/>
              </w:rPr>
              <w:drawing>
                <wp:inline distT="0" distB="0" distL="0" distR="0">
                  <wp:extent cx="3086735" cy="244348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44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382" w:rsidRPr="00A74192" w:rsidTr="00701382">
        <w:tc>
          <w:tcPr>
            <w:tcW w:w="2499" w:type="pct"/>
            <w:gridSpan w:val="4"/>
          </w:tcPr>
          <w:p w:rsidR="00701382" w:rsidRPr="00F31D53" w:rsidRDefault="00701382" w:rsidP="00BE2C15">
            <w:pPr>
              <w:pStyle w:val="Textpoznpodarou"/>
              <w:ind w:left="-108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F31D53">
              <w:rPr>
                <w:rFonts w:cs="Arial"/>
                <w:sz w:val="18"/>
                <w:szCs w:val="18"/>
                <w:lang w:eastAsia="en-US"/>
              </w:rPr>
              <w:t>*po vyloučení dovozu pro konečné užití</w:t>
            </w:r>
          </w:p>
        </w:tc>
        <w:tc>
          <w:tcPr>
            <w:tcW w:w="2501" w:type="pct"/>
            <w:gridSpan w:val="2"/>
          </w:tcPr>
          <w:p w:rsidR="00701382" w:rsidRPr="00F31D53" w:rsidRDefault="00701382" w:rsidP="00393D74">
            <w:pPr>
              <w:pStyle w:val="Textpoznpodarou"/>
              <w:ind w:left="-109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F31D53">
              <w:rPr>
                <w:rFonts w:cs="Arial"/>
                <w:sz w:val="18"/>
                <w:szCs w:val="18"/>
                <w:lang w:eastAsia="en-US"/>
              </w:rPr>
              <w:t>Zdroj:ČSÚ</w:t>
            </w:r>
            <w:r w:rsidR="00720958">
              <w:rPr>
                <w:rFonts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20958">
              <w:rPr>
                <w:rFonts w:cs="Arial"/>
                <w:sz w:val="18"/>
                <w:szCs w:val="18"/>
                <w:lang w:eastAsia="en-US"/>
              </w:rPr>
              <w:t>Eurostat</w:t>
            </w:r>
            <w:proofErr w:type="spellEnd"/>
          </w:p>
        </w:tc>
      </w:tr>
    </w:tbl>
    <w:p w:rsidR="00ED3A94" w:rsidRPr="00A74192" w:rsidRDefault="00ED3A94" w:rsidP="00D94859">
      <w:pPr>
        <w:pStyle w:val="Textpoznpodarou"/>
        <w:jc w:val="both"/>
        <w:rPr>
          <w:sz w:val="2"/>
          <w:szCs w:val="2"/>
        </w:rPr>
      </w:pPr>
    </w:p>
    <w:sectPr w:rsidR="00ED3A94" w:rsidRPr="00A74192" w:rsidSect="004D497E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21" w:rsidRDefault="003D5921" w:rsidP="00E71A58">
      <w:r>
        <w:separator/>
      </w:r>
    </w:p>
  </w:endnote>
  <w:endnote w:type="continuationSeparator" w:id="0">
    <w:p w:rsidR="003D5921" w:rsidRDefault="003D592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2F43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FD2F43" w:rsidRPr="005A21E0">
      <w:rPr>
        <w:rFonts w:ascii="Arial" w:hAnsi="Arial" w:cs="Arial"/>
        <w:sz w:val="16"/>
        <w:szCs w:val="16"/>
      </w:rPr>
      <w:fldChar w:fldCharType="separate"/>
    </w:r>
    <w:r w:rsidR="004D497E">
      <w:rPr>
        <w:rFonts w:ascii="Arial" w:hAnsi="Arial" w:cs="Arial"/>
        <w:noProof/>
        <w:sz w:val="16"/>
        <w:szCs w:val="16"/>
      </w:rPr>
      <w:t>6</w:t>
    </w:r>
    <w:r w:rsidR="00FD2F43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6E182C" w:rsidRPr="00223E00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FD2F43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FD2F43" w:rsidRPr="00223E00">
      <w:rPr>
        <w:rFonts w:ascii="Arial" w:hAnsi="Arial" w:cs="Arial"/>
        <w:sz w:val="16"/>
        <w:szCs w:val="16"/>
      </w:rPr>
      <w:fldChar w:fldCharType="separate"/>
    </w:r>
    <w:r w:rsidR="004D497E">
      <w:rPr>
        <w:rFonts w:ascii="Arial" w:hAnsi="Arial" w:cs="Arial"/>
        <w:noProof/>
        <w:sz w:val="16"/>
        <w:szCs w:val="16"/>
      </w:rPr>
      <w:t>5</w:t>
    </w:r>
    <w:r w:rsidR="00FD2F43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21" w:rsidRDefault="003D5921" w:rsidP="00E71A58">
      <w:r>
        <w:separator/>
      </w:r>
    </w:p>
  </w:footnote>
  <w:footnote w:type="continuationSeparator" w:id="0">
    <w:p w:rsidR="003D5921" w:rsidRDefault="003D5921" w:rsidP="00E71A58">
      <w:r>
        <w:continuationSeparator/>
      </w:r>
    </w:p>
  </w:footnote>
  <w:footnote w:id="1">
    <w:p w:rsidR="006E182C" w:rsidRPr="00EF1EE3" w:rsidRDefault="006E182C" w:rsidP="007A4D58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Data o HDP, hrubé přidané hodnotě a jejich složkách jsou vyjádřena ve stálých cenách a v očištění o sezónní a kalendářn</w:t>
      </w:r>
      <w:r>
        <w:rPr>
          <w:sz w:val="16"/>
          <w:szCs w:val="16"/>
        </w:rPr>
        <w:t>í vlivy. Údaje byly zveřejněny 3</w:t>
      </w:r>
      <w:r w:rsidRPr="00EF1EE3">
        <w:rPr>
          <w:sz w:val="16"/>
          <w:szCs w:val="16"/>
        </w:rPr>
        <w:t>.</w:t>
      </w:r>
      <w:r>
        <w:rPr>
          <w:sz w:val="16"/>
          <w:szCs w:val="16"/>
        </w:rPr>
        <w:t xml:space="preserve"> 3</w:t>
      </w:r>
      <w:r w:rsidRPr="00EF1EE3">
        <w:rPr>
          <w:sz w:val="16"/>
          <w:szCs w:val="16"/>
        </w:rPr>
        <w:t>. 201</w:t>
      </w:r>
      <w:r>
        <w:rPr>
          <w:sz w:val="16"/>
          <w:szCs w:val="16"/>
        </w:rPr>
        <w:t>7</w:t>
      </w:r>
      <w:r w:rsidRPr="00EF1EE3">
        <w:rPr>
          <w:sz w:val="16"/>
          <w:szCs w:val="16"/>
        </w:rPr>
        <w:t xml:space="preserve"> a zpřesnění bude publikováno </w:t>
      </w:r>
      <w:r>
        <w:rPr>
          <w:sz w:val="16"/>
          <w:szCs w:val="16"/>
        </w:rPr>
        <w:t>31</w:t>
      </w:r>
      <w:r w:rsidRPr="00EF1EE3">
        <w:rPr>
          <w:sz w:val="16"/>
          <w:szCs w:val="16"/>
        </w:rPr>
        <w:t xml:space="preserve">. </w:t>
      </w:r>
      <w:r>
        <w:rPr>
          <w:sz w:val="16"/>
          <w:szCs w:val="16"/>
        </w:rPr>
        <w:t>3</w:t>
      </w:r>
      <w:r w:rsidRPr="00EF1EE3">
        <w:rPr>
          <w:sz w:val="16"/>
          <w:szCs w:val="16"/>
        </w:rPr>
        <w:t>. 2017.</w:t>
      </w:r>
    </w:p>
  </w:footnote>
  <w:footnote w:id="2">
    <w:p w:rsidR="006E182C" w:rsidRPr="00EF1EE3" w:rsidRDefault="006E182C" w:rsidP="00701382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 w:rsidRPr="0019579E">
        <w:rPr>
          <w:sz w:val="16"/>
          <w:szCs w:val="16"/>
        </w:rPr>
        <w:t xml:space="preserve">Nedostupná data za </w:t>
      </w:r>
      <w:r>
        <w:rPr>
          <w:sz w:val="16"/>
          <w:szCs w:val="16"/>
        </w:rPr>
        <w:t xml:space="preserve">Irsko a </w:t>
      </w:r>
      <w:r w:rsidRPr="0019579E">
        <w:rPr>
          <w:sz w:val="16"/>
          <w:szCs w:val="16"/>
        </w:rPr>
        <w:t>Lucembursko</w:t>
      </w:r>
      <w:r>
        <w:rPr>
          <w:sz w:val="16"/>
          <w:szCs w:val="16"/>
        </w:rPr>
        <w:t>. Data za Slovensko n</w:t>
      </w:r>
      <w:r w:rsidRPr="00EF1EE3">
        <w:rPr>
          <w:sz w:val="16"/>
          <w:szCs w:val="16"/>
        </w:rPr>
        <w:t>eočištěn</w:t>
      </w:r>
      <w:r>
        <w:rPr>
          <w:sz w:val="16"/>
          <w:szCs w:val="16"/>
        </w:rPr>
        <w:t>a</w:t>
      </w:r>
      <w:r w:rsidRPr="00EF1EE3">
        <w:rPr>
          <w:sz w:val="16"/>
          <w:szCs w:val="16"/>
        </w:rPr>
        <w:t xml:space="preserve"> o kalendářní vlivy.</w:t>
      </w:r>
    </w:p>
  </w:footnote>
  <w:footnote w:id="3">
    <w:p w:rsidR="006E182C" w:rsidRPr="00EF1EE3" w:rsidRDefault="006E182C" w:rsidP="00701382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Příspěvky ke změně HDP po vyloučení dovozu pro konečné užití.</w:t>
      </w:r>
    </w:p>
  </w:footnote>
  <w:footnote w:id="4">
    <w:p w:rsidR="006E182C" w:rsidRPr="00DC26D7" w:rsidRDefault="006E182C" w:rsidP="00E372FD">
      <w:pPr>
        <w:pStyle w:val="Textpoznpodarou"/>
        <w:rPr>
          <w:sz w:val="16"/>
          <w:szCs w:val="16"/>
        </w:rPr>
      </w:pPr>
      <w:r w:rsidRPr="00DC26D7">
        <w:rPr>
          <w:rStyle w:val="Znakapoznpodarou"/>
          <w:sz w:val="16"/>
          <w:szCs w:val="16"/>
        </w:rPr>
        <w:footnoteRef/>
      </w:r>
      <w:r w:rsidRPr="00DC26D7">
        <w:rPr>
          <w:sz w:val="16"/>
          <w:szCs w:val="16"/>
        </w:rPr>
        <w:t xml:space="preserve"> Do reálného vyjádření převedeno s využitím deflátoru výdajů na konečnou spotřebu domácností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C00831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D766EF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07614"/>
    <w:multiLevelType w:val="hybridMultilevel"/>
    <w:tmpl w:val="B8506A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EB0"/>
    <w:rsid w:val="00007498"/>
    <w:rsid w:val="0000767A"/>
    <w:rsid w:val="000101F5"/>
    <w:rsid w:val="000104B9"/>
    <w:rsid w:val="00010702"/>
    <w:rsid w:val="00010770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E9C"/>
    <w:rsid w:val="00043C68"/>
    <w:rsid w:val="00043E05"/>
    <w:rsid w:val="0004694F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41"/>
    <w:rsid w:val="00080AA8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208"/>
    <w:rsid w:val="00092505"/>
    <w:rsid w:val="000927EB"/>
    <w:rsid w:val="00092C9A"/>
    <w:rsid w:val="000973B6"/>
    <w:rsid w:val="00097BFC"/>
    <w:rsid w:val="00097D02"/>
    <w:rsid w:val="000A1183"/>
    <w:rsid w:val="000A2121"/>
    <w:rsid w:val="000A2484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241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500FC"/>
    <w:rsid w:val="00151AC0"/>
    <w:rsid w:val="00151B27"/>
    <w:rsid w:val="00152046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57D6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A199D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3787"/>
    <w:rsid w:val="001D47E5"/>
    <w:rsid w:val="001D584C"/>
    <w:rsid w:val="001D5E1B"/>
    <w:rsid w:val="001D66C1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1D4"/>
    <w:rsid w:val="0021329E"/>
    <w:rsid w:val="0021355B"/>
    <w:rsid w:val="00215A2C"/>
    <w:rsid w:val="00217980"/>
    <w:rsid w:val="002179F9"/>
    <w:rsid w:val="002205F2"/>
    <w:rsid w:val="0022080E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385B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D04"/>
    <w:rsid w:val="003035D4"/>
    <w:rsid w:val="00303A3C"/>
    <w:rsid w:val="00303DCB"/>
    <w:rsid w:val="00304771"/>
    <w:rsid w:val="00305736"/>
    <w:rsid w:val="00305C33"/>
    <w:rsid w:val="00306C5B"/>
    <w:rsid w:val="00306E3B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6244"/>
    <w:rsid w:val="00357449"/>
    <w:rsid w:val="0036238B"/>
    <w:rsid w:val="003630B0"/>
    <w:rsid w:val="003649FC"/>
    <w:rsid w:val="003651A4"/>
    <w:rsid w:val="00365680"/>
    <w:rsid w:val="003657F3"/>
    <w:rsid w:val="00366D4D"/>
    <w:rsid w:val="00367038"/>
    <w:rsid w:val="00370963"/>
    <w:rsid w:val="0037144E"/>
    <w:rsid w:val="00372272"/>
    <w:rsid w:val="003736B5"/>
    <w:rsid w:val="00374F1E"/>
    <w:rsid w:val="003750CF"/>
    <w:rsid w:val="00375A22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825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21"/>
    <w:rsid w:val="003D5D7A"/>
    <w:rsid w:val="003D5E4B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497E"/>
    <w:rsid w:val="004D4F13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459BD"/>
    <w:rsid w:val="005513D5"/>
    <w:rsid w:val="005523B9"/>
    <w:rsid w:val="005545E0"/>
    <w:rsid w:val="00554865"/>
    <w:rsid w:val="00554E57"/>
    <w:rsid w:val="00557E6A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3CFD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59D2"/>
    <w:rsid w:val="00717726"/>
    <w:rsid w:val="0072050E"/>
    <w:rsid w:val="00720958"/>
    <w:rsid w:val="00720FA2"/>
    <w:rsid w:val="007211F5"/>
    <w:rsid w:val="00724666"/>
    <w:rsid w:val="00724E80"/>
    <w:rsid w:val="00725492"/>
    <w:rsid w:val="007256B7"/>
    <w:rsid w:val="00726043"/>
    <w:rsid w:val="0072704A"/>
    <w:rsid w:val="00730AE8"/>
    <w:rsid w:val="007315DA"/>
    <w:rsid w:val="00731963"/>
    <w:rsid w:val="00732706"/>
    <w:rsid w:val="00734321"/>
    <w:rsid w:val="0073532E"/>
    <w:rsid w:val="00735B01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7B5"/>
    <w:rsid w:val="007879F2"/>
    <w:rsid w:val="00790393"/>
    <w:rsid w:val="00791804"/>
    <w:rsid w:val="00791CF8"/>
    <w:rsid w:val="00791EF9"/>
    <w:rsid w:val="00792262"/>
    <w:rsid w:val="00793387"/>
    <w:rsid w:val="00793BAE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B0D67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DD0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5F9"/>
    <w:rsid w:val="0085281A"/>
    <w:rsid w:val="00853F33"/>
    <w:rsid w:val="008550EA"/>
    <w:rsid w:val="008559FE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D4"/>
    <w:rsid w:val="008669A7"/>
    <w:rsid w:val="00867464"/>
    <w:rsid w:val="00867D15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B07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BE6"/>
    <w:rsid w:val="00993D9C"/>
    <w:rsid w:val="00993F56"/>
    <w:rsid w:val="009954FF"/>
    <w:rsid w:val="00995E2F"/>
    <w:rsid w:val="009961BC"/>
    <w:rsid w:val="00996355"/>
    <w:rsid w:val="0099788F"/>
    <w:rsid w:val="00997ADD"/>
    <w:rsid w:val="009A1374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2A39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3F2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277"/>
    <w:rsid w:val="00A92916"/>
    <w:rsid w:val="00A94628"/>
    <w:rsid w:val="00A94954"/>
    <w:rsid w:val="00A9497A"/>
    <w:rsid w:val="00A96463"/>
    <w:rsid w:val="00A97E3F"/>
    <w:rsid w:val="00AA09D3"/>
    <w:rsid w:val="00AA220F"/>
    <w:rsid w:val="00AA23FB"/>
    <w:rsid w:val="00AA34FE"/>
    <w:rsid w:val="00AA42AB"/>
    <w:rsid w:val="00AA559A"/>
    <w:rsid w:val="00AA57A4"/>
    <w:rsid w:val="00AA5F10"/>
    <w:rsid w:val="00AB0BB9"/>
    <w:rsid w:val="00AB104D"/>
    <w:rsid w:val="00AB1441"/>
    <w:rsid w:val="00AB1CCE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DED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589"/>
    <w:rsid w:val="00C6736C"/>
    <w:rsid w:val="00C70422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3EF3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71F2"/>
    <w:rsid w:val="00E57429"/>
    <w:rsid w:val="00E60FCE"/>
    <w:rsid w:val="00E61EA8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3486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07A19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D1261"/>
    <w:rsid w:val="00FD1627"/>
    <w:rsid w:val="00FD1BBD"/>
    <w:rsid w:val="00FD2F43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2D4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C9EEB-3D09-489A-8EC5-7954B714F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3C85A-5A56-464B-AF65-FBC7F0D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</TotalTime>
  <Pages>3</Pages>
  <Words>1640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11299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2017-03-16T10:07:00Z</cp:lastPrinted>
  <dcterms:created xsi:type="dcterms:W3CDTF">2017-03-22T10:38:00Z</dcterms:created>
  <dcterms:modified xsi:type="dcterms:W3CDTF">2017-03-22T10:45:00Z</dcterms:modified>
</cp:coreProperties>
</file>