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91" w:rsidRDefault="00492991" w:rsidP="00D94859">
      <w:pPr>
        <w:rPr>
          <w:sz w:val="2"/>
          <w:szCs w:val="2"/>
          <w:lang w:eastAsia="ar-SA"/>
        </w:rPr>
      </w:pPr>
    </w:p>
    <w:p w:rsidR="005752EB" w:rsidRPr="00A74192" w:rsidRDefault="005752EB" w:rsidP="00D94859">
      <w:pPr>
        <w:rPr>
          <w:sz w:val="2"/>
          <w:szCs w:val="2"/>
          <w:lang w:eastAsia="ar-SA"/>
        </w:rPr>
      </w:pPr>
    </w:p>
    <w:p w:rsidR="00576A3E" w:rsidRPr="00A74192" w:rsidRDefault="00576A3E" w:rsidP="00251E8F">
      <w:pPr>
        <w:pStyle w:val="Nadpis1"/>
        <w:numPr>
          <w:ilvl w:val="0"/>
          <w:numId w:val="19"/>
        </w:numPr>
        <w:jc w:val="both"/>
      </w:pPr>
      <w:bookmarkStart w:id="0" w:name="_Toc469299935"/>
      <w:bookmarkStart w:id="1" w:name="_Toc469327804"/>
      <w:r w:rsidRPr="00A74192">
        <w:t>Měnové podmínky</w:t>
      </w:r>
      <w:bookmarkEnd w:id="0"/>
      <w:bookmarkEnd w:id="1"/>
    </w:p>
    <w:tbl>
      <w:tblPr>
        <w:tblW w:w="4995" w:type="pct"/>
        <w:tblInd w:w="108" w:type="dxa"/>
        <w:tblLayout w:type="fixed"/>
        <w:tblLook w:val="00A0"/>
      </w:tblPr>
      <w:tblGrid>
        <w:gridCol w:w="1134"/>
        <w:gridCol w:w="866"/>
        <w:gridCol w:w="284"/>
        <w:gridCol w:w="2589"/>
        <w:gridCol w:w="1150"/>
        <w:gridCol w:w="3821"/>
      </w:tblGrid>
      <w:tr w:rsidR="007E6588" w:rsidRPr="00A74192" w:rsidTr="00DD3867">
        <w:trPr>
          <w:trHeight w:val="145"/>
        </w:trPr>
        <w:tc>
          <w:tcPr>
            <w:tcW w:w="1016" w:type="pct"/>
            <w:gridSpan w:val="2"/>
          </w:tcPr>
          <w:p w:rsidR="007E6588" w:rsidRPr="006D3F53" w:rsidRDefault="007E6588" w:rsidP="008A03DE">
            <w:pPr>
              <w:spacing w:line="240" w:lineRule="auto"/>
              <w:rPr>
                <w:color w:val="000000"/>
                <w:sz w:val="16"/>
                <w:szCs w:val="16"/>
                <w:highlight w:val="yellow"/>
              </w:rPr>
            </w:pPr>
            <w:r w:rsidRPr="00D713E9">
              <w:rPr>
                <w:color w:val="000000"/>
                <w:sz w:val="16"/>
                <w:szCs w:val="16"/>
              </w:rPr>
              <w:t xml:space="preserve">Česká národní banka </w:t>
            </w:r>
            <w:r>
              <w:rPr>
                <w:color w:val="000000"/>
                <w:sz w:val="16"/>
                <w:szCs w:val="16"/>
              </w:rPr>
              <w:t>pokračoval</w:t>
            </w:r>
            <w:r w:rsidRPr="00D713E9">
              <w:rPr>
                <w:color w:val="000000"/>
                <w:sz w:val="16"/>
                <w:szCs w:val="16"/>
              </w:rPr>
              <w:t xml:space="preserve">a </w:t>
            </w:r>
            <w:r>
              <w:rPr>
                <w:color w:val="000000"/>
                <w:sz w:val="16"/>
                <w:szCs w:val="16"/>
              </w:rPr>
              <w:t xml:space="preserve">v </w:t>
            </w:r>
            <w:r w:rsidRPr="00D713E9">
              <w:rPr>
                <w:color w:val="000000"/>
                <w:sz w:val="16"/>
                <w:szCs w:val="16"/>
              </w:rPr>
              <w:t>uvolněn</w:t>
            </w:r>
            <w:r>
              <w:rPr>
                <w:color w:val="000000"/>
                <w:sz w:val="16"/>
                <w:szCs w:val="16"/>
              </w:rPr>
              <w:t>é</w:t>
            </w:r>
            <w:r w:rsidRPr="00D713E9">
              <w:rPr>
                <w:color w:val="000000"/>
                <w:sz w:val="16"/>
                <w:szCs w:val="16"/>
              </w:rPr>
              <w:t xml:space="preserve"> měnov</w:t>
            </w:r>
            <w:r>
              <w:rPr>
                <w:color w:val="000000"/>
                <w:sz w:val="16"/>
                <w:szCs w:val="16"/>
              </w:rPr>
              <w:t>é</w:t>
            </w:r>
            <w:r w:rsidRPr="00D713E9">
              <w:rPr>
                <w:color w:val="000000"/>
                <w:sz w:val="16"/>
                <w:szCs w:val="16"/>
              </w:rPr>
              <w:t xml:space="preserve"> politi</w:t>
            </w:r>
            <w:r>
              <w:rPr>
                <w:color w:val="000000"/>
                <w:sz w:val="16"/>
                <w:szCs w:val="16"/>
              </w:rPr>
              <w:t>ce</w:t>
            </w:r>
            <w:r w:rsidRPr="00D713E9">
              <w:rPr>
                <w:color w:val="000000"/>
                <w:sz w:val="16"/>
                <w:szCs w:val="16"/>
              </w:rPr>
              <w:t xml:space="preserve">. Udržení kurzového závazku vyžadovalo aktivní zásahy ČNB na devizovém trhu. Tlak na posílení koruny ke konci roku sílil. </w:t>
            </w:r>
          </w:p>
        </w:tc>
        <w:tc>
          <w:tcPr>
            <w:tcW w:w="144" w:type="pct"/>
          </w:tcPr>
          <w:p w:rsidR="007E6588" w:rsidRPr="00A74192" w:rsidRDefault="007E6588" w:rsidP="00D94859">
            <w:pPr>
              <w:pStyle w:val="Textpoznpodarou"/>
              <w:jc w:val="both"/>
            </w:pPr>
          </w:p>
        </w:tc>
        <w:tc>
          <w:tcPr>
            <w:tcW w:w="3840" w:type="pct"/>
            <w:gridSpan w:val="3"/>
          </w:tcPr>
          <w:p w:rsidR="007E6588" w:rsidRDefault="007E6588" w:rsidP="008A03DE">
            <w:pPr>
              <w:pStyle w:val="Textpoznpodarou"/>
              <w:jc w:val="both"/>
              <w:rPr>
                <w:sz w:val="16"/>
                <w:szCs w:val="16"/>
              </w:rPr>
            </w:pPr>
            <w:r>
              <w:t xml:space="preserve">Celkové nastavení měnové politiky se během roku 2016 neměnilo. </w:t>
            </w:r>
            <w:proofErr w:type="spellStart"/>
            <w:r>
              <w:t>Měnověpolitické</w:t>
            </w:r>
            <w:proofErr w:type="spellEnd"/>
            <w:r>
              <w:t xml:space="preserve"> úrokové sazby zůstávají na konstantní úrovni od prosince roku 2012. Udržení kurzového závazku, který Česká národní banka (ČNB) používá jako další nástroj uvolňování měnových podmínek, vyžadovalo sérii operací na devizovém trhu. Kurz koruny vůči euru se tak po celý rok držel těsně nad hranicí 27 korun. Kurz koruny vůči dolaru se během roku mírně pohyboval. Během první poloviny roku </w:t>
            </w:r>
            <w:r w:rsidR="00815DD0">
              <w:t xml:space="preserve">posílila </w:t>
            </w:r>
            <w:r>
              <w:t>národní měna z lednového průměru 24,89 korun za dolar pod hranici 24 korun</w:t>
            </w:r>
            <w:r w:rsidR="006E182C">
              <w:rPr>
                <w:rStyle w:val="Znakapoznpodarou"/>
              </w:rPr>
              <w:footnoteReference w:id="1"/>
            </w:r>
            <w:r>
              <w:t xml:space="preserve">. Ve 3. čtvrtletí se kurz pohyboval </w:t>
            </w:r>
            <w:r w:rsidR="00004EB0">
              <w:t xml:space="preserve">v </w:t>
            </w:r>
            <w:r>
              <w:t xml:space="preserve">poměrně úzkém rozmezí okolo 24,30 korun za dolar. Až v závěru roku koruna výrazněji oslabila a v prosinci dosáhla průměrného kurzu 25,64 korun za dolar.  </w:t>
            </w:r>
          </w:p>
          <w:p w:rsidR="007E6588" w:rsidRPr="00251E8F" w:rsidRDefault="007E6588" w:rsidP="008A03DE">
            <w:pPr>
              <w:pStyle w:val="Textpoznpodarou"/>
              <w:jc w:val="both"/>
              <w:rPr>
                <w:sz w:val="14"/>
                <w:szCs w:val="14"/>
              </w:rPr>
            </w:pPr>
          </w:p>
        </w:tc>
      </w:tr>
      <w:tr w:rsidR="007E6588" w:rsidRPr="00A74192" w:rsidTr="00DD3867">
        <w:trPr>
          <w:trHeight w:val="145"/>
        </w:trPr>
        <w:tc>
          <w:tcPr>
            <w:tcW w:w="1016" w:type="pct"/>
            <w:gridSpan w:val="2"/>
            <w:shd w:val="clear" w:color="auto" w:fill="auto"/>
          </w:tcPr>
          <w:p w:rsidR="007E6588" w:rsidRPr="000B2903" w:rsidRDefault="007E6588" w:rsidP="008A03DE">
            <w:pPr>
              <w:spacing w:line="240" w:lineRule="auto"/>
              <w:rPr>
                <w:color w:val="000000"/>
                <w:sz w:val="16"/>
                <w:szCs w:val="16"/>
              </w:rPr>
            </w:pPr>
            <w:r w:rsidRPr="000B2903">
              <w:rPr>
                <w:color w:val="000000"/>
                <w:sz w:val="16"/>
                <w:szCs w:val="16"/>
              </w:rPr>
              <w:t>Růst objemu měnového agregátu M3 byl v první polovině roku poměrně vysoký, ale v závěru roku zpomalil.</w:t>
            </w:r>
          </w:p>
        </w:tc>
        <w:tc>
          <w:tcPr>
            <w:tcW w:w="144" w:type="pct"/>
          </w:tcPr>
          <w:p w:rsidR="007E6588" w:rsidRPr="00A74192" w:rsidRDefault="007E6588" w:rsidP="00D94859">
            <w:pPr>
              <w:pStyle w:val="Textpoznpodarou"/>
              <w:jc w:val="both"/>
            </w:pPr>
          </w:p>
        </w:tc>
        <w:tc>
          <w:tcPr>
            <w:tcW w:w="3840" w:type="pct"/>
            <w:gridSpan w:val="3"/>
          </w:tcPr>
          <w:p w:rsidR="007E6588" w:rsidRDefault="007E6588" w:rsidP="008A03DE">
            <w:pPr>
              <w:pStyle w:val="Textpoznpodarou"/>
              <w:jc w:val="both"/>
              <w:rPr>
                <w:sz w:val="16"/>
                <w:szCs w:val="16"/>
              </w:rPr>
            </w:pPr>
            <w:r>
              <w:t>Růst objemu peněz v ekonomice</w:t>
            </w:r>
            <w:r>
              <w:rPr>
                <w:rStyle w:val="Znakapoznpodarou"/>
              </w:rPr>
              <w:footnoteReference w:id="2"/>
            </w:r>
            <w:r>
              <w:t xml:space="preserve"> v průběhu let 2014 a 2015 zrychloval a v první polovině roku 2016 se mezir</w:t>
            </w:r>
            <w:r w:rsidR="00815DD0">
              <w:t xml:space="preserve">oční přírůstek držel nad 9 %. Ve </w:t>
            </w:r>
            <w:r>
              <w:t xml:space="preserve">druhé polovině roku toto tempo kleslo k hranici 8 % a v prosinci se dostalo na 6,5 %, čímž se vrátilo k hodnotám první poloviny roku 2015. Během celého roku klesal objem vkladů s dohodnutou splatností. Růst peněžní zásoby tak byl soustředěn do zvyšování množství oběživa a vkladů na běžných účtech. Peněžní agregát M1, který zahrnuje právě tyto dvě položky, tvoří 89,4 % celkového objemu peněz v ekonomice. </w:t>
            </w:r>
          </w:p>
          <w:p w:rsidR="007E6588" w:rsidRPr="00251E8F" w:rsidRDefault="007E6588" w:rsidP="008A03DE">
            <w:pPr>
              <w:pStyle w:val="Textpoznpodarou"/>
              <w:jc w:val="both"/>
              <w:rPr>
                <w:sz w:val="14"/>
                <w:szCs w:val="14"/>
              </w:rPr>
            </w:pPr>
            <w:r>
              <w:t xml:space="preserve">  </w:t>
            </w:r>
          </w:p>
        </w:tc>
      </w:tr>
      <w:tr w:rsidR="007E6588" w:rsidRPr="00A74192" w:rsidTr="00DD3867">
        <w:trPr>
          <w:trHeight w:val="145"/>
        </w:trPr>
        <w:tc>
          <w:tcPr>
            <w:tcW w:w="1016" w:type="pct"/>
            <w:gridSpan w:val="2"/>
            <w:shd w:val="clear" w:color="auto" w:fill="auto"/>
          </w:tcPr>
          <w:p w:rsidR="007E6588" w:rsidRPr="000B2903" w:rsidRDefault="007E6588" w:rsidP="008A03DE">
            <w:pPr>
              <w:spacing w:line="240" w:lineRule="auto"/>
              <w:rPr>
                <w:color w:val="000000"/>
                <w:sz w:val="16"/>
                <w:szCs w:val="16"/>
              </w:rPr>
            </w:pPr>
            <w:r w:rsidRPr="000B2903">
              <w:rPr>
                <w:color w:val="000000"/>
                <w:sz w:val="16"/>
                <w:szCs w:val="16"/>
              </w:rPr>
              <w:t xml:space="preserve">Mezibankovní úrokové sazby se během roku neměnily. Výnosy krátkodobých státních dluhopisů klesly na rekordní minima.  </w:t>
            </w:r>
          </w:p>
          <w:p w:rsidR="007E6588" w:rsidRPr="000B2903" w:rsidRDefault="007E6588" w:rsidP="008A03DE">
            <w:pPr>
              <w:spacing w:line="240" w:lineRule="auto"/>
              <w:rPr>
                <w:color w:val="000000"/>
                <w:sz w:val="16"/>
                <w:szCs w:val="16"/>
              </w:rPr>
            </w:pP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rsidRPr="00484CF9">
              <w:t xml:space="preserve">Tržní úrokové sazby se v průběhu roku </w:t>
            </w:r>
            <w:r>
              <w:t>neměnily</w:t>
            </w:r>
            <w:r w:rsidRPr="00484CF9">
              <w:t>. Tříměsíční mezibankovní sazba PRIBOR se držela na 0,29 % a roční PRIBOR byl po celou dobu na hodnotě 0,45</w:t>
            </w:r>
            <w:r w:rsidR="004018F7">
              <w:t> </w:t>
            </w:r>
            <w:r w:rsidRPr="00484CF9">
              <w:t>%.</w:t>
            </w:r>
            <w:r>
              <w:t xml:space="preserve"> Jiná byla situace na trhu se státními dluhopisy. Výnos střednědobých dluhopisů (se</w:t>
            </w:r>
            <w:r w:rsidR="00815DD0">
              <w:t xml:space="preserve"> splatností od 2 do 5 let) se ve </w:t>
            </w:r>
            <w:r>
              <w:t xml:space="preserve">2. čtvrtletí roku 2016 dostal nad nulu, ale později klesl a v závěru roku se pohyboval okolo hodnoty </w:t>
            </w:r>
            <w:proofErr w:type="gramStart"/>
            <w:r>
              <w:t>−0,20</w:t>
            </w:r>
            <w:proofErr w:type="gramEnd"/>
            <w:r>
              <w:t xml:space="preserve"> %. Výnos dluhopisů s krátkodobou splatností (do 2 let) se nedostal nad nulu od července 2015. Podobně jako u střednědobých dluhopisů se jejich výnos zvýšil ve 2. čtvrtletí 2016 a dosáhl až na </w:t>
            </w:r>
            <w:proofErr w:type="gramStart"/>
            <w:r>
              <w:t>−0,04</w:t>
            </w:r>
            <w:proofErr w:type="gramEnd"/>
            <w:r>
              <w:t xml:space="preserve"> %, během 3. čtvrtletí klesl k −0,5 % a v prosinci 2016 dosáhl historicky nejnižší hodnoty −0,81 %. Úroková sazba na dlouhodobých dluhopisech dosáhla nejnižší hodnoty v září 2016 a na rozdíl od ostatních dvou druhů dluhopisů se ve 4. čtvrtletí zvýšila – v prosinci činila 0,53 %. </w:t>
            </w:r>
          </w:p>
          <w:p w:rsidR="007E6588" w:rsidRPr="00251E8F" w:rsidRDefault="007E6588" w:rsidP="008A03DE">
            <w:pPr>
              <w:pStyle w:val="Textpoznpodarou"/>
              <w:jc w:val="both"/>
              <w:rPr>
                <w:sz w:val="14"/>
                <w:szCs w:val="14"/>
                <w:highlight w:val="yellow"/>
              </w:rPr>
            </w:pPr>
          </w:p>
        </w:tc>
      </w:tr>
      <w:tr w:rsidR="007E6588" w:rsidRPr="00A74192" w:rsidTr="00DD3867">
        <w:trPr>
          <w:trHeight w:val="145"/>
        </w:trPr>
        <w:tc>
          <w:tcPr>
            <w:tcW w:w="1016" w:type="pct"/>
            <w:gridSpan w:val="2"/>
            <w:shd w:val="clear" w:color="auto" w:fill="auto"/>
          </w:tcPr>
          <w:p w:rsidR="007E6588" w:rsidRPr="006D3F53" w:rsidRDefault="007E6588" w:rsidP="008A03DE">
            <w:pPr>
              <w:spacing w:line="240" w:lineRule="auto"/>
              <w:rPr>
                <w:color w:val="000000"/>
                <w:sz w:val="16"/>
                <w:szCs w:val="16"/>
                <w:highlight w:val="yellow"/>
              </w:rPr>
            </w:pPr>
            <w:r w:rsidRPr="00520A81">
              <w:rPr>
                <w:color w:val="000000"/>
                <w:sz w:val="16"/>
                <w:szCs w:val="16"/>
              </w:rPr>
              <w:t>Úrokové s</w:t>
            </w:r>
            <w:r w:rsidR="00815DD0">
              <w:rPr>
                <w:color w:val="000000"/>
                <w:sz w:val="16"/>
                <w:szCs w:val="16"/>
              </w:rPr>
              <w:t>azby na vkladech dále klesaly a</w:t>
            </w:r>
            <w:r w:rsidR="00815DD0" w:rsidRPr="00520A81">
              <w:rPr>
                <w:color w:val="000000"/>
                <w:sz w:val="16"/>
                <w:szCs w:val="16"/>
              </w:rPr>
              <w:t> </w:t>
            </w:r>
            <w:r w:rsidRPr="00520A81">
              <w:rPr>
                <w:color w:val="000000"/>
                <w:sz w:val="16"/>
                <w:szCs w:val="16"/>
              </w:rPr>
              <w:t>v případě nefinančních podniků se těsně dotýkají nuly.</w:t>
            </w:r>
          </w:p>
        </w:tc>
        <w:tc>
          <w:tcPr>
            <w:tcW w:w="144" w:type="pct"/>
          </w:tcPr>
          <w:p w:rsidR="007E6588" w:rsidRPr="00A74192" w:rsidRDefault="007E6588" w:rsidP="00D94859">
            <w:pPr>
              <w:pStyle w:val="Textpoznpodarou"/>
              <w:jc w:val="both"/>
            </w:pPr>
          </w:p>
        </w:tc>
        <w:tc>
          <w:tcPr>
            <w:tcW w:w="3840" w:type="pct"/>
            <w:gridSpan w:val="3"/>
          </w:tcPr>
          <w:p w:rsidR="007E6588" w:rsidRDefault="007E6588" w:rsidP="008A03DE">
            <w:pPr>
              <w:pStyle w:val="Textpoznpodarou"/>
              <w:jc w:val="both"/>
              <w:rPr>
                <w:sz w:val="16"/>
                <w:szCs w:val="16"/>
              </w:rPr>
            </w:pPr>
            <w:r>
              <w:t xml:space="preserve">Úrokové sazby na vkladech </w:t>
            </w:r>
            <w:r w:rsidR="00815DD0">
              <w:t xml:space="preserve">se </w:t>
            </w:r>
            <w:r>
              <w:t xml:space="preserve">během celého roku 2016 snižovaly nebo zůstávaly na konstantní úrovni bez ohledu na druh vkladu nebo klienta. Částečnou výjimku tvořily vklady domácností s dohodnutou splatností do </w:t>
            </w:r>
            <w:r w:rsidR="00EA421A">
              <w:t>jednoho</w:t>
            </w:r>
            <w:r>
              <w:t xml:space="preserve"> roku, které fluktuovaly mezi 1,31 % a 0,53 % a na konci roku skonči</w:t>
            </w:r>
            <w:r w:rsidR="00815DD0">
              <w:t>ly na stejné úrovni jako</w:t>
            </w:r>
            <w:r>
              <w:t xml:space="preserve"> v lednu. Domácnosti měly největší objem prostředků uložen v jednodenních vkladech (77,6</w:t>
            </w:r>
            <w:r w:rsidR="004018F7">
              <w:t> </w:t>
            </w:r>
            <w:r>
              <w:t>% k 31. 12. 2016). Průměrná úroková sazba na nich klesla z 0,21</w:t>
            </w:r>
            <w:r w:rsidR="00EA421A">
              <w:t> </w:t>
            </w:r>
            <w:r>
              <w:t>% v lednu na 0,11 % v prosinci 2016. Pro nefinanční podniky byla situace obdobná. Naprostá většina jejich peněžních prostředků (93,9 % k 31. 12. 2016) je uložena jako jednodenní vklady, jejichž sazby již neměly velký prostor k poklesu k</w:t>
            </w:r>
            <w:r w:rsidR="00EA421A">
              <w:t> </w:t>
            </w:r>
            <w:r>
              <w:t xml:space="preserve">nule, protože v lednu 2016 dosahovaly 0,08 %. V prosinci jejich průměrná sazba činila 0,04 %. Sazby na vkladech s dohodnutou splatností pro nefinanční podniky se v prosinci dostaly na úroveň běžných účtů. </w:t>
            </w:r>
          </w:p>
          <w:p w:rsidR="007E6588" w:rsidRPr="00251E8F" w:rsidRDefault="007E6588" w:rsidP="008A03DE">
            <w:pPr>
              <w:pStyle w:val="Textpoznpodarou"/>
              <w:jc w:val="both"/>
              <w:rPr>
                <w:sz w:val="14"/>
                <w:szCs w:val="14"/>
              </w:rPr>
            </w:pPr>
          </w:p>
        </w:tc>
      </w:tr>
      <w:tr w:rsidR="007E6588" w:rsidRPr="00A74192" w:rsidTr="00DD3867">
        <w:trPr>
          <w:trHeight w:val="145"/>
        </w:trPr>
        <w:tc>
          <w:tcPr>
            <w:tcW w:w="1016" w:type="pct"/>
            <w:gridSpan w:val="2"/>
            <w:shd w:val="clear" w:color="auto" w:fill="auto"/>
          </w:tcPr>
          <w:p w:rsidR="007E6588" w:rsidRPr="006D3F53" w:rsidRDefault="007E6588" w:rsidP="008A03DE">
            <w:pPr>
              <w:spacing w:line="240" w:lineRule="auto"/>
              <w:rPr>
                <w:color w:val="000000"/>
                <w:sz w:val="16"/>
                <w:szCs w:val="16"/>
                <w:highlight w:val="yellow"/>
              </w:rPr>
            </w:pPr>
            <w:r w:rsidRPr="00520A81">
              <w:rPr>
                <w:color w:val="000000"/>
                <w:sz w:val="16"/>
                <w:szCs w:val="16"/>
              </w:rPr>
              <w:t>Pokračoval dlouho</w:t>
            </w:r>
            <w:r>
              <w:rPr>
                <w:color w:val="000000"/>
                <w:sz w:val="16"/>
                <w:szCs w:val="16"/>
              </w:rPr>
              <w:t>dobý</w:t>
            </w:r>
            <w:r w:rsidR="00815DD0">
              <w:rPr>
                <w:color w:val="000000"/>
                <w:sz w:val="16"/>
                <w:szCs w:val="16"/>
              </w:rPr>
              <w:t xml:space="preserve"> odliv prostředků z termí</w:t>
            </w:r>
            <w:r w:rsidRPr="00520A81">
              <w:rPr>
                <w:color w:val="000000"/>
                <w:sz w:val="16"/>
                <w:szCs w:val="16"/>
              </w:rPr>
              <w:t>novaných účtů, jejichž úročení kleslo pod úroveň inflace.</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rsidRPr="000A4ABA">
              <w:t xml:space="preserve">Prakticky nulové úrokové sazby vedly k výraznému odlivu prostředků z terminovaných účtů nefinančních podniků. </w:t>
            </w:r>
            <w:r>
              <w:t>Za rok 2016 se objem vkladů se stanovenou splatností snížil o 22,8 mld., což představuje 32,3% pokles. S</w:t>
            </w:r>
            <w:r w:rsidRPr="000A4ABA">
              <w:t>azby</w:t>
            </w:r>
            <w:r>
              <w:t xml:space="preserve"> na terminovaných účtech domácností</w:t>
            </w:r>
            <w:r w:rsidRPr="000A4ABA">
              <w:t xml:space="preserve"> zůst</w:t>
            </w:r>
            <w:r>
              <w:t>ávaly</w:t>
            </w:r>
            <w:r w:rsidRPr="000A4ABA">
              <w:t xml:space="preserve"> mírně nad úrovní inflace</w:t>
            </w:r>
            <w:r>
              <w:t xml:space="preserve"> (až do listopadu)</w:t>
            </w:r>
            <w:r w:rsidRPr="000A4ABA">
              <w:t xml:space="preserve">, ale i </w:t>
            </w:r>
            <w:r>
              <w:t xml:space="preserve">soukromí střadatelé </w:t>
            </w:r>
            <w:r w:rsidRPr="000A4ABA">
              <w:t xml:space="preserve">ukládají stále větší podíl </w:t>
            </w:r>
            <w:r>
              <w:t xml:space="preserve">svých </w:t>
            </w:r>
            <w:r w:rsidRPr="000A4ABA">
              <w:t>peněz na běžné účty.</w:t>
            </w:r>
            <w:r>
              <w:t xml:space="preserve"> Objem jednodenních vkladů domácností se za rok 2016 zvýšil o</w:t>
            </w:r>
            <w:r w:rsidR="004018F7">
              <w:t> </w:t>
            </w:r>
            <w:r>
              <w:t>221,5</w:t>
            </w:r>
            <w:r w:rsidR="004018F7">
              <w:t> </w:t>
            </w:r>
            <w:r>
              <w:t xml:space="preserve">mld. korun (+14,4 %). </w:t>
            </w:r>
          </w:p>
          <w:p w:rsidR="007E6588" w:rsidRPr="00251E8F" w:rsidRDefault="007E6588" w:rsidP="008A03DE">
            <w:pPr>
              <w:pStyle w:val="Textpoznpodarou"/>
              <w:jc w:val="both"/>
              <w:rPr>
                <w:sz w:val="14"/>
                <w:szCs w:val="14"/>
                <w:highlight w:val="yellow"/>
              </w:rPr>
            </w:pPr>
            <w:r>
              <w:t xml:space="preserve"> </w:t>
            </w:r>
          </w:p>
        </w:tc>
      </w:tr>
      <w:tr w:rsidR="007E6588" w:rsidRPr="00A74192" w:rsidTr="00DD3867">
        <w:trPr>
          <w:trHeight w:val="145"/>
        </w:trPr>
        <w:tc>
          <w:tcPr>
            <w:tcW w:w="1016" w:type="pct"/>
            <w:gridSpan w:val="2"/>
          </w:tcPr>
          <w:p w:rsidR="007E6588" w:rsidRDefault="007E6588" w:rsidP="008A03DE">
            <w:pPr>
              <w:spacing w:line="240" w:lineRule="auto"/>
              <w:rPr>
                <w:color w:val="000000"/>
                <w:sz w:val="16"/>
                <w:szCs w:val="16"/>
              </w:rPr>
            </w:pPr>
            <w:r w:rsidRPr="00520A81">
              <w:rPr>
                <w:color w:val="000000"/>
                <w:sz w:val="16"/>
                <w:szCs w:val="16"/>
              </w:rPr>
              <w:t>Klesaly</w:t>
            </w:r>
            <w:r w:rsidR="00815DD0">
              <w:rPr>
                <w:color w:val="000000"/>
                <w:sz w:val="16"/>
                <w:szCs w:val="16"/>
              </w:rPr>
              <w:t xml:space="preserve"> sazby na spotřebních úvěrech i</w:t>
            </w:r>
            <w:r w:rsidR="00815DD0" w:rsidRPr="00520A81">
              <w:rPr>
                <w:color w:val="000000"/>
                <w:sz w:val="16"/>
                <w:szCs w:val="16"/>
              </w:rPr>
              <w:t> </w:t>
            </w:r>
            <w:r w:rsidRPr="00520A81">
              <w:rPr>
                <w:color w:val="000000"/>
                <w:sz w:val="16"/>
                <w:szCs w:val="16"/>
              </w:rPr>
              <w:t xml:space="preserve">úvěrech na bydlení. </w:t>
            </w:r>
          </w:p>
          <w:p w:rsidR="00DD3867" w:rsidRDefault="00DD3867" w:rsidP="008A03DE">
            <w:pPr>
              <w:spacing w:line="240" w:lineRule="auto"/>
              <w:rPr>
                <w:color w:val="000000"/>
                <w:sz w:val="16"/>
                <w:szCs w:val="16"/>
              </w:rPr>
            </w:pPr>
          </w:p>
          <w:p w:rsidR="00DD3867" w:rsidRPr="00520A81" w:rsidRDefault="00DD3867" w:rsidP="008A03DE">
            <w:pPr>
              <w:spacing w:line="240" w:lineRule="auto"/>
              <w:rPr>
                <w:color w:val="000000"/>
                <w:sz w:val="16"/>
                <w:szCs w:val="16"/>
              </w:rPr>
            </w:pPr>
          </w:p>
          <w:p w:rsidR="007E6588" w:rsidRPr="00520A81" w:rsidRDefault="007E6588" w:rsidP="008A03DE">
            <w:pPr>
              <w:spacing w:line="240" w:lineRule="auto"/>
              <w:rPr>
                <w:color w:val="000000"/>
                <w:sz w:val="16"/>
                <w:szCs w:val="16"/>
              </w:rPr>
            </w:pPr>
          </w:p>
          <w:p w:rsidR="007E6588" w:rsidRPr="006D3F53" w:rsidRDefault="007E6588" w:rsidP="008A03DE">
            <w:pPr>
              <w:spacing w:line="240" w:lineRule="auto"/>
              <w:rPr>
                <w:color w:val="000000"/>
                <w:sz w:val="16"/>
                <w:szCs w:val="16"/>
                <w:highlight w:val="yellow"/>
              </w:rPr>
            </w:pPr>
            <w:r w:rsidRPr="00520A81">
              <w:rPr>
                <w:color w:val="000000"/>
                <w:sz w:val="16"/>
                <w:szCs w:val="16"/>
              </w:rPr>
              <w:t>Úvěrové financování pro nefinanční podniky zůstávalo na úrovni předchozího roku.</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rsidRPr="002668D3">
              <w:t>Většina sazeb na úvěrech domácnostem se během roku 2016 snižovala. U</w:t>
            </w:r>
            <w:r w:rsidR="004018F7">
              <w:t> </w:t>
            </w:r>
            <w:r w:rsidRPr="002668D3">
              <w:t xml:space="preserve">spotřebních úvěrů úrokové sazby během roku klesly o 1,6 </w:t>
            </w:r>
            <w:proofErr w:type="spellStart"/>
            <w:proofErr w:type="gramStart"/>
            <w:r w:rsidRPr="002668D3">
              <w:t>p.b</w:t>
            </w:r>
            <w:proofErr w:type="spellEnd"/>
            <w:r w:rsidRPr="002668D3">
              <w:t>.</w:t>
            </w:r>
            <w:proofErr w:type="gramEnd"/>
            <w:r w:rsidRPr="002668D3">
              <w:t xml:space="preserve"> Pokles se projevil hlavně u úvěrů se střednědobou a dlouhodobou fixací. </w:t>
            </w:r>
            <w:r>
              <w:t xml:space="preserve">Úrokové </w:t>
            </w:r>
            <w:r w:rsidRPr="002668D3">
              <w:t>sazby úvěr</w:t>
            </w:r>
            <w:r>
              <w:t>ů</w:t>
            </w:r>
            <w:r w:rsidRPr="002668D3">
              <w:t xml:space="preserve"> na bydlení se během roku rovněž snižovaly. Stabilně klesal</w:t>
            </w:r>
            <w:r>
              <w:t>y</w:t>
            </w:r>
            <w:r w:rsidRPr="002668D3">
              <w:t xml:space="preserve"> sazb</w:t>
            </w:r>
            <w:r>
              <w:t>y</w:t>
            </w:r>
            <w:r w:rsidRPr="002668D3">
              <w:t xml:space="preserve"> úvěr</w:t>
            </w:r>
            <w:r>
              <w:t>ů</w:t>
            </w:r>
            <w:r w:rsidRPr="002668D3">
              <w:t xml:space="preserve"> se </w:t>
            </w:r>
            <w:r w:rsidRPr="002668D3">
              <w:lastRenderedPageBreak/>
              <w:t xml:space="preserve">střednědobou fixací. Nejčastěji poskytované úvěry s fixací nad 1 rok a do 5 let včetně byly v prosinci 2015 průměrně úročeny 2,35 % a během roku 2016 sazba klesla o 0,15 </w:t>
            </w:r>
            <w:proofErr w:type="spellStart"/>
            <w:proofErr w:type="gramStart"/>
            <w:r w:rsidRPr="002668D3">
              <w:t>p.b</w:t>
            </w:r>
            <w:proofErr w:type="spellEnd"/>
            <w:r w:rsidRPr="002668D3">
              <w:t>.</w:t>
            </w:r>
            <w:proofErr w:type="gramEnd"/>
            <w:r w:rsidRPr="002668D3">
              <w:t xml:space="preserve"> Výraznější byl pokles sazeb u úvěrů s fixací mezi 5 a 10 lety </w:t>
            </w:r>
            <w:r w:rsidR="00EA421A">
              <w:t>(</w:t>
            </w:r>
            <w:r w:rsidR="00EA421A">
              <w:noBreakHyphen/>
            </w:r>
            <w:r w:rsidRPr="002668D3">
              <w:t xml:space="preserve">0,5 </w:t>
            </w:r>
            <w:proofErr w:type="spellStart"/>
            <w:proofErr w:type="gramStart"/>
            <w:r w:rsidRPr="002668D3">
              <w:t>p.b</w:t>
            </w:r>
            <w:proofErr w:type="spellEnd"/>
            <w:r>
              <w:t>.)</w:t>
            </w:r>
            <w:r w:rsidRPr="002668D3">
              <w:t>.</w:t>
            </w:r>
            <w:proofErr w:type="gramEnd"/>
            <w:r>
              <w:t xml:space="preserve"> Pro nefinanční podniky se </w:t>
            </w:r>
            <w:r w:rsidR="004A26DB">
              <w:t xml:space="preserve">situace na úvěrovém trhu </w:t>
            </w:r>
            <w:r>
              <w:t>během roku 2016 příliš neměnila.</w:t>
            </w:r>
          </w:p>
          <w:p w:rsidR="007E6588" w:rsidRPr="00251E8F" w:rsidRDefault="007E6588" w:rsidP="008A03DE">
            <w:pPr>
              <w:pStyle w:val="Textpoznpodarou"/>
              <w:jc w:val="both"/>
              <w:rPr>
                <w:sz w:val="14"/>
                <w:szCs w:val="14"/>
                <w:highlight w:val="yellow"/>
              </w:rPr>
            </w:pPr>
            <w:r w:rsidRPr="002668D3">
              <w:t xml:space="preserve">  </w:t>
            </w:r>
          </w:p>
        </w:tc>
      </w:tr>
      <w:tr w:rsidR="007E6588" w:rsidRPr="00A74192" w:rsidTr="00DD3867">
        <w:tc>
          <w:tcPr>
            <w:tcW w:w="1016" w:type="pct"/>
            <w:gridSpan w:val="2"/>
          </w:tcPr>
          <w:p w:rsidR="007E6588" w:rsidRPr="006D3F53" w:rsidRDefault="007E6588" w:rsidP="008A03DE">
            <w:pPr>
              <w:spacing w:line="240" w:lineRule="auto"/>
              <w:rPr>
                <w:color w:val="000000"/>
                <w:sz w:val="16"/>
                <w:szCs w:val="16"/>
                <w:highlight w:val="yellow"/>
              </w:rPr>
            </w:pPr>
            <w:r w:rsidRPr="00630A6E">
              <w:rPr>
                <w:color w:val="000000"/>
                <w:sz w:val="16"/>
                <w:szCs w:val="16"/>
              </w:rPr>
              <w:lastRenderedPageBreak/>
              <w:t xml:space="preserve">V první polovině roku výrazně rostl objem poskytnutých spotřebních úvěrů. V posledním čtvrtletí zrychlil růst objemu hypotečních úvěrů. </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6588" w:rsidP="008A03DE">
            <w:pPr>
              <w:pStyle w:val="Textpoznpodarou"/>
              <w:jc w:val="both"/>
              <w:rPr>
                <w:sz w:val="16"/>
                <w:szCs w:val="16"/>
              </w:rPr>
            </w:pPr>
            <w:r>
              <w:t>Vzhledem k výhodným podmínkám rostl objem poskytnutých spotřebitelských úvěrů. Nejsilnější nárůst byl soustředěn do února až května, kdy tyto úvěry meziročně přibývaly více než 10% tempem. Ve 3. čtvrtletí roku se nárůst zmírnil a</w:t>
            </w:r>
            <w:r w:rsidR="004018F7">
              <w:t> </w:t>
            </w:r>
            <w:r>
              <w:t>dosahoval 6,3 %. V posledním čtvrtletí roku se meziroční přírůstek zvýšil na 8,2</w:t>
            </w:r>
            <w:r w:rsidR="004018F7">
              <w:t> </w:t>
            </w:r>
            <w:r>
              <w:t>%. Největší část z celkového objemu poskytnutých půjček tvořily hypoteční úvěry (66,5 % k 31. 12. 2016). Jejich meziroční růst byl po celý rok 2016 více než 8 %, přičemž v posledním čtvrtletí roku zrychlil a v listopadu překročil 9 %. Nejrychleji přibývalo nově poskytnutých hypotečních úvěrů s fixací mezi 5 a 10 lety, pro které byly úvěrové podmínky v roce 2016 nejvýhodnější.</w:t>
            </w:r>
          </w:p>
          <w:p w:rsidR="007E6588" w:rsidRPr="00251E8F" w:rsidRDefault="007E6588" w:rsidP="008A03DE">
            <w:pPr>
              <w:pStyle w:val="Textpoznpodarou"/>
              <w:jc w:val="both"/>
              <w:rPr>
                <w:sz w:val="14"/>
                <w:szCs w:val="14"/>
              </w:rPr>
            </w:pPr>
          </w:p>
        </w:tc>
      </w:tr>
      <w:tr w:rsidR="007E6588" w:rsidRPr="00A74192" w:rsidTr="00DD3867">
        <w:tc>
          <w:tcPr>
            <w:tcW w:w="1016" w:type="pct"/>
            <w:gridSpan w:val="2"/>
          </w:tcPr>
          <w:p w:rsidR="007E6588" w:rsidRPr="006D3F53" w:rsidRDefault="007E6588" w:rsidP="008A03DE">
            <w:pPr>
              <w:spacing w:line="240" w:lineRule="auto"/>
              <w:rPr>
                <w:color w:val="000000"/>
                <w:sz w:val="16"/>
                <w:szCs w:val="16"/>
                <w:highlight w:val="yellow"/>
              </w:rPr>
            </w:pPr>
            <w:r w:rsidRPr="00630A6E">
              <w:rPr>
                <w:color w:val="000000"/>
                <w:sz w:val="16"/>
                <w:szCs w:val="16"/>
              </w:rPr>
              <w:t>Nefinanční podniky volily především úvěrové financování s dlouhodobou splatností. Růst objemu úvěrů byl tažen hlavně zvýšením objemu úvěrů denominovaných v zahraničních měnách.</w:t>
            </w:r>
          </w:p>
        </w:tc>
        <w:tc>
          <w:tcPr>
            <w:tcW w:w="144" w:type="pct"/>
          </w:tcPr>
          <w:p w:rsidR="007E6588" w:rsidRPr="00A74192" w:rsidRDefault="007E6588" w:rsidP="00D94859">
            <w:pPr>
              <w:pStyle w:val="Textpoznpodarou"/>
              <w:jc w:val="both"/>
              <w:rPr>
                <w:highlight w:val="yellow"/>
              </w:rPr>
            </w:pPr>
          </w:p>
        </w:tc>
        <w:tc>
          <w:tcPr>
            <w:tcW w:w="3840" w:type="pct"/>
            <w:gridSpan w:val="3"/>
          </w:tcPr>
          <w:p w:rsidR="007E6588" w:rsidRDefault="007E5F3D" w:rsidP="008A03DE">
            <w:pPr>
              <w:pStyle w:val="Textpoznpodarou"/>
              <w:jc w:val="both"/>
              <w:rPr>
                <w:sz w:val="16"/>
                <w:szCs w:val="16"/>
              </w:rPr>
            </w:pPr>
            <w:r>
              <w:t>Podobně jako v roce 2015 rostl</w:t>
            </w:r>
            <w:r w:rsidR="007E6588" w:rsidRPr="005D48B2">
              <w:t xml:space="preserve"> v prvních třech kvartálech </w:t>
            </w:r>
            <w:r>
              <w:t>roku 2016</w:t>
            </w:r>
            <w:r w:rsidR="007E6588" w:rsidRPr="005D48B2">
              <w:t xml:space="preserve"> objem poskytnutých úvěrů nefinančním podnikům a v tom posledním </w:t>
            </w:r>
            <w:r w:rsidR="007E6588">
              <w:t xml:space="preserve">se </w:t>
            </w:r>
            <w:r w:rsidR="007E6588" w:rsidRPr="005D48B2">
              <w:t>sníži</w:t>
            </w:r>
            <w:r w:rsidR="007E6588">
              <w:t>l</w:t>
            </w:r>
            <w:r w:rsidR="007E6588" w:rsidRPr="005D48B2">
              <w:t>.</w:t>
            </w:r>
            <w:r w:rsidR="007E6588">
              <w:t xml:space="preserve"> Během ledna až listopadu vzrostl z 922 mld. korun na 1001 mld. a během prosince klesl na 976 mld. korun. Nejsilněji rostl objem dlouhodobých úvěrů (splatnost vyšší než 5 let). Tyto úvěry již několik let tvoří více než 50 % z celkového objemu půjček nefinančním podnikům a jejich podíl stabilně roste. Poměrně zajímavým detailem je měnové složení úvěrů. Na začátku roku 2016 tvořily úvěry denominované v cizí měně 22,7 % z celkového objemu a k 31. 12. 2016 tento podíl činil 27,8 %. Ve 3.</w:t>
            </w:r>
            <w:r w:rsidR="004018F7">
              <w:t> </w:t>
            </w:r>
            <w:r w:rsidR="007E6588">
              <w:t>a</w:t>
            </w:r>
            <w:r w:rsidR="004018F7">
              <w:t> </w:t>
            </w:r>
            <w:r w:rsidR="007E6588">
              <w:t>4. kvartálu přispívaly k celkovému růstu úvěrů prakticky jen tyto půjčky. Z hlediska odvětvové struktury</w:t>
            </w:r>
            <w:r w:rsidR="007E6588">
              <w:rPr>
                <w:rStyle w:val="Znakapoznpodarou"/>
              </w:rPr>
              <w:footnoteReference w:id="3"/>
            </w:r>
            <w:r w:rsidR="007E6588">
              <w:t xml:space="preserve"> byl největší a nejrychleji rostoucí objem úvěrů poskytnut firmám, které podnikají v oblasti nemovitostí. Dalším odvětvím, ve kterém v loňském roce významně přibývaly úvěry, bylo peněžnictví a</w:t>
            </w:r>
            <w:r w:rsidR="004018F7">
              <w:t> </w:t>
            </w:r>
            <w:r w:rsidR="00EA421A">
              <w:t>pojišťovnictví. Naopak, stagnoval</w:t>
            </w:r>
            <w:r w:rsidR="007E6588">
              <w:t xml:space="preserve"> objem úvěrů poskytovaných podnikům zpracovatelského p</w:t>
            </w:r>
            <w:r w:rsidR="00EA421A">
              <w:t>růmyslu a pokračoval</w:t>
            </w:r>
            <w:r w:rsidR="007E6588">
              <w:t xml:space="preserve"> pokles objemu úvěrů pro výrobu a rozvod elektřiny, plynu, tepla, vzduchu, vody a odpadní vody.     </w:t>
            </w:r>
          </w:p>
          <w:p w:rsidR="007E6588" w:rsidRPr="00251E8F" w:rsidRDefault="007E6588" w:rsidP="008A03DE">
            <w:pPr>
              <w:pStyle w:val="Textpoznpodarou"/>
              <w:jc w:val="both"/>
              <w:rPr>
                <w:sz w:val="14"/>
                <w:szCs w:val="14"/>
                <w:highlight w:val="yellow"/>
              </w:rPr>
            </w:pPr>
            <w:r>
              <w:t xml:space="preserve">  </w:t>
            </w:r>
          </w:p>
        </w:tc>
      </w:tr>
      <w:tr w:rsidR="007E6588" w:rsidRPr="00A74192" w:rsidTr="00DD3867">
        <w:trPr>
          <w:trHeight w:val="1390"/>
        </w:trPr>
        <w:tc>
          <w:tcPr>
            <w:tcW w:w="1016" w:type="pct"/>
            <w:gridSpan w:val="2"/>
          </w:tcPr>
          <w:p w:rsidR="007E6588" w:rsidRPr="006D3F53" w:rsidRDefault="007E6588" w:rsidP="008A03DE">
            <w:pPr>
              <w:spacing w:line="240" w:lineRule="auto"/>
              <w:rPr>
                <w:color w:val="000000"/>
                <w:sz w:val="16"/>
                <w:szCs w:val="16"/>
                <w:highlight w:val="yellow"/>
              </w:rPr>
            </w:pPr>
            <w:r w:rsidRPr="00630A6E">
              <w:rPr>
                <w:color w:val="000000"/>
                <w:sz w:val="16"/>
                <w:szCs w:val="16"/>
              </w:rPr>
              <w:t>Zadlužení domácností stabilně roste a v roce 2016 k němu přispěly hlavně úvěry na bydlení.</w:t>
            </w:r>
          </w:p>
        </w:tc>
        <w:tc>
          <w:tcPr>
            <w:tcW w:w="144" w:type="pct"/>
          </w:tcPr>
          <w:p w:rsidR="007E6588" w:rsidRPr="00A74192" w:rsidRDefault="007E6588" w:rsidP="00D94859">
            <w:pPr>
              <w:pStyle w:val="Textpoznpodarou"/>
              <w:jc w:val="both"/>
              <w:rPr>
                <w:color w:val="FF0000"/>
                <w:highlight w:val="yellow"/>
              </w:rPr>
            </w:pPr>
          </w:p>
        </w:tc>
        <w:tc>
          <w:tcPr>
            <w:tcW w:w="3840" w:type="pct"/>
            <w:gridSpan w:val="3"/>
          </w:tcPr>
          <w:p w:rsidR="007E6588" w:rsidRDefault="007E6588" w:rsidP="008A03DE">
            <w:pPr>
              <w:pStyle w:val="Textpoznpodarou"/>
              <w:jc w:val="both"/>
              <w:rPr>
                <w:sz w:val="16"/>
                <w:szCs w:val="16"/>
              </w:rPr>
            </w:pPr>
            <w:r w:rsidRPr="00FC43BA">
              <w:t>Zadlužení domácností od počátku roku 2016 vzrostlo o 96 mld. korun a</w:t>
            </w:r>
            <w:r w:rsidR="004018F7">
              <w:t> </w:t>
            </w:r>
            <w:r w:rsidRPr="00FC43BA">
              <w:t>k 31.</w:t>
            </w:r>
            <w:r w:rsidR="004018F7">
              <w:t> </w:t>
            </w:r>
            <w:r w:rsidRPr="00FC43BA">
              <w:t>12.</w:t>
            </w:r>
            <w:r w:rsidR="004018F7">
              <w:t> </w:t>
            </w:r>
            <w:r>
              <w:t>2016</w:t>
            </w:r>
            <w:r w:rsidRPr="00FC43BA">
              <w:t xml:space="preserve"> dosahovalo 1428 mld. korun. Většinu tohoto nárůstu (81,7 mld.) tvořily úvěry na bydlení</w:t>
            </w:r>
            <w:r>
              <w:t xml:space="preserve">, které k 31. 12. 2016 </w:t>
            </w:r>
            <w:r w:rsidRPr="00FC43BA">
              <w:t>tvoř</w:t>
            </w:r>
            <w:r>
              <w:t>ily</w:t>
            </w:r>
            <w:r w:rsidRPr="00FC43BA">
              <w:t xml:space="preserve"> 74,2 % z celkového dluhu domácností</w:t>
            </w:r>
            <w:r>
              <w:t>. B</w:t>
            </w:r>
            <w:r w:rsidRPr="00FC43BA">
              <w:t>ěhem roku se meziroční nárůst jejich objemu zrychlil ze 7,7 % v 1.</w:t>
            </w:r>
            <w:r w:rsidR="004018F7">
              <w:t> </w:t>
            </w:r>
            <w:r w:rsidRPr="00FC43BA">
              <w:t>čtvrtletí roku na 8,5 % ve 4. kvartálu. Zadlužení</w:t>
            </w:r>
            <w:r>
              <w:t xml:space="preserve"> pro účely </w:t>
            </w:r>
            <w:r w:rsidRPr="00FC43BA">
              <w:t>spotřeb</w:t>
            </w:r>
            <w:r>
              <w:t>y</w:t>
            </w:r>
            <w:r w:rsidRPr="00FC43BA">
              <w:t xml:space="preserve"> rostlo v prvních pěti měsících roku meziročním tempem 10,1 %, ale ve 3. a 4. čtvrtletí se růst zmírnil (2,4 % a 4,0 %). </w:t>
            </w:r>
          </w:p>
          <w:p w:rsidR="007E6588" w:rsidRPr="003E6E0D" w:rsidRDefault="007E6588" w:rsidP="008A03DE">
            <w:pPr>
              <w:pStyle w:val="Textpoznpodarou"/>
              <w:jc w:val="both"/>
              <w:rPr>
                <w:highlight w:val="yellow"/>
              </w:rPr>
            </w:pPr>
            <w:r w:rsidRPr="00FC43BA">
              <w:t xml:space="preserve">   </w:t>
            </w:r>
          </w:p>
        </w:tc>
      </w:tr>
      <w:tr w:rsidR="000F74B6" w:rsidRPr="00A74192" w:rsidTr="00DD3867">
        <w:tblPrEx>
          <w:tblLook w:val="04A0"/>
        </w:tblPrEx>
        <w:trPr>
          <w:trHeight w:val="541"/>
        </w:trPr>
        <w:tc>
          <w:tcPr>
            <w:tcW w:w="576" w:type="pct"/>
          </w:tcPr>
          <w:p w:rsidR="007430AB" w:rsidRDefault="007430AB" w:rsidP="00D94859">
            <w:pPr>
              <w:pStyle w:val="Textpoznpodarou"/>
              <w:rPr>
                <w:color w:val="000000"/>
              </w:rPr>
            </w:pPr>
            <w:r>
              <w:rPr>
                <w:color w:val="000000"/>
              </w:rPr>
              <w:t>Graf č.</w:t>
            </w:r>
          </w:p>
          <w:p w:rsidR="000F74B6" w:rsidRPr="00A74192" w:rsidRDefault="000F74B6" w:rsidP="00D94859">
            <w:pPr>
              <w:pStyle w:val="Textpoznpodarou"/>
              <w:rPr>
                <w:color w:val="000000"/>
              </w:rPr>
            </w:pPr>
            <w:r w:rsidRPr="00A74192">
              <w:rPr>
                <w:color w:val="000000"/>
              </w:rPr>
              <w:t>17</w:t>
            </w:r>
          </w:p>
        </w:tc>
        <w:tc>
          <w:tcPr>
            <w:tcW w:w="1899" w:type="pct"/>
            <w:gridSpan w:val="3"/>
          </w:tcPr>
          <w:p w:rsidR="000F74B6" w:rsidRPr="00A74192" w:rsidRDefault="000F74B6" w:rsidP="00D94859">
            <w:pPr>
              <w:pStyle w:val="Textpoznpodarou"/>
              <w:rPr>
                <w:color w:val="FF0000"/>
              </w:rPr>
            </w:pPr>
            <w:r w:rsidRPr="00A74192">
              <w:rPr>
                <w:b/>
                <w:color w:val="000000"/>
              </w:rPr>
              <w:t>Měnové agregáty a hrubý domácí produkt</w:t>
            </w:r>
            <w:r w:rsidRPr="00A74192">
              <w:rPr>
                <w:color w:val="000000"/>
              </w:rPr>
              <w:t xml:space="preserve"> (y/y v %)</w:t>
            </w:r>
          </w:p>
        </w:tc>
        <w:tc>
          <w:tcPr>
            <w:tcW w:w="584" w:type="pct"/>
          </w:tcPr>
          <w:p w:rsidR="007430AB" w:rsidRDefault="007430AB" w:rsidP="00D94859">
            <w:pPr>
              <w:pStyle w:val="Textpoznpodarou"/>
            </w:pPr>
            <w:r>
              <w:t>Graf č.</w:t>
            </w:r>
          </w:p>
          <w:p w:rsidR="000F74B6" w:rsidRPr="00A74192" w:rsidRDefault="007430AB" w:rsidP="00D94859">
            <w:pPr>
              <w:pStyle w:val="Textpoznpodarou"/>
            </w:pPr>
            <w:r>
              <w:t>1</w:t>
            </w:r>
            <w:r w:rsidR="000F74B6" w:rsidRPr="00A74192">
              <w:t>8</w:t>
            </w:r>
          </w:p>
        </w:tc>
        <w:tc>
          <w:tcPr>
            <w:tcW w:w="1941" w:type="pct"/>
          </w:tcPr>
          <w:p w:rsidR="000F74B6" w:rsidRPr="00A74192" w:rsidRDefault="000F74B6" w:rsidP="00D94859">
            <w:pPr>
              <w:pStyle w:val="Textpoznpodarou"/>
            </w:pPr>
            <w:r w:rsidRPr="00A74192">
              <w:rPr>
                <w:b/>
              </w:rPr>
              <w:t xml:space="preserve">Tržní úrokové sazby </w:t>
            </w:r>
            <w:r w:rsidRPr="00A74192">
              <w:t>(v %)</w:t>
            </w:r>
          </w:p>
        </w:tc>
      </w:tr>
      <w:tr w:rsidR="000F74B6" w:rsidRPr="00A74192" w:rsidTr="00DD3867">
        <w:tblPrEx>
          <w:tblCellMar>
            <w:left w:w="70" w:type="dxa"/>
            <w:right w:w="70" w:type="dxa"/>
          </w:tblCellMar>
          <w:tblLook w:val="04A0"/>
        </w:tblPrEx>
        <w:trPr>
          <w:trHeight w:val="3641"/>
        </w:trPr>
        <w:tc>
          <w:tcPr>
            <w:tcW w:w="2475" w:type="pct"/>
            <w:gridSpan w:val="4"/>
          </w:tcPr>
          <w:p w:rsidR="000F74B6" w:rsidRPr="00A74192" w:rsidRDefault="00906225" w:rsidP="00F06C6F">
            <w:pPr>
              <w:pStyle w:val="Textpoznpodarou"/>
              <w:ind w:left="-70"/>
              <w:jc w:val="both"/>
            </w:pPr>
            <w:r>
              <w:rPr>
                <w:noProof/>
              </w:rPr>
              <w:drawing>
                <wp:inline distT="0" distB="0" distL="0" distR="0">
                  <wp:extent cx="3050540" cy="2355215"/>
                  <wp:effectExtent l="19050" t="0" r="0" b="0"/>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3050540" cy="2355215"/>
                          </a:xfrm>
                          <a:prstGeom prst="rect">
                            <a:avLst/>
                          </a:prstGeom>
                          <a:noFill/>
                          <a:ln w="9525">
                            <a:noFill/>
                            <a:miter lim="800000"/>
                            <a:headEnd/>
                            <a:tailEnd/>
                          </a:ln>
                        </pic:spPr>
                      </pic:pic>
                    </a:graphicData>
                  </a:graphic>
                </wp:inline>
              </w:drawing>
            </w:r>
          </w:p>
        </w:tc>
        <w:tc>
          <w:tcPr>
            <w:tcW w:w="2525" w:type="pct"/>
            <w:gridSpan w:val="2"/>
          </w:tcPr>
          <w:p w:rsidR="000F74B6" w:rsidRPr="001D3787" w:rsidRDefault="00906225" w:rsidP="001D3787">
            <w:pPr>
              <w:pStyle w:val="Textpoznpodarou"/>
              <w:jc w:val="both"/>
            </w:pPr>
            <w:r>
              <w:rPr>
                <w:noProof/>
              </w:rPr>
              <w:drawing>
                <wp:inline distT="0" distB="0" distL="0" distR="0">
                  <wp:extent cx="2969895" cy="2355215"/>
                  <wp:effectExtent l="19050" t="0" r="1905" b="0"/>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srcRect/>
                          <a:stretch>
                            <a:fillRect/>
                          </a:stretch>
                        </pic:blipFill>
                        <pic:spPr bwMode="auto">
                          <a:xfrm>
                            <a:off x="0" y="0"/>
                            <a:ext cx="2969895" cy="2355215"/>
                          </a:xfrm>
                          <a:prstGeom prst="rect">
                            <a:avLst/>
                          </a:prstGeom>
                          <a:noFill/>
                          <a:ln w="9525">
                            <a:noFill/>
                            <a:miter lim="800000"/>
                            <a:headEnd/>
                            <a:tailEnd/>
                          </a:ln>
                        </pic:spPr>
                      </pic:pic>
                    </a:graphicData>
                  </a:graphic>
                </wp:inline>
              </w:drawing>
            </w:r>
          </w:p>
        </w:tc>
      </w:tr>
      <w:tr w:rsidR="000F74B6" w:rsidRPr="00A74192" w:rsidTr="00DD3867">
        <w:tblPrEx>
          <w:tblLook w:val="04A0"/>
        </w:tblPrEx>
        <w:trPr>
          <w:trHeight w:val="211"/>
        </w:trPr>
        <w:tc>
          <w:tcPr>
            <w:tcW w:w="2475" w:type="pct"/>
            <w:gridSpan w:val="4"/>
          </w:tcPr>
          <w:p w:rsidR="000F74B6" w:rsidRPr="00A74192" w:rsidRDefault="000F74B6" w:rsidP="00D94859">
            <w:pPr>
              <w:pStyle w:val="Textpoznpodarou"/>
              <w:rPr>
                <w:noProof/>
                <w:sz w:val="18"/>
                <w:szCs w:val="18"/>
              </w:rPr>
            </w:pPr>
          </w:p>
        </w:tc>
        <w:tc>
          <w:tcPr>
            <w:tcW w:w="2525" w:type="pct"/>
            <w:gridSpan w:val="2"/>
          </w:tcPr>
          <w:p w:rsidR="000F74B6" w:rsidRPr="00A74192" w:rsidRDefault="000F74B6" w:rsidP="00D94859">
            <w:pPr>
              <w:pStyle w:val="Textpoznpodarou"/>
              <w:jc w:val="right"/>
              <w:rPr>
                <w:noProof/>
              </w:rPr>
            </w:pPr>
            <w:r w:rsidRPr="00A74192">
              <w:rPr>
                <w:sz w:val="18"/>
                <w:szCs w:val="18"/>
              </w:rPr>
              <w:t>Zdroj: ČSÚ, ČNB</w:t>
            </w:r>
          </w:p>
        </w:tc>
      </w:tr>
    </w:tbl>
    <w:p w:rsidR="00ED3A94" w:rsidRPr="00A74192" w:rsidRDefault="00ED3A94" w:rsidP="00D94859">
      <w:pPr>
        <w:rPr>
          <w:sz w:val="2"/>
          <w:szCs w:val="2"/>
        </w:rPr>
      </w:pPr>
    </w:p>
    <w:sectPr w:rsidR="00ED3A94" w:rsidRPr="00A74192" w:rsidSect="00251E8F">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69" w:rsidRDefault="005B5169" w:rsidP="00E71A58">
      <w:r>
        <w:separator/>
      </w:r>
    </w:p>
  </w:endnote>
  <w:endnote w:type="continuationSeparator" w:id="0">
    <w:p w:rsidR="005B5169" w:rsidRDefault="005B5169"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C01EB6" w:rsidRPr="005A21E0">
      <w:rPr>
        <w:rFonts w:ascii="Arial" w:hAnsi="Arial" w:cs="Arial"/>
        <w:sz w:val="16"/>
        <w:szCs w:val="16"/>
      </w:rPr>
      <w:fldChar w:fldCharType="begin"/>
    </w:r>
    <w:r w:rsidRPr="005A21E0">
      <w:rPr>
        <w:rFonts w:ascii="Arial" w:hAnsi="Arial" w:cs="Arial"/>
        <w:sz w:val="16"/>
        <w:szCs w:val="16"/>
      </w:rPr>
      <w:instrText>PAGE   \* MERGEFORMAT</w:instrText>
    </w:r>
    <w:r w:rsidR="00C01EB6" w:rsidRPr="005A21E0">
      <w:rPr>
        <w:rFonts w:ascii="Arial" w:hAnsi="Arial" w:cs="Arial"/>
        <w:sz w:val="16"/>
        <w:szCs w:val="16"/>
      </w:rPr>
      <w:fldChar w:fldCharType="separate"/>
    </w:r>
    <w:r w:rsidR="00251E8F">
      <w:rPr>
        <w:rFonts w:ascii="Arial" w:hAnsi="Arial" w:cs="Arial"/>
        <w:noProof/>
        <w:sz w:val="16"/>
        <w:szCs w:val="16"/>
      </w:rPr>
      <w:t>20</w:t>
    </w:r>
    <w:r w:rsidR="00C01EB6"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Default="006E182C"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6E182C" w:rsidRPr="00223E00" w:rsidRDefault="006E182C"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C01EB6"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01EB6" w:rsidRPr="00223E00">
      <w:rPr>
        <w:rFonts w:ascii="Arial" w:hAnsi="Arial" w:cs="Arial"/>
        <w:sz w:val="16"/>
        <w:szCs w:val="16"/>
      </w:rPr>
      <w:fldChar w:fldCharType="separate"/>
    </w:r>
    <w:r w:rsidR="00251E8F">
      <w:rPr>
        <w:rFonts w:ascii="Arial" w:hAnsi="Arial" w:cs="Arial"/>
        <w:noProof/>
        <w:sz w:val="16"/>
        <w:szCs w:val="16"/>
      </w:rPr>
      <w:t>19</w:t>
    </w:r>
    <w:r w:rsidR="00C01EB6"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69" w:rsidRDefault="005B5169" w:rsidP="00E71A58">
      <w:r>
        <w:separator/>
      </w:r>
    </w:p>
  </w:footnote>
  <w:footnote w:type="continuationSeparator" w:id="0">
    <w:p w:rsidR="005B5169" w:rsidRDefault="005B5169" w:rsidP="00E71A58">
      <w:r>
        <w:continuationSeparator/>
      </w:r>
    </w:p>
  </w:footnote>
  <w:footnote w:id="1">
    <w:p w:rsidR="006E182C" w:rsidRPr="007E12C1" w:rsidRDefault="006E182C">
      <w:pPr>
        <w:pStyle w:val="Textpoznpodarou"/>
        <w:rPr>
          <w:sz w:val="16"/>
          <w:szCs w:val="16"/>
        </w:rPr>
      </w:pPr>
      <w:r w:rsidRPr="007E12C1">
        <w:rPr>
          <w:rStyle w:val="Znakapoznpodarou"/>
          <w:sz w:val="16"/>
          <w:szCs w:val="16"/>
        </w:rPr>
        <w:footnoteRef/>
      </w:r>
      <w:r w:rsidRPr="007E12C1">
        <w:rPr>
          <w:sz w:val="16"/>
          <w:szCs w:val="16"/>
        </w:rPr>
        <w:t xml:space="preserve"> Údaje ČNB. Není-li uvedeno jinak, jsou veškeré údaje v této kapitole převzaty z databáze ARAD České národní banky. </w:t>
      </w:r>
    </w:p>
  </w:footnote>
  <w:footnote w:id="2">
    <w:p w:rsidR="006E182C" w:rsidRPr="00506A2B" w:rsidRDefault="006E182C">
      <w:pPr>
        <w:pStyle w:val="Textpoznpodarou"/>
        <w:rPr>
          <w:sz w:val="16"/>
          <w:szCs w:val="16"/>
        </w:rPr>
      </w:pPr>
      <w:r w:rsidRPr="00506A2B">
        <w:rPr>
          <w:rStyle w:val="Znakapoznpodarou"/>
          <w:sz w:val="16"/>
          <w:szCs w:val="16"/>
        </w:rPr>
        <w:footnoteRef/>
      </w:r>
      <w:r w:rsidRPr="00506A2B">
        <w:rPr>
          <w:sz w:val="16"/>
          <w:szCs w:val="16"/>
        </w:rPr>
        <w:t xml:space="preserve"> Měřeno peněžním agregátem M3</w:t>
      </w:r>
      <w:r>
        <w:rPr>
          <w:sz w:val="16"/>
          <w:szCs w:val="16"/>
        </w:rPr>
        <w:t>.</w:t>
      </w:r>
    </w:p>
  </w:footnote>
  <w:footnote w:id="3">
    <w:p w:rsidR="006E182C" w:rsidRPr="008334C3" w:rsidRDefault="00220838">
      <w:pPr>
        <w:pStyle w:val="Textpoznpodarou"/>
        <w:rPr>
          <w:sz w:val="16"/>
          <w:szCs w:val="16"/>
        </w:rPr>
      </w:pPr>
      <w:r w:rsidRPr="00220838">
        <w:rPr>
          <w:rStyle w:val="Znakapoznpodarou"/>
          <w:sz w:val="16"/>
        </w:rPr>
        <w:footnoteRef/>
      </w:r>
      <w:r w:rsidRPr="00220838">
        <w:rPr>
          <w:sz w:val="16"/>
        </w:rPr>
        <w:t xml:space="preserve"> </w:t>
      </w:r>
      <w:r w:rsidR="006E182C">
        <w:rPr>
          <w:sz w:val="16"/>
          <w:szCs w:val="16"/>
        </w:rPr>
        <w:t>P</w:t>
      </w:r>
      <w:r w:rsidR="006E182C" w:rsidRPr="008334C3">
        <w:rPr>
          <w:sz w:val="16"/>
          <w:szCs w:val="16"/>
        </w:rPr>
        <w:t>odle klasifikace CZ-NACE</w:t>
      </w:r>
      <w:r w:rsidR="006E182C">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Pr="00C00831" w:rsidRDefault="006E182C"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C" w:rsidRPr="00D766EF" w:rsidRDefault="006E182C"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3D3F5C"/>
    <w:multiLevelType w:val="hybridMultilevel"/>
    <w:tmpl w:val="502AEB0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10"/>
  </w:num>
  <w:num w:numId="6">
    <w:abstractNumId w:val="13"/>
  </w:num>
  <w:num w:numId="7">
    <w:abstractNumId w:val="3"/>
  </w:num>
  <w:num w:numId="8">
    <w:abstractNumId w:val="8"/>
  </w:num>
  <w:num w:numId="9">
    <w:abstractNumId w:val="15"/>
  </w:num>
  <w:num w:numId="10">
    <w:abstractNumId w:val="2"/>
  </w:num>
  <w:num w:numId="11">
    <w:abstractNumId w:val="6"/>
  </w:num>
  <w:num w:numId="12">
    <w:abstractNumId w:val="1"/>
  </w:num>
  <w:num w:numId="13">
    <w:abstractNumId w:val="5"/>
  </w:num>
  <w:num w:numId="14">
    <w:abstractNumId w:val="0"/>
  </w:num>
  <w:num w:numId="15">
    <w:abstractNumId w:val="14"/>
  </w:num>
  <w:num w:numId="16">
    <w:abstractNumId w:val="11"/>
  </w:num>
  <w:num w:numId="17">
    <w:abstractNumId w:val="4"/>
  </w:num>
  <w:num w:numId="18">
    <w:abstractNumId w:val="17"/>
  </w:num>
  <w:num w:numId="1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9B70BD"/>
    <w:rsid w:val="00000FA7"/>
    <w:rsid w:val="00001EFF"/>
    <w:rsid w:val="00003687"/>
    <w:rsid w:val="00003C43"/>
    <w:rsid w:val="00004EB0"/>
    <w:rsid w:val="00007498"/>
    <w:rsid w:val="0000767A"/>
    <w:rsid w:val="000101F5"/>
    <w:rsid w:val="000104B9"/>
    <w:rsid w:val="00010702"/>
    <w:rsid w:val="00010770"/>
    <w:rsid w:val="00011191"/>
    <w:rsid w:val="0001159B"/>
    <w:rsid w:val="000117CA"/>
    <w:rsid w:val="00012986"/>
    <w:rsid w:val="00014028"/>
    <w:rsid w:val="00015195"/>
    <w:rsid w:val="0001519F"/>
    <w:rsid w:val="0001572B"/>
    <w:rsid w:val="0001573E"/>
    <w:rsid w:val="000157DA"/>
    <w:rsid w:val="0001589D"/>
    <w:rsid w:val="00016033"/>
    <w:rsid w:val="000162DB"/>
    <w:rsid w:val="00017F05"/>
    <w:rsid w:val="000202C6"/>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4075D"/>
    <w:rsid w:val="000411E1"/>
    <w:rsid w:val="00041E9C"/>
    <w:rsid w:val="00043C68"/>
    <w:rsid w:val="00043E05"/>
    <w:rsid w:val="0004694F"/>
    <w:rsid w:val="000500DC"/>
    <w:rsid w:val="000509FD"/>
    <w:rsid w:val="00051ADE"/>
    <w:rsid w:val="00052052"/>
    <w:rsid w:val="00052172"/>
    <w:rsid w:val="000534FD"/>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0A41"/>
    <w:rsid w:val="00080AA8"/>
    <w:rsid w:val="00083803"/>
    <w:rsid w:val="00083D7F"/>
    <w:rsid w:val="00084393"/>
    <w:rsid w:val="0008716A"/>
    <w:rsid w:val="00087634"/>
    <w:rsid w:val="00091237"/>
    <w:rsid w:val="000916B1"/>
    <w:rsid w:val="0009191B"/>
    <w:rsid w:val="000920EC"/>
    <w:rsid w:val="00092208"/>
    <w:rsid w:val="00092505"/>
    <w:rsid w:val="000927EB"/>
    <w:rsid w:val="00092C9A"/>
    <w:rsid w:val="000973B6"/>
    <w:rsid w:val="00097BFC"/>
    <w:rsid w:val="00097D02"/>
    <w:rsid w:val="000A1183"/>
    <w:rsid w:val="000A2121"/>
    <w:rsid w:val="000A2484"/>
    <w:rsid w:val="000A36CE"/>
    <w:rsid w:val="000A59BF"/>
    <w:rsid w:val="000A66C2"/>
    <w:rsid w:val="000A68A7"/>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3408"/>
    <w:rsid w:val="000C54AF"/>
    <w:rsid w:val="000C5C0F"/>
    <w:rsid w:val="000C5D56"/>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E025B"/>
    <w:rsid w:val="000E0ECB"/>
    <w:rsid w:val="000E153A"/>
    <w:rsid w:val="000E19A8"/>
    <w:rsid w:val="000E1EEA"/>
    <w:rsid w:val="000E4241"/>
    <w:rsid w:val="000E4A42"/>
    <w:rsid w:val="000E6476"/>
    <w:rsid w:val="000E78D2"/>
    <w:rsid w:val="000F3332"/>
    <w:rsid w:val="000F33EE"/>
    <w:rsid w:val="000F401E"/>
    <w:rsid w:val="000F5445"/>
    <w:rsid w:val="000F5673"/>
    <w:rsid w:val="000F67B2"/>
    <w:rsid w:val="000F6CFB"/>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3FA3"/>
    <w:rsid w:val="0014428D"/>
    <w:rsid w:val="001500FC"/>
    <w:rsid w:val="00151AC0"/>
    <w:rsid w:val="00151B27"/>
    <w:rsid w:val="00152046"/>
    <w:rsid w:val="00152E53"/>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3642"/>
    <w:rsid w:val="00173AF4"/>
    <w:rsid w:val="00173CB0"/>
    <w:rsid w:val="00174CE8"/>
    <w:rsid w:val="00174E7D"/>
    <w:rsid w:val="001752CB"/>
    <w:rsid w:val="00175351"/>
    <w:rsid w:val="00175F60"/>
    <w:rsid w:val="00176050"/>
    <w:rsid w:val="001764D8"/>
    <w:rsid w:val="00176A8F"/>
    <w:rsid w:val="00180D58"/>
    <w:rsid w:val="00181938"/>
    <w:rsid w:val="00182981"/>
    <w:rsid w:val="00184CF9"/>
    <w:rsid w:val="00185010"/>
    <w:rsid w:val="001852EC"/>
    <w:rsid w:val="001857D6"/>
    <w:rsid w:val="00186447"/>
    <w:rsid w:val="001874CF"/>
    <w:rsid w:val="00190214"/>
    <w:rsid w:val="00190D9B"/>
    <w:rsid w:val="00191BAE"/>
    <w:rsid w:val="00193432"/>
    <w:rsid w:val="0019346C"/>
    <w:rsid w:val="00194AE3"/>
    <w:rsid w:val="00195335"/>
    <w:rsid w:val="00195444"/>
    <w:rsid w:val="0019579E"/>
    <w:rsid w:val="001A199D"/>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618F"/>
    <w:rsid w:val="001B6277"/>
    <w:rsid w:val="001B6545"/>
    <w:rsid w:val="001B681B"/>
    <w:rsid w:val="001B6A49"/>
    <w:rsid w:val="001B7231"/>
    <w:rsid w:val="001B74FB"/>
    <w:rsid w:val="001B77A1"/>
    <w:rsid w:val="001C0422"/>
    <w:rsid w:val="001C0E0E"/>
    <w:rsid w:val="001C0EB9"/>
    <w:rsid w:val="001C1219"/>
    <w:rsid w:val="001C357A"/>
    <w:rsid w:val="001C3A37"/>
    <w:rsid w:val="001C4384"/>
    <w:rsid w:val="001C55F5"/>
    <w:rsid w:val="001C65FF"/>
    <w:rsid w:val="001D3787"/>
    <w:rsid w:val="001D47E5"/>
    <w:rsid w:val="001D584C"/>
    <w:rsid w:val="001D5E1B"/>
    <w:rsid w:val="001D66C1"/>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B46"/>
    <w:rsid w:val="002048E1"/>
    <w:rsid w:val="00207DB6"/>
    <w:rsid w:val="00210278"/>
    <w:rsid w:val="00210CC2"/>
    <w:rsid w:val="00210F5B"/>
    <w:rsid w:val="00210FFA"/>
    <w:rsid w:val="00211262"/>
    <w:rsid w:val="002115F5"/>
    <w:rsid w:val="00211AC9"/>
    <w:rsid w:val="002131D4"/>
    <w:rsid w:val="0021329E"/>
    <w:rsid w:val="0021355B"/>
    <w:rsid w:val="00215A2C"/>
    <w:rsid w:val="00217980"/>
    <w:rsid w:val="002179F9"/>
    <w:rsid w:val="002205F2"/>
    <w:rsid w:val="0022080E"/>
    <w:rsid w:val="00220838"/>
    <w:rsid w:val="00220B20"/>
    <w:rsid w:val="0022139E"/>
    <w:rsid w:val="0022272B"/>
    <w:rsid w:val="00222A99"/>
    <w:rsid w:val="00223678"/>
    <w:rsid w:val="002236F7"/>
    <w:rsid w:val="00223E00"/>
    <w:rsid w:val="002252E0"/>
    <w:rsid w:val="002255F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1E8F"/>
    <w:rsid w:val="00252602"/>
    <w:rsid w:val="00252FDC"/>
    <w:rsid w:val="002532E2"/>
    <w:rsid w:val="002550D8"/>
    <w:rsid w:val="00257613"/>
    <w:rsid w:val="00261A0F"/>
    <w:rsid w:val="00261E5B"/>
    <w:rsid w:val="00262F34"/>
    <w:rsid w:val="00263470"/>
    <w:rsid w:val="00263733"/>
    <w:rsid w:val="0026467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3C61"/>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385B"/>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C3D"/>
    <w:rsid w:val="002D5E94"/>
    <w:rsid w:val="002D632D"/>
    <w:rsid w:val="002D6FC7"/>
    <w:rsid w:val="002E02A1"/>
    <w:rsid w:val="002E0982"/>
    <w:rsid w:val="002E0DB9"/>
    <w:rsid w:val="002E2CE4"/>
    <w:rsid w:val="002E34F3"/>
    <w:rsid w:val="002E4217"/>
    <w:rsid w:val="002E435E"/>
    <w:rsid w:val="002E73F2"/>
    <w:rsid w:val="002F33FB"/>
    <w:rsid w:val="002F663A"/>
    <w:rsid w:val="002F68A4"/>
    <w:rsid w:val="002F7594"/>
    <w:rsid w:val="002F7902"/>
    <w:rsid w:val="003003E7"/>
    <w:rsid w:val="00300D6F"/>
    <w:rsid w:val="00301357"/>
    <w:rsid w:val="00301D04"/>
    <w:rsid w:val="003035D4"/>
    <w:rsid w:val="00303A3C"/>
    <w:rsid w:val="00303DCB"/>
    <w:rsid w:val="00304771"/>
    <w:rsid w:val="00305736"/>
    <w:rsid w:val="00305C33"/>
    <w:rsid w:val="00306C5B"/>
    <w:rsid w:val="00306E3B"/>
    <w:rsid w:val="00310AD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6244"/>
    <w:rsid w:val="00357449"/>
    <w:rsid w:val="0036238B"/>
    <w:rsid w:val="003630B0"/>
    <w:rsid w:val="003649FC"/>
    <w:rsid w:val="003651A4"/>
    <w:rsid w:val="00365680"/>
    <w:rsid w:val="003657F3"/>
    <w:rsid w:val="00366D4D"/>
    <w:rsid w:val="00367038"/>
    <w:rsid w:val="00370963"/>
    <w:rsid w:val="0037144E"/>
    <w:rsid w:val="00372272"/>
    <w:rsid w:val="003736B5"/>
    <w:rsid w:val="00374F1E"/>
    <w:rsid w:val="003750CF"/>
    <w:rsid w:val="00375A22"/>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D49"/>
    <w:rsid w:val="00396DAC"/>
    <w:rsid w:val="003971D0"/>
    <w:rsid w:val="003A0214"/>
    <w:rsid w:val="003A027D"/>
    <w:rsid w:val="003A1D74"/>
    <w:rsid w:val="003A2B4D"/>
    <w:rsid w:val="003A2D2B"/>
    <w:rsid w:val="003A2DD4"/>
    <w:rsid w:val="003A3B1C"/>
    <w:rsid w:val="003A4088"/>
    <w:rsid w:val="003A478C"/>
    <w:rsid w:val="003A4F82"/>
    <w:rsid w:val="003A5525"/>
    <w:rsid w:val="003A6B38"/>
    <w:rsid w:val="003B2142"/>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4E2"/>
    <w:rsid w:val="003D4760"/>
    <w:rsid w:val="003D49DC"/>
    <w:rsid w:val="003D4DD9"/>
    <w:rsid w:val="003D4FB5"/>
    <w:rsid w:val="003D5D7A"/>
    <w:rsid w:val="003D5E4B"/>
    <w:rsid w:val="003D653F"/>
    <w:rsid w:val="003E0663"/>
    <w:rsid w:val="003E133F"/>
    <w:rsid w:val="003E49F6"/>
    <w:rsid w:val="003E699C"/>
    <w:rsid w:val="003E69F3"/>
    <w:rsid w:val="003E7550"/>
    <w:rsid w:val="003E782E"/>
    <w:rsid w:val="003E7A0B"/>
    <w:rsid w:val="003E7B2B"/>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4000D5"/>
    <w:rsid w:val="00400244"/>
    <w:rsid w:val="004005C1"/>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3C04"/>
    <w:rsid w:val="0042681B"/>
    <w:rsid w:val="00427193"/>
    <w:rsid w:val="0043068A"/>
    <w:rsid w:val="004306E0"/>
    <w:rsid w:val="00431D54"/>
    <w:rsid w:val="00431F98"/>
    <w:rsid w:val="004329BE"/>
    <w:rsid w:val="00432C38"/>
    <w:rsid w:val="004342EC"/>
    <w:rsid w:val="00437C76"/>
    <w:rsid w:val="00437F4A"/>
    <w:rsid w:val="0044105C"/>
    <w:rsid w:val="00442197"/>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247"/>
    <w:rsid w:val="0049104F"/>
    <w:rsid w:val="00491218"/>
    <w:rsid w:val="00491CFD"/>
    <w:rsid w:val="00492991"/>
    <w:rsid w:val="00493362"/>
    <w:rsid w:val="00494343"/>
    <w:rsid w:val="00494AAB"/>
    <w:rsid w:val="00496C2F"/>
    <w:rsid w:val="0049740D"/>
    <w:rsid w:val="004978D3"/>
    <w:rsid w:val="004A11F8"/>
    <w:rsid w:val="004A22BD"/>
    <w:rsid w:val="004A22FA"/>
    <w:rsid w:val="004A269A"/>
    <w:rsid w:val="004A26DB"/>
    <w:rsid w:val="004A30FB"/>
    <w:rsid w:val="004A35DD"/>
    <w:rsid w:val="004A37D3"/>
    <w:rsid w:val="004A3AD6"/>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4F13"/>
    <w:rsid w:val="004D504B"/>
    <w:rsid w:val="004D536E"/>
    <w:rsid w:val="004D70B1"/>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4F7170"/>
    <w:rsid w:val="005028E1"/>
    <w:rsid w:val="00505989"/>
    <w:rsid w:val="00506309"/>
    <w:rsid w:val="0050692E"/>
    <w:rsid w:val="00507040"/>
    <w:rsid w:val="005079F8"/>
    <w:rsid w:val="00510189"/>
    <w:rsid w:val="005108C0"/>
    <w:rsid w:val="00511873"/>
    <w:rsid w:val="00512603"/>
    <w:rsid w:val="0051367B"/>
    <w:rsid w:val="00513A89"/>
    <w:rsid w:val="00513B7E"/>
    <w:rsid w:val="005140DE"/>
    <w:rsid w:val="00514474"/>
    <w:rsid w:val="005147E9"/>
    <w:rsid w:val="0051593C"/>
    <w:rsid w:val="00517567"/>
    <w:rsid w:val="0051778E"/>
    <w:rsid w:val="005215EF"/>
    <w:rsid w:val="00524637"/>
    <w:rsid w:val="00524FDD"/>
    <w:rsid w:val="00525137"/>
    <w:rsid w:val="005251DD"/>
    <w:rsid w:val="00526DB6"/>
    <w:rsid w:val="0053017A"/>
    <w:rsid w:val="00530492"/>
    <w:rsid w:val="005308E4"/>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459BD"/>
    <w:rsid w:val="005513D5"/>
    <w:rsid w:val="005523B9"/>
    <w:rsid w:val="005545E0"/>
    <w:rsid w:val="00554865"/>
    <w:rsid w:val="00554E57"/>
    <w:rsid w:val="00557E6A"/>
    <w:rsid w:val="00562749"/>
    <w:rsid w:val="00562DE9"/>
    <w:rsid w:val="005638A5"/>
    <w:rsid w:val="00566381"/>
    <w:rsid w:val="00566A03"/>
    <w:rsid w:val="00571932"/>
    <w:rsid w:val="00573C97"/>
    <w:rsid w:val="00574240"/>
    <w:rsid w:val="0057454C"/>
    <w:rsid w:val="005752EB"/>
    <w:rsid w:val="00575CDC"/>
    <w:rsid w:val="005765D5"/>
    <w:rsid w:val="00576A3E"/>
    <w:rsid w:val="0057703D"/>
    <w:rsid w:val="00581892"/>
    <w:rsid w:val="0058366F"/>
    <w:rsid w:val="00583D5B"/>
    <w:rsid w:val="00583FFD"/>
    <w:rsid w:val="00587CCD"/>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BAA"/>
    <w:rsid w:val="005B2D53"/>
    <w:rsid w:val="005B3247"/>
    <w:rsid w:val="005B3409"/>
    <w:rsid w:val="005B498A"/>
    <w:rsid w:val="005B5169"/>
    <w:rsid w:val="005B7B12"/>
    <w:rsid w:val="005C16CB"/>
    <w:rsid w:val="005C21D6"/>
    <w:rsid w:val="005C3F9F"/>
    <w:rsid w:val="005C406F"/>
    <w:rsid w:val="005C4A23"/>
    <w:rsid w:val="005C562C"/>
    <w:rsid w:val="005C5812"/>
    <w:rsid w:val="005C6400"/>
    <w:rsid w:val="005C7F1E"/>
    <w:rsid w:val="005D073B"/>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601D"/>
    <w:rsid w:val="005F6119"/>
    <w:rsid w:val="005F7940"/>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818"/>
    <w:rsid w:val="00635E79"/>
    <w:rsid w:val="00636E5E"/>
    <w:rsid w:val="006379E0"/>
    <w:rsid w:val="006404A7"/>
    <w:rsid w:val="006407F3"/>
    <w:rsid w:val="006408EC"/>
    <w:rsid w:val="0064129B"/>
    <w:rsid w:val="00641DF7"/>
    <w:rsid w:val="00643497"/>
    <w:rsid w:val="00643735"/>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CFD"/>
    <w:rsid w:val="00664B64"/>
    <w:rsid w:val="00665D67"/>
    <w:rsid w:val="00665D77"/>
    <w:rsid w:val="006660CD"/>
    <w:rsid w:val="00666EC8"/>
    <w:rsid w:val="00666F4B"/>
    <w:rsid w:val="006676D0"/>
    <w:rsid w:val="0066796E"/>
    <w:rsid w:val="00670FAC"/>
    <w:rsid w:val="006710C9"/>
    <w:rsid w:val="006716A5"/>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1781"/>
    <w:rsid w:val="006B23A9"/>
    <w:rsid w:val="006B23D8"/>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04F"/>
    <w:rsid w:val="006D042D"/>
    <w:rsid w:val="006D06EF"/>
    <w:rsid w:val="006D142E"/>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59FC"/>
    <w:rsid w:val="006E5CFD"/>
    <w:rsid w:val="006E7E2C"/>
    <w:rsid w:val="006F1326"/>
    <w:rsid w:val="006F2280"/>
    <w:rsid w:val="006F2BEE"/>
    <w:rsid w:val="006F3708"/>
    <w:rsid w:val="006F376C"/>
    <w:rsid w:val="006F3E6B"/>
    <w:rsid w:val="006F4619"/>
    <w:rsid w:val="006F4A59"/>
    <w:rsid w:val="006F6968"/>
    <w:rsid w:val="00700232"/>
    <w:rsid w:val="00701382"/>
    <w:rsid w:val="007014C7"/>
    <w:rsid w:val="00702100"/>
    <w:rsid w:val="00702D6F"/>
    <w:rsid w:val="00703B6C"/>
    <w:rsid w:val="00703C6B"/>
    <w:rsid w:val="007047D5"/>
    <w:rsid w:val="00705D98"/>
    <w:rsid w:val="00707891"/>
    <w:rsid w:val="00707D43"/>
    <w:rsid w:val="00710F7C"/>
    <w:rsid w:val="00711EF1"/>
    <w:rsid w:val="0071229A"/>
    <w:rsid w:val="00712572"/>
    <w:rsid w:val="00713495"/>
    <w:rsid w:val="00713EEB"/>
    <w:rsid w:val="007159D2"/>
    <w:rsid w:val="00717726"/>
    <w:rsid w:val="0072050E"/>
    <w:rsid w:val="00720958"/>
    <w:rsid w:val="00720FA2"/>
    <w:rsid w:val="007211F5"/>
    <w:rsid w:val="00724666"/>
    <w:rsid w:val="00724E80"/>
    <w:rsid w:val="00725492"/>
    <w:rsid w:val="007256B7"/>
    <w:rsid w:val="00726043"/>
    <w:rsid w:val="0072704A"/>
    <w:rsid w:val="00730AE8"/>
    <w:rsid w:val="007315DA"/>
    <w:rsid w:val="00731963"/>
    <w:rsid w:val="00732706"/>
    <w:rsid w:val="00734321"/>
    <w:rsid w:val="0073532E"/>
    <w:rsid w:val="00735B01"/>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0931"/>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7B5"/>
    <w:rsid w:val="007879F2"/>
    <w:rsid w:val="00790393"/>
    <w:rsid w:val="00791804"/>
    <w:rsid w:val="00791CF8"/>
    <w:rsid w:val="00791EF9"/>
    <w:rsid w:val="00792262"/>
    <w:rsid w:val="00793387"/>
    <w:rsid w:val="00793BAE"/>
    <w:rsid w:val="00794870"/>
    <w:rsid w:val="00794E0A"/>
    <w:rsid w:val="00795B04"/>
    <w:rsid w:val="00796642"/>
    <w:rsid w:val="007A11D9"/>
    <w:rsid w:val="007A327B"/>
    <w:rsid w:val="007A4048"/>
    <w:rsid w:val="007A45B1"/>
    <w:rsid w:val="007A4606"/>
    <w:rsid w:val="007A4D58"/>
    <w:rsid w:val="007B0D67"/>
    <w:rsid w:val="007B1966"/>
    <w:rsid w:val="007B2257"/>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C61"/>
    <w:rsid w:val="007D2F81"/>
    <w:rsid w:val="007D3167"/>
    <w:rsid w:val="007D3CF7"/>
    <w:rsid w:val="007D4128"/>
    <w:rsid w:val="007D4281"/>
    <w:rsid w:val="007D42F5"/>
    <w:rsid w:val="007D44C3"/>
    <w:rsid w:val="007D5947"/>
    <w:rsid w:val="007D65C1"/>
    <w:rsid w:val="007E030F"/>
    <w:rsid w:val="007E0D49"/>
    <w:rsid w:val="007E0E59"/>
    <w:rsid w:val="007E0F4B"/>
    <w:rsid w:val="007E12C1"/>
    <w:rsid w:val="007E1EF7"/>
    <w:rsid w:val="007E3715"/>
    <w:rsid w:val="007E5F3D"/>
    <w:rsid w:val="007E6588"/>
    <w:rsid w:val="007E7063"/>
    <w:rsid w:val="007E7E61"/>
    <w:rsid w:val="007F0316"/>
    <w:rsid w:val="007F0845"/>
    <w:rsid w:val="007F1092"/>
    <w:rsid w:val="007F16F9"/>
    <w:rsid w:val="007F2801"/>
    <w:rsid w:val="007F3E3E"/>
    <w:rsid w:val="007F42E0"/>
    <w:rsid w:val="007F500D"/>
    <w:rsid w:val="007F5F14"/>
    <w:rsid w:val="007F7B54"/>
    <w:rsid w:val="007F7C60"/>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5DD0"/>
    <w:rsid w:val="00815F10"/>
    <w:rsid w:val="0081645F"/>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25F9"/>
    <w:rsid w:val="0085281A"/>
    <w:rsid w:val="00853F33"/>
    <w:rsid w:val="008550EA"/>
    <w:rsid w:val="008559FE"/>
    <w:rsid w:val="00857339"/>
    <w:rsid w:val="00860706"/>
    <w:rsid w:val="00862A7A"/>
    <w:rsid w:val="00862FBD"/>
    <w:rsid w:val="00863104"/>
    <w:rsid w:val="008636CD"/>
    <w:rsid w:val="00863702"/>
    <w:rsid w:val="00863D9E"/>
    <w:rsid w:val="00863FDC"/>
    <w:rsid w:val="008642AF"/>
    <w:rsid w:val="00865286"/>
    <w:rsid w:val="00865729"/>
    <w:rsid w:val="00865ED4"/>
    <w:rsid w:val="008669A7"/>
    <w:rsid w:val="00867464"/>
    <w:rsid w:val="00867D15"/>
    <w:rsid w:val="00867E29"/>
    <w:rsid w:val="00870F2B"/>
    <w:rsid w:val="00873B2E"/>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733A"/>
    <w:rsid w:val="00891BE0"/>
    <w:rsid w:val="00893302"/>
    <w:rsid w:val="00893648"/>
    <w:rsid w:val="00893F3C"/>
    <w:rsid w:val="008945A1"/>
    <w:rsid w:val="00894A63"/>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73DA"/>
    <w:rsid w:val="008B00C2"/>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6D92"/>
    <w:rsid w:val="008C777A"/>
    <w:rsid w:val="008C7815"/>
    <w:rsid w:val="008C7A07"/>
    <w:rsid w:val="008C7E90"/>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6EBD"/>
    <w:rsid w:val="008E71A6"/>
    <w:rsid w:val="008E77B6"/>
    <w:rsid w:val="008E7C55"/>
    <w:rsid w:val="008F032E"/>
    <w:rsid w:val="008F0F14"/>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3E06"/>
    <w:rsid w:val="009045D1"/>
    <w:rsid w:val="00904B9D"/>
    <w:rsid w:val="00905A11"/>
    <w:rsid w:val="00905FE8"/>
    <w:rsid w:val="00906225"/>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4963"/>
    <w:rsid w:val="00937B11"/>
    <w:rsid w:val="00940F1F"/>
    <w:rsid w:val="00941250"/>
    <w:rsid w:val="00941339"/>
    <w:rsid w:val="00941ACE"/>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3BE6"/>
    <w:rsid w:val="00993D9C"/>
    <w:rsid w:val="00993F56"/>
    <w:rsid w:val="009954FF"/>
    <w:rsid w:val="00995E2F"/>
    <w:rsid w:val="009961BC"/>
    <w:rsid w:val="00996355"/>
    <w:rsid w:val="0099788F"/>
    <w:rsid w:val="00997ADD"/>
    <w:rsid w:val="009A1374"/>
    <w:rsid w:val="009A2014"/>
    <w:rsid w:val="009A2030"/>
    <w:rsid w:val="009A3A87"/>
    <w:rsid w:val="009A4E12"/>
    <w:rsid w:val="009A5C68"/>
    <w:rsid w:val="009A5DE2"/>
    <w:rsid w:val="009A6EF7"/>
    <w:rsid w:val="009B04D0"/>
    <w:rsid w:val="009B052C"/>
    <w:rsid w:val="009B0975"/>
    <w:rsid w:val="009B0EF2"/>
    <w:rsid w:val="009B23A3"/>
    <w:rsid w:val="009B2C0E"/>
    <w:rsid w:val="009B4925"/>
    <w:rsid w:val="009B4B4B"/>
    <w:rsid w:val="009B4CE3"/>
    <w:rsid w:val="009B6FD3"/>
    <w:rsid w:val="009B70BD"/>
    <w:rsid w:val="009C07A5"/>
    <w:rsid w:val="009C24A3"/>
    <w:rsid w:val="009C3705"/>
    <w:rsid w:val="009C7388"/>
    <w:rsid w:val="009C74C2"/>
    <w:rsid w:val="009D0CFF"/>
    <w:rsid w:val="009D1551"/>
    <w:rsid w:val="009D2859"/>
    <w:rsid w:val="009D36EC"/>
    <w:rsid w:val="009D3CD0"/>
    <w:rsid w:val="009D4173"/>
    <w:rsid w:val="009D51CA"/>
    <w:rsid w:val="009D6095"/>
    <w:rsid w:val="009D6306"/>
    <w:rsid w:val="009E048A"/>
    <w:rsid w:val="009E1124"/>
    <w:rsid w:val="009E1FBA"/>
    <w:rsid w:val="009E2C54"/>
    <w:rsid w:val="009E3710"/>
    <w:rsid w:val="009E6F65"/>
    <w:rsid w:val="009E7340"/>
    <w:rsid w:val="009E7B1F"/>
    <w:rsid w:val="009F2A39"/>
    <w:rsid w:val="009F346F"/>
    <w:rsid w:val="009F371A"/>
    <w:rsid w:val="009F3F25"/>
    <w:rsid w:val="009F3FC3"/>
    <w:rsid w:val="009F41C4"/>
    <w:rsid w:val="009F5846"/>
    <w:rsid w:val="009F63D2"/>
    <w:rsid w:val="009F777A"/>
    <w:rsid w:val="009F7B52"/>
    <w:rsid w:val="009F7D77"/>
    <w:rsid w:val="00A004D2"/>
    <w:rsid w:val="00A015EA"/>
    <w:rsid w:val="00A05B91"/>
    <w:rsid w:val="00A10D66"/>
    <w:rsid w:val="00A12BA8"/>
    <w:rsid w:val="00A133F2"/>
    <w:rsid w:val="00A13993"/>
    <w:rsid w:val="00A1420C"/>
    <w:rsid w:val="00A1456C"/>
    <w:rsid w:val="00A14821"/>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965"/>
    <w:rsid w:val="00A40B19"/>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CE1"/>
    <w:rsid w:val="00A631FA"/>
    <w:rsid w:val="00A64203"/>
    <w:rsid w:val="00A64348"/>
    <w:rsid w:val="00A644E1"/>
    <w:rsid w:val="00A711B0"/>
    <w:rsid w:val="00A71279"/>
    <w:rsid w:val="00A721FB"/>
    <w:rsid w:val="00A727BA"/>
    <w:rsid w:val="00A72D4B"/>
    <w:rsid w:val="00A732AE"/>
    <w:rsid w:val="00A74192"/>
    <w:rsid w:val="00A75837"/>
    <w:rsid w:val="00A75E40"/>
    <w:rsid w:val="00A76B12"/>
    <w:rsid w:val="00A76EF2"/>
    <w:rsid w:val="00A7727E"/>
    <w:rsid w:val="00A77EB2"/>
    <w:rsid w:val="00A81094"/>
    <w:rsid w:val="00A82B66"/>
    <w:rsid w:val="00A83B58"/>
    <w:rsid w:val="00A84FAF"/>
    <w:rsid w:val="00A851B6"/>
    <w:rsid w:val="00A85729"/>
    <w:rsid w:val="00A8574B"/>
    <w:rsid w:val="00A857C0"/>
    <w:rsid w:val="00A90343"/>
    <w:rsid w:val="00A91336"/>
    <w:rsid w:val="00A9221C"/>
    <w:rsid w:val="00A92277"/>
    <w:rsid w:val="00A92916"/>
    <w:rsid w:val="00A94628"/>
    <w:rsid w:val="00A94954"/>
    <w:rsid w:val="00A9497A"/>
    <w:rsid w:val="00A96463"/>
    <w:rsid w:val="00A97E3F"/>
    <w:rsid w:val="00AA09D3"/>
    <w:rsid w:val="00AA220F"/>
    <w:rsid w:val="00AA23FB"/>
    <w:rsid w:val="00AA34FE"/>
    <w:rsid w:val="00AA42AB"/>
    <w:rsid w:val="00AA559A"/>
    <w:rsid w:val="00AA57A4"/>
    <w:rsid w:val="00AA5F10"/>
    <w:rsid w:val="00AB0BB9"/>
    <w:rsid w:val="00AB104D"/>
    <w:rsid w:val="00AB1441"/>
    <w:rsid w:val="00AB2AF1"/>
    <w:rsid w:val="00AB440B"/>
    <w:rsid w:val="00AB47E3"/>
    <w:rsid w:val="00AB74C5"/>
    <w:rsid w:val="00AB7BEE"/>
    <w:rsid w:val="00AB7DF2"/>
    <w:rsid w:val="00AC1E3F"/>
    <w:rsid w:val="00AC219A"/>
    <w:rsid w:val="00AC3D02"/>
    <w:rsid w:val="00AC4F18"/>
    <w:rsid w:val="00AD0B46"/>
    <w:rsid w:val="00AD1094"/>
    <w:rsid w:val="00AD2565"/>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734"/>
    <w:rsid w:val="00AE7968"/>
    <w:rsid w:val="00AE7B2B"/>
    <w:rsid w:val="00AE7DFF"/>
    <w:rsid w:val="00AF128B"/>
    <w:rsid w:val="00AF1AEA"/>
    <w:rsid w:val="00AF2536"/>
    <w:rsid w:val="00AF2852"/>
    <w:rsid w:val="00AF3225"/>
    <w:rsid w:val="00AF4983"/>
    <w:rsid w:val="00AF518B"/>
    <w:rsid w:val="00AF5275"/>
    <w:rsid w:val="00AF5D62"/>
    <w:rsid w:val="00AF6367"/>
    <w:rsid w:val="00AF6A79"/>
    <w:rsid w:val="00AF724E"/>
    <w:rsid w:val="00AF73A9"/>
    <w:rsid w:val="00B01436"/>
    <w:rsid w:val="00B01C2C"/>
    <w:rsid w:val="00B0231C"/>
    <w:rsid w:val="00B07372"/>
    <w:rsid w:val="00B07C2A"/>
    <w:rsid w:val="00B128E5"/>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47A"/>
    <w:rsid w:val="00B3448C"/>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57CC4"/>
    <w:rsid w:val="00B60062"/>
    <w:rsid w:val="00B62960"/>
    <w:rsid w:val="00B63A11"/>
    <w:rsid w:val="00B63FD0"/>
    <w:rsid w:val="00B6553E"/>
    <w:rsid w:val="00B65C84"/>
    <w:rsid w:val="00B6608F"/>
    <w:rsid w:val="00B73180"/>
    <w:rsid w:val="00B74317"/>
    <w:rsid w:val="00B75700"/>
    <w:rsid w:val="00B760C1"/>
    <w:rsid w:val="00B76D1E"/>
    <w:rsid w:val="00B77BC8"/>
    <w:rsid w:val="00B800EB"/>
    <w:rsid w:val="00B822D2"/>
    <w:rsid w:val="00B823F1"/>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7746"/>
    <w:rsid w:val="00BC22EB"/>
    <w:rsid w:val="00BC682B"/>
    <w:rsid w:val="00BC68BA"/>
    <w:rsid w:val="00BC6B04"/>
    <w:rsid w:val="00BC6D27"/>
    <w:rsid w:val="00BD059A"/>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C00831"/>
    <w:rsid w:val="00C00F20"/>
    <w:rsid w:val="00C01354"/>
    <w:rsid w:val="00C01700"/>
    <w:rsid w:val="00C01B84"/>
    <w:rsid w:val="00C01EB6"/>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40E09"/>
    <w:rsid w:val="00C40F81"/>
    <w:rsid w:val="00C41463"/>
    <w:rsid w:val="00C41A72"/>
    <w:rsid w:val="00C42D45"/>
    <w:rsid w:val="00C4422D"/>
    <w:rsid w:val="00C476C5"/>
    <w:rsid w:val="00C503B0"/>
    <w:rsid w:val="00C511C2"/>
    <w:rsid w:val="00C527C6"/>
    <w:rsid w:val="00C53CDB"/>
    <w:rsid w:val="00C53D82"/>
    <w:rsid w:val="00C54748"/>
    <w:rsid w:val="00C574CF"/>
    <w:rsid w:val="00C575FB"/>
    <w:rsid w:val="00C60696"/>
    <w:rsid w:val="00C60943"/>
    <w:rsid w:val="00C60EEF"/>
    <w:rsid w:val="00C6121D"/>
    <w:rsid w:val="00C615F1"/>
    <w:rsid w:val="00C61627"/>
    <w:rsid w:val="00C63B1A"/>
    <w:rsid w:val="00C64E60"/>
    <w:rsid w:val="00C657A4"/>
    <w:rsid w:val="00C66589"/>
    <w:rsid w:val="00C6736C"/>
    <w:rsid w:val="00C70422"/>
    <w:rsid w:val="00C7179C"/>
    <w:rsid w:val="00C71A1D"/>
    <w:rsid w:val="00C71EC4"/>
    <w:rsid w:val="00C7410A"/>
    <w:rsid w:val="00C74791"/>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11"/>
    <w:rsid w:val="00C94E83"/>
    <w:rsid w:val="00C9567E"/>
    <w:rsid w:val="00C97038"/>
    <w:rsid w:val="00CA02B2"/>
    <w:rsid w:val="00CA0883"/>
    <w:rsid w:val="00CA1085"/>
    <w:rsid w:val="00CA140F"/>
    <w:rsid w:val="00CA25C2"/>
    <w:rsid w:val="00CA37BB"/>
    <w:rsid w:val="00CA37CA"/>
    <w:rsid w:val="00CA5016"/>
    <w:rsid w:val="00CA5724"/>
    <w:rsid w:val="00CA6508"/>
    <w:rsid w:val="00CA6BA1"/>
    <w:rsid w:val="00CA6CD5"/>
    <w:rsid w:val="00CA6D0B"/>
    <w:rsid w:val="00CB1910"/>
    <w:rsid w:val="00CB2150"/>
    <w:rsid w:val="00CB28E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62AD"/>
    <w:rsid w:val="00CC6CA2"/>
    <w:rsid w:val="00CC7B80"/>
    <w:rsid w:val="00CD2B3C"/>
    <w:rsid w:val="00CD30F6"/>
    <w:rsid w:val="00CD4B29"/>
    <w:rsid w:val="00CD67CA"/>
    <w:rsid w:val="00CD6954"/>
    <w:rsid w:val="00CD6DA3"/>
    <w:rsid w:val="00CD6EF1"/>
    <w:rsid w:val="00CD7E35"/>
    <w:rsid w:val="00CE21C7"/>
    <w:rsid w:val="00CE2682"/>
    <w:rsid w:val="00CE2756"/>
    <w:rsid w:val="00CE442A"/>
    <w:rsid w:val="00CE57D8"/>
    <w:rsid w:val="00CE5F03"/>
    <w:rsid w:val="00CE617A"/>
    <w:rsid w:val="00CE6E3C"/>
    <w:rsid w:val="00CE797F"/>
    <w:rsid w:val="00CF107E"/>
    <w:rsid w:val="00CF15BF"/>
    <w:rsid w:val="00CF25D2"/>
    <w:rsid w:val="00CF28C2"/>
    <w:rsid w:val="00CF42BD"/>
    <w:rsid w:val="00CF51EC"/>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60277"/>
    <w:rsid w:val="00D60336"/>
    <w:rsid w:val="00D61F88"/>
    <w:rsid w:val="00D62688"/>
    <w:rsid w:val="00D62901"/>
    <w:rsid w:val="00D6345E"/>
    <w:rsid w:val="00D6470C"/>
    <w:rsid w:val="00D64853"/>
    <w:rsid w:val="00D64CB5"/>
    <w:rsid w:val="00D66D48"/>
    <w:rsid w:val="00D7162F"/>
    <w:rsid w:val="00D72897"/>
    <w:rsid w:val="00D73256"/>
    <w:rsid w:val="00D73A30"/>
    <w:rsid w:val="00D74C65"/>
    <w:rsid w:val="00D74F21"/>
    <w:rsid w:val="00D758D0"/>
    <w:rsid w:val="00D75DC2"/>
    <w:rsid w:val="00D75DC3"/>
    <w:rsid w:val="00D766EF"/>
    <w:rsid w:val="00D76C03"/>
    <w:rsid w:val="00D77F8D"/>
    <w:rsid w:val="00D80E07"/>
    <w:rsid w:val="00D8119B"/>
    <w:rsid w:val="00D82462"/>
    <w:rsid w:val="00D831C6"/>
    <w:rsid w:val="00D83EF3"/>
    <w:rsid w:val="00D85886"/>
    <w:rsid w:val="00D868CE"/>
    <w:rsid w:val="00D86DAE"/>
    <w:rsid w:val="00D90116"/>
    <w:rsid w:val="00D90C1E"/>
    <w:rsid w:val="00D91BDF"/>
    <w:rsid w:val="00D91F2C"/>
    <w:rsid w:val="00D93F09"/>
    <w:rsid w:val="00D94859"/>
    <w:rsid w:val="00D954C2"/>
    <w:rsid w:val="00D97BB8"/>
    <w:rsid w:val="00DA1318"/>
    <w:rsid w:val="00DA1382"/>
    <w:rsid w:val="00DA28B7"/>
    <w:rsid w:val="00DA2FE8"/>
    <w:rsid w:val="00DA4AF6"/>
    <w:rsid w:val="00DB016E"/>
    <w:rsid w:val="00DB06E9"/>
    <w:rsid w:val="00DB0BF3"/>
    <w:rsid w:val="00DB19BD"/>
    <w:rsid w:val="00DB1D55"/>
    <w:rsid w:val="00DB378E"/>
    <w:rsid w:val="00DB3E9D"/>
    <w:rsid w:val="00DB47B9"/>
    <w:rsid w:val="00DB4FB8"/>
    <w:rsid w:val="00DB53CE"/>
    <w:rsid w:val="00DB549D"/>
    <w:rsid w:val="00DB5792"/>
    <w:rsid w:val="00DB6A88"/>
    <w:rsid w:val="00DB7BA4"/>
    <w:rsid w:val="00DC08D7"/>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D0821"/>
    <w:rsid w:val="00DD0E32"/>
    <w:rsid w:val="00DD1878"/>
    <w:rsid w:val="00DD2872"/>
    <w:rsid w:val="00DD2A62"/>
    <w:rsid w:val="00DD2BD0"/>
    <w:rsid w:val="00DD2BFE"/>
    <w:rsid w:val="00DD373E"/>
    <w:rsid w:val="00DD3867"/>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7F05"/>
    <w:rsid w:val="00E127E1"/>
    <w:rsid w:val="00E12BCE"/>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A00"/>
    <w:rsid w:val="00E45CE7"/>
    <w:rsid w:val="00E4631F"/>
    <w:rsid w:val="00E46A4A"/>
    <w:rsid w:val="00E47CB8"/>
    <w:rsid w:val="00E522BB"/>
    <w:rsid w:val="00E52A3D"/>
    <w:rsid w:val="00E539E4"/>
    <w:rsid w:val="00E53C14"/>
    <w:rsid w:val="00E569C7"/>
    <w:rsid w:val="00E571F2"/>
    <w:rsid w:val="00E57429"/>
    <w:rsid w:val="00E60FCE"/>
    <w:rsid w:val="00E61EA8"/>
    <w:rsid w:val="00E63221"/>
    <w:rsid w:val="00E63EC6"/>
    <w:rsid w:val="00E64AE4"/>
    <w:rsid w:val="00E64CFF"/>
    <w:rsid w:val="00E64EA1"/>
    <w:rsid w:val="00E6582D"/>
    <w:rsid w:val="00E669C7"/>
    <w:rsid w:val="00E67611"/>
    <w:rsid w:val="00E70510"/>
    <w:rsid w:val="00E71262"/>
    <w:rsid w:val="00E71A58"/>
    <w:rsid w:val="00E737F6"/>
    <w:rsid w:val="00E7568F"/>
    <w:rsid w:val="00E764AE"/>
    <w:rsid w:val="00E7724B"/>
    <w:rsid w:val="00E80E31"/>
    <w:rsid w:val="00E83DAB"/>
    <w:rsid w:val="00E84F21"/>
    <w:rsid w:val="00E8618A"/>
    <w:rsid w:val="00E90A4B"/>
    <w:rsid w:val="00E90D67"/>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3EBE"/>
    <w:rsid w:val="00EA3FAC"/>
    <w:rsid w:val="00EA4153"/>
    <w:rsid w:val="00EA421A"/>
    <w:rsid w:val="00EA5CD6"/>
    <w:rsid w:val="00EA76FD"/>
    <w:rsid w:val="00EA77CA"/>
    <w:rsid w:val="00EA78FE"/>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F5A"/>
    <w:rsid w:val="00EF3486"/>
    <w:rsid w:val="00EF4685"/>
    <w:rsid w:val="00EF5397"/>
    <w:rsid w:val="00EF6BE3"/>
    <w:rsid w:val="00F00D0E"/>
    <w:rsid w:val="00F00D3C"/>
    <w:rsid w:val="00F04811"/>
    <w:rsid w:val="00F0488C"/>
    <w:rsid w:val="00F0496E"/>
    <w:rsid w:val="00F04D10"/>
    <w:rsid w:val="00F053EA"/>
    <w:rsid w:val="00F0625B"/>
    <w:rsid w:val="00F06944"/>
    <w:rsid w:val="00F06C6F"/>
    <w:rsid w:val="00F101FF"/>
    <w:rsid w:val="00F104DF"/>
    <w:rsid w:val="00F10A33"/>
    <w:rsid w:val="00F10B64"/>
    <w:rsid w:val="00F1186C"/>
    <w:rsid w:val="00F11AD5"/>
    <w:rsid w:val="00F126D0"/>
    <w:rsid w:val="00F12A83"/>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5226"/>
    <w:rsid w:val="00F26197"/>
    <w:rsid w:val="00F273D4"/>
    <w:rsid w:val="00F307DD"/>
    <w:rsid w:val="00F30C2E"/>
    <w:rsid w:val="00F30CB4"/>
    <w:rsid w:val="00F318FC"/>
    <w:rsid w:val="00F31D53"/>
    <w:rsid w:val="00F31F76"/>
    <w:rsid w:val="00F325A3"/>
    <w:rsid w:val="00F3364D"/>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41ED"/>
    <w:rsid w:val="00F54B31"/>
    <w:rsid w:val="00F54FD3"/>
    <w:rsid w:val="00F55605"/>
    <w:rsid w:val="00F57CD7"/>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9DC"/>
    <w:rsid w:val="00F76563"/>
    <w:rsid w:val="00F7717C"/>
    <w:rsid w:val="00F771A5"/>
    <w:rsid w:val="00F80D1E"/>
    <w:rsid w:val="00F817A4"/>
    <w:rsid w:val="00F81C3A"/>
    <w:rsid w:val="00F835E1"/>
    <w:rsid w:val="00F835FC"/>
    <w:rsid w:val="00F8373A"/>
    <w:rsid w:val="00F83E21"/>
    <w:rsid w:val="00F83FA4"/>
    <w:rsid w:val="00F84E18"/>
    <w:rsid w:val="00F852E5"/>
    <w:rsid w:val="00F90350"/>
    <w:rsid w:val="00F9310A"/>
    <w:rsid w:val="00F94681"/>
    <w:rsid w:val="00F95117"/>
    <w:rsid w:val="00F97ED2"/>
    <w:rsid w:val="00FA05D7"/>
    <w:rsid w:val="00FA16BD"/>
    <w:rsid w:val="00FA1992"/>
    <w:rsid w:val="00FA1C6C"/>
    <w:rsid w:val="00FA2447"/>
    <w:rsid w:val="00FA2C2A"/>
    <w:rsid w:val="00FA309A"/>
    <w:rsid w:val="00FA6B3F"/>
    <w:rsid w:val="00FA7644"/>
    <w:rsid w:val="00FB0A9A"/>
    <w:rsid w:val="00FB16AD"/>
    <w:rsid w:val="00FB1F21"/>
    <w:rsid w:val="00FB483B"/>
    <w:rsid w:val="00FB56F1"/>
    <w:rsid w:val="00FB5FD4"/>
    <w:rsid w:val="00FB67F3"/>
    <w:rsid w:val="00FB6AF4"/>
    <w:rsid w:val="00FC0D8A"/>
    <w:rsid w:val="00FC0E5F"/>
    <w:rsid w:val="00FC135D"/>
    <w:rsid w:val="00FC26FB"/>
    <w:rsid w:val="00FC2CF4"/>
    <w:rsid w:val="00FC3C84"/>
    <w:rsid w:val="00FC4660"/>
    <w:rsid w:val="00FC56DE"/>
    <w:rsid w:val="00FC5E01"/>
    <w:rsid w:val="00FC6140"/>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2D4"/>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FA0DD-8F95-4D97-B074-DA15AFCD6D09}">
  <ds:schemaRefs>
    <ds:schemaRef ds:uri="http://schemas.openxmlformats.org/officeDocument/2006/bibliography"/>
  </ds:schemaRefs>
</ds:datastoreItem>
</file>

<file path=customXml/itemProps2.xml><?xml version="1.0" encoding="utf-8"?>
<ds:datastoreItem xmlns:ds="http://schemas.openxmlformats.org/officeDocument/2006/customXml" ds:itemID="{03D52950-3EB2-4EE4-8806-71E2FB84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2</Pages>
  <Words>1132</Words>
  <Characters>6680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7797</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Jašová</dc:creator>
  <cp:lastModifiedBy>kamenicky3604</cp:lastModifiedBy>
  <cp:revision>3</cp:revision>
  <cp:lastPrinted>2017-03-16T10:07:00Z</cp:lastPrinted>
  <dcterms:created xsi:type="dcterms:W3CDTF">2017-03-22T10:56:00Z</dcterms:created>
  <dcterms:modified xsi:type="dcterms:W3CDTF">2017-03-22T10:58:00Z</dcterms:modified>
</cp:coreProperties>
</file>