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62" w:rsidRPr="00A74192" w:rsidRDefault="00DD2A62" w:rsidP="008A73DA">
      <w:pPr>
        <w:pStyle w:val="Textpoznpodarou"/>
        <w:jc w:val="both"/>
        <w:rPr>
          <w:sz w:val="2"/>
          <w:szCs w:val="2"/>
        </w:rPr>
      </w:pPr>
    </w:p>
    <w:p w:rsidR="00DD2A62" w:rsidRPr="00A74192" w:rsidRDefault="00DD2A62" w:rsidP="00D94859">
      <w:pPr>
        <w:pStyle w:val="Odstavecseseznamem"/>
        <w:ind w:left="0"/>
        <w:rPr>
          <w:sz w:val="2"/>
          <w:szCs w:val="2"/>
        </w:rPr>
      </w:pPr>
    </w:p>
    <w:p w:rsidR="00960769" w:rsidRPr="00A74192" w:rsidRDefault="00CD7E35" w:rsidP="00702E3E">
      <w:pPr>
        <w:pStyle w:val="Nadpis1"/>
        <w:numPr>
          <w:ilvl w:val="0"/>
          <w:numId w:val="16"/>
        </w:numPr>
        <w:jc w:val="both"/>
      </w:pPr>
      <w:bookmarkStart w:id="0" w:name="_Toc469299930"/>
      <w:bookmarkStart w:id="1" w:name="_Toc469327799"/>
      <w:r w:rsidRPr="00A74192">
        <w:t>Souhrnná výkonnost</w:t>
      </w:r>
      <w:bookmarkEnd w:id="0"/>
      <w:bookmarkEnd w:id="1"/>
    </w:p>
    <w:tbl>
      <w:tblPr>
        <w:tblW w:w="5000" w:type="pct"/>
        <w:tblInd w:w="108" w:type="dxa"/>
        <w:tblLayout w:type="fixed"/>
        <w:tblLook w:val="00A0"/>
      </w:tblPr>
      <w:tblGrid>
        <w:gridCol w:w="987"/>
        <w:gridCol w:w="1129"/>
        <w:gridCol w:w="280"/>
        <w:gridCol w:w="2529"/>
        <w:gridCol w:w="887"/>
        <w:gridCol w:w="4042"/>
      </w:tblGrid>
      <w:tr w:rsidR="009F3F25" w:rsidRPr="00A74192" w:rsidTr="00AD4FEF">
        <w:tc>
          <w:tcPr>
            <w:tcW w:w="1074" w:type="pct"/>
            <w:gridSpan w:val="2"/>
          </w:tcPr>
          <w:p w:rsidR="001550F3" w:rsidRPr="00A74192" w:rsidRDefault="00474B94" w:rsidP="00A76EF2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A74192">
              <w:rPr>
                <w:rFonts w:cs="Arial"/>
                <w:sz w:val="16"/>
                <w:szCs w:val="16"/>
              </w:rPr>
              <w:t>Růst české ekonomiky se ve 3. čtvrtletí zpomalil. Hrubý domácí produkt meziročně vzrostl o 1,9 %, hrubá přidaná hodnota o</w:t>
            </w:r>
            <w:r w:rsidR="00A76EF2">
              <w:rPr>
                <w:rFonts w:cs="Arial"/>
                <w:sz w:val="16"/>
                <w:szCs w:val="16"/>
              </w:rPr>
              <w:t> </w:t>
            </w:r>
            <w:r w:rsidRPr="00A74192">
              <w:rPr>
                <w:rFonts w:cs="Arial"/>
                <w:sz w:val="16"/>
                <w:szCs w:val="16"/>
              </w:rPr>
              <w:t>1,6 %.</w:t>
            </w:r>
          </w:p>
        </w:tc>
        <w:tc>
          <w:tcPr>
            <w:tcW w:w="142" w:type="pct"/>
          </w:tcPr>
          <w:p w:rsidR="001550F3" w:rsidRPr="00A74192" w:rsidRDefault="001550F3" w:rsidP="00D94859">
            <w:pPr>
              <w:pStyle w:val="Textpoznpodarou"/>
              <w:jc w:val="both"/>
            </w:pPr>
          </w:p>
        </w:tc>
        <w:tc>
          <w:tcPr>
            <w:tcW w:w="3784" w:type="pct"/>
            <w:gridSpan w:val="3"/>
          </w:tcPr>
          <w:p w:rsidR="00474B94" w:rsidRPr="00A74192" w:rsidRDefault="00474B94" w:rsidP="009F3F25">
            <w:pPr>
              <w:pStyle w:val="Textpoznpodarou"/>
              <w:ind w:left="35"/>
              <w:jc w:val="both"/>
              <w:rPr>
                <w:rFonts w:cs="Arial"/>
              </w:rPr>
            </w:pPr>
            <w:r w:rsidRPr="00A74192">
              <w:rPr>
                <w:rFonts w:cs="Arial"/>
              </w:rPr>
              <w:t xml:space="preserve">Vývoj české ekonomiky v 1. až 3. čtvrtletí 2016 </w:t>
            </w:r>
            <w:r w:rsidR="001752CB">
              <w:rPr>
                <w:rFonts w:cs="Arial"/>
              </w:rPr>
              <w:t>potvrdil</w:t>
            </w:r>
            <w:r w:rsidRPr="00A74192">
              <w:rPr>
                <w:rFonts w:cs="Arial"/>
              </w:rPr>
              <w:t xml:space="preserve">, že </w:t>
            </w:r>
            <w:r w:rsidR="001752CB">
              <w:rPr>
                <w:rFonts w:cs="Arial"/>
              </w:rPr>
              <w:t xml:space="preserve">za vysokou ekonomickou dynamikou roku 2015 stála výjimečná </w:t>
            </w:r>
            <w:r w:rsidRPr="00A74192">
              <w:rPr>
                <w:rFonts w:cs="Arial"/>
              </w:rPr>
              <w:t>kombinac</w:t>
            </w:r>
            <w:r w:rsidR="001752CB">
              <w:rPr>
                <w:rFonts w:cs="Arial"/>
              </w:rPr>
              <w:t>e</w:t>
            </w:r>
            <w:r w:rsidRPr="00A74192">
              <w:rPr>
                <w:rFonts w:cs="Arial"/>
              </w:rPr>
              <w:t xml:space="preserve"> růstových faktorů</w:t>
            </w:r>
            <w:r w:rsidR="001752CB">
              <w:rPr>
                <w:rFonts w:cs="Arial"/>
              </w:rPr>
              <w:t>, která se v roce 2016 neopakovala.</w:t>
            </w:r>
            <w:r w:rsidRPr="00A74192">
              <w:rPr>
                <w:rFonts w:cs="Arial"/>
              </w:rPr>
              <w:t xml:space="preserve"> Meziroční nárůst HDP v 1. až 3</w:t>
            </w:r>
            <w:r w:rsidR="001752CB">
              <w:rPr>
                <w:rFonts w:cs="Arial"/>
              </w:rPr>
              <w:t>. </w:t>
            </w:r>
            <w:r w:rsidRPr="00A74192">
              <w:rPr>
                <w:rFonts w:cs="Arial"/>
              </w:rPr>
              <w:t>čtvrtletí dosáhl průměrně 2,5 % (3,0 %, 2,6 % a 1,9 % v 1., 2. a 3. čtvrtletí)</w:t>
            </w:r>
            <w:r w:rsidRPr="00A74192">
              <w:rPr>
                <w:rStyle w:val="Znakapoznpodarou"/>
                <w:rFonts w:cs="Arial"/>
              </w:rPr>
              <w:footnoteReference w:id="1"/>
            </w:r>
            <w:r w:rsidR="001752CB">
              <w:rPr>
                <w:rFonts w:cs="Arial"/>
              </w:rPr>
              <w:t>, došlo tedy k výraznému zpomalení ve 3. čtvrtletí</w:t>
            </w:r>
            <w:r w:rsidRPr="00A74192">
              <w:rPr>
                <w:rFonts w:cs="Arial"/>
              </w:rPr>
              <w:t>.</w:t>
            </w:r>
            <w:r w:rsidR="001752CB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>Nárůst HPH koresponduje s růstem HDP. Je</w:t>
            </w:r>
            <w:r w:rsidR="008B634C">
              <w:rPr>
                <w:rFonts w:cs="Arial"/>
              </w:rPr>
              <w:t>jí</w:t>
            </w:r>
            <w:r w:rsidRPr="00A74192">
              <w:rPr>
                <w:rFonts w:cs="Arial"/>
              </w:rPr>
              <w:t xml:space="preserve"> meziroční přírůstky </w:t>
            </w:r>
            <w:r w:rsidR="001752CB">
              <w:rPr>
                <w:rFonts w:cs="Arial"/>
              </w:rPr>
              <w:t xml:space="preserve">v prvních třech čtvrtletích </w:t>
            </w:r>
            <w:r w:rsidRPr="00A74192">
              <w:rPr>
                <w:rFonts w:cs="Arial"/>
              </w:rPr>
              <w:t xml:space="preserve">dosáhly </w:t>
            </w:r>
            <w:r w:rsidR="001752CB">
              <w:rPr>
                <w:rFonts w:cs="Arial"/>
              </w:rPr>
              <w:t>průměrně 2,2 % (</w:t>
            </w:r>
            <w:r w:rsidRPr="00A74192">
              <w:rPr>
                <w:rFonts w:cs="Arial"/>
              </w:rPr>
              <w:t>2,7 %, 2,6 % a 1,6 % v 1., 2. a 3. čtvrtletí</w:t>
            </w:r>
            <w:r w:rsidR="001752CB">
              <w:rPr>
                <w:rFonts w:cs="Arial"/>
              </w:rPr>
              <w:t>)</w:t>
            </w:r>
            <w:r w:rsidRPr="00A74192">
              <w:rPr>
                <w:rFonts w:cs="Arial"/>
              </w:rPr>
              <w:t xml:space="preserve">. Zpomalení růstu hrubého domácího produktu (HDP) i hrubé přidané hodnoty (HPH) v roce 2016 lze přičíst vysoké srovnávací základně loňského roku i  možnému přiblížení se potenciálu české ekonomiky. Zároveň již téměř vyprchal </w:t>
            </w:r>
            <w:r w:rsidR="001752CB">
              <w:rPr>
                <w:rFonts w:cs="Arial"/>
              </w:rPr>
              <w:t xml:space="preserve">jednorázový stimul </w:t>
            </w:r>
            <w:r w:rsidR="00997ADD">
              <w:rPr>
                <w:rFonts w:cs="Arial"/>
              </w:rPr>
              <w:t>dočerpávání prostředků z</w:t>
            </w:r>
            <w:r w:rsidRPr="00A74192">
              <w:rPr>
                <w:rFonts w:cs="Arial"/>
              </w:rPr>
              <w:t xml:space="preserve"> evropských fondů. Hospodářský růst byl tažen hlavně silnou domácí poptávkou</w:t>
            </w:r>
            <w:r w:rsidR="00377666">
              <w:rPr>
                <w:rFonts w:cs="Arial"/>
              </w:rPr>
              <w:t>,</w:t>
            </w:r>
            <w:r w:rsidR="00997ADD">
              <w:rPr>
                <w:rFonts w:cs="Arial"/>
              </w:rPr>
              <w:t xml:space="preserve"> a to při výrazně nižší investiční aktivitě než v roce 2015</w:t>
            </w:r>
            <w:r w:rsidRPr="00A74192">
              <w:rPr>
                <w:rFonts w:cs="Arial"/>
              </w:rPr>
              <w:t xml:space="preserve">. </w:t>
            </w:r>
            <w:r w:rsidR="00997ADD">
              <w:rPr>
                <w:rFonts w:cs="Arial"/>
              </w:rPr>
              <w:t>K</w:t>
            </w:r>
            <w:r w:rsidRPr="00A74192">
              <w:rPr>
                <w:rFonts w:cs="Arial"/>
              </w:rPr>
              <w:t>onjunkturální</w:t>
            </w:r>
            <w:r w:rsidR="00997ADD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>průzkum</w:t>
            </w:r>
            <w:r w:rsidR="00997ADD">
              <w:rPr>
                <w:rFonts w:cs="Arial"/>
              </w:rPr>
              <w:t xml:space="preserve">y </w:t>
            </w:r>
            <w:r w:rsidRPr="00A74192">
              <w:rPr>
                <w:rFonts w:cs="Arial"/>
              </w:rPr>
              <w:t>mezi</w:t>
            </w:r>
            <w:r w:rsidR="00997ADD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>podniky</w:t>
            </w:r>
            <w:r w:rsidR="00997ADD">
              <w:rPr>
                <w:rFonts w:cs="Arial"/>
              </w:rPr>
              <w:t xml:space="preserve"> však </w:t>
            </w:r>
            <w:r w:rsidRPr="00A74192">
              <w:rPr>
                <w:rFonts w:cs="Arial"/>
              </w:rPr>
              <w:t>ukazuj</w:t>
            </w:r>
            <w:r w:rsidR="00997ADD">
              <w:rPr>
                <w:rFonts w:cs="Arial"/>
              </w:rPr>
              <w:t>í</w:t>
            </w:r>
            <w:r w:rsidRPr="00A74192">
              <w:rPr>
                <w:rFonts w:cs="Arial"/>
              </w:rPr>
              <w:t>,</w:t>
            </w:r>
            <w:r w:rsidR="00997ADD">
              <w:rPr>
                <w:rFonts w:cs="Arial"/>
              </w:rPr>
              <w:t xml:space="preserve"> </w:t>
            </w:r>
            <w:r w:rsidRPr="00997ADD">
              <w:t>že</w:t>
            </w:r>
            <w:r w:rsidR="00997ADD">
              <w:t xml:space="preserve"> </w:t>
            </w:r>
            <w:r w:rsidRPr="00997ADD">
              <w:t>důvěra</w:t>
            </w:r>
            <w:r w:rsidR="00997ADD">
              <w:t xml:space="preserve"> </w:t>
            </w:r>
            <w:r w:rsidRPr="00997ADD">
              <w:t>v</w:t>
            </w:r>
            <w:r w:rsidR="00997ADD">
              <w:t xml:space="preserve"> </w:t>
            </w:r>
            <w:r w:rsidRPr="00997ADD">
              <w:t>českou</w:t>
            </w:r>
            <w:r w:rsidR="00997ADD">
              <w:t xml:space="preserve"> </w:t>
            </w:r>
            <w:r w:rsidRPr="00A74192">
              <w:rPr>
                <w:rFonts w:cs="Arial"/>
              </w:rPr>
              <w:t xml:space="preserve">ekonomiku zůstává poměrně stabilní. </w:t>
            </w:r>
          </w:p>
          <w:p w:rsidR="001550F3" w:rsidRPr="00A74192" w:rsidRDefault="001550F3" w:rsidP="00D94859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474B94" w:rsidRPr="00A74192" w:rsidRDefault="00474B94" w:rsidP="00D94859">
            <w:pPr>
              <w:spacing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A74192">
              <w:rPr>
                <w:rFonts w:cs="Arial"/>
                <w:sz w:val="16"/>
                <w:szCs w:val="16"/>
              </w:rPr>
              <w:t>Mezičtvrtletní</w:t>
            </w:r>
            <w:proofErr w:type="spellEnd"/>
            <w:r w:rsidRPr="00A74192">
              <w:rPr>
                <w:rFonts w:cs="Arial"/>
                <w:sz w:val="16"/>
                <w:szCs w:val="16"/>
              </w:rPr>
              <w:t xml:space="preserve"> přírůstky HDP i HPH se snižují.</w:t>
            </w:r>
          </w:p>
        </w:tc>
        <w:tc>
          <w:tcPr>
            <w:tcW w:w="142" w:type="pct"/>
          </w:tcPr>
          <w:p w:rsidR="00474B94" w:rsidRPr="00A74192" w:rsidRDefault="00474B94" w:rsidP="00D94859">
            <w:pPr>
              <w:pStyle w:val="Textpoznpodarou"/>
              <w:jc w:val="both"/>
            </w:pPr>
          </w:p>
        </w:tc>
        <w:tc>
          <w:tcPr>
            <w:tcW w:w="3784" w:type="pct"/>
            <w:gridSpan w:val="3"/>
          </w:tcPr>
          <w:p w:rsidR="00474B94" w:rsidRPr="00702E3E" w:rsidRDefault="00474B94" w:rsidP="00D94859">
            <w:pPr>
              <w:pStyle w:val="Textpoznpodarou"/>
              <w:jc w:val="both"/>
              <w:rPr>
                <w:rFonts w:cs="Arial"/>
                <w:spacing w:val="-2"/>
              </w:rPr>
            </w:pPr>
            <w:proofErr w:type="spellStart"/>
            <w:r w:rsidRPr="00702E3E">
              <w:rPr>
                <w:rFonts w:cs="Arial"/>
                <w:spacing w:val="-2"/>
              </w:rPr>
              <w:t>Mezičtvrtletní</w:t>
            </w:r>
            <w:proofErr w:type="spellEnd"/>
            <w:r w:rsidRPr="00702E3E">
              <w:rPr>
                <w:rFonts w:cs="Arial"/>
                <w:spacing w:val="-2"/>
              </w:rPr>
              <w:t xml:space="preserve"> přírůstky HDP činily 0,4 %, 0,9 % a 0,2 % </w:t>
            </w:r>
            <w:r w:rsidR="00997ADD" w:rsidRPr="00702E3E">
              <w:rPr>
                <w:rFonts w:cs="Arial"/>
                <w:spacing w:val="-2"/>
              </w:rPr>
              <w:t xml:space="preserve">postupně </w:t>
            </w:r>
            <w:r w:rsidRPr="00702E3E">
              <w:rPr>
                <w:rFonts w:cs="Arial"/>
                <w:spacing w:val="-2"/>
              </w:rPr>
              <w:t xml:space="preserve">v jednotlivých čtvrtletích roku 2016. Hrubá přidaná hodnota rovněž kopírovala vývoj HDP (přírůstky o 0,4 %, 0,8 % a 0,1 % v jednotlivých čtvrtletích). </w:t>
            </w:r>
            <w:r w:rsidR="00997ADD" w:rsidRPr="00702E3E">
              <w:rPr>
                <w:rFonts w:cs="Arial"/>
                <w:spacing w:val="-2"/>
              </w:rPr>
              <w:t xml:space="preserve">Oproti letům 2014 a 2015 došlo k výraznému zpomalení </w:t>
            </w:r>
            <w:proofErr w:type="spellStart"/>
            <w:r w:rsidR="00997ADD" w:rsidRPr="00702E3E">
              <w:rPr>
                <w:rFonts w:cs="Arial"/>
                <w:spacing w:val="-2"/>
              </w:rPr>
              <w:t>mezičtvrtletní</w:t>
            </w:r>
            <w:proofErr w:type="spellEnd"/>
            <w:r w:rsidR="00997ADD" w:rsidRPr="00702E3E">
              <w:rPr>
                <w:rFonts w:cs="Arial"/>
                <w:spacing w:val="-2"/>
              </w:rPr>
              <w:t xml:space="preserve"> dynamiky ekonomického růstu. </w:t>
            </w:r>
          </w:p>
          <w:p w:rsidR="00474B94" w:rsidRPr="008A73DA" w:rsidRDefault="00474B94" w:rsidP="00D94859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474B94" w:rsidRPr="00A74192" w:rsidRDefault="00474B94" w:rsidP="00AD4FEF">
            <w:pPr>
              <w:spacing w:line="240" w:lineRule="auto"/>
              <w:rPr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t xml:space="preserve">Meziroční </w:t>
            </w:r>
            <w:r w:rsidR="00997ADD">
              <w:rPr>
                <w:rFonts w:cs="Arial"/>
                <w:sz w:val="16"/>
                <w:szCs w:val="16"/>
              </w:rPr>
              <w:t>růst</w:t>
            </w:r>
            <w:r w:rsidRPr="00A74192">
              <w:rPr>
                <w:rFonts w:cs="Arial"/>
                <w:sz w:val="16"/>
                <w:szCs w:val="16"/>
              </w:rPr>
              <w:t xml:space="preserve"> HDP v České republice se dostal na úroveň Evropské unie.</w:t>
            </w:r>
          </w:p>
        </w:tc>
        <w:tc>
          <w:tcPr>
            <w:tcW w:w="142" w:type="pct"/>
          </w:tcPr>
          <w:p w:rsidR="00474B94" w:rsidRPr="00A74192" w:rsidRDefault="00474B94" w:rsidP="00D94859">
            <w:pPr>
              <w:pStyle w:val="Textpoznpodarou"/>
              <w:jc w:val="both"/>
            </w:pPr>
          </w:p>
        </w:tc>
        <w:tc>
          <w:tcPr>
            <w:tcW w:w="3784" w:type="pct"/>
            <w:gridSpan w:val="3"/>
          </w:tcPr>
          <w:p w:rsidR="00474B94" w:rsidRPr="00A74192" w:rsidRDefault="00474B94" w:rsidP="00D94859">
            <w:pPr>
              <w:pStyle w:val="Textpoznpodarou"/>
              <w:jc w:val="both"/>
              <w:rPr>
                <w:rFonts w:cs="Arial"/>
              </w:rPr>
            </w:pPr>
            <w:r w:rsidRPr="00A74192">
              <w:rPr>
                <w:rFonts w:cs="Arial"/>
              </w:rPr>
              <w:t xml:space="preserve">Meziroční růst HDP v Evropské unii ve 3. čtvrtletí rovněž dosáhl 1,9 %. Již od roku 2013, kdy se česká ekonomika vymanila z recese, rostl </w:t>
            </w:r>
            <w:r w:rsidR="00DF6CF8">
              <w:rPr>
                <w:rFonts w:cs="Arial"/>
              </w:rPr>
              <w:t>tuzemský</w:t>
            </w:r>
            <w:r w:rsidRPr="00A74192">
              <w:rPr>
                <w:rFonts w:cs="Arial"/>
              </w:rPr>
              <w:t xml:space="preserve"> HDP rychleji než v Evropské unii. Tento rozdíl se od druhé půle roku 2015 sniž</w:t>
            </w:r>
            <w:r w:rsidR="00023FB5">
              <w:rPr>
                <w:rFonts w:cs="Arial"/>
              </w:rPr>
              <w:t>oval</w:t>
            </w:r>
            <w:r w:rsidRPr="00A74192">
              <w:rPr>
                <w:rFonts w:cs="Arial"/>
              </w:rPr>
              <w:t xml:space="preserve"> a</w:t>
            </w:r>
            <w:r w:rsidR="00023FB5">
              <w:rPr>
                <w:rFonts w:cs="Arial"/>
              </w:rPr>
              <w:t> </w:t>
            </w:r>
            <w:r w:rsidRPr="00A74192">
              <w:rPr>
                <w:rFonts w:cs="Arial"/>
              </w:rPr>
              <w:t xml:space="preserve">ve třetím čtvrtletí 2016 se meziroční růst evropské osmadvacítky a Česka srovnal. </w:t>
            </w:r>
            <w:proofErr w:type="spellStart"/>
            <w:r w:rsidRPr="00A74192">
              <w:rPr>
                <w:rFonts w:cs="Arial"/>
              </w:rPr>
              <w:t>Mezičtvrtletní</w:t>
            </w:r>
            <w:proofErr w:type="spellEnd"/>
            <w:r w:rsidRPr="00A74192">
              <w:rPr>
                <w:rFonts w:cs="Arial"/>
              </w:rPr>
              <w:t xml:space="preserve"> tempo růstu </w:t>
            </w:r>
            <w:r w:rsidR="00DF6CF8">
              <w:rPr>
                <w:rFonts w:cs="Arial"/>
              </w:rPr>
              <w:t xml:space="preserve">HDP </w:t>
            </w:r>
            <w:r w:rsidRPr="00A74192">
              <w:rPr>
                <w:rFonts w:cs="Arial"/>
              </w:rPr>
              <w:t xml:space="preserve">v ČR se od 4. čtvrtletí 2015 (s výjimkou 2. čtvrtletí 2016) drží pod tempem Evropské unie.  </w:t>
            </w:r>
          </w:p>
          <w:p w:rsidR="00474B94" w:rsidRPr="00A74192" w:rsidRDefault="00474B94" w:rsidP="00D94859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474B94" w:rsidRPr="00A74192" w:rsidRDefault="00474B94" w:rsidP="00DF6CF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t>Vše</w:t>
            </w:r>
            <w:r w:rsidR="00DF6CF8">
              <w:rPr>
                <w:rFonts w:cs="Arial"/>
                <w:sz w:val="16"/>
                <w:szCs w:val="16"/>
              </w:rPr>
              <w:t>m</w:t>
            </w:r>
            <w:r w:rsidRPr="00A74192">
              <w:rPr>
                <w:rFonts w:cs="Arial"/>
                <w:sz w:val="16"/>
                <w:szCs w:val="16"/>
              </w:rPr>
              <w:t xml:space="preserve"> stát</w:t>
            </w:r>
            <w:r w:rsidR="00DF6CF8">
              <w:rPr>
                <w:rFonts w:cs="Arial"/>
                <w:sz w:val="16"/>
                <w:szCs w:val="16"/>
              </w:rPr>
              <w:t>ům</w:t>
            </w:r>
            <w:r w:rsidRPr="00A74192">
              <w:rPr>
                <w:rFonts w:cs="Arial"/>
                <w:sz w:val="16"/>
                <w:szCs w:val="16"/>
              </w:rPr>
              <w:t xml:space="preserve"> EU ve 3.</w:t>
            </w:r>
            <w:r w:rsidR="00DF6CF8">
              <w:rPr>
                <w:rFonts w:cs="Arial"/>
                <w:sz w:val="16"/>
                <w:szCs w:val="16"/>
              </w:rPr>
              <w:t> </w:t>
            </w:r>
            <w:r w:rsidRPr="00A74192">
              <w:rPr>
                <w:rFonts w:cs="Arial"/>
                <w:sz w:val="16"/>
                <w:szCs w:val="16"/>
              </w:rPr>
              <w:t>čtvrtletí</w:t>
            </w:r>
            <w:r w:rsidR="00DF6CF8">
              <w:rPr>
                <w:rFonts w:cs="Arial"/>
                <w:sz w:val="16"/>
                <w:szCs w:val="16"/>
              </w:rPr>
              <w:t xml:space="preserve"> meziročně rostl HDP</w:t>
            </w:r>
            <w:r w:rsidRPr="00A74192">
              <w:rPr>
                <w:rFonts w:cs="Arial"/>
                <w:sz w:val="16"/>
                <w:szCs w:val="16"/>
              </w:rPr>
              <w:t>. Nejvýznamnější ekonomičtí partneři Česka zažívají poměrně stabilní růst.</w:t>
            </w:r>
          </w:p>
        </w:tc>
        <w:tc>
          <w:tcPr>
            <w:tcW w:w="142" w:type="pct"/>
          </w:tcPr>
          <w:p w:rsidR="00474B94" w:rsidRPr="00A74192" w:rsidRDefault="00474B94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474B94" w:rsidRPr="00A924DB" w:rsidRDefault="00474B94" w:rsidP="00D94859">
            <w:pPr>
              <w:pStyle w:val="Textpoznpodarou"/>
              <w:jc w:val="both"/>
              <w:rPr>
                <w:rFonts w:cs="Arial"/>
                <w:spacing w:val="-2"/>
              </w:rPr>
            </w:pPr>
            <w:r w:rsidRPr="00A924DB">
              <w:rPr>
                <w:rFonts w:cs="Arial"/>
                <w:spacing w:val="-2"/>
              </w:rPr>
              <w:t>Při pohledu na ekonomický růst evropských zemí</w:t>
            </w:r>
            <w:r w:rsidR="00CA5016" w:rsidRPr="00A924DB">
              <w:rPr>
                <w:rStyle w:val="Znakapoznpodarou"/>
                <w:spacing w:val="-2"/>
              </w:rPr>
              <w:footnoteReference w:id="2"/>
            </w:r>
            <w:r w:rsidRPr="00A924DB">
              <w:rPr>
                <w:rFonts w:cs="Arial"/>
                <w:spacing w:val="-2"/>
              </w:rPr>
              <w:t xml:space="preserve"> je patrné, že s</w:t>
            </w:r>
            <w:r w:rsidR="00A76EF2" w:rsidRPr="00A924DB">
              <w:rPr>
                <w:rFonts w:cs="Arial"/>
                <w:spacing w:val="-2"/>
              </w:rPr>
              <w:t xml:space="preserve"> </w:t>
            </w:r>
            <w:r w:rsidRPr="00A924DB">
              <w:rPr>
                <w:rFonts w:cs="Arial"/>
                <w:spacing w:val="-2"/>
              </w:rPr>
              <w:t>výjimkou Norska, které zaznamenalo 1% meziroční pokles, je ekonomický vývoj ve 3.</w:t>
            </w:r>
            <w:r w:rsidR="00F61BFE" w:rsidRPr="00A924DB">
              <w:rPr>
                <w:rFonts w:cs="Arial"/>
                <w:spacing w:val="-2"/>
              </w:rPr>
              <w:t> </w:t>
            </w:r>
            <w:r w:rsidRPr="00A924DB">
              <w:rPr>
                <w:rFonts w:cs="Arial"/>
                <w:spacing w:val="-2"/>
              </w:rPr>
              <w:t>čtvrtletí pozitivní. Nejvyšší hospodářský růst zaznamenalo Rumunsko</w:t>
            </w:r>
            <w:r w:rsidR="00A76EF2" w:rsidRPr="00A924DB">
              <w:rPr>
                <w:rFonts w:cs="Arial"/>
                <w:spacing w:val="-2"/>
              </w:rPr>
              <w:t xml:space="preserve"> </w:t>
            </w:r>
            <w:r w:rsidRPr="00A924DB">
              <w:rPr>
                <w:rFonts w:cs="Arial"/>
                <w:spacing w:val="-2"/>
              </w:rPr>
              <w:t>(4,6</w:t>
            </w:r>
            <w:r w:rsidR="00A76EF2" w:rsidRPr="00A924DB">
              <w:rPr>
                <w:rFonts w:cs="Arial"/>
                <w:spacing w:val="-2"/>
              </w:rPr>
              <w:t xml:space="preserve"> </w:t>
            </w:r>
            <w:r w:rsidRPr="00A924DB">
              <w:rPr>
                <w:rFonts w:cs="Arial"/>
                <w:spacing w:val="-2"/>
              </w:rPr>
              <w:t>%) následované Španělskem (3,2</w:t>
            </w:r>
            <w:r w:rsidR="00A76EF2" w:rsidRPr="00A924DB">
              <w:rPr>
                <w:rFonts w:cs="Arial"/>
                <w:spacing w:val="-2"/>
              </w:rPr>
              <w:t xml:space="preserve"> </w:t>
            </w:r>
            <w:r w:rsidRPr="00A924DB">
              <w:rPr>
                <w:rFonts w:cs="Arial"/>
                <w:spacing w:val="-2"/>
              </w:rPr>
              <w:t>%) a Slovinskem (3,0</w:t>
            </w:r>
            <w:r w:rsidR="00A76EF2" w:rsidRPr="00A924DB">
              <w:rPr>
                <w:rFonts w:cs="Arial"/>
                <w:spacing w:val="-2"/>
              </w:rPr>
              <w:t xml:space="preserve"> </w:t>
            </w:r>
            <w:r w:rsidRPr="00A924DB">
              <w:rPr>
                <w:rFonts w:cs="Arial"/>
                <w:spacing w:val="-2"/>
              </w:rPr>
              <w:t xml:space="preserve">%). Země ve středoevropském prostoru se pohybují kolem průměru EU. Německá ekonomika, která pro </w:t>
            </w:r>
            <w:r w:rsidR="00DF6CF8" w:rsidRPr="00A924DB">
              <w:rPr>
                <w:rFonts w:cs="Arial"/>
                <w:spacing w:val="-2"/>
              </w:rPr>
              <w:t>ČR</w:t>
            </w:r>
            <w:r w:rsidRPr="00A924DB">
              <w:rPr>
                <w:rFonts w:cs="Arial"/>
                <w:spacing w:val="-2"/>
              </w:rPr>
              <w:t xml:space="preserve"> představuje nejvýznamnějšího </w:t>
            </w:r>
            <w:r w:rsidR="00885EC6" w:rsidRPr="00A924DB">
              <w:rPr>
                <w:rFonts w:cs="Arial"/>
                <w:spacing w:val="-2"/>
              </w:rPr>
              <w:t>obchodního</w:t>
            </w:r>
            <w:r w:rsidRPr="00A924DB">
              <w:rPr>
                <w:rFonts w:cs="Arial"/>
                <w:spacing w:val="-2"/>
              </w:rPr>
              <w:t xml:space="preserve"> partnera, meziročně vzrostla o 1,7 %</w:t>
            </w:r>
            <w:r w:rsidR="00AD4FEF" w:rsidRPr="00A924DB">
              <w:rPr>
                <w:rFonts w:cs="Arial"/>
                <w:spacing w:val="-2"/>
              </w:rPr>
              <w:t>.</w:t>
            </w:r>
            <w:r w:rsidR="00DF6CF8" w:rsidRPr="00A924DB">
              <w:rPr>
                <w:rFonts w:cs="Arial"/>
                <w:spacing w:val="-2"/>
              </w:rPr>
              <w:t xml:space="preserve"> </w:t>
            </w:r>
            <w:proofErr w:type="spellStart"/>
            <w:r w:rsidR="00AD4FEF" w:rsidRPr="00A924DB">
              <w:rPr>
                <w:rFonts w:cs="Arial"/>
                <w:spacing w:val="-2"/>
              </w:rPr>
              <w:t>M</w:t>
            </w:r>
            <w:r w:rsidR="00DF6CF8" w:rsidRPr="00A924DB">
              <w:rPr>
                <w:rFonts w:cs="Arial"/>
                <w:spacing w:val="-2"/>
              </w:rPr>
              <w:t>ezičtvrtletně</w:t>
            </w:r>
            <w:proofErr w:type="spellEnd"/>
            <w:r w:rsidR="00DF6CF8" w:rsidRPr="00A924DB">
              <w:rPr>
                <w:rFonts w:cs="Arial"/>
                <w:spacing w:val="-2"/>
              </w:rPr>
              <w:t xml:space="preserve"> však došlo k</w:t>
            </w:r>
            <w:r w:rsidR="00A924DB" w:rsidRPr="00A924DB">
              <w:rPr>
                <w:rFonts w:cs="Arial"/>
                <w:spacing w:val="-2"/>
              </w:rPr>
              <w:t> oslabení růstu, které</w:t>
            </w:r>
            <w:r w:rsidR="00DF6CF8" w:rsidRPr="00A924DB">
              <w:rPr>
                <w:rFonts w:cs="Arial"/>
                <w:spacing w:val="-2"/>
              </w:rPr>
              <w:t xml:space="preserve"> se projevil</w:t>
            </w:r>
            <w:r w:rsidR="00A924DB" w:rsidRPr="00A924DB">
              <w:rPr>
                <w:rFonts w:cs="Arial"/>
                <w:spacing w:val="-2"/>
              </w:rPr>
              <w:t>o i </w:t>
            </w:r>
            <w:r w:rsidR="00DF6CF8" w:rsidRPr="00A924DB">
              <w:rPr>
                <w:rFonts w:cs="Arial"/>
                <w:spacing w:val="-2"/>
              </w:rPr>
              <w:t>v Česku.</w:t>
            </w:r>
            <w:r w:rsidRPr="00A924DB">
              <w:rPr>
                <w:rFonts w:cs="Arial"/>
                <w:spacing w:val="-2"/>
              </w:rPr>
              <w:t xml:space="preserve"> Polsku a Slovensku se dařilo, meziroční přírůstek HDP činil 2,2</w:t>
            </w:r>
            <w:r w:rsidR="00906F67" w:rsidRPr="00A924DB">
              <w:rPr>
                <w:rFonts w:cs="Arial"/>
                <w:spacing w:val="-2"/>
              </w:rPr>
              <w:t> </w:t>
            </w:r>
            <w:r w:rsidR="00A924DB" w:rsidRPr="00A924DB">
              <w:rPr>
                <w:rFonts w:cs="Arial"/>
                <w:spacing w:val="-2"/>
              </w:rPr>
              <w:t>% a </w:t>
            </w:r>
            <w:r w:rsidRPr="00A924DB">
              <w:rPr>
                <w:rFonts w:cs="Arial"/>
                <w:spacing w:val="-2"/>
              </w:rPr>
              <w:t>3,0 %</w:t>
            </w:r>
            <w:r w:rsidRPr="00A924DB">
              <w:rPr>
                <w:rStyle w:val="Znakapoznpodarou"/>
                <w:rFonts w:cs="Arial"/>
                <w:spacing w:val="-2"/>
              </w:rPr>
              <w:footnoteReference w:id="3"/>
            </w:r>
            <w:r w:rsidRPr="00A924DB">
              <w:rPr>
                <w:rFonts w:cs="Arial"/>
                <w:spacing w:val="-2"/>
              </w:rPr>
              <w:t xml:space="preserve">. Mírně pod evropským průměrem se pohyboval ekonomický růst Rakouska a Maďarska (1,5 % a 1,6 </w:t>
            </w:r>
            <w:r w:rsidRPr="00A924DB">
              <w:rPr>
                <w:rFonts w:cs="Arial"/>
                <w:color w:val="0D0D0D" w:themeColor="text1" w:themeTint="F2"/>
                <w:spacing w:val="-2"/>
              </w:rPr>
              <w:t xml:space="preserve">%). </w:t>
            </w:r>
            <w:r w:rsidR="007E7063" w:rsidRPr="00A924DB">
              <w:rPr>
                <w:rFonts w:cs="Arial"/>
                <w:color w:val="0D0D0D" w:themeColor="text1" w:themeTint="F2"/>
                <w:spacing w:val="-2"/>
              </w:rPr>
              <w:t xml:space="preserve">Ukončení </w:t>
            </w:r>
            <w:r w:rsidRPr="00A924DB">
              <w:rPr>
                <w:rFonts w:cs="Arial"/>
                <w:color w:val="0D0D0D" w:themeColor="text1" w:themeTint="F2"/>
                <w:spacing w:val="-2"/>
              </w:rPr>
              <w:t>čerpání evropských dotací z programového období 2007</w:t>
            </w:r>
            <w:r w:rsidR="00DF6CF8" w:rsidRPr="00A924DB">
              <w:rPr>
                <w:rFonts w:cs="Arial"/>
                <w:color w:val="0D0D0D" w:themeColor="text1" w:themeTint="F2"/>
                <w:spacing w:val="-2"/>
              </w:rPr>
              <w:t>–</w:t>
            </w:r>
            <w:r w:rsidRPr="00A924DB">
              <w:rPr>
                <w:rFonts w:cs="Arial"/>
                <w:color w:val="0D0D0D" w:themeColor="text1" w:themeTint="F2"/>
                <w:spacing w:val="-2"/>
              </w:rPr>
              <w:t>201</w:t>
            </w:r>
            <w:r w:rsidR="00DF6CF8" w:rsidRPr="00A924DB">
              <w:rPr>
                <w:rFonts w:cs="Arial"/>
                <w:color w:val="0D0D0D" w:themeColor="text1" w:themeTint="F2"/>
                <w:spacing w:val="-2"/>
              </w:rPr>
              <w:t>3</w:t>
            </w:r>
            <w:r w:rsidRPr="00A924DB">
              <w:rPr>
                <w:rFonts w:cs="Arial"/>
                <w:color w:val="0D0D0D" w:themeColor="text1" w:themeTint="F2"/>
                <w:spacing w:val="-2"/>
              </w:rPr>
              <w:t xml:space="preserve">, které </w:t>
            </w:r>
            <w:r w:rsidR="00DF6CF8" w:rsidRPr="00A924DB">
              <w:rPr>
                <w:rFonts w:cs="Arial"/>
                <w:color w:val="0D0D0D" w:themeColor="text1" w:themeTint="F2"/>
                <w:spacing w:val="-2"/>
              </w:rPr>
              <w:t>zpomalilo</w:t>
            </w:r>
            <w:r w:rsidRPr="00A924DB">
              <w:rPr>
                <w:rFonts w:cs="Arial"/>
                <w:color w:val="0D0D0D" w:themeColor="text1" w:themeTint="F2"/>
                <w:spacing w:val="-2"/>
              </w:rPr>
              <w:t xml:space="preserve"> český hospodářský růst, se</w:t>
            </w:r>
            <w:r w:rsidR="007E7063" w:rsidRPr="00A924DB">
              <w:rPr>
                <w:rFonts w:cs="Arial"/>
                <w:color w:val="0D0D0D" w:themeColor="text1" w:themeTint="F2"/>
                <w:spacing w:val="-2"/>
              </w:rPr>
              <w:t xml:space="preserve"> projev</w:t>
            </w:r>
            <w:r w:rsidR="007B2257" w:rsidRPr="00A924DB">
              <w:rPr>
                <w:rFonts w:cs="Arial"/>
                <w:color w:val="0D0D0D" w:themeColor="text1" w:themeTint="F2"/>
                <w:spacing w:val="-2"/>
              </w:rPr>
              <w:t>ilo</w:t>
            </w:r>
            <w:r w:rsidR="007E7063" w:rsidRPr="00A924DB">
              <w:rPr>
                <w:rFonts w:cs="Arial"/>
                <w:color w:val="0D0D0D" w:themeColor="text1" w:themeTint="F2"/>
                <w:spacing w:val="-2"/>
              </w:rPr>
              <w:t xml:space="preserve"> rovněž i v ostatních</w:t>
            </w:r>
            <w:r w:rsidRPr="00A924DB">
              <w:rPr>
                <w:rFonts w:cs="Arial"/>
                <w:color w:val="0D0D0D" w:themeColor="text1" w:themeTint="F2"/>
                <w:spacing w:val="-2"/>
              </w:rPr>
              <w:t xml:space="preserve"> zemích</w:t>
            </w:r>
            <w:r w:rsidR="007E7063" w:rsidRPr="00A924DB">
              <w:rPr>
                <w:rFonts w:cs="Arial"/>
                <w:color w:val="0D0D0D" w:themeColor="text1" w:themeTint="F2"/>
                <w:spacing w:val="-2"/>
              </w:rPr>
              <w:t>, které vstoupily do EU až po roce 2000</w:t>
            </w:r>
            <w:r w:rsidRPr="00A924DB">
              <w:rPr>
                <w:rFonts w:cs="Arial"/>
                <w:color w:val="0D0D0D" w:themeColor="text1" w:themeTint="F2"/>
                <w:spacing w:val="-2"/>
              </w:rPr>
              <w:t>. Pokles dynam</w:t>
            </w:r>
            <w:r w:rsidRPr="00A924DB">
              <w:rPr>
                <w:rFonts w:cs="Arial"/>
                <w:spacing w:val="-2"/>
              </w:rPr>
              <w:t>iky hospodářského růstu me</w:t>
            </w:r>
            <w:r w:rsidR="00A924DB" w:rsidRPr="00A924DB">
              <w:rPr>
                <w:rFonts w:cs="Arial"/>
                <w:spacing w:val="-2"/>
              </w:rPr>
              <w:t>zi lety 2015 a 2016 je patrný u </w:t>
            </w:r>
            <w:r w:rsidRPr="00A924DB">
              <w:rPr>
                <w:rFonts w:cs="Arial"/>
                <w:spacing w:val="-2"/>
              </w:rPr>
              <w:t xml:space="preserve">Lotyšska, Maďarska, Polska i Slovenska. </w:t>
            </w:r>
          </w:p>
          <w:p w:rsidR="00474B94" w:rsidRPr="008A73DA" w:rsidRDefault="00474B94" w:rsidP="00D94859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474B94" w:rsidRPr="00A74192" w:rsidRDefault="00474B94" w:rsidP="00AD4FE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t xml:space="preserve">Hlavním tahounem českého ekonomického růstu byla domácí poptávka. Naopak, </w:t>
            </w:r>
            <w:r w:rsidR="00AD4FEF">
              <w:rPr>
                <w:rFonts w:cs="Arial"/>
                <w:sz w:val="16"/>
                <w:szCs w:val="16"/>
              </w:rPr>
              <w:t>chladnoucí</w:t>
            </w:r>
            <w:r w:rsidRPr="00A74192">
              <w:rPr>
                <w:rFonts w:cs="Arial"/>
                <w:sz w:val="16"/>
                <w:szCs w:val="16"/>
              </w:rPr>
              <w:t xml:space="preserve"> investiční aktivita ekonomiku zpomaluje. </w:t>
            </w:r>
          </w:p>
        </w:tc>
        <w:tc>
          <w:tcPr>
            <w:tcW w:w="142" w:type="pct"/>
          </w:tcPr>
          <w:p w:rsidR="00474B94" w:rsidRPr="00A74192" w:rsidRDefault="00474B94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474B94" w:rsidRPr="00A74192" w:rsidRDefault="00474B94" w:rsidP="00D94859">
            <w:pPr>
              <w:pStyle w:val="Textpoznpodarou"/>
              <w:jc w:val="both"/>
              <w:rPr>
                <w:rFonts w:cs="Arial"/>
              </w:rPr>
            </w:pPr>
            <w:r w:rsidRPr="00A74192">
              <w:rPr>
                <w:rFonts w:cs="Arial"/>
              </w:rPr>
              <w:t>V</w:t>
            </w:r>
            <w:r w:rsidR="00023FB5">
              <w:rPr>
                <w:rFonts w:cs="Arial"/>
              </w:rPr>
              <w:t>ýdaje na konečnou spotřebu zůstaly</w:t>
            </w:r>
            <w:r w:rsidRPr="00A74192">
              <w:rPr>
                <w:rFonts w:cs="Arial"/>
              </w:rPr>
              <w:t xml:space="preserve"> hlavním determinantem meziročního růstu a jejich příspěvek k růstu HDP</w:t>
            </w:r>
            <w:r w:rsidRPr="00A74192">
              <w:rPr>
                <w:rStyle w:val="Znakapoznpodarou"/>
                <w:rFonts w:cs="Arial"/>
              </w:rPr>
              <w:footnoteReference w:id="4"/>
            </w:r>
            <w:r w:rsidRPr="00A74192">
              <w:rPr>
                <w:rFonts w:cs="Arial"/>
              </w:rPr>
              <w:t xml:space="preserve"> v průběhu roku rostl (+1,3 </w:t>
            </w:r>
            <w:proofErr w:type="spellStart"/>
            <w:proofErr w:type="gram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., +1,6</w:t>
            </w:r>
            <w:proofErr w:type="gramEnd"/>
            <w:r w:rsidRPr="00A74192">
              <w:rPr>
                <w:rFonts w:cs="Arial"/>
              </w:rPr>
              <w:t xml:space="preserve"> </w:t>
            </w:r>
            <w:proofErr w:type="spell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 a</w:t>
            </w:r>
            <w:r w:rsidR="00906F67">
              <w:rPr>
                <w:rFonts w:cs="Arial"/>
              </w:rPr>
              <w:t> </w:t>
            </w:r>
            <w:r w:rsidRPr="00A74192">
              <w:rPr>
                <w:rFonts w:cs="Arial"/>
              </w:rPr>
              <w:t>+1,6</w:t>
            </w:r>
            <w:r w:rsidR="00906F67">
              <w:rPr>
                <w:rFonts w:cs="Arial"/>
              </w:rPr>
              <w:t> </w:t>
            </w:r>
            <w:proofErr w:type="spell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 xml:space="preserve">. v 1., 2. a 3. čtvrtletí). Slábnoucí příspěvek k růstu ze strany výdajů na konečnou spotřebu vládních institucí (+0,3 </w:t>
            </w:r>
            <w:proofErr w:type="spell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 ve 3. čtvrtletí) vykompenzov</w:t>
            </w:r>
            <w:r w:rsidR="00885EC6">
              <w:rPr>
                <w:rFonts w:cs="Arial"/>
              </w:rPr>
              <w:t>ala</w:t>
            </w:r>
            <w:r w:rsidRPr="00A74192">
              <w:rPr>
                <w:rFonts w:cs="Arial"/>
              </w:rPr>
              <w:t xml:space="preserve"> rostoucí spotřeb</w:t>
            </w:r>
            <w:r w:rsidR="00885EC6">
              <w:rPr>
                <w:rFonts w:cs="Arial"/>
              </w:rPr>
              <w:t>a</w:t>
            </w:r>
            <w:r w:rsidRPr="00A74192">
              <w:rPr>
                <w:rFonts w:cs="Arial"/>
              </w:rPr>
              <w:t xml:space="preserve"> domácností (+1,3 </w:t>
            </w:r>
            <w:proofErr w:type="spellStart"/>
            <w:proofErr w:type="gram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.)</w:t>
            </w:r>
            <w:r w:rsidR="00885EC6">
              <w:rPr>
                <w:rFonts w:cs="Arial"/>
              </w:rPr>
              <w:t>, která</w:t>
            </w:r>
            <w:proofErr w:type="gramEnd"/>
            <w:r w:rsidR="00885EC6">
              <w:rPr>
                <w:rFonts w:cs="Arial"/>
              </w:rPr>
              <w:t xml:space="preserve"> </w:t>
            </w:r>
            <w:r w:rsidR="00023FB5">
              <w:rPr>
                <w:rFonts w:cs="Arial"/>
              </w:rPr>
              <w:t>byla</w:t>
            </w:r>
            <w:r w:rsidR="00885EC6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>p</w:t>
            </w:r>
            <w:r w:rsidR="00885EC6">
              <w:rPr>
                <w:rFonts w:cs="Arial"/>
              </w:rPr>
              <w:t>odpořena</w:t>
            </w:r>
            <w:r w:rsidRPr="00A74192">
              <w:rPr>
                <w:rFonts w:cs="Arial"/>
              </w:rPr>
              <w:t xml:space="preserve"> růstem mezd a</w:t>
            </w:r>
            <w:r w:rsidR="00A76EF2">
              <w:rPr>
                <w:rFonts w:cs="Arial"/>
              </w:rPr>
              <w:t> </w:t>
            </w:r>
            <w:r w:rsidRPr="00A74192">
              <w:rPr>
                <w:rFonts w:cs="Arial"/>
              </w:rPr>
              <w:t>platů i</w:t>
            </w:r>
            <w:r w:rsidR="00A76EF2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 xml:space="preserve">pozitivním ekonomickým sentimentem. Příspěvek zahraničního obchodu (saldo), který je v kontextu české ekonomiky klíčovým faktorem, ve 3. čtvrtletí výrazně oslabil (+1,2 </w:t>
            </w:r>
            <w:proofErr w:type="spellStart"/>
            <w:proofErr w:type="gram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., +1,9</w:t>
            </w:r>
            <w:proofErr w:type="gramEnd"/>
            <w:r w:rsidRPr="00A74192">
              <w:rPr>
                <w:rFonts w:cs="Arial"/>
              </w:rPr>
              <w:t xml:space="preserve"> </w:t>
            </w:r>
            <w:proofErr w:type="spell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 xml:space="preserve">., +0,4 </w:t>
            </w:r>
            <w:proofErr w:type="spell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 xml:space="preserve">.). Negativně na </w:t>
            </w:r>
            <w:r w:rsidR="00885EC6">
              <w:rPr>
                <w:rFonts w:cs="Arial"/>
              </w:rPr>
              <w:t xml:space="preserve">meziroční </w:t>
            </w:r>
            <w:r w:rsidRPr="00A74192">
              <w:rPr>
                <w:rFonts w:cs="Arial"/>
              </w:rPr>
              <w:t>růst HDP působila tvorba hrubého kapitálu. Investiční aktivita, která v minulém roce táhla růst HDP, v 1. čtvrtletí výrazně zpomalila a v 2. i 3. čtvrtletí růst brzdila (</w:t>
            </w:r>
            <w:r w:rsidR="008B634C">
              <w:rPr>
                <w:rFonts w:cs="Arial"/>
              </w:rPr>
              <w:t xml:space="preserve">příspěvek k růstu HDP </w:t>
            </w:r>
            <w:r w:rsidRPr="00A74192">
              <w:rPr>
                <w:rFonts w:cs="Arial"/>
              </w:rPr>
              <w:t xml:space="preserve">+0,6 </w:t>
            </w:r>
            <w:proofErr w:type="spell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 xml:space="preserve">., −0,9 </w:t>
            </w:r>
            <w:proofErr w:type="spell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 xml:space="preserve">., −0,4 </w:t>
            </w:r>
            <w:proofErr w:type="spellStart"/>
            <w:proofErr w:type="gram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.).</w:t>
            </w:r>
            <w:proofErr w:type="gramEnd"/>
            <w:r w:rsidRPr="00A74192">
              <w:rPr>
                <w:rFonts w:cs="Arial"/>
              </w:rPr>
              <w:t xml:space="preserve"> Srovnání </w:t>
            </w:r>
            <w:r w:rsidR="007B2257">
              <w:rPr>
                <w:rFonts w:cs="Arial"/>
              </w:rPr>
              <w:t>s rozkladem bez vyloučení dovozu</w:t>
            </w:r>
            <w:r w:rsidRPr="00A74192">
              <w:rPr>
                <w:rFonts w:cs="Arial"/>
              </w:rPr>
              <w:t xml:space="preserve"> pro konečné užití ukazuje, že na rozdíl od minulých čtvrtletí růst spotřeby </w:t>
            </w:r>
            <w:r w:rsidR="00885EC6">
              <w:rPr>
                <w:rFonts w:cs="Arial"/>
              </w:rPr>
              <w:t>uspokoj</w:t>
            </w:r>
            <w:r w:rsidR="008B634C">
              <w:rPr>
                <w:rFonts w:cs="Arial"/>
              </w:rPr>
              <w:t>ovala více</w:t>
            </w:r>
            <w:r w:rsidRPr="00A74192">
              <w:rPr>
                <w:rFonts w:cs="Arial"/>
              </w:rPr>
              <w:t xml:space="preserve"> domácí produkce. </w:t>
            </w:r>
          </w:p>
          <w:p w:rsidR="00474B94" w:rsidRPr="00702E3E" w:rsidRDefault="00474B94" w:rsidP="00D94859">
            <w:pPr>
              <w:pStyle w:val="Textpoznpodarou"/>
              <w:jc w:val="both"/>
              <w:rPr>
                <w:rFonts w:cs="Arial"/>
                <w:sz w:val="6"/>
                <w:szCs w:val="6"/>
                <w:highlight w:val="yellow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474B94" w:rsidRPr="00A74192" w:rsidRDefault="00474B94" w:rsidP="00A76EF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lastRenderedPageBreak/>
              <w:t>Výdaje na spotřebu domácností rostou a</w:t>
            </w:r>
            <w:r w:rsidR="00A76EF2">
              <w:rPr>
                <w:rFonts w:cs="Arial"/>
                <w:sz w:val="16"/>
                <w:szCs w:val="16"/>
              </w:rPr>
              <w:t> </w:t>
            </w:r>
            <w:r w:rsidRPr="00A74192">
              <w:rPr>
                <w:rFonts w:cs="Arial"/>
                <w:sz w:val="16"/>
                <w:szCs w:val="16"/>
              </w:rPr>
              <w:t xml:space="preserve">z hlediska trvanlivosti stále roste objem pořízených předmětů dlouhodobé spotřeby. </w:t>
            </w:r>
          </w:p>
        </w:tc>
        <w:tc>
          <w:tcPr>
            <w:tcW w:w="142" w:type="pct"/>
          </w:tcPr>
          <w:p w:rsidR="00474B94" w:rsidRPr="00A74192" w:rsidRDefault="00474B94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474B94" w:rsidRPr="00A74192" w:rsidRDefault="00474B94" w:rsidP="00D94859">
            <w:pPr>
              <w:pStyle w:val="Textpoznpodarou"/>
              <w:jc w:val="both"/>
              <w:rPr>
                <w:rFonts w:cs="Arial"/>
              </w:rPr>
            </w:pPr>
            <w:r w:rsidRPr="00A74192">
              <w:rPr>
                <w:rFonts w:cs="Arial"/>
              </w:rPr>
              <w:t xml:space="preserve">Spotřeba domácností </w:t>
            </w:r>
            <w:r w:rsidR="00023FB5">
              <w:rPr>
                <w:rFonts w:cs="Arial"/>
              </w:rPr>
              <w:t>je</w:t>
            </w:r>
            <w:r w:rsidRPr="00A74192">
              <w:rPr>
                <w:rFonts w:cs="Arial"/>
              </w:rPr>
              <w:t xml:space="preserve"> jedním z tahounů současného hospodářského růstu. </w:t>
            </w:r>
            <w:r w:rsidR="007B2257">
              <w:rPr>
                <w:rFonts w:cs="Arial"/>
              </w:rPr>
              <w:t>Z hlediska délky užití</w:t>
            </w:r>
            <w:r w:rsidRPr="00A74192">
              <w:rPr>
                <w:rFonts w:cs="Arial"/>
              </w:rPr>
              <w:t xml:space="preserve"> zboží rost</w:t>
            </w:r>
            <w:r w:rsidR="00023FB5">
              <w:rPr>
                <w:rFonts w:cs="Arial"/>
              </w:rPr>
              <w:t>la</w:t>
            </w:r>
            <w:r w:rsidRPr="00A74192">
              <w:rPr>
                <w:rFonts w:cs="Arial"/>
              </w:rPr>
              <w:t xml:space="preserve"> spotřeba ve všech segmentech, </w:t>
            </w:r>
            <w:r w:rsidR="00885EC6">
              <w:rPr>
                <w:rFonts w:cs="Arial"/>
              </w:rPr>
              <w:t>nejsilněji</w:t>
            </w:r>
            <w:r w:rsidRPr="00A74192">
              <w:rPr>
                <w:rFonts w:cs="Arial"/>
              </w:rPr>
              <w:t xml:space="preserve"> však </w:t>
            </w:r>
            <w:r w:rsidR="00AD4FEF">
              <w:rPr>
                <w:rFonts w:cs="Arial"/>
              </w:rPr>
              <w:t xml:space="preserve">u </w:t>
            </w:r>
            <w:r w:rsidRPr="00A74192">
              <w:rPr>
                <w:rFonts w:cs="Arial"/>
              </w:rPr>
              <w:t>předmět</w:t>
            </w:r>
            <w:r w:rsidR="00AD4FEF">
              <w:rPr>
                <w:rFonts w:cs="Arial"/>
              </w:rPr>
              <w:t>ů</w:t>
            </w:r>
            <w:r w:rsidRPr="00A74192">
              <w:rPr>
                <w:rFonts w:cs="Arial"/>
              </w:rPr>
              <w:t xml:space="preserve"> dlouhodobé spotřeby. Meziroční přírůstky v tomto oddílu spotřeby v</w:t>
            </w:r>
            <w:r w:rsidR="007B2257">
              <w:rPr>
                <w:rFonts w:cs="Arial"/>
              </w:rPr>
              <w:t> </w:t>
            </w:r>
            <w:r w:rsidRPr="00A74192">
              <w:rPr>
                <w:rFonts w:cs="Arial"/>
              </w:rPr>
              <w:t>roce 2016 činily 6,4 %, 9,2 % a 6,4 % v 1., 2. a 3. čtvrtletí. Mírně zpomal</w:t>
            </w:r>
            <w:r w:rsidR="00635818">
              <w:rPr>
                <w:rFonts w:cs="Arial"/>
              </w:rPr>
              <w:t>oval</w:t>
            </w:r>
            <w:r w:rsidRPr="00A74192">
              <w:rPr>
                <w:rFonts w:cs="Arial"/>
              </w:rPr>
              <w:t xml:space="preserve"> růst váhově nejvýznamnějších předmětů krátkodobé spotřeby (3,5 %, 3,3 % a 2,6</w:t>
            </w:r>
            <w:r w:rsidR="007B2257">
              <w:rPr>
                <w:rFonts w:cs="Arial"/>
              </w:rPr>
              <w:t> </w:t>
            </w:r>
            <w:r w:rsidRPr="00A74192">
              <w:rPr>
                <w:rFonts w:cs="Arial"/>
              </w:rPr>
              <w:t xml:space="preserve">%). </w:t>
            </w:r>
          </w:p>
          <w:p w:rsidR="00474B94" w:rsidRPr="00511BF9" w:rsidRDefault="00474B94" w:rsidP="00D94859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9B0975" w:rsidRPr="00A74192" w:rsidRDefault="00885EC6" w:rsidP="00885EC6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Růst mezd </w:t>
            </w:r>
            <w:r w:rsidR="009B0975" w:rsidRPr="00A74192">
              <w:rPr>
                <w:rFonts w:cs="Arial"/>
                <w:sz w:val="16"/>
                <w:szCs w:val="16"/>
              </w:rPr>
              <w:t xml:space="preserve">stimuluje </w:t>
            </w:r>
            <w:r>
              <w:rPr>
                <w:rFonts w:cs="Arial"/>
                <w:sz w:val="16"/>
                <w:szCs w:val="16"/>
              </w:rPr>
              <w:t>spotřebu.</w:t>
            </w:r>
          </w:p>
        </w:tc>
        <w:tc>
          <w:tcPr>
            <w:tcW w:w="142" w:type="pct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9B0975" w:rsidRPr="007E7063" w:rsidRDefault="009B0975" w:rsidP="00D94859">
            <w:pPr>
              <w:pStyle w:val="Textpoznpodarou"/>
              <w:jc w:val="both"/>
              <w:rPr>
                <w:rFonts w:cs="Arial"/>
                <w:spacing w:val="-2"/>
              </w:rPr>
            </w:pPr>
            <w:r w:rsidRPr="007E7063">
              <w:rPr>
                <w:rFonts w:cs="Arial"/>
                <w:spacing w:val="-2"/>
              </w:rPr>
              <w:t>Na r</w:t>
            </w:r>
            <w:r w:rsidR="00AD4FEF">
              <w:rPr>
                <w:rFonts w:cs="Arial"/>
                <w:spacing w:val="-2"/>
              </w:rPr>
              <w:t>ostoucí spotřebu domácností měla</w:t>
            </w:r>
            <w:r w:rsidRPr="007E7063">
              <w:rPr>
                <w:rFonts w:cs="Arial"/>
                <w:spacing w:val="-2"/>
              </w:rPr>
              <w:t xml:space="preserve"> bezprostřední vliv pozitivní očekávání spotřebitelů a rostoucí výdělky. Objem vyplácených mezd a platů meziročně </w:t>
            </w:r>
            <w:r w:rsidR="00BE15B9" w:rsidRPr="007E7063">
              <w:rPr>
                <w:rFonts w:cs="Arial"/>
                <w:spacing w:val="-2"/>
              </w:rPr>
              <w:t xml:space="preserve">vzrostl o 5,7 % </w:t>
            </w:r>
            <w:r w:rsidRPr="007E7063">
              <w:rPr>
                <w:rFonts w:cs="Arial"/>
                <w:spacing w:val="-2"/>
              </w:rPr>
              <w:t xml:space="preserve">(6,0 %, 5,4 % a 5,7 % v 1., 2. a 3. čtvrtletí), přičemž se jeho dynamika v porovnání s rokem 2015 zvýšila. V reálném vyjádření </w:t>
            </w:r>
            <w:r w:rsidR="00BE15B9" w:rsidRPr="007E7063">
              <w:rPr>
                <w:rFonts w:cs="Arial"/>
                <w:spacing w:val="-2"/>
              </w:rPr>
              <w:t xml:space="preserve">vzrostl objem vyplácených mezd o </w:t>
            </w:r>
            <w:r w:rsidRPr="007E7063">
              <w:rPr>
                <w:rFonts w:cs="Arial"/>
                <w:spacing w:val="-2"/>
              </w:rPr>
              <w:t>5,9 %, 5,4 % a 4,7 %</w:t>
            </w:r>
            <w:r w:rsidRPr="007E7063">
              <w:rPr>
                <w:rStyle w:val="Znakapoznpodarou"/>
                <w:rFonts w:cs="Arial"/>
                <w:spacing w:val="-2"/>
              </w:rPr>
              <w:footnoteReference w:id="5"/>
            </w:r>
            <w:r w:rsidRPr="007E7063">
              <w:rPr>
                <w:rFonts w:cs="Arial"/>
                <w:spacing w:val="-2"/>
              </w:rPr>
              <w:t xml:space="preserve"> </w:t>
            </w:r>
            <w:r w:rsidR="00BE15B9" w:rsidRPr="007E7063">
              <w:rPr>
                <w:rFonts w:cs="Arial"/>
                <w:spacing w:val="-2"/>
              </w:rPr>
              <w:t xml:space="preserve">postupně </w:t>
            </w:r>
            <w:r w:rsidRPr="007E7063">
              <w:rPr>
                <w:rFonts w:cs="Arial"/>
                <w:spacing w:val="-2"/>
              </w:rPr>
              <w:t xml:space="preserve">v jednotlivých čtvrtletích roku 2016. Nad celkový průměr se dostal růst mezd ve zpracovatelském průmyslu, který </w:t>
            </w:r>
            <w:r w:rsidR="00BE15B9" w:rsidRPr="007E7063">
              <w:rPr>
                <w:rFonts w:cs="Arial"/>
                <w:spacing w:val="-2"/>
              </w:rPr>
              <w:t>rostl stejně jako v roce 2015</w:t>
            </w:r>
            <w:r w:rsidRPr="007E7063">
              <w:rPr>
                <w:rFonts w:cs="Arial"/>
                <w:spacing w:val="-2"/>
              </w:rPr>
              <w:t xml:space="preserve"> (7,0 %). V porovnání s rokem 2015 se zvýšil růst objemu mezd v obchodě, dopravě, ubytování a pohostinství (6,4 %) a rovněž v informačních a komunikačních činnostech (7,4 %)</w:t>
            </w:r>
            <w:r w:rsidR="008B634C">
              <w:rPr>
                <w:rFonts w:cs="Arial"/>
                <w:spacing w:val="-2"/>
              </w:rPr>
              <w:t xml:space="preserve"> a dále v</w:t>
            </w:r>
            <w:r w:rsidRPr="007E7063">
              <w:rPr>
                <w:rFonts w:cs="Arial"/>
                <w:spacing w:val="-2"/>
              </w:rPr>
              <w:t> oblasti profesních vědeckých, technických a administrativních činností (6,2</w:t>
            </w:r>
            <w:r w:rsidR="00906F67" w:rsidRPr="007E7063">
              <w:rPr>
                <w:rFonts w:cs="Arial"/>
                <w:spacing w:val="-2"/>
              </w:rPr>
              <w:t> </w:t>
            </w:r>
            <w:r w:rsidR="00AD4FEF">
              <w:rPr>
                <w:rFonts w:cs="Arial"/>
                <w:spacing w:val="-2"/>
              </w:rPr>
              <w:t>%). Naopak</w:t>
            </w:r>
            <w:r w:rsidRPr="007E7063">
              <w:rPr>
                <w:rFonts w:cs="Arial"/>
                <w:spacing w:val="-2"/>
              </w:rPr>
              <w:t xml:space="preserve"> pod průměrem zůstává růst m</w:t>
            </w:r>
            <w:r w:rsidR="007E7063" w:rsidRPr="007E7063">
              <w:rPr>
                <w:rFonts w:cs="Arial"/>
                <w:spacing w:val="-2"/>
              </w:rPr>
              <w:t xml:space="preserve">ezd ve stavebnictví (2,9 %). </w:t>
            </w:r>
          </w:p>
          <w:p w:rsidR="009B0975" w:rsidRPr="00511BF9" w:rsidRDefault="009B0975" w:rsidP="00D94859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9B0975" w:rsidRPr="00A74192" w:rsidRDefault="009B0975" w:rsidP="00D9485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t>Výdaje na spotřebu vládních institucí stagnují.</w:t>
            </w:r>
          </w:p>
        </w:tc>
        <w:tc>
          <w:tcPr>
            <w:tcW w:w="142" w:type="pct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  <w:r w:rsidRPr="00A74192">
              <w:rPr>
                <w:rFonts w:cs="Arial"/>
              </w:rPr>
              <w:t xml:space="preserve">Dynamika spotřeby vládních institucí zpočátku roku rostla a naznačovala pokračování trendu z roku 2015. Výdaje na konečnou spotřebu vládních institucí zaznamenaly </w:t>
            </w:r>
            <w:r w:rsidR="00AD4FEF" w:rsidRPr="00A74192">
              <w:rPr>
                <w:rFonts w:cs="Arial"/>
              </w:rPr>
              <w:t xml:space="preserve">svůj vrchol </w:t>
            </w:r>
            <w:r w:rsidRPr="00A74192">
              <w:rPr>
                <w:rFonts w:cs="Arial"/>
              </w:rPr>
              <w:t>ve 2. čtvrtletí 2016, kdy vzrostly meziročně o 3,1 %. Ve 3.</w:t>
            </w:r>
            <w:r w:rsidR="00906F67">
              <w:rPr>
                <w:rFonts w:cs="Arial"/>
              </w:rPr>
              <w:t> </w:t>
            </w:r>
            <w:r w:rsidRPr="00A74192">
              <w:rPr>
                <w:rFonts w:cs="Arial"/>
              </w:rPr>
              <w:t xml:space="preserve">čtvrtletí se meziroční růst výrazně zpomalil (1,5 %) a </w:t>
            </w:r>
            <w:proofErr w:type="spellStart"/>
            <w:r w:rsidRPr="00A74192">
              <w:rPr>
                <w:rFonts w:cs="Arial"/>
              </w:rPr>
              <w:t>mezičtvrtletně</w:t>
            </w:r>
            <w:proofErr w:type="spellEnd"/>
            <w:r w:rsidRPr="00A74192">
              <w:rPr>
                <w:rFonts w:cs="Arial"/>
              </w:rPr>
              <w:t xml:space="preserve"> </w:t>
            </w:r>
            <w:r w:rsidR="008B634C">
              <w:rPr>
                <w:rFonts w:cs="Arial"/>
              </w:rPr>
              <w:t xml:space="preserve">výdaje vlády </w:t>
            </w:r>
            <w:r w:rsidRPr="00A74192">
              <w:rPr>
                <w:rFonts w:cs="Arial"/>
              </w:rPr>
              <w:t>poklesl</w:t>
            </w:r>
            <w:r w:rsidR="008B634C">
              <w:rPr>
                <w:rFonts w:cs="Arial"/>
              </w:rPr>
              <w:t>y</w:t>
            </w:r>
            <w:r w:rsidRPr="00A74192">
              <w:rPr>
                <w:rFonts w:cs="Arial"/>
              </w:rPr>
              <w:t xml:space="preserve"> o 0,4</w:t>
            </w:r>
            <w:r w:rsidR="00906F67">
              <w:rPr>
                <w:rFonts w:cs="Arial"/>
              </w:rPr>
              <w:t> </w:t>
            </w:r>
            <w:proofErr w:type="spellStart"/>
            <w:proofErr w:type="gram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</w:t>
            </w:r>
            <w:proofErr w:type="gramEnd"/>
          </w:p>
          <w:p w:rsidR="009B0975" w:rsidRPr="00511BF9" w:rsidRDefault="009B0975" w:rsidP="00D94859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9B0975" w:rsidRPr="00A74192" w:rsidRDefault="009B0975" w:rsidP="00BE15B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t>Investiční aktivita, která táhla hospodářský růst v minulém roce se výrazně zpomalila v souvislosti s</w:t>
            </w:r>
            <w:r w:rsidR="00BE15B9">
              <w:rPr>
                <w:rFonts w:cs="Arial"/>
                <w:sz w:val="16"/>
                <w:szCs w:val="16"/>
              </w:rPr>
              <w:t> ukončením m</w:t>
            </w:r>
            <w:r w:rsidRPr="00A74192">
              <w:rPr>
                <w:rFonts w:cs="Arial"/>
                <w:sz w:val="16"/>
                <w:szCs w:val="16"/>
              </w:rPr>
              <w:t>inulého programového období evropských dotací.</w:t>
            </w:r>
          </w:p>
        </w:tc>
        <w:tc>
          <w:tcPr>
            <w:tcW w:w="142" w:type="pct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  <w:r w:rsidRPr="00A74192">
              <w:rPr>
                <w:rFonts w:cs="Arial"/>
              </w:rPr>
              <w:t xml:space="preserve">Investiční aktivita, vyjádřená tvorbou hrubého fixního kapitálu, </w:t>
            </w:r>
            <w:r w:rsidR="00BE15B9">
              <w:rPr>
                <w:rFonts w:cs="Arial"/>
              </w:rPr>
              <w:t>byla</w:t>
            </w:r>
            <w:r w:rsidRPr="00A74192">
              <w:rPr>
                <w:rFonts w:cs="Arial"/>
              </w:rPr>
              <w:t xml:space="preserve"> od začátku roku utlumena. V 1. čtvrtletí byl ještě zaznamenán </w:t>
            </w:r>
            <w:r w:rsidR="00BE15B9">
              <w:rPr>
                <w:rFonts w:cs="Arial"/>
              </w:rPr>
              <w:t>mírný meziroční nárůst o</w:t>
            </w:r>
            <w:r w:rsidR="00F15309">
              <w:rPr>
                <w:rFonts w:cs="Arial"/>
              </w:rPr>
              <w:t> </w:t>
            </w:r>
            <w:r w:rsidR="00BE15B9">
              <w:rPr>
                <w:rFonts w:cs="Arial"/>
              </w:rPr>
              <w:t>2,6</w:t>
            </w:r>
            <w:r w:rsidR="00F15309">
              <w:rPr>
                <w:rFonts w:cs="Arial"/>
              </w:rPr>
              <w:t> </w:t>
            </w:r>
            <w:r w:rsidR="00BE15B9">
              <w:rPr>
                <w:rFonts w:cs="Arial"/>
              </w:rPr>
              <w:t>% (menší než v minulém roce)</w:t>
            </w:r>
            <w:r w:rsidRPr="00A74192">
              <w:rPr>
                <w:rFonts w:cs="Arial"/>
              </w:rPr>
              <w:t xml:space="preserve">. V následujících čtvrtletích </w:t>
            </w:r>
            <w:r w:rsidR="008B634C">
              <w:rPr>
                <w:rFonts w:cs="Arial"/>
              </w:rPr>
              <w:t>už byly investice nižší</w:t>
            </w:r>
            <w:r w:rsidRPr="00A74192">
              <w:rPr>
                <w:rFonts w:cs="Arial"/>
              </w:rPr>
              <w:t xml:space="preserve"> (</w:t>
            </w:r>
            <w:r w:rsidR="008B634C">
              <w:rPr>
                <w:rFonts w:cs="Arial"/>
              </w:rPr>
              <w:t xml:space="preserve">o </w:t>
            </w:r>
            <w:proofErr w:type="gramStart"/>
            <w:r w:rsidRPr="00A74192">
              <w:rPr>
                <w:rFonts w:cs="Arial"/>
              </w:rPr>
              <w:t>−3,4 % a −2</w:t>
            </w:r>
            <w:proofErr w:type="gramEnd"/>
            <w:r w:rsidRPr="00A74192">
              <w:rPr>
                <w:rFonts w:cs="Arial"/>
              </w:rPr>
              <w:t xml:space="preserve">,3 %). </w:t>
            </w:r>
            <w:proofErr w:type="spellStart"/>
            <w:r w:rsidRPr="00A74192">
              <w:rPr>
                <w:rFonts w:cs="Arial"/>
              </w:rPr>
              <w:t>Mezičtvrtletní</w:t>
            </w:r>
            <w:proofErr w:type="spellEnd"/>
            <w:r w:rsidRPr="00A74192">
              <w:rPr>
                <w:rFonts w:cs="Arial"/>
              </w:rPr>
              <w:t xml:space="preserve"> dynamika však </w:t>
            </w:r>
            <w:r w:rsidR="008B634C">
              <w:rPr>
                <w:rFonts w:cs="Arial"/>
              </w:rPr>
              <w:t xml:space="preserve">ve 3, čtvrtletí </w:t>
            </w:r>
            <w:r w:rsidRPr="00A74192">
              <w:rPr>
                <w:rFonts w:cs="Arial"/>
              </w:rPr>
              <w:t>naznač</w:t>
            </w:r>
            <w:r w:rsidR="00F15309">
              <w:rPr>
                <w:rFonts w:cs="Arial"/>
              </w:rPr>
              <w:t>ila</w:t>
            </w:r>
            <w:r w:rsidRPr="00A74192">
              <w:rPr>
                <w:rFonts w:cs="Arial"/>
              </w:rPr>
              <w:t xml:space="preserve"> možné oživení investic</w:t>
            </w:r>
            <w:r w:rsidR="00F15309">
              <w:rPr>
                <w:rFonts w:cs="Arial"/>
              </w:rPr>
              <w:t xml:space="preserve">, když </w:t>
            </w:r>
            <w:r w:rsidRPr="00A74192">
              <w:rPr>
                <w:rFonts w:cs="Arial"/>
              </w:rPr>
              <w:t>investice</w:t>
            </w:r>
            <w:r w:rsidR="00BE15B9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>vzrostly</w:t>
            </w:r>
            <w:r w:rsidR="00BE15B9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>o</w:t>
            </w:r>
            <w:r w:rsidR="00BE15B9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>2,5</w:t>
            </w:r>
            <w:r w:rsidR="00F15309">
              <w:rPr>
                <w:rFonts w:cs="Arial"/>
              </w:rPr>
              <w:t> </w:t>
            </w:r>
            <w:r w:rsidRPr="00A74192">
              <w:rPr>
                <w:rFonts w:cs="Arial"/>
              </w:rPr>
              <w:t>%</w:t>
            </w:r>
            <w:r w:rsidR="008B634C">
              <w:rPr>
                <w:rFonts w:cs="Arial"/>
              </w:rPr>
              <w:t xml:space="preserve"> oproti předchozímu čtvrtletí</w:t>
            </w:r>
            <w:r w:rsidRPr="00A74192">
              <w:rPr>
                <w:rFonts w:cs="Arial"/>
              </w:rPr>
              <w:t>.</w:t>
            </w:r>
            <w:r w:rsidR="00BE15B9">
              <w:rPr>
                <w:rFonts w:cs="Arial"/>
              </w:rPr>
              <w:t xml:space="preserve"> U</w:t>
            </w:r>
            <w:r w:rsidRPr="00A74192">
              <w:rPr>
                <w:rFonts w:cs="Arial"/>
              </w:rPr>
              <w:t>končení programového období 2007</w:t>
            </w:r>
            <w:r w:rsidR="00BE15B9">
              <w:rPr>
                <w:rFonts w:cs="Arial"/>
              </w:rPr>
              <w:t>–</w:t>
            </w:r>
            <w:r w:rsidRPr="00A74192">
              <w:rPr>
                <w:rFonts w:cs="Arial"/>
              </w:rPr>
              <w:t>2013 evropských dotací a</w:t>
            </w:r>
            <w:r w:rsidR="00A76EF2">
              <w:rPr>
                <w:rFonts w:cs="Arial"/>
              </w:rPr>
              <w:t> </w:t>
            </w:r>
            <w:r w:rsidRPr="00A74192">
              <w:rPr>
                <w:rFonts w:cs="Arial"/>
              </w:rPr>
              <w:t xml:space="preserve">pomalý náběh čerpání prostředků z nového období </w:t>
            </w:r>
            <w:r w:rsidR="00BE15B9">
              <w:rPr>
                <w:rFonts w:cs="Arial"/>
              </w:rPr>
              <w:t xml:space="preserve">postihl zejména </w:t>
            </w:r>
            <w:r w:rsidRPr="00A74192">
              <w:rPr>
                <w:rFonts w:cs="Arial"/>
              </w:rPr>
              <w:t xml:space="preserve">investice do ostatních staveb. </w:t>
            </w:r>
            <w:r w:rsidR="008B634C">
              <w:rPr>
                <w:rFonts w:cs="Arial"/>
              </w:rPr>
              <w:t xml:space="preserve">Vývoj této </w:t>
            </w:r>
            <w:r w:rsidRPr="00A74192">
              <w:rPr>
                <w:rFonts w:cs="Arial"/>
              </w:rPr>
              <w:t xml:space="preserve">kategorie, která zahrnuje </w:t>
            </w:r>
            <w:r w:rsidR="008B634C">
              <w:rPr>
                <w:rFonts w:cs="Arial"/>
              </w:rPr>
              <w:t xml:space="preserve">mimo jiné </w:t>
            </w:r>
            <w:r w:rsidR="00E05EAD">
              <w:rPr>
                <w:rFonts w:cs="Arial"/>
              </w:rPr>
              <w:t xml:space="preserve">i </w:t>
            </w:r>
            <w:r w:rsidRPr="00A74192">
              <w:rPr>
                <w:rFonts w:cs="Arial"/>
              </w:rPr>
              <w:t xml:space="preserve">infrastrukturní projekty, </w:t>
            </w:r>
            <w:r w:rsidR="008B634C">
              <w:rPr>
                <w:rFonts w:cs="Arial"/>
              </w:rPr>
              <w:t>dokládá, že vysoký objem investic byl ve 3, čtvrtletí 2016 o 16,4 % nižší než ve stejném čtvrtletí roku 2015, ale jen o 2 % nižší než v roce 2014 (b</w:t>
            </w:r>
            <w:r w:rsidRPr="00A74192">
              <w:rPr>
                <w:rFonts w:cs="Arial"/>
              </w:rPr>
              <w:t xml:space="preserve">ez sezónního očištění). </w:t>
            </w:r>
            <w:r w:rsidR="008B634C">
              <w:rPr>
                <w:rFonts w:cs="Arial"/>
              </w:rPr>
              <w:t xml:space="preserve">Každopádně, vzhledem </w:t>
            </w:r>
            <w:r w:rsidRPr="00A74192">
              <w:rPr>
                <w:rFonts w:cs="Arial"/>
              </w:rPr>
              <w:t>ke svému objemu jsou právě investice do ostatních staveb kategorií, která má podstatný vliv na celkový pokles tvorby hrubého fixního kapitálu</w:t>
            </w:r>
            <w:r w:rsidR="008B634C">
              <w:rPr>
                <w:rFonts w:cs="Arial"/>
              </w:rPr>
              <w:t xml:space="preserve"> oproti roku 2015</w:t>
            </w:r>
            <w:r w:rsidRPr="00A74192">
              <w:rPr>
                <w:rFonts w:cs="Arial"/>
              </w:rPr>
              <w:t xml:space="preserve">.   </w:t>
            </w:r>
          </w:p>
          <w:p w:rsidR="009B0975" w:rsidRPr="00511BF9" w:rsidRDefault="009B0975" w:rsidP="00D94859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9B0975" w:rsidRPr="00A74192" w:rsidRDefault="009B0975" w:rsidP="00A76EF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t xml:space="preserve">Rostly investice do </w:t>
            </w:r>
            <w:proofErr w:type="gramStart"/>
            <w:r w:rsidRPr="00A74192">
              <w:rPr>
                <w:rFonts w:cs="Arial"/>
                <w:sz w:val="16"/>
                <w:szCs w:val="16"/>
              </w:rPr>
              <w:t>obydlí  a dopravních</w:t>
            </w:r>
            <w:proofErr w:type="gramEnd"/>
            <w:r w:rsidRPr="00A74192">
              <w:rPr>
                <w:rFonts w:cs="Arial"/>
                <w:sz w:val="16"/>
                <w:szCs w:val="16"/>
              </w:rPr>
              <w:t xml:space="preserve"> prostředků a</w:t>
            </w:r>
            <w:r w:rsidR="00A76EF2">
              <w:rPr>
                <w:rFonts w:cs="Arial"/>
                <w:sz w:val="16"/>
                <w:szCs w:val="16"/>
              </w:rPr>
              <w:t> </w:t>
            </w:r>
            <w:r w:rsidRPr="00A74192">
              <w:rPr>
                <w:rFonts w:cs="Arial"/>
                <w:sz w:val="16"/>
                <w:szCs w:val="16"/>
              </w:rPr>
              <w:t xml:space="preserve">zařízení. </w:t>
            </w:r>
          </w:p>
        </w:tc>
        <w:tc>
          <w:tcPr>
            <w:tcW w:w="142" w:type="pct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  <w:r w:rsidRPr="00A74192">
              <w:rPr>
                <w:rFonts w:cs="Arial"/>
              </w:rPr>
              <w:t>Váhově nejvýznamnější investice do ICT, ostatních strojů a zařízení a</w:t>
            </w:r>
            <w:r w:rsidR="00A76EF2">
              <w:rPr>
                <w:rFonts w:cs="Arial"/>
              </w:rPr>
              <w:t> </w:t>
            </w:r>
            <w:r w:rsidRPr="00A74192">
              <w:rPr>
                <w:rFonts w:cs="Arial"/>
              </w:rPr>
              <w:t>zbraňových systémů meziročně mírně kles</w:t>
            </w:r>
            <w:r w:rsidR="00635818">
              <w:rPr>
                <w:rFonts w:cs="Arial"/>
              </w:rPr>
              <w:t>aly</w:t>
            </w:r>
            <w:r w:rsidRPr="00A74192">
              <w:rPr>
                <w:rFonts w:cs="Arial"/>
              </w:rPr>
              <w:t xml:space="preserve"> (</w:t>
            </w:r>
            <w:proofErr w:type="gramStart"/>
            <w:r w:rsidRPr="00A74192">
              <w:rPr>
                <w:rFonts w:cs="Arial"/>
              </w:rPr>
              <w:t>−0,9 %, −0</w:t>
            </w:r>
            <w:proofErr w:type="gramEnd"/>
            <w:r w:rsidRPr="00A74192">
              <w:rPr>
                <w:rFonts w:cs="Arial"/>
              </w:rPr>
              <w:t>,4 %, −1,4 % v 1., 2., a 3. čtvrtletí bez sezonního očištění), především kvůli velmi vysoké základně minulého roku</w:t>
            </w:r>
            <w:r w:rsidR="008B634C">
              <w:rPr>
                <w:rFonts w:cs="Arial"/>
              </w:rPr>
              <w:t xml:space="preserve"> (oproti 2014 byly tyto investice o 5,9 % </w:t>
            </w:r>
            <w:proofErr w:type="spellStart"/>
            <w:r w:rsidR="008B634C">
              <w:rPr>
                <w:rFonts w:cs="Arial"/>
              </w:rPr>
              <w:t>výšší</w:t>
            </w:r>
            <w:proofErr w:type="spellEnd"/>
            <w:r w:rsidR="008B634C">
              <w:rPr>
                <w:rFonts w:cs="Arial"/>
              </w:rPr>
              <w:t>)</w:t>
            </w:r>
            <w:r w:rsidR="008B634C" w:rsidRPr="00A74192">
              <w:rPr>
                <w:rFonts w:cs="Arial"/>
              </w:rPr>
              <w:t xml:space="preserve">. </w:t>
            </w:r>
            <w:r w:rsidR="008B634C">
              <w:rPr>
                <w:rFonts w:cs="Arial"/>
              </w:rPr>
              <w:t>Meziroční p</w:t>
            </w:r>
            <w:r w:rsidRPr="00A74192">
              <w:rPr>
                <w:rFonts w:cs="Arial"/>
              </w:rPr>
              <w:t>ropad v kategorii ostatních budov a staveb částečně kompenz</w:t>
            </w:r>
            <w:r w:rsidR="00635818">
              <w:rPr>
                <w:rFonts w:cs="Arial"/>
              </w:rPr>
              <w:t>ovaly</w:t>
            </w:r>
            <w:r w:rsidRPr="00A74192">
              <w:rPr>
                <w:rFonts w:cs="Arial"/>
              </w:rPr>
              <w:t xml:space="preserve"> investice do obydlí, které po poklesu v 1. čtvrtletí</w:t>
            </w:r>
            <w:r w:rsidR="00AD4FEF" w:rsidRPr="00A74192">
              <w:rPr>
                <w:rFonts w:cs="Arial"/>
              </w:rPr>
              <w:t xml:space="preserve"> rostly o 2,8 % a 2,3 %</w:t>
            </w:r>
            <w:r w:rsidR="00AD4FEF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>ve</w:t>
            </w:r>
            <w:r w:rsidR="00AD4FEF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>2</w:t>
            </w:r>
            <w:r w:rsidR="00A76EF2">
              <w:rPr>
                <w:rFonts w:cs="Arial"/>
              </w:rPr>
              <w:t>.</w:t>
            </w:r>
            <w:r w:rsidR="00AD4FEF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>a</w:t>
            </w:r>
            <w:r w:rsidR="00AD4FEF">
              <w:rPr>
                <w:rFonts w:cs="Arial"/>
              </w:rPr>
              <w:t xml:space="preserve"> </w:t>
            </w:r>
            <w:r w:rsidRPr="00A74192">
              <w:rPr>
                <w:rFonts w:cs="Arial"/>
              </w:rPr>
              <w:t>3. čtvrtletí. Nejvýraznější přírůstek ze sledovaných kategorií zaznamenaly investice do dopravních prostředků a zařízení, které ve 3. čtvrtletí meziročně vzrostly o 16,4 %</w:t>
            </w:r>
            <w:r w:rsidR="008B634C">
              <w:rPr>
                <w:rFonts w:cs="Arial"/>
              </w:rPr>
              <w:t xml:space="preserve"> (a o 28,5 % oproti stejnému čtvrtletí roku 2014)</w:t>
            </w:r>
            <w:r w:rsidRPr="00A74192">
              <w:rPr>
                <w:rFonts w:cs="Arial"/>
              </w:rPr>
              <w:t xml:space="preserve">.   </w:t>
            </w:r>
          </w:p>
          <w:p w:rsidR="009B0975" w:rsidRPr="00511BF9" w:rsidRDefault="009B0975" w:rsidP="00D94859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9B0975" w:rsidRPr="00A74192" w:rsidRDefault="009B0975" w:rsidP="00A76EF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t>Směnné relace ve službách vzrostly a s nimi i</w:t>
            </w:r>
            <w:r w:rsidR="00A76EF2">
              <w:rPr>
                <w:rFonts w:cs="Arial"/>
                <w:sz w:val="16"/>
                <w:szCs w:val="16"/>
              </w:rPr>
              <w:t> </w:t>
            </w:r>
            <w:r w:rsidRPr="00A74192">
              <w:rPr>
                <w:rFonts w:cs="Arial"/>
                <w:sz w:val="16"/>
                <w:szCs w:val="16"/>
              </w:rPr>
              <w:t xml:space="preserve">bilance zahraničního obchodu se službami. Celková bilance zahraničního obchodu se </w:t>
            </w:r>
            <w:proofErr w:type="spellStart"/>
            <w:r w:rsidRPr="00A74192">
              <w:rPr>
                <w:rFonts w:cs="Arial"/>
                <w:sz w:val="16"/>
                <w:szCs w:val="16"/>
              </w:rPr>
              <w:t>mezičtvrtletně</w:t>
            </w:r>
            <w:proofErr w:type="spellEnd"/>
            <w:r w:rsidRPr="00A74192">
              <w:rPr>
                <w:rFonts w:cs="Arial"/>
                <w:sz w:val="16"/>
                <w:szCs w:val="16"/>
              </w:rPr>
              <w:t xml:space="preserve"> mírně snížila.</w:t>
            </w:r>
          </w:p>
        </w:tc>
        <w:tc>
          <w:tcPr>
            <w:tcW w:w="142" w:type="pct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  <w:r w:rsidRPr="00A74192">
              <w:rPr>
                <w:rFonts w:cs="Arial"/>
              </w:rPr>
              <w:t xml:space="preserve">Bilance zahraničního obchodu dosáhla ve 3. čtvrtletí 78,4 mld. korun. To znamenalo snížení o 4,2 mld. oproti předchozímu čtvrtletí, kdy dosáhl přebytek své nejvyšší hodnoty za dobu existence České republiky. I směnné relace se v porovnání s 1. a 2. čtvrtletím snížily o 0,3 </w:t>
            </w:r>
            <w:proofErr w:type="spellStart"/>
            <w:proofErr w:type="gram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</w:t>
            </w:r>
            <w:proofErr w:type="gramEnd"/>
            <w:r w:rsidRPr="00A74192">
              <w:rPr>
                <w:rFonts w:cs="Arial"/>
              </w:rPr>
              <w:t xml:space="preserve"> Přebytek obchodu se zbožím dosáhl 55,8 mld. korun a </w:t>
            </w:r>
            <w:proofErr w:type="spellStart"/>
            <w:r w:rsidRPr="00A74192">
              <w:rPr>
                <w:rFonts w:cs="Arial"/>
              </w:rPr>
              <w:t>mezičtvrtletně</w:t>
            </w:r>
            <w:proofErr w:type="spellEnd"/>
            <w:r w:rsidRPr="00A74192">
              <w:rPr>
                <w:rFonts w:cs="Arial"/>
              </w:rPr>
              <w:t xml:space="preserve"> se snížil o 5,4 mld. Naopak přebytek obchodu se službami se po poklesu na přelomu roku zvyšoval a ve 3. čtvrtletí dosáhl hodnoty 22,6 mld. korun. Vzrostly i směnné relace ve službách – ve 3. čtvrtletí dosáhly 101,8 % a </w:t>
            </w:r>
            <w:proofErr w:type="spellStart"/>
            <w:r w:rsidRPr="00A74192">
              <w:rPr>
                <w:rFonts w:cs="Arial"/>
              </w:rPr>
              <w:t>mezičtvrtletně</w:t>
            </w:r>
            <w:proofErr w:type="spellEnd"/>
            <w:r w:rsidRPr="00A74192">
              <w:rPr>
                <w:rFonts w:cs="Arial"/>
              </w:rPr>
              <w:t xml:space="preserve"> vzrostly o 1,7 </w:t>
            </w:r>
            <w:proofErr w:type="spellStart"/>
            <w:proofErr w:type="gram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</w:t>
            </w:r>
            <w:proofErr w:type="gramEnd"/>
            <w:r w:rsidRPr="00A74192">
              <w:rPr>
                <w:rFonts w:cs="Arial"/>
              </w:rPr>
              <w:t xml:space="preserve">     </w:t>
            </w:r>
          </w:p>
          <w:p w:rsidR="009B0975" w:rsidRPr="00511BF9" w:rsidRDefault="009B0975" w:rsidP="00D94859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9B0975" w:rsidRPr="00A74192" w:rsidRDefault="009B0975" w:rsidP="00D9485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t>Zisky z vývoje cen v zahraničním obchodě klesly oproti předchozímu čtvrtletí o 2,6 mld. korun.</w:t>
            </w:r>
          </w:p>
        </w:tc>
        <w:tc>
          <w:tcPr>
            <w:tcW w:w="142" w:type="pct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9B0975" w:rsidRPr="00A74192" w:rsidRDefault="009B0975" w:rsidP="00D94859">
            <w:pPr>
              <w:pStyle w:val="Textpoznpodarou"/>
              <w:jc w:val="both"/>
            </w:pPr>
            <w:r w:rsidRPr="00A74192">
              <w:t xml:space="preserve">Reálný hrubý domácí důchod (RHDD), který na rozdíl od HDP zohledňuje dodatečné zisky, nebo ztráty z vývoje cen v zahraničním obchodě, resp. zisky, nebo ztráty ze směnných relací, vzrostl v 3. čtvrtletí 2016 meziročně o 2,0 % (bez </w:t>
            </w:r>
            <w:r w:rsidRPr="00A74192">
              <w:lastRenderedPageBreak/>
              <w:t>očištění o sezónní a kalendářní vlivy). Růst HDP tak zaostáv</w:t>
            </w:r>
            <w:r w:rsidR="00635818">
              <w:t>al</w:t>
            </w:r>
            <w:r w:rsidRPr="00A74192">
              <w:t xml:space="preserve"> za RHDD o</w:t>
            </w:r>
            <w:r w:rsidR="00A76EF2">
              <w:t> </w:t>
            </w:r>
            <w:r w:rsidRPr="00A74192">
              <w:t>0,1</w:t>
            </w:r>
            <w:r w:rsidR="00A76EF2">
              <w:t> </w:t>
            </w:r>
            <w:proofErr w:type="spellStart"/>
            <w:proofErr w:type="gramStart"/>
            <w:r w:rsidRPr="00A74192">
              <w:t>p.b</w:t>
            </w:r>
            <w:proofErr w:type="spellEnd"/>
            <w:r w:rsidRPr="00A74192">
              <w:t>.</w:t>
            </w:r>
            <w:proofErr w:type="gramEnd"/>
            <w:r w:rsidRPr="00A74192">
              <w:t xml:space="preserve"> V předchozích dvou čtvrtletích činil rozdíl mezi oběma ukazateli 0,9 </w:t>
            </w:r>
            <w:proofErr w:type="spellStart"/>
            <w:r w:rsidRPr="00A74192">
              <w:t>p.b</w:t>
            </w:r>
            <w:proofErr w:type="spellEnd"/>
            <w:r w:rsidRPr="00A74192">
              <w:t xml:space="preserve">. a 1,8 </w:t>
            </w:r>
            <w:proofErr w:type="spellStart"/>
            <w:proofErr w:type="gramStart"/>
            <w:r w:rsidRPr="00A74192">
              <w:t>p.b</w:t>
            </w:r>
            <w:proofErr w:type="spellEnd"/>
            <w:r w:rsidRPr="00A74192">
              <w:t>.</w:t>
            </w:r>
            <w:proofErr w:type="gramEnd"/>
            <w:r w:rsidRPr="00A74192">
              <w:t xml:space="preserve"> </w:t>
            </w:r>
            <w:r w:rsidR="008B634C">
              <w:t>Z</w:t>
            </w:r>
            <w:r w:rsidRPr="00A74192">
              <w:t xml:space="preserve">isk ze směnných relací </w:t>
            </w:r>
            <w:r w:rsidR="008B634C">
              <w:t xml:space="preserve">totiž zeslábl </w:t>
            </w:r>
            <w:proofErr w:type="gramStart"/>
            <w:r w:rsidRPr="00A74192">
              <w:t>z</w:t>
            </w:r>
            <w:r w:rsidR="008B634C">
              <w:t>e</w:t>
            </w:r>
            <w:proofErr w:type="gramEnd"/>
            <w:r w:rsidRPr="00A74192">
              <w:t xml:space="preserve"> 14,1 mld. korun v 1. čtvrtletí na 11,3 mld. ve 2. </w:t>
            </w:r>
            <w:r w:rsidR="00A76EF2">
              <w:t xml:space="preserve">čtvrtletí </w:t>
            </w:r>
            <w:r w:rsidRPr="00A74192">
              <w:t>a 8,7 mld. ve 3. čtvrtletí 2016.</w:t>
            </w:r>
          </w:p>
          <w:p w:rsidR="009B0975" w:rsidRPr="008A73DA" w:rsidRDefault="009B0975" w:rsidP="00D94859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9B0975" w:rsidRPr="00A74192" w:rsidRDefault="009B0975" w:rsidP="00D9485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lastRenderedPageBreak/>
              <w:t>Na růstu hrubé přidané hodnoty se nejvýznamněji podílel zpracovatelský průmysl, …</w:t>
            </w:r>
          </w:p>
        </w:tc>
        <w:tc>
          <w:tcPr>
            <w:tcW w:w="142" w:type="pct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  <w:r w:rsidRPr="00A74192">
              <w:rPr>
                <w:rFonts w:cs="Arial"/>
              </w:rPr>
              <w:t xml:space="preserve">Pokud jde o nabídkovou stranu ekonomiky, na růstu HDP se nejvýrazněji podílel zpracovatelský průmysl. Jeho hrubá přidaná hodnota ve 3. čtvrtletí vzrostla o 3,9 % a k celkovému růstu přispěl 1,1 </w:t>
            </w:r>
            <w:proofErr w:type="spellStart"/>
            <w:proofErr w:type="gram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</w:t>
            </w:r>
            <w:proofErr w:type="gramEnd"/>
            <w:r w:rsidRPr="00A74192">
              <w:rPr>
                <w:rFonts w:cs="Arial"/>
              </w:rPr>
              <w:t xml:space="preserve"> </w:t>
            </w:r>
            <w:r w:rsidR="008B634C">
              <w:rPr>
                <w:rFonts w:cs="Arial"/>
              </w:rPr>
              <w:t>M</w:t>
            </w:r>
            <w:r w:rsidRPr="00A74192">
              <w:rPr>
                <w:rFonts w:cs="Arial"/>
              </w:rPr>
              <w:t>eziroční dynamika tohoto odvětví</w:t>
            </w:r>
            <w:r w:rsidR="008B634C">
              <w:rPr>
                <w:rFonts w:cs="Arial"/>
              </w:rPr>
              <w:t xml:space="preserve"> však</w:t>
            </w:r>
            <w:r w:rsidRPr="00A74192">
              <w:rPr>
                <w:rFonts w:cs="Arial"/>
              </w:rPr>
              <w:t xml:space="preserve"> zpomaluje (+4,9 %, +4,6 % a +3,9 %). K úspěšným odvětvím ve 3. čtvrtletí patřilo peněžnictví a pojišťovnictví (+2,4 %, příspěvek +0,1 </w:t>
            </w:r>
            <w:proofErr w:type="spellStart"/>
            <w:proofErr w:type="gram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.) a činnosti</w:t>
            </w:r>
            <w:proofErr w:type="gramEnd"/>
            <w:r w:rsidRPr="00A74192">
              <w:rPr>
                <w:rFonts w:cs="Arial"/>
              </w:rPr>
              <w:t xml:space="preserve"> v oblasti nemovitostí (+3,2 %, příspěvek +0,3 </w:t>
            </w:r>
            <w:proofErr w:type="spell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 xml:space="preserve">.). Slábnoucí dynamika v obchodě, dopravě, ubytování a pohostinství měla za následek nejnižší příspěvek k růstu od konce roku 2013 (+0,2 </w:t>
            </w:r>
            <w:proofErr w:type="spellStart"/>
            <w:proofErr w:type="gram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.).</w:t>
            </w:r>
            <w:proofErr w:type="gramEnd"/>
            <w:r w:rsidRPr="00A74192">
              <w:rPr>
                <w:rFonts w:cs="Arial"/>
              </w:rPr>
              <w:t xml:space="preserve"> </w:t>
            </w:r>
          </w:p>
          <w:p w:rsidR="009B0975" w:rsidRPr="008A73DA" w:rsidRDefault="009B0975" w:rsidP="00D94859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9F3F25" w:rsidRPr="00A74192" w:rsidTr="00AD4FEF">
        <w:tc>
          <w:tcPr>
            <w:tcW w:w="1074" w:type="pct"/>
            <w:gridSpan w:val="2"/>
          </w:tcPr>
          <w:p w:rsidR="009B0975" w:rsidRPr="00A74192" w:rsidRDefault="009B0975" w:rsidP="00D9485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t>… který kvůli zpomalení nebo propadu ostatních odvětví přispěl k růstu ze dvou třetin.</w:t>
            </w:r>
          </w:p>
        </w:tc>
        <w:tc>
          <w:tcPr>
            <w:tcW w:w="142" w:type="pct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</w:rPr>
            </w:pPr>
            <w:r w:rsidRPr="00A74192">
              <w:rPr>
                <w:rFonts w:cs="Arial"/>
              </w:rPr>
              <w:t xml:space="preserve">Výrazný propad ve stavebnictví ve 2. čtvrtletí roku 2016 se </w:t>
            </w:r>
            <w:r w:rsidR="00A76EF2">
              <w:rPr>
                <w:rFonts w:cs="Arial"/>
              </w:rPr>
              <w:t>ve 3. čtvrtletí stabilizoval</w:t>
            </w:r>
            <w:r w:rsidRPr="00A74192">
              <w:rPr>
                <w:rFonts w:cs="Arial"/>
              </w:rPr>
              <w:t>, přesto ve 3. čtvrtletí došlo k meziročnímu poklesu o 5,9 % a</w:t>
            </w:r>
            <w:r w:rsidR="00A76EF2">
              <w:rPr>
                <w:rFonts w:cs="Arial"/>
              </w:rPr>
              <w:t> </w:t>
            </w:r>
            <w:r w:rsidRPr="00A74192">
              <w:rPr>
                <w:rFonts w:cs="Arial"/>
              </w:rPr>
              <w:t xml:space="preserve">příspěvek k růstu byl negativní (−0,3 </w:t>
            </w:r>
            <w:proofErr w:type="spellStart"/>
            <w:proofErr w:type="gramStart"/>
            <w:r w:rsidRPr="00A74192">
              <w:rPr>
                <w:rFonts w:cs="Arial"/>
              </w:rPr>
              <w:t>p.b</w:t>
            </w:r>
            <w:proofErr w:type="spellEnd"/>
            <w:r w:rsidRPr="00A74192">
              <w:rPr>
                <w:rFonts w:cs="Arial"/>
              </w:rPr>
              <w:t>.).</w:t>
            </w:r>
            <w:proofErr w:type="gramEnd"/>
            <w:r w:rsidRPr="00A74192">
              <w:rPr>
                <w:rFonts w:cs="Arial"/>
              </w:rPr>
              <w:t xml:space="preserve"> Zpomalení, nebo propad v ostatních odvětvích zvýraznil klíčovou roli zpracovatelského průmyslu pro českou ekonomiku</w:t>
            </w:r>
            <w:r w:rsidR="00A76EF2">
              <w:rPr>
                <w:rFonts w:cs="Arial"/>
              </w:rPr>
              <w:t xml:space="preserve"> ve 3. čtvrtletí</w:t>
            </w:r>
            <w:r w:rsidRPr="00A74192">
              <w:rPr>
                <w:rFonts w:cs="Arial"/>
              </w:rPr>
              <w:t xml:space="preserve">. Jeho příspěvek tvořil dvě třetiny z celkového růstu. </w:t>
            </w:r>
          </w:p>
          <w:p w:rsidR="009B0975" w:rsidRPr="00A74192" w:rsidRDefault="009B0975" w:rsidP="00D94859">
            <w:pPr>
              <w:pStyle w:val="Textpoznpodarou"/>
              <w:jc w:val="both"/>
              <w:rPr>
                <w:rFonts w:cs="Arial"/>
                <w:highlight w:val="yellow"/>
              </w:rPr>
            </w:pPr>
          </w:p>
        </w:tc>
      </w:tr>
      <w:tr w:rsidR="00393D74" w:rsidRPr="00A74192" w:rsidTr="00AD4FEF">
        <w:tc>
          <w:tcPr>
            <w:tcW w:w="501" w:type="pct"/>
          </w:tcPr>
          <w:p w:rsidR="007430AB" w:rsidRDefault="00393D74" w:rsidP="00BE2C15">
            <w:pPr>
              <w:pStyle w:val="Textpoznpodarou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 xml:space="preserve">Graf č. </w:t>
            </w:r>
          </w:p>
          <w:p w:rsidR="00393D74" w:rsidRPr="00A74192" w:rsidRDefault="00393D74" w:rsidP="00BE2C15">
            <w:pPr>
              <w:pStyle w:val="Textpoznpodarou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>1</w:t>
            </w:r>
          </w:p>
        </w:tc>
        <w:tc>
          <w:tcPr>
            <w:tcW w:w="1998" w:type="pct"/>
            <w:gridSpan w:val="3"/>
          </w:tcPr>
          <w:p w:rsidR="00393D74" w:rsidRPr="00A74192" w:rsidRDefault="00393D74" w:rsidP="00AD4FEF">
            <w:pPr>
              <w:pStyle w:val="Textpoznpodarou"/>
              <w:jc w:val="both"/>
              <w:rPr>
                <w:rFonts w:cs="Arial"/>
                <w:lang w:eastAsia="en-US"/>
              </w:rPr>
            </w:pPr>
            <w:r w:rsidRPr="00A74192">
              <w:rPr>
                <w:rFonts w:cs="Arial"/>
                <w:b/>
                <w:lang w:eastAsia="en-US"/>
              </w:rPr>
              <w:t>HDP</w:t>
            </w:r>
            <w:r w:rsidR="00AD4FEF">
              <w:rPr>
                <w:rFonts w:cs="Arial"/>
                <w:b/>
                <w:lang w:eastAsia="en-US"/>
              </w:rPr>
              <w:t> </w:t>
            </w:r>
            <w:r w:rsidRPr="00A74192">
              <w:rPr>
                <w:rFonts w:cs="Arial"/>
                <w:lang w:eastAsia="en-US"/>
              </w:rPr>
              <w:t>(stálé</w:t>
            </w:r>
            <w:r w:rsidR="00AD4FEF">
              <w:rPr>
                <w:rFonts w:cs="Arial"/>
                <w:lang w:eastAsia="en-US"/>
              </w:rPr>
              <w:t> </w:t>
            </w:r>
            <w:r w:rsidRPr="00A74192">
              <w:rPr>
                <w:rFonts w:cs="Arial"/>
                <w:lang w:eastAsia="en-US"/>
              </w:rPr>
              <w:t>ceny,</w:t>
            </w:r>
            <w:r w:rsidR="00AD4FEF">
              <w:rPr>
                <w:rFonts w:cs="Arial"/>
                <w:lang w:eastAsia="en-US"/>
              </w:rPr>
              <w:t> </w:t>
            </w:r>
            <w:r w:rsidRPr="00A74192">
              <w:rPr>
                <w:rFonts w:cs="Arial"/>
                <w:lang w:eastAsia="en-US"/>
              </w:rPr>
              <w:t>očištěno</w:t>
            </w:r>
            <w:r w:rsidR="00AD4FEF">
              <w:rPr>
                <w:rFonts w:cs="Arial"/>
                <w:lang w:eastAsia="en-US"/>
              </w:rPr>
              <w:t> </w:t>
            </w:r>
            <w:r w:rsidRPr="00A74192">
              <w:rPr>
                <w:rFonts w:cs="Arial"/>
                <w:lang w:eastAsia="en-US"/>
              </w:rPr>
              <w:t>o</w:t>
            </w:r>
            <w:r w:rsidR="00AD4FEF">
              <w:rPr>
                <w:rFonts w:cs="Arial"/>
                <w:lang w:eastAsia="en-US"/>
              </w:rPr>
              <w:t> </w:t>
            </w:r>
            <w:r w:rsidRPr="00A74192">
              <w:rPr>
                <w:rFonts w:cs="Arial"/>
                <w:lang w:eastAsia="en-US"/>
              </w:rPr>
              <w:t>sezónní a kalendářní vlivy, v %)</w:t>
            </w:r>
          </w:p>
        </w:tc>
        <w:tc>
          <w:tcPr>
            <w:tcW w:w="450" w:type="pct"/>
          </w:tcPr>
          <w:p w:rsidR="007430AB" w:rsidRDefault="00393D74" w:rsidP="00AD4FEF">
            <w:pPr>
              <w:pStyle w:val="Textpoznpodarou"/>
              <w:ind w:left="-71" w:right="-250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 xml:space="preserve">Graf č. </w:t>
            </w:r>
          </w:p>
          <w:p w:rsidR="00393D74" w:rsidRPr="00A74192" w:rsidRDefault="00393D74" w:rsidP="00AD4FEF">
            <w:pPr>
              <w:pStyle w:val="Textpoznpodarou"/>
              <w:ind w:left="-71" w:right="-250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>2</w:t>
            </w:r>
          </w:p>
        </w:tc>
        <w:tc>
          <w:tcPr>
            <w:tcW w:w="2051" w:type="pct"/>
          </w:tcPr>
          <w:p w:rsidR="00393D74" w:rsidRPr="00A74192" w:rsidRDefault="00393D74" w:rsidP="001752CB">
            <w:pPr>
              <w:pStyle w:val="Textpoznpodarou"/>
              <w:ind w:right="34"/>
              <w:jc w:val="both"/>
              <w:rPr>
                <w:rFonts w:cs="Arial"/>
                <w:lang w:eastAsia="en-US"/>
              </w:rPr>
            </w:pPr>
            <w:r w:rsidRPr="00A74192">
              <w:rPr>
                <w:rFonts w:cs="Arial"/>
                <w:b/>
                <w:lang w:eastAsia="en-US"/>
              </w:rPr>
              <w:t xml:space="preserve">HDP </w:t>
            </w:r>
            <w:r w:rsidRPr="00A74192">
              <w:rPr>
                <w:rFonts w:cs="Arial"/>
                <w:lang w:eastAsia="en-US"/>
              </w:rPr>
              <w:t xml:space="preserve">(stálé ceny, očištěno o sezónní a kalendářní vlivy, y/y v %, pravá osa) </w:t>
            </w:r>
            <w:r w:rsidRPr="00A74192">
              <w:rPr>
                <w:rFonts w:cs="Arial"/>
                <w:b/>
                <w:lang w:eastAsia="en-US"/>
              </w:rPr>
              <w:t>a indikátory důvěry</w:t>
            </w:r>
            <w:r w:rsidRPr="00A74192">
              <w:rPr>
                <w:rFonts w:cs="Arial"/>
                <w:lang w:eastAsia="en-US"/>
              </w:rPr>
              <w:t xml:space="preserve"> (2005=100, levá osa)</w:t>
            </w:r>
          </w:p>
        </w:tc>
      </w:tr>
      <w:tr w:rsidR="00393D74" w:rsidRPr="00A74192" w:rsidTr="00AD4FEF">
        <w:tc>
          <w:tcPr>
            <w:tcW w:w="2499" w:type="pct"/>
            <w:gridSpan w:val="4"/>
          </w:tcPr>
          <w:p w:rsidR="00393D74" w:rsidRPr="00A74192" w:rsidRDefault="00505989" w:rsidP="00BE2C15">
            <w:pPr>
              <w:pStyle w:val="Textpoznpodarou"/>
              <w:ind w:left="-108"/>
              <w:jc w:val="both"/>
              <w:rPr>
                <w:rFonts w:cs="Arial"/>
                <w:color w:val="FF0000"/>
                <w:lang w:eastAsia="en-US"/>
              </w:rPr>
            </w:pPr>
            <w:r>
              <w:rPr>
                <w:rFonts w:cs="Arial"/>
                <w:noProof/>
                <w:color w:val="FF0000"/>
              </w:rPr>
              <w:drawing>
                <wp:inline distT="0" distB="0" distL="0" distR="0">
                  <wp:extent cx="3078000" cy="2294626"/>
                  <wp:effectExtent l="19050" t="0" r="8100" b="0"/>
                  <wp:docPr id="42" name="obrázek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000" cy="229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</w:tcPr>
          <w:p w:rsidR="00393D74" w:rsidRDefault="00505989" w:rsidP="00BE2C15">
            <w:pPr>
              <w:pStyle w:val="Textpoznpodarou"/>
              <w:ind w:left="-109"/>
              <w:jc w:val="both"/>
              <w:rPr>
                <w:rFonts w:cs="Arial"/>
                <w:color w:val="FF0000"/>
                <w:sz w:val="6"/>
                <w:szCs w:val="6"/>
                <w:lang w:eastAsia="en-US"/>
              </w:rPr>
            </w:pPr>
            <w:r>
              <w:rPr>
                <w:rFonts w:cs="Arial"/>
                <w:noProof/>
                <w:color w:val="FF0000"/>
              </w:rPr>
              <w:drawing>
                <wp:inline distT="0" distB="0" distL="0" distR="0">
                  <wp:extent cx="3078000" cy="2294626"/>
                  <wp:effectExtent l="19050" t="0" r="8100" b="0"/>
                  <wp:docPr id="41" name="obrázek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000" cy="229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D74" w:rsidRPr="0085188D" w:rsidRDefault="00393D74" w:rsidP="00BE2C15">
            <w:pPr>
              <w:pStyle w:val="Textpoznpodarou"/>
              <w:jc w:val="both"/>
              <w:rPr>
                <w:rFonts w:cs="Arial"/>
                <w:color w:val="FF0000"/>
                <w:sz w:val="6"/>
                <w:szCs w:val="6"/>
                <w:lang w:eastAsia="en-US"/>
              </w:rPr>
            </w:pPr>
          </w:p>
        </w:tc>
      </w:tr>
      <w:tr w:rsidR="00393D74" w:rsidRPr="00A74192" w:rsidTr="00AD4FEF">
        <w:tc>
          <w:tcPr>
            <w:tcW w:w="501" w:type="pct"/>
          </w:tcPr>
          <w:p w:rsidR="007430AB" w:rsidRDefault="00393D74" w:rsidP="00BE2C15">
            <w:pPr>
              <w:pStyle w:val="Textpoznpodarou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 xml:space="preserve">Graf č. </w:t>
            </w:r>
          </w:p>
          <w:p w:rsidR="00393D74" w:rsidRPr="00A74192" w:rsidRDefault="00393D74" w:rsidP="00BE2C15">
            <w:pPr>
              <w:pStyle w:val="Textpoznpodarou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>3</w:t>
            </w:r>
          </w:p>
        </w:tc>
        <w:tc>
          <w:tcPr>
            <w:tcW w:w="1998" w:type="pct"/>
            <w:gridSpan w:val="3"/>
          </w:tcPr>
          <w:p w:rsidR="00393D74" w:rsidRPr="00A74192" w:rsidRDefault="00393D74" w:rsidP="00AD4FEF">
            <w:pPr>
              <w:pStyle w:val="Textpoznpodarou"/>
              <w:ind w:right="139"/>
              <w:rPr>
                <w:rFonts w:cs="Arial"/>
                <w:lang w:eastAsia="en-US"/>
              </w:rPr>
            </w:pPr>
            <w:r w:rsidRPr="00A74192">
              <w:rPr>
                <w:rFonts w:cs="Arial"/>
                <w:b/>
                <w:lang w:eastAsia="en-US"/>
              </w:rPr>
              <w:t>Příspěvky výdajových složek ke změně HDP*</w:t>
            </w:r>
            <w:r w:rsidRPr="00A74192">
              <w:rPr>
                <w:rFonts w:cs="Arial"/>
                <w:lang w:eastAsia="en-US"/>
              </w:rPr>
              <w:t xml:space="preserve"> (stálé ceny, y/y, příspěvky v </w:t>
            </w:r>
            <w:proofErr w:type="spellStart"/>
            <w:proofErr w:type="gramStart"/>
            <w:r w:rsidRPr="00A74192">
              <w:rPr>
                <w:rFonts w:cs="Arial"/>
                <w:lang w:eastAsia="en-US"/>
              </w:rPr>
              <w:t>p.b</w:t>
            </w:r>
            <w:proofErr w:type="spellEnd"/>
            <w:r w:rsidRPr="00A74192">
              <w:rPr>
                <w:rFonts w:cs="Arial"/>
                <w:lang w:eastAsia="en-US"/>
              </w:rPr>
              <w:t>., HDP</w:t>
            </w:r>
            <w:proofErr w:type="gramEnd"/>
            <w:r w:rsidRPr="00A74192">
              <w:rPr>
                <w:rFonts w:cs="Arial"/>
                <w:lang w:eastAsia="en-US"/>
              </w:rPr>
              <w:t xml:space="preserve"> v %)</w:t>
            </w:r>
          </w:p>
        </w:tc>
        <w:tc>
          <w:tcPr>
            <w:tcW w:w="450" w:type="pct"/>
          </w:tcPr>
          <w:p w:rsidR="007430AB" w:rsidRDefault="00393D74" w:rsidP="001752CB">
            <w:pPr>
              <w:pStyle w:val="Textpoznpodarou"/>
              <w:ind w:left="-71" w:right="-108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 xml:space="preserve">Graf č. </w:t>
            </w:r>
          </w:p>
          <w:p w:rsidR="00393D74" w:rsidRPr="00A74192" w:rsidRDefault="00393D74" w:rsidP="001752CB">
            <w:pPr>
              <w:pStyle w:val="Textpoznpodarou"/>
              <w:ind w:left="-71" w:right="-108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>4</w:t>
            </w:r>
          </w:p>
        </w:tc>
        <w:tc>
          <w:tcPr>
            <w:tcW w:w="2051" w:type="pct"/>
          </w:tcPr>
          <w:p w:rsidR="00393D74" w:rsidRPr="00A74192" w:rsidRDefault="00393D74" w:rsidP="001752CB">
            <w:pPr>
              <w:pStyle w:val="Textpoznpodarou"/>
              <w:rPr>
                <w:rFonts w:cs="Arial"/>
                <w:lang w:eastAsia="en-US"/>
              </w:rPr>
            </w:pPr>
            <w:r w:rsidRPr="00A74192">
              <w:rPr>
                <w:rFonts w:cs="Arial"/>
                <w:b/>
                <w:lang w:eastAsia="en-US"/>
              </w:rPr>
              <w:t>Příspěvky odvětví ke změně HPH</w:t>
            </w:r>
            <w:r w:rsidRPr="00A74192">
              <w:rPr>
                <w:rFonts w:cs="Arial"/>
                <w:lang w:eastAsia="en-US"/>
              </w:rPr>
              <w:t xml:space="preserve"> (stálé ceny, y/y, příspěvky v </w:t>
            </w:r>
            <w:proofErr w:type="spellStart"/>
            <w:proofErr w:type="gramStart"/>
            <w:r w:rsidRPr="00A74192">
              <w:rPr>
                <w:rFonts w:cs="Arial"/>
                <w:lang w:eastAsia="en-US"/>
              </w:rPr>
              <w:t>p.b</w:t>
            </w:r>
            <w:proofErr w:type="spellEnd"/>
            <w:r w:rsidRPr="00A74192">
              <w:rPr>
                <w:rFonts w:cs="Arial"/>
                <w:lang w:eastAsia="en-US"/>
              </w:rPr>
              <w:t>., HPH</w:t>
            </w:r>
            <w:proofErr w:type="gramEnd"/>
            <w:r w:rsidRPr="00A74192">
              <w:rPr>
                <w:rFonts w:cs="Arial"/>
                <w:lang w:eastAsia="en-US"/>
              </w:rPr>
              <w:t xml:space="preserve"> v %)</w:t>
            </w:r>
          </w:p>
        </w:tc>
      </w:tr>
      <w:tr w:rsidR="00393D74" w:rsidRPr="00A74192" w:rsidTr="00AD4FEF">
        <w:tc>
          <w:tcPr>
            <w:tcW w:w="2499" w:type="pct"/>
            <w:gridSpan w:val="4"/>
          </w:tcPr>
          <w:p w:rsidR="00393D74" w:rsidRPr="00A74192" w:rsidRDefault="00A92916" w:rsidP="00BE2C15">
            <w:pPr>
              <w:pStyle w:val="Textpoznpodarou"/>
              <w:ind w:left="-108"/>
              <w:jc w:val="both"/>
              <w:rPr>
                <w:rFonts w:cs="Arial"/>
                <w:color w:val="FF0000"/>
                <w:sz w:val="22"/>
                <w:lang w:eastAsia="en-US"/>
              </w:rPr>
            </w:pPr>
            <w:r>
              <w:rPr>
                <w:rFonts w:cs="Arial"/>
                <w:noProof/>
                <w:color w:val="FF0000"/>
                <w:sz w:val="22"/>
              </w:rPr>
              <w:drawing>
                <wp:inline distT="0" distB="0" distL="0" distR="0">
                  <wp:extent cx="3078000" cy="2294626"/>
                  <wp:effectExtent l="19050" t="0" r="8100" b="0"/>
                  <wp:docPr id="68" name="obrázek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000" cy="229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</w:tcPr>
          <w:p w:rsidR="00393D74" w:rsidRPr="00A74192" w:rsidRDefault="00505989" w:rsidP="00BE2C15">
            <w:pPr>
              <w:pStyle w:val="Textpoznpodarou"/>
              <w:ind w:left="-109"/>
              <w:jc w:val="both"/>
              <w:rPr>
                <w:rFonts w:cs="Arial"/>
                <w:color w:val="FF0000"/>
                <w:sz w:val="22"/>
                <w:lang w:eastAsia="en-US"/>
              </w:rPr>
            </w:pPr>
            <w:r>
              <w:rPr>
                <w:rFonts w:cs="Arial"/>
                <w:noProof/>
                <w:color w:val="FF0000"/>
                <w:sz w:val="22"/>
              </w:rPr>
              <w:drawing>
                <wp:inline distT="0" distB="0" distL="0" distR="0">
                  <wp:extent cx="3078000" cy="2294626"/>
                  <wp:effectExtent l="19050" t="0" r="8100" b="0"/>
                  <wp:docPr id="64" name="obrázek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000" cy="229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74" w:rsidRPr="00A74192" w:rsidTr="00AD4FEF">
        <w:tc>
          <w:tcPr>
            <w:tcW w:w="2499" w:type="pct"/>
            <w:gridSpan w:val="4"/>
          </w:tcPr>
          <w:p w:rsidR="00393D74" w:rsidRPr="00F31D53" w:rsidRDefault="00F31D53" w:rsidP="00BE2C15">
            <w:pPr>
              <w:pStyle w:val="Textpoznpodarou"/>
              <w:ind w:left="-108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F31D53">
              <w:rPr>
                <w:rFonts w:cs="Arial"/>
                <w:sz w:val="18"/>
                <w:szCs w:val="18"/>
                <w:lang w:eastAsia="en-US"/>
              </w:rPr>
              <w:t>*</w:t>
            </w:r>
            <w:r w:rsidR="00393D74" w:rsidRPr="00F31D53">
              <w:rPr>
                <w:rFonts w:cs="Arial"/>
                <w:sz w:val="18"/>
                <w:szCs w:val="18"/>
                <w:lang w:eastAsia="en-US"/>
              </w:rPr>
              <w:t>po vyloučení dovozu pro konečné užití</w:t>
            </w:r>
          </w:p>
        </w:tc>
        <w:tc>
          <w:tcPr>
            <w:tcW w:w="2501" w:type="pct"/>
            <w:gridSpan w:val="2"/>
          </w:tcPr>
          <w:p w:rsidR="00393D74" w:rsidRPr="00F31D53" w:rsidRDefault="00393D74" w:rsidP="00393D74">
            <w:pPr>
              <w:pStyle w:val="Textpoznpodarou"/>
              <w:ind w:left="-109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31D53">
              <w:rPr>
                <w:rFonts w:cs="Arial"/>
                <w:sz w:val="18"/>
                <w:szCs w:val="18"/>
                <w:lang w:eastAsia="en-US"/>
              </w:rPr>
              <w:t>Zdroj:ČSÚ</w:t>
            </w:r>
          </w:p>
        </w:tc>
      </w:tr>
    </w:tbl>
    <w:p w:rsidR="00ED3A94" w:rsidRPr="00A74192" w:rsidRDefault="00ED3A94" w:rsidP="00D94859">
      <w:pPr>
        <w:pStyle w:val="Textpoznpodarou"/>
        <w:jc w:val="both"/>
        <w:rPr>
          <w:sz w:val="2"/>
          <w:szCs w:val="2"/>
        </w:rPr>
      </w:pPr>
    </w:p>
    <w:sectPr w:rsidR="00ED3A94" w:rsidRPr="00A74192" w:rsidSect="00702E3E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13" w:rsidRDefault="00A67713" w:rsidP="00E71A58">
      <w:r>
        <w:separator/>
      </w:r>
    </w:p>
  </w:endnote>
  <w:endnote w:type="continuationSeparator" w:id="0">
    <w:p w:rsidR="00A67713" w:rsidRDefault="00A6771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4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335C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DA335C" w:rsidRPr="005A21E0">
      <w:rPr>
        <w:rFonts w:ascii="Arial" w:hAnsi="Arial" w:cs="Arial"/>
        <w:sz w:val="16"/>
        <w:szCs w:val="16"/>
      </w:rPr>
      <w:fldChar w:fldCharType="separate"/>
    </w:r>
    <w:r w:rsidR="00702E3E">
      <w:rPr>
        <w:rFonts w:ascii="Arial" w:hAnsi="Arial" w:cs="Arial"/>
        <w:noProof/>
        <w:sz w:val="16"/>
        <w:szCs w:val="16"/>
      </w:rPr>
      <w:t>6</w:t>
    </w:r>
    <w:r w:rsidR="00DA335C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19156A" w:rsidRPr="00223E00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DA335C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DA335C" w:rsidRPr="00223E00">
      <w:rPr>
        <w:rFonts w:ascii="Arial" w:hAnsi="Arial" w:cs="Arial"/>
        <w:sz w:val="16"/>
        <w:szCs w:val="16"/>
      </w:rPr>
      <w:fldChar w:fldCharType="separate"/>
    </w:r>
    <w:r w:rsidR="00702E3E">
      <w:rPr>
        <w:rFonts w:ascii="Arial" w:hAnsi="Arial" w:cs="Arial"/>
        <w:noProof/>
        <w:sz w:val="16"/>
        <w:szCs w:val="16"/>
      </w:rPr>
      <w:t>7</w:t>
    </w:r>
    <w:r w:rsidR="00DA335C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13" w:rsidRDefault="00A67713" w:rsidP="00E71A58">
      <w:r>
        <w:separator/>
      </w:r>
    </w:p>
  </w:footnote>
  <w:footnote w:type="continuationSeparator" w:id="0">
    <w:p w:rsidR="00A67713" w:rsidRDefault="00A67713" w:rsidP="00E71A58">
      <w:r>
        <w:continuationSeparator/>
      </w:r>
    </w:p>
  </w:footnote>
  <w:footnote w:id="1">
    <w:p w:rsidR="0019156A" w:rsidRPr="00EF1EE3" w:rsidRDefault="0019156A" w:rsidP="00474B94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Data o HDP, hrubé přidané hodnotě a jejich složkách jsou vyjádřena ve stálých cenách a v očištění o sezónní a kalendářní vlivy. Údaje byly zveřejněny 2.</w:t>
      </w:r>
      <w:r>
        <w:rPr>
          <w:sz w:val="16"/>
          <w:szCs w:val="16"/>
        </w:rPr>
        <w:t xml:space="preserve"> </w:t>
      </w:r>
      <w:r w:rsidRPr="00EF1EE3">
        <w:rPr>
          <w:sz w:val="16"/>
          <w:szCs w:val="16"/>
        </w:rPr>
        <w:t>12. 2016 a zpřesnění bude publikováno 6. 1. 2017.</w:t>
      </w:r>
    </w:p>
  </w:footnote>
  <w:footnote w:id="2">
    <w:p w:rsidR="0019156A" w:rsidRPr="00CA5016" w:rsidRDefault="0019156A">
      <w:pPr>
        <w:pStyle w:val="Textpoznpodarou"/>
        <w:rPr>
          <w:sz w:val="16"/>
          <w:szCs w:val="16"/>
        </w:rPr>
      </w:pPr>
      <w:r w:rsidRPr="00CA5016">
        <w:rPr>
          <w:rStyle w:val="Znakapoznpodarou"/>
          <w:sz w:val="16"/>
          <w:szCs w:val="16"/>
        </w:rPr>
        <w:footnoteRef/>
      </w:r>
      <w:r w:rsidRPr="00CA5016">
        <w:rPr>
          <w:sz w:val="16"/>
          <w:szCs w:val="16"/>
        </w:rPr>
        <w:t xml:space="preserve"> Do hodnocení nebylo z důvodu nedostupnosti dat zahrnuto Lucembursko.</w:t>
      </w:r>
    </w:p>
  </w:footnote>
  <w:footnote w:id="3">
    <w:p w:rsidR="0019156A" w:rsidRPr="00EF1EE3" w:rsidRDefault="0019156A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proofErr w:type="spellStart"/>
      <w:r w:rsidRPr="00EF1EE3">
        <w:rPr>
          <w:sz w:val="16"/>
          <w:szCs w:val="16"/>
        </w:rPr>
        <w:t>Štatistický</w:t>
      </w:r>
      <w:proofErr w:type="spellEnd"/>
      <w:r w:rsidRPr="00EF1EE3">
        <w:rPr>
          <w:sz w:val="16"/>
          <w:szCs w:val="16"/>
        </w:rPr>
        <w:t xml:space="preserve"> </w:t>
      </w:r>
      <w:proofErr w:type="spellStart"/>
      <w:r w:rsidRPr="00EF1EE3">
        <w:rPr>
          <w:sz w:val="16"/>
          <w:szCs w:val="16"/>
        </w:rPr>
        <w:t>úrad</w:t>
      </w:r>
      <w:proofErr w:type="spellEnd"/>
      <w:r w:rsidRPr="00EF1EE3">
        <w:rPr>
          <w:sz w:val="16"/>
          <w:szCs w:val="16"/>
        </w:rPr>
        <w:t xml:space="preserve"> </w:t>
      </w:r>
      <w:proofErr w:type="spellStart"/>
      <w:r w:rsidRPr="00EF1EE3">
        <w:rPr>
          <w:sz w:val="16"/>
          <w:szCs w:val="16"/>
        </w:rPr>
        <w:t>Slovenskej</w:t>
      </w:r>
      <w:proofErr w:type="spellEnd"/>
      <w:r w:rsidRPr="00EF1EE3">
        <w:rPr>
          <w:sz w:val="16"/>
          <w:szCs w:val="16"/>
        </w:rPr>
        <w:t xml:space="preserve"> republiky, neočištěno o kalendářní vlivy.</w:t>
      </w:r>
    </w:p>
  </w:footnote>
  <w:footnote w:id="4">
    <w:p w:rsidR="0019156A" w:rsidRPr="00EF1EE3" w:rsidRDefault="0019156A" w:rsidP="00474B94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Příspěvky ke změně HDP po vyloučení dovozu pro konečné užití.</w:t>
      </w:r>
    </w:p>
  </w:footnote>
  <w:footnote w:id="5">
    <w:p w:rsidR="0019156A" w:rsidRPr="00DC26D7" w:rsidRDefault="0019156A" w:rsidP="00A74192">
      <w:pPr>
        <w:pStyle w:val="Textpoznpodarou"/>
        <w:rPr>
          <w:sz w:val="16"/>
          <w:szCs w:val="16"/>
        </w:rPr>
      </w:pPr>
      <w:r w:rsidRPr="00DC26D7">
        <w:rPr>
          <w:rStyle w:val="Znakapoznpodarou"/>
          <w:sz w:val="16"/>
          <w:szCs w:val="16"/>
        </w:rPr>
        <w:footnoteRef/>
      </w:r>
      <w:r w:rsidRPr="00DC26D7">
        <w:rPr>
          <w:sz w:val="16"/>
          <w:szCs w:val="16"/>
        </w:rPr>
        <w:t xml:space="preserve"> Do reálného vyjádření převedeno s využitím deflátoru výdajů na konečnou spotřebu domácností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90E"/>
    <w:multiLevelType w:val="hybridMultilevel"/>
    <w:tmpl w:val="EB3293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12"/>
  </w:num>
  <w:num w:numId="1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0770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9AE"/>
    <w:rsid w:val="00041E9C"/>
    <w:rsid w:val="00043E05"/>
    <w:rsid w:val="0004694F"/>
    <w:rsid w:val="000500DC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4FFC"/>
    <w:rsid w:val="000779AC"/>
    <w:rsid w:val="00080AA8"/>
    <w:rsid w:val="00083803"/>
    <w:rsid w:val="00083D7F"/>
    <w:rsid w:val="00084393"/>
    <w:rsid w:val="0008716A"/>
    <w:rsid w:val="00087634"/>
    <w:rsid w:val="00091237"/>
    <w:rsid w:val="0009191B"/>
    <w:rsid w:val="000920EC"/>
    <w:rsid w:val="00092208"/>
    <w:rsid w:val="00092505"/>
    <w:rsid w:val="000927EB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A8F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2BB2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56A"/>
    <w:rsid w:val="00191BAE"/>
    <w:rsid w:val="00193432"/>
    <w:rsid w:val="0019346C"/>
    <w:rsid w:val="00194AE3"/>
    <w:rsid w:val="00195335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5A2C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01B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CC5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2F7902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30B0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50CF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D98"/>
    <w:rsid w:val="00385EC5"/>
    <w:rsid w:val="0038658E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4FB5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030"/>
    <w:rsid w:val="00401716"/>
    <w:rsid w:val="00401A09"/>
    <w:rsid w:val="0040273A"/>
    <w:rsid w:val="00402C25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37F4A"/>
    <w:rsid w:val="00440E2D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0AE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4F77AE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1BF9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F4C"/>
    <w:rsid w:val="006E22C8"/>
    <w:rsid w:val="006E279A"/>
    <w:rsid w:val="006E2C28"/>
    <w:rsid w:val="006E2D21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4C7"/>
    <w:rsid w:val="00702100"/>
    <w:rsid w:val="00702D6F"/>
    <w:rsid w:val="00702E3E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4E80"/>
    <w:rsid w:val="00725492"/>
    <w:rsid w:val="00726043"/>
    <w:rsid w:val="0072704A"/>
    <w:rsid w:val="00730AE8"/>
    <w:rsid w:val="007315DA"/>
    <w:rsid w:val="00731963"/>
    <w:rsid w:val="00732706"/>
    <w:rsid w:val="00734321"/>
    <w:rsid w:val="0073532E"/>
    <w:rsid w:val="007360D7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B0A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0393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EF7"/>
    <w:rsid w:val="007E3715"/>
    <w:rsid w:val="007E7063"/>
    <w:rsid w:val="007E7E61"/>
    <w:rsid w:val="007F0845"/>
    <w:rsid w:val="007F1092"/>
    <w:rsid w:val="007F16F9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B9D"/>
    <w:rsid w:val="00905A11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C71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D9C"/>
    <w:rsid w:val="009954FF"/>
    <w:rsid w:val="00995E2F"/>
    <w:rsid w:val="009961BC"/>
    <w:rsid w:val="00996355"/>
    <w:rsid w:val="00997ADD"/>
    <w:rsid w:val="009A2014"/>
    <w:rsid w:val="009A2030"/>
    <w:rsid w:val="009A3A87"/>
    <w:rsid w:val="009A4E12"/>
    <w:rsid w:val="009A5C68"/>
    <w:rsid w:val="009A6EF7"/>
    <w:rsid w:val="009B04D0"/>
    <w:rsid w:val="009B052C"/>
    <w:rsid w:val="009B0975"/>
    <w:rsid w:val="009B0EF2"/>
    <w:rsid w:val="009B23A3"/>
    <w:rsid w:val="009B2C0E"/>
    <w:rsid w:val="009B47BE"/>
    <w:rsid w:val="009B4925"/>
    <w:rsid w:val="009B4B4B"/>
    <w:rsid w:val="009B4CE3"/>
    <w:rsid w:val="009B6FD3"/>
    <w:rsid w:val="009B70BD"/>
    <w:rsid w:val="009C07A5"/>
    <w:rsid w:val="009C3705"/>
    <w:rsid w:val="009C7388"/>
    <w:rsid w:val="009C74C2"/>
    <w:rsid w:val="009D0CFF"/>
    <w:rsid w:val="009D1551"/>
    <w:rsid w:val="009D2859"/>
    <w:rsid w:val="009D36EC"/>
    <w:rsid w:val="009D4173"/>
    <w:rsid w:val="009D51CA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BC7"/>
    <w:rsid w:val="00A62CE1"/>
    <w:rsid w:val="00A631FA"/>
    <w:rsid w:val="00A64203"/>
    <w:rsid w:val="00A64348"/>
    <w:rsid w:val="00A644E1"/>
    <w:rsid w:val="00A67713"/>
    <w:rsid w:val="00A711B0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4DB"/>
    <w:rsid w:val="00A92916"/>
    <w:rsid w:val="00A94628"/>
    <w:rsid w:val="00A94954"/>
    <w:rsid w:val="00A96463"/>
    <w:rsid w:val="00A97E3F"/>
    <w:rsid w:val="00AA09D3"/>
    <w:rsid w:val="00AA220F"/>
    <w:rsid w:val="00AA23FB"/>
    <w:rsid w:val="00AA34FE"/>
    <w:rsid w:val="00AA42AB"/>
    <w:rsid w:val="00AA559A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44D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17E3C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149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6B5"/>
    <w:rsid w:val="00C6736C"/>
    <w:rsid w:val="00C71A1D"/>
    <w:rsid w:val="00C71EC4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5EC"/>
    <w:rsid w:val="00D002DF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335C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2872"/>
    <w:rsid w:val="00DD2A62"/>
    <w:rsid w:val="00DD2BD0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6AF7"/>
    <w:rsid w:val="00E571F2"/>
    <w:rsid w:val="00E57429"/>
    <w:rsid w:val="00E61EA8"/>
    <w:rsid w:val="00E63221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A77CA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06D38"/>
    <w:rsid w:val="00F101FF"/>
    <w:rsid w:val="00F104DF"/>
    <w:rsid w:val="00F10A33"/>
    <w:rsid w:val="00F10B64"/>
    <w:rsid w:val="00F1186C"/>
    <w:rsid w:val="00F11AD5"/>
    <w:rsid w:val="00F126D0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895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43A0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6E4A4-D526-4EC6-9333-9C7AAD3A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5</TotalTime>
  <Pages>3</Pages>
  <Words>1587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2016-12-20T07:27:00Z</cp:lastPrinted>
  <dcterms:created xsi:type="dcterms:W3CDTF">2016-12-20T14:13:00Z</dcterms:created>
  <dcterms:modified xsi:type="dcterms:W3CDTF">2016-12-20T14:18:00Z</dcterms:modified>
</cp:coreProperties>
</file>