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EB" w:rsidRDefault="005752EB" w:rsidP="00D94859">
      <w:pPr>
        <w:rPr>
          <w:sz w:val="2"/>
          <w:szCs w:val="2"/>
          <w:lang w:eastAsia="ar-SA"/>
        </w:rPr>
      </w:pPr>
    </w:p>
    <w:p w:rsidR="005752EB" w:rsidRPr="00A74192" w:rsidRDefault="005752EB" w:rsidP="00D94859">
      <w:pPr>
        <w:rPr>
          <w:sz w:val="2"/>
          <w:szCs w:val="2"/>
          <w:lang w:eastAsia="ar-SA"/>
        </w:rPr>
      </w:pPr>
    </w:p>
    <w:p w:rsidR="00576A3E" w:rsidRPr="00A74192" w:rsidRDefault="00576A3E" w:rsidP="00C94938">
      <w:pPr>
        <w:pStyle w:val="Nadpis1"/>
        <w:numPr>
          <w:ilvl w:val="0"/>
          <w:numId w:val="16"/>
        </w:numPr>
        <w:jc w:val="both"/>
      </w:pPr>
      <w:bookmarkStart w:id="0" w:name="_Toc469299935"/>
      <w:bookmarkStart w:id="1" w:name="_Toc469327804"/>
      <w:r w:rsidRPr="00A74192">
        <w:t>Měnové podmínky</w:t>
      </w:r>
      <w:bookmarkEnd w:id="0"/>
      <w:bookmarkEnd w:id="1"/>
    </w:p>
    <w:tbl>
      <w:tblPr>
        <w:tblW w:w="4995" w:type="pct"/>
        <w:tblInd w:w="108" w:type="dxa"/>
        <w:tblLayout w:type="fixed"/>
        <w:tblLook w:val="00A0"/>
      </w:tblPr>
      <w:tblGrid>
        <w:gridCol w:w="1134"/>
        <w:gridCol w:w="866"/>
        <w:gridCol w:w="284"/>
        <w:gridCol w:w="2589"/>
        <w:gridCol w:w="1150"/>
        <w:gridCol w:w="3821"/>
      </w:tblGrid>
      <w:tr w:rsidR="00EE0473" w:rsidRPr="00A74192" w:rsidTr="00F06C6F">
        <w:trPr>
          <w:trHeight w:val="145"/>
        </w:trPr>
        <w:tc>
          <w:tcPr>
            <w:tcW w:w="1016" w:type="pct"/>
            <w:gridSpan w:val="2"/>
          </w:tcPr>
          <w:p w:rsidR="00EE0473" w:rsidRPr="00A74192" w:rsidRDefault="00EE0473" w:rsidP="008869D2">
            <w:pPr>
              <w:spacing w:line="240" w:lineRule="auto"/>
              <w:rPr>
                <w:color w:val="000000" w:themeColor="text1"/>
                <w:sz w:val="16"/>
                <w:szCs w:val="16"/>
              </w:rPr>
            </w:pPr>
            <w:r w:rsidRPr="00A74192">
              <w:rPr>
                <w:color w:val="000000" w:themeColor="text1"/>
                <w:sz w:val="16"/>
                <w:szCs w:val="16"/>
              </w:rPr>
              <w:t>Nastavení měnové politiky se nezměnilo. Nadále platil kurzový závazek ČNB.</w:t>
            </w:r>
          </w:p>
        </w:tc>
        <w:tc>
          <w:tcPr>
            <w:tcW w:w="144" w:type="pct"/>
          </w:tcPr>
          <w:p w:rsidR="00EE0473" w:rsidRPr="00A74192" w:rsidRDefault="00EE0473" w:rsidP="00D94859">
            <w:pPr>
              <w:pStyle w:val="Textpoznpodarou"/>
              <w:jc w:val="both"/>
            </w:pPr>
          </w:p>
        </w:tc>
        <w:tc>
          <w:tcPr>
            <w:tcW w:w="3840" w:type="pct"/>
            <w:gridSpan w:val="3"/>
          </w:tcPr>
          <w:p w:rsidR="00EE0473" w:rsidRPr="00A74192" w:rsidRDefault="00EE0473" w:rsidP="00D94859">
            <w:pPr>
              <w:pStyle w:val="Textpoznpodarou"/>
              <w:jc w:val="both"/>
            </w:pPr>
            <w:r w:rsidRPr="00A74192">
              <w:t xml:space="preserve">Uvolněná měnová politika ČR přetrvávala i v 1. až 3. čtvrtletí 2016. </w:t>
            </w:r>
            <w:proofErr w:type="spellStart"/>
            <w:r w:rsidRPr="00A74192">
              <w:t>Měnověpolitické</w:t>
            </w:r>
            <w:proofErr w:type="spellEnd"/>
            <w:r w:rsidRPr="00A74192">
              <w:t xml:space="preserve"> sazby zůstaly nezměněny – 2T </w:t>
            </w:r>
            <w:proofErr w:type="spellStart"/>
            <w:r w:rsidRPr="00A74192">
              <w:t>repo</w:t>
            </w:r>
            <w:proofErr w:type="spellEnd"/>
            <w:r w:rsidRPr="00A74192">
              <w:t xml:space="preserve"> sazba a diskontní sazba jsou stále na úrovni blízké nule (0,05 %), podobně jako lombardní sazba (0,25 %). Měnový kurz koruny k euru je od listopadu 2013 usměrňovaný závazkem České národní banky (ČNB). Ve 3. čtvrtletí 2015 kurz koruny dosáhl hranice kurzového závazku a od té doby ji neopustil. Kurz koruny k americkému dolaru se během prvních devíti měsíců držel pod 25 korunami za dolar. Meziročně kurz posiloval, nejvíce ve druhém čtvrtletí, kdy se dostal průměrně pod 24 korun. Jeho průměrná hodnota dosáhla 24,23 korun za dolar a vůči průměrnému kurzu za stejné období roku 2015 měna posílila o 1,3 %. Peněžní zásoba vyjádřená harmonizovaným měnovým agregátem M3 nadále rostla, průměrné tempo růstu se ustálilo těsně nad 9 %.</w:t>
            </w:r>
          </w:p>
          <w:p w:rsidR="00EE0473" w:rsidRPr="008A73DA" w:rsidRDefault="00EE0473" w:rsidP="00D94859">
            <w:pPr>
              <w:pStyle w:val="Textpoznpodarou"/>
              <w:jc w:val="both"/>
              <w:rPr>
                <w:sz w:val="15"/>
                <w:szCs w:val="15"/>
              </w:rPr>
            </w:pPr>
          </w:p>
        </w:tc>
      </w:tr>
      <w:tr w:rsidR="00EE0473" w:rsidRPr="00A74192" w:rsidTr="00F06C6F">
        <w:trPr>
          <w:trHeight w:val="145"/>
        </w:trPr>
        <w:tc>
          <w:tcPr>
            <w:tcW w:w="1016" w:type="pct"/>
            <w:gridSpan w:val="2"/>
            <w:shd w:val="clear" w:color="auto" w:fill="auto"/>
          </w:tcPr>
          <w:p w:rsidR="00EE0473" w:rsidRPr="00A74192" w:rsidRDefault="00EE0473" w:rsidP="00D94859">
            <w:pPr>
              <w:spacing w:line="240" w:lineRule="auto"/>
              <w:rPr>
                <w:color w:val="000000" w:themeColor="text1"/>
                <w:sz w:val="16"/>
                <w:szCs w:val="16"/>
              </w:rPr>
            </w:pPr>
            <w:r w:rsidRPr="00A74192">
              <w:rPr>
                <w:color w:val="000000" w:themeColor="text1"/>
                <w:sz w:val="16"/>
                <w:szCs w:val="16"/>
              </w:rPr>
              <w:t>Vzhledem k bankovním podmínkám stále klesá objem vkladů s domluvenou splatností a zvyšuje se objem jednodenních vkladů. Ty tvořily 75,5 % z celkového objemu peněz v ekonomice.</w:t>
            </w:r>
          </w:p>
        </w:tc>
        <w:tc>
          <w:tcPr>
            <w:tcW w:w="144" w:type="pct"/>
          </w:tcPr>
          <w:p w:rsidR="00EE0473" w:rsidRPr="00A74192" w:rsidRDefault="00EE0473" w:rsidP="00D94859">
            <w:pPr>
              <w:pStyle w:val="Textpoznpodarou"/>
              <w:jc w:val="both"/>
            </w:pPr>
          </w:p>
        </w:tc>
        <w:tc>
          <w:tcPr>
            <w:tcW w:w="3840" w:type="pct"/>
            <w:gridSpan w:val="3"/>
          </w:tcPr>
          <w:p w:rsidR="00EE0473" w:rsidRPr="00A74192" w:rsidRDefault="00EE0473" w:rsidP="00D94859">
            <w:pPr>
              <w:pStyle w:val="Textpoznpodarou"/>
              <w:jc w:val="both"/>
            </w:pPr>
            <w:r w:rsidRPr="00A74192">
              <w:t>Harmonizovaný měnový agregát M3 dosáhl na konci 3. čtvrtletí 2016 hodnoty 3776 mld. korun. Na jeho nárůstu se podílí především jednodenní vklady, které vzrostly k 30. 9. meziročně o 12,5 %. Podíl těchto vkladů stabilně roste od roku 2010 a v září 2016 dosáhl 75,5 %</w:t>
            </w:r>
            <w:r w:rsidRPr="00A74192">
              <w:rPr>
                <w:rStyle w:val="Znakapoznpodarou"/>
              </w:rPr>
              <w:footnoteReference w:id="1"/>
            </w:r>
            <w:r w:rsidRPr="00A74192">
              <w:t xml:space="preserve">. Od ledna 2016 se zvýšil o 2,5 </w:t>
            </w:r>
            <w:proofErr w:type="spellStart"/>
            <w:proofErr w:type="gramStart"/>
            <w:r w:rsidRPr="00A74192">
              <w:t>p.b</w:t>
            </w:r>
            <w:proofErr w:type="spellEnd"/>
            <w:r w:rsidRPr="00A74192">
              <w:t>.</w:t>
            </w:r>
            <w:proofErr w:type="gramEnd"/>
            <w:r w:rsidRPr="00A74192">
              <w:t xml:space="preserve"> Jednodenních vkladů přibývá na úkor vkladů se splatností do dvou let a vkladů s výpovědní lhůtou do tří měsíců. Za prvních devět měsíců roku 2016 se jejich objem snížil o 75,9 mld. korun. Položky </w:t>
            </w:r>
            <w:proofErr w:type="spellStart"/>
            <w:r w:rsidRPr="00A74192">
              <w:t>repo</w:t>
            </w:r>
            <w:proofErr w:type="spellEnd"/>
            <w:r w:rsidRPr="00A74192">
              <w:t xml:space="preserve"> operací, cenných papírů, fondů peněžního trhu a dluhopisů se splatností do dvou let, které jsou co do objemu prakticky bezvýznamné, kolísaly během roku mezi 15 až 25 miliardami korun. </w:t>
            </w:r>
          </w:p>
          <w:p w:rsidR="00EE0473" w:rsidRPr="008A73DA" w:rsidRDefault="00EE0473" w:rsidP="00D94859">
            <w:pPr>
              <w:pStyle w:val="Textpoznpodarou"/>
              <w:jc w:val="both"/>
              <w:rPr>
                <w:sz w:val="15"/>
                <w:szCs w:val="15"/>
              </w:rPr>
            </w:pPr>
          </w:p>
        </w:tc>
      </w:tr>
      <w:tr w:rsidR="00EE0473" w:rsidRPr="00A74192" w:rsidTr="00F06C6F">
        <w:trPr>
          <w:trHeight w:val="145"/>
        </w:trPr>
        <w:tc>
          <w:tcPr>
            <w:tcW w:w="1016" w:type="pct"/>
            <w:gridSpan w:val="2"/>
            <w:shd w:val="clear" w:color="auto" w:fill="auto"/>
          </w:tcPr>
          <w:p w:rsidR="00EE0473" w:rsidRPr="00A74192" w:rsidRDefault="00EE0473" w:rsidP="00D94859">
            <w:pPr>
              <w:spacing w:line="240" w:lineRule="auto"/>
              <w:rPr>
                <w:color w:val="000000" w:themeColor="text1"/>
                <w:sz w:val="16"/>
                <w:szCs w:val="16"/>
              </w:rPr>
            </w:pPr>
            <w:r w:rsidRPr="00A74192">
              <w:rPr>
                <w:color w:val="000000" w:themeColor="text1"/>
                <w:sz w:val="16"/>
                <w:szCs w:val="16"/>
              </w:rPr>
              <w:t>Tržní úrokové sazby nezaznamenaly výraznější pohyb. Do záporných hodnot klesly výnosy dvouletých i</w:t>
            </w:r>
            <w:r w:rsidR="005E6AB8">
              <w:rPr>
                <w:color w:val="000000" w:themeColor="text1"/>
                <w:sz w:val="16"/>
                <w:szCs w:val="16"/>
              </w:rPr>
              <w:t> </w:t>
            </w:r>
            <w:r w:rsidRPr="00A74192">
              <w:rPr>
                <w:color w:val="000000" w:themeColor="text1"/>
                <w:sz w:val="16"/>
                <w:szCs w:val="16"/>
              </w:rPr>
              <w:t xml:space="preserve">pětiletých dluhopisů. </w:t>
            </w:r>
          </w:p>
          <w:p w:rsidR="00EE0473" w:rsidRPr="00A74192" w:rsidRDefault="00EE0473" w:rsidP="00D94859">
            <w:pPr>
              <w:spacing w:line="240" w:lineRule="auto"/>
              <w:rPr>
                <w:color w:val="000000" w:themeColor="text1"/>
                <w:sz w:val="16"/>
                <w:szCs w:val="16"/>
              </w:rPr>
            </w:pPr>
          </w:p>
          <w:p w:rsidR="00EE0473" w:rsidRPr="00A74192" w:rsidRDefault="00EE0473" w:rsidP="00D94859">
            <w:pPr>
              <w:spacing w:line="240" w:lineRule="auto"/>
              <w:rPr>
                <w:color w:val="000000" w:themeColor="text1"/>
                <w:sz w:val="16"/>
                <w:szCs w:val="16"/>
              </w:rPr>
            </w:pP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A74192" w:rsidRDefault="00EE0473" w:rsidP="00D94859">
            <w:pPr>
              <w:pStyle w:val="Textpoznpodarou"/>
              <w:jc w:val="both"/>
            </w:pPr>
            <w:r w:rsidRPr="00A74192">
              <w:t xml:space="preserve">V oblasti tržních úrokových sazeb po celé sledované období nedošlo ke změnám. Jejich rekordně nízká úroveň odráží </w:t>
            </w:r>
            <w:proofErr w:type="spellStart"/>
            <w:r w:rsidRPr="00A74192">
              <w:t>měnověpolitické</w:t>
            </w:r>
            <w:proofErr w:type="spellEnd"/>
            <w:r w:rsidRPr="00A74192">
              <w:t xml:space="preserve"> sazby nastavené na tzv. technickou nulu. Tříměsíční PRIBOR se od ledna nezměnil a drží se těsně pod hladinou 0,30 %. Průměrná hodnota roční sazby PRIBOR byla v 1. až 3. čtvrtletí 0,45 %. Meziročně došlo k poklesu sazeb v řádu setin </w:t>
            </w:r>
            <w:proofErr w:type="spellStart"/>
            <w:proofErr w:type="gramStart"/>
            <w:r w:rsidRPr="00A74192">
              <w:t>p.b</w:t>
            </w:r>
            <w:proofErr w:type="spellEnd"/>
            <w:r w:rsidRPr="00A74192">
              <w:t>.</w:t>
            </w:r>
            <w:proofErr w:type="gramEnd"/>
            <w:r w:rsidRPr="00A74192">
              <w:t xml:space="preserve"> Průměrné výnosy státních dluhopisů zrcadlí stav na finančních trzích i vysokou poptávku investorů po relativně bezpečných aktivech. Výnos dluhopisů se splatností dva roky byl od ledna do září záporný, v září klesl na historicky nejnižší hodnotu (-0.50 %). Ve 3.</w:t>
            </w:r>
            <w:r w:rsidR="00EC0EC1">
              <w:t> </w:t>
            </w:r>
            <w:r w:rsidRPr="00A74192">
              <w:t xml:space="preserve">čtvrtletí byl záporný i výnos dluhopisů se splatností pět let. Výnos desetiletých dluhopisů činil průměrně 0,30 % a meziročně se snížil o 0,39 </w:t>
            </w:r>
            <w:proofErr w:type="spellStart"/>
            <w:proofErr w:type="gramStart"/>
            <w:r w:rsidRPr="00A74192">
              <w:t>p.b</w:t>
            </w:r>
            <w:proofErr w:type="spellEnd"/>
            <w:r w:rsidRPr="00A74192">
              <w:t>.</w:t>
            </w:r>
            <w:proofErr w:type="gramEnd"/>
            <w:r w:rsidRPr="00A74192">
              <w:t xml:space="preserve"> Zvýšená poptávka je dávána do souvislosti s očekávaným ukončením intervencí ČNB, uvolněním směnného kurzu a spekulacemi investorů. </w:t>
            </w:r>
          </w:p>
          <w:p w:rsidR="00EE0473" w:rsidRPr="008A73DA" w:rsidRDefault="00EE0473" w:rsidP="00D94859">
            <w:pPr>
              <w:pStyle w:val="Textpoznpodarou"/>
              <w:jc w:val="both"/>
              <w:rPr>
                <w:sz w:val="15"/>
                <w:szCs w:val="15"/>
                <w:highlight w:val="yellow"/>
              </w:rPr>
            </w:pPr>
          </w:p>
        </w:tc>
      </w:tr>
      <w:tr w:rsidR="00EE0473" w:rsidRPr="00A74192" w:rsidTr="00F06C6F">
        <w:trPr>
          <w:trHeight w:val="145"/>
        </w:trPr>
        <w:tc>
          <w:tcPr>
            <w:tcW w:w="1016" w:type="pct"/>
            <w:gridSpan w:val="2"/>
            <w:shd w:val="clear" w:color="auto" w:fill="auto"/>
          </w:tcPr>
          <w:p w:rsidR="00EE0473" w:rsidRPr="00A74192" w:rsidRDefault="00EE0473" w:rsidP="00D94859">
            <w:pPr>
              <w:spacing w:line="240" w:lineRule="auto"/>
              <w:rPr>
                <w:color w:val="000000" w:themeColor="text1"/>
                <w:sz w:val="16"/>
                <w:szCs w:val="16"/>
              </w:rPr>
            </w:pPr>
            <w:r w:rsidRPr="00A74192">
              <w:rPr>
                <w:color w:val="000000" w:themeColor="text1"/>
                <w:sz w:val="16"/>
                <w:szCs w:val="16"/>
              </w:rPr>
              <w:t>Úrokové sazby na vkladech pro nefinanční podniky se pohybují blízko nuly…</w:t>
            </w:r>
          </w:p>
          <w:p w:rsidR="00EE0473" w:rsidRPr="00A74192" w:rsidRDefault="00EE0473" w:rsidP="00D94859">
            <w:pPr>
              <w:spacing w:line="240" w:lineRule="auto"/>
              <w:rPr>
                <w:color w:val="000000" w:themeColor="text1"/>
                <w:sz w:val="16"/>
                <w:szCs w:val="16"/>
              </w:rPr>
            </w:pPr>
          </w:p>
          <w:p w:rsidR="00EE0473" w:rsidRPr="00A74192" w:rsidRDefault="00EE0473" w:rsidP="00D94859">
            <w:pPr>
              <w:spacing w:line="240" w:lineRule="auto"/>
              <w:rPr>
                <w:color w:val="000000" w:themeColor="text1"/>
                <w:sz w:val="16"/>
                <w:szCs w:val="16"/>
              </w:rPr>
            </w:pPr>
          </w:p>
        </w:tc>
        <w:tc>
          <w:tcPr>
            <w:tcW w:w="144" w:type="pct"/>
          </w:tcPr>
          <w:p w:rsidR="00EE0473" w:rsidRPr="00A74192" w:rsidRDefault="00EE0473" w:rsidP="00D94859">
            <w:pPr>
              <w:pStyle w:val="Textpoznpodarou"/>
              <w:jc w:val="both"/>
            </w:pPr>
          </w:p>
        </w:tc>
        <w:tc>
          <w:tcPr>
            <w:tcW w:w="3840" w:type="pct"/>
            <w:gridSpan w:val="3"/>
          </w:tcPr>
          <w:p w:rsidR="00EE0473" w:rsidRPr="00A74192" w:rsidRDefault="00EE0473" w:rsidP="00D94859">
            <w:pPr>
              <w:pStyle w:val="Textpoznpodarou"/>
              <w:jc w:val="both"/>
            </w:pPr>
            <w:r w:rsidRPr="00A74192">
              <w:t>Depozitní sazby a sazby z úvěrů se během 1. až 3. čtvrtletí snížily na rekordní minima, podobně jako mezibankovní sazby, na které jsou navázány. Průměrná sazba na jednodenních vkladech domácností za leden až září byla 0,17 % a</w:t>
            </w:r>
            <w:r w:rsidR="00EC0EC1">
              <w:t> </w:t>
            </w:r>
            <w:r w:rsidRPr="00A74192">
              <w:t>terminované vklady se zhodnocovaly průměrně o 1,14 %. Pro nefinanční podniky byly úrokové sazby ještě nižší. Jednodenní vklady byly úročeny 0,06 % a</w:t>
            </w:r>
            <w:r w:rsidR="00EC0EC1">
              <w:t> </w:t>
            </w:r>
            <w:r w:rsidRPr="00A74192">
              <w:t xml:space="preserve">termínované vklady 0,15 %.    </w:t>
            </w:r>
          </w:p>
          <w:p w:rsidR="00EE0473" w:rsidRPr="008A73DA" w:rsidRDefault="00EE0473" w:rsidP="00D94859">
            <w:pPr>
              <w:pStyle w:val="Textpoznpodarou"/>
              <w:jc w:val="both"/>
              <w:rPr>
                <w:sz w:val="15"/>
                <w:szCs w:val="15"/>
              </w:rPr>
            </w:pPr>
          </w:p>
        </w:tc>
      </w:tr>
      <w:tr w:rsidR="00EE0473" w:rsidRPr="00A74192" w:rsidTr="00F06C6F">
        <w:trPr>
          <w:trHeight w:val="145"/>
        </w:trPr>
        <w:tc>
          <w:tcPr>
            <w:tcW w:w="1016" w:type="pct"/>
            <w:gridSpan w:val="2"/>
            <w:shd w:val="clear" w:color="auto" w:fill="auto"/>
          </w:tcPr>
          <w:p w:rsidR="00EE0473" w:rsidRPr="00A74192" w:rsidRDefault="00EE0473" w:rsidP="00D94859">
            <w:pPr>
              <w:spacing w:line="240" w:lineRule="auto"/>
              <w:rPr>
                <w:color w:val="000000" w:themeColor="text1"/>
                <w:sz w:val="16"/>
                <w:szCs w:val="16"/>
                <w:highlight w:val="yellow"/>
              </w:rPr>
            </w:pPr>
            <w:r w:rsidRPr="00A74192">
              <w:rPr>
                <w:color w:val="000000" w:themeColor="text1"/>
                <w:sz w:val="16"/>
                <w:szCs w:val="16"/>
              </w:rPr>
              <w:t>… což vysvětluje nárůst podílu jednodenních vkladů nefinančních podniků, který dosáhl 93,1 % na celkovém portfoliu.</w:t>
            </w: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A74192" w:rsidRDefault="00EE0473" w:rsidP="00D94859">
            <w:pPr>
              <w:pStyle w:val="Textpoznpodarou"/>
              <w:jc w:val="both"/>
            </w:pPr>
            <w:r w:rsidRPr="00A74192">
              <w:t>Tyto hodnoty vysvětlují preferenci likvidity u obou skupin klientů, která se projevila výrazným poklesem objemu terminovaných vkladů. Podíl jednodenních vkladů u</w:t>
            </w:r>
            <w:r w:rsidR="00EC0EC1">
              <w:t> </w:t>
            </w:r>
            <w:r w:rsidRPr="00A74192">
              <w:t>nefinančních podniků se zvýšil z 90,8 % v lednu na 93,1 % v září 2016. V roce 2012 tvořily vklady se splatností přibližně 20 % z portfolií podniků, v září 2016 to bylo 5,5 %. Domácnosti prošly podobným vývojem – během 1. až 3. čtvrtletí narostl podíl jednodenních vkladů o 3,5 </w:t>
            </w:r>
            <w:proofErr w:type="spellStart"/>
            <w:proofErr w:type="gramStart"/>
            <w:r w:rsidRPr="00A74192">
              <w:t>p.b</w:t>
            </w:r>
            <w:proofErr w:type="spellEnd"/>
            <w:r w:rsidRPr="00A74192">
              <w:t>. na</w:t>
            </w:r>
            <w:proofErr w:type="gramEnd"/>
            <w:r w:rsidRPr="00A74192">
              <w:t xml:space="preserve"> 76,7 % a podíl vkladů s domluvenou splatností klesl na 12,4 % v září 2016.</w:t>
            </w:r>
          </w:p>
          <w:p w:rsidR="00EE0473" w:rsidRPr="008A73DA" w:rsidRDefault="00EE0473" w:rsidP="00D94859">
            <w:pPr>
              <w:pStyle w:val="Textpoznpodarou"/>
              <w:jc w:val="both"/>
              <w:rPr>
                <w:sz w:val="15"/>
                <w:szCs w:val="15"/>
                <w:highlight w:val="yellow"/>
              </w:rPr>
            </w:pPr>
          </w:p>
        </w:tc>
      </w:tr>
      <w:tr w:rsidR="00EE0473" w:rsidRPr="00A74192" w:rsidTr="00F06C6F">
        <w:trPr>
          <w:trHeight w:val="145"/>
        </w:trPr>
        <w:tc>
          <w:tcPr>
            <w:tcW w:w="1016" w:type="pct"/>
            <w:gridSpan w:val="2"/>
          </w:tcPr>
          <w:p w:rsidR="00EE0473" w:rsidRPr="00A74192" w:rsidRDefault="00EE0473" w:rsidP="005E6AB8">
            <w:pPr>
              <w:spacing w:line="240" w:lineRule="auto"/>
              <w:rPr>
                <w:color w:val="000000" w:themeColor="text1"/>
                <w:sz w:val="16"/>
                <w:szCs w:val="16"/>
                <w:highlight w:val="yellow"/>
              </w:rPr>
            </w:pPr>
            <w:r w:rsidRPr="00A74192">
              <w:rPr>
                <w:color w:val="000000" w:themeColor="text1"/>
                <w:sz w:val="16"/>
                <w:szCs w:val="16"/>
              </w:rPr>
              <w:t>Nízké úrokové sazby zvyšují dostupnost úvěrového financování pro domácnosti i</w:t>
            </w:r>
            <w:r w:rsidR="005E6AB8">
              <w:rPr>
                <w:color w:val="000000" w:themeColor="text1"/>
                <w:sz w:val="16"/>
                <w:szCs w:val="16"/>
              </w:rPr>
              <w:t> </w:t>
            </w:r>
            <w:r w:rsidRPr="00A74192">
              <w:rPr>
                <w:color w:val="000000" w:themeColor="text1"/>
                <w:sz w:val="16"/>
                <w:szCs w:val="16"/>
              </w:rPr>
              <w:t>nefinanční podniky.</w:t>
            </w: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A74192" w:rsidRDefault="00EE0473" w:rsidP="00D94859">
            <w:pPr>
              <w:pStyle w:val="Textpoznpodarou"/>
              <w:jc w:val="both"/>
            </w:pPr>
            <w:r w:rsidRPr="00A74192">
              <w:t>Poklesly i úvěrové sazby. Průměrná hypoteční sazba v září 2016 dosáhla 2,21 %, nejníže klesly sazby na hypotečních úvěrech s fixací na 5</w:t>
            </w:r>
            <w:r w:rsidR="00826376">
              <w:t xml:space="preserve"> – </w:t>
            </w:r>
            <w:r w:rsidRPr="00A74192">
              <w:t>10 let (1,98 %). Spotřební úvěry v září nesly průměrnou úrokovou sazbu 10,47 %. I sazby na úvěrech na podnikání klesaly. Navzdory zvýšení sazeb ve 2. čtvrtletí nad 2 % se průměrná sazba úvěrů pro nefinanční podniky v 1. až 3. čtvrtletí rovnala 1,93</w:t>
            </w:r>
            <w:r w:rsidR="00EC0EC1">
              <w:t> </w:t>
            </w:r>
            <w:r w:rsidRPr="00A74192">
              <w:t xml:space="preserve">%.   </w:t>
            </w:r>
          </w:p>
          <w:p w:rsidR="00EE0473" w:rsidRPr="008A73DA" w:rsidRDefault="00EE0473" w:rsidP="00D94859">
            <w:pPr>
              <w:pStyle w:val="Textpoznpodarou"/>
              <w:jc w:val="both"/>
              <w:rPr>
                <w:sz w:val="15"/>
                <w:szCs w:val="15"/>
                <w:highlight w:val="yellow"/>
              </w:rPr>
            </w:pPr>
          </w:p>
        </w:tc>
      </w:tr>
      <w:tr w:rsidR="00EE0473" w:rsidRPr="00A74192" w:rsidTr="00BE2C15">
        <w:tc>
          <w:tcPr>
            <w:tcW w:w="1016" w:type="pct"/>
            <w:gridSpan w:val="2"/>
          </w:tcPr>
          <w:p w:rsidR="00EE0473" w:rsidRPr="00A74192" w:rsidRDefault="00EE0473" w:rsidP="00D94859">
            <w:pPr>
              <w:spacing w:line="240" w:lineRule="auto"/>
              <w:rPr>
                <w:color w:val="000000" w:themeColor="text1"/>
                <w:sz w:val="16"/>
                <w:szCs w:val="16"/>
                <w:highlight w:val="yellow"/>
              </w:rPr>
            </w:pPr>
            <w:r w:rsidRPr="00A74192">
              <w:rPr>
                <w:color w:val="000000" w:themeColor="text1"/>
                <w:sz w:val="16"/>
                <w:szCs w:val="16"/>
              </w:rPr>
              <w:lastRenderedPageBreak/>
              <w:t>V úvěrech domácností hrají nejvýznamnější roli úvěry na bydlení. Jejich objem rostl o 8,5 % meziročně.</w:t>
            </w: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C30924" w:rsidRDefault="00EE0473" w:rsidP="00D94859">
            <w:pPr>
              <w:pStyle w:val="Textpoznpodarou"/>
              <w:jc w:val="both"/>
            </w:pPr>
            <w:r w:rsidRPr="00A74192">
              <w:t>Nízké úrokové sazby usnadňují přístup domácností k úvěrům, což se promítalo do silného tempa růstu jejich celkového objemu (6,7 % ve 3. čtvrtletí). Silné přírůstky zaznamenaly spotřebitelské úvěry (9,1 %, 8,8 % a 6,3 % v 1., 2. a 3. čtvrtletí). Nejvýznamnější složkou ve struktuře úvěrů jsou úvěry na bydlení, které rostly meziročním tempem 8,5 % po celé sledované období. Překlenovací úvěry ze stavebního spoření, které v roce 2014 a 2015 rostly asi 3% tempem, ve 2.</w:t>
            </w:r>
            <w:r w:rsidR="00EC0EC1">
              <w:t> </w:t>
            </w:r>
            <w:r w:rsidRPr="00A74192">
              <w:t>a 3.</w:t>
            </w:r>
            <w:r w:rsidR="00EC0EC1">
              <w:t> </w:t>
            </w:r>
            <w:r w:rsidRPr="00A74192">
              <w:t>čtvrtletí zaznamenaly nárůst o 8,7 %, resp. 10,2 %. Zároveň dochází ke stálému, přibližně 9% poklesu objemu úvěrů ze stavebního spoření. Obava o</w:t>
            </w:r>
            <w:r w:rsidR="00EC0EC1">
              <w:t> </w:t>
            </w:r>
            <w:r w:rsidRPr="00A74192">
              <w:t>schopnost domácností splácet závazky vedla ČNB ke zpřísnění doporučení k poskytování hypoték.</w:t>
            </w:r>
            <w:r w:rsidR="00C30924">
              <w:t xml:space="preserve"> </w:t>
            </w:r>
            <w:r w:rsidR="00C30924" w:rsidRPr="00C30924">
              <w:rPr>
                <w:rFonts w:cs="Arial"/>
              </w:rPr>
              <w:t xml:space="preserve">ČNB doporučuje </w:t>
            </w:r>
            <w:r w:rsidR="00C30924" w:rsidRPr="00C30924">
              <w:rPr>
                <w:rStyle w:val="ssfpaarticletext"/>
                <w:rFonts w:cs="Arial"/>
              </w:rPr>
              <w:t>snížení maximálního limitu poměru výše úvěru a hodnoty zajištění ze 100 % na 95 % od 1. 10. 2016 a na 90 % od 1.</w:t>
            </w:r>
            <w:r w:rsidR="00826376">
              <w:rPr>
                <w:rStyle w:val="ssfpaarticletext"/>
                <w:rFonts w:cs="Arial"/>
              </w:rPr>
              <w:t> </w:t>
            </w:r>
            <w:r w:rsidR="00C30924" w:rsidRPr="00C30924">
              <w:rPr>
                <w:rStyle w:val="ssfpaarticletext"/>
                <w:rFonts w:cs="Arial"/>
              </w:rPr>
              <w:t>4.</w:t>
            </w:r>
            <w:r w:rsidR="00826376">
              <w:rPr>
                <w:rStyle w:val="ssfpaarticletext"/>
                <w:rFonts w:cs="Arial"/>
              </w:rPr>
              <w:t> </w:t>
            </w:r>
            <w:r w:rsidR="00C30924" w:rsidRPr="00C30924">
              <w:rPr>
                <w:rStyle w:val="ssfpaarticletext"/>
                <w:rFonts w:cs="Arial"/>
              </w:rPr>
              <w:t>2016. Pravidlo pro banky zatím není závazné, proto ČNB podniká kroky, které povedou k zákonnému zakotvení pravomoci stanovit rizikové parametry úvěrů na bydlení</w:t>
            </w:r>
            <w:r w:rsidR="00826376">
              <w:rPr>
                <w:rStyle w:val="ssfpaarticletext"/>
                <w:rFonts w:cs="Arial"/>
              </w:rPr>
              <w:t>.</w:t>
            </w:r>
            <w:r w:rsidRPr="00C30924">
              <w:t xml:space="preserve"> </w:t>
            </w:r>
          </w:p>
          <w:p w:rsidR="00EE0473" w:rsidRPr="008A73DA" w:rsidRDefault="00EE0473" w:rsidP="00D94859">
            <w:pPr>
              <w:pStyle w:val="Textpoznpodarou"/>
              <w:jc w:val="both"/>
              <w:rPr>
                <w:sz w:val="15"/>
                <w:szCs w:val="15"/>
              </w:rPr>
            </w:pPr>
          </w:p>
        </w:tc>
      </w:tr>
      <w:tr w:rsidR="00EE0473" w:rsidRPr="00A74192" w:rsidTr="00BE2C15">
        <w:tc>
          <w:tcPr>
            <w:tcW w:w="1016" w:type="pct"/>
            <w:gridSpan w:val="2"/>
          </w:tcPr>
          <w:p w:rsidR="00EE0473" w:rsidRPr="00A74192" w:rsidRDefault="00EE0473" w:rsidP="00D94859">
            <w:pPr>
              <w:spacing w:line="240" w:lineRule="auto"/>
              <w:rPr>
                <w:color w:val="000000" w:themeColor="text1"/>
                <w:sz w:val="16"/>
                <w:szCs w:val="16"/>
                <w:highlight w:val="yellow"/>
              </w:rPr>
            </w:pPr>
            <w:r w:rsidRPr="00A74192">
              <w:rPr>
                <w:color w:val="000000" w:themeColor="text1"/>
                <w:sz w:val="16"/>
                <w:szCs w:val="16"/>
              </w:rPr>
              <w:t>Nefinanční podniky využívají dostupné úvěry především k dlouhodobým investicím.</w:t>
            </w:r>
            <w:r w:rsidRPr="00A74192">
              <w:rPr>
                <w:color w:val="000000" w:themeColor="text1"/>
                <w:sz w:val="16"/>
                <w:szCs w:val="16"/>
                <w:highlight w:val="yellow"/>
              </w:rPr>
              <w:t xml:space="preserve"> </w:t>
            </w:r>
          </w:p>
        </w:tc>
        <w:tc>
          <w:tcPr>
            <w:tcW w:w="144" w:type="pct"/>
          </w:tcPr>
          <w:p w:rsidR="00EE0473" w:rsidRPr="00A74192" w:rsidRDefault="00EE0473" w:rsidP="00D94859">
            <w:pPr>
              <w:pStyle w:val="Textpoznpodarou"/>
              <w:jc w:val="both"/>
              <w:rPr>
                <w:highlight w:val="yellow"/>
              </w:rPr>
            </w:pPr>
          </w:p>
        </w:tc>
        <w:tc>
          <w:tcPr>
            <w:tcW w:w="3840" w:type="pct"/>
            <w:gridSpan w:val="3"/>
          </w:tcPr>
          <w:p w:rsidR="00EE0473" w:rsidRPr="00A74192" w:rsidRDefault="00EE0473" w:rsidP="00D94859">
            <w:pPr>
              <w:pStyle w:val="Textpoznpodarou"/>
              <w:jc w:val="both"/>
            </w:pPr>
            <w:r w:rsidRPr="00A74192">
              <w:t>Růst objemu úvěrů nefinančním podnikům je stále nadprůměrný (6,8 %). Ve 3.</w:t>
            </w:r>
            <w:r w:rsidR="00EC0EC1">
              <w:t> </w:t>
            </w:r>
            <w:r w:rsidRPr="00A74192">
              <w:t>čtvrtletí bylo patrné zpomalení tempa růstu objemu poskytnutých úvěrů na 6,1 %, ale tento vývoj lze přisoudit vysoké srovnávací základně stejného období roku 2015.  Podniky měly zájem o střednědobé a dlouhodobé úvěry, jejichž objem se meziročně zvyšoval dvouciferným tempem (14,5 % u střednědobých, 11 % u</w:t>
            </w:r>
            <w:r w:rsidR="00EC0EC1">
              <w:t> </w:t>
            </w:r>
            <w:r w:rsidRPr="00A74192">
              <w:t>dlouhodobých úvěrů). Objem krátkodobých úvěrů klesal průměrně o 5,8 %. Investiční povahu naznačuje i odvětvové složení poskytnutých úvěrů. Nejvíce rostl segment informační a komunikační činnosti (40,3 %), stále výrazný je růst úvěrů pro podniky činné v oblasti nemovitostí (11,7 %).  Pro podniky se stalo obvyklou praxí mít část úvěrů v cizí měně. Z celkového objemu takové úvěry tvoří 25,8 %. Z pohledu časové struktury úvěrů a pohledávek se jedná hlavně o střednědobé úvěry, kterých bylo v cizí měně denominováno 35,7 %.</w:t>
            </w:r>
            <w:r w:rsidR="00C30924">
              <w:t xml:space="preserve"> Na jejich množství je patrný vliv intervencí ČNB. </w:t>
            </w:r>
            <w:r w:rsidR="009B4CE3">
              <w:t>Od října do prosince 2013 podíl dlouhodobých úvěrů v cizí měně vzrostl z 14,8 % na 18,4 %. Střednědobé úvěry na intervenci zpočátku reagovaly mírně, jejich podíl rostl, ale patrný je především zlom mezi listopadem</w:t>
            </w:r>
            <w:r w:rsidR="007B2AF7">
              <w:rPr>
                <w:rStyle w:val="Znakapoznpodarou"/>
              </w:rPr>
              <w:footnoteReference w:id="2"/>
            </w:r>
            <w:r w:rsidR="009B4CE3">
              <w:t xml:space="preserve"> a prosincem 2014, kdy se jejich podíl zvýšil z 28,8 % na 33,4 %.</w:t>
            </w:r>
            <w:r w:rsidR="007B2AF7">
              <w:t xml:space="preserve"> </w:t>
            </w:r>
            <w:r w:rsidR="009B4CE3">
              <w:t xml:space="preserve">  </w:t>
            </w:r>
            <w:r w:rsidR="00C30924">
              <w:t xml:space="preserve"> </w:t>
            </w:r>
            <w:r w:rsidRPr="00A74192">
              <w:t xml:space="preserve">   </w:t>
            </w:r>
          </w:p>
          <w:p w:rsidR="00EE0473" w:rsidRPr="008A73DA" w:rsidRDefault="00EE0473" w:rsidP="00D94859">
            <w:pPr>
              <w:pStyle w:val="Textpoznpodarou"/>
              <w:jc w:val="both"/>
              <w:rPr>
                <w:sz w:val="15"/>
                <w:szCs w:val="15"/>
                <w:highlight w:val="yellow"/>
              </w:rPr>
            </w:pPr>
          </w:p>
        </w:tc>
      </w:tr>
      <w:tr w:rsidR="00EE0473" w:rsidRPr="00A74192" w:rsidTr="00F06C6F">
        <w:trPr>
          <w:trHeight w:val="1390"/>
        </w:trPr>
        <w:tc>
          <w:tcPr>
            <w:tcW w:w="1016" w:type="pct"/>
            <w:gridSpan w:val="2"/>
          </w:tcPr>
          <w:p w:rsidR="00EE0473" w:rsidRPr="00A74192" w:rsidRDefault="00EE0473" w:rsidP="00D94859">
            <w:pPr>
              <w:spacing w:line="240" w:lineRule="auto"/>
              <w:rPr>
                <w:color w:val="000000" w:themeColor="text1"/>
                <w:sz w:val="16"/>
                <w:szCs w:val="16"/>
                <w:highlight w:val="yellow"/>
              </w:rPr>
            </w:pPr>
            <w:r w:rsidRPr="00A74192">
              <w:rPr>
                <w:color w:val="000000" w:themeColor="text1"/>
                <w:sz w:val="16"/>
                <w:szCs w:val="16"/>
              </w:rPr>
              <w:t>Zadlužení domácností roste, především kvůli úvěrům na bydlení.</w:t>
            </w:r>
          </w:p>
        </w:tc>
        <w:tc>
          <w:tcPr>
            <w:tcW w:w="144" w:type="pct"/>
          </w:tcPr>
          <w:p w:rsidR="00EE0473" w:rsidRPr="00A74192" w:rsidRDefault="00EE0473" w:rsidP="00D94859">
            <w:pPr>
              <w:pStyle w:val="Textpoznpodarou"/>
              <w:jc w:val="both"/>
              <w:rPr>
                <w:color w:val="FF0000"/>
                <w:highlight w:val="yellow"/>
              </w:rPr>
            </w:pPr>
          </w:p>
        </w:tc>
        <w:tc>
          <w:tcPr>
            <w:tcW w:w="3840" w:type="pct"/>
            <w:gridSpan w:val="3"/>
          </w:tcPr>
          <w:p w:rsidR="00EE0473" w:rsidRPr="00A74192" w:rsidRDefault="00EE0473" w:rsidP="00D94859">
            <w:pPr>
              <w:pStyle w:val="Textpoznpodarou"/>
              <w:jc w:val="both"/>
            </w:pPr>
            <w:r w:rsidRPr="00A74192">
              <w:t>Příznivé ekonomické podmínky a optimistická očekávání motivují domácnosti k většímu zadlužování. Meziroční nárůst objemu dluhu činil 6,2 % ve třetím čtvrtletí.</w:t>
            </w:r>
            <w:r w:rsidR="00826376">
              <w:t xml:space="preserve"> </w:t>
            </w:r>
            <w:r w:rsidRPr="00A74192">
              <w:t>Tempo růstu zadlužení se zvyšuje už šesté čtvrtletí v</w:t>
            </w:r>
            <w:r w:rsidR="00826376">
              <w:t xml:space="preserve"> </w:t>
            </w:r>
            <w:r w:rsidRPr="00A74192">
              <w:t>řadě. Nejvýznamnější díl na tom mají úvěry na bydlení, které nyní tvoří 71,1 % z celkového zadlužení. Jejich objem vzrostl meziročně o 7,9 %.</w:t>
            </w:r>
          </w:p>
          <w:p w:rsidR="00EE0473" w:rsidRPr="00A74192" w:rsidRDefault="00EE0473" w:rsidP="00D94859">
            <w:pPr>
              <w:pStyle w:val="Textpoznpodarou"/>
              <w:jc w:val="both"/>
              <w:rPr>
                <w:highlight w:val="yellow"/>
              </w:rPr>
            </w:pPr>
            <w:r w:rsidRPr="00A74192">
              <w:t xml:space="preserve"> </w:t>
            </w:r>
          </w:p>
        </w:tc>
      </w:tr>
      <w:tr w:rsidR="000F74B6" w:rsidRPr="00A74192" w:rsidTr="00F06C6F">
        <w:tblPrEx>
          <w:tblLook w:val="04A0"/>
        </w:tblPrEx>
        <w:trPr>
          <w:trHeight w:val="541"/>
        </w:trPr>
        <w:tc>
          <w:tcPr>
            <w:tcW w:w="576" w:type="pct"/>
          </w:tcPr>
          <w:p w:rsidR="007430AB" w:rsidRDefault="007430AB" w:rsidP="00D94859">
            <w:pPr>
              <w:pStyle w:val="Textpoznpodarou"/>
              <w:rPr>
                <w:color w:val="000000"/>
              </w:rPr>
            </w:pPr>
            <w:r>
              <w:rPr>
                <w:color w:val="000000"/>
              </w:rPr>
              <w:t>Graf č.</w:t>
            </w:r>
          </w:p>
          <w:p w:rsidR="000F74B6" w:rsidRPr="00A74192" w:rsidRDefault="000F74B6" w:rsidP="00D94859">
            <w:pPr>
              <w:pStyle w:val="Textpoznpodarou"/>
              <w:rPr>
                <w:color w:val="000000"/>
              </w:rPr>
            </w:pPr>
            <w:r w:rsidRPr="00A74192">
              <w:rPr>
                <w:color w:val="000000"/>
              </w:rPr>
              <w:t>17</w:t>
            </w:r>
          </w:p>
        </w:tc>
        <w:tc>
          <w:tcPr>
            <w:tcW w:w="1899" w:type="pct"/>
            <w:gridSpan w:val="3"/>
          </w:tcPr>
          <w:p w:rsidR="000F74B6" w:rsidRPr="00A74192" w:rsidRDefault="000F74B6" w:rsidP="00D94859">
            <w:pPr>
              <w:pStyle w:val="Textpoznpodarou"/>
              <w:rPr>
                <w:color w:val="FF0000"/>
              </w:rPr>
            </w:pPr>
            <w:r w:rsidRPr="00A74192">
              <w:rPr>
                <w:b/>
                <w:color w:val="000000"/>
              </w:rPr>
              <w:t>Měnové agregáty a hrubý domácí produkt</w:t>
            </w:r>
            <w:r w:rsidRPr="00A74192">
              <w:rPr>
                <w:color w:val="000000"/>
              </w:rPr>
              <w:t xml:space="preserve"> (y/y v %)</w:t>
            </w:r>
          </w:p>
        </w:tc>
        <w:tc>
          <w:tcPr>
            <w:tcW w:w="584" w:type="pct"/>
          </w:tcPr>
          <w:p w:rsidR="007430AB" w:rsidRDefault="007430AB" w:rsidP="00D94859">
            <w:pPr>
              <w:pStyle w:val="Textpoznpodarou"/>
            </w:pPr>
            <w:r>
              <w:t>Graf č.</w:t>
            </w:r>
          </w:p>
          <w:p w:rsidR="000F74B6" w:rsidRPr="00A74192" w:rsidRDefault="007430AB" w:rsidP="00D94859">
            <w:pPr>
              <w:pStyle w:val="Textpoznpodarou"/>
            </w:pPr>
            <w:r>
              <w:t>1</w:t>
            </w:r>
            <w:r w:rsidR="000F74B6" w:rsidRPr="00A74192">
              <w:t>8</w:t>
            </w:r>
          </w:p>
        </w:tc>
        <w:tc>
          <w:tcPr>
            <w:tcW w:w="1941" w:type="pct"/>
          </w:tcPr>
          <w:p w:rsidR="000F74B6" w:rsidRPr="00A74192" w:rsidRDefault="000F74B6" w:rsidP="00D94859">
            <w:pPr>
              <w:pStyle w:val="Textpoznpodarou"/>
            </w:pPr>
            <w:r w:rsidRPr="00A74192">
              <w:rPr>
                <w:b/>
              </w:rPr>
              <w:t xml:space="preserve">Tržní úrokové sazby </w:t>
            </w:r>
            <w:r w:rsidRPr="00A74192">
              <w:t>(v %)</w:t>
            </w:r>
          </w:p>
        </w:tc>
      </w:tr>
      <w:tr w:rsidR="000F74B6" w:rsidRPr="00A74192" w:rsidTr="00F06C6F">
        <w:tblPrEx>
          <w:tblCellMar>
            <w:left w:w="70" w:type="dxa"/>
            <w:right w:w="70" w:type="dxa"/>
          </w:tblCellMar>
          <w:tblLook w:val="04A0"/>
        </w:tblPrEx>
        <w:trPr>
          <w:trHeight w:val="3641"/>
        </w:trPr>
        <w:tc>
          <w:tcPr>
            <w:tcW w:w="2475" w:type="pct"/>
            <w:gridSpan w:val="4"/>
          </w:tcPr>
          <w:p w:rsidR="000F74B6" w:rsidRPr="00A74192" w:rsidRDefault="00505989" w:rsidP="00F06C6F">
            <w:pPr>
              <w:pStyle w:val="Textpoznpodarou"/>
              <w:ind w:left="-70"/>
              <w:jc w:val="both"/>
            </w:pPr>
            <w:r>
              <w:rPr>
                <w:noProof/>
              </w:rPr>
              <w:drawing>
                <wp:inline distT="0" distB="0" distL="0" distR="0">
                  <wp:extent cx="3079750" cy="2294890"/>
                  <wp:effectExtent l="19050" t="0" r="6350" b="0"/>
                  <wp:docPr id="17" name="obráze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8"/>
                          <a:srcRect/>
                          <a:stretch>
                            <a:fillRect/>
                          </a:stretch>
                        </pic:blipFill>
                        <pic:spPr bwMode="auto">
                          <a:xfrm>
                            <a:off x="0" y="0"/>
                            <a:ext cx="3079750" cy="2294890"/>
                          </a:xfrm>
                          <a:prstGeom prst="rect">
                            <a:avLst/>
                          </a:prstGeom>
                          <a:noFill/>
                          <a:ln w="9525">
                            <a:noFill/>
                            <a:miter lim="800000"/>
                            <a:headEnd/>
                            <a:tailEnd/>
                          </a:ln>
                        </pic:spPr>
                      </pic:pic>
                    </a:graphicData>
                  </a:graphic>
                </wp:inline>
              </w:drawing>
            </w:r>
          </w:p>
        </w:tc>
        <w:tc>
          <w:tcPr>
            <w:tcW w:w="2525" w:type="pct"/>
            <w:gridSpan w:val="2"/>
          </w:tcPr>
          <w:p w:rsidR="000F74B6" w:rsidRPr="00A74192" w:rsidRDefault="00505989" w:rsidP="00D94859">
            <w:pPr>
              <w:pStyle w:val="Textpoznpodarou"/>
              <w:jc w:val="both"/>
            </w:pPr>
            <w:r>
              <w:rPr>
                <w:noProof/>
              </w:rPr>
              <w:drawing>
                <wp:inline distT="0" distB="0" distL="0" distR="0">
                  <wp:extent cx="3079750" cy="2294890"/>
                  <wp:effectExtent l="19050" t="0" r="6350" b="0"/>
                  <wp:docPr id="18" name="obráze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9"/>
                          <a:srcRect/>
                          <a:stretch>
                            <a:fillRect/>
                          </a:stretch>
                        </pic:blipFill>
                        <pic:spPr bwMode="auto">
                          <a:xfrm>
                            <a:off x="0" y="0"/>
                            <a:ext cx="3079750" cy="2294890"/>
                          </a:xfrm>
                          <a:prstGeom prst="rect">
                            <a:avLst/>
                          </a:prstGeom>
                          <a:noFill/>
                          <a:ln w="9525">
                            <a:noFill/>
                            <a:miter lim="800000"/>
                            <a:headEnd/>
                            <a:tailEnd/>
                          </a:ln>
                        </pic:spPr>
                      </pic:pic>
                    </a:graphicData>
                  </a:graphic>
                </wp:inline>
              </w:drawing>
            </w:r>
          </w:p>
        </w:tc>
      </w:tr>
      <w:tr w:rsidR="000F74B6" w:rsidRPr="00A74192" w:rsidTr="00F06C6F">
        <w:tblPrEx>
          <w:tblLook w:val="04A0"/>
        </w:tblPrEx>
        <w:trPr>
          <w:trHeight w:val="211"/>
        </w:trPr>
        <w:tc>
          <w:tcPr>
            <w:tcW w:w="2475" w:type="pct"/>
            <w:gridSpan w:val="4"/>
          </w:tcPr>
          <w:p w:rsidR="000F74B6" w:rsidRPr="00A74192" w:rsidRDefault="000F74B6" w:rsidP="00D94859">
            <w:pPr>
              <w:pStyle w:val="Textpoznpodarou"/>
              <w:rPr>
                <w:noProof/>
                <w:sz w:val="18"/>
                <w:szCs w:val="18"/>
              </w:rPr>
            </w:pPr>
          </w:p>
        </w:tc>
        <w:tc>
          <w:tcPr>
            <w:tcW w:w="2525" w:type="pct"/>
            <w:gridSpan w:val="2"/>
          </w:tcPr>
          <w:p w:rsidR="000F74B6" w:rsidRPr="00A74192" w:rsidRDefault="000F74B6" w:rsidP="00D94859">
            <w:pPr>
              <w:pStyle w:val="Textpoznpodarou"/>
              <w:jc w:val="right"/>
              <w:rPr>
                <w:noProof/>
              </w:rPr>
            </w:pPr>
            <w:r w:rsidRPr="00A74192">
              <w:rPr>
                <w:sz w:val="18"/>
                <w:szCs w:val="18"/>
              </w:rPr>
              <w:t>Zdroj: ČSÚ, ČNB</w:t>
            </w:r>
          </w:p>
        </w:tc>
      </w:tr>
    </w:tbl>
    <w:p w:rsidR="00ED3A94" w:rsidRPr="00A74192" w:rsidRDefault="00ED3A94" w:rsidP="00D94859">
      <w:pPr>
        <w:rPr>
          <w:sz w:val="2"/>
          <w:szCs w:val="2"/>
        </w:rPr>
      </w:pPr>
    </w:p>
    <w:sectPr w:rsidR="00ED3A94" w:rsidRPr="00A74192" w:rsidSect="00C94938">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1C" w:rsidRDefault="00ED171C" w:rsidP="00E71A58">
      <w:r>
        <w:separator/>
      </w:r>
    </w:p>
  </w:endnote>
  <w:endnote w:type="continuationSeparator" w:id="0">
    <w:p w:rsidR="00ED171C" w:rsidRDefault="00ED171C"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Default="0019156A"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64183E" w:rsidRPr="005A21E0">
      <w:rPr>
        <w:rFonts w:ascii="Arial" w:hAnsi="Arial" w:cs="Arial"/>
        <w:sz w:val="16"/>
        <w:szCs w:val="16"/>
      </w:rPr>
      <w:fldChar w:fldCharType="begin"/>
    </w:r>
    <w:r w:rsidRPr="005A21E0">
      <w:rPr>
        <w:rFonts w:ascii="Arial" w:hAnsi="Arial" w:cs="Arial"/>
        <w:sz w:val="16"/>
        <w:szCs w:val="16"/>
      </w:rPr>
      <w:instrText>PAGE   \* MERGEFORMAT</w:instrText>
    </w:r>
    <w:r w:rsidR="0064183E" w:rsidRPr="005A21E0">
      <w:rPr>
        <w:rFonts w:ascii="Arial" w:hAnsi="Arial" w:cs="Arial"/>
        <w:sz w:val="16"/>
        <w:szCs w:val="16"/>
      </w:rPr>
      <w:fldChar w:fldCharType="separate"/>
    </w:r>
    <w:r w:rsidR="00C94938">
      <w:rPr>
        <w:rFonts w:ascii="Arial" w:hAnsi="Arial" w:cs="Arial"/>
        <w:noProof/>
        <w:sz w:val="16"/>
        <w:szCs w:val="16"/>
      </w:rPr>
      <w:t>20</w:t>
    </w:r>
    <w:r w:rsidR="0064183E"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Default="0019156A"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19156A" w:rsidRPr="00223E00" w:rsidRDefault="0019156A"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64183E"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64183E" w:rsidRPr="00223E00">
      <w:rPr>
        <w:rFonts w:ascii="Arial" w:hAnsi="Arial" w:cs="Arial"/>
        <w:sz w:val="16"/>
        <w:szCs w:val="16"/>
      </w:rPr>
      <w:fldChar w:fldCharType="separate"/>
    </w:r>
    <w:r w:rsidR="00C94938">
      <w:rPr>
        <w:rFonts w:ascii="Arial" w:hAnsi="Arial" w:cs="Arial"/>
        <w:noProof/>
        <w:sz w:val="16"/>
        <w:szCs w:val="16"/>
      </w:rPr>
      <w:t>19</w:t>
    </w:r>
    <w:r w:rsidR="0064183E"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1C" w:rsidRDefault="00ED171C" w:rsidP="00E71A58">
      <w:r>
        <w:separator/>
      </w:r>
    </w:p>
  </w:footnote>
  <w:footnote w:type="continuationSeparator" w:id="0">
    <w:p w:rsidR="00ED171C" w:rsidRDefault="00ED171C" w:rsidP="00E71A58">
      <w:r>
        <w:continuationSeparator/>
      </w:r>
    </w:p>
  </w:footnote>
  <w:footnote w:id="1">
    <w:p w:rsidR="0019156A" w:rsidRPr="004D56E2" w:rsidRDefault="0019156A" w:rsidP="00A74192">
      <w:pPr>
        <w:pStyle w:val="Textpoznpodarou"/>
        <w:rPr>
          <w:sz w:val="16"/>
          <w:szCs w:val="16"/>
        </w:rPr>
      </w:pPr>
      <w:r w:rsidRPr="004D56E2">
        <w:rPr>
          <w:rStyle w:val="Znakapoznpodarou"/>
          <w:sz w:val="16"/>
          <w:szCs w:val="16"/>
        </w:rPr>
        <w:footnoteRef/>
      </w:r>
      <w:r w:rsidRPr="004D56E2">
        <w:rPr>
          <w:sz w:val="16"/>
          <w:szCs w:val="16"/>
        </w:rPr>
        <w:t xml:space="preserve"> V lednu 2012 tvořily jednodenní vklady 63,1 %.</w:t>
      </w:r>
    </w:p>
  </w:footnote>
  <w:footnote w:id="2">
    <w:p w:rsidR="0019156A" w:rsidRPr="007B2AF7" w:rsidRDefault="0019156A">
      <w:pPr>
        <w:pStyle w:val="Textpoznpodarou"/>
        <w:rPr>
          <w:sz w:val="16"/>
          <w:szCs w:val="16"/>
        </w:rPr>
      </w:pPr>
      <w:r w:rsidRPr="007B2AF7">
        <w:rPr>
          <w:rStyle w:val="Znakapoznpodarou"/>
          <w:sz w:val="16"/>
          <w:szCs w:val="16"/>
        </w:rPr>
        <w:footnoteRef/>
      </w:r>
      <w:r w:rsidRPr="007B2AF7">
        <w:rPr>
          <w:sz w:val="16"/>
          <w:szCs w:val="16"/>
        </w:rPr>
        <w:t xml:space="preserve"> V listopadu 2014 rozhodla ČNB o prodloužení režimu intervencí minimálně do 1. čtvrtletí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Pr="00D766EF" w:rsidRDefault="0019156A"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6A" w:rsidRPr="00D766EF" w:rsidRDefault="0019156A"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až 3. čtvrtletí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46467D9"/>
    <w:multiLevelType w:val="hybridMultilevel"/>
    <w:tmpl w:val="867E1AEA"/>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9"/>
  </w:num>
  <w:num w:numId="2">
    <w:abstractNumId w:val="15"/>
  </w:num>
  <w:num w:numId="3">
    <w:abstractNumId w:val="7"/>
  </w:num>
  <w:num w:numId="4">
    <w:abstractNumId w:val="14"/>
  </w:num>
  <w:num w:numId="5">
    <w:abstractNumId w:val="8"/>
  </w:num>
  <w:num w:numId="6">
    <w:abstractNumId w:val="10"/>
  </w:num>
  <w:num w:numId="7">
    <w:abstractNumId w:val="3"/>
  </w:num>
  <w:num w:numId="8">
    <w:abstractNumId w:val="6"/>
  </w:num>
  <w:num w:numId="9">
    <w:abstractNumId w:val="12"/>
  </w:num>
  <w:num w:numId="10">
    <w:abstractNumId w:val="2"/>
  </w:num>
  <w:num w:numId="11">
    <w:abstractNumId w:val="5"/>
  </w:num>
  <w:num w:numId="12">
    <w:abstractNumId w:val="1"/>
  </w:num>
  <w:num w:numId="13">
    <w:abstractNumId w:val="4"/>
  </w:num>
  <w:num w:numId="14">
    <w:abstractNumId w:val="0"/>
  </w:num>
  <w:num w:numId="15">
    <w:abstractNumId w:val="11"/>
  </w:num>
  <w:num w:numId="1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9B70BD"/>
    <w:rsid w:val="00000FA7"/>
    <w:rsid w:val="00001EFF"/>
    <w:rsid w:val="00003687"/>
    <w:rsid w:val="00003C43"/>
    <w:rsid w:val="00007498"/>
    <w:rsid w:val="0000767A"/>
    <w:rsid w:val="000101F5"/>
    <w:rsid w:val="000104B9"/>
    <w:rsid w:val="00010702"/>
    <w:rsid w:val="00010770"/>
    <w:rsid w:val="00011191"/>
    <w:rsid w:val="0001159B"/>
    <w:rsid w:val="00012986"/>
    <w:rsid w:val="00014028"/>
    <w:rsid w:val="00015195"/>
    <w:rsid w:val="0001519F"/>
    <w:rsid w:val="0001572B"/>
    <w:rsid w:val="0001573E"/>
    <w:rsid w:val="000157DA"/>
    <w:rsid w:val="0001589D"/>
    <w:rsid w:val="00016033"/>
    <w:rsid w:val="000162DB"/>
    <w:rsid w:val="00017F05"/>
    <w:rsid w:val="000202C6"/>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5CCF"/>
    <w:rsid w:val="00035FC6"/>
    <w:rsid w:val="0003705E"/>
    <w:rsid w:val="00037667"/>
    <w:rsid w:val="0004075D"/>
    <w:rsid w:val="000411E1"/>
    <w:rsid w:val="000419AE"/>
    <w:rsid w:val="00041E9C"/>
    <w:rsid w:val="00043E05"/>
    <w:rsid w:val="0004694F"/>
    <w:rsid w:val="000500DC"/>
    <w:rsid w:val="00051ADE"/>
    <w:rsid w:val="00052052"/>
    <w:rsid w:val="00052172"/>
    <w:rsid w:val="000534FD"/>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4FFC"/>
    <w:rsid w:val="000779AC"/>
    <w:rsid w:val="00080AA8"/>
    <w:rsid w:val="00083803"/>
    <w:rsid w:val="00083D7F"/>
    <w:rsid w:val="00084393"/>
    <w:rsid w:val="0008716A"/>
    <w:rsid w:val="00087634"/>
    <w:rsid w:val="00091237"/>
    <w:rsid w:val="0009191B"/>
    <w:rsid w:val="000920EC"/>
    <w:rsid w:val="00092208"/>
    <w:rsid w:val="00092505"/>
    <w:rsid w:val="000927EB"/>
    <w:rsid w:val="00092C9A"/>
    <w:rsid w:val="00097D02"/>
    <w:rsid w:val="000A1183"/>
    <w:rsid w:val="000A2121"/>
    <w:rsid w:val="000A2484"/>
    <w:rsid w:val="000A36CE"/>
    <w:rsid w:val="000A59BF"/>
    <w:rsid w:val="000A66C2"/>
    <w:rsid w:val="000B1CFE"/>
    <w:rsid w:val="000B210A"/>
    <w:rsid w:val="000B249B"/>
    <w:rsid w:val="000B2ADE"/>
    <w:rsid w:val="000B3B01"/>
    <w:rsid w:val="000B3DB9"/>
    <w:rsid w:val="000B3F02"/>
    <w:rsid w:val="000B48A2"/>
    <w:rsid w:val="000B48E7"/>
    <w:rsid w:val="000B4F41"/>
    <w:rsid w:val="000B7663"/>
    <w:rsid w:val="000C05EA"/>
    <w:rsid w:val="000C1106"/>
    <w:rsid w:val="000C11D3"/>
    <w:rsid w:val="000C12F5"/>
    <w:rsid w:val="000C3408"/>
    <w:rsid w:val="000C5C0F"/>
    <w:rsid w:val="000C5D56"/>
    <w:rsid w:val="000C6498"/>
    <w:rsid w:val="000D0D51"/>
    <w:rsid w:val="000D14B3"/>
    <w:rsid w:val="000D1F52"/>
    <w:rsid w:val="000D208B"/>
    <w:rsid w:val="000D263E"/>
    <w:rsid w:val="000D2B8D"/>
    <w:rsid w:val="000D2E41"/>
    <w:rsid w:val="000D342A"/>
    <w:rsid w:val="000D43CB"/>
    <w:rsid w:val="000D5E7A"/>
    <w:rsid w:val="000D5FAA"/>
    <w:rsid w:val="000D65A4"/>
    <w:rsid w:val="000D6AEF"/>
    <w:rsid w:val="000E025B"/>
    <w:rsid w:val="000E0A8F"/>
    <w:rsid w:val="000E0ECB"/>
    <w:rsid w:val="000E153A"/>
    <w:rsid w:val="000E19A8"/>
    <w:rsid w:val="000E1EEA"/>
    <w:rsid w:val="000E4A42"/>
    <w:rsid w:val="000E6476"/>
    <w:rsid w:val="000E78D2"/>
    <w:rsid w:val="000F3332"/>
    <w:rsid w:val="000F33EE"/>
    <w:rsid w:val="000F401E"/>
    <w:rsid w:val="000F48CA"/>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2BB2"/>
    <w:rsid w:val="0011352E"/>
    <w:rsid w:val="00114FC0"/>
    <w:rsid w:val="00115496"/>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6318"/>
    <w:rsid w:val="0015639A"/>
    <w:rsid w:val="0016081D"/>
    <w:rsid w:val="00160CF3"/>
    <w:rsid w:val="00160E61"/>
    <w:rsid w:val="00161300"/>
    <w:rsid w:val="001620FA"/>
    <w:rsid w:val="00162853"/>
    <w:rsid w:val="00163793"/>
    <w:rsid w:val="00167FB2"/>
    <w:rsid w:val="001707DE"/>
    <w:rsid w:val="00170B04"/>
    <w:rsid w:val="00170F47"/>
    <w:rsid w:val="001711F2"/>
    <w:rsid w:val="001714F2"/>
    <w:rsid w:val="00173642"/>
    <w:rsid w:val="00173AF4"/>
    <w:rsid w:val="00173CB0"/>
    <w:rsid w:val="00174CE8"/>
    <w:rsid w:val="001752CB"/>
    <w:rsid w:val="00175351"/>
    <w:rsid w:val="00175F60"/>
    <w:rsid w:val="00176050"/>
    <w:rsid w:val="001764D8"/>
    <w:rsid w:val="00176A8F"/>
    <w:rsid w:val="00180D58"/>
    <w:rsid w:val="00181938"/>
    <w:rsid w:val="00182981"/>
    <w:rsid w:val="00184CF9"/>
    <w:rsid w:val="00185010"/>
    <w:rsid w:val="001852EC"/>
    <w:rsid w:val="00186447"/>
    <w:rsid w:val="001874CF"/>
    <w:rsid w:val="00190214"/>
    <w:rsid w:val="00190D9B"/>
    <w:rsid w:val="0019156A"/>
    <w:rsid w:val="00191BAE"/>
    <w:rsid w:val="00193432"/>
    <w:rsid w:val="0019346C"/>
    <w:rsid w:val="00194AE3"/>
    <w:rsid w:val="00195335"/>
    <w:rsid w:val="00195444"/>
    <w:rsid w:val="00195758"/>
    <w:rsid w:val="001A199D"/>
    <w:rsid w:val="001A2BDB"/>
    <w:rsid w:val="001A30F4"/>
    <w:rsid w:val="001A4C0D"/>
    <w:rsid w:val="001A552F"/>
    <w:rsid w:val="001A56F3"/>
    <w:rsid w:val="001A737B"/>
    <w:rsid w:val="001A750C"/>
    <w:rsid w:val="001B1D89"/>
    <w:rsid w:val="001B2143"/>
    <w:rsid w:val="001B3110"/>
    <w:rsid w:val="001B4198"/>
    <w:rsid w:val="001B44BC"/>
    <w:rsid w:val="001B5215"/>
    <w:rsid w:val="001B5888"/>
    <w:rsid w:val="001B618F"/>
    <w:rsid w:val="001B6277"/>
    <w:rsid w:val="001B6545"/>
    <w:rsid w:val="001B681B"/>
    <w:rsid w:val="001B6A49"/>
    <w:rsid w:val="001B7231"/>
    <w:rsid w:val="001B74FB"/>
    <w:rsid w:val="001B77A1"/>
    <w:rsid w:val="001C0422"/>
    <w:rsid w:val="001C0E0E"/>
    <w:rsid w:val="001C0EB9"/>
    <w:rsid w:val="001C1219"/>
    <w:rsid w:val="001C357A"/>
    <w:rsid w:val="001C3A37"/>
    <w:rsid w:val="001C4384"/>
    <w:rsid w:val="001C55F5"/>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552"/>
    <w:rsid w:val="001E7C03"/>
    <w:rsid w:val="001F02AF"/>
    <w:rsid w:val="001F0649"/>
    <w:rsid w:val="001F28F4"/>
    <w:rsid w:val="001F2CC6"/>
    <w:rsid w:val="001F3055"/>
    <w:rsid w:val="001F31BC"/>
    <w:rsid w:val="001F378E"/>
    <w:rsid w:val="001F3C79"/>
    <w:rsid w:val="001F3E68"/>
    <w:rsid w:val="001F4597"/>
    <w:rsid w:val="001F56A9"/>
    <w:rsid w:val="001F5C6A"/>
    <w:rsid w:val="001F63A7"/>
    <w:rsid w:val="001F670A"/>
    <w:rsid w:val="00200D15"/>
    <w:rsid w:val="0020223B"/>
    <w:rsid w:val="00203074"/>
    <w:rsid w:val="00203B46"/>
    <w:rsid w:val="002048E1"/>
    <w:rsid w:val="00207DB6"/>
    <w:rsid w:val="00210278"/>
    <w:rsid w:val="00210CC2"/>
    <w:rsid w:val="00210F5B"/>
    <w:rsid w:val="00210FFA"/>
    <w:rsid w:val="00211262"/>
    <w:rsid w:val="002115F5"/>
    <w:rsid w:val="00211AC9"/>
    <w:rsid w:val="0021355B"/>
    <w:rsid w:val="00215A2C"/>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01B"/>
    <w:rsid w:val="0023355C"/>
    <w:rsid w:val="00234280"/>
    <w:rsid w:val="00235000"/>
    <w:rsid w:val="002350E3"/>
    <w:rsid w:val="00235330"/>
    <w:rsid w:val="00236443"/>
    <w:rsid w:val="00240773"/>
    <w:rsid w:val="00240815"/>
    <w:rsid w:val="00240A5B"/>
    <w:rsid w:val="00240C76"/>
    <w:rsid w:val="002411EF"/>
    <w:rsid w:val="00241446"/>
    <w:rsid w:val="00242730"/>
    <w:rsid w:val="002436BA"/>
    <w:rsid w:val="002444ED"/>
    <w:rsid w:val="0024494A"/>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2CC5"/>
    <w:rsid w:val="00273DCD"/>
    <w:rsid w:val="00274291"/>
    <w:rsid w:val="00276C09"/>
    <w:rsid w:val="00276CFE"/>
    <w:rsid w:val="00277071"/>
    <w:rsid w:val="0027786C"/>
    <w:rsid w:val="00277BF7"/>
    <w:rsid w:val="00281416"/>
    <w:rsid w:val="00283C61"/>
    <w:rsid w:val="00285CD3"/>
    <w:rsid w:val="0028633E"/>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1DC1"/>
    <w:rsid w:val="002B36C8"/>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C3D"/>
    <w:rsid w:val="002D5E94"/>
    <w:rsid w:val="002D632D"/>
    <w:rsid w:val="002D6FC7"/>
    <w:rsid w:val="002E02A1"/>
    <w:rsid w:val="002E0982"/>
    <w:rsid w:val="002E0DB9"/>
    <w:rsid w:val="002E2CE4"/>
    <w:rsid w:val="002E34F3"/>
    <w:rsid w:val="002E435E"/>
    <w:rsid w:val="002E73F2"/>
    <w:rsid w:val="002F33FB"/>
    <w:rsid w:val="002F663A"/>
    <w:rsid w:val="002F68A4"/>
    <w:rsid w:val="002F7594"/>
    <w:rsid w:val="002F7902"/>
    <w:rsid w:val="00300D6F"/>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1574"/>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30B0"/>
    <w:rsid w:val="003651A4"/>
    <w:rsid w:val="00365680"/>
    <w:rsid w:val="003657F3"/>
    <w:rsid w:val="00366D4D"/>
    <w:rsid w:val="00367038"/>
    <w:rsid w:val="00370963"/>
    <w:rsid w:val="0037144E"/>
    <w:rsid w:val="003736B5"/>
    <w:rsid w:val="00374F1E"/>
    <w:rsid w:val="003750CF"/>
    <w:rsid w:val="00376DEC"/>
    <w:rsid w:val="00377200"/>
    <w:rsid w:val="00377666"/>
    <w:rsid w:val="0038034A"/>
    <w:rsid w:val="00380E04"/>
    <w:rsid w:val="00380E6C"/>
    <w:rsid w:val="00383227"/>
    <w:rsid w:val="003839C9"/>
    <w:rsid w:val="0038422D"/>
    <w:rsid w:val="00384D8F"/>
    <w:rsid w:val="00385D98"/>
    <w:rsid w:val="00385EC5"/>
    <w:rsid w:val="0038658E"/>
    <w:rsid w:val="0039066E"/>
    <w:rsid w:val="00391C95"/>
    <w:rsid w:val="00392110"/>
    <w:rsid w:val="00393D74"/>
    <w:rsid w:val="00394D49"/>
    <w:rsid w:val="00396DAC"/>
    <w:rsid w:val="003971D0"/>
    <w:rsid w:val="003A0214"/>
    <w:rsid w:val="003A027D"/>
    <w:rsid w:val="003A1D74"/>
    <w:rsid w:val="003A2B4D"/>
    <w:rsid w:val="003A2D2B"/>
    <w:rsid w:val="003A2DD4"/>
    <w:rsid w:val="003A3B1C"/>
    <w:rsid w:val="003A4088"/>
    <w:rsid w:val="003A478C"/>
    <w:rsid w:val="003A4F82"/>
    <w:rsid w:val="003A5525"/>
    <w:rsid w:val="003A6B38"/>
    <w:rsid w:val="003B2142"/>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760"/>
    <w:rsid w:val="003D49DC"/>
    <w:rsid w:val="003D4DD9"/>
    <w:rsid w:val="003D4FB5"/>
    <w:rsid w:val="003D5D7A"/>
    <w:rsid w:val="003D653F"/>
    <w:rsid w:val="003E0663"/>
    <w:rsid w:val="003E133F"/>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47"/>
    <w:rsid w:val="003F5098"/>
    <w:rsid w:val="003F5568"/>
    <w:rsid w:val="003F5A95"/>
    <w:rsid w:val="003F6D19"/>
    <w:rsid w:val="004000D5"/>
    <w:rsid w:val="00400244"/>
    <w:rsid w:val="004005C1"/>
    <w:rsid w:val="00401030"/>
    <w:rsid w:val="00401716"/>
    <w:rsid w:val="00401A09"/>
    <w:rsid w:val="0040273A"/>
    <w:rsid w:val="00402C25"/>
    <w:rsid w:val="004050D7"/>
    <w:rsid w:val="004078BD"/>
    <w:rsid w:val="00410132"/>
    <w:rsid w:val="004104E4"/>
    <w:rsid w:val="00410A97"/>
    <w:rsid w:val="00410BCD"/>
    <w:rsid w:val="00410DE5"/>
    <w:rsid w:val="0041175D"/>
    <w:rsid w:val="004117CE"/>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37F4A"/>
    <w:rsid w:val="00440E2D"/>
    <w:rsid w:val="0044105C"/>
    <w:rsid w:val="00443E95"/>
    <w:rsid w:val="004441A0"/>
    <w:rsid w:val="00444268"/>
    <w:rsid w:val="00444326"/>
    <w:rsid w:val="004443BF"/>
    <w:rsid w:val="00444C19"/>
    <w:rsid w:val="00445218"/>
    <w:rsid w:val="00445CDD"/>
    <w:rsid w:val="00446892"/>
    <w:rsid w:val="004470AE"/>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5D9"/>
    <w:rsid w:val="00474B94"/>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458D"/>
    <w:rsid w:val="004D504B"/>
    <w:rsid w:val="004D536E"/>
    <w:rsid w:val="004D70B1"/>
    <w:rsid w:val="004D76CC"/>
    <w:rsid w:val="004E1839"/>
    <w:rsid w:val="004E4A75"/>
    <w:rsid w:val="004E541A"/>
    <w:rsid w:val="004E5A5C"/>
    <w:rsid w:val="004E7007"/>
    <w:rsid w:val="004E76D6"/>
    <w:rsid w:val="004E7F57"/>
    <w:rsid w:val="004F06F5"/>
    <w:rsid w:val="004F191F"/>
    <w:rsid w:val="004F2A4D"/>
    <w:rsid w:val="004F2A73"/>
    <w:rsid w:val="004F33A0"/>
    <w:rsid w:val="004F4353"/>
    <w:rsid w:val="004F447D"/>
    <w:rsid w:val="004F4C28"/>
    <w:rsid w:val="004F4E82"/>
    <w:rsid w:val="004F5470"/>
    <w:rsid w:val="004F5CC5"/>
    <w:rsid w:val="004F6350"/>
    <w:rsid w:val="004F7170"/>
    <w:rsid w:val="004F77AE"/>
    <w:rsid w:val="005028E1"/>
    <w:rsid w:val="00505989"/>
    <w:rsid w:val="00506309"/>
    <w:rsid w:val="0050692E"/>
    <w:rsid w:val="00507040"/>
    <w:rsid w:val="005079F8"/>
    <w:rsid w:val="00510189"/>
    <w:rsid w:val="005108C0"/>
    <w:rsid w:val="00511873"/>
    <w:rsid w:val="00511BF9"/>
    <w:rsid w:val="0051367B"/>
    <w:rsid w:val="00513A89"/>
    <w:rsid w:val="00513B7E"/>
    <w:rsid w:val="005140DE"/>
    <w:rsid w:val="00514474"/>
    <w:rsid w:val="005147E9"/>
    <w:rsid w:val="0051593C"/>
    <w:rsid w:val="00517567"/>
    <w:rsid w:val="0051778E"/>
    <w:rsid w:val="005215EF"/>
    <w:rsid w:val="00524637"/>
    <w:rsid w:val="00524FDD"/>
    <w:rsid w:val="00525137"/>
    <w:rsid w:val="005251DD"/>
    <w:rsid w:val="00526DB6"/>
    <w:rsid w:val="0053017A"/>
    <w:rsid w:val="00530492"/>
    <w:rsid w:val="005308E4"/>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454C"/>
    <w:rsid w:val="005752EB"/>
    <w:rsid w:val="00575CDC"/>
    <w:rsid w:val="005765D5"/>
    <w:rsid w:val="00576A3E"/>
    <w:rsid w:val="0057703D"/>
    <w:rsid w:val="0058366F"/>
    <w:rsid w:val="00583D5B"/>
    <w:rsid w:val="00583FFD"/>
    <w:rsid w:val="00587CCD"/>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54EE"/>
    <w:rsid w:val="005A563B"/>
    <w:rsid w:val="005A7500"/>
    <w:rsid w:val="005A77E4"/>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073B"/>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601D"/>
    <w:rsid w:val="005F6119"/>
    <w:rsid w:val="005F7940"/>
    <w:rsid w:val="0060107A"/>
    <w:rsid w:val="00601AFF"/>
    <w:rsid w:val="00602D1D"/>
    <w:rsid w:val="00604307"/>
    <w:rsid w:val="0060487F"/>
    <w:rsid w:val="00605814"/>
    <w:rsid w:val="00606B93"/>
    <w:rsid w:val="00607727"/>
    <w:rsid w:val="00610BD5"/>
    <w:rsid w:val="00611363"/>
    <w:rsid w:val="00611531"/>
    <w:rsid w:val="006118AA"/>
    <w:rsid w:val="00611C28"/>
    <w:rsid w:val="006139C7"/>
    <w:rsid w:val="006150EA"/>
    <w:rsid w:val="006153E3"/>
    <w:rsid w:val="006167AB"/>
    <w:rsid w:val="0061718A"/>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818"/>
    <w:rsid w:val="00635E79"/>
    <w:rsid w:val="00636E5E"/>
    <w:rsid w:val="006379E0"/>
    <w:rsid w:val="006404A7"/>
    <w:rsid w:val="006407F3"/>
    <w:rsid w:val="006408EC"/>
    <w:rsid w:val="0064129B"/>
    <w:rsid w:val="0064183E"/>
    <w:rsid w:val="00641DF7"/>
    <w:rsid w:val="00643497"/>
    <w:rsid w:val="00643735"/>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4B64"/>
    <w:rsid w:val="00665D67"/>
    <w:rsid w:val="00665D77"/>
    <w:rsid w:val="006660CD"/>
    <w:rsid w:val="00666EC8"/>
    <w:rsid w:val="00666F4B"/>
    <w:rsid w:val="006676D0"/>
    <w:rsid w:val="0066796E"/>
    <w:rsid w:val="00670FAC"/>
    <w:rsid w:val="006710C9"/>
    <w:rsid w:val="006716A5"/>
    <w:rsid w:val="00674525"/>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23D8"/>
    <w:rsid w:val="006B281D"/>
    <w:rsid w:val="006B3F8A"/>
    <w:rsid w:val="006B5CA3"/>
    <w:rsid w:val="006B6B3B"/>
    <w:rsid w:val="006B7248"/>
    <w:rsid w:val="006B7714"/>
    <w:rsid w:val="006B78D8"/>
    <w:rsid w:val="006C090F"/>
    <w:rsid w:val="006C0935"/>
    <w:rsid w:val="006C0BCE"/>
    <w:rsid w:val="006C113F"/>
    <w:rsid w:val="006C2AED"/>
    <w:rsid w:val="006C38DD"/>
    <w:rsid w:val="006C457F"/>
    <w:rsid w:val="006C53C7"/>
    <w:rsid w:val="006C5577"/>
    <w:rsid w:val="006C559A"/>
    <w:rsid w:val="006C58FA"/>
    <w:rsid w:val="006D004F"/>
    <w:rsid w:val="006D042D"/>
    <w:rsid w:val="006D06EF"/>
    <w:rsid w:val="006D142E"/>
    <w:rsid w:val="006D3B87"/>
    <w:rsid w:val="006D4497"/>
    <w:rsid w:val="006D4E6F"/>
    <w:rsid w:val="006D61F6"/>
    <w:rsid w:val="006D710C"/>
    <w:rsid w:val="006E0EB0"/>
    <w:rsid w:val="006E1F4C"/>
    <w:rsid w:val="006E22C8"/>
    <w:rsid w:val="006E279A"/>
    <w:rsid w:val="006E2C28"/>
    <w:rsid w:val="006E2D21"/>
    <w:rsid w:val="006E2F3F"/>
    <w:rsid w:val="006E313B"/>
    <w:rsid w:val="006E442A"/>
    <w:rsid w:val="006E4434"/>
    <w:rsid w:val="006E59FC"/>
    <w:rsid w:val="006E5CFD"/>
    <w:rsid w:val="006E7E2C"/>
    <w:rsid w:val="006F1326"/>
    <w:rsid w:val="006F2280"/>
    <w:rsid w:val="006F2BEE"/>
    <w:rsid w:val="006F3708"/>
    <w:rsid w:val="006F376C"/>
    <w:rsid w:val="006F3E6B"/>
    <w:rsid w:val="006F4619"/>
    <w:rsid w:val="006F4A59"/>
    <w:rsid w:val="006F6968"/>
    <w:rsid w:val="00700232"/>
    <w:rsid w:val="007014C7"/>
    <w:rsid w:val="00702100"/>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4E80"/>
    <w:rsid w:val="00725492"/>
    <w:rsid w:val="00726043"/>
    <w:rsid w:val="0072704A"/>
    <w:rsid w:val="00730AE8"/>
    <w:rsid w:val="007315DA"/>
    <w:rsid w:val="00731963"/>
    <w:rsid w:val="00732706"/>
    <w:rsid w:val="00734321"/>
    <w:rsid w:val="0073532E"/>
    <w:rsid w:val="007360D7"/>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B0A"/>
    <w:rsid w:val="00755D3A"/>
    <w:rsid w:val="00760141"/>
    <w:rsid w:val="007609C6"/>
    <w:rsid w:val="007610A0"/>
    <w:rsid w:val="00762036"/>
    <w:rsid w:val="007620F2"/>
    <w:rsid w:val="00762EBA"/>
    <w:rsid w:val="0076359D"/>
    <w:rsid w:val="0077058D"/>
    <w:rsid w:val="00770931"/>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0393"/>
    <w:rsid w:val="00791804"/>
    <w:rsid w:val="00791CF8"/>
    <w:rsid w:val="00791EF9"/>
    <w:rsid w:val="00792262"/>
    <w:rsid w:val="00793387"/>
    <w:rsid w:val="00793BAE"/>
    <w:rsid w:val="00794E0A"/>
    <w:rsid w:val="00796642"/>
    <w:rsid w:val="007A11D9"/>
    <w:rsid w:val="007A327B"/>
    <w:rsid w:val="007A4048"/>
    <w:rsid w:val="007A45B1"/>
    <w:rsid w:val="007A4606"/>
    <w:rsid w:val="007B0D67"/>
    <w:rsid w:val="007B1966"/>
    <w:rsid w:val="007B2257"/>
    <w:rsid w:val="007B2779"/>
    <w:rsid w:val="007B2AF7"/>
    <w:rsid w:val="007B3DCC"/>
    <w:rsid w:val="007B3F17"/>
    <w:rsid w:val="007B4518"/>
    <w:rsid w:val="007B5031"/>
    <w:rsid w:val="007B573F"/>
    <w:rsid w:val="007B72AC"/>
    <w:rsid w:val="007B78F8"/>
    <w:rsid w:val="007C0065"/>
    <w:rsid w:val="007C010B"/>
    <w:rsid w:val="007C32B6"/>
    <w:rsid w:val="007C3AE3"/>
    <w:rsid w:val="007C605B"/>
    <w:rsid w:val="007C6EBA"/>
    <w:rsid w:val="007D2A5A"/>
    <w:rsid w:val="007D2AD8"/>
    <w:rsid w:val="007D2C47"/>
    <w:rsid w:val="007D2F81"/>
    <w:rsid w:val="007D3167"/>
    <w:rsid w:val="007D3CF7"/>
    <w:rsid w:val="007D4128"/>
    <w:rsid w:val="007D4281"/>
    <w:rsid w:val="007D42F5"/>
    <w:rsid w:val="007D44C3"/>
    <w:rsid w:val="007D5947"/>
    <w:rsid w:val="007D65C1"/>
    <w:rsid w:val="007E030F"/>
    <w:rsid w:val="007E0D49"/>
    <w:rsid w:val="007E0E59"/>
    <w:rsid w:val="007E0F4B"/>
    <w:rsid w:val="007E1EF7"/>
    <w:rsid w:val="007E3715"/>
    <w:rsid w:val="007E7063"/>
    <w:rsid w:val="007E7E61"/>
    <w:rsid w:val="007F0845"/>
    <w:rsid w:val="007F1092"/>
    <w:rsid w:val="007F16F9"/>
    <w:rsid w:val="007F3E3E"/>
    <w:rsid w:val="007F42E0"/>
    <w:rsid w:val="007F500D"/>
    <w:rsid w:val="007F5F14"/>
    <w:rsid w:val="007F7B54"/>
    <w:rsid w:val="007F7C60"/>
    <w:rsid w:val="00800073"/>
    <w:rsid w:val="008005D7"/>
    <w:rsid w:val="00801FDD"/>
    <w:rsid w:val="008020C2"/>
    <w:rsid w:val="0080255C"/>
    <w:rsid w:val="00806088"/>
    <w:rsid w:val="00806D07"/>
    <w:rsid w:val="0081019B"/>
    <w:rsid w:val="0081187C"/>
    <w:rsid w:val="00811E24"/>
    <w:rsid w:val="00812386"/>
    <w:rsid w:val="00812E2B"/>
    <w:rsid w:val="00813A70"/>
    <w:rsid w:val="00813FE6"/>
    <w:rsid w:val="00815C6E"/>
    <w:rsid w:val="00815F10"/>
    <w:rsid w:val="0081645F"/>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D9F"/>
    <w:rsid w:val="00842078"/>
    <w:rsid w:val="00842604"/>
    <w:rsid w:val="00843ECF"/>
    <w:rsid w:val="00845AB1"/>
    <w:rsid w:val="00846673"/>
    <w:rsid w:val="008508A9"/>
    <w:rsid w:val="0085188D"/>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15D"/>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5EC6"/>
    <w:rsid w:val="008869D2"/>
    <w:rsid w:val="00886A8F"/>
    <w:rsid w:val="0088733A"/>
    <w:rsid w:val="00891BE0"/>
    <w:rsid w:val="00893302"/>
    <w:rsid w:val="00893648"/>
    <w:rsid w:val="00893F3C"/>
    <w:rsid w:val="008945A1"/>
    <w:rsid w:val="00894A63"/>
    <w:rsid w:val="00895A54"/>
    <w:rsid w:val="00896776"/>
    <w:rsid w:val="00896916"/>
    <w:rsid w:val="00896BDE"/>
    <w:rsid w:val="008A0861"/>
    <w:rsid w:val="008A0BB2"/>
    <w:rsid w:val="008A1AB3"/>
    <w:rsid w:val="008A1D5C"/>
    <w:rsid w:val="008A3292"/>
    <w:rsid w:val="008A3A85"/>
    <w:rsid w:val="008A43E9"/>
    <w:rsid w:val="008A4CB1"/>
    <w:rsid w:val="008A615E"/>
    <w:rsid w:val="008A632B"/>
    <w:rsid w:val="008A6BFE"/>
    <w:rsid w:val="008A73DA"/>
    <w:rsid w:val="008B00C2"/>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6D92"/>
    <w:rsid w:val="008C777A"/>
    <w:rsid w:val="008C7815"/>
    <w:rsid w:val="008C7A07"/>
    <w:rsid w:val="008C7E90"/>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AB3"/>
    <w:rsid w:val="008E6AD3"/>
    <w:rsid w:val="008E6EBD"/>
    <w:rsid w:val="008E71A6"/>
    <w:rsid w:val="008E77B6"/>
    <w:rsid w:val="008E7C55"/>
    <w:rsid w:val="008F032E"/>
    <w:rsid w:val="008F0F14"/>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3E06"/>
    <w:rsid w:val="00904B9D"/>
    <w:rsid w:val="00905A11"/>
    <w:rsid w:val="009066E1"/>
    <w:rsid w:val="00906F67"/>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306BE"/>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67C71"/>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3D9C"/>
    <w:rsid w:val="009954FF"/>
    <w:rsid w:val="00995E2F"/>
    <w:rsid w:val="009961BC"/>
    <w:rsid w:val="00996355"/>
    <w:rsid w:val="00997ADD"/>
    <w:rsid w:val="009A2014"/>
    <w:rsid w:val="009A2030"/>
    <w:rsid w:val="009A3A87"/>
    <w:rsid w:val="009A4E12"/>
    <w:rsid w:val="009A5C68"/>
    <w:rsid w:val="009A6EF7"/>
    <w:rsid w:val="009B04D0"/>
    <w:rsid w:val="009B052C"/>
    <w:rsid w:val="009B0975"/>
    <w:rsid w:val="009B0EF2"/>
    <w:rsid w:val="009B23A3"/>
    <w:rsid w:val="009B2C0E"/>
    <w:rsid w:val="009B47BE"/>
    <w:rsid w:val="009B4925"/>
    <w:rsid w:val="009B4B4B"/>
    <w:rsid w:val="009B4CE3"/>
    <w:rsid w:val="009B6FD3"/>
    <w:rsid w:val="009B70BD"/>
    <w:rsid w:val="009C07A5"/>
    <w:rsid w:val="009C3705"/>
    <w:rsid w:val="009C7388"/>
    <w:rsid w:val="009C74C2"/>
    <w:rsid w:val="009D0CFF"/>
    <w:rsid w:val="009D1551"/>
    <w:rsid w:val="009D2859"/>
    <w:rsid w:val="009D36EC"/>
    <w:rsid w:val="009D4173"/>
    <w:rsid w:val="009D51CA"/>
    <w:rsid w:val="009D6095"/>
    <w:rsid w:val="009D6306"/>
    <w:rsid w:val="009E048A"/>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5B91"/>
    <w:rsid w:val="00A10D66"/>
    <w:rsid w:val="00A12BA8"/>
    <w:rsid w:val="00A13993"/>
    <w:rsid w:val="00A1420C"/>
    <w:rsid w:val="00A1456C"/>
    <w:rsid w:val="00A14821"/>
    <w:rsid w:val="00A17754"/>
    <w:rsid w:val="00A2055B"/>
    <w:rsid w:val="00A20E22"/>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78F8"/>
    <w:rsid w:val="00A40B19"/>
    <w:rsid w:val="00A41D07"/>
    <w:rsid w:val="00A424F8"/>
    <w:rsid w:val="00A42883"/>
    <w:rsid w:val="00A437B7"/>
    <w:rsid w:val="00A46C70"/>
    <w:rsid w:val="00A46D48"/>
    <w:rsid w:val="00A46DE0"/>
    <w:rsid w:val="00A4778A"/>
    <w:rsid w:val="00A47C94"/>
    <w:rsid w:val="00A504C0"/>
    <w:rsid w:val="00A5067F"/>
    <w:rsid w:val="00A517C1"/>
    <w:rsid w:val="00A518E0"/>
    <w:rsid w:val="00A5408A"/>
    <w:rsid w:val="00A55301"/>
    <w:rsid w:val="00A572FB"/>
    <w:rsid w:val="00A57B3C"/>
    <w:rsid w:val="00A57F1B"/>
    <w:rsid w:val="00A600D2"/>
    <w:rsid w:val="00A6128E"/>
    <w:rsid w:val="00A62BC7"/>
    <w:rsid w:val="00A62CE1"/>
    <w:rsid w:val="00A631FA"/>
    <w:rsid w:val="00A64203"/>
    <w:rsid w:val="00A64348"/>
    <w:rsid w:val="00A644E1"/>
    <w:rsid w:val="00A711B0"/>
    <w:rsid w:val="00A721FB"/>
    <w:rsid w:val="00A727BA"/>
    <w:rsid w:val="00A72D4B"/>
    <w:rsid w:val="00A732AE"/>
    <w:rsid w:val="00A74192"/>
    <w:rsid w:val="00A75837"/>
    <w:rsid w:val="00A75E40"/>
    <w:rsid w:val="00A76B12"/>
    <w:rsid w:val="00A76EF2"/>
    <w:rsid w:val="00A77EB2"/>
    <w:rsid w:val="00A81094"/>
    <w:rsid w:val="00A82B66"/>
    <w:rsid w:val="00A83B58"/>
    <w:rsid w:val="00A84FAF"/>
    <w:rsid w:val="00A851B6"/>
    <w:rsid w:val="00A85729"/>
    <w:rsid w:val="00A8574B"/>
    <w:rsid w:val="00A857C0"/>
    <w:rsid w:val="00A90343"/>
    <w:rsid w:val="00A91336"/>
    <w:rsid w:val="00A9221C"/>
    <w:rsid w:val="00A924DB"/>
    <w:rsid w:val="00A92916"/>
    <w:rsid w:val="00A94628"/>
    <w:rsid w:val="00A94954"/>
    <w:rsid w:val="00A96463"/>
    <w:rsid w:val="00A97E3F"/>
    <w:rsid w:val="00AA09D3"/>
    <w:rsid w:val="00AA220F"/>
    <w:rsid w:val="00AA23FB"/>
    <w:rsid w:val="00AA34FE"/>
    <w:rsid w:val="00AA42AB"/>
    <w:rsid w:val="00AA559A"/>
    <w:rsid w:val="00AA5F10"/>
    <w:rsid w:val="00AB0BB9"/>
    <w:rsid w:val="00AB104D"/>
    <w:rsid w:val="00AB1441"/>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4FEF"/>
    <w:rsid w:val="00AD50D1"/>
    <w:rsid w:val="00AD59BB"/>
    <w:rsid w:val="00AD5D68"/>
    <w:rsid w:val="00AD6C73"/>
    <w:rsid w:val="00AD7D49"/>
    <w:rsid w:val="00AE06D0"/>
    <w:rsid w:val="00AE1B8A"/>
    <w:rsid w:val="00AE39DC"/>
    <w:rsid w:val="00AE3CDA"/>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231C"/>
    <w:rsid w:val="00B07372"/>
    <w:rsid w:val="00B07C2A"/>
    <w:rsid w:val="00B13681"/>
    <w:rsid w:val="00B15DCD"/>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915"/>
    <w:rsid w:val="00B3793D"/>
    <w:rsid w:val="00B41BE6"/>
    <w:rsid w:val="00B42831"/>
    <w:rsid w:val="00B428A4"/>
    <w:rsid w:val="00B457E7"/>
    <w:rsid w:val="00B45D1B"/>
    <w:rsid w:val="00B46D25"/>
    <w:rsid w:val="00B47430"/>
    <w:rsid w:val="00B47AC6"/>
    <w:rsid w:val="00B52D2D"/>
    <w:rsid w:val="00B534EF"/>
    <w:rsid w:val="00B55BA8"/>
    <w:rsid w:val="00B55F15"/>
    <w:rsid w:val="00B561A6"/>
    <w:rsid w:val="00B57CC4"/>
    <w:rsid w:val="00B60062"/>
    <w:rsid w:val="00B62960"/>
    <w:rsid w:val="00B63A11"/>
    <w:rsid w:val="00B63FD0"/>
    <w:rsid w:val="00B6553E"/>
    <w:rsid w:val="00B65C84"/>
    <w:rsid w:val="00B6608F"/>
    <w:rsid w:val="00B73180"/>
    <w:rsid w:val="00B74317"/>
    <w:rsid w:val="00B7544D"/>
    <w:rsid w:val="00B75700"/>
    <w:rsid w:val="00B760C1"/>
    <w:rsid w:val="00B76D1E"/>
    <w:rsid w:val="00B77BC8"/>
    <w:rsid w:val="00B800EB"/>
    <w:rsid w:val="00B822D2"/>
    <w:rsid w:val="00B823F1"/>
    <w:rsid w:val="00B83D46"/>
    <w:rsid w:val="00B848B8"/>
    <w:rsid w:val="00B84A41"/>
    <w:rsid w:val="00B84D57"/>
    <w:rsid w:val="00B8504B"/>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A0F99"/>
    <w:rsid w:val="00BB0274"/>
    <w:rsid w:val="00BB0B13"/>
    <w:rsid w:val="00BB1CFD"/>
    <w:rsid w:val="00BB2C53"/>
    <w:rsid w:val="00BB32DA"/>
    <w:rsid w:val="00BB3A54"/>
    <w:rsid w:val="00BB4D26"/>
    <w:rsid w:val="00BB4E21"/>
    <w:rsid w:val="00BB7746"/>
    <w:rsid w:val="00BC22EB"/>
    <w:rsid w:val="00BC682B"/>
    <w:rsid w:val="00BC68BA"/>
    <w:rsid w:val="00BC6B04"/>
    <w:rsid w:val="00BC6D27"/>
    <w:rsid w:val="00BD059A"/>
    <w:rsid w:val="00BD186B"/>
    <w:rsid w:val="00BD1EAC"/>
    <w:rsid w:val="00BD254C"/>
    <w:rsid w:val="00BD3428"/>
    <w:rsid w:val="00BD366B"/>
    <w:rsid w:val="00BD5298"/>
    <w:rsid w:val="00BD534C"/>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0AF0"/>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35D"/>
    <w:rsid w:val="00C11DAF"/>
    <w:rsid w:val="00C123B4"/>
    <w:rsid w:val="00C12A69"/>
    <w:rsid w:val="00C13737"/>
    <w:rsid w:val="00C150BE"/>
    <w:rsid w:val="00C158B0"/>
    <w:rsid w:val="00C15A0C"/>
    <w:rsid w:val="00C15CEB"/>
    <w:rsid w:val="00C15DCB"/>
    <w:rsid w:val="00C16208"/>
    <w:rsid w:val="00C1711F"/>
    <w:rsid w:val="00C17E38"/>
    <w:rsid w:val="00C17E3C"/>
    <w:rsid w:val="00C20744"/>
    <w:rsid w:val="00C20B1C"/>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0924"/>
    <w:rsid w:val="00C31DD8"/>
    <w:rsid w:val="00C3271C"/>
    <w:rsid w:val="00C34FDE"/>
    <w:rsid w:val="00C35C16"/>
    <w:rsid w:val="00C40E09"/>
    <w:rsid w:val="00C40F81"/>
    <w:rsid w:val="00C41463"/>
    <w:rsid w:val="00C41A72"/>
    <w:rsid w:val="00C42D45"/>
    <w:rsid w:val="00C4422D"/>
    <w:rsid w:val="00C476C5"/>
    <w:rsid w:val="00C503B0"/>
    <w:rsid w:val="00C511C2"/>
    <w:rsid w:val="00C527C6"/>
    <w:rsid w:val="00C53CDB"/>
    <w:rsid w:val="00C53D82"/>
    <w:rsid w:val="00C54748"/>
    <w:rsid w:val="00C575FB"/>
    <w:rsid w:val="00C60696"/>
    <w:rsid w:val="00C60943"/>
    <w:rsid w:val="00C60EEF"/>
    <w:rsid w:val="00C6121D"/>
    <w:rsid w:val="00C615F1"/>
    <w:rsid w:val="00C61627"/>
    <w:rsid w:val="00C63B1A"/>
    <w:rsid w:val="00C64E60"/>
    <w:rsid w:val="00C657A4"/>
    <w:rsid w:val="00C666B5"/>
    <w:rsid w:val="00C6736C"/>
    <w:rsid w:val="00C675AF"/>
    <w:rsid w:val="00C71A1D"/>
    <w:rsid w:val="00C71EC4"/>
    <w:rsid w:val="00C74791"/>
    <w:rsid w:val="00C7591E"/>
    <w:rsid w:val="00C75C7E"/>
    <w:rsid w:val="00C75C9B"/>
    <w:rsid w:val="00C76D8E"/>
    <w:rsid w:val="00C77833"/>
    <w:rsid w:val="00C80C9B"/>
    <w:rsid w:val="00C8335E"/>
    <w:rsid w:val="00C83F9C"/>
    <w:rsid w:val="00C84CE3"/>
    <w:rsid w:val="00C85614"/>
    <w:rsid w:val="00C86127"/>
    <w:rsid w:val="00C90CF4"/>
    <w:rsid w:val="00C911EA"/>
    <w:rsid w:val="00C91C19"/>
    <w:rsid w:val="00C929A0"/>
    <w:rsid w:val="00C93389"/>
    <w:rsid w:val="00C937DB"/>
    <w:rsid w:val="00C94519"/>
    <w:rsid w:val="00C94938"/>
    <w:rsid w:val="00C94E11"/>
    <w:rsid w:val="00C94E83"/>
    <w:rsid w:val="00C97038"/>
    <w:rsid w:val="00CA02B2"/>
    <w:rsid w:val="00CA0883"/>
    <w:rsid w:val="00CA1085"/>
    <w:rsid w:val="00CA140F"/>
    <w:rsid w:val="00CA25C2"/>
    <w:rsid w:val="00CA37BB"/>
    <w:rsid w:val="00CA37CA"/>
    <w:rsid w:val="00CA5016"/>
    <w:rsid w:val="00CA5724"/>
    <w:rsid w:val="00CA6508"/>
    <w:rsid w:val="00CA6BA1"/>
    <w:rsid w:val="00CA6CD5"/>
    <w:rsid w:val="00CA6D0B"/>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67CA"/>
    <w:rsid w:val="00CD6954"/>
    <w:rsid w:val="00CD6DA3"/>
    <w:rsid w:val="00CD6EF1"/>
    <w:rsid w:val="00CD7E35"/>
    <w:rsid w:val="00CE21C7"/>
    <w:rsid w:val="00CE2682"/>
    <w:rsid w:val="00CE2756"/>
    <w:rsid w:val="00CE442A"/>
    <w:rsid w:val="00CE57D8"/>
    <w:rsid w:val="00CE5F03"/>
    <w:rsid w:val="00CE617A"/>
    <w:rsid w:val="00CE6E3C"/>
    <w:rsid w:val="00CE797F"/>
    <w:rsid w:val="00CF107E"/>
    <w:rsid w:val="00CF15BF"/>
    <w:rsid w:val="00CF25D2"/>
    <w:rsid w:val="00CF28C2"/>
    <w:rsid w:val="00CF42BD"/>
    <w:rsid w:val="00CF51EC"/>
    <w:rsid w:val="00CF6A9D"/>
    <w:rsid w:val="00CF6CD7"/>
    <w:rsid w:val="00CF75EC"/>
    <w:rsid w:val="00D002DF"/>
    <w:rsid w:val="00D0037A"/>
    <w:rsid w:val="00D0061E"/>
    <w:rsid w:val="00D00DAF"/>
    <w:rsid w:val="00D017EC"/>
    <w:rsid w:val="00D01CDA"/>
    <w:rsid w:val="00D020FC"/>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47BA"/>
    <w:rsid w:val="00D55626"/>
    <w:rsid w:val="00D556BC"/>
    <w:rsid w:val="00D5626D"/>
    <w:rsid w:val="00D56631"/>
    <w:rsid w:val="00D60277"/>
    <w:rsid w:val="00D60336"/>
    <w:rsid w:val="00D61F88"/>
    <w:rsid w:val="00D62901"/>
    <w:rsid w:val="00D6345E"/>
    <w:rsid w:val="00D6470C"/>
    <w:rsid w:val="00D64853"/>
    <w:rsid w:val="00D64CB5"/>
    <w:rsid w:val="00D66D48"/>
    <w:rsid w:val="00D7162F"/>
    <w:rsid w:val="00D72897"/>
    <w:rsid w:val="00D73256"/>
    <w:rsid w:val="00D73A30"/>
    <w:rsid w:val="00D74C65"/>
    <w:rsid w:val="00D74F21"/>
    <w:rsid w:val="00D758D0"/>
    <w:rsid w:val="00D75DC2"/>
    <w:rsid w:val="00D75DC3"/>
    <w:rsid w:val="00D766EF"/>
    <w:rsid w:val="00D76C03"/>
    <w:rsid w:val="00D77F8D"/>
    <w:rsid w:val="00D80E07"/>
    <w:rsid w:val="00D8119B"/>
    <w:rsid w:val="00D82462"/>
    <w:rsid w:val="00D831C6"/>
    <w:rsid w:val="00D85886"/>
    <w:rsid w:val="00D868CE"/>
    <w:rsid w:val="00D86DAE"/>
    <w:rsid w:val="00D90116"/>
    <w:rsid w:val="00D90C1E"/>
    <w:rsid w:val="00D91BDF"/>
    <w:rsid w:val="00D91F2C"/>
    <w:rsid w:val="00D93F09"/>
    <w:rsid w:val="00D94859"/>
    <w:rsid w:val="00D954C2"/>
    <w:rsid w:val="00D97BB8"/>
    <w:rsid w:val="00DA1318"/>
    <w:rsid w:val="00DA1382"/>
    <w:rsid w:val="00DA28B7"/>
    <w:rsid w:val="00DA2FE8"/>
    <w:rsid w:val="00DA4AF6"/>
    <w:rsid w:val="00DB016E"/>
    <w:rsid w:val="00DB06E9"/>
    <w:rsid w:val="00DB0BF3"/>
    <w:rsid w:val="00DB19BD"/>
    <w:rsid w:val="00DB1D55"/>
    <w:rsid w:val="00DB378E"/>
    <w:rsid w:val="00DB3E9D"/>
    <w:rsid w:val="00DB47B9"/>
    <w:rsid w:val="00DB4FB8"/>
    <w:rsid w:val="00DB53CE"/>
    <w:rsid w:val="00DB549D"/>
    <w:rsid w:val="00DB5792"/>
    <w:rsid w:val="00DB6A88"/>
    <w:rsid w:val="00DB7BA4"/>
    <w:rsid w:val="00DC226A"/>
    <w:rsid w:val="00DC257F"/>
    <w:rsid w:val="00DC2A9F"/>
    <w:rsid w:val="00DC350B"/>
    <w:rsid w:val="00DC3790"/>
    <w:rsid w:val="00DC408A"/>
    <w:rsid w:val="00DC436D"/>
    <w:rsid w:val="00DC519B"/>
    <w:rsid w:val="00DC5B3B"/>
    <w:rsid w:val="00DC6796"/>
    <w:rsid w:val="00DC6CC6"/>
    <w:rsid w:val="00DC78DF"/>
    <w:rsid w:val="00DC7D4C"/>
    <w:rsid w:val="00DD0821"/>
    <w:rsid w:val="00DD0E32"/>
    <w:rsid w:val="00DD2872"/>
    <w:rsid w:val="00DD2A62"/>
    <w:rsid w:val="00DD2BD0"/>
    <w:rsid w:val="00DD2BFE"/>
    <w:rsid w:val="00DD373E"/>
    <w:rsid w:val="00DD57AD"/>
    <w:rsid w:val="00DD7435"/>
    <w:rsid w:val="00DD7C6D"/>
    <w:rsid w:val="00DE009B"/>
    <w:rsid w:val="00DE08F8"/>
    <w:rsid w:val="00DE0C31"/>
    <w:rsid w:val="00DE2ED9"/>
    <w:rsid w:val="00DE319A"/>
    <w:rsid w:val="00DF0615"/>
    <w:rsid w:val="00DF0DC3"/>
    <w:rsid w:val="00DF21FD"/>
    <w:rsid w:val="00DF2873"/>
    <w:rsid w:val="00DF293C"/>
    <w:rsid w:val="00DF4C74"/>
    <w:rsid w:val="00DF4FD2"/>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7F05"/>
    <w:rsid w:val="00E127E1"/>
    <w:rsid w:val="00E144D2"/>
    <w:rsid w:val="00E144D6"/>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2A3D"/>
    <w:rsid w:val="00E539E4"/>
    <w:rsid w:val="00E53C14"/>
    <w:rsid w:val="00E569C7"/>
    <w:rsid w:val="00E56AF7"/>
    <w:rsid w:val="00E571F2"/>
    <w:rsid w:val="00E57429"/>
    <w:rsid w:val="00E61EA8"/>
    <w:rsid w:val="00E63221"/>
    <w:rsid w:val="00E64EA1"/>
    <w:rsid w:val="00E6582D"/>
    <w:rsid w:val="00E669C7"/>
    <w:rsid w:val="00E67611"/>
    <w:rsid w:val="00E70510"/>
    <w:rsid w:val="00E71262"/>
    <w:rsid w:val="00E71A58"/>
    <w:rsid w:val="00E737F6"/>
    <w:rsid w:val="00E7568F"/>
    <w:rsid w:val="00E764AE"/>
    <w:rsid w:val="00E7724B"/>
    <w:rsid w:val="00E80E31"/>
    <w:rsid w:val="00E83DAB"/>
    <w:rsid w:val="00E84F21"/>
    <w:rsid w:val="00E8618A"/>
    <w:rsid w:val="00E90A4B"/>
    <w:rsid w:val="00E90F73"/>
    <w:rsid w:val="00E910A7"/>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A77CA"/>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171C"/>
    <w:rsid w:val="00ED2989"/>
    <w:rsid w:val="00ED2CA5"/>
    <w:rsid w:val="00ED336F"/>
    <w:rsid w:val="00ED3A94"/>
    <w:rsid w:val="00ED40F0"/>
    <w:rsid w:val="00ED4AC0"/>
    <w:rsid w:val="00ED54D6"/>
    <w:rsid w:val="00ED5726"/>
    <w:rsid w:val="00EE0113"/>
    <w:rsid w:val="00EE0298"/>
    <w:rsid w:val="00EE0384"/>
    <w:rsid w:val="00EE043A"/>
    <w:rsid w:val="00EE0473"/>
    <w:rsid w:val="00EE1057"/>
    <w:rsid w:val="00EE10AA"/>
    <w:rsid w:val="00EE1637"/>
    <w:rsid w:val="00EE3B7A"/>
    <w:rsid w:val="00EE3E78"/>
    <w:rsid w:val="00EE4534"/>
    <w:rsid w:val="00EE495A"/>
    <w:rsid w:val="00EE5E02"/>
    <w:rsid w:val="00EE617D"/>
    <w:rsid w:val="00EE61BF"/>
    <w:rsid w:val="00EE6538"/>
    <w:rsid w:val="00EE6748"/>
    <w:rsid w:val="00EE6C6B"/>
    <w:rsid w:val="00EF0E75"/>
    <w:rsid w:val="00EF1F5A"/>
    <w:rsid w:val="00EF4685"/>
    <w:rsid w:val="00EF5397"/>
    <w:rsid w:val="00EF6BE3"/>
    <w:rsid w:val="00F00D0E"/>
    <w:rsid w:val="00F00D3C"/>
    <w:rsid w:val="00F04811"/>
    <w:rsid w:val="00F0488C"/>
    <w:rsid w:val="00F0496E"/>
    <w:rsid w:val="00F04D10"/>
    <w:rsid w:val="00F053EA"/>
    <w:rsid w:val="00F0625B"/>
    <w:rsid w:val="00F06944"/>
    <w:rsid w:val="00F06C6F"/>
    <w:rsid w:val="00F06D38"/>
    <w:rsid w:val="00F101FF"/>
    <w:rsid w:val="00F104DF"/>
    <w:rsid w:val="00F10A33"/>
    <w:rsid w:val="00F10B64"/>
    <w:rsid w:val="00F1186C"/>
    <w:rsid w:val="00F11AD5"/>
    <w:rsid w:val="00F126D0"/>
    <w:rsid w:val="00F14ACD"/>
    <w:rsid w:val="00F15309"/>
    <w:rsid w:val="00F15BEF"/>
    <w:rsid w:val="00F172BE"/>
    <w:rsid w:val="00F1776C"/>
    <w:rsid w:val="00F2037E"/>
    <w:rsid w:val="00F20D17"/>
    <w:rsid w:val="00F2103E"/>
    <w:rsid w:val="00F214FC"/>
    <w:rsid w:val="00F21C31"/>
    <w:rsid w:val="00F23825"/>
    <w:rsid w:val="00F2389A"/>
    <w:rsid w:val="00F23FFF"/>
    <w:rsid w:val="00F2441D"/>
    <w:rsid w:val="00F24FAA"/>
    <w:rsid w:val="00F26197"/>
    <w:rsid w:val="00F273D4"/>
    <w:rsid w:val="00F307DD"/>
    <w:rsid w:val="00F30C2E"/>
    <w:rsid w:val="00F30CB4"/>
    <w:rsid w:val="00F318FC"/>
    <w:rsid w:val="00F31D53"/>
    <w:rsid w:val="00F31F76"/>
    <w:rsid w:val="00F325A3"/>
    <w:rsid w:val="00F3364D"/>
    <w:rsid w:val="00F353AE"/>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41ED"/>
    <w:rsid w:val="00F54B31"/>
    <w:rsid w:val="00F54FD3"/>
    <w:rsid w:val="00F55605"/>
    <w:rsid w:val="00F57CD7"/>
    <w:rsid w:val="00F61BFE"/>
    <w:rsid w:val="00F62F02"/>
    <w:rsid w:val="00F6339F"/>
    <w:rsid w:val="00F63DDE"/>
    <w:rsid w:val="00F63FB7"/>
    <w:rsid w:val="00F64726"/>
    <w:rsid w:val="00F64F44"/>
    <w:rsid w:val="00F6561A"/>
    <w:rsid w:val="00F66243"/>
    <w:rsid w:val="00F67BDA"/>
    <w:rsid w:val="00F70309"/>
    <w:rsid w:val="00F7078A"/>
    <w:rsid w:val="00F70E45"/>
    <w:rsid w:val="00F727D5"/>
    <w:rsid w:val="00F72F44"/>
    <w:rsid w:val="00F73A0C"/>
    <w:rsid w:val="00F75895"/>
    <w:rsid w:val="00F759DC"/>
    <w:rsid w:val="00F76563"/>
    <w:rsid w:val="00F7717C"/>
    <w:rsid w:val="00F771A5"/>
    <w:rsid w:val="00F80D1E"/>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6B3F"/>
    <w:rsid w:val="00FA7644"/>
    <w:rsid w:val="00FB0A9A"/>
    <w:rsid w:val="00FB16AD"/>
    <w:rsid w:val="00FB1F21"/>
    <w:rsid w:val="00FB483B"/>
    <w:rsid w:val="00FB56F1"/>
    <w:rsid w:val="00FB5FD4"/>
    <w:rsid w:val="00FB67F3"/>
    <w:rsid w:val="00FC0D8A"/>
    <w:rsid w:val="00FC0E5F"/>
    <w:rsid w:val="00FC135D"/>
    <w:rsid w:val="00FC3C84"/>
    <w:rsid w:val="00FC4660"/>
    <w:rsid w:val="00FC56DE"/>
    <w:rsid w:val="00FC5E01"/>
    <w:rsid w:val="00FC6140"/>
    <w:rsid w:val="00FD1261"/>
    <w:rsid w:val="00FD1627"/>
    <w:rsid w:val="00FD1BBD"/>
    <w:rsid w:val="00FD38B2"/>
    <w:rsid w:val="00FD43A0"/>
    <w:rsid w:val="00FD473D"/>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37EDC-B984-4D1C-9299-0625E83D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TotalTime>
  <Pages>2</Pages>
  <Words>1080</Words>
  <Characters>6373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2016-12-20T07:27:00Z</cp:lastPrinted>
  <dcterms:created xsi:type="dcterms:W3CDTF">2016-12-20T14:26:00Z</dcterms:created>
  <dcterms:modified xsi:type="dcterms:W3CDTF">2016-12-20T14:27:00Z</dcterms:modified>
</cp:coreProperties>
</file>