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94" w:rsidRPr="00A74192" w:rsidRDefault="00ED3A94" w:rsidP="00D94859">
      <w:pPr>
        <w:rPr>
          <w:sz w:val="2"/>
          <w:szCs w:val="2"/>
        </w:rPr>
      </w:pPr>
    </w:p>
    <w:p w:rsidR="002E435E" w:rsidRPr="00A74192" w:rsidRDefault="002E435E" w:rsidP="00665DCC">
      <w:pPr>
        <w:pStyle w:val="Nadpis1"/>
        <w:numPr>
          <w:ilvl w:val="0"/>
          <w:numId w:val="16"/>
        </w:numPr>
        <w:jc w:val="both"/>
      </w:pPr>
      <w:bookmarkStart w:id="0" w:name="_Toc469299936"/>
      <w:bookmarkStart w:id="1" w:name="_Toc469327805"/>
      <w:r w:rsidRPr="00A74192">
        <w:t>Státní rozpočet</w:t>
      </w:r>
      <w:bookmarkEnd w:id="0"/>
      <w:bookmarkEnd w:id="1"/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51593C" w:rsidRPr="00A90EFD" w:rsidTr="004F7170">
        <w:tc>
          <w:tcPr>
            <w:tcW w:w="1054" w:type="pct"/>
          </w:tcPr>
          <w:p w:rsidR="0051593C" w:rsidRDefault="0051593C" w:rsidP="004F7170">
            <w:pPr>
              <w:spacing w:line="240" w:lineRule="auto"/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 xml:space="preserve">Státní rozpočet (SR) skončil za devět letošních měsíců v přebytku poprvé od stejného </w:t>
            </w:r>
            <w:r w:rsidR="00FB1F21"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>období konjunkturního roku 2008.</w:t>
            </w:r>
          </w:p>
          <w:p w:rsidR="0051593C" w:rsidRPr="009E7272" w:rsidRDefault="0051593C" w:rsidP="004F7170">
            <w:pPr>
              <w:spacing w:line="240" w:lineRule="auto"/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</w:pPr>
          </w:p>
        </w:tc>
        <w:tc>
          <w:tcPr>
            <w:tcW w:w="142" w:type="pct"/>
          </w:tcPr>
          <w:p w:rsidR="0051593C" w:rsidRPr="00A90EFD" w:rsidRDefault="0051593C" w:rsidP="004F7170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51593C" w:rsidRPr="00822850" w:rsidRDefault="0051593C" w:rsidP="004F7170">
            <w:pPr>
              <w:pStyle w:val="Textpoznpodarou"/>
              <w:jc w:val="both"/>
              <w:rPr>
                <w:rFonts w:cs="Arial"/>
                <w:color w:val="000000" w:themeColor="text1"/>
                <w:spacing w:val="-2"/>
              </w:rPr>
            </w:pPr>
            <w:r w:rsidRPr="009C05C6">
              <w:rPr>
                <w:rFonts w:cs="Arial"/>
                <w:color w:val="0D0D0D" w:themeColor="text1" w:themeTint="F2"/>
                <w:spacing w:val="-2"/>
              </w:rPr>
              <w:t xml:space="preserve">Přebytek hospodaření </w:t>
            </w:r>
            <w:r>
              <w:rPr>
                <w:rFonts w:cs="Arial"/>
                <w:color w:val="0D0D0D" w:themeColor="text1" w:themeTint="F2"/>
                <w:spacing w:val="-2"/>
              </w:rPr>
              <w:t>státního rozpočtu (</w:t>
            </w:r>
            <w:r w:rsidRPr="009C05C6">
              <w:rPr>
                <w:rFonts w:cs="Arial"/>
                <w:color w:val="0D0D0D" w:themeColor="text1" w:themeTint="F2"/>
                <w:spacing w:val="-2"/>
              </w:rPr>
              <w:t>SR</w:t>
            </w:r>
            <w:r>
              <w:rPr>
                <w:rFonts w:cs="Arial"/>
                <w:color w:val="0D0D0D" w:themeColor="text1" w:themeTint="F2"/>
                <w:spacing w:val="-2"/>
              </w:rPr>
              <w:t>)</w:t>
            </w:r>
            <w:r w:rsidRPr="009C05C6">
              <w:rPr>
                <w:rFonts w:cs="Arial"/>
                <w:color w:val="0D0D0D" w:themeColor="text1" w:themeTint="F2"/>
                <w:spacing w:val="-2"/>
              </w:rPr>
              <w:t xml:space="preserve"> vystoupal za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prvních devět měsíců roku</w:t>
            </w:r>
            <w:r w:rsidRPr="00744D2B">
              <w:rPr>
                <w:rFonts w:cs="Arial"/>
                <w:color w:val="0D0D0D" w:themeColor="text1" w:themeTint="F2"/>
                <w:spacing w:val="-2"/>
              </w:rPr>
              <w:t xml:space="preserve"> 2016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na 82,3 mld. korun a dosáhl</w:t>
            </w:r>
            <w:r w:rsidRPr="00744D2B">
              <w:rPr>
                <w:rFonts w:cs="Arial"/>
                <w:color w:val="000000" w:themeColor="text1"/>
                <w:spacing w:val="-2"/>
              </w:rPr>
              <w:t xml:space="preserve"> nejlepší</w:t>
            </w:r>
            <w:r>
              <w:rPr>
                <w:rFonts w:cs="Arial"/>
                <w:color w:val="000000" w:themeColor="text1"/>
                <w:spacing w:val="-2"/>
              </w:rPr>
              <w:t>ho výsled</w:t>
            </w:r>
            <w:r w:rsidRPr="00744D2B">
              <w:rPr>
                <w:rFonts w:cs="Arial"/>
                <w:color w:val="000000" w:themeColor="text1"/>
                <w:spacing w:val="-2"/>
              </w:rPr>
              <w:t>k</w:t>
            </w:r>
            <w:r>
              <w:rPr>
                <w:rFonts w:cs="Arial"/>
                <w:color w:val="000000" w:themeColor="text1"/>
                <w:spacing w:val="-2"/>
              </w:rPr>
              <w:t>u</w:t>
            </w:r>
            <w:r w:rsidRPr="00744D2B">
              <w:rPr>
                <w:rFonts w:cs="Arial"/>
                <w:color w:val="000000" w:themeColor="text1"/>
                <w:spacing w:val="-2"/>
              </w:rPr>
              <w:t xml:space="preserve"> v historii samotné ČR</w:t>
            </w:r>
            <w:r w:rsidRPr="00744D2B">
              <w:rPr>
                <w:rStyle w:val="Znakapoznpodarou"/>
                <w:color w:val="0D0D0D" w:themeColor="text1" w:themeTint="F2"/>
                <w:spacing w:val="-2"/>
              </w:rPr>
              <w:footnoteReference w:id="1"/>
            </w:r>
            <w:r>
              <w:rPr>
                <w:rFonts w:cs="Arial"/>
                <w:color w:val="000000" w:themeColor="text1"/>
                <w:spacing w:val="-2"/>
              </w:rPr>
              <w:t>. Zasloužil se o to především vývoj ve 3. čtvrtletí, během něhož se kladné saldo více než zdvojnásobilo. V přebytku letošní</w:t>
            </w:r>
            <w:r w:rsidR="004F77AE">
              <w:rPr>
                <w:rFonts w:cs="Arial"/>
                <w:color w:val="000000" w:themeColor="text1"/>
                <w:spacing w:val="-2"/>
              </w:rPr>
              <w:t>ho hospodaření se zrcadlí výraznější</w:t>
            </w:r>
            <w:r>
              <w:rPr>
                <w:rFonts w:cs="Arial"/>
                <w:color w:val="000000" w:themeColor="text1"/>
                <w:spacing w:val="-2"/>
              </w:rPr>
              <w:t xml:space="preserve"> růst daňových příjmů, vč. pojistného (+7,2 %, resp. +53 mld. korun)</w:t>
            </w:r>
            <w:r w:rsidRPr="00744D2B">
              <w:rPr>
                <w:rStyle w:val="Znakapoznpodarou"/>
                <w:color w:val="000000" w:themeColor="text1"/>
                <w:spacing w:val="-2"/>
              </w:rPr>
              <w:footnoteReference w:id="2"/>
            </w:r>
            <w:r>
              <w:rPr>
                <w:rFonts w:cs="Arial"/>
                <w:color w:val="000000" w:themeColor="text1"/>
                <w:spacing w:val="-2"/>
              </w:rPr>
              <w:t xml:space="preserve">. Významně byl však ovlivněn i důsledky nepravidelného čerpání evropských fondů na přelomu programových období EU. </w:t>
            </w:r>
            <w:r>
              <w:rPr>
                <w:rFonts w:cs="Arial"/>
                <w:color w:val="0D0D0D" w:themeColor="text1" w:themeTint="F2"/>
                <w:spacing w:val="-2"/>
              </w:rPr>
              <w:t>S</w:t>
            </w:r>
            <w:r w:rsidRPr="00744D2B">
              <w:rPr>
                <w:rFonts w:cs="Arial"/>
                <w:color w:val="0D0D0D" w:themeColor="text1" w:themeTint="F2"/>
                <w:spacing w:val="-2"/>
              </w:rPr>
              <w:t>aldo SR v relaci k</w:t>
            </w:r>
            <w:r w:rsidRPr="00744D2B">
              <w:rPr>
                <w:color w:val="0D0D0D" w:themeColor="text1" w:themeTint="F2"/>
                <w:spacing w:val="-2"/>
              </w:rPr>
              <w:t> </w:t>
            </w:r>
            <w:r w:rsidR="00643497">
              <w:rPr>
                <w:rFonts w:cs="Arial"/>
                <w:color w:val="000000" w:themeColor="text1"/>
                <w:spacing w:val="-2"/>
              </w:rPr>
              <w:t>nominálnímu HDP činilo za tři</w:t>
            </w:r>
            <w:r>
              <w:rPr>
                <w:rFonts w:cs="Arial"/>
                <w:color w:val="000000" w:themeColor="text1"/>
                <w:spacing w:val="-2"/>
              </w:rPr>
              <w:t xml:space="preserve"> </w:t>
            </w:r>
            <w:r w:rsidRPr="00D40259">
              <w:rPr>
                <w:rFonts w:cs="Arial"/>
                <w:color w:val="000000" w:themeColor="text1"/>
                <w:spacing w:val="-2"/>
              </w:rPr>
              <w:t>čtvrtletí +2,4 %</w:t>
            </w:r>
            <w:r>
              <w:rPr>
                <w:rFonts w:cs="Arial"/>
                <w:color w:val="000000" w:themeColor="text1"/>
                <w:spacing w:val="-2"/>
              </w:rPr>
              <w:t xml:space="preserve"> (o rok dříve -0,1</w:t>
            </w:r>
            <w:r w:rsidRPr="00744D2B">
              <w:rPr>
                <w:rFonts w:cs="Arial"/>
                <w:color w:val="000000" w:themeColor="text1"/>
                <w:spacing w:val="-2"/>
              </w:rPr>
              <w:t xml:space="preserve"> %).</w:t>
            </w:r>
          </w:p>
          <w:p w:rsidR="0051593C" w:rsidRPr="00952517" w:rsidRDefault="0051593C" w:rsidP="004F7170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5"/>
                <w:szCs w:val="15"/>
              </w:rPr>
            </w:pPr>
          </w:p>
        </w:tc>
      </w:tr>
      <w:tr w:rsidR="0051593C" w:rsidRPr="00A90EFD" w:rsidTr="004F7170">
        <w:tc>
          <w:tcPr>
            <w:tcW w:w="1054" w:type="pct"/>
          </w:tcPr>
          <w:p w:rsidR="0051593C" w:rsidRPr="00C30516" w:rsidRDefault="0051593C" w:rsidP="004F7170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 w:rsidRPr="00AC3A9F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V inkasu 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DPH se projevovaly vysoký meziroční růst</w:t>
            </w:r>
            <w:r w:rsidRPr="00AC3A9F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 výdajů na konečnou spotřebu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 v ekonomice i </w:t>
            </w:r>
            <w:r w:rsidRPr="00AC3A9F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zvýšení kontrolních opatření při výběru daně</w:t>
            </w:r>
            <w:r w:rsidR="00FB1F21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.</w:t>
            </w:r>
          </w:p>
        </w:tc>
        <w:tc>
          <w:tcPr>
            <w:tcW w:w="142" w:type="pct"/>
          </w:tcPr>
          <w:p w:rsidR="0051593C" w:rsidRPr="00A90EFD" w:rsidRDefault="0051593C" w:rsidP="004F7170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51593C" w:rsidRPr="00A9652F" w:rsidRDefault="0051593C" w:rsidP="004F7170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 w:rsidRPr="00A9652F">
              <w:rPr>
                <w:rFonts w:cs="Arial"/>
                <w:color w:val="0D0D0D" w:themeColor="text1" w:themeTint="F2"/>
                <w:spacing w:val="-4"/>
              </w:rPr>
              <w:t xml:space="preserve">Celostátní </w:t>
            </w:r>
            <w:r w:rsidRPr="00822850">
              <w:rPr>
                <w:rFonts w:cs="Arial"/>
                <w:color w:val="0D0D0D" w:themeColor="text1" w:themeTint="F2"/>
                <w:spacing w:val="-4"/>
              </w:rPr>
              <w:t xml:space="preserve">výběr </w:t>
            </w:r>
            <w:r w:rsidRPr="00822850">
              <w:rPr>
                <w:rFonts w:cs="Arial"/>
                <w:color w:val="000000" w:themeColor="text1"/>
                <w:spacing w:val="-4"/>
              </w:rPr>
              <w:t>DPH</w:t>
            </w:r>
            <w:r w:rsidRPr="00A9652F">
              <w:rPr>
                <w:rFonts w:cs="Arial"/>
                <w:color w:val="000000" w:themeColor="text1"/>
                <w:spacing w:val="-4"/>
              </w:rPr>
              <w:t xml:space="preserve"> vzrostl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meziročně o 5,9 % (na úrovni SR o 4,1 %)</w:t>
            </w:r>
            <w:r w:rsidRPr="00A9652F">
              <w:rPr>
                <w:rFonts w:cs="Arial"/>
                <w:color w:val="0D0D0D" w:themeColor="text1" w:themeTint="F2"/>
                <w:spacing w:val="-4"/>
              </w:rPr>
              <w:t>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Projevoval se v něm</w:t>
            </w:r>
            <w:r w:rsidRPr="00A9652F">
              <w:rPr>
                <w:rFonts w:cs="Arial"/>
                <w:color w:val="0D0D0D" w:themeColor="text1" w:themeTint="F2"/>
                <w:spacing w:val="-4"/>
              </w:rPr>
              <w:t xml:space="preserve"> stabilní </w:t>
            </w:r>
            <w:r>
              <w:rPr>
                <w:rFonts w:cs="Arial"/>
                <w:color w:val="0D0D0D" w:themeColor="text1" w:themeTint="F2"/>
                <w:spacing w:val="-4"/>
              </w:rPr>
              <w:t>růst</w:t>
            </w:r>
            <w:r w:rsidRPr="008E4EC0">
              <w:rPr>
                <w:rFonts w:cs="Arial"/>
                <w:color w:val="0D0D0D" w:themeColor="text1" w:themeTint="F2"/>
                <w:spacing w:val="-4"/>
              </w:rPr>
              <w:t xml:space="preserve"> výdajů na konečnou spotřebu, a to jak u</w:t>
            </w:r>
            <w:r>
              <w:rPr>
                <w:rFonts w:cs="Arial"/>
                <w:color w:val="000000" w:themeColor="text1"/>
                <w:spacing w:val="-2"/>
              </w:rPr>
              <w:t> </w:t>
            </w:r>
            <w:r w:rsidRPr="008E4EC0">
              <w:rPr>
                <w:rFonts w:cs="Arial"/>
                <w:color w:val="0D0D0D" w:themeColor="text1" w:themeTint="F2"/>
                <w:spacing w:val="-4"/>
              </w:rPr>
              <w:t>domácností (nominálně v 1. až 3. čtvrtletí 2,7 %), tak</w:t>
            </w:r>
            <w:r w:rsidRPr="00A9652F">
              <w:rPr>
                <w:rFonts w:cs="Arial"/>
                <w:color w:val="0D0D0D" w:themeColor="text1" w:themeTint="F2"/>
                <w:spacing w:val="-4"/>
              </w:rPr>
              <w:t xml:space="preserve"> i vládních </w:t>
            </w:r>
            <w:r w:rsidRPr="008E4EC0">
              <w:rPr>
                <w:rFonts w:cs="Arial"/>
                <w:color w:val="0D0D0D" w:themeColor="text1" w:themeTint="F2"/>
                <w:spacing w:val="-4"/>
              </w:rPr>
              <w:t>institucí (2,3 %).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Do</w:t>
            </w:r>
            <w:r w:rsidRPr="00A9652F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výběru DPH se </w:t>
            </w:r>
            <w:r w:rsidR="004F77AE">
              <w:rPr>
                <w:rFonts w:cs="Arial"/>
                <w:color w:val="0D0D0D" w:themeColor="text1" w:themeTint="F2"/>
                <w:spacing w:val="-4"/>
              </w:rPr>
              <w:t xml:space="preserve">zřejmě </w:t>
            </w:r>
            <w:r>
              <w:rPr>
                <w:rFonts w:cs="Arial"/>
                <w:color w:val="0D0D0D" w:themeColor="text1" w:themeTint="F2"/>
                <w:spacing w:val="-4"/>
              </w:rPr>
              <w:t>promítlo i</w:t>
            </w:r>
            <w:r w:rsidRPr="008E4EC0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A9652F">
              <w:rPr>
                <w:rFonts w:cs="Arial"/>
                <w:color w:val="0D0D0D" w:themeColor="text1" w:themeTint="F2"/>
                <w:spacing w:val="-4"/>
              </w:rPr>
              <w:t>zvýšení kontrolních opatření při výběru daně</w:t>
            </w:r>
            <w:r>
              <w:rPr>
                <w:spacing w:val="-4"/>
              </w:rPr>
              <w:t xml:space="preserve">, která jsou zacílena </w:t>
            </w:r>
            <w:r w:rsidRPr="00A9652F">
              <w:rPr>
                <w:spacing w:val="-4"/>
              </w:rPr>
              <w:t>na neoprávněné nároky a</w:t>
            </w:r>
            <w:r>
              <w:rPr>
                <w:rFonts w:cs="Arial"/>
                <w:color w:val="000000" w:themeColor="text1"/>
                <w:spacing w:val="-2"/>
              </w:rPr>
              <w:t> </w:t>
            </w:r>
            <w:r w:rsidRPr="00A9652F">
              <w:rPr>
                <w:spacing w:val="-4"/>
              </w:rPr>
              <w:t>nadměrné odpočty DPH</w:t>
            </w:r>
            <w:r w:rsidRPr="00A9652F">
              <w:rPr>
                <w:rFonts w:cs="Arial"/>
                <w:color w:val="0D0D0D" w:themeColor="text1" w:themeTint="F2"/>
                <w:spacing w:val="-4"/>
              </w:rPr>
              <w:t>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Letošní výběr DPH, na rozdíl </w:t>
            </w:r>
            <w:r w:rsidR="00FB1F21">
              <w:rPr>
                <w:rFonts w:cs="Arial"/>
                <w:color w:val="0D0D0D" w:themeColor="text1" w:themeTint="F2"/>
                <w:spacing w:val="-4"/>
              </w:rPr>
              <w:t xml:space="preserve">od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všech ostatních významných daní, </w:t>
            </w:r>
            <w:r w:rsidR="00FB1F21">
              <w:rPr>
                <w:rFonts w:cs="Arial"/>
                <w:color w:val="0D0D0D" w:themeColor="text1" w:themeTint="F2"/>
                <w:spacing w:val="-4"/>
              </w:rPr>
              <w:t>však za rozpočtovým očekáváním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stále významněji zaostával.</w:t>
            </w:r>
          </w:p>
          <w:p w:rsidR="0051593C" w:rsidRPr="00952517" w:rsidRDefault="0051593C" w:rsidP="004F7170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5"/>
                <w:szCs w:val="15"/>
              </w:rPr>
            </w:pPr>
          </w:p>
        </w:tc>
      </w:tr>
      <w:tr w:rsidR="0051593C" w:rsidRPr="00A90EFD" w:rsidTr="004F7170">
        <w:tc>
          <w:tcPr>
            <w:tcW w:w="1054" w:type="pct"/>
          </w:tcPr>
          <w:p w:rsidR="0051593C" w:rsidRPr="00C30516" w:rsidRDefault="0051593C" w:rsidP="004F7170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Na spotřebních daních získal SR za tři čtvrtletí meziročně o 7 mld. korun více, především vlivem </w:t>
            </w:r>
            <w:r w:rsidRPr="00105ED0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zvýšení sazeb daně z tabákových výrobků od počátku roku</w:t>
            </w:r>
            <w:r w:rsidR="00FB1F21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142" w:type="pct"/>
          </w:tcPr>
          <w:p w:rsidR="0051593C" w:rsidRPr="00A90EFD" w:rsidRDefault="0051593C" w:rsidP="004F7170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51593C" w:rsidRPr="00A94F1A" w:rsidRDefault="0051593C" w:rsidP="004F7170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>Na spotřebních daních inkasoval SR za tři čtvrtletí o 6,7 % více. Projevil se zde především vliv rychle rostoucího výběru daně z tabákových výrobků (meziročně o</w:t>
            </w:r>
            <w:r>
              <w:rPr>
                <w:rFonts w:cs="Arial"/>
                <w:color w:val="000000" w:themeColor="text1"/>
                <w:spacing w:val="-2"/>
              </w:rPr>
              <w:t xml:space="preserve"> bezmála </w:t>
            </w:r>
            <w:r>
              <w:rPr>
                <w:rFonts w:cs="Arial"/>
                <w:color w:val="0D0D0D" w:themeColor="text1" w:themeTint="F2"/>
                <w:spacing w:val="-4"/>
              </w:rPr>
              <w:t>osminu vyššího) tažený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primárně zvýšením 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>sazeb daně</w:t>
            </w:r>
            <w:r>
              <w:rPr>
                <w:rFonts w:cs="Arial"/>
                <w:color w:val="0D0D0D" w:themeColor="text1" w:themeTint="F2"/>
                <w:spacing w:val="-4"/>
              </w:rPr>
              <w:t>. Třetinou přispěla k vyššímu výběru všech spotřebních daní i váhově dominantní daň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 xml:space="preserve"> z mi</w:t>
            </w:r>
            <w:r>
              <w:rPr>
                <w:rFonts w:cs="Arial"/>
                <w:color w:val="0D0D0D" w:themeColor="text1" w:themeTint="F2"/>
                <w:spacing w:val="-4"/>
              </w:rPr>
              <w:t>nerálních olejů, jejíž inkaso meziročně posílilo o 4,6 %. S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>potřeb</w:t>
            </w:r>
            <w:r>
              <w:rPr>
                <w:rFonts w:cs="Arial"/>
                <w:color w:val="0D0D0D" w:themeColor="text1" w:themeTint="F2"/>
                <w:spacing w:val="-4"/>
              </w:rPr>
              <w:t>u stimulovaly stále příznivé ceny PHM (i ve srovnání s většinou sousedních států), jakož i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> dlouhodobější růst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poptávky po dopravě související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s pokračujícím 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>hospodářským růstem.</w:t>
            </w:r>
          </w:p>
          <w:p w:rsidR="0051593C" w:rsidRPr="00952517" w:rsidRDefault="0051593C" w:rsidP="004F7170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5"/>
                <w:szCs w:val="15"/>
              </w:rPr>
            </w:pPr>
          </w:p>
        </w:tc>
      </w:tr>
      <w:tr w:rsidR="0051593C" w:rsidRPr="00A90EFD" w:rsidTr="004F7170">
        <w:tc>
          <w:tcPr>
            <w:tcW w:w="1054" w:type="pct"/>
          </w:tcPr>
          <w:p w:rsidR="0051593C" w:rsidRPr="00105ED0" w:rsidRDefault="0051593C" w:rsidP="004F7170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Inkaso daně z příjmů právnických osob rostlo nejrychleji od konjunktury, </w:t>
            </w:r>
            <w:r w:rsidRPr="00875898">
              <w:rPr>
                <w:rFonts w:cs="Arial"/>
                <w:spacing w:val="-4"/>
                <w:sz w:val="16"/>
                <w:szCs w:val="16"/>
              </w:rPr>
              <w:t>těžilo</w:t>
            </w:r>
            <w:r>
              <w:rPr>
                <w:rFonts w:cs="Arial"/>
                <w:spacing w:val="-4"/>
                <w:sz w:val="16"/>
                <w:szCs w:val="16"/>
              </w:rPr>
              <w:t xml:space="preserve"> hlavně ze</w:t>
            </w:r>
            <w:r w:rsidRPr="00875898">
              <w:rPr>
                <w:rFonts w:cs="Arial"/>
                <w:spacing w:val="-4"/>
                <w:sz w:val="16"/>
                <w:szCs w:val="16"/>
              </w:rPr>
              <w:t xml:space="preserve"> sílících zisků podniků </w:t>
            </w:r>
            <w:r>
              <w:rPr>
                <w:rFonts w:cs="Arial"/>
                <w:spacing w:val="-4"/>
                <w:sz w:val="16"/>
                <w:szCs w:val="16"/>
              </w:rPr>
              <w:t>v letech 2014 a 2015</w:t>
            </w:r>
            <w:r w:rsidR="00FB1F21">
              <w:rPr>
                <w:rFonts w:cs="Arial"/>
                <w:spacing w:val="-4"/>
                <w:sz w:val="16"/>
                <w:szCs w:val="16"/>
              </w:rPr>
              <w:t>.</w:t>
            </w:r>
          </w:p>
        </w:tc>
        <w:tc>
          <w:tcPr>
            <w:tcW w:w="142" w:type="pct"/>
          </w:tcPr>
          <w:p w:rsidR="0051593C" w:rsidRPr="00A90EFD" w:rsidRDefault="0051593C" w:rsidP="004F7170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51593C" w:rsidRPr="004C0AD9" w:rsidRDefault="0051593C" w:rsidP="004F7170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 xml:space="preserve">Příznivý ekonomický vývoj se ještě výrazněji projevil na celostátním výběru přímých daní. Inkaso 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korporátních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 w:rsidR="00FB1F21">
              <w:rPr>
                <w:rFonts w:cs="Arial"/>
                <w:color w:val="0D0D0D" w:themeColor="text1" w:themeTint="F2"/>
                <w:spacing w:val="-4"/>
              </w:rPr>
              <w:t xml:space="preserve">daní nadále zrychlovalo – v 1. až </w:t>
            </w:r>
            <w:r>
              <w:rPr>
                <w:rFonts w:cs="Arial"/>
                <w:color w:val="0D0D0D" w:themeColor="text1" w:themeTint="F2"/>
                <w:spacing w:val="-4"/>
              </w:rPr>
              <w:t>3. čtvrtletí rostlo o 13 % meziročně (po loňských 11 %). Přestože šlo o nejvyšší růst od roku 2008, proti s</w:t>
            </w:r>
            <w:r w:rsidR="004F77AE">
              <w:rPr>
                <w:rFonts w:cs="Arial"/>
                <w:color w:val="0D0D0D" w:themeColor="text1" w:themeTint="F2"/>
                <w:spacing w:val="-4"/>
              </w:rPr>
              <w:t>vému předkrizovému maximu (1. až 3.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 w:rsidR="004F77AE">
              <w:rPr>
                <w:rFonts w:cs="Arial"/>
                <w:color w:val="0D0D0D" w:themeColor="text1" w:themeTint="F2"/>
                <w:spacing w:val="-4"/>
              </w:rPr>
              <w:t xml:space="preserve">čtvrtletí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2008) byl letošní výběr stále o osminu nižší (zčásti i vlivem snížení sazby daně o 1 </w:t>
            </w:r>
            <w:proofErr w:type="spellStart"/>
            <w:proofErr w:type="gramStart"/>
            <w:r>
              <w:rPr>
                <w:rFonts w:cs="Arial"/>
                <w:color w:val="0D0D0D" w:themeColor="text1" w:themeTint="F2"/>
                <w:spacing w:val="-4"/>
              </w:rPr>
              <w:t>p.b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>. od</w:t>
            </w:r>
            <w:proofErr w:type="gramEnd"/>
            <w:r>
              <w:rPr>
                <w:rFonts w:cs="Arial"/>
                <w:color w:val="0D0D0D" w:themeColor="text1" w:themeTint="F2"/>
                <w:spacing w:val="-4"/>
              </w:rPr>
              <w:t xml:space="preserve"> roku 2010).</w:t>
            </w:r>
          </w:p>
          <w:p w:rsidR="0051593C" w:rsidRPr="00952517" w:rsidRDefault="0051593C" w:rsidP="004F7170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5"/>
                <w:szCs w:val="15"/>
              </w:rPr>
            </w:pPr>
          </w:p>
        </w:tc>
      </w:tr>
      <w:tr w:rsidR="0051593C" w:rsidRPr="00A90EFD" w:rsidTr="004F7170">
        <w:tc>
          <w:tcPr>
            <w:tcW w:w="1054" w:type="pct"/>
          </w:tcPr>
          <w:p w:rsidR="0051593C" w:rsidRDefault="0051593C" w:rsidP="004F7170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Velmi příznivá situace na trhu práce pomohla inkasu </w:t>
            </w:r>
          </w:p>
          <w:p w:rsidR="0051593C" w:rsidRDefault="0051593C" w:rsidP="004F7170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DPFO ze závislé činnosti</w:t>
            </w:r>
          </w:p>
          <w:p w:rsidR="0051593C" w:rsidRDefault="00FB1F21" w:rsidP="004F7170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k</w:t>
            </w:r>
            <w:r w:rsidR="0051593C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 dvojcifernému růstu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.</w:t>
            </w:r>
          </w:p>
          <w:p w:rsidR="0051593C" w:rsidRDefault="0051593C" w:rsidP="004F7170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51593C" w:rsidRDefault="0051593C" w:rsidP="004F7170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51593C" w:rsidRPr="00F55C6A" w:rsidRDefault="0051593C" w:rsidP="004F7170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Výběr DPFO placené na základě přiznání se letos přehoupl do kladných hodnot a byl nejvyšší od roku 2010</w:t>
            </w:r>
            <w:r w:rsidR="00FB1F21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142" w:type="pct"/>
          </w:tcPr>
          <w:p w:rsidR="0051593C" w:rsidRPr="00807B25" w:rsidRDefault="0051593C" w:rsidP="004F7170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</w:p>
        </w:tc>
        <w:tc>
          <w:tcPr>
            <w:tcW w:w="3804" w:type="pct"/>
          </w:tcPr>
          <w:p w:rsidR="0051593C" w:rsidRPr="007607F9" w:rsidRDefault="0051593C" w:rsidP="004F7170">
            <w:pPr>
              <w:pStyle w:val="Textpoznpodarou"/>
              <w:jc w:val="both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 xml:space="preserve">Zrychlování dynamiky průměrných mezd v podnikové sféře i ve veřejném sektoru v kombinaci s rekordní výší zaměstnanosti v celé ekonomice letos vyústily ve více než 10% růst celostátního </w:t>
            </w:r>
            <w:r w:rsidRPr="009C08E8">
              <w:rPr>
                <w:rFonts w:cs="Arial"/>
                <w:spacing w:val="-4"/>
              </w:rPr>
              <w:t>výběr</w:t>
            </w:r>
            <w:r>
              <w:rPr>
                <w:rFonts w:cs="Arial"/>
                <w:spacing w:val="-4"/>
              </w:rPr>
              <w:t>u</w:t>
            </w:r>
            <w:r w:rsidRPr="009C08E8">
              <w:rPr>
                <w:rFonts w:cs="Arial"/>
                <w:spacing w:val="-4"/>
              </w:rPr>
              <w:t xml:space="preserve"> </w:t>
            </w:r>
            <w:r w:rsidRPr="009C08E8">
              <w:rPr>
                <w:rFonts w:cs="Arial"/>
                <w:color w:val="0D0D0D" w:themeColor="text1" w:themeTint="F2"/>
                <w:spacing w:val="-4"/>
              </w:rPr>
              <w:t>daně z příjmu fyzických osob (DPFO) ze závislé činnosti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</w:t>
            </w:r>
            <w:r>
              <w:rPr>
                <w:rFonts w:cs="Arial"/>
                <w:spacing w:val="-4"/>
              </w:rPr>
              <w:t>Příznivější loňské výsledky hospodaření drobných živnostn</w:t>
            </w:r>
            <w:r w:rsidRPr="00924185">
              <w:rPr>
                <w:rFonts w:cs="Arial"/>
                <w:spacing w:val="-4"/>
              </w:rPr>
              <w:t>íků i legislativní změny</w:t>
            </w:r>
            <w:r w:rsidRPr="00924185">
              <w:rPr>
                <w:rStyle w:val="Znakapoznpodarou"/>
                <w:spacing w:val="-4"/>
              </w:rPr>
              <w:footnoteReference w:id="3"/>
            </w:r>
            <w:r w:rsidRPr="00924185">
              <w:rPr>
                <w:rFonts w:cs="Arial"/>
                <w:spacing w:val="-4"/>
              </w:rPr>
              <w:t xml:space="preserve"> </w:t>
            </w:r>
            <w:r>
              <w:rPr>
                <w:rFonts w:cs="Arial"/>
                <w:spacing w:val="-4"/>
              </w:rPr>
              <w:t>ovlivn</w:t>
            </w:r>
            <w:r w:rsidRPr="00924185">
              <w:rPr>
                <w:rFonts w:cs="Arial"/>
                <w:spacing w:val="-4"/>
              </w:rPr>
              <w:t>ily výběr DPFO placené na základě přiznání</w:t>
            </w:r>
            <w:r>
              <w:rPr>
                <w:rFonts w:cs="Arial"/>
                <w:spacing w:val="-4"/>
              </w:rPr>
              <w:t>.</w:t>
            </w:r>
            <w:r w:rsidR="00FB1F21">
              <w:rPr>
                <w:rFonts w:cs="Arial"/>
                <w:spacing w:val="-4"/>
              </w:rPr>
              <w:t xml:space="preserve"> Ten za tři čtvrtletí čítal 3,5 </w:t>
            </w:r>
            <w:r>
              <w:rPr>
                <w:rFonts w:cs="Arial"/>
                <w:spacing w:val="-4"/>
              </w:rPr>
              <w:t>mld. korun, na rozdíl od loňského roku již dosáhl</w:t>
            </w:r>
            <w:r w:rsidRPr="00952517">
              <w:rPr>
                <w:rFonts w:cs="Arial"/>
                <w:spacing w:val="-4"/>
              </w:rPr>
              <w:t xml:space="preserve"> kladných hodnot.</w:t>
            </w:r>
            <w:r>
              <w:rPr>
                <w:rFonts w:cs="Arial"/>
                <w:spacing w:val="-4"/>
              </w:rPr>
              <w:t xml:space="preserve"> Naopak rozpočtová očekávání zatím nepřekračovalo inkaso DPFO z kapitálových výnosů, byť meziročně posílilo o 3,2 %.</w:t>
            </w:r>
            <w:r w:rsidRPr="00952517">
              <w:rPr>
                <w:rFonts w:cs="Arial"/>
                <w:spacing w:val="-4"/>
              </w:rPr>
              <w:t xml:space="preserve"> Z ostatních daní získal SR významnější prostředky z daně z nabytí nemovitých v</w:t>
            </w:r>
            <w:r>
              <w:rPr>
                <w:rFonts w:cs="Arial"/>
                <w:spacing w:val="-4"/>
              </w:rPr>
              <w:t>ěcí, jejíž svižný růst (+18 %) potvrzoval</w:t>
            </w:r>
            <w:r w:rsidRPr="00952517">
              <w:rPr>
                <w:rFonts w:cs="Arial"/>
                <w:spacing w:val="-4"/>
              </w:rPr>
              <w:t xml:space="preserve"> </w:t>
            </w:r>
            <w:r>
              <w:rPr>
                <w:rFonts w:cs="Arial"/>
                <w:spacing w:val="-4"/>
              </w:rPr>
              <w:t xml:space="preserve">pokračující </w:t>
            </w:r>
            <w:r w:rsidRPr="00952517">
              <w:rPr>
                <w:rFonts w:cs="Arial"/>
                <w:spacing w:val="-4"/>
              </w:rPr>
              <w:t>oživení realitního trhu.</w:t>
            </w:r>
          </w:p>
          <w:p w:rsidR="0051593C" w:rsidRPr="00CD3F70" w:rsidRDefault="0051593C" w:rsidP="004F7170">
            <w:pPr>
              <w:pStyle w:val="Textpoznpodarou"/>
              <w:jc w:val="both"/>
              <w:rPr>
                <w:rFonts w:cs="Arial"/>
                <w:spacing w:val="-4"/>
                <w:sz w:val="14"/>
                <w:szCs w:val="14"/>
              </w:rPr>
            </w:pPr>
          </w:p>
        </w:tc>
      </w:tr>
      <w:tr w:rsidR="0051593C" w:rsidRPr="00A90EFD" w:rsidTr="004F7170">
        <w:tc>
          <w:tcPr>
            <w:tcW w:w="1054" w:type="pct"/>
          </w:tcPr>
          <w:p w:rsidR="0051593C" w:rsidRPr="00E63C7F" w:rsidRDefault="0051593C" w:rsidP="004F7170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 w:rsidRPr="00E63C7F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Příjmy z rozpočtu EU byly v první polovině roku syceny dobíhajícími platbami vázanými na předešlé programové období EU</w:t>
            </w:r>
            <w:r w:rsidR="00FB1F21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.</w:t>
            </w:r>
          </w:p>
        </w:tc>
        <w:tc>
          <w:tcPr>
            <w:tcW w:w="142" w:type="pct"/>
          </w:tcPr>
          <w:p w:rsidR="0051593C" w:rsidRPr="00F77F65" w:rsidRDefault="0051593C" w:rsidP="004F7170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</w:p>
        </w:tc>
        <w:tc>
          <w:tcPr>
            <w:tcW w:w="3804" w:type="pct"/>
          </w:tcPr>
          <w:p w:rsidR="0051593C" w:rsidRDefault="0051593C" w:rsidP="004F7170">
            <w:pPr>
              <w:pStyle w:val="Textpoznpodarou"/>
              <w:jc w:val="both"/>
              <w:rPr>
                <w:rFonts w:cs="Arial"/>
                <w:color w:val="000000" w:themeColor="text1"/>
                <w:spacing w:val="-4"/>
              </w:rPr>
            </w:pPr>
            <w:r>
              <w:rPr>
                <w:rFonts w:cs="Arial"/>
                <w:color w:val="000000" w:themeColor="text1"/>
                <w:spacing w:val="-4"/>
              </w:rPr>
              <w:t>Za první tři čtvrtletí</w:t>
            </w:r>
            <w:r w:rsidRPr="005453DB">
              <w:rPr>
                <w:rFonts w:cs="Arial"/>
                <w:color w:val="000000" w:themeColor="text1"/>
                <w:spacing w:val="-4"/>
              </w:rPr>
              <w:t xml:space="preserve"> </w:t>
            </w:r>
            <w:r>
              <w:rPr>
                <w:rFonts w:cs="Arial"/>
                <w:color w:val="000000" w:themeColor="text1"/>
                <w:spacing w:val="-4"/>
              </w:rPr>
              <w:t xml:space="preserve">získal SR </w:t>
            </w:r>
            <w:r w:rsidRPr="005453DB">
              <w:rPr>
                <w:rFonts w:cs="Arial"/>
                <w:color w:val="000000" w:themeColor="text1"/>
                <w:spacing w:val="-4"/>
              </w:rPr>
              <w:t xml:space="preserve">na </w:t>
            </w:r>
            <w:r w:rsidRPr="00781131">
              <w:rPr>
                <w:rFonts w:cs="Arial"/>
                <w:color w:val="000000" w:themeColor="text1"/>
                <w:spacing w:val="-4"/>
              </w:rPr>
              <w:t>příjmech z EU (z drtivé</w:t>
            </w:r>
            <w:r w:rsidRPr="005453DB">
              <w:rPr>
                <w:rFonts w:cs="Arial"/>
                <w:color w:val="000000" w:themeColor="text1"/>
                <w:spacing w:val="-4"/>
              </w:rPr>
              <w:t xml:space="preserve"> většiny ještě</w:t>
            </w:r>
            <w:r>
              <w:rPr>
                <w:rFonts w:cs="Arial"/>
                <w:color w:val="000000" w:themeColor="text1"/>
                <w:spacing w:val="-4"/>
              </w:rPr>
              <w:t xml:space="preserve"> vázaných na minulé programové období), podobě jako loni, 14</w:t>
            </w:r>
            <w:r w:rsidR="00FB1F21">
              <w:rPr>
                <w:rFonts w:cs="Arial"/>
                <w:color w:val="000000" w:themeColor="text1"/>
                <w:spacing w:val="-4"/>
              </w:rPr>
              <w:t>5 mld. korun. R</w:t>
            </w:r>
            <w:r>
              <w:rPr>
                <w:rFonts w:cs="Arial"/>
                <w:color w:val="000000" w:themeColor="text1"/>
                <w:spacing w:val="-4"/>
              </w:rPr>
              <w:t xml:space="preserve">ozpočtem očekávaná </w:t>
            </w:r>
            <w:r w:rsidR="00FB1F21">
              <w:rPr>
                <w:rFonts w:cs="Arial"/>
                <w:color w:val="000000" w:themeColor="text1"/>
                <w:spacing w:val="-4"/>
              </w:rPr>
              <w:t>c</w:t>
            </w:r>
            <w:r w:rsidR="00FB1F21" w:rsidRPr="005453DB">
              <w:rPr>
                <w:rFonts w:cs="Arial"/>
                <w:color w:val="000000" w:themeColor="text1"/>
                <w:spacing w:val="-4"/>
              </w:rPr>
              <w:t>eloroční</w:t>
            </w:r>
            <w:r w:rsidR="00FB1F21">
              <w:rPr>
                <w:rFonts w:cs="Arial"/>
                <w:color w:val="000000" w:themeColor="text1"/>
                <w:spacing w:val="-4"/>
              </w:rPr>
              <w:t xml:space="preserve"> </w:t>
            </w:r>
            <w:r>
              <w:rPr>
                <w:rFonts w:cs="Arial"/>
                <w:color w:val="000000" w:themeColor="text1"/>
                <w:spacing w:val="-4"/>
              </w:rPr>
              <w:t>částka tak byla letos již o polovinu převýšena. Tři čtvrtin</w:t>
            </w:r>
            <w:r w:rsidR="00FB1F21">
              <w:rPr>
                <w:rFonts w:cs="Arial"/>
                <w:color w:val="000000" w:themeColor="text1"/>
                <w:spacing w:val="-4"/>
              </w:rPr>
              <w:t>y letošních příjmů z</w:t>
            </w:r>
            <w:r w:rsidR="00FB1F21" w:rsidRPr="00952517">
              <w:rPr>
                <w:rFonts w:cs="Arial"/>
                <w:spacing w:val="-4"/>
              </w:rPr>
              <w:t> </w:t>
            </w:r>
            <w:r w:rsidR="00FB1F21">
              <w:rPr>
                <w:rFonts w:cs="Arial"/>
                <w:color w:val="000000" w:themeColor="text1"/>
                <w:spacing w:val="-4"/>
              </w:rPr>
              <w:t>EU putovaly</w:t>
            </w:r>
            <w:r>
              <w:rPr>
                <w:rFonts w:cs="Arial"/>
                <w:color w:val="000000" w:themeColor="text1"/>
                <w:spacing w:val="-4"/>
              </w:rPr>
              <w:t xml:space="preserve"> do SR během prvních letošních pěti měsíců. </w:t>
            </w:r>
          </w:p>
          <w:p w:rsidR="0051593C" w:rsidRPr="00CD3F70" w:rsidRDefault="0051593C" w:rsidP="004F7170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</w:p>
        </w:tc>
      </w:tr>
      <w:tr w:rsidR="0051593C" w:rsidRPr="00A90EFD" w:rsidTr="004F7170">
        <w:tc>
          <w:tcPr>
            <w:tcW w:w="1054" w:type="pct"/>
          </w:tcPr>
          <w:p w:rsidR="0051593C" w:rsidRDefault="0051593C" w:rsidP="004F7170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Na nižších celkových výdajích SR se zásadně podílely investice</w:t>
            </w:r>
            <w:r w:rsidR="00FB1F21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,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…</w:t>
            </w:r>
          </w:p>
          <w:p w:rsidR="002D5C3D" w:rsidRDefault="002D5C3D" w:rsidP="004F7170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51593C" w:rsidRPr="00F745A4" w:rsidRDefault="0051593C" w:rsidP="004F7170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…jejichž absolutní výše byla (vlivem nižší připravenosti 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lastRenderedPageBreak/>
              <w:t>projektů spolufinancovaných z EU) nejnižší po roce 2006</w:t>
            </w:r>
            <w:r w:rsidR="00FB1F21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.</w:t>
            </w:r>
          </w:p>
        </w:tc>
        <w:tc>
          <w:tcPr>
            <w:tcW w:w="142" w:type="pct"/>
          </w:tcPr>
          <w:p w:rsidR="0051593C" w:rsidRPr="00782BA5" w:rsidRDefault="0051593C" w:rsidP="004F7170">
            <w:pPr>
              <w:pStyle w:val="Textpoznpodarou"/>
              <w:jc w:val="both"/>
              <w:rPr>
                <w:rFonts w:cs="Arial"/>
                <w:color w:val="000000" w:themeColor="text1"/>
                <w:spacing w:val="-4"/>
              </w:rPr>
            </w:pPr>
          </w:p>
        </w:tc>
        <w:tc>
          <w:tcPr>
            <w:tcW w:w="3804" w:type="pct"/>
          </w:tcPr>
          <w:p w:rsidR="0051593C" w:rsidRDefault="0051593C" w:rsidP="004F7170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 w:rsidRPr="00B9393C">
              <w:rPr>
                <w:rFonts w:cs="Arial"/>
                <w:color w:val="0D0D0D" w:themeColor="text1" w:themeTint="F2"/>
                <w:spacing w:val="-4"/>
              </w:rPr>
              <w:t>Celkové výdaje SR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se letos snížily o 3,1 %. V rámci prvních tří čtvrtletí šlo teprve o</w:t>
            </w:r>
            <w:r>
              <w:rPr>
                <w:rFonts w:cs="Arial"/>
                <w:color w:val="000000" w:themeColor="text1"/>
                <w:spacing w:val="-4"/>
              </w:rPr>
              <w:t> 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>druhý meziroční pokles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po roce 2000. Na rozdíl od roku 2012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 xml:space="preserve"> však ten letošní probíhal v období st</w:t>
            </w:r>
            <w:r>
              <w:rPr>
                <w:rFonts w:cs="Arial"/>
                <w:color w:val="0D0D0D" w:themeColor="text1" w:themeTint="F2"/>
                <w:spacing w:val="-4"/>
              </w:rPr>
              <w:t>abilního hospodářského růstu a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 xml:space="preserve"> byl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rovněž 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>i rozpočtově očekávaný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(vzhledem k mimořádnému čerpání v předchozím roce a zároveň nižší celkovou připraveností větších projektů na startu nového programového období). Za </w:t>
            </w:r>
            <w:r>
              <w:rPr>
                <w:rFonts w:cs="Arial"/>
                <w:color w:val="0D0D0D" w:themeColor="text1" w:themeTint="F2"/>
                <w:spacing w:val="-4"/>
              </w:rPr>
              <w:lastRenderedPageBreak/>
              <w:t>poklesem celkových výdajů tak stály výhradně investice, neboť běžné výdaje SR o 1 % rostly. Meziroční propad kapitálových výdajů byl však výrazný (o 41,7 %, resp. 37 mld. korun). Na celkových výdajích SR se letos investice podílely 5,8 %, tedy nejméně za posledních jedenáct let. Necelé dvě třetiny letošních investic se týkaly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 xml:space="preserve"> společných programů Česka a EU</w:t>
            </w:r>
            <w:r>
              <w:rPr>
                <w:rFonts w:cs="Arial"/>
                <w:color w:val="0D0D0D" w:themeColor="text1" w:themeTint="F2"/>
                <w:spacing w:val="-4"/>
              </w:rPr>
              <w:t>,</w:t>
            </w:r>
            <w:r w:rsidR="00FB1F21">
              <w:rPr>
                <w:rFonts w:cs="Arial"/>
                <w:color w:val="0D0D0D" w:themeColor="text1" w:themeTint="F2"/>
                <w:spacing w:val="-4"/>
              </w:rPr>
              <w:t xml:space="preserve"> na nové programové období 2014</w:t>
            </w:r>
            <w:r w:rsidR="00FB1F21" w:rsidRPr="00702100">
              <w:rPr>
                <w:rFonts w:cs="Arial"/>
                <w:color w:val="0D0D0D" w:themeColor="text1" w:themeTint="F2"/>
              </w:rPr>
              <w:t>–</w:t>
            </w:r>
            <w:r>
              <w:rPr>
                <w:rFonts w:cs="Arial"/>
                <w:color w:val="0D0D0D" w:themeColor="text1" w:themeTint="F2"/>
                <w:spacing w:val="-4"/>
              </w:rPr>
              <w:t>2020 však směřovalo jen 11,2 mld. korun (resp. po započtení i běžných výdajů 19,8 mld. korun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4"/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, z nichž téměř polovina směřovala na OP Doprava, třetina pak na </w:t>
            </w:r>
            <w:proofErr w:type="gramStart"/>
            <w:r>
              <w:rPr>
                <w:rFonts w:cs="Arial"/>
                <w:color w:val="0D0D0D" w:themeColor="text1" w:themeTint="F2"/>
                <w:spacing w:val="-4"/>
              </w:rPr>
              <w:t>OP</w:t>
            </w:r>
            <w:proofErr w:type="gramEnd"/>
            <w:r>
              <w:rPr>
                <w:rFonts w:cs="Arial"/>
                <w:color w:val="0D0D0D" w:themeColor="text1" w:themeTint="F2"/>
                <w:spacing w:val="-4"/>
              </w:rPr>
              <w:t xml:space="preserve"> Zaměstnanost).</w:t>
            </w:r>
          </w:p>
          <w:p w:rsidR="0051593C" w:rsidRPr="00952517" w:rsidRDefault="0051593C" w:rsidP="004F7170">
            <w:pPr>
              <w:pStyle w:val="Textpoznpodarou"/>
              <w:jc w:val="both"/>
              <w:rPr>
                <w:rFonts w:cs="Arial"/>
                <w:color w:val="000000" w:themeColor="text1"/>
                <w:spacing w:val="-4"/>
                <w:sz w:val="15"/>
                <w:szCs w:val="15"/>
              </w:rPr>
            </w:pPr>
          </w:p>
        </w:tc>
      </w:tr>
      <w:tr w:rsidR="0051593C" w:rsidRPr="00A90EFD" w:rsidTr="004F7170">
        <w:tc>
          <w:tcPr>
            <w:tcW w:w="1054" w:type="pct"/>
          </w:tcPr>
          <w:p w:rsidR="0051593C" w:rsidRPr="006E7FAA" w:rsidRDefault="0051593C" w:rsidP="004F7170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  <w:r w:rsidRPr="00EB0A9A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lastRenderedPageBreak/>
              <w:t>Výdaje n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a důchody rostly nejvyšší</w:t>
            </w:r>
            <w:r w:rsidRPr="00EB0A9A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m tempem za posledních pět let, díky silnému růstu výběru pojistného 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(+6 %) se </w:t>
            </w:r>
            <w:r w:rsidRPr="00EB0A9A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však deficit důchodo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vého účtu </w:t>
            </w:r>
            <w:r w:rsidRPr="00EB0A9A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nadále zmírňoval</w:t>
            </w:r>
            <w:r w:rsidR="00FB1F21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142" w:type="pct"/>
          </w:tcPr>
          <w:p w:rsidR="0051593C" w:rsidRPr="00A90EFD" w:rsidRDefault="0051593C" w:rsidP="004F7170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51593C" w:rsidRPr="00DF28AF" w:rsidRDefault="0051593C" w:rsidP="004F7170">
            <w:pPr>
              <w:pStyle w:val="Textpoznpodarou"/>
              <w:jc w:val="both"/>
              <w:rPr>
                <w:rFonts w:cs="Arial"/>
                <w:color w:val="000000" w:themeColor="text1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 xml:space="preserve">O </w:t>
            </w:r>
            <w:r w:rsidRPr="00087E08">
              <w:rPr>
                <w:rFonts w:cs="Arial"/>
                <w:color w:val="0D0D0D" w:themeColor="text1" w:themeTint="F2"/>
                <w:spacing w:val="-4"/>
              </w:rPr>
              <w:t>růst běžných výdajů se letos přičinily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váhově významné sociální dávky (meziročně vyšší o </w:t>
            </w:r>
            <w:r w:rsidRPr="00087E08">
              <w:rPr>
                <w:rFonts w:cs="Arial"/>
                <w:color w:val="0D0D0D" w:themeColor="text1" w:themeTint="F2"/>
                <w:spacing w:val="-4"/>
              </w:rPr>
              <w:t>2,8</w:t>
            </w:r>
            <w:r w:rsidRPr="00087E08">
              <w:rPr>
                <w:color w:val="0D0D0D" w:themeColor="text1" w:themeTint="F2"/>
                <w:spacing w:val="-4"/>
              </w:rPr>
              <w:t> </w:t>
            </w:r>
            <w:r w:rsidRPr="00087E08">
              <w:rPr>
                <w:rFonts w:cs="Arial"/>
                <w:color w:val="0D0D0D" w:themeColor="text1" w:themeTint="F2"/>
                <w:spacing w:val="-4"/>
              </w:rPr>
              <w:t>%,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resp. 10,4 mld. korun), neboť ostatní d</w:t>
            </w:r>
            <w:r w:rsidR="00FB1F21">
              <w:rPr>
                <w:rFonts w:cs="Arial"/>
                <w:color w:val="0D0D0D" w:themeColor="text1" w:themeTint="F2"/>
                <w:spacing w:val="-4"/>
              </w:rPr>
              <w:t>ruhy běžných výdajů v úhrnu o</w:t>
            </w:r>
            <w:r w:rsidR="00FB1F21" w:rsidRPr="00087E08">
              <w:rPr>
                <w:color w:val="0D0D0D" w:themeColor="text1" w:themeTint="F2"/>
                <w:spacing w:val="-4"/>
              </w:rPr>
              <w:t> </w:t>
            </w:r>
            <w:r w:rsidR="00FB1F21">
              <w:rPr>
                <w:rFonts w:cs="Arial"/>
                <w:color w:val="0D0D0D" w:themeColor="text1" w:themeTint="F2"/>
                <w:spacing w:val="-4"/>
              </w:rPr>
              <w:t>2</w:t>
            </w:r>
            <w:r w:rsidR="00FB1F21" w:rsidRPr="00087E08">
              <w:rPr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mld. poklesly. Rozhodující díl sociální dávek tradičně putoval na důchody. Přestože jejich meziroční růst (o 3 %) byl jen nepatrně vyšší než v předchozím roce, šlo zároveň o nejsilnější tempo za posledních pět let. Projevil se zde vliv </w:t>
            </w:r>
            <w:r w:rsidRPr="00741F3C">
              <w:rPr>
                <w:rFonts w:cs="Arial"/>
                <w:color w:val="0D0D0D" w:themeColor="text1" w:themeTint="F2"/>
                <w:spacing w:val="-4"/>
              </w:rPr>
              <w:t>jednorázového únorového příspěvku (1</w:t>
            </w:r>
            <w:r w:rsidRPr="00741F3C">
              <w:rPr>
                <w:rFonts w:cs="Arial"/>
                <w:color w:val="000000" w:themeColor="text1"/>
                <w:spacing w:val="-4"/>
              </w:rPr>
              <w:t> </w:t>
            </w:r>
            <w:r w:rsidRPr="00741F3C">
              <w:rPr>
                <w:rFonts w:cs="Arial"/>
                <w:color w:val="0D0D0D" w:themeColor="text1" w:themeTint="F2"/>
                <w:spacing w:val="-4"/>
              </w:rPr>
              <w:t xml:space="preserve">200 korun) nad rámec standardní valorizace </w:t>
            </w:r>
            <w:r>
              <w:rPr>
                <w:rFonts w:cs="Arial"/>
                <w:color w:val="0D0D0D" w:themeColor="text1" w:themeTint="F2"/>
                <w:spacing w:val="-4"/>
              </w:rPr>
              <w:t>(opětovně platné od ledna 2015)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5"/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, z menší části i rostoucí počet příjemců důchodů (+0,7 %, po třech předchozích letech stagnace). Prostor pro jednorázovou valorizaci vytvořil i silný růst výběrů pojistného (o 6 %) vlivem příznivé situace na trhu práce. </w:t>
            </w:r>
            <w:r w:rsidRPr="00741F3C">
              <w:rPr>
                <w:rFonts w:cs="Arial"/>
                <w:color w:val="000000" w:themeColor="text1"/>
                <w:spacing w:val="-4"/>
              </w:rPr>
              <w:t xml:space="preserve">Deficit salda důchodového účtu (rozdíl mezi příjmy a výdaji na důchody ze SR) </w:t>
            </w:r>
            <w:r>
              <w:rPr>
                <w:rFonts w:cs="Arial"/>
                <w:color w:val="000000" w:themeColor="text1"/>
                <w:spacing w:val="-4"/>
              </w:rPr>
              <w:t xml:space="preserve">činil za tři čtvrtletí 13,3 </w:t>
            </w:r>
            <w:r w:rsidRPr="00741F3C">
              <w:rPr>
                <w:rFonts w:cs="Arial"/>
                <w:color w:val="000000" w:themeColor="text1"/>
                <w:spacing w:val="-4"/>
              </w:rPr>
              <w:t>mld. korun</w:t>
            </w:r>
            <w:r>
              <w:rPr>
                <w:rFonts w:cs="Arial"/>
                <w:color w:val="000000" w:themeColor="text1"/>
                <w:spacing w:val="-4"/>
              </w:rPr>
              <w:t xml:space="preserve"> </w:t>
            </w:r>
            <w:r w:rsidRPr="00741F3C">
              <w:rPr>
                <w:rFonts w:cs="Arial"/>
                <w:color w:val="000000" w:themeColor="text1"/>
                <w:spacing w:val="-4"/>
              </w:rPr>
              <w:t>a byl již meziročně opět příznivější</w:t>
            </w:r>
            <w:r>
              <w:rPr>
                <w:rFonts w:cs="Arial"/>
                <w:color w:val="000000" w:themeColor="text1"/>
                <w:spacing w:val="-4"/>
              </w:rPr>
              <w:t xml:space="preserve"> již popáté v řadě.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</w:p>
          <w:p w:rsidR="0051593C" w:rsidRPr="00952517" w:rsidRDefault="0051593C" w:rsidP="004F7170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5"/>
                <w:szCs w:val="15"/>
              </w:rPr>
            </w:pPr>
          </w:p>
        </w:tc>
      </w:tr>
      <w:tr w:rsidR="0051593C" w:rsidRPr="00A90EFD" w:rsidTr="004F7170">
        <w:tc>
          <w:tcPr>
            <w:tcW w:w="1054" w:type="pct"/>
          </w:tcPr>
          <w:p w:rsidR="0051593C" w:rsidRDefault="0051593C" w:rsidP="004F7170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Meziroční tempo růstu výdajů na sociální dávky (bez důchodů) se proti loňsku zdvojnásobilo, </w:t>
            </w:r>
            <w:r w:rsidRPr="00335468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zejména vlivem 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vyšších </w:t>
            </w:r>
            <w:r w:rsidRPr="00335468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nemocenských dávek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 (o</w:t>
            </w:r>
            <w:r w:rsidRPr="00335468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 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9,1 %)</w:t>
            </w:r>
            <w:r w:rsidR="00FB1F21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.</w:t>
            </w:r>
          </w:p>
          <w:p w:rsidR="0051593C" w:rsidRDefault="0051593C" w:rsidP="004F7170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51593C" w:rsidRDefault="0051593C" w:rsidP="004F7170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51593C" w:rsidRDefault="0051593C" w:rsidP="004F7170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51593C" w:rsidRDefault="0051593C" w:rsidP="004F7170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Objemově významné dávky státní sociální podpory i</w:t>
            </w:r>
            <w:r w:rsidRPr="00335468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 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dávky sociální péče stagnovaly</w:t>
            </w:r>
            <w:r w:rsidR="00FB1F21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.</w:t>
            </w:r>
          </w:p>
          <w:p w:rsidR="0051593C" w:rsidRPr="00EB0A9A" w:rsidRDefault="0051593C" w:rsidP="004F7170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" w:type="pct"/>
          </w:tcPr>
          <w:p w:rsidR="0051593C" w:rsidRPr="00A90EFD" w:rsidRDefault="0051593C" w:rsidP="004F7170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51593C" w:rsidRPr="00335468" w:rsidRDefault="0051593C" w:rsidP="004F7170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>Zrychlovalo i tempo výdajů na ostatní sociální dávky</w:t>
            </w:r>
            <w:r w:rsidRPr="00335468">
              <w:rPr>
                <w:rFonts w:cs="Arial"/>
                <w:color w:val="0D0D0D" w:themeColor="text1" w:themeTint="F2"/>
                <w:spacing w:val="-4"/>
              </w:rPr>
              <w:t xml:space="preserve"> (t</w:t>
            </w:r>
            <w:r>
              <w:rPr>
                <w:rFonts w:cs="Arial"/>
                <w:color w:val="0D0D0D" w:themeColor="text1" w:themeTint="F2"/>
                <w:spacing w:val="-4"/>
              </w:rPr>
              <w:t>j. bez důchodů). Za tři čtvrtletí bylo vyplaceno 85,6 mld. korun, meziročně o 2,2</w:t>
            </w:r>
            <w:r w:rsidRPr="00335468">
              <w:rPr>
                <w:rFonts w:cs="Arial"/>
                <w:color w:val="0D0D0D" w:themeColor="text1" w:themeTint="F2"/>
                <w:spacing w:val="-4"/>
              </w:rPr>
              <w:t xml:space="preserve"> % více.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Váhově nejvýznamnější dávky státní sociální podpory stagnovaly, když nižší objem vyplacených přídavků na děti vykompenzovaly mírně vyšší příspěvky na bydlení, rodičovské příspěvky i dávky pěstounské péče. Diferencovaný byl i vývoj dávek sociální péče. Zatímco na příspěvky na péči vydal stát o 1 mld. korun více (hlavně vlivem plošného navýšení částek od srpna), u dávek pomoci v hmotné nouzi se díky příznivému vývoji příjmů domácností pokles prohloubil (z loňských 6 % na 12 %). Na podpoře nezaměstnaných však stát proti loňsku ušetři</w:t>
            </w:r>
            <w:r w:rsidR="00FB1F21">
              <w:rPr>
                <w:rFonts w:cs="Arial"/>
                <w:color w:val="0D0D0D" w:themeColor="text1" w:themeTint="F2"/>
                <w:spacing w:val="-4"/>
              </w:rPr>
              <w:t>l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pouhé 1 %. P</w:t>
            </w:r>
            <w:r w:rsidRPr="00335468">
              <w:rPr>
                <w:rFonts w:cs="Arial"/>
                <w:color w:val="0D0D0D" w:themeColor="text1" w:themeTint="F2"/>
                <w:spacing w:val="-4"/>
              </w:rPr>
              <w:t>očet příjemců této podpory stagnoval, na rozdíl od všech registr</w:t>
            </w:r>
            <w:r>
              <w:rPr>
                <w:rFonts w:cs="Arial"/>
                <w:color w:val="0D0D0D" w:themeColor="text1" w:themeTint="F2"/>
                <w:spacing w:val="-4"/>
              </w:rPr>
              <w:t>ovaných uchazečů o práci, jejichž stavy proti loňskému září o sedminu prořídly</w:t>
            </w:r>
            <w:r w:rsidRPr="00335468">
              <w:rPr>
                <w:rFonts w:cs="Arial"/>
                <w:color w:val="0D0D0D" w:themeColor="text1" w:themeTint="F2"/>
                <w:spacing w:val="-4"/>
              </w:rPr>
              <w:t xml:space="preserve">. </w:t>
            </w:r>
            <w:r>
              <w:rPr>
                <w:rFonts w:cs="Arial"/>
                <w:color w:val="0D0D0D" w:themeColor="text1" w:themeTint="F2"/>
                <w:spacing w:val="-4"/>
              </w:rPr>
              <w:t>Nejdynamičtěji rostoucí skupinou sociálních dávek byly podobně jako loni dávky nemocenského pojištění. V pozadí jejich růstu stály</w:t>
            </w:r>
            <w:r w:rsidRPr="00335468">
              <w:rPr>
                <w:rFonts w:cs="Arial"/>
                <w:color w:val="0D0D0D" w:themeColor="text1" w:themeTint="F2"/>
                <w:spacing w:val="-4"/>
              </w:rPr>
              <w:t xml:space="preserve"> l</w:t>
            </w:r>
            <w:r>
              <w:rPr>
                <w:rFonts w:cs="Arial"/>
                <w:color w:val="0D0D0D" w:themeColor="text1" w:themeTint="F2"/>
                <w:spacing w:val="-4"/>
              </w:rPr>
              <w:t>egislativní opatření (opětovné</w:t>
            </w:r>
            <w:r w:rsidRPr="00335468">
              <w:rPr>
                <w:rFonts w:cs="Arial"/>
                <w:color w:val="0D0D0D" w:themeColor="text1" w:themeTint="F2"/>
                <w:spacing w:val="-4"/>
              </w:rPr>
              <w:t xml:space="preserve"> vyplácení n</w:t>
            </w:r>
            <w:r>
              <w:rPr>
                <w:rFonts w:cs="Arial"/>
                <w:color w:val="0D0D0D" w:themeColor="text1" w:themeTint="F2"/>
                <w:spacing w:val="-4"/>
              </w:rPr>
              <w:t>emocenské již od 15. dne), vyšší pracovní neschopnost i intenzivnější</w:t>
            </w:r>
            <w:r w:rsidRPr="00335468">
              <w:rPr>
                <w:rFonts w:cs="Arial"/>
                <w:color w:val="0D0D0D" w:themeColor="text1" w:themeTint="F2"/>
                <w:spacing w:val="-4"/>
              </w:rPr>
              <w:t xml:space="preserve"> čerpání peněžité pomoci v mateřství. Přestože výdaje </w:t>
            </w:r>
            <w:r>
              <w:rPr>
                <w:rFonts w:cs="Arial"/>
                <w:color w:val="0D0D0D" w:themeColor="text1" w:themeTint="F2"/>
                <w:spacing w:val="-4"/>
              </w:rPr>
              <w:t>na dávky nemocenského pojištění silně rostly již čtvrtý rok v řadě, byly stále o 1,7</w:t>
            </w:r>
            <w:r w:rsidRPr="00335468">
              <w:rPr>
                <w:rFonts w:cs="Arial"/>
                <w:color w:val="0D0D0D" w:themeColor="text1" w:themeTint="F2"/>
                <w:spacing w:val="-4"/>
              </w:rPr>
              <w:t xml:space="preserve"> m</w:t>
            </w:r>
            <w:r>
              <w:rPr>
                <w:rFonts w:cs="Arial"/>
                <w:color w:val="0D0D0D" w:themeColor="text1" w:themeTint="F2"/>
                <w:spacing w:val="-4"/>
              </w:rPr>
              <w:t>ld</w:t>
            </w:r>
            <w:r w:rsidRPr="00335468">
              <w:rPr>
                <w:rFonts w:cs="Arial"/>
                <w:color w:val="0D0D0D" w:themeColor="text1" w:themeTint="F2"/>
                <w:spacing w:val="-4"/>
              </w:rPr>
              <w:t>. korun nižší než objem vybraného pojistného.</w:t>
            </w:r>
          </w:p>
          <w:p w:rsidR="0051593C" w:rsidRPr="007E721A" w:rsidRDefault="0051593C" w:rsidP="004F7170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5"/>
                <w:szCs w:val="15"/>
              </w:rPr>
            </w:pPr>
          </w:p>
        </w:tc>
      </w:tr>
      <w:tr w:rsidR="0051593C" w:rsidRPr="0097714E" w:rsidTr="004F7170">
        <w:tc>
          <w:tcPr>
            <w:tcW w:w="1054" w:type="pct"/>
          </w:tcPr>
          <w:p w:rsidR="0051593C" w:rsidRDefault="0051593C" w:rsidP="004F7170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Státní dluh se mírně redukoval již druhé čtvrtletí v řadě, výhradně vlivem poklesu vnější zadluženosti (tvořící šestinu celkového dluhu)</w:t>
            </w:r>
            <w:r w:rsidR="00FB1F21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.</w:t>
            </w:r>
          </w:p>
          <w:p w:rsidR="0051593C" w:rsidRDefault="0051593C" w:rsidP="004F7170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51593C" w:rsidRDefault="0051593C" w:rsidP="004F7170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51593C" w:rsidRPr="00335468" w:rsidRDefault="0051593C" w:rsidP="004F7170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Objem korunových dluhopisů v držbě zahraničních investorů atakoval na konci září 30% hranici</w:t>
            </w:r>
            <w:r w:rsidR="00FB1F21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142" w:type="pct"/>
          </w:tcPr>
          <w:p w:rsidR="0051593C" w:rsidRPr="00A90EFD" w:rsidRDefault="0051593C" w:rsidP="004F7170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51593C" w:rsidRDefault="0051593C" w:rsidP="004F7170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 w:rsidRPr="00335468">
              <w:rPr>
                <w:rFonts w:cs="Arial"/>
                <w:color w:val="0D0D0D" w:themeColor="text1" w:themeTint="F2"/>
                <w:spacing w:val="-4"/>
              </w:rPr>
              <w:t>Výdaje na platy státních zaměstnanců</w:t>
            </w:r>
            <w:r>
              <w:rPr>
                <w:rFonts w:cs="Arial"/>
                <w:color w:val="0D0D0D" w:themeColor="text1" w:themeTint="F2"/>
                <w:spacing w:val="-4"/>
              </w:rPr>
              <w:t>, podobně jako o</w:t>
            </w:r>
            <w:r w:rsidRPr="00335468">
              <w:rPr>
                <w:rFonts w:cs="Arial"/>
                <w:color w:val="0D0D0D" w:themeColor="text1" w:themeTint="F2"/>
                <w:spacing w:val="-4"/>
              </w:rPr>
              <w:t xml:space="preserve">bjemově významné neinvestiční transfery </w:t>
            </w:r>
            <w:r>
              <w:rPr>
                <w:rFonts w:cs="Arial"/>
                <w:color w:val="0D0D0D" w:themeColor="text1" w:themeTint="F2"/>
                <w:spacing w:val="-4"/>
              </w:rPr>
              <w:t>územním rozpočtům (hlavně na</w:t>
            </w:r>
            <w:r w:rsidRPr="00335468">
              <w:rPr>
                <w:rFonts w:cs="Arial"/>
                <w:color w:val="0D0D0D" w:themeColor="text1" w:themeTint="F2"/>
                <w:spacing w:val="-4"/>
              </w:rPr>
              <w:t xml:space="preserve"> regionální školství</w:t>
            </w:r>
            <w:r>
              <w:rPr>
                <w:rFonts w:cs="Arial"/>
                <w:color w:val="0D0D0D" w:themeColor="text1" w:themeTint="F2"/>
                <w:spacing w:val="-4"/>
              </w:rPr>
              <w:t>) za tři čtvrtletí meziročně posílily shodně o 3,8</w:t>
            </w:r>
            <w:r w:rsidRPr="00335468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.</w:t>
            </w:r>
            <w:r w:rsidRPr="00335468">
              <w:rPr>
                <w:rFonts w:cs="Arial"/>
                <w:color w:val="0D0D0D" w:themeColor="text1" w:themeTint="F2"/>
                <w:spacing w:val="-4"/>
              </w:rPr>
              <w:t xml:space="preserve"> Za mírnějším růstem stála </w:t>
            </w:r>
            <w:r>
              <w:rPr>
                <w:rFonts w:cs="Arial"/>
                <w:color w:val="0D0D0D" w:themeColor="text1" w:themeTint="F2"/>
                <w:spacing w:val="-4"/>
              </w:rPr>
              <w:t>v obou případech vysoká</w:t>
            </w:r>
            <w:r w:rsidRPr="00335468">
              <w:rPr>
                <w:rFonts w:cs="Arial"/>
                <w:color w:val="0D0D0D" w:themeColor="text1" w:themeTint="F2"/>
                <w:spacing w:val="-4"/>
              </w:rPr>
              <w:t xml:space="preserve"> loňská základna</w:t>
            </w:r>
            <w:r>
              <w:rPr>
                <w:rFonts w:cs="Arial"/>
                <w:color w:val="0D0D0D" w:themeColor="text1" w:themeTint="F2"/>
                <w:spacing w:val="-4"/>
              </w:rPr>
              <w:t>. Již třetí rok v řadě pokračovala redukce čistých výdajů</w:t>
            </w:r>
            <w:r w:rsidRPr="00335468">
              <w:rPr>
                <w:rFonts w:cs="Arial"/>
                <w:color w:val="0D0D0D" w:themeColor="text1" w:themeTint="F2"/>
                <w:spacing w:val="-4"/>
              </w:rPr>
              <w:t xml:space="preserve"> na státní dluh</w:t>
            </w:r>
            <w:r>
              <w:rPr>
                <w:rFonts w:cs="Arial"/>
                <w:color w:val="0D0D0D" w:themeColor="text1" w:themeTint="F2"/>
                <w:spacing w:val="-4"/>
              </w:rPr>
              <w:t>.</w:t>
            </w:r>
            <w:r w:rsidRPr="00335468">
              <w:rPr>
                <w:rFonts w:cs="Arial"/>
                <w:color w:val="0D0D0D" w:themeColor="text1" w:themeTint="F2"/>
                <w:spacing w:val="-4"/>
              </w:rPr>
              <w:t xml:space="preserve"> Výše celkového státního dluhu č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inila na </w:t>
            </w:r>
            <w:r w:rsidR="00FB1F21">
              <w:rPr>
                <w:rFonts w:cs="Arial"/>
                <w:color w:val="0D0D0D" w:themeColor="text1" w:themeTint="F2"/>
                <w:spacing w:val="-4"/>
              </w:rPr>
              <w:t>konci září 1 660,1 mld. korun a</w:t>
            </w:r>
            <w:r w:rsidR="00FB1F21" w:rsidRPr="00087E08">
              <w:rPr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snižovala </w:t>
            </w:r>
            <w:proofErr w:type="gramStart"/>
            <w:r>
              <w:rPr>
                <w:rFonts w:cs="Arial"/>
                <w:color w:val="0D0D0D" w:themeColor="text1" w:themeTint="F2"/>
                <w:spacing w:val="-4"/>
              </w:rPr>
              <w:t>se</w:t>
            </w:r>
            <w:proofErr w:type="gramEnd"/>
            <w:r>
              <w:rPr>
                <w:rFonts w:cs="Arial"/>
                <w:color w:val="0D0D0D" w:themeColor="text1" w:themeTint="F2"/>
                <w:spacing w:val="-4"/>
              </w:rPr>
              <w:t xml:space="preserve"> již </w:t>
            </w:r>
            <w:proofErr w:type="gramStart"/>
            <w:r>
              <w:rPr>
                <w:rFonts w:cs="Arial"/>
                <w:color w:val="0D0D0D" w:themeColor="text1" w:themeTint="F2"/>
                <w:spacing w:val="-4"/>
              </w:rPr>
              <w:t>druhé</w:t>
            </w:r>
            <w:proofErr w:type="gramEnd"/>
            <w:r>
              <w:rPr>
                <w:rFonts w:cs="Arial"/>
                <w:color w:val="0D0D0D" w:themeColor="text1" w:themeTint="F2"/>
                <w:spacing w:val="-4"/>
              </w:rPr>
              <w:t xml:space="preserve"> čtvrtletí v řadě. V meziročním vyjádření se dluh zredukoval o 0,2 %, výhradně vlivem vnějšího dluhu, jehož k</w:t>
            </w:r>
            <w:r w:rsidR="00FB1F21">
              <w:rPr>
                <w:rFonts w:cs="Arial"/>
                <w:color w:val="0D0D0D" w:themeColor="text1" w:themeTint="F2"/>
                <w:spacing w:val="-4"/>
              </w:rPr>
              <w:t>orunová hodnota byla o téměř 10</w:t>
            </w:r>
            <w:r w:rsidR="00FB1F21" w:rsidRPr="00087E08">
              <w:rPr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mld. nižší. Výpůjční aktivita se soustřeďovala na domácí trh. Stát se snažil využít záporných úrokových sazeb, téměř dvě třetiny nov</w:t>
            </w:r>
            <w:r w:rsidR="004F77AE">
              <w:rPr>
                <w:rFonts w:cs="Arial"/>
                <w:color w:val="0D0D0D" w:themeColor="text1" w:themeTint="F2"/>
                <w:spacing w:val="-4"/>
              </w:rPr>
              <w:t>ě emitovaných dluhopisů tak měly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splatnost do pěti let.</w:t>
            </w:r>
            <w:r w:rsidRPr="00335468">
              <w:rPr>
                <w:rFonts w:cs="Arial"/>
                <w:color w:val="0D0D0D" w:themeColor="text1" w:themeTint="F2"/>
                <w:spacing w:val="-4"/>
              </w:rPr>
              <w:t xml:space="preserve"> Zrychloval </w:t>
            </w:r>
            <w:r w:rsidR="00FB1F21">
              <w:rPr>
                <w:rFonts w:cs="Arial"/>
                <w:color w:val="0D0D0D" w:themeColor="text1" w:themeTint="F2"/>
                <w:spacing w:val="-4"/>
              </w:rPr>
              <w:t xml:space="preserve">se </w:t>
            </w:r>
            <w:r w:rsidRPr="00335468">
              <w:rPr>
                <w:rFonts w:cs="Arial"/>
                <w:color w:val="0D0D0D" w:themeColor="text1" w:themeTint="F2"/>
                <w:spacing w:val="-4"/>
              </w:rPr>
              <w:t>růst objemu českých dluhopisů v držbě zahrani</w:t>
            </w:r>
            <w:r>
              <w:rPr>
                <w:rFonts w:cs="Arial"/>
                <w:color w:val="0D0D0D" w:themeColor="text1" w:themeTint="F2"/>
                <w:spacing w:val="-4"/>
              </w:rPr>
              <w:t>čních investorů. Na konci září</w:t>
            </w:r>
            <w:r w:rsidRPr="00335468">
              <w:rPr>
                <w:rFonts w:cs="Arial"/>
                <w:color w:val="0D0D0D" w:themeColor="text1" w:themeTint="F2"/>
                <w:spacing w:val="-4"/>
              </w:rPr>
              <w:t xml:space="preserve"> šl</w:t>
            </w:r>
            <w:r>
              <w:rPr>
                <w:rFonts w:cs="Arial"/>
                <w:color w:val="0D0D0D" w:themeColor="text1" w:themeTint="F2"/>
                <w:spacing w:val="-4"/>
              </w:rPr>
              <w:t>o již o 390 mld. korun, resp. 28,4</w:t>
            </w:r>
            <w:r w:rsidRPr="00335468">
              <w:rPr>
                <w:rFonts w:cs="Arial"/>
                <w:color w:val="0D0D0D" w:themeColor="text1" w:themeTint="F2"/>
                <w:spacing w:val="-4"/>
              </w:rPr>
              <w:t xml:space="preserve"> % hodn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oty všech korunových dluhopisů (meziročně o téměř 10 </w:t>
            </w:r>
            <w:proofErr w:type="spellStart"/>
            <w:proofErr w:type="gramStart"/>
            <w:r>
              <w:rPr>
                <w:rFonts w:cs="Arial"/>
                <w:color w:val="0D0D0D" w:themeColor="text1" w:themeTint="F2"/>
                <w:spacing w:val="-4"/>
              </w:rPr>
              <w:t>p.b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>. více</w:t>
            </w:r>
            <w:proofErr w:type="gramEnd"/>
            <w:r>
              <w:rPr>
                <w:rFonts w:cs="Arial"/>
                <w:color w:val="0D0D0D" w:themeColor="text1" w:themeTint="F2"/>
                <w:spacing w:val="-4"/>
              </w:rPr>
              <w:t>).</w:t>
            </w:r>
          </w:p>
          <w:p w:rsidR="0051593C" w:rsidRPr="00394756" w:rsidRDefault="0051593C" w:rsidP="004F7170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</w:p>
        </w:tc>
      </w:tr>
      <w:tr w:rsidR="0051593C" w:rsidRPr="00952517" w:rsidTr="004F7170">
        <w:tc>
          <w:tcPr>
            <w:tcW w:w="1054" w:type="pct"/>
          </w:tcPr>
          <w:p w:rsidR="0051593C" w:rsidRPr="00335468" w:rsidRDefault="0051593C" w:rsidP="004F7170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 w:rsidRPr="00335468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Výše celkového dluhu vládního sektoru vztažená k HDP klesla ve 2. čtvrtletí pod 40 %, poprvé od konce roku 2011</w:t>
            </w:r>
            <w:r w:rsidR="00FB1F21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.</w:t>
            </w:r>
          </w:p>
          <w:p w:rsidR="0051593C" w:rsidRPr="00335468" w:rsidRDefault="0051593C" w:rsidP="004F7170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 w:rsidRPr="00335468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</w:tcPr>
          <w:p w:rsidR="0051593C" w:rsidRPr="00A90EFD" w:rsidRDefault="0051593C" w:rsidP="004F7170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51593C" w:rsidRPr="00335468" w:rsidRDefault="0051593C" w:rsidP="00FB1F21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 w:rsidRPr="00335468">
              <w:rPr>
                <w:rFonts w:cs="Arial"/>
                <w:color w:val="0D0D0D" w:themeColor="text1" w:themeTint="F2"/>
                <w:spacing w:val="-4"/>
              </w:rPr>
              <w:t xml:space="preserve">Konsolidovaný hrubý dluh celého sektoru vládních institucí (zahrnující i hospodaření územně správních celků či </w:t>
            </w:r>
            <w:r>
              <w:rPr>
                <w:rFonts w:cs="Arial"/>
                <w:color w:val="0D0D0D" w:themeColor="text1" w:themeTint="F2"/>
                <w:spacing w:val="-4"/>
              </w:rPr>
              <w:t>zdravotních pojišťoven</w:t>
            </w:r>
            <w:r w:rsidRPr="00335468">
              <w:rPr>
                <w:rFonts w:cs="Arial"/>
                <w:color w:val="0D0D0D" w:themeColor="text1" w:themeTint="F2"/>
                <w:spacing w:val="-4"/>
              </w:rPr>
              <w:t>) dosáhl dle aktuální</w:t>
            </w:r>
            <w:r>
              <w:rPr>
                <w:rFonts w:cs="Arial"/>
                <w:color w:val="0D0D0D" w:themeColor="text1" w:themeTint="F2"/>
                <w:spacing w:val="-4"/>
              </w:rPr>
              <w:t>ch dat ČSÚ na konci 1. pololetí</w:t>
            </w:r>
            <w:r w:rsidRPr="00335468">
              <w:rPr>
                <w:rFonts w:cs="Arial"/>
                <w:color w:val="0D0D0D" w:themeColor="text1" w:themeTint="F2"/>
                <w:spacing w:val="-4"/>
              </w:rPr>
              <w:t xml:space="preserve"> 2016</w:t>
            </w:r>
            <w:r w:rsidRPr="00B0583B">
              <w:rPr>
                <w:rStyle w:val="Znakapoznpodarou"/>
                <w:rFonts w:cs="Arial"/>
                <w:color w:val="0D0D0D" w:themeColor="text1" w:themeTint="F2"/>
                <w:spacing w:val="-4"/>
              </w:rPr>
              <w:footnoteReference w:id="6"/>
            </w:r>
            <w:r w:rsidRPr="00335468">
              <w:rPr>
                <w:rFonts w:cs="Arial"/>
                <w:color w:val="0D0D0D" w:themeColor="text1" w:themeTint="F2"/>
                <w:spacing w:val="-4"/>
              </w:rPr>
              <w:t xml:space="preserve"> výše 1 847,9 mld. korun a ve vztahu k HDP činil 39,8 % (ve stejném období předchozího roku byl o 1,4 </w:t>
            </w:r>
            <w:proofErr w:type="spellStart"/>
            <w:proofErr w:type="gramStart"/>
            <w:r w:rsidRPr="00335468">
              <w:rPr>
                <w:rFonts w:cs="Arial"/>
                <w:color w:val="0D0D0D" w:themeColor="text1" w:themeTint="F2"/>
                <w:spacing w:val="-4"/>
              </w:rPr>
              <w:t>p.b</w:t>
            </w:r>
            <w:proofErr w:type="spellEnd"/>
            <w:r w:rsidRPr="00335468">
              <w:rPr>
                <w:rFonts w:cs="Arial"/>
                <w:color w:val="0D0D0D" w:themeColor="text1" w:themeTint="F2"/>
                <w:spacing w:val="-4"/>
              </w:rPr>
              <w:t>. vyšší</w:t>
            </w:r>
            <w:proofErr w:type="gramEnd"/>
            <w:r w:rsidRPr="00335468">
              <w:rPr>
                <w:rFonts w:cs="Arial"/>
                <w:color w:val="0D0D0D" w:themeColor="text1" w:themeTint="F2"/>
                <w:spacing w:val="-4"/>
              </w:rPr>
              <w:t>).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Snížení</w:t>
            </w:r>
            <w:r w:rsidRPr="00335468">
              <w:rPr>
                <w:rFonts w:cs="Arial"/>
                <w:color w:val="0D0D0D" w:themeColor="text1" w:themeTint="F2"/>
                <w:spacing w:val="-4"/>
              </w:rPr>
              <w:t xml:space="preserve"> relativní úrovně dluhu byl</w:t>
            </w:r>
            <w:r>
              <w:rPr>
                <w:rFonts w:cs="Arial"/>
                <w:color w:val="0D0D0D" w:themeColor="text1" w:themeTint="F2"/>
                <w:spacing w:val="-4"/>
              </w:rPr>
              <w:t>o</w:t>
            </w:r>
            <w:r w:rsidRPr="00335468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 w:rsidR="00FB1F21" w:rsidRPr="00335468">
              <w:rPr>
                <w:rFonts w:cs="Arial"/>
                <w:color w:val="0D0D0D" w:themeColor="text1" w:themeTint="F2"/>
                <w:spacing w:val="-4"/>
              </w:rPr>
              <w:t xml:space="preserve">výhradně </w:t>
            </w:r>
            <w:r w:rsidRPr="00335468">
              <w:rPr>
                <w:rFonts w:cs="Arial"/>
                <w:color w:val="0D0D0D" w:themeColor="text1" w:themeTint="F2"/>
                <w:spacing w:val="-4"/>
              </w:rPr>
              <w:t>výsledkem růstu nominálního HDP, neboť absolutní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úroveň zadlužení meziročně vzrostla (o 19,4 mld.</w:t>
            </w:r>
            <w:r w:rsidRPr="00335468">
              <w:rPr>
                <w:rFonts w:cs="Arial"/>
                <w:color w:val="0D0D0D" w:themeColor="text1" w:themeTint="F2"/>
                <w:spacing w:val="-4"/>
              </w:rPr>
              <w:t>)</w:t>
            </w:r>
            <w:r>
              <w:rPr>
                <w:rFonts w:cs="Arial"/>
                <w:color w:val="0D0D0D" w:themeColor="text1" w:themeTint="F2"/>
                <w:spacing w:val="-4"/>
              </w:rPr>
              <w:t>. Op</w:t>
            </w:r>
            <w:r w:rsidR="00C15CEB">
              <w:rPr>
                <w:rFonts w:cs="Arial"/>
                <w:color w:val="0D0D0D" w:themeColor="text1" w:themeTint="F2"/>
                <w:spacing w:val="-4"/>
              </w:rPr>
              <w:t>roti 1. čtvrtletí 2016 ale dluh o 9,5 mld. klesl, šlo o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nejsilnější 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mezikvartální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 xml:space="preserve"> redukci za poslední dva roky.</w:t>
            </w:r>
            <w:r w:rsidRPr="00335468">
              <w:rPr>
                <w:rFonts w:cs="Arial"/>
                <w:color w:val="0D0D0D" w:themeColor="text1" w:themeTint="F2"/>
                <w:spacing w:val="-4"/>
              </w:rPr>
              <w:t xml:space="preserve"> Hospodaření vládních i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nstitucí </w:t>
            </w:r>
            <w:r>
              <w:rPr>
                <w:rFonts w:cs="Arial"/>
                <w:color w:val="0D0D0D" w:themeColor="text1" w:themeTint="F2"/>
                <w:spacing w:val="-4"/>
              </w:rPr>
              <w:lastRenderedPageBreak/>
              <w:t>skončilo v 1. pololetí</w:t>
            </w:r>
            <w:r w:rsidRPr="00335468">
              <w:rPr>
                <w:rFonts w:cs="Arial"/>
                <w:color w:val="0D0D0D" w:themeColor="text1" w:themeTint="F2"/>
                <w:spacing w:val="-4"/>
              </w:rPr>
              <w:t xml:space="preserve"> (v </w:t>
            </w:r>
            <w:proofErr w:type="spellStart"/>
            <w:r w:rsidRPr="00335468">
              <w:rPr>
                <w:rFonts w:cs="Arial"/>
                <w:color w:val="0D0D0D" w:themeColor="text1" w:themeTint="F2"/>
                <w:spacing w:val="-4"/>
              </w:rPr>
              <w:t>akrualizovaném</w:t>
            </w:r>
            <w:proofErr w:type="spellEnd"/>
            <w:r w:rsidRPr="00335468">
              <w:rPr>
                <w:rFonts w:cs="Arial"/>
                <w:color w:val="0D0D0D" w:themeColor="text1" w:themeTint="F2"/>
                <w:spacing w:val="-4"/>
              </w:rPr>
              <w:t xml:space="preserve"> vyjádření)</w:t>
            </w:r>
            <w:r w:rsidRPr="003948C5">
              <w:rPr>
                <w:rStyle w:val="Znakapoznpodarou"/>
                <w:rFonts w:cs="Arial"/>
                <w:color w:val="0D0D0D" w:themeColor="text1" w:themeTint="F2"/>
                <w:spacing w:val="-4"/>
              </w:rPr>
              <w:footnoteReference w:id="7"/>
            </w:r>
            <w:r w:rsidRPr="003948C5">
              <w:rPr>
                <w:rFonts w:cs="Arial"/>
                <w:color w:val="0D0D0D" w:themeColor="text1" w:themeTint="F2"/>
                <w:spacing w:val="-4"/>
                <w:vertAlign w:val="superscript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4"/>
              </w:rPr>
              <w:t>mírným přebytkem 13</w:t>
            </w:r>
            <w:r w:rsidR="00FB1F21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335468">
              <w:rPr>
                <w:rFonts w:cs="Arial"/>
                <w:color w:val="0D0D0D" w:themeColor="text1" w:themeTint="F2"/>
                <w:spacing w:val="-4"/>
              </w:rPr>
              <w:t>m</w:t>
            </w:r>
            <w:r w:rsidR="00896776">
              <w:rPr>
                <w:rFonts w:cs="Arial"/>
                <w:color w:val="0D0D0D" w:themeColor="text1" w:themeTint="F2"/>
                <w:spacing w:val="-4"/>
              </w:rPr>
              <w:t>ld. korun.</w:t>
            </w:r>
            <w:r w:rsidRPr="00335468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 w:rsidR="00896776">
              <w:rPr>
                <w:rFonts w:cs="Arial"/>
                <w:color w:val="0D0D0D" w:themeColor="text1" w:themeTint="F2"/>
                <w:spacing w:val="-4"/>
              </w:rPr>
              <w:t xml:space="preserve">Na tomto výsledku se podílelo zlepšené hospodaření všech </w:t>
            </w:r>
            <w:proofErr w:type="spellStart"/>
            <w:r w:rsidR="00896776">
              <w:rPr>
                <w:rFonts w:cs="Arial"/>
                <w:color w:val="0D0D0D" w:themeColor="text1" w:themeTint="F2"/>
                <w:spacing w:val="-4"/>
              </w:rPr>
              <w:t>subsektorů</w:t>
            </w:r>
            <w:proofErr w:type="spellEnd"/>
            <w:r w:rsidRPr="00335468">
              <w:rPr>
                <w:rFonts w:cs="Arial"/>
                <w:color w:val="0D0D0D" w:themeColor="text1" w:themeTint="F2"/>
                <w:spacing w:val="-4"/>
              </w:rPr>
              <w:t xml:space="preserve"> vládních institucí</w:t>
            </w:r>
            <w:r>
              <w:rPr>
                <w:rFonts w:cs="Arial"/>
                <w:color w:val="0D0D0D" w:themeColor="text1" w:themeTint="F2"/>
                <w:spacing w:val="-4"/>
              </w:rPr>
              <w:t>.</w:t>
            </w:r>
          </w:p>
        </w:tc>
      </w:tr>
    </w:tbl>
    <w:p w:rsidR="0051593C" w:rsidRDefault="0051593C" w:rsidP="009F777A">
      <w:pPr>
        <w:pStyle w:val="Textpoznpodarou"/>
        <w:ind w:left="720"/>
        <w:jc w:val="both"/>
        <w:rPr>
          <w:rFonts w:cs="Arial"/>
          <w:color w:val="000000" w:themeColor="text1"/>
          <w:spacing w:val="-2"/>
        </w:rPr>
      </w:pPr>
    </w:p>
    <w:tbl>
      <w:tblPr>
        <w:tblW w:w="4986" w:type="pct"/>
        <w:tblCellMar>
          <w:left w:w="28" w:type="dxa"/>
          <w:right w:w="28" w:type="dxa"/>
        </w:tblCellMar>
        <w:tblLook w:val="04A0"/>
      </w:tblPr>
      <w:tblGrid>
        <w:gridCol w:w="593"/>
        <w:gridCol w:w="4278"/>
        <w:gridCol w:w="709"/>
        <w:gridCol w:w="4114"/>
      </w:tblGrid>
      <w:tr w:rsidR="0051593C" w:rsidRPr="006F2BEE" w:rsidTr="004F7170">
        <w:tc>
          <w:tcPr>
            <w:tcW w:w="305" w:type="pct"/>
          </w:tcPr>
          <w:p w:rsidR="0051593C" w:rsidRDefault="0051593C" w:rsidP="004F7170">
            <w:pPr>
              <w:spacing w:line="240" w:lineRule="auto"/>
            </w:pPr>
            <w:r>
              <w:rPr>
                <w:sz w:val="14"/>
                <w:szCs w:val="14"/>
              </w:rPr>
              <w:br w:type="page"/>
            </w:r>
            <w:r>
              <w:t>Graf č. 19</w:t>
            </w:r>
          </w:p>
        </w:tc>
        <w:tc>
          <w:tcPr>
            <w:tcW w:w="2203" w:type="pct"/>
          </w:tcPr>
          <w:p w:rsidR="0051593C" w:rsidRPr="00E43BFF" w:rsidRDefault="0051593C" w:rsidP="004F7170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Celostátní inkasa daňových příjmů </w:t>
            </w:r>
            <w:r>
              <w:rPr>
                <w:rFonts w:cs="Arial"/>
                <w:bCs/>
              </w:rPr>
              <w:t>(y/y</w:t>
            </w:r>
            <w:r w:rsidRPr="008A3A85">
              <w:rPr>
                <w:rFonts w:cs="Arial"/>
                <w:bCs/>
              </w:rPr>
              <w:t xml:space="preserve"> v %)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 saldo státního rozpočtu</w:t>
            </w:r>
            <w:r>
              <w:t xml:space="preserve"> </w:t>
            </w:r>
            <w:r>
              <w:rPr>
                <w:rFonts w:cs="Arial"/>
                <w:bCs/>
              </w:rPr>
              <w:t>(v mld. korun)</w:t>
            </w:r>
          </w:p>
        </w:tc>
        <w:tc>
          <w:tcPr>
            <w:tcW w:w="366" w:type="pct"/>
          </w:tcPr>
          <w:p w:rsidR="0051593C" w:rsidRDefault="0051593C" w:rsidP="004F7170">
            <w:pPr>
              <w:spacing w:line="240" w:lineRule="auto"/>
            </w:pPr>
            <w:r>
              <w:t>Graf č. 20</w:t>
            </w:r>
          </w:p>
        </w:tc>
        <w:tc>
          <w:tcPr>
            <w:tcW w:w="2126" w:type="pct"/>
          </w:tcPr>
          <w:p w:rsidR="0051593C" w:rsidRDefault="0051593C" w:rsidP="004F7170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Vybrané výdaje státního rozpočtu</w:t>
            </w:r>
          </w:p>
          <w:p w:rsidR="0051593C" w:rsidRPr="006F2BEE" w:rsidRDefault="0051593C" w:rsidP="004F7170">
            <w:pPr>
              <w:spacing w:line="240" w:lineRule="auto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  <w:bCs/>
              </w:rPr>
              <w:t>(</w:t>
            </w:r>
            <w:r w:rsidRPr="00DB06E9">
              <w:rPr>
                <w:rFonts w:cs="Arial"/>
                <w:bCs/>
              </w:rPr>
              <w:t>v mld. korun</w:t>
            </w:r>
            <w:r>
              <w:rPr>
                <w:rFonts w:cs="Arial"/>
                <w:bCs/>
              </w:rPr>
              <w:t>)</w:t>
            </w:r>
          </w:p>
        </w:tc>
      </w:tr>
      <w:tr w:rsidR="0051593C" w:rsidTr="004F7170">
        <w:tc>
          <w:tcPr>
            <w:tcW w:w="2508" w:type="pct"/>
            <w:gridSpan w:val="2"/>
          </w:tcPr>
          <w:p w:rsidR="0051593C" w:rsidRDefault="006E2C28" w:rsidP="004F7170">
            <w:pPr>
              <w:pStyle w:val="Textpoznpodarou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46051" cy="2309750"/>
                  <wp:effectExtent l="19050" t="0" r="1949" b="0"/>
                  <wp:docPr id="23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095" cy="2309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pct"/>
            <w:gridSpan w:val="2"/>
          </w:tcPr>
          <w:p w:rsidR="0051593C" w:rsidRDefault="006E2C28" w:rsidP="004F7170">
            <w:pPr>
              <w:pStyle w:val="Textpoznpodarou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17446" cy="2309750"/>
                  <wp:effectExtent l="19050" t="0" r="0" b="0"/>
                  <wp:docPr id="8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673" cy="2309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93C" w:rsidRPr="009E6613" w:rsidTr="004F7170">
        <w:tc>
          <w:tcPr>
            <w:tcW w:w="5000" w:type="pct"/>
            <w:gridSpan w:val="4"/>
          </w:tcPr>
          <w:p w:rsidR="0051593C" w:rsidRDefault="0051593C" w:rsidP="004F7170">
            <w:pPr>
              <w:pStyle w:val="Textpoznpodarou"/>
              <w:spacing w:before="40"/>
              <w:rPr>
                <w:sz w:val="18"/>
                <w:szCs w:val="18"/>
              </w:rPr>
            </w:pPr>
            <w:r w:rsidRPr="004C5813">
              <w:rPr>
                <w:sz w:val="18"/>
                <w:szCs w:val="18"/>
              </w:rPr>
              <w:t>*vč. dávek pěstounské péče</w:t>
            </w:r>
          </w:p>
          <w:p w:rsidR="0051593C" w:rsidRDefault="0051593C" w:rsidP="004F7170">
            <w:pPr>
              <w:pStyle w:val="Textpoznpodarou"/>
              <w:rPr>
                <w:sz w:val="18"/>
                <w:szCs w:val="18"/>
              </w:rPr>
            </w:pPr>
            <w:r w:rsidRPr="001D7968">
              <w:rPr>
                <w:spacing w:val="-2"/>
                <w:sz w:val="18"/>
                <w:szCs w:val="18"/>
              </w:rPr>
              <w:t>**dávky pomoci v hmot</w:t>
            </w:r>
            <w:r>
              <w:rPr>
                <w:spacing w:val="-2"/>
                <w:sz w:val="18"/>
                <w:szCs w:val="18"/>
              </w:rPr>
              <w:t>né</w:t>
            </w:r>
            <w:r w:rsidRPr="001D7968">
              <w:rPr>
                <w:spacing w:val="-2"/>
                <w:sz w:val="18"/>
                <w:szCs w:val="18"/>
              </w:rPr>
              <w:t xml:space="preserve"> nouzi, dávky osobám se zdravotním postižením, příspěvek na péči dle zákona o </w:t>
            </w:r>
            <w:proofErr w:type="spellStart"/>
            <w:r w:rsidRPr="001D7968">
              <w:rPr>
                <w:spacing w:val="-2"/>
                <w:sz w:val="18"/>
                <w:szCs w:val="18"/>
              </w:rPr>
              <w:t>soc</w:t>
            </w:r>
            <w:proofErr w:type="spellEnd"/>
            <w:r w:rsidRPr="001D7968">
              <w:rPr>
                <w:spacing w:val="-2"/>
                <w:sz w:val="18"/>
                <w:szCs w:val="18"/>
              </w:rPr>
              <w:t>. službách</w:t>
            </w:r>
          </w:p>
          <w:p w:rsidR="0051593C" w:rsidRPr="009E6613" w:rsidRDefault="0051593C" w:rsidP="004F7170">
            <w:pPr>
              <w:pStyle w:val="Textpoznpodaro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*** ve výdajích jsou započteny i příjmy kapitoly Státní </w:t>
            </w:r>
            <w:proofErr w:type="gramStart"/>
            <w:r>
              <w:rPr>
                <w:sz w:val="18"/>
                <w:szCs w:val="18"/>
              </w:rPr>
              <w:t xml:space="preserve">dluh                                                                  </w:t>
            </w:r>
            <w:r>
              <w:rPr>
                <w:rFonts w:cs="Arial"/>
                <w:sz w:val="18"/>
                <w:szCs w:val="18"/>
              </w:rPr>
              <w:t>Zdroj</w:t>
            </w:r>
            <w:proofErr w:type="gramEnd"/>
            <w:r>
              <w:rPr>
                <w:rFonts w:cs="Arial"/>
                <w:sz w:val="18"/>
                <w:szCs w:val="18"/>
              </w:rPr>
              <w:t>: MF ČR, MPSV</w:t>
            </w:r>
          </w:p>
        </w:tc>
      </w:tr>
    </w:tbl>
    <w:p w:rsidR="0051593C" w:rsidRPr="00E25999" w:rsidRDefault="0051593C" w:rsidP="006E2C28">
      <w:pPr>
        <w:pStyle w:val="Textpoznpodarou"/>
        <w:jc w:val="both"/>
        <w:rPr>
          <w:rFonts w:cs="Arial"/>
          <w:color w:val="000000" w:themeColor="text1"/>
          <w:spacing w:val="-2"/>
          <w:sz w:val="16"/>
          <w:szCs w:val="16"/>
        </w:rPr>
      </w:pPr>
    </w:p>
    <w:tbl>
      <w:tblPr>
        <w:tblW w:w="4986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752"/>
        <w:gridCol w:w="4097"/>
        <w:gridCol w:w="710"/>
        <w:gridCol w:w="4108"/>
      </w:tblGrid>
      <w:tr w:rsidR="0051593C" w:rsidTr="004F7170">
        <w:tc>
          <w:tcPr>
            <w:tcW w:w="389" w:type="pct"/>
          </w:tcPr>
          <w:p w:rsidR="0051593C" w:rsidRDefault="0051593C" w:rsidP="004F7170">
            <w:pPr>
              <w:spacing w:line="240" w:lineRule="auto"/>
            </w:pPr>
            <w:r>
              <w:t>Graf č. 21</w:t>
            </w:r>
          </w:p>
        </w:tc>
        <w:tc>
          <w:tcPr>
            <w:tcW w:w="2119" w:type="pct"/>
          </w:tcPr>
          <w:p w:rsidR="0051593C" w:rsidRPr="00D90B56" w:rsidRDefault="0051593C" w:rsidP="004F7170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Státní dluh ČR podle způsobu financování </w:t>
            </w:r>
            <w:r>
              <w:rPr>
                <w:rFonts w:cs="Arial"/>
                <w:bCs/>
              </w:rPr>
              <w:t>(</w:t>
            </w:r>
            <w:r w:rsidRPr="00DB06E9">
              <w:rPr>
                <w:rFonts w:cs="Arial"/>
                <w:bCs/>
              </w:rPr>
              <w:t xml:space="preserve">v mld. </w:t>
            </w:r>
            <w:proofErr w:type="gramStart"/>
            <w:r w:rsidRPr="00DB06E9">
              <w:rPr>
                <w:rFonts w:cs="Arial"/>
                <w:bCs/>
              </w:rPr>
              <w:t>korun</w:t>
            </w:r>
            <w:r>
              <w:rPr>
                <w:rFonts w:cs="Arial"/>
                <w:bCs/>
              </w:rPr>
              <w:t xml:space="preserve"> </w:t>
            </w:r>
            <w:r w:rsidRPr="00DB06E9">
              <w:rPr>
                <w:rFonts w:cs="Arial"/>
                <w:bCs/>
              </w:rPr>
              <w:t>)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 podíl</w:t>
            </w:r>
            <w:proofErr w:type="gramEnd"/>
            <w:r>
              <w:rPr>
                <w:rFonts w:cs="Arial"/>
                <w:b/>
                <w:bCs/>
              </w:rPr>
              <w:t xml:space="preserve"> korunových dluhopisů v držbě nerezidentů </w:t>
            </w:r>
            <w:r w:rsidRPr="0001742D">
              <w:rPr>
                <w:rFonts w:cs="Arial"/>
                <w:bCs/>
              </w:rPr>
              <w:t>(v %)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367" w:type="pct"/>
          </w:tcPr>
          <w:p w:rsidR="0051593C" w:rsidRDefault="0051593C" w:rsidP="004F7170">
            <w:pPr>
              <w:spacing w:line="240" w:lineRule="auto"/>
            </w:pPr>
            <w:r>
              <w:t>Graf č. 22</w:t>
            </w:r>
          </w:p>
        </w:tc>
        <w:tc>
          <w:tcPr>
            <w:tcW w:w="2125" w:type="pct"/>
          </w:tcPr>
          <w:p w:rsidR="0051593C" w:rsidRDefault="0051593C" w:rsidP="004F7170">
            <w:pPr>
              <w:spacing w:line="240" w:lineRule="auto"/>
              <w:rPr>
                <w:rFonts w:cs="Arial"/>
                <w:bCs/>
                <w:spacing w:val="-2"/>
              </w:rPr>
            </w:pPr>
            <w:r>
              <w:rPr>
                <w:rFonts w:cs="Arial"/>
                <w:b/>
                <w:bCs/>
                <w:spacing w:val="-2"/>
              </w:rPr>
              <w:t xml:space="preserve">Počet příjemců důchodů </w:t>
            </w:r>
            <w:r w:rsidRPr="007179B8">
              <w:rPr>
                <w:rFonts w:cs="Arial"/>
                <w:bCs/>
                <w:spacing w:val="-2"/>
              </w:rPr>
              <w:t>(v tis. osob),</w:t>
            </w:r>
            <w:r>
              <w:rPr>
                <w:rFonts w:cs="Arial"/>
                <w:b/>
                <w:bCs/>
                <w:spacing w:val="-2"/>
              </w:rPr>
              <w:t xml:space="preserve"> příjmy </w:t>
            </w:r>
            <w:r w:rsidRPr="006F2BEE">
              <w:rPr>
                <w:rFonts w:cs="Arial"/>
                <w:b/>
                <w:bCs/>
                <w:spacing w:val="-2"/>
              </w:rPr>
              <w:t>a výdaje</w:t>
            </w:r>
            <w:r>
              <w:rPr>
                <w:rFonts w:cs="Arial"/>
                <w:b/>
                <w:bCs/>
                <w:spacing w:val="-2"/>
              </w:rPr>
              <w:t xml:space="preserve"> na důchody ze SR</w:t>
            </w:r>
            <w:r w:rsidRPr="006F2BEE">
              <w:rPr>
                <w:rFonts w:cs="Arial"/>
                <w:b/>
                <w:bCs/>
                <w:spacing w:val="-2"/>
              </w:rPr>
              <w:t xml:space="preserve"> </w:t>
            </w:r>
            <w:r w:rsidRPr="006F2BEE">
              <w:rPr>
                <w:rFonts w:cs="Arial"/>
                <w:bCs/>
                <w:spacing w:val="-2"/>
              </w:rPr>
              <w:t xml:space="preserve">(y/y, v %) </w:t>
            </w:r>
          </w:p>
          <w:p w:rsidR="0051593C" w:rsidRPr="006F2BEE" w:rsidRDefault="0051593C" w:rsidP="004F7170">
            <w:pPr>
              <w:spacing w:line="240" w:lineRule="auto"/>
              <w:rPr>
                <w:rFonts w:cs="Arial"/>
                <w:b/>
                <w:bCs/>
                <w:spacing w:val="-2"/>
              </w:rPr>
            </w:pPr>
            <w:r w:rsidRPr="006F2BEE">
              <w:rPr>
                <w:rFonts w:cs="Arial"/>
                <w:b/>
                <w:bCs/>
                <w:spacing w:val="-2"/>
              </w:rPr>
              <w:t xml:space="preserve">a bilance </w:t>
            </w:r>
            <w:r>
              <w:rPr>
                <w:rFonts w:cs="Arial"/>
                <w:b/>
                <w:bCs/>
                <w:spacing w:val="-2"/>
              </w:rPr>
              <w:t>důchodového</w:t>
            </w:r>
            <w:r w:rsidRPr="006F2BEE">
              <w:rPr>
                <w:rFonts w:cs="Arial"/>
                <w:b/>
                <w:bCs/>
                <w:spacing w:val="-2"/>
              </w:rPr>
              <w:t xml:space="preserve"> účtu </w:t>
            </w:r>
            <w:r w:rsidRPr="006F2BEE">
              <w:rPr>
                <w:rFonts w:cs="Arial"/>
                <w:bCs/>
                <w:spacing w:val="-2"/>
              </w:rPr>
              <w:t>(v mld. korun)</w:t>
            </w:r>
            <w:r>
              <w:rPr>
                <w:rFonts w:cs="Arial"/>
                <w:bCs/>
              </w:rPr>
              <w:t xml:space="preserve"> </w:t>
            </w:r>
          </w:p>
        </w:tc>
      </w:tr>
      <w:tr w:rsidR="0051593C" w:rsidTr="004F7170">
        <w:tc>
          <w:tcPr>
            <w:tcW w:w="2508" w:type="pct"/>
            <w:gridSpan w:val="2"/>
          </w:tcPr>
          <w:p w:rsidR="0051593C" w:rsidRDefault="00505989" w:rsidP="004F7170">
            <w:pPr>
              <w:pStyle w:val="Textpoznpodarou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43595" cy="2381002"/>
                  <wp:effectExtent l="19050" t="0" r="4405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381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pct"/>
            <w:gridSpan w:val="2"/>
          </w:tcPr>
          <w:p w:rsidR="0051593C" w:rsidRDefault="006E2C28" w:rsidP="004F7170">
            <w:pPr>
              <w:pStyle w:val="Textpoznpodarou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09158" cy="2381002"/>
                  <wp:effectExtent l="19050" t="0" r="742" b="0"/>
                  <wp:docPr id="29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535" cy="2382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93C" w:rsidTr="004F7170">
        <w:tc>
          <w:tcPr>
            <w:tcW w:w="5000" w:type="pct"/>
            <w:gridSpan w:val="4"/>
          </w:tcPr>
          <w:p w:rsidR="0051593C" w:rsidRPr="00245006" w:rsidRDefault="0051593C" w:rsidP="004F71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</w:rPr>
              <w:t>Zdroj: MF, ČSSZ</w:t>
            </w:r>
          </w:p>
        </w:tc>
      </w:tr>
    </w:tbl>
    <w:p w:rsidR="00240815" w:rsidRPr="00A74192" w:rsidRDefault="00240815" w:rsidP="00D94859">
      <w:pPr>
        <w:pStyle w:val="Textpoznpodarou"/>
        <w:jc w:val="both"/>
        <w:rPr>
          <w:rFonts w:cs="Arial"/>
          <w:color w:val="000000" w:themeColor="text1"/>
        </w:rPr>
      </w:pPr>
    </w:p>
    <w:sectPr w:rsidR="00240815" w:rsidRPr="00A74192" w:rsidSect="00665DCC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134" w:right="1134" w:bottom="1418" w:left="1134" w:header="680" w:footer="680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B6A" w:rsidRDefault="00995B6A" w:rsidP="00E71A58">
      <w:r>
        <w:separator/>
      </w:r>
    </w:p>
  </w:endnote>
  <w:endnote w:type="continuationSeparator" w:id="0">
    <w:p w:rsidR="00995B6A" w:rsidRDefault="00995B6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6A" w:rsidRDefault="0019156A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4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A6BFF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EA6BFF" w:rsidRPr="005A21E0">
      <w:rPr>
        <w:rFonts w:ascii="Arial" w:hAnsi="Arial" w:cs="Arial"/>
        <w:sz w:val="16"/>
        <w:szCs w:val="16"/>
      </w:rPr>
      <w:fldChar w:fldCharType="separate"/>
    </w:r>
    <w:r w:rsidR="00665DCC">
      <w:rPr>
        <w:rFonts w:ascii="Arial" w:hAnsi="Arial" w:cs="Arial"/>
        <w:noProof/>
        <w:sz w:val="16"/>
        <w:szCs w:val="16"/>
      </w:rPr>
      <w:t>22</w:t>
    </w:r>
    <w:r w:rsidR="00EA6BFF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6A" w:rsidRDefault="0019156A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19156A" w:rsidRPr="00223E00" w:rsidRDefault="0019156A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rPr>
        <w:rFonts w:ascii="Arial" w:hAnsi="Arial" w:cs="Arial"/>
        <w:sz w:val="16"/>
        <w:szCs w:val="16"/>
      </w:rPr>
      <w:tab/>
    </w:r>
    <w:r w:rsidR="00EA6BFF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EA6BFF" w:rsidRPr="00223E00">
      <w:rPr>
        <w:rFonts w:ascii="Arial" w:hAnsi="Arial" w:cs="Arial"/>
        <w:sz w:val="16"/>
        <w:szCs w:val="16"/>
      </w:rPr>
      <w:fldChar w:fldCharType="separate"/>
    </w:r>
    <w:r w:rsidR="00665DCC">
      <w:rPr>
        <w:rFonts w:ascii="Arial" w:hAnsi="Arial" w:cs="Arial"/>
        <w:noProof/>
        <w:sz w:val="16"/>
        <w:szCs w:val="16"/>
      </w:rPr>
      <w:t>23</w:t>
    </w:r>
    <w:r w:rsidR="00EA6BFF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B6A" w:rsidRDefault="00995B6A" w:rsidP="00E71A58">
      <w:r>
        <w:separator/>
      </w:r>
    </w:p>
  </w:footnote>
  <w:footnote w:type="continuationSeparator" w:id="0">
    <w:p w:rsidR="00995B6A" w:rsidRDefault="00995B6A" w:rsidP="00E71A58">
      <w:r>
        <w:continuationSeparator/>
      </w:r>
    </w:p>
  </w:footnote>
  <w:footnote w:id="1">
    <w:p w:rsidR="0019156A" w:rsidRPr="006A5244" w:rsidRDefault="0019156A" w:rsidP="0051593C">
      <w:pPr>
        <w:pStyle w:val="Textpoznpodarou"/>
        <w:jc w:val="both"/>
        <w:rPr>
          <w:sz w:val="16"/>
          <w:szCs w:val="16"/>
        </w:rPr>
      </w:pPr>
      <w:r w:rsidRPr="006A5244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Platilo to i v následujících měsících roku. Na konci listopadu 2016 činil přebytek SR 55,5 mld. korun</w:t>
      </w:r>
      <w:r w:rsidRPr="006A5244">
        <w:rPr>
          <w:sz w:val="16"/>
          <w:szCs w:val="16"/>
        </w:rPr>
        <w:t>.</w:t>
      </w:r>
      <w:r>
        <w:rPr>
          <w:sz w:val="16"/>
          <w:szCs w:val="16"/>
        </w:rPr>
        <w:t xml:space="preserve"> Kromě stabilně silně rostoucích</w:t>
      </w:r>
      <w:r w:rsidRPr="006A5244">
        <w:rPr>
          <w:sz w:val="16"/>
          <w:szCs w:val="16"/>
        </w:rPr>
        <w:t xml:space="preserve"> daňových příjmů k tomu </w:t>
      </w:r>
      <w:r>
        <w:rPr>
          <w:sz w:val="16"/>
          <w:szCs w:val="16"/>
        </w:rPr>
        <w:t>přispěly hlavně</w:t>
      </w:r>
      <w:r w:rsidRPr="006A5244">
        <w:rPr>
          <w:sz w:val="16"/>
          <w:szCs w:val="16"/>
        </w:rPr>
        <w:t xml:space="preserve"> nepravidelnosti v čerpání evropských fondů. Transfery z rozpočtu EU (jako důsledek </w:t>
      </w:r>
      <w:r>
        <w:rPr>
          <w:sz w:val="16"/>
          <w:szCs w:val="16"/>
        </w:rPr>
        <w:t xml:space="preserve">nebývale </w:t>
      </w:r>
      <w:r w:rsidRPr="006A5244">
        <w:rPr>
          <w:sz w:val="16"/>
          <w:szCs w:val="16"/>
        </w:rPr>
        <w:t>intenzivního lo</w:t>
      </w:r>
      <w:r>
        <w:rPr>
          <w:sz w:val="16"/>
          <w:szCs w:val="16"/>
        </w:rPr>
        <w:t xml:space="preserve">ňského dočerpávání) </w:t>
      </w:r>
      <w:r w:rsidRPr="00416443">
        <w:rPr>
          <w:sz w:val="16"/>
          <w:szCs w:val="16"/>
        </w:rPr>
        <w:t>dosahovaly 145 mld</w:t>
      </w:r>
      <w:r w:rsidRPr="006A5244">
        <w:rPr>
          <w:sz w:val="16"/>
          <w:szCs w:val="16"/>
        </w:rPr>
        <w:t>. korun</w:t>
      </w:r>
      <w:r>
        <w:rPr>
          <w:sz w:val="16"/>
          <w:szCs w:val="16"/>
        </w:rPr>
        <w:t xml:space="preserve">. Silný pokles kapitálových výdajů navzdory mírnému oživení investiční aktivity během listopadu nadále přetrvával. V kumulaci za 11 měsíců byly investice meziročně slabší o 40,5 %, resp. </w:t>
      </w:r>
      <w:r w:rsidRPr="00416443">
        <w:rPr>
          <w:sz w:val="16"/>
          <w:szCs w:val="16"/>
        </w:rPr>
        <w:t>52 m</w:t>
      </w:r>
      <w:r>
        <w:rPr>
          <w:sz w:val="16"/>
          <w:szCs w:val="16"/>
        </w:rPr>
        <w:t>ld. korun.</w:t>
      </w:r>
    </w:p>
  </w:footnote>
  <w:footnote w:id="2">
    <w:p w:rsidR="0019156A" w:rsidRPr="00516EE1" w:rsidRDefault="0019156A" w:rsidP="0051593C">
      <w:pPr>
        <w:pStyle w:val="Textpoznpodarou"/>
        <w:jc w:val="both"/>
        <w:rPr>
          <w:sz w:val="16"/>
          <w:szCs w:val="16"/>
        </w:rPr>
      </w:pPr>
      <w:r w:rsidRPr="00516EE1">
        <w:rPr>
          <w:rStyle w:val="Znakapoznpodarou"/>
          <w:sz w:val="16"/>
          <w:szCs w:val="16"/>
        </w:rPr>
        <w:footnoteRef/>
      </w:r>
      <w:r w:rsidRPr="00516EE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Daňové </w:t>
      </w:r>
      <w:r>
        <w:rPr>
          <w:rFonts w:cs="Arial"/>
          <w:color w:val="000000" w:themeColor="text1"/>
          <w:spacing w:val="-2"/>
          <w:sz w:val="16"/>
          <w:szCs w:val="16"/>
        </w:rPr>
        <w:t>p</w:t>
      </w:r>
      <w:r w:rsidRPr="00516EE1">
        <w:rPr>
          <w:rFonts w:cs="Arial"/>
          <w:color w:val="000000" w:themeColor="text1"/>
          <w:spacing w:val="-2"/>
          <w:sz w:val="16"/>
          <w:szCs w:val="16"/>
        </w:rPr>
        <w:t xml:space="preserve">říjmy SR jsou </w:t>
      </w:r>
      <w:r>
        <w:rPr>
          <w:rFonts w:cs="Arial"/>
          <w:color w:val="000000" w:themeColor="text1"/>
          <w:spacing w:val="-2"/>
          <w:sz w:val="16"/>
          <w:szCs w:val="16"/>
        </w:rPr>
        <w:t xml:space="preserve">navíc </w:t>
      </w:r>
      <w:r w:rsidRPr="00516EE1">
        <w:rPr>
          <w:rFonts w:cs="Arial"/>
          <w:color w:val="000000" w:themeColor="text1"/>
          <w:spacing w:val="-2"/>
          <w:sz w:val="16"/>
          <w:szCs w:val="16"/>
        </w:rPr>
        <w:t>v roce 2016 negativně ovlivněny změnou rozpočtového určení daní, jež snižuje podíl SR na celostátním inkasu zhruba o 1 </w:t>
      </w:r>
      <w:proofErr w:type="spellStart"/>
      <w:proofErr w:type="gramStart"/>
      <w:r w:rsidRPr="00516EE1">
        <w:rPr>
          <w:rFonts w:cs="Arial"/>
          <w:color w:val="000000" w:themeColor="text1"/>
          <w:spacing w:val="-2"/>
          <w:sz w:val="16"/>
          <w:szCs w:val="16"/>
        </w:rPr>
        <w:t>p.b</w:t>
      </w:r>
      <w:proofErr w:type="spellEnd"/>
      <w:r w:rsidRPr="00516EE1">
        <w:rPr>
          <w:rFonts w:cs="Arial"/>
          <w:color w:val="000000" w:themeColor="text1"/>
          <w:spacing w:val="-2"/>
          <w:sz w:val="16"/>
          <w:szCs w:val="16"/>
        </w:rPr>
        <w:t>., a to</w:t>
      </w:r>
      <w:proofErr w:type="gramEnd"/>
      <w:r w:rsidRPr="00516EE1">
        <w:rPr>
          <w:rFonts w:cs="Arial"/>
          <w:color w:val="000000" w:themeColor="text1"/>
          <w:spacing w:val="-2"/>
          <w:sz w:val="16"/>
          <w:szCs w:val="16"/>
        </w:rPr>
        <w:t xml:space="preserve"> jak u DPH, tak i u daně z příjmu fyzických osob ze závislé činnosti.</w:t>
      </w:r>
    </w:p>
  </w:footnote>
  <w:footnote w:id="3">
    <w:p w:rsidR="0019156A" w:rsidRPr="001435CD" w:rsidRDefault="0019156A" w:rsidP="0051593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16"/>
          <w:szCs w:val="16"/>
        </w:rPr>
      </w:pPr>
      <w:r w:rsidRPr="001435CD">
        <w:rPr>
          <w:rStyle w:val="Znakapoznpodarou"/>
          <w:sz w:val="16"/>
          <w:szCs w:val="16"/>
        </w:rPr>
        <w:footnoteRef/>
      </w:r>
      <w:r w:rsidRPr="001435CD">
        <w:rPr>
          <w:sz w:val="16"/>
          <w:szCs w:val="16"/>
        </w:rPr>
        <w:t xml:space="preserve"> Šlo o </w:t>
      </w:r>
      <w:proofErr w:type="spellStart"/>
      <w:r w:rsidRPr="001435CD">
        <w:rPr>
          <w:rFonts w:cs="Arial"/>
          <w:sz w:val="16"/>
          <w:szCs w:val="16"/>
        </w:rPr>
        <w:t>zastropování</w:t>
      </w:r>
      <w:proofErr w:type="spellEnd"/>
      <w:r w:rsidRPr="001435CD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maximální výše odpočtu pro OSVČ využívající výdajové paušály (ve výši 60 % a 80 %)</w:t>
      </w:r>
      <w:r w:rsidRPr="001435CD">
        <w:rPr>
          <w:rFonts w:cs="Arial"/>
          <w:sz w:val="16"/>
          <w:szCs w:val="16"/>
        </w:rPr>
        <w:t xml:space="preserve">. Naopak mírně negativně ovlivnily inkaso zvýšení daňového zvýhodnění na druhé a další dítě, </w:t>
      </w:r>
      <w:proofErr w:type="spellStart"/>
      <w:r w:rsidRPr="001435CD">
        <w:rPr>
          <w:rFonts w:cs="Arial"/>
          <w:sz w:val="16"/>
          <w:szCs w:val="16"/>
        </w:rPr>
        <w:t>školkovné</w:t>
      </w:r>
      <w:proofErr w:type="spellEnd"/>
      <w:r w:rsidRPr="001435CD">
        <w:rPr>
          <w:rFonts w:cs="Arial"/>
          <w:sz w:val="16"/>
          <w:szCs w:val="16"/>
        </w:rPr>
        <w:t xml:space="preserve"> či znovuzavedení slev pracujícím důchodcům (tyto změny jsou sice účinné od roku 2015, ale v důsledku splatnosti daně se promítají do jejího výběru až v roce 2016).</w:t>
      </w:r>
    </w:p>
  </w:footnote>
  <w:footnote w:id="4">
    <w:p w:rsidR="0019156A" w:rsidRPr="00F762A1" w:rsidRDefault="0019156A" w:rsidP="0051593C">
      <w:pPr>
        <w:pStyle w:val="Textpoznpodarou"/>
        <w:jc w:val="both"/>
        <w:rPr>
          <w:sz w:val="16"/>
          <w:szCs w:val="16"/>
        </w:rPr>
      </w:pPr>
      <w:r w:rsidRPr="00F762A1">
        <w:rPr>
          <w:rStyle w:val="Znakapoznpodarou"/>
          <w:sz w:val="16"/>
          <w:szCs w:val="16"/>
        </w:rPr>
        <w:footnoteRef/>
      </w:r>
      <w:r w:rsidRPr="00F762A1">
        <w:rPr>
          <w:sz w:val="16"/>
          <w:szCs w:val="16"/>
        </w:rPr>
        <w:t xml:space="preserve"> Za jedenáct měsíců roku 2016 bylo na nové programové období vyčerpáno 28,7 mld. korun</w:t>
      </w:r>
      <w:r>
        <w:rPr>
          <w:sz w:val="16"/>
          <w:szCs w:val="16"/>
        </w:rPr>
        <w:t xml:space="preserve"> (bez prostředků na společnou zemědělskou politiku)</w:t>
      </w:r>
      <w:r w:rsidRPr="00F762A1">
        <w:rPr>
          <w:sz w:val="16"/>
          <w:szCs w:val="16"/>
        </w:rPr>
        <w:t>, schválený rozpočet předpokládá celoroční čerpání běžných i kapitálových výdajů v</w:t>
      </w:r>
      <w:r>
        <w:rPr>
          <w:sz w:val="16"/>
          <w:szCs w:val="16"/>
        </w:rPr>
        <w:t> úhrnu v</w:t>
      </w:r>
      <w:r w:rsidRPr="00F762A1">
        <w:rPr>
          <w:sz w:val="16"/>
          <w:szCs w:val="16"/>
        </w:rPr>
        <w:t>e výši 70 mld.</w:t>
      </w:r>
    </w:p>
  </w:footnote>
  <w:footnote w:id="5">
    <w:p w:rsidR="0019156A" w:rsidRPr="0004520D" w:rsidRDefault="0019156A" w:rsidP="0051593C">
      <w:pPr>
        <w:pStyle w:val="Textpoznpodarou"/>
        <w:jc w:val="both"/>
        <w:rPr>
          <w:sz w:val="16"/>
          <w:szCs w:val="16"/>
        </w:rPr>
      </w:pPr>
      <w:r w:rsidRPr="0004520D">
        <w:rPr>
          <w:rStyle w:val="Znakapoznpodarou"/>
          <w:sz w:val="16"/>
          <w:szCs w:val="16"/>
        </w:rPr>
        <w:footnoteRef/>
      </w:r>
      <w:r w:rsidRPr="0004520D">
        <w:rPr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 w:rsidRPr="0004520D">
        <w:rPr>
          <w:sz w:val="16"/>
          <w:szCs w:val="16"/>
        </w:rPr>
        <w:t xml:space="preserve">d roku 2013 </w:t>
      </w:r>
      <w:r>
        <w:rPr>
          <w:sz w:val="16"/>
          <w:szCs w:val="16"/>
        </w:rPr>
        <w:t>bylo</w:t>
      </w:r>
      <w:r w:rsidRPr="0004520D">
        <w:rPr>
          <w:sz w:val="16"/>
          <w:szCs w:val="16"/>
        </w:rPr>
        <w:t xml:space="preserve"> z důvodů úsporných opatření upraveno valorizační schéma důchodů. Ty se zvyšovaly o třetin</w:t>
      </w:r>
      <w:r>
        <w:rPr>
          <w:sz w:val="16"/>
          <w:szCs w:val="16"/>
        </w:rPr>
        <w:t>u</w:t>
      </w:r>
      <w:r w:rsidRPr="0004520D">
        <w:rPr>
          <w:sz w:val="16"/>
          <w:szCs w:val="16"/>
        </w:rPr>
        <w:t xml:space="preserve"> růstu inflace i </w:t>
      </w:r>
      <w:r>
        <w:rPr>
          <w:sz w:val="16"/>
          <w:szCs w:val="16"/>
        </w:rPr>
        <w:t>tempa</w:t>
      </w:r>
      <w:r w:rsidRPr="0004520D">
        <w:rPr>
          <w:sz w:val="16"/>
          <w:szCs w:val="16"/>
        </w:rPr>
        <w:t xml:space="preserve"> reálných mezd. </w:t>
      </w:r>
      <w:r>
        <w:rPr>
          <w:sz w:val="16"/>
          <w:szCs w:val="16"/>
        </w:rPr>
        <w:t>Účinnost tohoto opatření měla být tři roky. Byla však zkrácena a od roku 2015 se již důchody opět navyšují dle „kl</w:t>
      </w:r>
      <w:r w:rsidR="004F77AE">
        <w:rPr>
          <w:sz w:val="16"/>
          <w:szCs w:val="16"/>
        </w:rPr>
        <w:t>asického“ schématu – tj. třetinou</w:t>
      </w:r>
      <w:r>
        <w:rPr>
          <w:sz w:val="16"/>
          <w:szCs w:val="16"/>
        </w:rPr>
        <w:t xml:space="preserve"> tempa růstu reálných mezd a 100 % růstu inflace.</w:t>
      </w:r>
    </w:p>
  </w:footnote>
  <w:footnote w:id="6">
    <w:p w:rsidR="0019156A" w:rsidRPr="006D0D31" w:rsidRDefault="0019156A" w:rsidP="0051593C">
      <w:pPr>
        <w:pStyle w:val="Textpoznpodarou"/>
        <w:jc w:val="both"/>
        <w:rPr>
          <w:rFonts w:cs="Arial"/>
          <w:sz w:val="16"/>
          <w:szCs w:val="16"/>
        </w:rPr>
      </w:pPr>
      <w:r w:rsidRPr="006D0D31">
        <w:rPr>
          <w:rStyle w:val="Znakapoznpodarou"/>
          <w:rFonts w:cs="Arial"/>
          <w:sz w:val="16"/>
          <w:szCs w:val="16"/>
        </w:rPr>
        <w:footnoteRef/>
      </w:r>
      <w:r w:rsidRPr="006D0D31">
        <w:rPr>
          <w:rFonts w:cs="Arial"/>
          <w:sz w:val="16"/>
          <w:szCs w:val="16"/>
        </w:rPr>
        <w:t xml:space="preserve"> Předběžné údaje o dluhu a deficitu</w:t>
      </w:r>
      <w:r>
        <w:rPr>
          <w:rFonts w:cs="Arial"/>
          <w:sz w:val="16"/>
          <w:szCs w:val="16"/>
        </w:rPr>
        <w:t xml:space="preserve"> sektoru vládních institucí za 3</w:t>
      </w:r>
      <w:r w:rsidRPr="006D0D31">
        <w:rPr>
          <w:rFonts w:cs="Arial"/>
          <w:sz w:val="16"/>
          <w:szCs w:val="16"/>
        </w:rPr>
        <w:t>. čtvrtletí</w:t>
      </w:r>
      <w:r>
        <w:rPr>
          <w:rFonts w:cs="Arial"/>
          <w:sz w:val="16"/>
          <w:szCs w:val="16"/>
        </w:rPr>
        <w:t xml:space="preserve"> 2016 zveřejní ČSÚ 9. ledna 2017, </w:t>
      </w:r>
      <w:proofErr w:type="spellStart"/>
      <w:r>
        <w:rPr>
          <w:rFonts w:cs="Arial"/>
          <w:sz w:val="16"/>
          <w:szCs w:val="16"/>
        </w:rPr>
        <w:t>Eurostat</w:t>
      </w:r>
      <w:proofErr w:type="spellEnd"/>
      <w:r>
        <w:rPr>
          <w:rFonts w:cs="Arial"/>
          <w:sz w:val="16"/>
          <w:szCs w:val="16"/>
        </w:rPr>
        <w:t xml:space="preserve"> pak 23. led</w:t>
      </w:r>
      <w:r w:rsidRPr="006D0D31">
        <w:rPr>
          <w:rFonts w:cs="Arial"/>
          <w:sz w:val="16"/>
          <w:szCs w:val="16"/>
        </w:rPr>
        <w:t>na.</w:t>
      </w:r>
    </w:p>
  </w:footnote>
  <w:footnote w:id="7">
    <w:p w:rsidR="0019156A" w:rsidRPr="00552EAB" w:rsidRDefault="0019156A" w:rsidP="0051593C">
      <w:pPr>
        <w:pStyle w:val="Textpoznpodarou"/>
        <w:jc w:val="both"/>
        <w:rPr>
          <w:sz w:val="16"/>
          <w:szCs w:val="16"/>
        </w:rPr>
      </w:pPr>
      <w:r w:rsidRPr="006D0D31">
        <w:rPr>
          <w:rStyle w:val="Znakapoznpodarou"/>
          <w:rFonts w:cs="Arial"/>
          <w:sz w:val="16"/>
          <w:szCs w:val="16"/>
        </w:rPr>
        <w:footnoteRef/>
      </w:r>
      <w:r w:rsidRPr="006D0D31">
        <w:rPr>
          <w:rFonts w:cs="Arial"/>
          <w:sz w:val="16"/>
          <w:szCs w:val="16"/>
        </w:rPr>
        <w:t xml:space="preserve"> </w:t>
      </w:r>
      <w:r w:rsidRPr="006D0D31">
        <w:rPr>
          <w:rFonts w:cs="Arial"/>
          <w:color w:val="333333"/>
          <w:sz w:val="16"/>
          <w:szCs w:val="16"/>
        </w:rPr>
        <w:t xml:space="preserve">Indikátory salda hospodaření a dluhu vládních institucí jsou založeny na </w:t>
      </w:r>
      <w:proofErr w:type="spellStart"/>
      <w:r w:rsidRPr="006D0D31">
        <w:rPr>
          <w:rFonts w:cs="Arial"/>
          <w:color w:val="333333"/>
          <w:sz w:val="16"/>
          <w:szCs w:val="16"/>
        </w:rPr>
        <w:t>akruálním</w:t>
      </w:r>
      <w:proofErr w:type="spellEnd"/>
      <w:r w:rsidRPr="006D0D31">
        <w:rPr>
          <w:rFonts w:cs="Arial"/>
          <w:color w:val="333333"/>
          <w:sz w:val="16"/>
          <w:szCs w:val="16"/>
        </w:rPr>
        <w:t xml:space="preserve"> principu požadovaném metodikou ESA2010 a Manuálem k deficitu a dluhu. Dle </w:t>
      </w:r>
      <w:proofErr w:type="spellStart"/>
      <w:r w:rsidRPr="006D0D31">
        <w:rPr>
          <w:rFonts w:cs="Arial"/>
          <w:color w:val="333333"/>
          <w:sz w:val="16"/>
          <w:szCs w:val="16"/>
        </w:rPr>
        <w:t>akruálního</w:t>
      </w:r>
      <w:proofErr w:type="spellEnd"/>
      <w:r w:rsidRPr="006D0D31">
        <w:rPr>
          <w:rFonts w:cs="Arial"/>
          <w:color w:val="333333"/>
          <w:sz w:val="16"/>
          <w:szCs w:val="16"/>
        </w:rPr>
        <w:t xml:space="preserve"> principu jsou příjmy a výdaje přiřazeny období, se kterým věcně souvisí, tj. bez ohledu na období uskutečnění hotovostního toku (jak je tomu v případě pokladního plnění).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6A" w:rsidRPr="00D766EF" w:rsidRDefault="0019156A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až 3. čtvrtletí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6A" w:rsidRPr="00D766EF" w:rsidRDefault="0019156A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až 3. čtvrtletí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E23"/>
    <w:multiLevelType w:val="hybridMultilevel"/>
    <w:tmpl w:val="96DC139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B457C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4"/>
  </w:num>
  <w:num w:numId="5">
    <w:abstractNumId w:val="9"/>
  </w:num>
  <w:num w:numId="6">
    <w:abstractNumId w:val="11"/>
  </w:num>
  <w:num w:numId="7">
    <w:abstractNumId w:val="4"/>
  </w:num>
  <w:num w:numId="8">
    <w:abstractNumId w:val="7"/>
  </w:num>
  <w:num w:numId="9">
    <w:abstractNumId w:val="13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 w:numId="15">
    <w:abstractNumId w:val="12"/>
  </w:num>
  <w:num w:numId="1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7498"/>
    <w:rsid w:val="0000767A"/>
    <w:rsid w:val="000101F5"/>
    <w:rsid w:val="000104B9"/>
    <w:rsid w:val="00010702"/>
    <w:rsid w:val="00010770"/>
    <w:rsid w:val="00011191"/>
    <w:rsid w:val="0001159B"/>
    <w:rsid w:val="00012986"/>
    <w:rsid w:val="00014028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4075D"/>
    <w:rsid w:val="000411E1"/>
    <w:rsid w:val="000419AE"/>
    <w:rsid w:val="00041E9C"/>
    <w:rsid w:val="00043E05"/>
    <w:rsid w:val="0004694F"/>
    <w:rsid w:val="000500DC"/>
    <w:rsid w:val="00051ADE"/>
    <w:rsid w:val="00052052"/>
    <w:rsid w:val="00052172"/>
    <w:rsid w:val="000534FD"/>
    <w:rsid w:val="00053CBA"/>
    <w:rsid w:val="00054E43"/>
    <w:rsid w:val="00055059"/>
    <w:rsid w:val="000553E4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4FFC"/>
    <w:rsid w:val="000779AC"/>
    <w:rsid w:val="00080AA8"/>
    <w:rsid w:val="00083803"/>
    <w:rsid w:val="00083D7F"/>
    <w:rsid w:val="00084393"/>
    <w:rsid w:val="0008716A"/>
    <w:rsid w:val="00087634"/>
    <w:rsid w:val="00091237"/>
    <w:rsid w:val="0009191B"/>
    <w:rsid w:val="000920EC"/>
    <w:rsid w:val="00092208"/>
    <w:rsid w:val="00092505"/>
    <w:rsid w:val="000927EB"/>
    <w:rsid w:val="00092C9A"/>
    <w:rsid w:val="00097D02"/>
    <w:rsid w:val="000A1183"/>
    <w:rsid w:val="000A2121"/>
    <w:rsid w:val="000A2484"/>
    <w:rsid w:val="000A36CE"/>
    <w:rsid w:val="000A59BF"/>
    <w:rsid w:val="000A66C2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05EA"/>
    <w:rsid w:val="000C1106"/>
    <w:rsid w:val="000C11D3"/>
    <w:rsid w:val="000C12F5"/>
    <w:rsid w:val="000C3408"/>
    <w:rsid w:val="000C5C0F"/>
    <w:rsid w:val="000C5D56"/>
    <w:rsid w:val="000C6498"/>
    <w:rsid w:val="000D0D51"/>
    <w:rsid w:val="000D14B3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E025B"/>
    <w:rsid w:val="000E0A8F"/>
    <w:rsid w:val="000E0ECB"/>
    <w:rsid w:val="000E153A"/>
    <w:rsid w:val="000E19A8"/>
    <w:rsid w:val="000E1EEA"/>
    <w:rsid w:val="000E4A42"/>
    <w:rsid w:val="000E6476"/>
    <w:rsid w:val="000E78D2"/>
    <w:rsid w:val="000F3332"/>
    <w:rsid w:val="000F33EE"/>
    <w:rsid w:val="000F401E"/>
    <w:rsid w:val="000F48CA"/>
    <w:rsid w:val="000F5445"/>
    <w:rsid w:val="000F5673"/>
    <w:rsid w:val="000F67B2"/>
    <w:rsid w:val="000F74B6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110A"/>
    <w:rsid w:val="001118AF"/>
    <w:rsid w:val="00111CA5"/>
    <w:rsid w:val="0011256E"/>
    <w:rsid w:val="00112BB2"/>
    <w:rsid w:val="0011352E"/>
    <w:rsid w:val="00114FC0"/>
    <w:rsid w:val="00115496"/>
    <w:rsid w:val="00116DB9"/>
    <w:rsid w:val="00116F2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B3"/>
    <w:rsid w:val="001425C3"/>
    <w:rsid w:val="00142F16"/>
    <w:rsid w:val="00143E03"/>
    <w:rsid w:val="00143E93"/>
    <w:rsid w:val="0014428D"/>
    <w:rsid w:val="001500FC"/>
    <w:rsid w:val="00151AC0"/>
    <w:rsid w:val="00151B27"/>
    <w:rsid w:val="00152046"/>
    <w:rsid w:val="00154147"/>
    <w:rsid w:val="001550F3"/>
    <w:rsid w:val="00155746"/>
    <w:rsid w:val="00156318"/>
    <w:rsid w:val="0015639A"/>
    <w:rsid w:val="0016081D"/>
    <w:rsid w:val="00160CF3"/>
    <w:rsid w:val="00160E61"/>
    <w:rsid w:val="00161300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3642"/>
    <w:rsid w:val="00173AF4"/>
    <w:rsid w:val="00173CB0"/>
    <w:rsid w:val="00174CE8"/>
    <w:rsid w:val="001752CB"/>
    <w:rsid w:val="00175351"/>
    <w:rsid w:val="00175F60"/>
    <w:rsid w:val="00176050"/>
    <w:rsid w:val="001764D8"/>
    <w:rsid w:val="00176A8F"/>
    <w:rsid w:val="00180D58"/>
    <w:rsid w:val="00181938"/>
    <w:rsid w:val="00182981"/>
    <w:rsid w:val="00184CF9"/>
    <w:rsid w:val="00185010"/>
    <w:rsid w:val="001852EC"/>
    <w:rsid w:val="00186447"/>
    <w:rsid w:val="001874CF"/>
    <w:rsid w:val="00190214"/>
    <w:rsid w:val="00190D9B"/>
    <w:rsid w:val="0019156A"/>
    <w:rsid w:val="00191BAE"/>
    <w:rsid w:val="00193432"/>
    <w:rsid w:val="0019346C"/>
    <w:rsid w:val="00194AE3"/>
    <w:rsid w:val="00195335"/>
    <w:rsid w:val="00195444"/>
    <w:rsid w:val="00195758"/>
    <w:rsid w:val="001A199D"/>
    <w:rsid w:val="001A2BDB"/>
    <w:rsid w:val="001A30F4"/>
    <w:rsid w:val="001A4C0D"/>
    <w:rsid w:val="001A552F"/>
    <w:rsid w:val="001A56F3"/>
    <w:rsid w:val="001A737B"/>
    <w:rsid w:val="001A750C"/>
    <w:rsid w:val="001B1D89"/>
    <w:rsid w:val="001B2143"/>
    <w:rsid w:val="001B3110"/>
    <w:rsid w:val="001B4198"/>
    <w:rsid w:val="001B44BC"/>
    <w:rsid w:val="001B5215"/>
    <w:rsid w:val="001B5888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55F5"/>
    <w:rsid w:val="001C65FF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830"/>
    <w:rsid w:val="001E684C"/>
    <w:rsid w:val="001E701C"/>
    <w:rsid w:val="001E7552"/>
    <w:rsid w:val="001E7C03"/>
    <w:rsid w:val="001F02AF"/>
    <w:rsid w:val="001F0649"/>
    <w:rsid w:val="001F28F4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55B"/>
    <w:rsid w:val="00215A2C"/>
    <w:rsid w:val="002179F9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301B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94A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FDC"/>
    <w:rsid w:val="002532E2"/>
    <w:rsid w:val="002550D8"/>
    <w:rsid w:val="00257613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2CC5"/>
    <w:rsid w:val="00273DCD"/>
    <w:rsid w:val="00274291"/>
    <w:rsid w:val="00276C09"/>
    <w:rsid w:val="00276CFE"/>
    <w:rsid w:val="00277071"/>
    <w:rsid w:val="0027786C"/>
    <w:rsid w:val="00277BF7"/>
    <w:rsid w:val="00281416"/>
    <w:rsid w:val="00283C61"/>
    <w:rsid w:val="00285CD3"/>
    <w:rsid w:val="0028633E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1544"/>
    <w:rsid w:val="002B1DC1"/>
    <w:rsid w:val="002B36C8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D0562"/>
    <w:rsid w:val="002D1B5A"/>
    <w:rsid w:val="002D2500"/>
    <w:rsid w:val="002D338A"/>
    <w:rsid w:val="002D3F00"/>
    <w:rsid w:val="002D4D59"/>
    <w:rsid w:val="002D54BF"/>
    <w:rsid w:val="002D5C3D"/>
    <w:rsid w:val="002D5E94"/>
    <w:rsid w:val="002D632D"/>
    <w:rsid w:val="002D6FC7"/>
    <w:rsid w:val="002E02A1"/>
    <w:rsid w:val="002E0982"/>
    <w:rsid w:val="002E0DB9"/>
    <w:rsid w:val="002E2CE4"/>
    <w:rsid w:val="002E34F3"/>
    <w:rsid w:val="002E435E"/>
    <w:rsid w:val="002E73F2"/>
    <w:rsid w:val="002F33FB"/>
    <w:rsid w:val="002F663A"/>
    <w:rsid w:val="002F68A4"/>
    <w:rsid w:val="002F7594"/>
    <w:rsid w:val="002F7902"/>
    <w:rsid w:val="00300D6F"/>
    <w:rsid w:val="00301357"/>
    <w:rsid w:val="00301D04"/>
    <w:rsid w:val="003035D4"/>
    <w:rsid w:val="00303DCB"/>
    <w:rsid w:val="00304771"/>
    <w:rsid w:val="00305736"/>
    <w:rsid w:val="00306C5B"/>
    <w:rsid w:val="00306E3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1574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605E"/>
    <w:rsid w:val="00357449"/>
    <w:rsid w:val="0036238B"/>
    <w:rsid w:val="003630B0"/>
    <w:rsid w:val="003651A4"/>
    <w:rsid w:val="00365680"/>
    <w:rsid w:val="003657F3"/>
    <w:rsid w:val="00366D4D"/>
    <w:rsid w:val="00367038"/>
    <w:rsid w:val="00370963"/>
    <w:rsid w:val="0037144E"/>
    <w:rsid w:val="003736B5"/>
    <w:rsid w:val="00374F1E"/>
    <w:rsid w:val="003750CF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D98"/>
    <w:rsid w:val="00385EC5"/>
    <w:rsid w:val="0038658E"/>
    <w:rsid w:val="0039066E"/>
    <w:rsid w:val="00391C95"/>
    <w:rsid w:val="00392110"/>
    <w:rsid w:val="00393D74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142"/>
    <w:rsid w:val="003B2580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601E"/>
    <w:rsid w:val="003C66C4"/>
    <w:rsid w:val="003D2C4E"/>
    <w:rsid w:val="003D3600"/>
    <w:rsid w:val="003D3825"/>
    <w:rsid w:val="003D3EC4"/>
    <w:rsid w:val="003D4760"/>
    <w:rsid w:val="003D49DC"/>
    <w:rsid w:val="003D4DD9"/>
    <w:rsid w:val="003D4FB5"/>
    <w:rsid w:val="003D5D7A"/>
    <w:rsid w:val="003D653F"/>
    <w:rsid w:val="003E0663"/>
    <w:rsid w:val="003E133F"/>
    <w:rsid w:val="003E49F6"/>
    <w:rsid w:val="003E699C"/>
    <w:rsid w:val="003E69F3"/>
    <w:rsid w:val="003E782E"/>
    <w:rsid w:val="003E7A0B"/>
    <w:rsid w:val="003E7B2B"/>
    <w:rsid w:val="003F181F"/>
    <w:rsid w:val="003F1A48"/>
    <w:rsid w:val="003F1E23"/>
    <w:rsid w:val="003F22F6"/>
    <w:rsid w:val="003F2B0A"/>
    <w:rsid w:val="003F313C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1030"/>
    <w:rsid w:val="00401716"/>
    <w:rsid w:val="00401A09"/>
    <w:rsid w:val="0040273A"/>
    <w:rsid w:val="00402C25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4CE5"/>
    <w:rsid w:val="00416673"/>
    <w:rsid w:val="0042160D"/>
    <w:rsid w:val="00423A3C"/>
    <w:rsid w:val="0042681B"/>
    <w:rsid w:val="00427193"/>
    <w:rsid w:val="0043068A"/>
    <w:rsid w:val="004306E0"/>
    <w:rsid w:val="00431D54"/>
    <w:rsid w:val="004329BE"/>
    <w:rsid w:val="00432C38"/>
    <w:rsid w:val="004342EC"/>
    <w:rsid w:val="00437C76"/>
    <w:rsid w:val="00437F4A"/>
    <w:rsid w:val="00440E2D"/>
    <w:rsid w:val="0044105C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0AE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5D9"/>
    <w:rsid w:val="00474B94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9E9"/>
    <w:rsid w:val="00487F81"/>
    <w:rsid w:val="00490247"/>
    <w:rsid w:val="0049104F"/>
    <w:rsid w:val="00491218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BBB"/>
    <w:rsid w:val="004C1AD6"/>
    <w:rsid w:val="004C1B86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58D"/>
    <w:rsid w:val="004D504B"/>
    <w:rsid w:val="004D536E"/>
    <w:rsid w:val="004D70B1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4353"/>
    <w:rsid w:val="004F447D"/>
    <w:rsid w:val="004F4C28"/>
    <w:rsid w:val="004F4E82"/>
    <w:rsid w:val="004F5470"/>
    <w:rsid w:val="004F5CC5"/>
    <w:rsid w:val="004F6350"/>
    <w:rsid w:val="004F7170"/>
    <w:rsid w:val="004F77AE"/>
    <w:rsid w:val="005028E1"/>
    <w:rsid w:val="00505989"/>
    <w:rsid w:val="00506309"/>
    <w:rsid w:val="0050692E"/>
    <w:rsid w:val="00507040"/>
    <w:rsid w:val="005079F8"/>
    <w:rsid w:val="00510189"/>
    <w:rsid w:val="005108C0"/>
    <w:rsid w:val="00511873"/>
    <w:rsid w:val="00511BF9"/>
    <w:rsid w:val="0051367B"/>
    <w:rsid w:val="00513A89"/>
    <w:rsid w:val="00513B7E"/>
    <w:rsid w:val="005140DE"/>
    <w:rsid w:val="00514474"/>
    <w:rsid w:val="005147E9"/>
    <w:rsid w:val="0051593C"/>
    <w:rsid w:val="00517567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08E4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454C"/>
    <w:rsid w:val="005752EB"/>
    <w:rsid w:val="00575CDC"/>
    <w:rsid w:val="005765D5"/>
    <w:rsid w:val="00576A3E"/>
    <w:rsid w:val="0057703D"/>
    <w:rsid w:val="0058366F"/>
    <w:rsid w:val="00583D5B"/>
    <w:rsid w:val="00583FFD"/>
    <w:rsid w:val="00587CCD"/>
    <w:rsid w:val="005908AE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6C5E"/>
    <w:rsid w:val="005A2194"/>
    <w:rsid w:val="005A21E0"/>
    <w:rsid w:val="005A3210"/>
    <w:rsid w:val="005A33A1"/>
    <w:rsid w:val="005A3687"/>
    <w:rsid w:val="005A54EE"/>
    <w:rsid w:val="005A563B"/>
    <w:rsid w:val="005A7500"/>
    <w:rsid w:val="005A77E4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073B"/>
    <w:rsid w:val="005D25B4"/>
    <w:rsid w:val="005D374F"/>
    <w:rsid w:val="005D5802"/>
    <w:rsid w:val="005D6CFC"/>
    <w:rsid w:val="005D73E2"/>
    <w:rsid w:val="005D757A"/>
    <w:rsid w:val="005D7C4B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4057"/>
    <w:rsid w:val="005F4088"/>
    <w:rsid w:val="005F42F4"/>
    <w:rsid w:val="005F4C83"/>
    <w:rsid w:val="005F5916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10BD5"/>
    <w:rsid w:val="00611363"/>
    <w:rsid w:val="00611531"/>
    <w:rsid w:val="006118AA"/>
    <w:rsid w:val="00611C28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E5E"/>
    <w:rsid w:val="006379E0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504A0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CB4"/>
    <w:rsid w:val="00660E1E"/>
    <w:rsid w:val="006637B1"/>
    <w:rsid w:val="00664B64"/>
    <w:rsid w:val="00665D67"/>
    <w:rsid w:val="00665D77"/>
    <w:rsid w:val="00665DCC"/>
    <w:rsid w:val="006660CD"/>
    <w:rsid w:val="00666EC8"/>
    <w:rsid w:val="00666F4B"/>
    <w:rsid w:val="006676D0"/>
    <w:rsid w:val="0066796E"/>
    <w:rsid w:val="00670FAC"/>
    <w:rsid w:val="006710C9"/>
    <w:rsid w:val="006716A5"/>
    <w:rsid w:val="00674525"/>
    <w:rsid w:val="00675E37"/>
    <w:rsid w:val="006764ED"/>
    <w:rsid w:val="00676AFC"/>
    <w:rsid w:val="00676F11"/>
    <w:rsid w:val="00680079"/>
    <w:rsid w:val="00680ECC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68F"/>
    <w:rsid w:val="006A65EF"/>
    <w:rsid w:val="006A672B"/>
    <w:rsid w:val="006B23A9"/>
    <w:rsid w:val="006B23D8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D004F"/>
    <w:rsid w:val="006D042D"/>
    <w:rsid w:val="006D06EF"/>
    <w:rsid w:val="006D142E"/>
    <w:rsid w:val="006D3B87"/>
    <w:rsid w:val="006D4497"/>
    <w:rsid w:val="006D4E6F"/>
    <w:rsid w:val="006D61F6"/>
    <w:rsid w:val="006D710C"/>
    <w:rsid w:val="006E0EB0"/>
    <w:rsid w:val="006E1F4C"/>
    <w:rsid w:val="006E22C8"/>
    <w:rsid w:val="006E279A"/>
    <w:rsid w:val="006E2C28"/>
    <w:rsid w:val="006E2D21"/>
    <w:rsid w:val="006E2F3F"/>
    <w:rsid w:val="006E313B"/>
    <w:rsid w:val="006E442A"/>
    <w:rsid w:val="006E4434"/>
    <w:rsid w:val="006E59FC"/>
    <w:rsid w:val="006E5CFD"/>
    <w:rsid w:val="006E7E2C"/>
    <w:rsid w:val="006F1326"/>
    <w:rsid w:val="006F2280"/>
    <w:rsid w:val="006F2BEE"/>
    <w:rsid w:val="006F3708"/>
    <w:rsid w:val="006F376C"/>
    <w:rsid w:val="006F3E6B"/>
    <w:rsid w:val="006F4619"/>
    <w:rsid w:val="006F4A59"/>
    <w:rsid w:val="006F6968"/>
    <w:rsid w:val="00700232"/>
    <w:rsid w:val="007014C7"/>
    <w:rsid w:val="00702100"/>
    <w:rsid w:val="00702D6F"/>
    <w:rsid w:val="00703B6C"/>
    <w:rsid w:val="00703C6B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159D2"/>
    <w:rsid w:val="0072050E"/>
    <w:rsid w:val="00720FA2"/>
    <w:rsid w:val="007211F5"/>
    <w:rsid w:val="00724666"/>
    <w:rsid w:val="00724E80"/>
    <w:rsid w:val="00725492"/>
    <w:rsid w:val="00726043"/>
    <w:rsid w:val="0072704A"/>
    <w:rsid w:val="00730AE8"/>
    <w:rsid w:val="007315DA"/>
    <w:rsid w:val="00731963"/>
    <w:rsid w:val="00732706"/>
    <w:rsid w:val="00734321"/>
    <w:rsid w:val="0073532E"/>
    <w:rsid w:val="007360D7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B0A"/>
    <w:rsid w:val="00755D3A"/>
    <w:rsid w:val="00760141"/>
    <w:rsid w:val="007609C6"/>
    <w:rsid w:val="007610A0"/>
    <w:rsid w:val="00762036"/>
    <w:rsid w:val="007620F2"/>
    <w:rsid w:val="00762EBA"/>
    <w:rsid w:val="0076359D"/>
    <w:rsid w:val="0077058D"/>
    <w:rsid w:val="00770931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0393"/>
    <w:rsid w:val="00791804"/>
    <w:rsid w:val="00791CF8"/>
    <w:rsid w:val="00791EF9"/>
    <w:rsid w:val="00792262"/>
    <w:rsid w:val="00793387"/>
    <w:rsid w:val="00793BAE"/>
    <w:rsid w:val="00794E0A"/>
    <w:rsid w:val="00796642"/>
    <w:rsid w:val="007A11D9"/>
    <w:rsid w:val="007A327B"/>
    <w:rsid w:val="007A4048"/>
    <w:rsid w:val="007A45B1"/>
    <w:rsid w:val="007A4606"/>
    <w:rsid w:val="007B0D67"/>
    <w:rsid w:val="007B1966"/>
    <w:rsid w:val="007B2257"/>
    <w:rsid w:val="007B2779"/>
    <w:rsid w:val="007B2AF7"/>
    <w:rsid w:val="007B3DCC"/>
    <w:rsid w:val="007B3F17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D2A5A"/>
    <w:rsid w:val="007D2AD8"/>
    <w:rsid w:val="007D2C47"/>
    <w:rsid w:val="007D2F81"/>
    <w:rsid w:val="007D3167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EF7"/>
    <w:rsid w:val="007E3715"/>
    <w:rsid w:val="007E7063"/>
    <w:rsid w:val="007E7E61"/>
    <w:rsid w:val="007F0845"/>
    <w:rsid w:val="007F1092"/>
    <w:rsid w:val="007F16F9"/>
    <w:rsid w:val="007F3E3E"/>
    <w:rsid w:val="007F42E0"/>
    <w:rsid w:val="007F500D"/>
    <w:rsid w:val="007F5F14"/>
    <w:rsid w:val="007F7B54"/>
    <w:rsid w:val="007F7C60"/>
    <w:rsid w:val="00800073"/>
    <w:rsid w:val="008005D7"/>
    <w:rsid w:val="00801FDD"/>
    <w:rsid w:val="008020C2"/>
    <w:rsid w:val="0080255C"/>
    <w:rsid w:val="00806088"/>
    <w:rsid w:val="00806D07"/>
    <w:rsid w:val="0081019B"/>
    <w:rsid w:val="0081187C"/>
    <w:rsid w:val="00811E24"/>
    <w:rsid w:val="00812386"/>
    <w:rsid w:val="00812E2B"/>
    <w:rsid w:val="00813A70"/>
    <w:rsid w:val="00813FE6"/>
    <w:rsid w:val="00815C6E"/>
    <w:rsid w:val="00815F10"/>
    <w:rsid w:val="0081645F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5AB1"/>
    <w:rsid w:val="00846673"/>
    <w:rsid w:val="008508A9"/>
    <w:rsid w:val="0085188D"/>
    <w:rsid w:val="0085281A"/>
    <w:rsid w:val="00853F33"/>
    <w:rsid w:val="008559FE"/>
    <w:rsid w:val="00857339"/>
    <w:rsid w:val="00860706"/>
    <w:rsid w:val="00862A7A"/>
    <w:rsid w:val="00863104"/>
    <w:rsid w:val="008636CD"/>
    <w:rsid w:val="00863702"/>
    <w:rsid w:val="00863D9E"/>
    <w:rsid w:val="00863FDC"/>
    <w:rsid w:val="008642AF"/>
    <w:rsid w:val="00865729"/>
    <w:rsid w:val="00865ED4"/>
    <w:rsid w:val="008669A7"/>
    <w:rsid w:val="00867464"/>
    <w:rsid w:val="00867E29"/>
    <w:rsid w:val="00870F2B"/>
    <w:rsid w:val="00873B2E"/>
    <w:rsid w:val="008746E6"/>
    <w:rsid w:val="0087515D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5EC6"/>
    <w:rsid w:val="008869D2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776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73DA"/>
    <w:rsid w:val="008B00C2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13EA"/>
    <w:rsid w:val="008D2671"/>
    <w:rsid w:val="008D2A16"/>
    <w:rsid w:val="008D2ECF"/>
    <w:rsid w:val="008D347D"/>
    <w:rsid w:val="008D3F3D"/>
    <w:rsid w:val="008D4376"/>
    <w:rsid w:val="008E0367"/>
    <w:rsid w:val="008E308D"/>
    <w:rsid w:val="008E31F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3E06"/>
    <w:rsid w:val="00904B9D"/>
    <w:rsid w:val="00905A11"/>
    <w:rsid w:val="009066E1"/>
    <w:rsid w:val="00906F67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0F"/>
    <w:rsid w:val="009250D2"/>
    <w:rsid w:val="0092519D"/>
    <w:rsid w:val="0092540B"/>
    <w:rsid w:val="009256C5"/>
    <w:rsid w:val="00926283"/>
    <w:rsid w:val="009306BE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67C71"/>
    <w:rsid w:val="009700DB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3D9C"/>
    <w:rsid w:val="009954FF"/>
    <w:rsid w:val="00995B6A"/>
    <w:rsid w:val="00995E2F"/>
    <w:rsid w:val="009961BC"/>
    <w:rsid w:val="00996355"/>
    <w:rsid w:val="00997ADD"/>
    <w:rsid w:val="009A2014"/>
    <w:rsid w:val="009A2030"/>
    <w:rsid w:val="009A3A87"/>
    <w:rsid w:val="009A4E12"/>
    <w:rsid w:val="009A5C68"/>
    <w:rsid w:val="009A6EF7"/>
    <w:rsid w:val="009B04D0"/>
    <w:rsid w:val="009B052C"/>
    <w:rsid w:val="009B0975"/>
    <w:rsid w:val="009B0EF2"/>
    <w:rsid w:val="009B23A3"/>
    <w:rsid w:val="009B2C0E"/>
    <w:rsid w:val="009B47BE"/>
    <w:rsid w:val="009B4925"/>
    <w:rsid w:val="009B4B4B"/>
    <w:rsid w:val="009B4CE3"/>
    <w:rsid w:val="009B6FD3"/>
    <w:rsid w:val="009B70BD"/>
    <w:rsid w:val="009C07A5"/>
    <w:rsid w:val="009C3705"/>
    <w:rsid w:val="009C7388"/>
    <w:rsid w:val="009C74C2"/>
    <w:rsid w:val="009D0CFF"/>
    <w:rsid w:val="009D1551"/>
    <w:rsid w:val="009D2859"/>
    <w:rsid w:val="009D36EC"/>
    <w:rsid w:val="009D4173"/>
    <w:rsid w:val="009D51CA"/>
    <w:rsid w:val="009D6095"/>
    <w:rsid w:val="009D6306"/>
    <w:rsid w:val="009E048A"/>
    <w:rsid w:val="009E1FBA"/>
    <w:rsid w:val="009E2C54"/>
    <w:rsid w:val="009E3710"/>
    <w:rsid w:val="009E6F65"/>
    <w:rsid w:val="009E7340"/>
    <w:rsid w:val="009E7B1F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5B91"/>
    <w:rsid w:val="00A10D66"/>
    <w:rsid w:val="00A12BA8"/>
    <w:rsid w:val="00A13993"/>
    <w:rsid w:val="00A1420C"/>
    <w:rsid w:val="00A1456C"/>
    <w:rsid w:val="00A14821"/>
    <w:rsid w:val="00A17754"/>
    <w:rsid w:val="00A2055B"/>
    <w:rsid w:val="00A20E22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1D07"/>
    <w:rsid w:val="00A424F8"/>
    <w:rsid w:val="00A42883"/>
    <w:rsid w:val="00A437B7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5301"/>
    <w:rsid w:val="00A572FB"/>
    <w:rsid w:val="00A57B3C"/>
    <w:rsid w:val="00A57F1B"/>
    <w:rsid w:val="00A600D2"/>
    <w:rsid w:val="00A6128E"/>
    <w:rsid w:val="00A62BC7"/>
    <w:rsid w:val="00A62CE1"/>
    <w:rsid w:val="00A631FA"/>
    <w:rsid w:val="00A64203"/>
    <w:rsid w:val="00A64348"/>
    <w:rsid w:val="00A644E1"/>
    <w:rsid w:val="00A711B0"/>
    <w:rsid w:val="00A721FB"/>
    <w:rsid w:val="00A727BA"/>
    <w:rsid w:val="00A72D4B"/>
    <w:rsid w:val="00A732AE"/>
    <w:rsid w:val="00A74192"/>
    <w:rsid w:val="00A75837"/>
    <w:rsid w:val="00A75E40"/>
    <w:rsid w:val="00A76B12"/>
    <w:rsid w:val="00A76EF2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0343"/>
    <w:rsid w:val="00A91336"/>
    <w:rsid w:val="00A9221C"/>
    <w:rsid w:val="00A924DB"/>
    <w:rsid w:val="00A92916"/>
    <w:rsid w:val="00A94628"/>
    <w:rsid w:val="00A94954"/>
    <w:rsid w:val="00A96463"/>
    <w:rsid w:val="00A97E3F"/>
    <w:rsid w:val="00AA09D3"/>
    <w:rsid w:val="00AA220F"/>
    <w:rsid w:val="00AA23FB"/>
    <w:rsid w:val="00AA34FE"/>
    <w:rsid w:val="00AA42AB"/>
    <w:rsid w:val="00AA559A"/>
    <w:rsid w:val="00AA5F10"/>
    <w:rsid w:val="00AB0BB9"/>
    <w:rsid w:val="00AB104D"/>
    <w:rsid w:val="00AB1441"/>
    <w:rsid w:val="00AB2AF1"/>
    <w:rsid w:val="00AB440B"/>
    <w:rsid w:val="00AB47E3"/>
    <w:rsid w:val="00AB74C5"/>
    <w:rsid w:val="00AB7BEE"/>
    <w:rsid w:val="00AB7DF2"/>
    <w:rsid w:val="00AC1E3F"/>
    <w:rsid w:val="00AC219A"/>
    <w:rsid w:val="00AC4F18"/>
    <w:rsid w:val="00AD0B46"/>
    <w:rsid w:val="00AD1094"/>
    <w:rsid w:val="00AD2565"/>
    <w:rsid w:val="00AD306C"/>
    <w:rsid w:val="00AD3424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7968"/>
    <w:rsid w:val="00AE7B2B"/>
    <w:rsid w:val="00AE7DFF"/>
    <w:rsid w:val="00AF128B"/>
    <w:rsid w:val="00AF1AEA"/>
    <w:rsid w:val="00AF2852"/>
    <w:rsid w:val="00AF3225"/>
    <w:rsid w:val="00AF4983"/>
    <w:rsid w:val="00AF518B"/>
    <w:rsid w:val="00AF5275"/>
    <w:rsid w:val="00AF5D62"/>
    <w:rsid w:val="00AF6367"/>
    <w:rsid w:val="00AF6A79"/>
    <w:rsid w:val="00AF724E"/>
    <w:rsid w:val="00AF73A9"/>
    <w:rsid w:val="00B01436"/>
    <w:rsid w:val="00B01C2C"/>
    <w:rsid w:val="00B0231C"/>
    <w:rsid w:val="00B07372"/>
    <w:rsid w:val="00B07C2A"/>
    <w:rsid w:val="00B13681"/>
    <w:rsid w:val="00B15DCD"/>
    <w:rsid w:val="00B17E71"/>
    <w:rsid w:val="00B17FDE"/>
    <w:rsid w:val="00B208FC"/>
    <w:rsid w:val="00B20C65"/>
    <w:rsid w:val="00B22E17"/>
    <w:rsid w:val="00B25567"/>
    <w:rsid w:val="00B266C5"/>
    <w:rsid w:val="00B27293"/>
    <w:rsid w:val="00B301BB"/>
    <w:rsid w:val="00B321E3"/>
    <w:rsid w:val="00B3229E"/>
    <w:rsid w:val="00B32DDB"/>
    <w:rsid w:val="00B34931"/>
    <w:rsid w:val="00B35174"/>
    <w:rsid w:val="00B35BEA"/>
    <w:rsid w:val="00B37915"/>
    <w:rsid w:val="00B3793D"/>
    <w:rsid w:val="00B41BE6"/>
    <w:rsid w:val="00B42831"/>
    <w:rsid w:val="00B428A4"/>
    <w:rsid w:val="00B457E7"/>
    <w:rsid w:val="00B45D1B"/>
    <w:rsid w:val="00B46D25"/>
    <w:rsid w:val="00B47430"/>
    <w:rsid w:val="00B47AC6"/>
    <w:rsid w:val="00B52D2D"/>
    <w:rsid w:val="00B534EF"/>
    <w:rsid w:val="00B55BA8"/>
    <w:rsid w:val="00B55F15"/>
    <w:rsid w:val="00B561A6"/>
    <w:rsid w:val="00B57CC4"/>
    <w:rsid w:val="00B60062"/>
    <w:rsid w:val="00B62960"/>
    <w:rsid w:val="00B63A11"/>
    <w:rsid w:val="00B63FD0"/>
    <w:rsid w:val="00B6553E"/>
    <w:rsid w:val="00B65C84"/>
    <w:rsid w:val="00B6608F"/>
    <w:rsid w:val="00B73180"/>
    <w:rsid w:val="00B74317"/>
    <w:rsid w:val="00B7544D"/>
    <w:rsid w:val="00B75700"/>
    <w:rsid w:val="00B760C1"/>
    <w:rsid w:val="00B76D1E"/>
    <w:rsid w:val="00B77BC8"/>
    <w:rsid w:val="00B800EB"/>
    <w:rsid w:val="00B822D2"/>
    <w:rsid w:val="00B823F1"/>
    <w:rsid w:val="00B83D46"/>
    <w:rsid w:val="00B848B8"/>
    <w:rsid w:val="00B84A41"/>
    <w:rsid w:val="00B84D57"/>
    <w:rsid w:val="00B8504B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A0F99"/>
    <w:rsid w:val="00BB0274"/>
    <w:rsid w:val="00BB0B13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8BA"/>
    <w:rsid w:val="00BC6B04"/>
    <w:rsid w:val="00BC6D27"/>
    <w:rsid w:val="00BD059A"/>
    <w:rsid w:val="00BD186B"/>
    <w:rsid w:val="00BD1EAC"/>
    <w:rsid w:val="00BD254C"/>
    <w:rsid w:val="00BD3428"/>
    <w:rsid w:val="00BD366B"/>
    <w:rsid w:val="00BD5298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0AF0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C00F20"/>
    <w:rsid w:val="00C01700"/>
    <w:rsid w:val="00C034E6"/>
    <w:rsid w:val="00C05715"/>
    <w:rsid w:val="00C05926"/>
    <w:rsid w:val="00C0784A"/>
    <w:rsid w:val="00C10B28"/>
    <w:rsid w:val="00C10D62"/>
    <w:rsid w:val="00C10FAE"/>
    <w:rsid w:val="00C1135D"/>
    <w:rsid w:val="00C11DAF"/>
    <w:rsid w:val="00C123B4"/>
    <w:rsid w:val="00C12A69"/>
    <w:rsid w:val="00C13737"/>
    <w:rsid w:val="00C150BE"/>
    <w:rsid w:val="00C158B0"/>
    <w:rsid w:val="00C15A0C"/>
    <w:rsid w:val="00C15CEB"/>
    <w:rsid w:val="00C15DCB"/>
    <w:rsid w:val="00C16208"/>
    <w:rsid w:val="00C1711F"/>
    <w:rsid w:val="00C17E38"/>
    <w:rsid w:val="00C17E3C"/>
    <w:rsid w:val="00C20744"/>
    <w:rsid w:val="00C20B1C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0924"/>
    <w:rsid w:val="00C31DD8"/>
    <w:rsid w:val="00C3271C"/>
    <w:rsid w:val="00C34FDE"/>
    <w:rsid w:val="00C35C16"/>
    <w:rsid w:val="00C40E09"/>
    <w:rsid w:val="00C40F81"/>
    <w:rsid w:val="00C41463"/>
    <w:rsid w:val="00C41A72"/>
    <w:rsid w:val="00C42D45"/>
    <w:rsid w:val="00C4422D"/>
    <w:rsid w:val="00C476C5"/>
    <w:rsid w:val="00C503B0"/>
    <w:rsid w:val="00C511C2"/>
    <w:rsid w:val="00C527C6"/>
    <w:rsid w:val="00C53CDB"/>
    <w:rsid w:val="00C53D82"/>
    <w:rsid w:val="00C54748"/>
    <w:rsid w:val="00C575FB"/>
    <w:rsid w:val="00C60696"/>
    <w:rsid w:val="00C60943"/>
    <w:rsid w:val="00C60EEF"/>
    <w:rsid w:val="00C6121D"/>
    <w:rsid w:val="00C615F1"/>
    <w:rsid w:val="00C61627"/>
    <w:rsid w:val="00C63B1A"/>
    <w:rsid w:val="00C64E60"/>
    <w:rsid w:val="00C657A4"/>
    <w:rsid w:val="00C666B5"/>
    <w:rsid w:val="00C6736C"/>
    <w:rsid w:val="00C675AF"/>
    <w:rsid w:val="00C71A1D"/>
    <w:rsid w:val="00C71EC4"/>
    <w:rsid w:val="00C74791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11"/>
    <w:rsid w:val="00C94E83"/>
    <w:rsid w:val="00C97038"/>
    <w:rsid w:val="00CA02B2"/>
    <w:rsid w:val="00CA0883"/>
    <w:rsid w:val="00CA1085"/>
    <w:rsid w:val="00CA140F"/>
    <w:rsid w:val="00CA25C2"/>
    <w:rsid w:val="00CA37BB"/>
    <w:rsid w:val="00CA37CA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36"/>
    <w:rsid w:val="00CC2E15"/>
    <w:rsid w:val="00CC3440"/>
    <w:rsid w:val="00CC3908"/>
    <w:rsid w:val="00CC62AD"/>
    <w:rsid w:val="00CC6CA2"/>
    <w:rsid w:val="00CC7B80"/>
    <w:rsid w:val="00CD2B3C"/>
    <w:rsid w:val="00CD30F6"/>
    <w:rsid w:val="00CD4B29"/>
    <w:rsid w:val="00CD67CA"/>
    <w:rsid w:val="00CD6954"/>
    <w:rsid w:val="00CD6DA3"/>
    <w:rsid w:val="00CD6EF1"/>
    <w:rsid w:val="00CD7E35"/>
    <w:rsid w:val="00CE21C7"/>
    <w:rsid w:val="00CE2682"/>
    <w:rsid w:val="00CE2756"/>
    <w:rsid w:val="00CE442A"/>
    <w:rsid w:val="00CE57D8"/>
    <w:rsid w:val="00CE5F03"/>
    <w:rsid w:val="00CE617A"/>
    <w:rsid w:val="00CE6E3C"/>
    <w:rsid w:val="00CE797F"/>
    <w:rsid w:val="00CF107E"/>
    <w:rsid w:val="00CF15BF"/>
    <w:rsid w:val="00CF25D2"/>
    <w:rsid w:val="00CF28C2"/>
    <w:rsid w:val="00CF42BD"/>
    <w:rsid w:val="00CF51EC"/>
    <w:rsid w:val="00CF6A9D"/>
    <w:rsid w:val="00CF6CD7"/>
    <w:rsid w:val="00CF75EC"/>
    <w:rsid w:val="00D002DF"/>
    <w:rsid w:val="00D0037A"/>
    <w:rsid w:val="00D0061E"/>
    <w:rsid w:val="00D00DAF"/>
    <w:rsid w:val="00D017EC"/>
    <w:rsid w:val="00D01CDA"/>
    <w:rsid w:val="00D020FC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264C"/>
    <w:rsid w:val="00D547BA"/>
    <w:rsid w:val="00D55626"/>
    <w:rsid w:val="00D556BC"/>
    <w:rsid w:val="00D5626D"/>
    <w:rsid w:val="00D56631"/>
    <w:rsid w:val="00D60277"/>
    <w:rsid w:val="00D60336"/>
    <w:rsid w:val="00D61F88"/>
    <w:rsid w:val="00D62901"/>
    <w:rsid w:val="00D6345E"/>
    <w:rsid w:val="00D6470C"/>
    <w:rsid w:val="00D64853"/>
    <w:rsid w:val="00D64CB5"/>
    <w:rsid w:val="00D66D48"/>
    <w:rsid w:val="00D7162F"/>
    <w:rsid w:val="00D72897"/>
    <w:rsid w:val="00D73256"/>
    <w:rsid w:val="00D73A30"/>
    <w:rsid w:val="00D74C65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2462"/>
    <w:rsid w:val="00D831C6"/>
    <w:rsid w:val="00D85886"/>
    <w:rsid w:val="00D868CE"/>
    <w:rsid w:val="00D86DAE"/>
    <w:rsid w:val="00D90116"/>
    <w:rsid w:val="00D90C1E"/>
    <w:rsid w:val="00D91BDF"/>
    <w:rsid w:val="00D91F2C"/>
    <w:rsid w:val="00D93F09"/>
    <w:rsid w:val="00D9485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0BF3"/>
    <w:rsid w:val="00DB19BD"/>
    <w:rsid w:val="00DB1D55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226A"/>
    <w:rsid w:val="00DC257F"/>
    <w:rsid w:val="00DC2A9F"/>
    <w:rsid w:val="00DC350B"/>
    <w:rsid w:val="00DC3790"/>
    <w:rsid w:val="00DC408A"/>
    <w:rsid w:val="00DC436D"/>
    <w:rsid w:val="00DC519B"/>
    <w:rsid w:val="00DC5B3B"/>
    <w:rsid w:val="00DC6796"/>
    <w:rsid w:val="00DC6CC6"/>
    <w:rsid w:val="00DC78DF"/>
    <w:rsid w:val="00DC7D4C"/>
    <w:rsid w:val="00DD0821"/>
    <w:rsid w:val="00DD0E32"/>
    <w:rsid w:val="00DD2872"/>
    <w:rsid w:val="00DD2A62"/>
    <w:rsid w:val="00DD2BD0"/>
    <w:rsid w:val="00DD2BFE"/>
    <w:rsid w:val="00DD373E"/>
    <w:rsid w:val="00DD57AD"/>
    <w:rsid w:val="00DD7435"/>
    <w:rsid w:val="00DD7C6D"/>
    <w:rsid w:val="00DE009B"/>
    <w:rsid w:val="00DE08F8"/>
    <w:rsid w:val="00DE0C31"/>
    <w:rsid w:val="00DE2ED9"/>
    <w:rsid w:val="00DE319A"/>
    <w:rsid w:val="00DF0615"/>
    <w:rsid w:val="00DF0DC3"/>
    <w:rsid w:val="00DF21FD"/>
    <w:rsid w:val="00DF2873"/>
    <w:rsid w:val="00DF293C"/>
    <w:rsid w:val="00DF4C74"/>
    <w:rsid w:val="00DF4FD2"/>
    <w:rsid w:val="00DF5578"/>
    <w:rsid w:val="00DF6CF8"/>
    <w:rsid w:val="00DF78DD"/>
    <w:rsid w:val="00DF7FEC"/>
    <w:rsid w:val="00E01C0E"/>
    <w:rsid w:val="00E02086"/>
    <w:rsid w:val="00E023BE"/>
    <w:rsid w:val="00E02740"/>
    <w:rsid w:val="00E03B27"/>
    <w:rsid w:val="00E04694"/>
    <w:rsid w:val="00E049F6"/>
    <w:rsid w:val="00E04CA9"/>
    <w:rsid w:val="00E05B2B"/>
    <w:rsid w:val="00E05EAD"/>
    <w:rsid w:val="00E06A2A"/>
    <w:rsid w:val="00E07F05"/>
    <w:rsid w:val="00E127E1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88A"/>
    <w:rsid w:val="00E32BC2"/>
    <w:rsid w:val="00E34985"/>
    <w:rsid w:val="00E34E4A"/>
    <w:rsid w:val="00E365B3"/>
    <w:rsid w:val="00E366BB"/>
    <w:rsid w:val="00E37C45"/>
    <w:rsid w:val="00E40AAA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22BB"/>
    <w:rsid w:val="00E52A3D"/>
    <w:rsid w:val="00E539E4"/>
    <w:rsid w:val="00E53C14"/>
    <w:rsid w:val="00E569C7"/>
    <w:rsid w:val="00E56AF7"/>
    <w:rsid w:val="00E571F2"/>
    <w:rsid w:val="00E57429"/>
    <w:rsid w:val="00E61EA8"/>
    <w:rsid w:val="00E63221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724B"/>
    <w:rsid w:val="00E80E31"/>
    <w:rsid w:val="00E83DAB"/>
    <w:rsid w:val="00E84F21"/>
    <w:rsid w:val="00E8618A"/>
    <w:rsid w:val="00E90A4B"/>
    <w:rsid w:val="00E90F73"/>
    <w:rsid w:val="00E910A7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3EBE"/>
    <w:rsid w:val="00EA3FAC"/>
    <w:rsid w:val="00EA4153"/>
    <w:rsid w:val="00EA5CD6"/>
    <w:rsid w:val="00EA6BFF"/>
    <w:rsid w:val="00EA76FD"/>
    <w:rsid w:val="00EA77CA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043A"/>
    <w:rsid w:val="00EE0473"/>
    <w:rsid w:val="00EE1057"/>
    <w:rsid w:val="00EE10AA"/>
    <w:rsid w:val="00EE163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53EA"/>
    <w:rsid w:val="00F0625B"/>
    <w:rsid w:val="00F06944"/>
    <w:rsid w:val="00F06C6F"/>
    <w:rsid w:val="00F06D38"/>
    <w:rsid w:val="00F101FF"/>
    <w:rsid w:val="00F104DF"/>
    <w:rsid w:val="00F10A33"/>
    <w:rsid w:val="00F10B64"/>
    <w:rsid w:val="00F1186C"/>
    <w:rsid w:val="00F11AD5"/>
    <w:rsid w:val="00F126D0"/>
    <w:rsid w:val="00F14ACD"/>
    <w:rsid w:val="00F15309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FF"/>
    <w:rsid w:val="00F2441D"/>
    <w:rsid w:val="00F24FAA"/>
    <w:rsid w:val="00F26197"/>
    <w:rsid w:val="00F273D4"/>
    <w:rsid w:val="00F307DD"/>
    <w:rsid w:val="00F30C2E"/>
    <w:rsid w:val="00F30CB4"/>
    <w:rsid w:val="00F318FC"/>
    <w:rsid w:val="00F31D53"/>
    <w:rsid w:val="00F31F76"/>
    <w:rsid w:val="00F325A3"/>
    <w:rsid w:val="00F3364D"/>
    <w:rsid w:val="00F353AE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997"/>
    <w:rsid w:val="00F47D05"/>
    <w:rsid w:val="00F50030"/>
    <w:rsid w:val="00F502F5"/>
    <w:rsid w:val="00F50B9D"/>
    <w:rsid w:val="00F51FC9"/>
    <w:rsid w:val="00F52AE1"/>
    <w:rsid w:val="00F53243"/>
    <w:rsid w:val="00F541ED"/>
    <w:rsid w:val="00F54B31"/>
    <w:rsid w:val="00F54FD3"/>
    <w:rsid w:val="00F55605"/>
    <w:rsid w:val="00F57CD7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7BDA"/>
    <w:rsid w:val="00F70309"/>
    <w:rsid w:val="00F7078A"/>
    <w:rsid w:val="00F70E45"/>
    <w:rsid w:val="00F727D5"/>
    <w:rsid w:val="00F72F44"/>
    <w:rsid w:val="00F73A0C"/>
    <w:rsid w:val="00F75895"/>
    <w:rsid w:val="00F759DC"/>
    <w:rsid w:val="00F76563"/>
    <w:rsid w:val="00F7717C"/>
    <w:rsid w:val="00F771A5"/>
    <w:rsid w:val="00F80D1E"/>
    <w:rsid w:val="00F817A4"/>
    <w:rsid w:val="00F81C3A"/>
    <w:rsid w:val="00F835E1"/>
    <w:rsid w:val="00F835FC"/>
    <w:rsid w:val="00F8373A"/>
    <w:rsid w:val="00F83E21"/>
    <w:rsid w:val="00F83FA4"/>
    <w:rsid w:val="00F84E18"/>
    <w:rsid w:val="00F852E5"/>
    <w:rsid w:val="00F90350"/>
    <w:rsid w:val="00F9310A"/>
    <w:rsid w:val="00F95117"/>
    <w:rsid w:val="00F97ED2"/>
    <w:rsid w:val="00FA05D7"/>
    <w:rsid w:val="00FA1992"/>
    <w:rsid w:val="00FA1C6C"/>
    <w:rsid w:val="00FA2447"/>
    <w:rsid w:val="00FA2C2A"/>
    <w:rsid w:val="00FA309A"/>
    <w:rsid w:val="00FA6B3F"/>
    <w:rsid w:val="00FA7644"/>
    <w:rsid w:val="00FB0A9A"/>
    <w:rsid w:val="00FB16AD"/>
    <w:rsid w:val="00FB1F21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C6140"/>
    <w:rsid w:val="00FD1261"/>
    <w:rsid w:val="00FD1627"/>
    <w:rsid w:val="00FD1BBD"/>
    <w:rsid w:val="00FD38B2"/>
    <w:rsid w:val="00FD43A0"/>
    <w:rsid w:val="00FD473D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CE11A-F76B-48E5-82B5-D0B6BA0F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2</TotalTime>
  <Pages>3</Pages>
  <Words>1530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2</cp:revision>
  <cp:lastPrinted>2016-12-20T07:27:00Z</cp:lastPrinted>
  <dcterms:created xsi:type="dcterms:W3CDTF">2016-12-20T14:29:00Z</dcterms:created>
  <dcterms:modified xsi:type="dcterms:W3CDTF">2016-12-20T14:29:00Z</dcterms:modified>
</cp:coreProperties>
</file>