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Default="00576A3E" w:rsidP="0060487F">
      <w:pPr>
        <w:pStyle w:val="Styl1"/>
        <w:rPr>
          <w:rFonts w:cs="Arial"/>
          <w:sz w:val="20"/>
        </w:rPr>
      </w:pPr>
    </w:p>
    <w:p w:rsidR="00576A3E" w:rsidRDefault="00785FCA">
      <w:pPr>
        <w:spacing w:line="240" w:lineRule="auto"/>
        <w:rPr>
          <w:rFonts w:cs="Arial"/>
          <w:lang w:eastAsia="ar-SA"/>
        </w:rPr>
      </w:pPr>
      <w:r w:rsidRPr="00785FCA">
        <w:rPr>
          <w:noProof/>
        </w:rPr>
        <w:pict>
          <v:shapetype id="_x0000_t202" coordsize="21600,21600" o:spt="202" path="m,l,21600r21600,l21600,xe">
            <v:stroke joinstyle="miter"/>
            <v:path gradientshapeok="t" o:connecttype="rect"/>
          </v:shapetype>
          <v:shape id="Textové pole 2" o:spid="_x0000_s1026" type="#_x0000_t202" style="position:absolute;margin-left:134.65pt;margin-top:759.8pt;width:403.95pt;height:14.15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fJtwIAAK8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" filled="f" stroked="f">
            <v:textbox inset="0,0,0,0">
              <w:txbxContent>
                <w:p w:rsidR="0002434F" w:rsidRPr="005251DD" w:rsidRDefault="0002434F" w:rsidP="004F191F">
                  <w:r w:rsidRPr="005251DD">
                    <w:t xml:space="preserve">Český statistický úřad, </w:t>
                  </w:r>
                  <w:r>
                    <w:t>Praha, 2016</w:t>
                  </w:r>
                </w:p>
              </w:txbxContent>
            </v:textbox>
            <w10:wrap anchorx="page" anchory="page"/>
            <w10:anchorlock/>
          </v:shape>
        </w:pict>
      </w:r>
      <w:r w:rsidRPr="00785FCA">
        <w:rPr>
          <w:noProof/>
        </w:rPr>
        <w:pict>
          <v:shape id="_x0000_s1027" type="#_x0000_t202" style="position:absolute;margin-left:134.65pt;margin-top:612.45pt;width:394.65pt;height:112.4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" filled="f" stroked="f">
            <v:textbox inset="0,0,0,0">
              <w:txbxContent>
                <w:p w:rsidR="0002434F" w:rsidRPr="006C5577" w:rsidRDefault="0002434F" w:rsidP="004F2A73">
                  <w:pPr>
                    <w:pStyle w:val="TL-Identifikace-dole"/>
                  </w:pPr>
                  <w:r>
                    <w:t>Z</w:t>
                  </w:r>
                  <w:r w:rsidRPr="006C5577">
                    <w:t>pracoval: Odbor</w:t>
                  </w:r>
                  <w:r>
                    <w:t xml:space="preserve"> Kancelář předsedkyně, Oddělení svodných analýz</w:t>
                  </w:r>
                </w:p>
                <w:p w:rsidR="0002434F" w:rsidRPr="006C5577" w:rsidRDefault="0002434F" w:rsidP="004F191F">
                  <w:pPr>
                    <w:pStyle w:val="TL-Identifikace-dole"/>
                  </w:pPr>
                  <w:r w:rsidRPr="006C5577">
                    <w:t xml:space="preserve">Ředitel odboru: </w:t>
                  </w:r>
                  <w:r>
                    <w:tab/>
                    <w:t>Egor Sidorov, Ph.D.</w:t>
                  </w:r>
                </w:p>
                <w:p w:rsidR="0002434F" w:rsidRDefault="0002434F" w:rsidP="004F191F">
                  <w:pPr>
                    <w:pStyle w:val="TL-Identifikace-dole"/>
                  </w:pPr>
                  <w:r>
                    <w:t>Autorský tým: Bc. Jiří Kamenický, Ing. Lukáš Kučera</w:t>
                  </w:r>
                </w:p>
                <w:p w:rsidR="0002434F" w:rsidRDefault="0002434F" w:rsidP="004F191F">
                  <w:pPr>
                    <w:pStyle w:val="TL-Identifikace-dole"/>
                  </w:pPr>
                  <w:r w:rsidRPr="006C5577">
                    <w:t xml:space="preserve">Kontaktní osoba: </w:t>
                  </w:r>
                  <w:r>
                    <w:t>Ing. Lukáš Kučera</w:t>
                  </w:r>
                </w:p>
                <w:p w:rsidR="0002434F" w:rsidRDefault="0002434F" w:rsidP="004F191F">
                  <w:pPr>
                    <w:pStyle w:val="TL-Identifikace-dole"/>
                  </w:pPr>
                  <w:r>
                    <w:t xml:space="preserve">                            e-mail</w:t>
                  </w:r>
                  <w:r w:rsidRPr="006C5577">
                    <w:t>:</w:t>
                  </w:r>
                  <w:r>
                    <w:t xml:space="preserve"> </w:t>
                  </w:r>
                  <w:hyperlink r:id="rId8" w:history="1">
                    <w:r w:rsidRPr="00BF2EF3">
                      <w:rPr>
                        <w:rStyle w:val="Hypertextovodkaz"/>
                      </w:rPr>
                      <w:t>lukas.kucera@czso.cz</w:t>
                    </w:r>
                  </w:hyperlink>
                  <w:r>
                    <w:t>, tel: 274 052 254</w:t>
                  </w:r>
                </w:p>
              </w:txbxContent>
            </v:textbox>
            <w10:wrap anchorx="page" anchory="page"/>
            <w10:anchorlock/>
          </v:shape>
        </w:pict>
      </w:r>
      <w:r w:rsidRPr="00785FCA">
        <w:rPr>
          <w:noProof/>
        </w:rPr>
        <w:pict>
          <v:shape id="Text Box 25" o:spid="_x0000_s1028" type="#_x0000_t202" style="position:absolute;margin-left:134.65pt;margin-top:358.2pt;width:394.6pt;height:155.5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" filled="f" stroked="f">
            <v:textbox inset="0,0,0,0">
              <w:txbxContent>
                <w:p w:rsidR="0002434F" w:rsidRPr="00D31445" w:rsidRDefault="0002434F" w:rsidP="004F191F">
                  <w:pPr>
                    <w:pStyle w:val="TL-identifikace-sted"/>
                  </w:pPr>
                  <w:r>
                    <w:t>Souhrnná data o České republice</w:t>
                  </w:r>
                </w:p>
                <w:p w:rsidR="0002434F" w:rsidRPr="00473E94" w:rsidRDefault="0002434F" w:rsidP="004F191F">
                  <w:pPr>
                    <w:pStyle w:val="TL-identifikace-sted"/>
                    <w:rPr>
                      <w:color w:val="000000"/>
                    </w:rPr>
                  </w:pPr>
                  <w:bookmarkStart w:id="0" w:name="_GoBack"/>
                  <w:r>
                    <w:rPr>
                      <w:color w:val="000000"/>
                    </w:rPr>
                    <w:t>Praha, 21. 6. 2016</w:t>
                  </w:r>
                </w:p>
                <w:bookmarkEnd w:id="0"/>
                <w:p w:rsidR="0002434F" w:rsidRPr="002E73F2" w:rsidRDefault="0002434F" w:rsidP="004F191F">
                  <w:pPr>
                    <w:pStyle w:val="TL-identifikace-sted"/>
                  </w:pPr>
                  <w:r w:rsidRPr="00D31445">
                    <w:t xml:space="preserve">Kód </w:t>
                  </w:r>
                  <w:r>
                    <w:t>publikace: 320193-16</w:t>
                  </w:r>
                </w:p>
                <w:p w:rsidR="0002434F" w:rsidRPr="002962E0" w:rsidRDefault="0002434F" w:rsidP="004F191F">
                  <w:pPr>
                    <w:spacing w:after="200"/>
                    <w:rPr>
                      <w:sz w:val="24"/>
                    </w:rPr>
                  </w:pPr>
                  <w:r w:rsidRPr="002962E0">
                    <w:rPr>
                      <w:sz w:val="24"/>
                    </w:rPr>
                    <w:t>Č. j.:</w:t>
                  </w:r>
                  <w:r w:rsidR="002962E0" w:rsidRPr="002962E0">
                    <w:rPr>
                      <w:sz w:val="24"/>
                    </w:rPr>
                    <w:t xml:space="preserve"> 1495/2016-01</w:t>
                  </w:r>
                </w:p>
                <w:p w:rsidR="0002434F" w:rsidRPr="00D31445" w:rsidRDefault="0002434F" w:rsidP="004F191F">
                  <w:pPr>
                    <w:spacing w:after="200"/>
                    <w:rPr>
                      <w:sz w:val="24"/>
                    </w:rPr>
                  </w:pPr>
                  <w:r>
                    <w:rPr>
                      <w:sz w:val="24"/>
                    </w:rPr>
                    <w:t>Pořadové číslo v roce: 1</w:t>
                  </w:r>
                </w:p>
              </w:txbxContent>
            </v:textbox>
            <w10:wrap anchorx="page" anchory="page"/>
            <w10:anchorlock/>
          </v:shape>
        </w:pict>
      </w:r>
      <w:r w:rsidRPr="00785FCA">
        <w:rPr>
          <w:noProof/>
        </w:rPr>
        <w:pict>
          <v:shape id="_x0000_s1029" type="#_x0000_t202" style="position:absolute;margin-left:134.65pt;margin-top:116.25pt;width:371.15pt;height:135.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Z4uwIAALcFAAAOAAAAZHJzL2Uyb0RvYy54bWysVNuOmzAQfa/Uf7D8znJZQgJ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" filled="f" stroked="f">
            <v:textbox style="mso-fit-shape-to-text:t" inset="0,0,0,0">
              <w:txbxContent>
                <w:p w:rsidR="0002434F" w:rsidRPr="001C357A" w:rsidRDefault="0002434F" w:rsidP="001C357A">
                  <w:pPr>
                    <w:pStyle w:val="Podtitul"/>
                    <w:rPr>
                      <w:sz w:val="56"/>
                      <w:szCs w:val="56"/>
                    </w:rPr>
                  </w:pPr>
                  <w:r>
                    <w:rPr>
                      <w:sz w:val="56"/>
                      <w:szCs w:val="56"/>
                    </w:rPr>
                    <w:t>VÝVOJ EKONOMIKY Č</w:t>
                  </w:r>
                  <w:r w:rsidRPr="001C357A">
                    <w:rPr>
                      <w:sz w:val="56"/>
                      <w:szCs w:val="56"/>
                    </w:rPr>
                    <w:t>E</w:t>
                  </w:r>
                  <w:r>
                    <w:rPr>
                      <w:sz w:val="56"/>
                      <w:szCs w:val="56"/>
                    </w:rPr>
                    <w:t>SKÉ REPUBLIKY V 1. ČTVRTLETÍ 2016</w:t>
                  </w:r>
                </w:p>
                <w:p w:rsidR="0002434F" w:rsidRPr="009B04D0" w:rsidRDefault="0002434F" w:rsidP="004F191F">
                  <w:pPr>
                    <w:pStyle w:val="Podtitul"/>
                  </w:pPr>
                </w:p>
              </w:txbxContent>
            </v:textbox>
            <w10:wrap anchorx="page" anchory="page"/>
            <w10:anchorlock/>
          </v:shape>
        </w:pict>
      </w:r>
      <w:r w:rsidRPr="00785FCA">
        <w:rPr>
          <w:noProof/>
        </w:rPr>
        <w:pict>
          <v:group id="Group 24" o:spid="_x0000_s1030" style="position:absolute;margin-left:45.1pt;margin-top:36.8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">
            <o:lock v:ext="edit" aspectratio="t"/>
            <v:rect id="Rectangle 9" o:spid="_x0000_s1031" style="position:absolute;left:1215;top:901;width:676;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dfb4A&#10;AADaAAAADwAAAGRycy9kb3ducmV2LnhtbERPTYvCMBC9L/gfwgje1lQPrlTTIooguB62Cl7HZmyD&#10;zaQ00Xb/vTks7PHxvtf5YBvxos4bxwpm0wQEcem04UrB5bz/XILwAVlj45gU/JKHPBt9rDHVrucf&#10;ehWhEjGEfYoK6hDaVEpf1mTRT11LHLm76yyGCLtK6g77GG4bOU+ShbRoODbU2NK2pvJRPK0CI797&#10;W5yuO5c827O5ft2WPhyVmoyHzQpEoCH8i//cB60gbo1X4g2Q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BHX2+AAAA2gAAAA8AAAAAAAAAAAAAAAAAmAIAAGRycy9kb3ducmV2&#10;LnhtbFBLBQYAAAAABAAEAPUAAACDAwAAAAA=&#10;" fillcolor="#0071bc" stroked="f">
              <o:lock v:ext="edit" aspectratio="t"/>
            </v:rect>
            <v:rect id="Rectangle 10" o:spid="_x0000_s1032" style="position:absolute;left:567;top:1131;width:1324;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45sIA&#10;AADaAAAADwAAAGRycy9kb3ducmV2LnhtbESPT4vCMBTE74LfITzBm6Z68E/XKIuysLB6sApen83b&#10;NmzzUppou9/eCILHYWZ+w6w2na3EnRpvHCuYjBMQxLnThgsF59PXaAHCB2SNlWNS8E8eNut+b4Wp&#10;di0f6Z6FQkQI+xQVlCHUqZQ+L8miH7uaOHq/rrEYomwKqRtsI9xWcpokM2nRcFwosaZtSflfdrMK&#10;jNy3Njtcdi651SdzmV8XPvwoNRx0nx8gAnXhHX61v7WCJT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jbjmwgAAANoAAAAPAAAAAAAAAAAAAAAAAJgCAABkcnMvZG93&#10;bnJldi54bWxQSwUGAAAAAAQABAD1AAAAhwMAAAAA&#10;" fillcolor="#0071bc" stroked="f">
              <o:lock v:ext="edit" aspectratio="t"/>
            </v:rect>
            <v:rect id="Rectangle 11" o:spid="_x0000_s1033" style="position:absolute;left:1288;top:1361;width:603;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mR8QA&#10;AADbAAAADwAAAGRycy9kb3ducmV2LnhtbESPQWvCQBSE7wX/w/KE3pqNUtoQXUUshULbQxMh12f2&#10;mSxm34bsauK/dwuFHoeZ+YZZbyfbiSsN3jhWsEhSEMS104YbBYfy/SkD4QOyxs4xKbiRh+1m9rDG&#10;XLuRf+hahEZECPscFbQh9LmUvm7Jok9cTxy9kxsshiiHRuoBxwi3nVym6Yu0aDgutNjTvqX6XFys&#10;AiO/Rlt8V28uvfSlqV6PmQ+fSj3Op90KRKAp/If/2h9awfIZ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QpkfEAAAA2wAAAA8AAAAAAAAAAAAAAAAAmAIAAGRycy9k&#10;b3ducmV2LnhtbFBLBQYAAAAABAAEAPUAAACJAwAAAAA=&#10;" fillcolor="#0071bc" stroked="f">
              <o:lock v:ext="edit" aspectratio="t"/>
            </v:rect>
            <v:shape id="Freeform 12" o:spid="_x0000_s1034" style="position:absolute;left:1969;top:1311;width:600;height:207;visibility:visible;mso-wrap-style:square;v-text-anchor:top" coordsize="120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cN8EA&#10;AADbAAAADwAAAGRycy9kb3ducmV2LnhtbESPQYvCMBSE78L+h/AEb5paUJauUYqs7IqnrfX+aN42&#10;xealNFHrvzeC4HGYmW+Y1WawrbhS7xvHCuazBARx5XTDtYLyuJt+gvABWWPrmBTcycNm/TFaYabd&#10;jf/oWoRaRAj7DBWYELpMSl8ZsuhnriOO3r/rLYYo+1rqHm8RbluZJslSWmw4LhjsaGuoOhcXq+A7&#10;J0N52W0L3renn9P5kDb7g1KT8ZB/gQg0hHf41f7VCtIF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MHDfBAAAA2wAAAA8AAAAAAAAAAAAAAAAAmAIAAGRycy9kb3du&#10;cmV2LnhtbFBLBQYAAAAABAAEAPUAAACGAw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35" style="position:absolute;left:1962;top:1081;width:1319;height:208;visibility:visible;mso-wrap-style:square;v-text-anchor:top" coordsize="263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haAMYA&#10;AADbAAAADwAAAGRycy9kb3ducmV2LnhtbESPQWvCQBSE7wX/w/KEXqRuVBBJ3YSiFKQqqGkPvT2y&#10;r0lo9m3Y3Zr033cFocdhZr5h1vlgWnEl5xvLCmbTBARxaXXDlYL34vVpBcIHZI2tZVLwSx7ybPSw&#10;xlTbns90vYRKRAj7FBXUIXSplL6syaCf2o44el/WGQxRukpqh32Em1bOk2QpDTYcF2rsaFNT+X35&#10;MQo2RfvhFod+f3aT7e7t81jJ4nhS6nE8vDyDCDSE//C9vdMK5ku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haAMYAAADbAAAADwAAAAAAAAAAAAAAAACYAgAAZHJz&#10;L2Rvd25yZXYueG1sUEsFBgAAAAAEAAQA9QAAAIsD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36" style="position:absolute;left:1962;top:851;width:679;height:208;visibility:visible;mso-wrap-style:square;v-text-anchor:top" coordsize="135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zGsMA&#10;AADbAAAADwAAAGRycy9kb3ducmV2LnhtbESPQWvCQBSE74L/YXmCF6mbetCSukpVot5KVXp+zT6T&#10;0OzbdHc18d+7BcHjMPPNMPNlZ2pxJecrywpexwkI4tzqigsFp2P28gbCB2SNtWVScCMPy0W/N8dU&#10;25a/6HoIhYgl7FNUUIbQpFL6vCSDfmwb4uidrTMYonSF1A7bWG5qOUmSqTRYcVwosaF1Sfnv4WIU&#10;TKbfP7tsX6w+6+3fyOnzJhu1G6WGg+7jHUSgLjzDD3qvIzeD/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gzGsMAAADbAAAADwAAAAAAAAAAAAAAAACYAgAAZHJzL2Rv&#10;d25yZXYueG1sUEsFBgAAAAAEAAQA9QAAAIgDA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p>
    <w:p w:rsidR="00576A3E" w:rsidRDefault="00576A3E" w:rsidP="0060487F">
      <w:pPr>
        <w:pStyle w:val="Styl1"/>
        <w:rPr>
          <w:rFonts w:cs="Arial"/>
          <w:sz w:val="20"/>
        </w:rPr>
      </w:pPr>
    </w:p>
    <w:p w:rsidR="00576A3E" w:rsidRDefault="00576A3E" w:rsidP="0060487F">
      <w:pPr>
        <w:pStyle w:val="Styl1"/>
        <w:rPr>
          <w:rFonts w:cs="Arial"/>
          <w:sz w:val="20"/>
        </w:rPr>
      </w:pPr>
    </w:p>
    <w:p w:rsidR="00576A3E" w:rsidRDefault="00576A3E" w:rsidP="0060487F">
      <w:pPr>
        <w:pStyle w:val="Styl1"/>
        <w:rPr>
          <w:rFonts w:cs="Arial"/>
          <w:sz w:val="20"/>
        </w:rPr>
      </w:pPr>
    </w:p>
    <w:p w:rsidR="00576A3E" w:rsidRDefault="00576A3E" w:rsidP="00D31932">
      <w:pPr>
        <w:autoSpaceDE w:val="0"/>
        <w:autoSpaceDN w:val="0"/>
        <w:adjustRightInd w:val="0"/>
        <w:spacing w:line="240" w:lineRule="auto"/>
        <w:jc w:val="both"/>
        <w:rPr>
          <w:rFonts w:cs="Arial"/>
        </w:rPr>
      </w:pPr>
    </w:p>
    <w:p w:rsidR="00576A3E" w:rsidRDefault="00785FCA" w:rsidP="00D31932">
      <w:pPr>
        <w:autoSpaceDE w:val="0"/>
        <w:autoSpaceDN w:val="0"/>
        <w:adjustRightInd w:val="0"/>
        <w:spacing w:line="240" w:lineRule="auto"/>
        <w:jc w:val="both"/>
        <w:rPr>
          <w:rFonts w:cs="Arial"/>
          <w:lang w:eastAsia="ar-SA"/>
        </w:rPr>
      </w:pPr>
      <w:r w:rsidRPr="00785FCA">
        <w:rPr>
          <w:noProof/>
        </w:rPr>
        <w:pict>
          <v:line id="Přímá spojnice 33" o:spid="_x0000_s1037" style="position:absolute;left:0;text-align:left;z-index:251656704;visibility:visible;mso-wrap-distance-top:-3e-5mm;mso-wrap-distance-bottom:-3e-5mm;mso-position-horizontal-relative:page;mso-position-vertical-relative:page"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576A3E">
        <w:rPr>
          <w:rFonts w:cs="Arial"/>
        </w:rPr>
        <w:br w:type="page"/>
      </w:r>
    </w:p>
    <w:p w:rsidR="00576A3E" w:rsidRDefault="00576A3E" w:rsidP="0060487F">
      <w:pPr>
        <w:pStyle w:val="Styl1"/>
        <w:rPr>
          <w:rFonts w:cs="Arial"/>
          <w:sz w:val="20"/>
        </w:rPr>
      </w:pPr>
    </w:p>
    <w:p w:rsidR="00576A3E" w:rsidRDefault="00576A3E" w:rsidP="0060487F">
      <w:pPr>
        <w:pStyle w:val="Styl1"/>
        <w:rPr>
          <w:rFonts w:cs="Arial"/>
          <w:sz w:val="20"/>
        </w:rPr>
      </w:pPr>
    </w:p>
    <w:p w:rsidR="00576A3E" w:rsidRDefault="00576A3E">
      <w:pPr>
        <w:spacing w:line="240" w:lineRule="auto"/>
        <w:rPr>
          <w:rFonts w:cs="Arial"/>
          <w:lang w:eastAsia="ar-SA"/>
        </w:rPr>
      </w:pPr>
    </w:p>
    <w:p w:rsidR="00576A3E" w:rsidRDefault="00576A3E" w:rsidP="0060487F">
      <w:pPr>
        <w:pStyle w:val="Styl1"/>
        <w:rPr>
          <w:rFonts w:cs="Arial"/>
          <w:sz w:val="20"/>
        </w:rPr>
      </w:pPr>
    </w:p>
    <w:p w:rsidR="00576A3E" w:rsidRPr="006404A7" w:rsidRDefault="00785FCA" w:rsidP="0060487F">
      <w:pPr>
        <w:pStyle w:val="Styl1"/>
        <w:rPr>
          <w:rFonts w:cs="Arial"/>
          <w:color w:val="7DB41E"/>
          <w:sz w:val="20"/>
          <w:szCs w:val="20"/>
        </w:rPr>
      </w:pPr>
      <w:r w:rsidRPr="00785FCA">
        <w:rPr>
          <w:noProof/>
          <w:lang w:eastAsia="cs-CZ"/>
        </w:rPr>
        <w:pict>
          <v:shape id="_x0000_s1038" type="#_x0000_t202" style="position:absolute;margin-left:56.7pt;margin-top:116.25pt;width:481.9pt;height:595.3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" filled="f" stroked="f">
            <v:textbox inset="0,0,0,0">
              <w:txbxContent>
                <w:p w:rsidR="0002434F" w:rsidRPr="00D766EF" w:rsidRDefault="0002434F" w:rsidP="00437C76">
                  <w:pPr>
                    <w:pStyle w:val="TL-Kontakty"/>
                  </w:pPr>
                  <w:r w:rsidRPr="00D766EF">
                    <w:rPr>
                      <w:caps w:val="0"/>
                    </w:rPr>
                    <w:t>KONTAKTY V</w:t>
                  </w:r>
                  <w:r w:rsidRPr="00D766EF">
                    <w:t> ÚSTŘEDÍ</w:t>
                  </w:r>
                </w:p>
                <w:p w:rsidR="0002434F" w:rsidRPr="00EA4153" w:rsidRDefault="0002434F" w:rsidP="00BD366B">
                  <w:pPr>
                    <w:spacing w:after="80" w:line="240" w:lineRule="auto"/>
                    <w:rPr>
                      <w:b/>
                      <w:color w:val="0071BC"/>
                    </w:rPr>
                  </w:pPr>
                  <w:r w:rsidRPr="00320214">
                    <w:rPr>
                      <w:b/>
                      <w:color w:val="0071BC"/>
                    </w:rPr>
                    <w:t>Český statistický úřad</w:t>
                  </w:r>
                  <w:r>
                    <w:rPr>
                      <w:b/>
                      <w:color w:val="0071BC"/>
                    </w:rPr>
                    <w:t xml:space="preserve"> | </w:t>
                  </w:r>
                  <w:r>
                    <w:t xml:space="preserve">Na padesátém 81, 100 82 Praha 10 | tel.: 274 051 111 | </w:t>
                  </w:r>
                  <w:r w:rsidRPr="00841D9F">
                    <w:rPr>
                      <w:b/>
                      <w:bCs/>
                    </w:rPr>
                    <w:t>www.czso.cz</w:t>
                  </w:r>
                </w:p>
                <w:p w:rsidR="0002434F" w:rsidRPr="00B27293" w:rsidRDefault="0002434F" w:rsidP="00BD366B">
                  <w:pPr>
                    <w:spacing w:after="80" w:line="240" w:lineRule="auto"/>
                  </w:pPr>
                  <w:r w:rsidRPr="00100014">
                    <w:rPr>
                      <w:b/>
                    </w:rPr>
                    <w:t>Oddělení informačních služeb</w:t>
                  </w:r>
                  <w:r w:rsidRPr="00EA4153">
                    <w:t xml:space="preserve"> |</w:t>
                  </w:r>
                  <w:r>
                    <w:rPr>
                      <w:b/>
                    </w:rPr>
                    <w:t xml:space="preserve"> </w:t>
                  </w:r>
                  <w:r>
                    <w:t>tel.: 274 052 648, 274 052 304, 274 052 451 | e-mail: infoservis@czso.cz</w:t>
                  </w:r>
                </w:p>
                <w:p w:rsidR="0002434F" w:rsidRPr="00EA4153" w:rsidRDefault="0002434F" w:rsidP="00BD366B">
                  <w:pPr>
                    <w:spacing w:after="80" w:line="240" w:lineRule="auto"/>
                    <w:rPr>
                      <w:b/>
                    </w:rPr>
                  </w:pPr>
                  <w:r w:rsidRPr="00100014">
                    <w:rPr>
                      <w:b/>
                    </w:rPr>
                    <w:t>Prodejna publikací ČSÚ</w:t>
                  </w:r>
                  <w:r>
                    <w:t xml:space="preserve"> | tel.: 274 052 361 | e-mail: prodejna@czso.cz</w:t>
                  </w:r>
                </w:p>
                <w:p w:rsidR="0002434F" w:rsidRPr="00EA4153" w:rsidRDefault="0002434F" w:rsidP="00BD366B">
                  <w:pPr>
                    <w:spacing w:after="80" w:line="240" w:lineRule="auto"/>
                    <w:rPr>
                      <w:b/>
                    </w:rPr>
                  </w:pPr>
                  <w:r>
                    <w:rPr>
                      <w:b/>
                    </w:rPr>
                    <w:t xml:space="preserve">Evropská data (ESDS), </w:t>
                  </w:r>
                  <w:r w:rsidRPr="00100014">
                    <w:rPr>
                      <w:b/>
                    </w:rPr>
                    <w:t>mezinárodní srovnání</w:t>
                  </w:r>
                  <w:r>
                    <w:t xml:space="preserve"> | tel.: 274 052 347, 274 052 757 | e-mail: esds@czso.cz</w:t>
                  </w:r>
                </w:p>
                <w:p w:rsidR="0002434F" w:rsidRPr="00EA4153" w:rsidRDefault="0002434F" w:rsidP="00BD366B">
                  <w:pPr>
                    <w:spacing w:after="80" w:line="240" w:lineRule="auto"/>
                    <w:rPr>
                      <w:b/>
                    </w:rPr>
                  </w:pPr>
                  <w:r w:rsidRPr="00100014">
                    <w:rPr>
                      <w:b/>
                    </w:rPr>
                    <w:t>Ústřední statistická knihovna</w:t>
                  </w:r>
                  <w:r>
                    <w:t xml:space="preserve"> | tel.: 274 052 361 | e-mail: knihovna@czso.cz</w:t>
                  </w:r>
                </w:p>
                <w:p w:rsidR="0002434F" w:rsidRDefault="0002434F" w:rsidP="00BD366B">
                  <w:pPr>
                    <w:spacing w:line="240" w:lineRule="auto"/>
                  </w:pPr>
                </w:p>
                <w:p w:rsidR="0002434F" w:rsidRPr="0071229A" w:rsidRDefault="0002434F" w:rsidP="004F06F5">
                  <w:pPr>
                    <w:pStyle w:val="TL-Kontakty"/>
                  </w:pPr>
                  <w:r w:rsidRPr="0071229A">
                    <w:t>INFORMAČNÍ SLUŽBY V REGIONECH</w:t>
                  </w:r>
                </w:p>
                <w:p w:rsidR="0002434F" w:rsidRDefault="0002434F" w:rsidP="00BD366B">
                  <w:pPr>
                    <w:spacing w:line="240" w:lineRule="auto"/>
                  </w:pPr>
                  <w:r w:rsidRPr="00100014">
                    <w:rPr>
                      <w:b/>
                      <w:color w:val="0071BC"/>
                    </w:rPr>
                    <w:t>Hl. m. Praha</w:t>
                  </w:r>
                  <w:r>
                    <w:t xml:space="preserve"> | Na padesátém 81, 100 82 Praha 10 | tel.: 274 052 673, 274 054 223</w:t>
                  </w:r>
                </w:p>
                <w:p w:rsidR="0002434F" w:rsidRPr="00100014" w:rsidRDefault="0002434F" w:rsidP="00BD366B">
                  <w:pPr>
                    <w:spacing w:line="240" w:lineRule="auto"/>
                    <w:rPr>
                      <w:b/>
                    </w:rPr>
                  </w:pPr>
                  <w:r>
                    <w:t xml:space="preserve">e-mail: infoservispraha@czso.cz | </w:t>
                  </w:r>
                  <w:r w:rsidRPr="00100014">
                    <w:rPr>
                      <w:b/>
                    </w:rPr>
                    <w:t>www.praha.czso.cz</w:t>
                  </w:r>
                </w:p>
                <w:p w:rsidR="0002434F" w:rsidRDefault="0002434F" w:rsidP="00BD366B">
                  <w:pPr>
                    <w:spacing w:line="240" w:lineRule="auto"/>
                  </w:pPr>
                </w:p>
                <w:p w:rsidR="0002434F" w:rsidRPr="00B27293" w:rsidRDefault="0002434F" w:rsidP="00BD366B">
                  <w:pPr>
                    <w:spacing w:line="240" w:lineRule="auto"/>
                    <w:rPr>
                      <w:b/>
                      <w:color w:val="0071BC"/>
                    </w:rPr>
                  </w:pPr>
                  <w:r w:rsidRPr="00100014">
                    <w:rPr>
                      <w:b/>
                      <w:color w:val="0071BC"/>
                    </w:rPr>
                    <w:t>Středočeský kraj</w:t>
                  </w:r>
                  <w:r>
                    <w:t xml:space="preserve"> | Na padesátém 81, 100 82 Praha 10</w:t>
                  </w:r>
                  <w:r w:rsidRPr="00B27293">
                    <w:t xml:space="preserve"> |</w:t>
                  </w:r>
                  <w:r w:rsidRPr="00B27293">
                    <w:rPr>
                      <w:b/>
                    </w:rPr>
                    <w:t xml:space="preserve"> </w:t>
                  </w:r>
                  <w:r>
                    <w:t>tel.: 274 054 175</w:t>
                  </w:r>
                </w:p>
                <w:p w:rsidR="0002434F" w:rsidRPr="00B27293" w:rsidRDefault="0002434F" w:rsidP="00BD366B">
                  <w:pPr>
                    <w:spacing w:line="240" w:lineRule="auto"/>
                  </w:pPr>
                  <w:r>
                    <w:t xml:space="preserve">e-mail: infoservisstc@czso.cz | </w:t>
                  </w:r>
                  <w:r w:rsidRPr="00100014">
                    <w:rPr>
                      <w:b/>
                    </w:rPr>
                    <w:t>www.stredocesky.czso.cz</w:t>
                  </w:r>
                </w:p>
                <w:p w:rsidR="0002434F" w:rsidRDefault="0002434F" w:rsidP="00BD366B">
                  <w:pPr>
                    <w:spacing w:line="240" w:lineRule="auto"/>
                  </w:pPr>
                </w:p>
                <w:p w:rsidR="0002434F" w:rsidRPr="00B27293" w:rsidRDefault="0002434F" w:rsidP="00BD366B">
                  <w:pPr>
                    <w:spacing w:line="240" w:lineRule="auto"/>
                    <w:rPr>
                      <w:b/>
                      <w:color w:val="0071BC"/>
                    </w:rPr>
                  </w:pPr>
                  <w:r w:rsidRPr="00100014">
                    <w:rPr>
                      <w:b/>
                      <w:color w:val="0071BC"/>
                    </w:rPr>
                    <w:t>České Budějovice</w:t>
                  </w:r>
                  <w:r>
                    <w:t xml:space="preserve"> | Žižkova 1, 370 77 České Budějovice | tel.: 386 718 440</w:t>
                  </w:r>
                </w:p>
                <w:p w:rsidR="0002434F" w:rsidRPr="00B27293" w:rsidRDefault="0002434F" w:rsidP="00BD366B">
                  <w:pPr>
                    <w:spacing w:line="240" w:lineRule="auto"/>
                  </w:pPr>
                  <w:r>
                    <w:t xml:space="preserve">e-mail: infoserviscb@czso.cz | </w:t>
                  </w:r>
                  <w:r w:rsidRPr="00100014">
                    <w:rPr>
                      <w:b/>
                    </w:rPr>
                    <w:t>www.cbudejovice.czso.cz</w:t>
                  </w:r>
                </w:p>
                <w:p w:rsidR="0002434F" w:rsidRDefault="0002434F" w:rsidP="00BD366B">
                  <w:pPr>
                    <w:spacing w:line="240" w:lineRule="auto"/>
                  </w:pPr>
                </w:p>
                <w:p w:rsidR="0002434F" w:rsidRPr="00B27293" w:rsidRDefault="0002434F" w:rsidP="00BD366B">
                  <w:pPr>
                    <w:spacing w:line="240" w:lineRule="auto"/>
                    <w:rPr>
                      <w:b/>
                      <w:color w:val="0071BC"/>
                    </w:rPr>
                  </w:pPr>
                  <w:r w:rsidRPr="0071229A">
                    <w:rPr>
                      <w:b/>
                      <w:color w:val="0071BC"/>
                    </w:rPr>
                    <w:t>Plzeň</w:t>
                  </w:r>
                  <w:r>
                    <w:t xml:space="preserve"> | Slovanská alej 36, 326 64 Plzeň | tel.: 377 612 108, 377 612 249</w:t>
                  </w:r>
                </w:p>
                <w:p w:rsidR="0002434F" w:rsidRPr="00B27293" w:rsidRDefault="0002434F" w:rsidP="00BD366B">
                  <w:pPr>
                    <w:spacing w:line="240" w:lineRule="auto"/>
                  </w:pPr>
                  <w:r>
                    <w:t xml:space="preserve">e-mail: infoservisplzen@czso.cz | </w:t>
                  </w:r>
                  <w:r w:rsidRPr="0071229A">
                    <w:rPr>
                      <w:b/>
                    </w:rPr>
                    <w:t>www.plzen.czso.cz</w:t>
                  </w:r>
                </w:p>
                <w:p w:rsidR="0002434F" w:rsidRDefault="0002434F" w:rsidP="00BD366B">
                  <w:pPr>
                    <w:spacing w:line="240" w:lineRule="auto"/>
                  </w:pPr>
                </w:p>
                <w:p w:rsidR="0002434F" w:rsidRPr="00B27293" w:rsidRDefault="0002434F" w:rsidP="00BD366B">
                  <w:pPr>
                    <w:spacing w:line="240" w:lineRule="auto"/>
                    <w:rPr>
                      <w:b/>
                      <w:color w:val="0071BC"/>
                    </w:rPr>
                  </w:pPr>
                  <w:r w:rsidRPr="0071229A">
                    <w:rPr>
                      <w:b/>
                      <w:color w:val="0071BC"/>
                    </w:rPr>
                    <w:t>Karlovy Vary</w:t>
                  </w:r>
                  <w:r>
                    <w:t xml:space="preserve"> | Sportovní 28, 360 01 Karlovy Vary | tel.: 353 114 529, 353 114 525</w:t>
                  </w:r>
                </w:p>
                <w:p w:rsidR="0002434F" w:rsidRDefault="0002434F" w:rsidP="00BD366B">
                  <w:pPr>
                    <w:spacing w:line="240" w:lineRule="auto"/>
                    <w:rPr>
                      <w:b/>
                    </w:rPr>
                  </w:pPr>
                  <w:r>
                    <w:t xml:space="preserve">e-mail: infoserviskv@czso.cz | </w:t>
                  </w:r>
                  <w:r>
                    <w:rPr>
                      <w:b/>
                    </w:rPr>
                    <w:t>www.kvary.czso.cz</w:t>
                  </w:r>
                </w:p>
                <w:p w:rsidR="0002434F" w:rsidRDefault="0002434F" w:rsidP="00BD366B">
                  <w:pPr>
                    <w:spacing w:line="240" w:lineRule="auto"/>
                  </w:pPr>
                </w:p>
                <w:p w:rsidR="0002434F" w:rsidRPr="00B27293" w:rsidRDefault="0002434F" w:rsidP="00BD366B">
                  <w:pPr>
                    <w:spacing w:line="240" w:lineRule="auto"/>
                    <w:rPr>
                      <w:b/>
                      <w:bCs/>
                      <w:color w:val="0071BC"/>
                    </w:rPr>
                  </w:pPr>
                  <w:r w:rsidRPr="0071229A">
                    <w:rPr>
                      <w:b/>
                      <w:bCs/>
                      <w:color w:val="0071BC"/>
                    </w:rPr>
                    <w:t>Ústí nad Labem</w:t>
                  </w:r>
                  <w:r>
                    <w:t xml:space="preserve"> | </w:t>
                  </w:r>
                  <w:r w:rsidRPr="0071229A">
                    <w:rPr>
                      <w:bCs/>
                    </w:rPr>
                    <w:t>Špálova 2684, 400 11 Ústí nad Labem</w:t>
                  </w:r>
                  <w:r>
                    <w:t xml:space="preserve"> | </w:t>
                  </w:r>
                  <w:r w:rsidRPr="0071229A">
                    <w:rPr>
                      <w:bCs/>
                    </w:rPr>
                    <w:t>tel.: 472 706 176, 472 706 121</w:t>
                  </w:r>
                </w:p>
                <w:p w:rsidR="0002434F" w:rsidRPr="00B27293" w:rsidRDefault="0002434F" w:rsidP="00BD366B">
                  <w:pPr>
                    <w:spacing w:line="240" w:lineRule="auto"/>
                    <w:rPr>
                      <w:bCs/>
                    </w:rPr>
                  </w:pPr>
                  <w:r w:rsidRPr="0071229A">
                    <w:rPr>
                      <w:bCs/>
                    </w:rPr>
                    <w:t>e-mail: infoservisul@czso.cz</w:t>
                  </w:r>
                  <w:r>
                    <w:t xml:space="preserve"> | </w:t>
                  </w:r>
                  <w:r w:rsidRPr="0071229A">
                    <w:rPr>
                      <w:b/>
                      <w:bCs/>
                    </w:rPr>
                    <w:t>www.ustinadlabem.czso.cz</w:t>
                  </w:r>
                </w:p>
                <w:p w:rsidR="0002434F" w:rsidRPr="0071229A" w:rsidRDefault="0002434F" w:rsidP="00BD366B">
                  <w:pPr>
                    <w:spacing w:line="240" w:lineRule="auto"/>
                    <w:rPr>
                      <w:bCs/>
                    </w:rPr>
                  </w:pPr>
                </w:p>
                <w:p w:rsidR="0002434F" w:rsidRPr="00B27293" w:rsidRDefault="0002434F"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w:t>
                  </w:r>
                  <w:r w:rsidRPr="0071229A">
                    <w:rPr>
                      <w:bCs/>
                    </w:rPr>
                    <w:t>tel.: 485 238 811</w:t>
                  </w:r>
                </w:p>
                <w:p w:rsidR="0002434F" w:rsidRPr="00B27293" w:rsidRDefault="0002434F" w:rsidP="00BD366B">
                  <w:pPr>
                    <w:spacing w:line="240" w:lineRule="auto"/>
                    <w:rPr>
                      <w:bCs/>
                    </w:rPr>
                  </w:pPr>
                  <w:r w:rsidRPr="0071229A">
                    <w:rPr>
                      <w:bCs/>
                    </w:rPr>
                    <w:t>e-mail: infoservislbc@czso.cz</w:t>
                  </w:r>
                  <w:r>
                    <w:t xml:space="preserve"> | </w:t>
                  </w:r>
                  <w:r w:rsidRPr="0071229A">
                    <w:rPr>
                      <w:b/>
                      <w:bCs/>
                    </w:rPr>
                    <w:t>www.liberec.czso.cz</w:t>
                  </w:r>
                </w:p>
                <w:p w:rsidR="0002434F" w:rsidRPr="0071229A" w:rsidRDefault="0002434F" w:rsidP="00BD366B">
                  <w:pPr>
                    <w:spacing w:line="240" w:lineRule="auto"/>
                    <w:rPr>
                      <w:bCs/>
                    </w:rPr>
                  </w:pPr>
                </w:p>
                <w:p w:rsidR="0002434F" w:rsidRPr="00B27293" w:rsidRDefault="0002434F"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t</w:t>
                  </w:r>
                  <w:r w:rsidRPr="0071229A">
                    <w:rPr>
                      <w:bCs/>
                    </w:rPr>
                    <w:t>el.: 495 762 322, 495 762 317</w:t>
                  </w:r>
                </w:p>
                <w:p w:rsidR="0002434F" w:rsidRPr="00B27293" w:rsidRDefault="0002434F" w:rsidP="00BD366B">
                  <w:pPr>
                    <w:spacing w:line="240" w:lineRule="auto"/>
                    <w:rPr>
                      <w:bCs/>
                    </w:rPr>
                  </w:pPr>
                  <w:r w:rsidRPr="0071229A">
                    <w:rPr>
                      <w:bCs/>
                    </w:rPr>
                    <w:t>e-mail: infoservishk@czso.cz</w:t>
                  </w:r>
                  <w:r>
                    <w:t xml:space="preserve"> | </w:t>
                  </w:r>
                  <w:r w:rsidRPr="0071229A">
                    <w:rPr>
                      <w:b/>
                      <w:bCs/>
                    </w:rPr>
                    <w:t>www.hradeckralove.czso.cz</w:t>
                  </w:r>
                </w:p>
                <w:p w:rsidR="0002434F" w:rsidRPr="0071229A" w:rsidRDefault="0002434F" w:rsidP="00BD366B">
                  <w:pPr>
                    <w:spacing w:line="240" w:lineRule="auto"/>
                    <w:rPr>
                      <w:bCs/>
                    </w:rPr>
                  </w:pPr>
                </w:p>
                <w:p w:rsidR="0002434F" w:rsidRPr="00B27293" w:rsidRDefault="0002434F"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w:t>
                  </w:r>
                  <w:r w:rsidRPr="0071229A">
                    <w:rPr>
                      <w:bCs/>
                    </w:rPr>
                    <w:t>tel.: 466 743 480, 466 743 418</w:t>
                  </w:r>
                </w:p>
                <w:p w:rsidR="0002434F" w:rsidRPr="00B27293" w:rsidRDefault="0002434F" w:rsidP="00BD366B">
                  <w:pPr>
                    <w:spacing w:line="240" w:lineRule="auto"/>
                    <w:rPr>
                      <w:bCs/>
                    </w:rPr>
                  </w:pPr>
                  <w:r w:rsidRPr="0071229A">
                    <w:rPr>
                      <w:bCs/>
                    </w:rPr>
                    <w:t>e-mail: infoservispa@czso.cz</w:t>
                  </w:r>
                  <w:r>
                    <w:t xml:space="preserve"> | </w:t>
                  </w:r>
                  <w:r w:rsidRPr="0071229A">
                    <w:rPr>
                      <w:b/>
                      <w:bCs/>
                    </w:rPr>
                    <w:t>www.pardubice.czso.cz</w:t>
                  </w:r>
                </w:p>
                <w:p w:rsidR="0002434F" w:rsidRPr="0071229A" w:rsidRDefault="0002434F" w:rsidP="00BD366B">
                  <w:pPr>
                    <w:spacing w:line="240" w:lineRule="auto"/>
                    <w:rPr>
                      <w:bCs/>
                    </w:rPr>
                  </w:pPr>
                </w:p>
                <w:p w:rsidR="0002434F" w:rsidRPr="00B27293" w:rsidRDefault="0002434F"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t</w:t>
                  </w:r>
                  <w:r w:rsidRPr="0071229A">
                    <w:rPr>
                      <w:bCs/>
                    </w:rPr>
                    <w:t>el.: 567 109 062, 567 109 080</w:t>
                  </w:r>
                </w:p>
                <w:p w:rsidR="0002434F" w:rsidRPr="00B27293" w:rsidRDefault="0002434F" w:rsidP="00BD366B">
                  <w:pPr>
                    <w:spacing w:line="240" w:lineRule="auto"/>
                    <w:rPr>
                      <w:bCs/>
                    </w:rPr>
                  </w:pPr>
                  <w:r w:rsidRPr="0071229A">
                    <w:rPr>
                      <w:bCs/>
                    </w:rPr>
                    <w:t>e-mail: infoservisvys@czso.cz</w:t>
                  </w:r>
                  <w:r>
                    <w:t xml:space="preserve"> | </w:t>
                  </w:r>
                  <w:r w:rsidRPr="0071229A">
                    <w:rPr>
                      <w:b/>
                      <w:bCs/>
                    </w:rPr>
                    <w:t>www.jihlava.czso.cz</w:t>
                  </w:r>
                </w:p>
                <w:p w:rsidR="0002434F" w:rsidRPr="0071229A" w:rsidRDefault="0002434F" w:rsidP="00BD366B">
                  <w:pPr>
                    <w:spacing w:line="240" w:lineRule="auto"/>
                    <w:rPr>
                      <w:bCs/>
                    </w:rPr>
                  </w:pPr>
                </w:p>
                <w:p w:rsidR="0002434F" w:rsidRPr="00B27293" w:rsidRDefault="0002434F" w:rsidP="00BD366B">
                  <w:pPr>
                    <w:spacing w:line="240" w:lineRule="auto"/>
                    <w:rPr>
                      <w:b/>
                      <w:bCs/>
                    </w:rPr>
                  </w:pPr>
                  <w:r w:rsidRPr="0071229A">
                    <w:rPr>
                      <w:b/>
                      <w:bCs/>
                      <w:color w:val="0071BC"/>
                    </w:rPr>
                    <w:t>Brno</w:t>
                  </w:r>
                  <w:r>
                    <w:t xml:space="preserve"> | </w:t>
                  </w:r>
                  <w:r w:rsidRPr="0071229A">
                    <w:rPr>
                      <w:bCs/>
                    </w:rPr>
                    <w:t>Jezuitská 2, 601 59 Brno</w:t>
                  </w:r>
                  <w:r>
                    <w:t xml:space="preserve"> | t</w:t>
                  </w:r>
                  <w:r w:rsidRPr="0071229A">
                    <w:rPr>
                      <w:bCs/>
                    </w:rPr>
                    <w:t>el.: 542 528 115, 542 528 105</w:t>
                  </w:r>
                </w:p>
                <w:p w:rsidR="0002434F" w:rsidRPr="00B27293" w:rsidRDefault="0002434F" w:rsidP="00BD366B">
                  <w:pPr>
                    <w:spacing w:line="240" w:lineRule="auto"/>
                    <w:rPr>
                      <w:bCs/>
                    </w:rPr>
                  </w:pPr>
                  <w:r w:rsidRPr="0071229A">
                    <w:rPr>
                      <w:bCs/>
                    </w:rPr>
                    <w:t>e-mail: infoservisbrno@czso.cz</w:t>
                  </w:r>
                  <w:r>
                    <w:t xml:space="preserve"> | </w:t>
                  </w:r>
                  <w:r w:rsidRPr="0071229A">
                    <w:rPr>
                      <w:b/>
                      <w:bCs/>
                    </w:rPr>
                    <w:t>www.brno.czso.cz</w:t>
                  </w:r>
                </w:p>
                <w:p w:rsidR="0002434F" w:rsidRPr="0071229A" w:rsidRDefault="0002434F" w:rsidP="00BD366B">
                  <w:pPr>
                    <w:spacing w:line="240" w:lineRule="auto"/>
                    <w:rPr>
                      <w:bCs/>
                    </w:rPr>
                  </w:pPr>
                </w:p>
                <w:p w:rsidR="0002434F" w:rsidRPr="00B27293" w:rsidRDefault="0002434F" w:rsidP="00BD366B">
                  <w:pPr>
                    <w:spacing w:line="240" w:lineRule="auto"/>
                    <w:rPr>
                      <w:b/>
                      <w:bCs/>
                    </w:rPr>
                  </w:pPr>
                  <w:r w:rsidRPr="0071229A">
                    <w:rPr>
                      <w:b/>
                      <w:bCs/>
                      <w:color w:val="0071BC"/>
                    </w:rPr>
                    <w:t>Olomouc</w:t>
                  </w:r>
                  <w:r>
                    <w:t xml:space="preserve"> | </w:t>
                  </w:r>
                  <w:r w:rsidRPr="0071229A">
                    <w:rPr>
                      <w:bCs/>
                    </w:rPr>
                    <w:t>Jeremenkova 1142/42, 772 11 Olomouc</w:t>
                  </w:r>
                  <w:r>
                    <w:t xml:space="preserve"> | </w:t>
                  </w:r>
                  <w:r w:rsidRPr="0071229A">
                    <w:rPr>
                      <w:bCs/>
                    </w:rPr>
                    <w:t>tel.: 585 731 516, 585 731 509</w:t>
                  </w:r>
                </w:p>
                <w:p w:rsidR="0002434F" w:rsidRPr="00B27293" w:rsidRDefault="0002434F" w:rsidP="00BD366B">
                  <w:pPr>
                    <w:spacing w:line="240" w:lineRule="auto"/>
                    <w:rPr>
                      <w:bCs/>
                    </w:rPr>
                  </w:pPr>
                  <w:r w:rsidRPr="0071229A">
                    <w:rPr>
                      <w:bCs/>
                    </w:rPr>
                    <w:t>e-mail: infoservisolom@czso.cz</w:t>
                  </w:r>
                  <w:r>
                    <w:t xml:space="preserve"> | </w:t>
                  </w:r>
                  <w:r w:rsidRPr="0071229A">
                    <w:rPr>
                      <w:b/>
                      <w:bCs/>
                    </w:rPr>
                    <w:t>www.olomouc.czso.cz</w:t>
                  </w:r>
                </w:p>
                <w:p w:rsidR="0002434F" w:rsidRPr="0071229A" w:rsidRDefault="0002434F" w:rsidP="00BD366B">
                  <w:pPr>
                    <w:spacing w:line="240" w:lineRule="auto"/>
                    <w:rPr>
                      <w:bCs/>
                    </w:rPr>
                  </w:pPr>
                </w:p>
                <w:p w:rsidR="0002434F" w:rsidRPr="00B27293" w:rsidRDefault="0002434F" w:rsidP="00BD366B">
                  <w:pPr>
                    <w:spacing w:line="240" w:lineRule="auto"/>
                    <w:rPr>
                      <w:b/>
                      <w:bCs/>
                    </w:rPr>
                  </w:pPr>
                  <w:r w:rsidRPr="0071229A">
                    <w:rPr>
                      <w:b/>
                      <w:bCs/>
                      <w:color w:val="0071BC"/>
                    </w:rPr>
                    <w:t>Ostrava</w:t>
                  </w:r>
                  <w:r>
                    <w:t xml:space="preserve"> | </w:t>
                  </w:r>
                  <w:r w:rsidRPr="0071229A">
                    <w:rPr>
                      <w:bCs/>
                    </w:rPr>
                    <w:t>Repinova 17, 702 03 Ostrava</w:t>
                  </w:r>
                  <w:r>
                    <w:t xml:space="preserve"> | </w:t>
                  </w:r>
                  <w:r w:rsidRPr="0071229A">
                    <w:rPr>
                      <w:bCs/>
                    </w:rPr>
                    <w:t>tel.: 595 131 230, 595 131 232</w:t>
                  </w:r>
                </w:p>
                <w:p w:rsidR="0002434F" w:rsidRPr="00B27293" w:rsidRDefault="0002434F" w:rsidP="00BD366B">
                  <w:pPr>
                    <w:spacing w:line="240" w:lineRule="auto"/>
                    <w:rPr>
                      <w:bCs/>
                    </w:rPr>
                  </w:pPr>
                  <w:r w:rsidRPr="0071229A">
                    <w:rPr>
                      <w:bCs/>
                    </w:rPr>
                    <w:t>e-mail: infoservis_ov@czso.cz</w:t>
                  </w:r>
                  <w:r>
                    <w:t xml:space="preserve"> | </w:t>
                  </w:r>
                  <w:r w:rsidRPr="0071229A">
                    <w:rPr>
                      <w:b/>
                      <w:bCs/>
                    </w:rPr>
                    <w:t>www.ostrava.czso.cz</w:t>
                  </w:r>
                </w:p>
                <w:p w:rsidR="0002434F" w:rsidRPr="0071229A" w:rsidRDefault="0002434F" w:rsidP="00BD366B">
                  <w:pPr>
                    <w:spacing w:line="240" w:lineRule="auto"/>
                    <w:rPr>
                      <w:bCs/>
                    </w:rPr>
                  </w:pPr>
                </w:p>
                <w:p w:rsidR="0002434F" w:rsidRPr="0071229A" w:rsidRDefault="0002434F" w:rsidP="00BD366B">
                  <w:pPr>
                    <w:spacing w:line="240" w:lineRule="auto"/>
                    <w:rPr>
                      <w:bCs/>
                    </w:rPr>
                  </w:pPr>
                  <w:r w:rsidRPr="0071229A">
                    <w:rPr>
                      <w:b/>
                      <w:bCs/>
                      <w:color w:val="0071BC"/>
                    </w:rPr>
                    <w:t>Zlín</w:t>
                  </w:r>
                  <w:r>
                    <w:t xml:space="preserve"> | </w:t>
                  </w:r>
                  <w:r w:rsidRPr="0071229A">
                    <w:rPr>
                      <w:bCs/>
                    </w:rPr>
                    <w:t>tř. Tomáše Bati 1565, 761 76 Zlín</w:t>
                  </w:r>
                  <w:r>
                    <w:t xml:space="preserve"> | </w:t>
                  </w:r>
                  <w:r w:rsidRPr="0071229A">
                    <w:rPr>
                      <w:bCs/>
                    </w:rPr>
                    <w:t>tel.: 577 004 931, 577 004 935</w:t>
                  </w:r>
                </w:p>
                <w:p w:rsidR="0002434F" w:rsidRPr="00B27293" w:rsidRDefault="0002434F" w:rsidP="00BD366B">
                  <w:pPr>
                    <w:spacing w:line="240" w:lineRule="auto"/>
                    <w:rPr>
                      <w:bCs/>
                    </w:rPr>
                  </w:pPr>
                  <w:r w:rsidRPr="0071229A">
                    <w:rPr>
                      <w:bCs/>
                    </w:rPr>
                    <w:t>e-mail: infoservis-zl@czso.cz</w:t>
                  </w:r>
                  <w:r>
                    <w:t xml:space="preserve"> | </w:t>
                  </w:r>
                  <w:r w:rsidRPr="0071229A">
                    <w:rPr>
                      <w:b/>
                      <w:bCs/>
                    </w:rPr>
                    <w:t>www.zlin.czso.cz</w:t>
                  </w:r>
                </w:p>
                <w:p w:rsidR="0002434F" w:rsidRPr="00B27293" w:rsidRDefault="0002434F" w:rsidP="00BD366B">
                  <w:pPr>
                    <w:spacing w:line="240" w:lineRule="auto"/>
                  </w:pPr>
                </w:p>
              </w:txbxContent>
            </v:textbox>
            <w10:wrap anchorx="page" anchory="page"/>
            <w10:anchorlock/>
          </v:shape>
        </w:pict>
      </w:r>
      <w:r w:rsidRPr="00785FCA">
        <w:rPr>
          <w:noProof/>
          <w:lang w:eastAsia="cs-CZ"/>
        </w:rPr>
        <w:pict>
          <v:shape id="_x0000_s1039" type="#_x0000_t202" style="position:absolute;margin-left:56.7pt;margin-top:56.7pt;width:481.85pt;height:33.1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" filled="f" stroked="f">
            <v:textbox style="mso-fit-shape-to-text:t" inset="0,0,0,0">
              <w:txbxContent>
                <w:p w:rsidR="0002434F" w:rsidRPr="004F4353" w:rsidRDefault="0002434F" w:rsidP="0060487F">
                  <w:pPr>
                    <w:rPr>
                      <w:b/>
                      <w:bCs/>
                      <w:sz w:val="24"/>
                    </w:rPr>
                  </w:pPr>
                  <w:r w:rsidRPr="004F4353">
                    <w:rPr>
                      <w:b/>
                      <w:color w:val="0071BC"/>
                      <w:sz w:val="24"/>
                    </w:rPr>
                    <w:t xml:space="preserve">Zajímají Vás nejnovější údaje o inflaci, HDP, obyvatelstvu, průměrných mzdách </w:t>
                  </w:r>
                  <w:r w:rsidRPr="004F4353">
                    <w:rPr>
                      <w:b/>
                      <w:color w:val="0071BC"/>
                      <w:sz w:val="24"/>
                    </w:rPr>
                    <w:br/>
                    <w:t xml:space="preserve">a mnohé další? Najdete je na stránkách ČSÚ na internetu: </w:t>
                  </w:r>
                  <w:r w:rsidRPr="004F4353">
                    <w:rPr>
                      <w:b/>
                      <w:bCs/>
                      <w:sz w:val="24"/>
                    </w:rPr>
                    <w:t>www.czso.cz</w:t>
                  </w:r>
                </w:p>
              </w:txbxContent>
            </v:textbox>
            <w10:wrap anchorx="page" anchory="page"/>
            <w10:anchorlock/>
          </v:shape>
        </w:pict>
      </w:r>
      <w:r w:rsidRPr="00785FCA">
        <w:rPr>
          <w:noProof/>
          <w:lang w:eastAsia="cs-CZ"/>
        </w:rPr>
        <w:pict>
          <v:shape id="_x0000_s1040" type="#_x0000_t202" style="position:absolute;margin-left:56.35pt;margin-top:747pt;width:481.9pt;height:28.3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EUug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" filled="f" stroked="f">
            <v:textbox inset="0,0,0,0">
              <w:txbxContent>
                <w:p w:rsidR="0002434F" w:rsidRPr="00841D9F" w:rsidRDefault="0002434F" w:rsidP="004F06F5"/>
                <w:p w:rsidR="0002434F" w:rsidRPr="00AF2852" w:rsidRDefault="0002434F" w:rsidP="004F06F5">
                  <w:r w:rsidRPr="00841D9F">
                    <w:t>© Český sta</w:t>
                  </w:r>
                  <w:r>
                    <w:t>tistický úřad, Praha, 2016</w:t>
                  </w:r>
                </w:p>
              </w:txbxContent>
            </v:textbox>
            <w10:wrap anchorx="page" anchory="page"/>
            <w10:anchorlock/>
          </v:shape>
        </w:pict>
      </w:r>
    </w:p>
    <w:p w:rsidR="00576A3E" w:rsidRDefault="00576A3E" w:rsidP="00F04811">
      <w:pPr>
        <w:pStyle w:val="Zkladnodstavec"/>
        <w:spacing w:after="240"/>
        <w:rPr>
          <w:rFonts w:ascii="Arial" w:hAnsi="Arial" w:cs="Arial"/>
          <w:b/>
          <w:color w:val="A5007B"/>
          <w:sz w:val="32"/>
          <w:szCs w:val="32"/>
        </w:rPr>
      </w:pPr>
    </w:p>
    <w:p w:rsidR="00576A3E" w:rsidRPr="0060487F" w:rsidRDefault="00576A3E">
      <w:pPr>
        <w:rPr>
          <w:rFonts w:cs="Arial"/>
          <w:b/>
          <w:color w:val="A5007B"/>
          <w:sz w:val="32"/>
          <w:szCs w:val="32"/>
        </w:rPr>
        <w:sectPr w:rsidR="00576A3E" w:rsidRPr="0060487F" w:rsidSect="00D5626D">
          <w:pgSz w:w="11906" w:h="16838" w:code="9"/>
          <w:pgMar w:top="1134" w:right="1134" w:bottom="1418" w:left="1134" w:header="709" w:footer="709" w:gutter="0"/>
          <w:cols w:space="708"/>
          <w:titlePg/>
          <w:docGrid w:linePitch="360"/>
        </w:sectPr>
      </w:pPr>
    </w:p>
    <w:p w:rsidR="00576A3E" w:rsidRPr="001C357A" w:rsidRDefault="00576A3E" w:rsidP="008C6CB8">
      <w:pPr>
        <w:pStyle w:val="Nadpis1"/>
        <w:rPr>
          <w:rFonts w:cs="Arial"/>
          <w:color w:val="808080"/>
        </w:rPr>
      </w:pPr>
      <w:bookmarkStart w:id="1" w:name="_Toc412459447"/>
      <w:bookmarkStart w:id="2" w:name="_Toc454185147"/>
      <w:r w:rsidRPr="001C357A">
        <w:lastRenderedPageBreak/>
        <w:t>Obsah</w:t>
      </w:r>
      <w:bookmarkEnd w:id="1"/>
      <w:bookmarkEnd w:id="2"/>
    </w:p>
    <w:p w:rsidR="009E6F65" w:rsidRDefault="00785FCA">
      <w:pPr>
        <w:pStyle w:val="Obsah1"/>
        <w:rPr>
          <w:rFonts w:asciiTheme="minorHAnsi" w:eastAsiaTheme="minorEastAsia" w:hAnsiTheme="minorHAnsi" w:cstheme="minorBidi"/>
          <w:b w:val="0"/>
          <w:sz w:val="22"/>
          <w:szCs w:val="22"/>
          <w:lang w:eastAsia="cs-CZ"/>
        </w:rPr>
      </w:pPr>
      <w:r w:rsidRPr="00785FCA">
        <w:fldChar w:fldCharType="begin"/>
      </w:r>
      <w:r w:rsidR="00576A3E" w:rsidRPr="00E921C7">
        <w:instrText xml:space="preserve"> TOC \o "1-3" \h \z \u </w:instrText>
      </w:r>
      <w:r w:rsidRPr="00785FCA">
        <w:fldChar w:fldCharType="separate"/>
      </w:r>
      <w:hyperlink w:anchor="_Toc454185147" w:history="1">
        <w:r w:rsidR="009E6F65" w:rsidRPr="000D19E1">
          <w:rPr>
            <w:rStyle w:val="Hypertextovodkaz"/>
          </w:rPr>
          <w:t>Obsah</w:t>
        </w:r>
        <w:r w:rsidR="009E6F65">
          <w:rPr>
            <w:rStyle w:val="Hypertextovodkaz"/>
          </w:rPr>
          <w:tab/>
        </w:r>
        <w:r w:rsidR="009E6F65">
          <w:rPr>
            <w:webHidden/>
          </w:rPr>
          <w:tab/>
        </w:r>
        <w:r>
          <w:rPr>
            <w:webHidden/>
          </w:rPr>
          <w:fldChar w:fldCharType="begin"/>
        </w:r>
        <w:r w:rsidR="009E6F65">
          <w:rPr>
            <w:webHidden/>
          </w:rPr>
          <w:instrText xml:space="preserve"> PAGEREF _Toc454185147 \h </w:instrText>
        </w:r>
        <w:r>
          <w:rPr>
            <w:webHidden/>
          </w:rPr>
        </w:r>
        <w:r>
          <w:rPr>
            <w:webHidden/>
          </w:rPr>
          <w:fldChar w:fldCharType="separate"/>
        </w:r>
        <w:r w:rsidR="009E6F65">
          <w:rPr>
            <w:webHidden/>
          </w:rPr>
          <w:t>3</w:t>
        </w:r>
        <w:r>
          <w:rPr>
            <w:webHidden/>
          </w:rPr>
          <w:fldChar w:fldCharType="end"/>
        </w:r>
      </w:hyperlink>
    </w:p>
    <w:p w:rsidR="009E6F65" w:rsidRDefault="00785FCA">
      <w:pPr>
        <w:pStyle w:val="Obsah1"/>
        <w:rPr>
          <w:rFonts w:asciiTheme="minorHAnsi" w:eastAsiaTheme="minorEastAsia" w:hAnsiTheme="minorHAnsi" w:cstheme="minorBidi"/>
          <w:b w:val="0"/>
          <w:sz w:val="22"/>
          <w:szCs w:val="22"/>
          <w:lang w:eastAsia="cs-CZ"/>
        </w:rPr>
      </w:pPr>
      <w:hyperlink w:anchor="_Toc454185148" w:history="1">
        <w:r w:rsidR="009E6F65" w:rsidRPr="000D19E1">
          <w:rPr>
            <w:rStyle w:val="Hypertextovodkaz"/>
          </w:rPr>
          <w:t>1.</w:t>
        </w:r>
        <w:r w:rsidR="009E6F65">
          <w:rPr>
            <w:rFonts w:asciiTheme="minorHAnsi" w:eastAsiaTheme="minorEastAsia" w:hAnsiTheme="minorHAnsi" w:cstheme="minorBidi"/>
            <w:b w:val="0"/>
            <w:sz w:val="22"/>
            <w:szCs w:val="22"/>
            <w:lang w:eastAsia="cs-CZ"/>
          </w:rPr>
          <w:tab/>
        </w:r>
        <w:r w:rsidR="009E6F65" w:rsidRPr="000D19E1">
          <w:rPr>
            <w:rStyle w:val="Hypertextovodkaz"/>
          </w:rPr>
          <w:t>Shrnutí</w:t>
        </w:r>
        <w:r w:rsidR="009E6F65">
          <w:rPr>
            <w:webHidden/>
          </w:rPr>
          <w:tab/>
        </w:r>
        <w:r>
          <w:rPr>
            <w:webHidden/>
          </w:rPr>
          <w:fldChar w:fldCharType="begin"/>
        </w:r>
        <w:r w:rsidR="009E6F65">
          <w:rPr>
            <w:webHidden/>
          </w:rPr>
          <w:instrText xml:space="preserve"> PAGEREF _Toc454185148 \h </w:instrText>
        </w:r>
        <w:r>
          <w:rPr>
            <w:webHidden/>
          </w:rPr>
        </w:r>
        <w:r>
          <w:rPr>
            <w:webHidden/>
          </w:rPr>
          <w:fldChar w:fldCharType="separate"/>
        </w:r>
        <w:r w:rsidR="009E6F65">
          <w:rPr>
            <w:webHidden/>
          </w:rPr>
          <w:t>4</w:t>
        </w:r>
        <w:r>
          <w:rPr>
            <w:webHidden/>
          </w:rPr>
          <w:fldChar w:fldCharType="end"/>
        </w:r>
      </w:hyperlink>
    </w:p>
    <w:p w:rsidR="009E6F65" w:rsidRDefault="00785FCA">
      <w:pPr>
        <w:pStyle w:val="Obsah1"/>
        <w:rPr>
          <w:rFonts w:asciiTheme="minorHAnsi" w:eastAsiaTheme="minorEastAsia" w:hAnsiTheme="minorHAnsi" w:cstheme="minorBidi"/>
          <w:b w:val="0"/>
          <w:sz w:val="22"/>
          <w:szCs w:val="22"/>
          <w:lang w:eastAsia="cs-CZ"/>
        </w:rPr>
      </w:pPr>
      <w:hyperlink w:anchor="_Toc454185149" w:history="1">
        <w:r w:rsidR="009E6F65" w:rsidRPr="000D19E1">
          <w:rPr>
            <w:rStyle w:val="Hypertextovodkaz"/>
          </w:rPr>
          <w:t>2.</w:t>
        </w:r>
        <w:r w:rsidR="009E6F65">
          <w:rPr>
            <w:rFonts w:asciiTheme="minorHAnsi" w:eastAsiaTheme="minorEastAsia" w:hAnsiTheme="minorHAnsi" w:cstheme="minorBidi"/>
            <w:b w:val="0"/>
            <w:sz w:val="22"/>
            <w:szCs w:val="22"/>
            <w:lang w:eastAsia="cs-CZ"/>
          </w:rPr>
          <w:tab/>
        </w:r>
        <w:r w:rsidR="009E6F65" w:rsidRPr="000D19E1">
          <w:rPr>
            <w:rStyle w:val="Hypertextovodkaz"/>
          </w:rPr>
          <w:t>Souhrnná výkonnost</w:t>
        </w:r>
        <w:r w:rsidR="009E6F65">
          <w:rPr>
            <w:webHidden/>
          </w:rPr>
          <w:tab/>
        </w:r>
        <w:r>
          <w:rPr>
            <w:webHidden/>
          </w:rPr>
          <w:fldChar w:fldCharType="begin"/>
        </w:r>
        <w:r w:rsidR="009E6F65">
          <w:rPr>
            <w:webHidden/>
          </w:rPr>
          <w:instrText xml:space="preserve"> PAGEREF _Toc454185149 \h </w:instrText>
        </w:r>
        <w:r>
          <w:rPr>
            <w:webHidden/>
          </w:rPr>
        </w:r>
        <w:r>
          <w:rPr>
            <w:webHidden/>
          </w:rPr>
          <w:fldChar w:fldCharType="separate"/>
        </w:r>
        <w:r w:rsidR="009E6F65">
          <w:rPr>
            <w:webHidden/>
          </w:rPr>
          <w:t>5</w:t>
        </w:r>
        <w:r>
          <w:rPr>
            <w:webHidden/>
          </w:rPr>
          <w:fldChar w:fldCharType="end"/>
        </w:r>
      </w:hyperlink>
    </w:p>
    <w:p w:rsidR="009E6F65" w:rsidRDefault="00785FCA">
      <w:pPr>
        <w:pStyle w:val="Obsah1"/>
        <w:rPr>
          <w:rFonts w:asciiTheme="minorHAnsi" w:eastAsiaTheme="minorEastAsia" w:hAnsiTheme="minorHAnsi" w:cstheme="minorBidi"/>
          <w:b w:val="0"/>
          <w:sz w:val="22"/>
          <w:szCs w:val="22"/>
          <w:lang w:eastAsia="cs-CZ"/>
        </w:rPr>
      </w:pPr>
      <w:hyperlink w:anchor="_Toc454185150" w:history="1">
        <w:r w:rsidR="009E6F65" w:rsidRPr="000D19E1">
          <w:rPr>
            <w:rStyle w:val="Hypertextovodkaz"/>
          </w:rPr>
          <w:t>3.</w:t>
        </w:r>
        <w:r w:rsidR="009E6F65">
          <w:rPr>
            <w:rFonts w:asciiTheme="minorHAnsi" w:eastAsiaTheme="minorEastAsia" w:hAnsiTheme="minorHAnsi" w:cstheme="minorBidi"/>
            <w:b w:val="0"/>
            <w:sz w:val="22"/>
            <w:szCs w:val="22"/>
            <w:lang w:eastAsia="cs-CZ"/>
          </w:rPr>
          <w:tab/>
        </w:r>
        <w:r w:rsidR="009E6F65" w:rsidRPr="000D19E1">
          <w:rPr>
            <w:rStyle w:val="Hypertextovodkaz"/>
          </w:rPr>
          <w:t>Výkonnost odvětví</w:t>
        </w:r>
        <w:r w:rsidR="009E6F65">
          <w:rPr>
            <w:webHidden/>
          </w:rPr>
          <w:tab/>
        </w:r>
        <w:r>
          <w:rPr>
            <w:webHidden/>
          </w:rPr>
          <w:fldChar w:fldCharType="begin"/>
        </w:r>
        <w:r w:rsidR="009E6F65">
          <w:rPr>
            <w:webHidden/>
          </w:rPr>
          <w:instrText xml:space="preserve"> PAGEREF _Toc454185150 \h </w:instrText>
        </w:r>
        <w:r>
          <w:rPr>
            <w:webHidden/>
          </w:rPr>
        </w:r>
        <w:r>
          <w:rPr>
            <w:webHidden/>
          </w:rPr>
          <w:fldChar w:fldCharType="separate"/>
        </w:r>
        <w:r w:rsidR="009E6F65">
          <w:rPr>
            <w:webHidden/>
          </w:rPr>
          <w:t>8</w:t>
        </w:r>
        <w:r>
          <w:rPr>
            <w:webHidden/>
          </w:rPr>
          <w:fldChar w:fldCharType="end"/>
        </w:r>
      </w:hyperlink>
    </w:p>
    <w:p w:rsidR="009E6F65" w:rsidRDefault="00785FCA">
      <w:pPr>
        <w:pStyle w:val="Obsah1"/>
        <w:rPr>
          <w:rFonts w:asciiTheme="minorHAnsi" w:eastAsiaTheme="minorEastAsia" w:hAnsiTheme="minorHAnsi" w:cstheme="minorBidi"/>
          <w:b w:val="0"/>
          <w:sz w:val="22"/>
          <w:szCs w:val="22"/>
          <w:lang w:eastAsia="cs-CZ"/>
        </w:rPr>
      </w:pPr>
      <w:hyperlink w:anchor="_Toc454185151" w:history="1">
        <w:r w:rsidR="009E6F65" w:rsidRPr="000D19E1">
          <w:rPr>
            <w:rStyle w:val="Hypertextovodkaz"/>
          </w:rPr>
          <w:t>4.</w:t>
        </w:r>
        <w:r w:rsidR="009E6F65">
          <w:rPr>
            <w:rFonts w:asciiTheme="minorHAnsi" w:eastAsiaTheme="minorEastAsia" w:hAnsiTheme="minorHAnsi" w:cstheme="minorBidi"/>
            <w:b w:val="0"/>
            <w:sz w:val="22"/>
            <w:szCs w:val="22"/>
            <w:lang w:eastAsia="cs-CZ"/>
          </w:rPr>
          <w:tab/>
        </w:r>
        <w:r w:rsidR="009E6F65" w:rsidRPr="000D19E1">
          <w:rPr>
            <w:rStyle w:val="Hypertextovodkaz"/>
          </w:rPr>
          <w:t>Vnější ekonomické vztahy</w:t>
        </w:r>
        <w:r w:rsidR="009E6F65">
          <w:rPr>
            <w:webHidden/>
          </w:rPr>
          <w:tab/>
        </w:r>
        <w:r>
          <w:rPr>
            <w:webHidden/>
          </w:rPr>
          <w:fldChar w:fldCharType="begin"/>
        </w:r>
        <w:r w:rsidR="009E6F65">
          <w:rPr>
            <w:webHidden/>
          </w:rPr>
          <w:instrText xml:space="preserve"> PAGEREF _Toc454185151 \h </w:instrText>
        </w:r>
        <w:r>
          <w:rPr>
            <w:webHidden/>
          </w:rPr>
        </w:r>
        <w:r>
          <w:rPr>
            <w:webHidden/>
          </w:rPr>
          <w:fldChar w:fldCharType="separate"/>
        </w:r>
        <w:r w:rsidR="009E6F65">
          <w:rPr>
            <w:webHidden/>
          </w:rPr>
          <w:t>12</w:t>
        </w:r>
        <w:r>
          <w:rPr>
            <w:webHidden/>
          </w:rPr>
          <w:fldChar w:fldCharType="end"/>
        </w:r>
      </w:hyperlink>
    </w:p>
    <w:p w:rsidR="009E6F65" w:rsidRDefault="00785FCA">
      <w:pPr>
        <w:pStyle w:val="Obsah1"/>
        <w:rPr>
          <w:rFonts w:asciiTheme="minorHAnsi" w:eastAsiaTheme="minorEastAsia" w:hAnsiTheme="minorHAnsi" w:cstheme="minorBidi"/>
          <w:b w:val="0"/>
          <w:sz w:val="22"/>
          <w:szCs w:val="22"/>
          <w:lang w:eastAsia="cs-CZ"/>
        </w:rPr>
      </w:pPr>
      <w:hyperlink w:anchor="_Toc454185152" w:history="1">
        <w:r w:rsidR="009E6F65" w:rsidRPr="000D19E1">
          <w:rPr>
            <w:rStyle w:val="Hypertextovodkaz"/>
          </w:rPr>
          <w:t>5.</w:t>
        </w:r>
        <w:r w:rsidR="009E6F65">
          <w:rPr>
            <w:rFonts w:asciiTheme="minorHAnsi" w:eastAsiaTheme="minorEastAsia" w:hAnsiTheme="minorHAnsi" w:cstheme="minorBidi"/>
            <w:b w:val="0"/>
            <w:sz w:val="22"/>
            <w:szCs w:val="22"/>
            <w:lang w:eastAsia="cs-CZ"/>
          </w:rPr>
          <w:tab/>
        </w:r>
        <w:r w:rsidR="009E6F65" w:rsidRPr="000D19E1">
          <w:rPr>
            <w:rStyle w:val="Hypertextovodkaz"/>
          </w:rPr>
          <w:t>Ceny</w:t>
        </w:r>
        <w:r w:rsidR="009E6F65">
          <w:rPr>
            <w:webHidden/>
          </w:rPr>
          <w:tab/>
        </w:r>
        <w:r>
          <w:rPr>
            <w:webHidden/>
          </w:rPr>
          <w:fldChar w:fldCharType="begin"/>
        </w:r>
        <w:r w:rsidR="009E6F65">
          <w:rPr>
            <w:webHidden/>
          </w:rPr>
          <w:instrText xml:space="preserve"> PAGEREF _Toc454185152 \h </w:instrText>
        </w:r>
        <w:r>
          <w:rPr>
            <w:webHidden/>
          </w:rPr>
        </w:r>
        <w:r>
          <w:rPr>
            <w:webHidden/>
          </w:rPr>
          <w:fldChar w:fldCharType="separate"/>
        </w:r>
        <w:r w:rsidR="009E6F65">
          <w:rPr>
            <w:webHidden/>
          </w:rPr>
          <w:t>14</w:t>
        </w:r>
        <w:r>
          <w:rPr>
            <w:webHidden/>
          </w:rPr>
          <w:fldChar w:fldCharType="end"/>
        </w:r>
      </w:hyperlink>
    </w:p>
    <w:p w:rsidR="009E6F65" w:rsidRDefault="00785FCA">
      <w:pPr>
        <w:pStyle w:val="Obsah1"/>
        <w:rPr>
          <w:rFonts w:asciiTheme="minorHAnsi" w:eastAsiaTheme="minorEastAsia" w:hAnsiTheme="minorHAnsi" w:cstheme="minorBidi"/>
          <w:b w:val="0"/>
          <w:sz w:val="22"/>
          <w:szCs w:val="22"/>
          <w:lang w:eastAsia="cs-CZ"/>
        </w:rPr>
      </w:pPr>
      <w:hyperlink w:anchor="_Toc454185153" w:history="1">
        <w:r w:rsidR="009E6F65" w:rsidRPr="000D19E1">
          <w:rPr>
            <w:rStyle w:val="Hypertextovodkaz"/>
          </w:rPr>
          <w:t>6.</w:t>
        </w:r>
        <w:r w:rsidR="009E6F65">
          <w:rPr>
            <w:rFonts w:asciiTheme="minorHAnsi" w:eastAsiaTheme="minorEastAsia" w:hAnsiTheme="minorHAnsi" w:cstheme="minorBidi"/>
            <w:b w:val="0"/>
            <w:sz w:val="22"/>
            <w:szCs w:val="22"/>
            <w:lang w:eastAsia="cs-CZ"/>
          </w:rPr>
          <w:tab/>
        </w:r>
        <w:r w:rsidR="009E6F65" w:rsidRPr="000D19E1">
          <w:rPr>
            <w:rStyle w:val="Hypertextovodkaz"/>
          </w:rPr>
          <w:t>Trh práce</w:t>
        </w:r>
        <w:r w:rsidR="009E6F65">
          <w:rPr>
            <w:webHidden/>
          </w:rPr>
          <w:tab/>
        </w:r>
        <w:r>
          <w:rPr>
            <w:webHidden/>
          </w:rPr>
          <w:fldChar w:fldCharType="begin"/>
        </w:r>
        <w:r w:rsidR="009E6F65">
          <w:rPr>
            <w:webHidden/>
          </w:rPr>
          <w:instrText xml:space="preserve"> PAGEREF _Toc454185153 \h </w:instrText>
        </w:r>
        <w:r>
          <w:rPr>
            <w:webHidden/>
          </w:rPr>
        </w:r>
        <w:r>
          <w:rPr>
            <w:webHidden/>
          </w:rPr>
          <w:fldChar w:fldCharType="separate"/>
        </w:r>
        <w:r w:rsidR="009E6F65">
          <w:rPr>
            <w:webHidden/>
          </w:rPr>
          <w:t>17</w:t>
        </w:r>
        <w:r>
          <w:rPr>
            <w:webHidden/>
          </w:rPr>
          <w:fldChar w:fldCharType="end"/>
        </w:r>
      </w:hyperlink>
    </w:p>
    <w:p w:rsidR="009E6F65" w:rsidRDefault="00785FCA">
      <w:pPr>
        <w:pStyle w:val="Obsah1"/>
        <w:rPr>
          <w:rFonts w:asciiTheme="minorHAnsi" w:eastAsiaTheme="minorEastAsia" w:hAnsiTheme="minorHAnsi" w:cstheme="minorBidi"/>
          <w:b w:val="0"/>
          <w:sz w:val="22"/>
          <w:szCs w:val="22"/>
          <w:lang w:eastAsia="cs-CZ"/>
        </w:rPr>
      </w:pPr>
      <w:hyperlink w:anchor="_Toc454185154" w:history="1">
        <w:r w:rsidR="009E6F65" w:rsidRPr="000D19E1">
          <w:rPr>
            <w:rStyle w:val="Hypertextovodkaz"/>
          </w:rPr>
          <w:t>7.</w:t>
        </w:r>
        <w:r w:rsidR="009E6F65">
          <w:rPr>
            <w:rFonts w:asciiTheme="minorHAnsi" w:eastAsiaTheme="minorEastAsia" w:hAnsiTheme="minorHAnsi" w:cstheme="minorBidi"/>
            <w:b w:val="0"/>
            <w:sz w:val="22"/>
            <w:szCs w:val="22"/>
            <w:lang w:eastAsia="cs-CZ"/>
          </w:rPr>
          <w:tab/>
        </w:r>
        <w:r w:rsidR="009E6F65" w:rsidRPr="000D19E1">
          <w:rPr>
            <w:rStyle w:val="Hypertextovodkaz"/>
          </w:rPr>
          <w:t>Měnové podmínky</w:t>
        </w:r>
        <w:r w:rsidR="009E6F65">
          <w:rPr>
            <w:webHidden/>
          </w:rPr>
          <w:tab/>
        </w:r>
        <w:r>
          <w:rPr>
            <w:webHidden/>
          </w:rPr>
          <w:fldChar w:fldCharType="begin"/>
        </w:r>
        <w:r w:rsidR="009E6F65">
          <w:rPr>
            <w:webHidden/>
          </w:rPr>
          <w:instrText xml:space="preserve"> PAGEREF _Toc454185154 \h </w:instrText>
        </w:r>
        <w:r>
          <w:rPr>
            <w:webHidden/>
          </w:rPr>
        </w:r>
        <w:r>
          <w:rPr>
            <w:webHidden/>
          </w:rPr>
          <w:fldChar w:fldCharType="separate"/>
        </w:r>
        <w:r w:rsidR="009E6F65">
          <w:rPr>
            <w:webHidden/>
          </w:rPr>
          <w:t>19</w:t>
        </w:r>
        <w:r>
          <w:rPr>
            <w:webHidden/>
          </w:rPr>
          <w:fldChar w:fldCharType="end"/>
        </w:r>
      </w:hyperlink>
    </w:p>
    <w:p w:rsidR="009E6F65" w:rsidRDefault="00785FCA">
      <w:pPr>
        <w:pStyle w:val="Obsah1"/>
        <w:rPr>
          <w:rFonts w:asciiTheme="minorHAnsi" w:eastAsiaTheme="minorEastAsia" w:hAnsiTheme="minorHAnsi" w:cstheme="minorBidi"/>
          <w:b w:val="0"/>
          <w:sz w:val="22"/>
          <w:szCs w:val="22"/>
          <w:lang w:eastAsia="cs-CZ"/>
        </w:rPr>
      </w:pPr>
      <w:hyperlink w:anchor="_Toc454185155" w:history="1">
        <w:r w:rsidR="009E6F65" w:rsidRPr="000D19E1">
          <w:rPr>
            <w:rStyle w:val="Hypertextovodkaz"/>
          </w:rPr>
          <w:t>8.</w:t>
        </w:r>
        <w:r w:rsidR="009E6F65">
          <w:rPr>
            <w:rFonts w:asciiTheme="minorHAnsi" w:eastAsiaTheme="minorEastAsia" w:hAnsiTheme="minorHAnsi" w:cstheme="minorBidi"/>
            <w:b w:val="0"/>
            <w:sz w:val="22"/>
            <w:szCs w:val="22"/>
            <w:lang w:eastAsia="cs-CZ"/>
          </w:rPr>
          <w:tab/>
        </w:r>
        <w:r w:rsidR="009E6F65" w:rsidRPr="000D19E1">
          <w:rPr>
            <w:rStyle w:val="Hypertextovodkaz"/>
          </w:rPr>
          <w:t>Státní rozpočet</w:t>
        </w:r>
        <w:r w:rsidR="009E6F65">
          <w:rPr>
            <w:webHidden/>
          </w:rPr>
          <w:tab/>
        </w:r>
        <w:r>
          <w:rPr>
            <w:webHidden/>
          </w:rPr>
          <w:fldChar w:fldCharType="begin"/>
        </w:r>
        <w:r w:rsidR="009E6F65">
          <w:rPr>
            <w:webHidden/>
          </w:rPr>
          <w:instrText xml:space="preserve"> PAGEREF _Toc454185155 \h </w:instrText>
        </w:r>
        <w:r>
          <w:rPr>
            <w:webHidden/>
          </w:rPr>
        </w:r>
        <w:r>
          <w:rPr>
            <w:webHidden/>
          </w:rPr>
          <w:fldChar w:fldCharType="separate"/>
        </w:r>
        <w:r w:rsidR="009E6F65">
          <w:rPr>
            <w:webHidden/>
          </w:rPr>
          <w:t>21</w:t>
        </w:r>
        <w:r>
          <w:rPr>
            <w:webHidden/>
          </w:rPr>
          <w:fldChar w:fldCharType="end"/>
        </w:r>
      </w:hyperlink>
    </w:p>
    <w:p w:rsidR="00576A3E" w:rsidRDefault="00785FCA" w:rsidP="00E921C7">
      <w:pPr>
        <w:pStyle w:val="Nadpis1"/>
        <w:spacing w:before="200"/>
        <w:rPr>
          <w:rFonts w:cs="Arial"/>
          <w:sz w:val="20"/>
          <w:szCs w:val="20"/>
        </w:rPr>
      </w:pPr>
      <w:r w:rsidRPr="00E921C7">
        <w:fldChar w:fldCharType="end"/>
      </w:r>
    </w:p>
    <w:p w:rsidR="00576A3E" w:rsidRPr="008E6113" w:rsidRDefault="00576A3E" w:rsidP="003406BD">
      <w:pPr>
        <w:rPr>
          <w:rFonts w:cs="Arial"/>
          <w:b/>
        </w:rPr>
      </w:pPr>
      <w:r w:rsidRPr="008E6113">
        <w:rPr>
          <w:rFonts w:cs="Arial"/>
          <w:b/>
        </w:rPr>
        <w:t>Kapitoly zpracovali:</w:t>
      </w:r>
    </w:p>
    <w:p w:rsidR="00576A3E" w:rsidRDefault="00576A3E" w:rsidP="003406BD">
      <w:pPr>
        <w:rPr>
          <w:rFonts w:cs="Arial"/>
        </w:rPr>
      </w:pPr>
    </w:p>
    <w:p w:rsidR="00576A3E" w:rsidRDefault="00576A3E" w:rsidP="003406BD">
      <w:pPr>
        <w:spacing w:after="120" w:line="276" w:lineRule="auto"/>
        <w:rPr>
          <w:rFonts w:cs="Arial"/>
        </w:rPr>
      </w:pPr>
      <w:r>
        <w:rPr>
          <w:rFonts w:cs="Arial"/>
        </w:rPr>
        <w:t>Jiří Kamenický</w:t>
      </w:r>
      <w:r>
        <w:rPr>
          <w:rFonts w:cs="Arial"/>
        </w:rPr>
        <w:tab/>
      </w:r>
      <w:r>
        <w:rPr>
          <w:rFonts w:cs="Arial"/>
        </w:rPr>
        <w:tab/>
        <w:t xml:space="preserve">Shrnutí (kap. 1), </w:t>
      </w:r>
      <w:r w:rsidRPr="00606B93">
        <w:rPr>
          <w:rFonts w:cs="Arial"/>
          <w:color w:val="000000"/>
        </w:rPr>
        <w:t>kap. 3,</w:t>
      </w:r>
      <w:r w:rsidR="00610BD5">
        <w:rPr>
          <w:rFonts w:cs="Arial"/>
        </w:rPr>
        <w:t xml:space="preserve"> kap. 6, kap. 8</w:t>
      </w:r>
    </w:p>
    <w:p w:rsidR="00576A3E" w:rsidRDefault="00576A3E" w:rsidP="003406BD">
      <w:pPr>
        <w:spacing w:after="120" w:line="276" w:lineRule="auto"/>
        <w:rPr>
          <w:rFonts w:cs="Arial"/>
        </w:rPr>
      </w:pPr>
      <w:r>
        <w:rPr>
          <w:rFonts w:cs="Arial"/>
        </w:rPr>
        <w:t>Lukáš Kučera</w:t>
      </w:r>
      <w:r>
        <w:rPr>
          <w:rFonts w:cs="Arial"/>
        </w:rPr>
        <w:tab/>
      </w:r>
      <w:r>
        <w:rPr>
          <w:rFonts w:cs="Arial"/>
        </w:rPr>
        <w:tab/>
        <w:t xml:space="preserve">Shrnutí (kap. 1), kap. 2, </w:t>
      </w:r>
      <w:r w:rsidR="00610BD5">
        <w:rPr>
          <w:rFonts w:cs="Arial"/>
        </w:rPr>
        <w:t xml:space="preserve">kap. 4, </w:t>
      </w:r>
      <w:r>
        <w:rPr>
          <w:rFonts w:cs="Arial"/>
        </w:rPr>
        <w:t>kap. 5</w:t>
      </w:r>
      <w:r w:rsidR="00793387">
        <w:rPr>
          <w:rFonts w:cs="Arial"/>
        </w:rPr>
        <w:t xml:space="preserve">, kap. </w:t>
      </w:r>
      <w:r w:rsidR="00610BD5">
        <w:rPr>
          <w:rFonts w:cs="Arial"/>
        </w:rPr>
        <w:t>7</w:t>
      </w:r>
      <w:r>
        <w:rPr>
          <w:rFonts w:cs="Arial"/>
        </w:rPr>
        <w:t xml:space="preserve">  </w:t>
      </w:r>
    </w:p>
    <w:p w:rsidR="00576A3E" w:rsidRDefault="00576A3E" w:rsidP="001E3DA4"/>
    <w:p w:rsidR="00576A3E" w:rsidRDefault="00576A3E" w:rsidP="001E3DA4">
      <w:pPr>
        <w:sectPr w:rsidR="00576A3E" w:rsidSect="00357449">
          <w:headerReference w:type="even" r:id="rId9"/>
          <w:headerReference w:type="default" r:id="rId10"/>
          <w:footerReference w:type="default" r:id="rId11"/>
          <w:pgSz w:w="11906" w:h="16838" w:code="9"/>
          <w:pgMar w:top="1134" w:right="1134" w:bottom="1418" w:left="1134" w:header="680" w:footer="680" w:gutter="0"/>
          <w:cols w:space="708"/>
          <w:docGrid w:linePitch="360"/>
        </w:sectPr>
      </w:pPr>
    </w:p>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BB0274" w:rsidRDefault="00BB0274"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960769" w:rsidRDefault="00960769" w:rsidP="00960769">
      <w:pPr>
        <w:pStyle w:val="Textpoznpodarou"/>
        <w:jc w:val="both"/>
      </w:pPr>
    </w:p>
    <w:p w:rsidR="00960769" w:rsidRDefault="00960769" w:rsidP="00960769">
      <w:pPr>
        <w:pStyle w:val="Textpoznpodarou"/>
        <w:jc w:val="both"/>
      </w:pPr>
    </w:p>
    <w:p w:rsidR="00960769" w:rsidRDefault="00960769" w:rsidP="00960769">
      <w:pPr>
        <w:pStyle w:val="Nadpis1"/>
        <w:numPr>
          <w:ilvl w:val="0"/>
          <w:numId w:val="1"/>
        </w:numPr>
      </w:pPr>
      <w:bookmarkStart w:id="3" w:name="_Toc454185148"/>
      <w:r>
        <w:lastRenderedPageBreak/>
        <w:t>Shrnutí</w:t>
      </w:r>
      <w:bookmarkEnd w:id="3"/>
    </w:p>
    <w:p w:rsidR="007A4048" w:rsidRPr="001B5888" w:rsidRDefault="007A4048" w:rsidP="007A4048">
      <w:pPr>
        <w:pStyle w:val="Textpoznpodarou"/>
        <w:numPr>
          <w:ilvl w:val="0"/>
          <w:numId w:val="2"/>
        </w:numPr>
        <w:ind w:left="425" w:hanging="357"/>
        <w:jc w:val="both"/>
        <w:rPr>
          <w:spacing w:val="-2"/>
          <w:lang w:eastAsia="ar-SA"/>
        </w:rPr>
      </w:pPr>
      <w:r w:rsidRPr="001B5888">
        <w:rPr>
          <w:spacing w:val="-2"/>
          <w:lang w:eastAsia="ar-SA"/>
        </w:rPr>
        <w:t xml:space="preserve">Ekonomika ČR navázala v 1. čtvrtletí </w:t>
      </w:r>
      <w:r w:rsidR="00CE505D">
        <w:rPr>
          <w:spacing w:val="-2"/>
          <w:lang w:eastAsia="ar-SA"/>
        </w:rPr>
        <w:t>2016</w:t>
      </w:r>
      <w:r w:rsidRPr="001B5888">
        <w:rPr>
          <w:spacing w:val="-2"/>
          <w:lang w:eastAsia="ar-SA"/>
        </w:rPr>
        <w:t xml:space="preserve"> na úspěšný vývoj vloni, když HDP</w:t>
      </w:r>
      <w:r w:rsidRPr="001B5888">
        <w:rPr>
          <w:rStyle w:val="Znakapoznpodarou"/>
          <w:spacing w:val="-2"/>
          <w:lang w:eastAsia="ar-SA"/>
        </w:rPr>
        <w:footnoteReference w:id="1"/>
      </w:r>
      <w:r w:rsidRPr="001B5888">
        <w:rPr>
          <w:spacing w:val="-2"/>
          <w:lang w:eastAsia="ar-SA"/>
        </w:rPr>
        <w:t xml:space="preserve"> i hrubá přidaná hodnota stouply v meziročním srovnání shodně o 3,0 %. Tempa růstu obou ukazatelů nicméně oslabila (z</w:t>
      </w:r>
      <w:r w:rsidR="00C16208" w:rsidRPr="001B5888">
        <w:rPr>
          <w:spacing w:val="-2"/>
          <w:lang w:eastAsia="ar-SA"/>
        </w:rPr>
        <w:t> </w:t>
      </w:r>
      <w:r w:rsidRPr="001B5888">
        <w:rPr>
          <w:spacing w:val="-2"/>
          <w:lang w:eastAsia="ar-SA"/>
        </w:rPr>
        <w:t>+4,3 % v roce 2015 u HDP a +3,7 % v případě hrubé přidané hodnoty), neboť se v nich začala projevovat vysoká srovnávací základna</w:t>
      </w:r>
      <w:r w:rsidR="00BD55A9" w:rsidRPr="001B5888">
        <w:rPr>
          <w:spacing w:val="-2"/>
          <w:lang w:eastAsia="ar-SA"/>
        </w:rPr>
        <w:t xml:space="preserve"> 1. čtvrtletí 2015</w:t>
      </w:r>
      <w:r w:rsidRPr="001B5888">
        <w:rPr>
          <w:spacing w:val="-2"/>
          <w:lang w:eastAsia="ar-SA"/>
        </w:rPr>
        <w:t xml:space="preserve"> a pokles investic sektoru vládních institucí související s</w:t>
      </w:r>
      <w:r w:rsidR="00C16208" w:rsidRPr="001B5888">
        <w:rPr>
          <w:spacing w:val="-2"/>
          <w:lang w:eastAsia="ar-SA"/>
        </w:rPr>
        <w:t> </w:t>
      </w:r>
      <w:r w:rsidRPr="001B5888">
        <w:rPr>
          <w:spacing w:val="-2"/>
          <w:lang w:eastAsia="ar-SA"/>
        </w:rPr>
        <w:t>ukončováním</w:t>
      </w:r>
      <w:r w:rsidR="00C16208" w:rsidRPr="001B5888">
        <w:rPr>
          <w:spacing w:val="-2"/>
          <w:lang w:eastAsia="ar-SA"/>
        </w:rPr>
        <w:t xml:space="preserve"> čerpání z evropských fondů v programovém</w:t>
      </w:r>
      <w:r w:rsidRPr="001B5888">
        <w:rPr>
          <w:spacing w:val="-2"/>
          <w:lang w:eastAsia="ar-SA"/>
        </w:rPr>
        <w:t xml:space="preserve"> období 2007–2013. V porovnání s vývojem HDP v </w:t>
      </w:r>
      <w:r w:rsidR="00BD55A9" w:rsidRPr="001B5888">
        <w:rPr>
          <w:spacing w:val="-2"/>
          <w:lang w:eastAsia="ar-SA"/>
        </w:rPr>
        <w:t>EU</w:t>
      </w:r>
      <w:r w:rsidRPr="001B5888">
        <w:rPr>
          <w:spacing w:val="-2"/>
          <w:lang w:eastAsia="ar-SA"/>
        </w:rPr>
        <w:t xml:space="preserve"> (+1,8</w:t>
      </w:r>
      <w:r w:rsidR="001B5888">
        <w:rPr>
          <w:spacing w:val="-2"/>
          <w:lang w:eastAsia="ar-SA"/>
        </w:rPr>
        <w:t> </w:t>
      </w:r>
      <w:r w:rsidRPr="001B5888">
        <w:rPr>
          <w:spacing w:val="-2"/>
          <w:lang w:eastAsia="ar-SA"/>
        </w:rPr>
        <w:t xml:space="preserve">%) nicméně přetrval růst tuzemské ekonomiky silnější, vyšší meziroční přírůstky si Česko připisovalo již desáté čtvrtletí v řadě. Výrazněji než ČR </w:t>
      </w:r>
      <w:r w:rsidR="00366D4D" w:rsidRPr="001B5888">
        <w:rPr>
          <w:spacing w:val="-2"/>
          <w:lang w:eastAsia="ar-SA"/>
        </w:rPr>
        <w:t>expandovalo</w:t>
      </w:r>
      <w:r w:rsidR="001B5888" w:rsidRPr="001B5888">
        <w:rPr>
          <w:spacing w:val="-2"/>
          <w:lang w:eastAsia="ar-SA"/>
        </w:rPr>
        <w:t xml:space="preserve"> z Unie</w:t>
      </w:r>
      <w:r w:rsidRPr="001B5888">
        <w:rPr>
          <w:spacing w:val="-2"/>
          <w:lang w:eastAsia="ar-SA"/>
        </w:rPr>
        <w:t xml:space="preserve"> podle dosud známých údajů pouze</w:t>
      </w:r>
      <w:r w:rsidR="009306BE" w:rsidRPr="001B5888">
        <w:rPr>
          <w:spacing w:val="-2"/>
          <w:lang w:eastAsia="ar-SA"/>
        </w:rPr>
        <w:t xml:space="preserve"> </w:t>
      </w:r>
      <w:r w:rsidR="00366D4D" w:rsidRPr="001B5888">
        <w:rPr>
          <w:spacing w:val="-2"/>
          <w:lang w:eastAsia="ar-SA"/>
        </w:rPr>
        <w:t>pět zemí</w:t>
      </w:r>
      <w:r w:rsidRPr="001B5888">
        <w:rPr>
          <w:spacing w:val="-2"/>
          <w:lang w:eastAsia="ar-SA"/>
        </w:rPr>
        <w:t>. Příznivý vývoj ekonomiky byl založený na</w:t>
      </w:r>
      <w:r w:rsidR="00C16208" w:rsidRPr="001B5888">
        <w:rPr>
          <w:spacing w:val="-2"/>
          <w:lang w:eastAsia="ar-SA"/>
        </w:rPr>
        <w:t> </w:t>
      </w:r>
      <w:r w:rsidRPr="001B5888">
        <w:rPr>
          <w:spacing w:val="-2"/>
          <w:lang w:eastAsia="ar-SA"/>
        </w:rPr>
        <w:t>zvyšující se domácí poptávce, především výdajích na</w:t>
      </w:r>
      <w:r w:rsidR="00366D4D" w:rsidRPr="001B5888">
        <w:rPr>
          <w:spacing w:val="-2"/>
          <w:lang w:eastAsia="ar-SA"/>
        </w:rPr>
        <w:t> </w:t>
      </w:r>
      <w:r w:rsidRPr="001B5888">
        <w:rPr>
          <w:spacing w:val="-2"/>
          <w:lang w:eastAsia="ar-SA"/>
        </w:rPr>
        <w:t>konečnou spotřebu domácností, již druhé čtvrtletí se v něm projevoval p</w:t>
      </w:r>
      <w:r w:rsidR="00462AD2" w:rsidRPr="001B5888">
        <w:rPr>
          <w:spacing w:val="-2"/>
          <w:lang w:eastAsia="ar-SA"/>
        </w:rPr>
        <w:t>ozitivně</w:t>
      </w:r>
      <w:r w:rsidRPr="001B5888">
        <w:rPr>
          <w:spacing w:val="-2"/>
          <w:lang w:eastAsia="ar-SA"/>
        </w:rPr>
        <w:t xml:space="preserve"> i zlepšující se výsledek </w:t>
      </w:r>
      <w:r w:rsidRPr="001B5888">
        <w:rPr>
          <w:spacing w:val="-6"/>
          <w:lang w:eastAsia="ar-SA"/>
        </w:rPr>
        <w:t>zahraničního obchodu.</w:t>
      </w:r>
      <w:r w:rsidRPr="001B5888">
        <w:rPr>
          <w:rStyle w:val="Znakapoznpodarou"/>
          <w:spacing w:val="-6"/>
          <w:lang w:eastAsia="ar-SA"/>
        </w:rPr>
        <w:footnoteReference w:id="2"/>
      </w:r>
      <w:r w:rsidRPr="001B5888">
        <w:rPr>
          <w:spacing w:val="-6"/>
          <w:lang w:eastAsia="ar-SA"/>
        </w:rPr>
        <w:t xml:space="preserve"> K růstu docházelo v nízkoinflačním prostředí a byl podporován úvěrovou</w:t>
      </w:r>
      <w:r w:rsidR="001B5888">
        <w:rPr>
          <w:spacing w:val="-2"/>
          <w:lang w:eastAsia="ar-SA"/>
        </w:rPr>
        <w:t xml:space="preserve"> dynamikou. </w:t>
      </w:r>
      <w:r w:rsidRPr="001B5888">
        <w:rPr>
          <w:spacing w:val="-2"/>
          <w:lang w:eastAsia="ar-SA"/>
        </w:rPr>
        <w:t>Projevil se</w:t>
      </w:r>
      <w:r w:rsidR="00C16208" w:rsidRPr="001B5888">
        <w:rPr>
          <w:spacing w:val="-2"/>
          <w:lang w:eastAsia="ar-SA"/>
        </w:rPr>
        <w:t> </w:t>
      </w:r>
      <w:r w:rsidRPr="001B5888">
        <w:rPr>
          <w:spacing w:val="-2"/>
          <w:lang w:eastAsia="ar-SA"/>
        </w:rPr>
        <w:t>v dalším zlepšení situace na trhu práce, vnějších ekonomických vztahů i hospodaření státu.</w:t>
      </w:r>
    </w:p>
    <w:p w:rsidR="007A4048" w:rsidRPr="00D27D34" w:rsidRDefault="007A4048" w:rsidP="007A4048">
      <w:pPr>
        <w:pStyle w:val="Textpoznpodarou"/>
        <w:ind w:left="68"/>
        <w:jc w:val="both"/>
        <w:rPr>
          <w:sz w:val="16"/>
          <w:szCs w:val="16"/>
          <w:lang w:eastAsia="ar-SA"/>
        </w:rPr>
      </w:pPr>
    </w:p>
    <w:p w:rsidR="007A4048" w:rsidRPr="002018BF" w:rsidRDefault="007A4048" w:rsidP="007A4048">
      <w:pPr>
        <w:pStyle w:val="Textpoznpodarou"/>
        <w:numPr>
          <w:ilvl w:val="0"/>
          <w:numId w:val="2"/>
        </w:numPr>
        <w:ind w:left="425" w:hanging="357"/>
        <w:jc w:val="both"/>
        <w:rPr>
          <w:lang w:eastAsia="ar-SA"/>
        </w:rPr>
      </w:pPr>
      <w:r w:rsidRPr="002018BF">
        <w:rPr>
          <w:lang w:eastAsia="ar-SA"/>
        </w:rPr>
        <w:t>Mezičtv</w:t>
      </w:r>
      <w:r>
        <w:rPr>
          <w:lang w:eastAsia="ar-SA"/>
        </w:rPr>
        <w:t>r</w:t>
      </w:r>
      <w:r w:rsidRPr="002018BF">
        <w:rPr>
          <w:lang w:eastAsia="ar-SA"/>
        </w:rPr>
        <w:t xml:space="preserve">tletní vývoj HDP a hrubé přidané hodnoty indikuje, že česká ekonomika začala zpomalovat již </w:t>
      </w:r>
      <w:r w:rsidRPr="002018BF">
        <w:rPr>
          <w:spacing w:val="-4"/>
          <w:lang w:eastAsia="ar-SA"/>
        </w:rPr>
        <w:t>ve 4. čtvrtletí vloni. Dynamika HDP poklesla na 0,4 % a stejným tempem se HDP zvýšil i v 1. čtvrtletí</w:t>
      </w:r>
      <w:r>
        <w:rPr>
          <w:lang w:eastAsia="ar-SA"/>
        </w:rPr>
        <w:t xml:space="preserve"> 2016</w:t>
      </w:r>
      <w:r w:rsidRPr="002018BF">
        <w:rPr>
          <w:lang w:eastAsia="ar-SA"/>
        </w:rPr>
        <w:t xml:space="preserve">. </w:t>
      </w:r>
      <w:r w:rsidRPr="002018BF">
        <w:rPr>
          <w:spacing w:val="-2"/>
          <w:lang w:eastAsia="ar-SA"/>
        </w:rPr>
        <w:t>Přírůstek hrubé přidané hodnoty činil 0,3 a 0,5 %. Ekonomika rostla nejpomaleji od 1. poloviny roku</w:t>
      </w:r>
      <w:r w:rsidRPr="002018BF">
        <w:rPr>
          <w:lang w:eastAsia="ar-SA"/>
        </w:rPr>
        <w:t xml:space="preserve"> 2014.</w:t>
      </w:r>
    </w:p>
    <w:p w:rsidR="007A4048" w:rsidRPr="00D27D34" w:rsidRDefault="007A4048" w:rsidP="007A4048">
      <w:pPr>
        <w:pStyle w:val="Textpoznpodarou"/>
        <w:jc w:val="both"/>
        <w:rPr>
          <w:sz w:val="16"/>
          <w:szCs w:val="16"/>
          <w:lang w:eastAsia="ar-SA"/>
        </w:rPr>
      </w:pPr>
    </w:p>
    <w:p w:rsidR="007A4048" w:rsidRPr="0021715E" w:rsidRDefault="00D27D34" w:rsidP="007A4048">
      <w:pPr>
        <w:pStyle w:val="Textpoznpodarou"/>
        <w:numPr>
          <w:ilvl w:val="0"/>
          <w:numId w:val="2"/>
        </w:numPr>
        <w:ind w:left="425" w:hanging="357"/>
        <w:jc w:val="both"/>
        <w:rPr>
          <w:lang w:eastAsia="ar-SA"/>
        </w:rPr>
      </w:pPr>
      <w:r>
        <w:rPr>
          <w:spacing w:val="-2"/>
          <w:lang w:eastAsia="ar-SA"/>
        </w:rPr>
        <w:t>Spotřeba domácností</w:t>
      </w:r>
      <w:r w:rsidR="007A4048" w:rsidRPr="00D27D34">
        <w:rPr>
          <w:spacing w:val="-2"/>
          <w:lang w:eastAsia="ar-SA"/>
        </w:rPr>
        <w:t xml:space="preserve"> narostla v 1. čtvrtletí o 3,1 % meziročně a na růstu ekonomiky se podílela 1,5 p.b. Vysokou dynamiku z loňského roku si zachovala i spotřeba vládních institucí (+2,9 %, +0,6 p.b.). Investice (tvorba hrubého fixního kapitálu) se při výrazném poklesu investic do ostatních budov a staveb a</w:t>
      </w:r>
      <w:r w:rsidR="003F3A26">
        <w:rPr>
          <w:spacing w:val="-2"/>
          <w:lang w:eastAsia="ar-SA"/>
        </w:rPr>
        <w:t> </w:t>
      </w:r>
      <w:r w:rsidR="007A4048" w:rsidRPr="00D27D34">
        <w:rPr>
          <w:spacing w:val="-2"/>
          <w:lang w:eastAsia="ar-SA"/>
        </w:rPr>
        <w:t>stagnujících investicích do ICT, ostatních strojů a zařízení a produktů duševního vlastnictví zvýšily nejméně za poslední dva roky (+0,6 %, +0,1 p.b.). Změna zásob k růstu přidala 0,2 p.b., zahraniční</w:t>
      </w:r>
      <w:r w:rsidR="008C1399" w:rsidRPr="00D27D34">
        <w:rPr>
          <w:spacing w:val="-2"/>
          <w:lang w:eastAsia="ar-SA"/>
        </w:rPr>
        <w:t xml:space="preserve"> obchod se</w:t>
      </w:r>
      <w:r w:rsidR="001500FC">
        <w:rPr>
          <w:spacing w:val="-2"/>
          <w:lang w:eastAsia="ar-SA"/>
        </w:rPr>
        <w:t xml:space="preserve"> na</w:t>
      </w:r>
      <w:r w:rsidR="008C1399" w:rsidRPr="00D27D34">
        <w:rPr>
          <w:spacing w:val="-2"/>
          <w:lang w:eastAsia="ar-SA"/>
        </w:rPr>
        <w:t xml:space="preserve"> něm podílel 0,7 p.b.</w:t>
      </w:r>
      <w:r>
        <w:rPr>
          <w:spacing w:val="-2"/>
          <w:lang w:eastAsia="ar-SA"/>
        </w:rPr>
        <w:t xml:space="preserve"> </w:t>
      </w:r>
      <w:r w:rsidR="007A4048" w:rsidRPr="0021715E">
        <w:rPr>
          <w:lang w:eastAsia="ar-SA"/>
        </w:rPr>
        <w:t>Na</w:t>
      </w:r>
      <w:r>
        <w:rPr>
          <w:lang w:eastAsia="ar-SA"/>
        </w:rPr>
        <w:t> </w:t>
      </w:r>
      <w:r w:rsidR="007A4048" w:rsidRPr="0021715E">
        <w:rPr>
          <w:lang w:eastAsia="ar-SA"/>
        </w:rPr>
        <w:t>straně nabídky se v růstu ekonomiky</w:t>
      </w:r>
      <w:r w:rsidR="007A4048">
        <w:rPr>
          <w:lang w:eastAsia="ar-SA"/>
        </w:rPr>
        <w:t xml:space="preserve"> proti 1. čtvrtletí 2015</w:t>
      </w:r>
      <w:r w:rsidR="007A4048" w:rsidRPr="0021715E">
        <w:rPr>
          <w:lang w:eastAsia="ar-SA"/>
        </w:rPr>
        <w:t xml:space="preserve"> nadále projevovala zejména velmi dobrá kondice zpracovatelského průmyslu (+6,4 %, +1,7 p.b.). Dařilo se i</w:t>
      </w:r>
      <w:r w:rsidR="003F3A26">
        <w:rPr>
          <w:lang w:eastAsia="ar-SA"/>
        </w:rPr>
        <w:t> </w:t>
      </w:r>
      <w:r w:rsidR="007A4048">
        <w:rPr>
          <w:lang w:eastAsia="ar-SA"/>
        </w:rPr>
        <w:t>službám, které přidaly</w:t>
      </w:r>
      <w:r w:rsidR="007A4048" w:rsidRPr="0021715E">
        <w:rPr>
          <w:lang w:eastAsia="ar-SA"/>
        </w:rPr>
        <w:t xml:space="preserve"> 1,4 p.b. Stavebnictví se na růstu již nepodílelo, nepřispěl k němu ale ani soubor odvětví zahrnující agrární sektor spolu s lesnictvím a rybářstvím. Pokles produkce odvětví energetiky se odrazil v </w:t>
      </w:r>
      <w:r w:rsidR="007A4048">
        <w:rPr>
          <w:lang w:eastAsia="ar-SA"/>
        </w:rPr>
        <w:t>nižší hrubé přidané hodnotě</w:t>
      </w:r>
      <w:r w:rsidR="007A4048" w:rsidRPr="0021715E">
        <w:rPr>
          <w:lang w:eastAsia="ar-SA"/>
        </w:rPr>
        <w:t xml:space="preserve"> </w:t>
      </w:r>
      <w:r w:rsidR="007A4048">
        <w:rPr>
          <w:lang w:eastAsia="ar-SA"/>
        </w:rPr>
        <w:t>nezpracovatelských</w:t>
      </w:r>
      <w:r w:rsidR="007A4048" w:rsidRPr="0021715E">
        <w:rPr>
          <w:lang w:eastAsia="ar-SA"/>
        </w:rPr>
        <w:t xml:space="preserve"> průmyslových odvětví (-0,1 p.b.).</w:t>
      </w:r>
    </w:p>
    <w:p w:rsidR="007A4048" w:rsidRPr="00D27D34" w:rsidRDefault="007A4048" w:rsidP="007A4048">
      <w:pPr>
        <w:pStyle w:val="Odstavecseseznamem"/>
        <w:ind w:left="0"/>
        <w:rPr>
          <w:sz w:val="16"/>
          <w:szCs w:val="16"/>
          <w:lang w:eastAsia="ar-SA"/>
        </w:rPr>
      </w:pPr>
    </w:p>
    <w:p w:rsidR="007A4048" w:rsidRPr="002018BF" w:rsidRDefault="007A4048" w:rsidP="007A4048">
      <w:pPr>
        <w:pStyle w:val="Textpoznpodarou"/>
        <w:numPr>
          <w:ilvl w:val="0"/>
          <w:numId w:val="2"/>
        </w:numPr>
        <w:ind w:left="425" w:hanging="357"/>
        <w:jc w:val="both"/>
        <w:rPr>
          <w:lang w:eastAsia="ar-SA"/>
        </w:rPr>
      </w:pPr>
      <w:r w:rsidRPr="002B71B4">
        <w:rPr>
          <w:spacing w:val="-2"/>
          <w:lang w:eastAsia="ar-SA"/>
        </w:rPr>
        <w:t>Přebytek běžného účtu platební bilance se</w:t>
      </w:r>
      <w:r w:rsidR="002B71B4" w:rsidRPr="002B71B4">
        <w:rPr>
          <w:spacing w:val="-2"/>
          <w:lang w:eastAsia="ar-SA"/>
        </w:rPr>
        <w:t xml:space="preserve"> v</w:t>
      </w:r>
      <w:r w:rsidRPr="002B71B4">
        <w:rPr>
          <w:spacing w:val="-2"/>
          <w:lang w:eastAsia="ar-SA"/>
        </w:rPr>
        <w:t xml:space="preserve"> 1. čtvr</w:t>
      </w:r>
      <w:r w:rsidR="00A47C94" w:rsidRPr="002B71B4">
        <w:rPr>
          <w:spacing w:val="-2"/>
          <w:lang w:eastAsia="ar-SA"/>
        </w:rPr>
        <w:t>tletí 2016 zvýšil meziročně o 21,9</w:t>
      </w:r>
      <w:r w:rsidRPr="002B71B4">
        <w:rPr>
          <w:spacing w:val="-2"/>
          <w:lang w:eastAsia="ar-SA"/>
        </w:rPr>
        <w:t xml:space="preserve"> mld. korun a</w:t>
      </w:r>
      <w:r w:rsidRPr="002018BF">
        <w:rPr>
          <w:lang w:eastAsia="ar-SA"/>
        </w:rPr>
        <w:t xml:space="preserve"> poprvé v </w:t>
      </w:r>
      <w:r w:rsidRPr="002018BF">
        <w:rPr>
          <w:spacing w:val="-4"/>
          <w:lang w:eastAsia="ar-SA"/>
        </w:rPr>
        <w:t>historii přesáhl hranici 100 miliard. Ve směru jeho zlepšení působil slabší odliv důchodů z přímých</w:t>
      </w:r>
      <w:r w:rsidRPr="002018BF">
        <w:rPr>
          <w:lang w:eastAsia="ar-SA"/>
        </w:rPr>
        <w:t xml:space="preserve"> investic a vyšší přebytek </w:t>
      </w:r>
      <w:r w:rsidR="0092500F">
        <w:rPr>
          <w:lang w:eastAsia="ar-SA"/>
        </w:rPr>
        <w:t>výkonové</w:t>
      </w:r>
      <w:r w:rsidRPr="002018BF">
        <w:rPr>
          <w:lang w:eastAsia="ar-SA"/>
        </w:rPr>
        <w:t xml:space="preserve"> bilance. Přetrval vysoký zájem zahraničních investorů o tuzemské </w:t>
      </w:r>
      <w:r w:rsidR="00E263A8">
        <w:rPr>
          <w:lang w:eastAsia="ar-SA"/>
        </w:rPr>
        <w:t>vládní</w:t>
      </w:r>
      <w:r w:rsidRPr="002018BF">
        <w:rPr>
          <w:lang w:eastAsia="ar-SA"/>
        </w:rPr>
        <w:t xml:space="preserve"> dluhopisy, během prvních tří měsíců jich v očekávání budoucího posílení koruny nakoupili za 81,4 mld.</w:t>
      </w:r>
    </w:p>
    <w:p w:rsidR="007A4048" w:rsidRPr="00D27D34" w:rsidRDefault="007A4048" w:rsidP="007A4048">
      <w:pPr>
        <w:pStyle w:val="Odstavecseseznamem"/>
        <w:ind w:left="0"/>
        <w:rPr>
          <w:sz w:val="16"/>
          <w:szCs w:val="16"/>
          <w:lang w:eastAsia="ar-SA"/>
        </w:rPr>
      </w:pPr>
    </w:p>
    <w:p w:rsidR="007A4048" w:rsidRPr="002018BF" w:rsidRDefault="007A4048" w:rsidP="007A4048">
      <w:pPr>
        <w:pStyle w:val="Textpoznpodarou"/>
        <w:numPr>
          <w:ilvl w:val="0"/>
          <w:numId w:val="2"/>
        </w:numPr>
        <w:ind w:left="425" w:hanging="357"/>
        <w:jc w:val="both"/>
        <w:rPr>
          <w:spacing w:val="-2"/>
          <w:lang w:eastAsia="ar-SA"/>
        </w:rPr>
      </w:pPr>
      <w:r w:rsidRPr="002018BF">
        <w:rPr>
          <w:spacing w:val="-2"/>
          <w:lang w:eastAsia="ar-SA"/>
        </w:rPr>
        <w:t>Celková cenová hladina narostla v 1. čtvrtletí podle implicitního deflátoru HDP o 1,1 % meziročně, především díky kladným směnným relacím. Růst spotřebitelských cen zůstal slabý (+0,5 %). Deflační vývoj v průmyslu se prohloubil, do poklesu se vrátily ceny zemědělských výrobců a mírná deflace byla třet</w:t>
      </w:r>
      <w:r w:rsidR="004D458D">
        <w:rPr>
          <w:spacing w:val="-2"/>
          <w:lang w:eastAsia="ar-SA"/>
        </w:rPr>
        <w:t>í čtvrtletí v řadě</w:t>
      </w:r>
      <w:r w:rsidRPr="002018BF">
        <w:rPr>
          <w:spacing w:val="-2"/>
          <w:lang w:eastAsia="ar-SA"/>
        </w:rPr>
        <w:t xml:space="preserve"> patrná i v tržních službách. Realizované ceny starších bytů v Praze narostly v </w:t>
      </w:r>
      <w:r>
        <w:rPr>
          <w:spacing w:val="-2"/>
          <w:lang w:eastAsia="ar-SA"/>
        </w:rPr>
        <w:t>prostředí</w:t>
      </w:r>
      <w:r w:rsidRPr="002018BF">
        <w:rPr>
          <w:spacing w:val="-2"/>
          <w:lang w:eastAsia="ar-SA"/>
        </w:rPr>
        <w:t xml:space="preserve"> rekordně nízkých úrokov</w:t>
      </w:r>
      <w:r w:rsidR="006B7248">
        <w:rPr>
          <w:spacing w:val="-2"/>
          <w:lang w:eastAsia="ar-SA"/>
        </w:rPr>
        <w:t>ých sazeb z úvěrů na bydlení o 5,7</w:t>
      </w:r>
      <w:r w:rsidRPr="002018BF">
        <w:rPr>
          <w:spacing w:val="-2"/>
          <w:lang w:eastAsia="ar-SA"/>
        </w:rPr>
        <w:t xml:space="preserve"> %, v ostatních regionech</w:t>
      </w:r>
      <w:r>
        <w:rPr>
          <w:spacing w:val="-2"/>
          <w:lang w:eastAsia="ar-SA"/>
        </w:rPr>
        <w:t xml:space="preserve"> dokonce</w:t>
      </w:r>
      <w:r w:rsidR="006B7248">
        <w:rPr>
          <w:spacing w:val="-2"/>
          <w:lang w:eastAsia="ar-SA"/>
        </w:rPr>
        <w:t xml:space="preserve"> o 9,3</w:t>
      </w:r>
      <w:r w:rsidRPr="002018BF">
        <w:rPr>
          <w:spacing w:val="-2"/>
          <w:lang w:eastAsia="ar-SA"/>
        </w:rPr>
        <w:t xml:space="preserve"> %.</w:t>
      </w:r>
    </w:p>
    <w:p w:rsidR="007A4048" w:rsidRPr="00D27D34" w:rsidRDefault="007A4048" w:rsidP="00D27D34">
      <w:pPr>
        <w:pStyle w:val="Textpoznpodarou"/>
        <w:jc w:val="both"/>
        <w:rPr>
          <w:color w:val="000000" w:themeColor="text1"/>
          <w:spacing w:val="-2"/>
          <w:sz w:val="16"/>
          <w:szCs w:val="16"/>
          <w:lang w:eastAsia="ar-SA"/>
        </w:rPr>
      </w:pPr>
    </w:p>
    <w:p w:rsidR="00D27D34" w:rsidRPr="002C1635" w:rsidRDefault="00D27D34" w:rsidP="00D27D34">
      <w:pPr>
        <w:pStyle w:val="Textpoznpodarou"/>
        <w:numPr>
          <w:ilvl w:val="0"/>
          <w:numId w:val="2"/>
        </w:numPr>
        <w:ind w:left="425" w:hanging="357"/>
        <w:jc w:val="both"/>
        <w:rPr>
          <w:color w:val="000000" w:themeColor="text1"/>
          <w:spacing w:val="-4"/>
          <w:lang w:eastAsia="ar-SA"/>
        </w:rPr>
      </w:pPr>
      <w:r w:rsidRPr="002C1635">
        <w:rPr>
          <w:color w:val="000000" w:themeColor="text1"/>
          <w:spacing w:val="-4"/>
          <w:lang w:eastAsia="ar-SA"/>
        </w:rPr>
        <w:t xml:space="preserve">Trh práce profitoval z pokračujícího svižného růstu ekonomiky. Celková zaměstnanost v pojetí národních účtů (5,26 mil. osob) i její mezičtvrtletní růst (o 1,5 %) </w:t>
      </w:r>
      <w:r>
        <w:rPr>
          <w:color w:val="000000" w:themeColor="text1"/>
          <w:spacing w:val="-4"/>
          <w:lang w:eastAsia="ar-SA"/>
        </w:rPr>
        <w:t>byly nejvyšší v</w:t>
      </w:r>
      <w:r w:rsidRPr="002C1635">
        <w:rPr>
          <w:color w:val="000000" w:themeColor="text1"/>
          <w:spacing w:val="-4"/>
          <w:lang w:eastAsia="ar-SA"/>
        </w:rPr>
        <w:t xml:space="preserve"> historii samostatné ČR. Úřady práce nabízely na konci března 117 tis. volných míst, nejvíce od října 2008. Přetrvával územní i kvalifikační nesoulad mezi nabídkou volných pozic a strukturou uchazečů o práci. </w:t>
      </w:r>
      <w:r w:rsidRPr="00242730">
        <w:rPr>
          <w:color w:val="000000" w:themeColor="text1"/>
          <w:spacing w:val="-2"/>
          <w:lang w:eastAsia="ar-SA"/>
        </w:rPr>
        <w:t>Obecná míra nezaměstnanosti se snižovala až na nejnižší h</w:t>
      </w:r>
      <w:r w:rsidR="00242730" w:rsidRPr="00242730">
        <w:rPr>
          <w:color w:val="000000" w:themeColor="text1"/>
          <w:spacing w:val="-2"/>
          <w:lang w:eastAsia="ar-SA"/>
        </w:rPr>
        <w:t>odnotu v rámci států EU (4,1 %</w:t>
      </w:r>
      <w:r w:rsidRPr="00242730">
        <w:rPr>
          <w:color w:val="000000" w:themeColor="text1"/>
          <w:spacing w:val="-2"/>
          <w:lang w:eastAsia="ar-SA"/>
        </w:rPr>
        <w:t xml:space="preserve"> v březnu). Meziroční růst průměrných mezd zrychlil</w:t>
      </w:r>
      <w:r w:rsidR="00242730" w:rsidRPr="00242730">
        <w:rPr>
          <w:color w:val="000000" w:themeColor="text1"/>
          <w:spacing w:val="-2"/>
          <w:lang w:eastAsia="ar-SA"/>
        </w:rPr>
        <w:t xml:space="preserve"> na 4,4 %</w:t>
      </w:r>
      <w:r w:rsidRPr="00242730">
        <w:rPr>
          <w:color w:val="000000" w:themeColor="text1"/>
          <w:spacing w:val="-2"/>
          <w:lang w:eastAsia="ar-SA"/>
        </w:rPr>
        <w:t>, medián mezd se zvýšil o 6,5 %, nejvíce od roku 2008. Polepšili si hlavně zaměstnanci v odvětvích s nízkou úrovní mezd. Meziodvětvové i meziregionální mzdové diference se snížily.</w:t>
      </w:r>
      <w:r w:rsidRPr="002C1635">
        <w:rPr>
          <w:color w:val="000000" w:themeColor="text1"/>
          <w:spacing w:val="-4"/>
          <w:lang w:eastAsia="ar-SA"/>
        </w:rPr>
        <w:t xml:space="preserve"> </w:t>
      </w:r>
    </w:p>
    <w:p w:rsidR="007A4048" w:rsidRPr="00D27D34" w:rsidRDefault="007A4048" w:rsidP="007A4048">
      <w:pPr>
        <w:pStyle w:val="Odstavecseseznamem"/>
        <w:ind w:left="0"/>
        <w:rPr>
          <w:color w:val="000000" w:themeColor="text1"/>
          <w:spacing w:val="-2"/>
          <w:sz w:val="14"/>
          <w:szCs w:val="14"/>
          <w:lang w:eastAsia="ar-SA"/>
        </w:rPr>
      </w:pPr>
    </w:p>
    <w:p w:rsidR="00D27D34" w:rsidRDefault="007A4048" w:rsidP="00D27D34">
      <w:pPr>
        <w:pStyle w:val="Textpoznpodarou"/>
        <w:numPr>
          <w:ilvl w:val="0"/>
          <w:numId w:val="2"/>
        </w:numPr>
        <w:ind w:left="425" w:hanging="357"/>
        <w:jc w:val="both"/>
        <w:rPr>
          <w:spacing w:val="-2"/>
          <w:lang w:eastAsia="ar-SA"/>
        </w:rPr>
      </w:pPr>
      <w:r w:rsidRPr="002018BF">
        <w:rPr>
          <w:spacing w:val="-2"/>
          <w:lang w:eastAsia="ar-SA"/>
        </w:rPr>
        <w:t xml:space="preserve">Měnové podmínky zůstaly uvolněné a projevovaly se v rychlém růstu harmonizovaného měnového agregátu M3 (v březnu o 9,4 % meziročně). Objem jednodenních vkladů se zvýšil o 303 mld. korun a oběživa o 38 mld., </w:t>
      </w:r>
      <w:r>
        <w:rPr>
          <w:spacing w:val="-2"/>
          <w:lang w:eastAsia="ar-SA"/>
        </w:rPr>
        <w:t xml:space="preserve">avšak úhrn </w:t>
      </w:r>
      <w:r w:rsidRPr="002018BF">
        <w:rPr>
          <w:spacing w:val="-2"/>
          <w:lang w:eastAsia="ar-SA"/>
        </w:rPr>
        <w:t xml:space="preserve">méně likvidních peněz </w:t>
      </w:r>
      <w:r>
        <w:rPr>
          <w:spacing w:val="-2"/>
          <w:lang w:eastAsia="ar-SA"/>
        </w:rPr>
        <w:t>poklesl proti březnu 2015 o</w:t>
      </w:r>
      <w:r w:rsidRPr="002018BF">
        <w:rPr>
          <w:spacing w:val="-2"/>
          <w:lang w:eastAsia="ar-SA"/>
        </w:rPr>
        <w:t xml:space="preserve"> 26 mld. Dynamika úvěrů domácnostem zůstala na úrovni 4. </w:t>
      </w:r>
      <w:r>
        <w:rPr>
          <w:spacing w:val="-2"/>
          <w:lang w:eastAsia="ar-SA"/>
        </w:rPr>
        <w:t>č</w:t>
      </w:r>
      <w:r w:rsidRPr="002018BF">
        <w:rPr>
          <w:spacing w:val="-2"/>
          <w:lang w:eastAsia="ar-SA"/>
        </w:rPr>
        <w:t>tvrtletí</w:t>
      </w:r>
      <w:r>
        <w:rPr>
          <w:spacing w:val="-2"/>
          <w:lang w:eastAsia="ar-SA"/>
        </w:rPr>
        <w:t xml:space="preserve"> předchozího roku</w:t>
      </w:r>
      <w:r w:rsidRPr="002018BF">
        <w:rPr>
          <w:spacing w:val="-2"/>
          <w:lang w:eastAsia="ar-SA"/>
        </w:rPr>
        <w:t xml:space="preserve"> (rostly více než 7% meziročním tempem), stejně tak samotných úvěrů na bydlení. Úvěry nefinančním podnikům</w:t>
      </w:r>
      <w:r>
        <w:rPr>
          <w:spacing w:val="-2"/>
          <w:lang w:eastAsia="ar-SA"/>
        </w:rPr>
        <w:t xml:space="preserve"> mírně</w:t>
      </w:r>
      <w:r w:rsidRPr="002018BF">
        <w:rPr>
          <w:spacing w:val="-2"/>
          <w:lang w:eastAsia="ar-SA"/>
        </w:rPr>
        <w:t xml:space="preserve"> zpomalily, proti průměrnému růstu za</w:t>
      </w:r>
      <w:r>
        <w:rPr>
          <w:spacing w:val="-2"/>
          <w:lang w:eastAsia="ar-SA"/>
        </w:rPr>
        <w:t> </w:t>
      </w:r>
      <w:r w:rsidRPr="002018BF">
        <w:rPr>
          <w:spacing w:val="-2"/>
          <w:lang w:eastAsia="ar-SA"/>
        </w:rPr>
        <w:t>celý rok 2015 byla jejich dynamika ale silnější.</w:t>
      </w:r>
    </w:p>
    <w:p w:rsidR="00D27D34" w:rsidRPr="00D27D34" w:rsidRDefault="00D27D34" w:rsidP="00D27D34">
      <w:pPr>
        <w:pStyle w:val="Textpoznpodarou"/>
        <w:jc w:val="both"/>
        <w:rPr>
          <w:spacing w:val="-2"/>
          <w:sz w:val="14"/>
          <w:szCs w:val="14"/>
          <w:lang w:eastAsia="ar-SA"/>
        </w:rPr>
      </w:pPr>
    </w:p>
    <w:p w:rsidR="00D27D34" w:rsidRDefault="00D27D34" w:rsidP="00D27D34">
      <w:pPr>
        <w:pStyle w:val="Textpoznpodarou"/>
        <w:numPr>
          <w:ilvl w:val="0"/>
          <w:numId w:val="2"/>
        </w:numPr>
        <w:ind w:left="425" w:hanging="357"/>
        <w:jc w:val="both"/>
      </w:pPr>
      <w:r>
        <w:t>Státní rozpočet skončil za první tři měsíce rekordním přebytkem (43,6 mld. korun). Při slabém růstu běžných i kapitálových výdajů reflek</w:t>
      </w:r>
      <w:r w:rsidR="001F2CC6">
        <w:t>t</w:t>
      </w:r>
      <w:r>
        <w:t>oval především zvýše</w:t>
      </w:r>
      <w:r w:rsidR="00242730">
        <w:t>ní</w:t>
      </w:r>
      <w:r>
        <w:t xml:space="preserve"> daňových příjmů</w:t>
      </w:r>
      <w:r w:rsidR="00242730">
        <w:t xml:space="preserve"> vč. pojistného</w:t>
      </w:r>
      <w:r>
        <w:t xml:space="preserve"> (+6,3 %), jakož i</w:t>
      </w:r>
      <w:r w:rsidRPr="002018BF">
        <w:rPr>
          <w:lang w:eastAsia="ar-SA"/>
        </w:rPr>
        <w:t> </w:t>
      </w:r>
      <w:r>
        <w:t xml:space="preserve">doznívající efekt přílivu transferů z EU (vázaných na předchozí </w:t>
      </w:r>
      <w:r w:rsidR="001F2CC6">
        <w:t>programové</w:t>
      </w:r>
      <w:r>
        <w:t xml:space="preserve"> období).</w:t>
      </w:r>
    </w:p>
    <w:p w:rsidR="00D27D34" w:rsidRPr="00D27D34" w:rsidRDefault="00D27D34" w:rsidP="00D27D34">
      <w:pPr>
        <w:pStyle w:val="Textpoznpodarou"/>
        <w:jc w:val="both"/>
        <w:rPr>
          <w:sz w:val="2"/>
          <w:szCs w:val="2"/>
        </w:rPr>
      </w:pPr>
    </w:p>
    <w:p w:rsidR="00960769" w:rsidRPr="00F4591F" w:rsidRDefault="00CD7E35" w:rsidP="00960769">
      <w:pPr>
        <w:pStyle w:val="Nadpis1"/>
        <w:numPr>
          <w:ilvl w:val="0"/>
          <w:numId w:val="3"/>
        </w:numPr>
        <w:jc w:val="both"/>
      </w:pPr>
      <w:bookmarkStart w:id="4" w:name="_Toc454185149"/>
      <w:r>
        <w:lastRenderedPageBreak/>
        <w:t>Souhrnná výkonnost</w:t>
      </w:r>
      <w:bookmarkEnd w:id="4"/>
    </w:p>
    <w:tbl>
      <w:tblPr>
        <w:tblW w:w="5000" w:type="pct"/>
        <w:tblLayout w:type="fixed"/>
        <w:tblLook w:val="00A0"/>
      </w:tblPr>
      <w:tblGrid>
        <w:gridCol w:w="2077"/>
        <w:gridCol w:w="282"/>
        <w:gridCol w:w="7495"/>
      </w:tblGrid>
      <w:tr w:rsidR="007A4048" w:rsidRPr="002A7D6D" w:rsidTr="0002434F">
        <w:tc>
          <w:tcPr>
            <w:tcW w:w="1054" w:type="pct"/>
          </w:tcPr>
          <w:p w:rsidR="007A4048" w:rsidRPr="005E01FF" w:rsidRDefault="007A4048" w:rsidP="003C66C4">
            <w:pPr>
              <w:spacing w:line="240" w:lineRule="auto"/>
              <w:rPr>
                <w:sz w:val="16"/>
                <w:szCs w:val="16"/>
              </w:rPr>
            </w:pPr>
            <w:r w:rsidRPr="005E01FF">
              <w:rPr>
                <w:sz w:val="16"/>
                <w:szCs w:val="16"/>
              </w:rPr>
              <w:t>Růst ekonomiky České republiky přetrval i v 1. čtvrtletí 2016, nebyl ale již tak silný jako vloni. HDP a hrubá přidaná hodnota stouply</w:t>
            </w:r>
            <w:r w:rsidR="003C66C4">
              <w:rPr>
                <w:sz w:val="16"/>
                <w:szCs w:val="16"/>
              </w:rPr>
              <w:t xml:space="preserve"> v meziročním srovnání shodně o</w:t>
            </w:r>
            <w:r w:rsidRPr="005E01FF">
              <w:rPr>
                <w:sz w:val="16"/>
                <w:szCs w:val="16"/>
              </w:rPr>
              <w:t> 3</w:t>
            </w:r>
            <w:r w:rsidR="003C66C4">
              <w:rPr>
                <w:sz w:val="16"/>
                <w:szCs w:val="16"/>
              </w:rPr>
              <w:t>,0</w:t>
            </w:r>
            <w:r w:rsidRPr="005E01FF">
              <w:rPr>
                <w:sz w:val="16"/>
                <w:szCs w:val="16"/>
              </w:rPr>
              <w:t xml:space="preserve"> %, …</w:t>
            </w:r>
          </w:p>
        </w:tc>
        <w:tc>
          <w:tcPr>
            <w:tcW w:w="143" w:type="pct"/>
          </w:tcPr>
          <w:p w:rsidR="007A4048" w:rsidRPr="005E01FF" w:rsidRDefault="007A4048" w:rsidP="0002434F">
            <w:pPr>
              <w:pStyle w:val="Textpoznpodarou"/>
              <w:jc w:val="both"/>
            </w:pPr>
          </w:p>
        </w:tc>
        <w:tc>
          <w:tcPr>
            <w:tcW w:w="3803" w:type="pct"/>
          </w:tcPr>
          <w:p w:rsidR="007A4048" w:rsidRPr="00D72897" w:rsidRDefault="007A4048" w:rsidP="0002434F">
            <w:pPr>
              <w:pStyle w:val="Textpoznpodarou"/>
              <w:jc w:val="both"/>
            </w:pPr>
            <w:r w:rsidRPr="00D72897">
              <w:t>Relativně silný růst české ekonomiky pokračoval i na počátku roku 2016, meziroční i mezičtvrtletní tempa růstu hrubého domácího produktu (HDP)</w:t>
            </w:r>
            <w:r w:rsidRPr="00D72897">
              <w:rPr>
                <w:rStyle w:val="Znakapoznpodarou"/>
              </w:rPr>
              <w:footnoteReference w:id="3"/>
            </w:r>
            <w:r w:rsidRPr="00D72897">
              <w:t xml:space="preserve"> a hrubé přidané hodnoty</w:t>
            </w:r>
            <w:r w:rsidR="005359E3">
              <w:t xml:space="preserve"> (HPH)</w:t>
            </w:r>
            <w:r w:rsidRPr="00D72897">
              <w:t xml:space="preserve"> v posledních dvou čtvrtletích nicméně indikují, že ekonomika začala zpomalovat. V úhrnu za celý loňský rok, který byl do značné míry mimořádný (výrazný pokles cen ropy na světovém trhu, dočerpávání peněz z evropských fondů), se HDP zvýšil v meziročním srovnání o 4,3 %. V samotném 4. čtvrtletí byl jeho přírůstek ale již mírně podprůměrný (snížil se na 4</w:t>
            </w:r>
            <w:r w:rsidR="003C66C4">
              <w:t>,0</w:t>
            </w:r>
            <w:r w:rsidRPr="00D72897">
              <w:t xml:space="preserve"> %) a</w:t>
            </w:r>
            <w:r w:rsidR="00D72897">
              <w:t> </w:t>
            </w:r>
            <w:r w:rsidRPr="00D72897">
              <w:t>v 1. čtvrtletí 2016 poklesl dále o 1 p.b. na 3% úroveň. Ochlazení ekonomiky, pokud jde o komparaci meziročních temp růstu proti silnému roku 2015, signalizuje i vývoj hrubé přidané hodnoty – zatímco v úhrnu za celý rok 2015 stoupla hrubá přidaná hodnota o 3,7 % a v posledním čtvrtletí o</w:t>
            </w:r>
            <w:r w:rsidR="00D0061E" w:rsidRPr="00D72897">
              <w:t> </w:t>
            </w:r>
            <w:r w:rsidRPr="00D72897">
              <w:t>3,6</w:t>
            </w:r>
            <w:r w:rsidR="00D0061E" w:rsidRPr="00D72897">
              <w:t> </w:t>
            </w:r>
            <w:r w:rsidRPr="00D72897">
              <w:t xml:space="preserve">%, do nového </w:t>
            </w:r>
            <w:r w:rsidRPr="003C66C4">
              <w:rPr>
                <w:spacing w:val="-2"/>
              </w:rPr>
              <w:t>roku vstoupila ekonomika s přírůstkem dosahujícím 3</w:t>
            </w:r>
            <w:r w:rsidR="003C66C4" w:rsidRPr="003C66C4">
              <w:rPr>
                <w:spacing w:val="-2"/>
              </w:rPr>
              <w:t>,0</w:t>
            </w:r>
            <w:r w:rsidRPr="003C66C4">
              <w:rPr>
                <w:spacing w:val="-2"/>
              </w:rPr>
              <w:t xml:space="preserve"> %. V meziročních</w:t>
            </w:r>
            <w:r w:rsidRPr="00D72897">
              <w:t xml:space="preserve"> tempech </w:t>
            </w:r>
            <w:r w:rsidRPr="003C66C4">
              <w:rPr>
                <w:spacing w:val="-4"/>
              </w:rPr>
              <w:t>růstu HDP i hrubé přidané hodnoty se začala významně projevovat vysoká</w:t>
            </w:r>
            <w:r w:rsidRPr="00D72897">
              <w:t xml:space="preserve"> </w:t>
            </w:r>
            <w:r w:rsidRPr="003C66C4">
              <w:rPr>
                <w:spacing w:val="-4"/>
              </w:rPr>
              <w:t>srovnávací základna</w:t>
            </w:r>
            <w:r w:rsidR="00643A80" w:rsidRPr="003C66C4">
              <w:rPr>
                <w:spacing w:val="-4"/>
              </w:rPr>
              <w:t xml:space="preserve"> 1. čtvrtletí</w:t>
            </w:r>
            <w:r w:rsidR="003C66C4" w:rsidRPr="003C66C4">
              <w:rPr>
                <w:spacing w:val="-4"/>
              </w:rPr>
              <w:t xml:space="preserve"> 2015.</w:t>
            </w:r>
            <w:r w:rsidRPr="003C66C4">
              <w:rPr>
                <w:spacing w:val="-4"/>
              </w:rPr>
              <w:t xml:space="preserve"> </w:t>
            </w:r>
            <w:r w:rsidR="003C66C4" w:rsidRPr="003C66C4">
              <w:rPr>
                <w:spacing w:val="-4"/>
              </w:rPr>
              <w:t>Vedle toho se s</w:t>
            </w:r>
            <w:r w:rsidR="00D0061E" w:rsidRPr="003C66C4">
              <w:rPr>
                <w:spacing w:val="-4"/>
              </w:rPr>
              <w:t> </w:t>
            </w:r>
            <w:r w:rsidRPr="003C66C4">
              <w:rPr>
                <w:spacing w:val="-4"/>
              </w:rPr>
              <w:t>ukončováním</w:t>
            </w:r>
            <w:r w:rsidR="00D0061E" w:rsidRPr="003C66C4">
              <w:rPr>
                <w:spacing w:val="-4"/>
              </w:rPr>
              <w:t xml:space="preserve"> čerpání</w:t>
            </w:r>
            <w:r w:rsidR="00D0061E" w:rsidRPr="00D72897">
              <w:t xml:space="preserve"> z evropských fondů v</w:t>
            </w:r>
            <w:r w:rsidRPr="00D72897">
              <w:t xml:space="preserve"> programové</w:t>
            </w:r>
            <w:r w:rsidR="00D0061E" w:rsidRPr="00D72897">
              <w:t>m</w:t>
            </w:r>
            <w:r w:rsidR="003C66C4">
              <w:t xml:space="preserve"> období 2007–2013</w:t>
            </w:r>
            <w:r w:rsidRPr="00D72897">
              <w:t xml:space="preserve"> omezila výstavba </w:t>
            </w:r>
            <w:r w:rsidRPr="003C66C4">
              <w:rPr>
                <w:spacing w:val="-2"/>
              </w:rPr>
              <w:t>inženýrských děl financovaná z velké části z prostředků pocházejících z fondů</w:t>
            </w:r>
            <w:r w:rsidRPr="00D72897">
              <w:t xml:space="preserve"> EU.</w:t>
            </w:r>
          </w:p>
          <w:p w:rsidR="007A4048" w:rsidRPr="00D0061E" w:rsidRDefault="007A4048" w:rsidP="0002434F">
            <w:pPr>
              <w:pStyle w:val="Textpoznpodarou"/>
              <w:jc w:val="both"/>
            </w:pPr>
          </w:p>
        </w:tc>
      </w:tr>
      <w:tr w:rsidR="007A4048" w:rsidRPr="002A7D6D" w:rsidTr="0002434F">
        <w:tc>
          <w:tcPr>
            <w:tcW w:w="1054" w:type="pct"/>
          </w:tcPr>
          <w:p w:rsidR="007A4048" w:rsidRPr="005E01FF" w:rsidRDefault="007A4048" w:rsidP="0002434F">
            <w:pPr>
              <w:spacing w:line="240" w:lineRule="auto"/>
              <w:rPr>
                <w:sz w:val="16"/>
                <w:szCs w:val="16"/>
              </w:rPr>
            </w:pPr>
            <w:r w:rsidRPr="005E01FF">
              <w:rPr>
                <w:sz w:val="16"/>
                <w:szCs w:val="16"/>
              </w:rPr>
              <w:t>… proti posledním třem měsícům roku 2015 se výkon ekonomiky podle těchto ukazatelů zvýšil o 0,4 a 0,5 %</w:t>
            </w:r>
          </w:p>
        </w:tc>
        <w:tc>
          <w:tcPr>
            <w:tcW w:w="143" w:type="pct"/>
          </w:tcPr>
          <w:p w:rsidR="007A4048" w:rsidRPr="005E01FF" w:rsidRDefault="007A4048" w:rsidP="0002434F">
            <w:pPr>
              <w:pStyle w:val="Textpoznpodarou"/>
              <w:jc w:val="both"/>
            </w:pPr>
          </w:p>
        </w:tc>
        <w:tc>
          <w:tcPr>
            <w:tcW w:w="3803" w:type="pct"/>
          </w:tcPr>
          <w:p w:rsidR="007A4048" w:rsidRPr="00D0061E" w:rsidRDefault="007A4048" w:rsidP="0002434F">
            <w:pPr>
              <w:pStyle w:val="Textpoznpodarou"/>
              <w:jc w:val="both"/>
            </w:pPr>
            <w:r w:rsidRPr="00D0061E">
              <w:t>Poněkud slabší růst tuzemského hospodářství od konce loňského roku je velmi dobře patrný i z vývoje HDP a hrubé přidané hodnoty v mezičtvrtletním srovnání. K úrovni 1 % se přírůstek HDP přiblížil již ve 3. čtvrtletí 2014 a více než 1% tempem rostla ekonomika až do 3. čtvrtletí vloni.</w:t>
            </w:r>
            <w:r w:rsidRPr="00D0061E">
              <w:rPr>
                <w:rStyle w:val="Znakapoznpodarou"/>
              </w:rPr>
              <w:footnoteReference w:id="4"/>
            </w:r>
            <w:r w:rsidRPr="00D0061E">
              <w:t xml:space="preserve"> Obdobnou trajektorii sledovala v tomto období rovněž hrubá přidaná hodnota. Konec roku 2015 ale přinesl změnu, když HDP stoupl v mezičtvrtletním srovnání už jenom o 0,4 % a hrubá přidaná hodnota </w:t>
            </w:r>
            <w:r w:rsidRPr="00D0061E">
              <w:rPr>
                <w:spacing w:val="-4"/>
              </w:rPr>
              <w:t>o 0,3 % a zhruba stejným tempem se zvýšily oba dva ukazatele i v 1. čtvrtletí 2016 (0,4 %, resp. 0,5</w:t>
            </w:r>
            <w:r w:rsidRPr="00D0061E">
              <w:t xml:space="preserve"> %).</w:t>
            </w:r>
          </w:p>
          <w:p w:rsidR="007A4048" w:rsidRPr="00D72897" w:rsidRDefault="007A4048" w:rsidP="0002434F">
            <w:pPr>
              <w:pStyle w:val="Textpoznpodarou"/>
              <w:jc w:val="both"/>
            </w:pPr>
          </w:p>
        </w:tc>
      </w:tr>
      <w:tr w:rsidR="007A4048" w:rsidRPr="002A7D6D" w:rsidTr="0002434F">
        <w:tc>
          <w:tcPr>
            <w:tcW w:w="1054" w:type="pct"/>
          </w:tcPr>
          <w:p w:rsidR="007A4048" w:rsidRPr="0097605E" w:rsidRDefault="007A4048" w:rsidP="0002434F">
            <w:pPr>
              <w:spacing w:line="240" w:lineRule="auto"/>
              <w:rPr>
                <w:sz w:val="16"/>
                <w:szCs w:val="16"/>
              </w:rPr>
            </w:pPr>
            <w:r w:rsidRPr="0097605E">
              <w:rPr>
                <w:sz w:val="16"/>
                <w:szCs w:val="16"/>
              </w:rPr>
              <w:t>V meziročním srovnání roste ekonomika ČR stále rychleji než Evropská unie, mezičtvrtletně ale již nepatrně ztrácí</w:t>
            </w:r>
          </w:p>
        </w:tc>
        <w:tc>
          <w:tcPr>
            <w:tcW w:w="143" w:type="pct"/>
          </w:tcPr>
          <w:p w:rsidR="007A4048" w:rsidRPr="0097605E" w:rsidRDefault="007A4048" w:rsidP="0002434F">
            <w:pPr>
              <w:pStyle w:val="Textpoznpodarou"/>
              <w:jc w:val="both"/>
            </w:pPr>
          </w:p>
        </w:tc>
        <w:tc>
          <w:tcPr>
            <w:tcW w:w="3803" w:type="pct"/>
          </w:tcPr>
          <w:p w:rsidR="007A4048" w:rsidRPr="0097605E" w:rsidRDefault="007A4048" w:rsidP="0002434F">
            <w:pPr>
              <w:pStyle w:val="Textpoznpodarou"/>
              <w:jc w:val="both"/>
              <w:rPr>
                <w:spacing w:val="-2"/>
              </w:rPr>
            </w:pPr>
            <w:r w:rsidRPr="0097605E">
              <w:rPr>
                <w:spacing w:val="-2"/>
              </w:rPr>
              <w:t xml:space="preserve">Meziroční růst HDP setrvává v ČR navzdory zpomalení ekonomiky stále silnější než v Evropské unii. Tuzemsko roste rychleji prakticky od výstupu z recese v roce 2013, </w:t>
            </w:r>
            <w:r w:rsidR="00D0061E">
              <w:rPr>
                <w:spacing w:val="-2"/>
              </w:rPr>
              <w:t>v 1. čtvrtletí letošního roku</w:t>
            </w:r>
            <w:r w:rsidRPr="0097605E">
              <w:rPr>
                <w:spacing w:val="-2"/>
              </w:rPr>
              <w:t xml:space="preserve"> </w:t>
            </w:r>
            <w:r w:rsidR="00D0061E">
              <w:rPr>
                <w:spacing w:val="-2"/>
              </w:rPr>
              <w:t>byla jeho dynamika vyšší o</w:t>
            </w:r>
            <w:r w:rsidRPr="0097605E">
              <w:rPr>
                <w:spacing w:val="-2"/>
              </w:rPr>
              <w:t xml:space="preserve"> 1,2 p.b. S ohledem na mezičtvrtletní tempa již ale naše ekonomika zaostává – zatímco v tuzemsku se HDP zvýšil v posledním čtvrtletí 2015 a v 1. čtvrtletí 2016 shodně o 0,4 %, Unie rostla v obou těchto čtvrtletích o 0,1 p.b. rychleji.</w:t>
            </w:r>
          </w:p>
          <w:p w:rsidR="007A4048" w:rsidRPr="00D72897" w:rsidRDefault="007A4048" w:rsidP="0002434F">
            <w:pPr>
              <w:pStyle w:val="Textpoznpodarou"/>
              <w:jc w:val="both"/>
            </w:pPr>
          </w:p>
        </w:tc>
      </w:tr>
      <w:tr w:rsidR="007A4048" w:rsidRPr="002A7D6D" w:rsidTr="0002434F">
        <w:tc>
          <w:tcPr>
            <w:tcW w:w="1054" w:type="pct"/>
          </w:tcPr>
          <w:p w:rsidR="007A4048" w:rsidRPr="0097605E" w:rsidRDefault="007A4048" w:rsidP="0002434F">
            <w:pPr>
              <w:spacing w:line="240" w:lineRule="auto"/>
              <w:rPr>
                <w:sz w:val="16"/>
                <w:szCs w:val="16"/>
              </w:rPr>
            </w:pPr>
            <w:r w:rsidRPr="0097605E">
              <w:rPr>
                <w:sz w:val="16"/>
                <w:szCs w:val="16"/>
              </w:rPr>
              <w:t>Ze tří největších ekonomik</w:t>
            </w:r>
            <w:r>
              <w:rPr>
                <w:sz w:val="16"/>
                <w:szCs w:val="16"/>
              </w:rPr>
              <w:t xml:space="preserve"> EU</w:t>
            </w:r>
            <w:r w:rsidRPr="0097605E">
              <w:rPr>
                <w:sz w:val="16"/>
                <w:szCs w:val="16"/>
              </w:rPr>
              <w:t xml:space="preserve"> roste nadprůměrným tempem </w:t>
            </w:r>
            <w:r>
              <w:rPr>
                <w:sz w:val="16"/>
                <w:szCs w:val="16"/>
              </w:rPr>
              <w:t>i nadále</w:t>
            </w:r>
            <w:r w:rsidRPr="0097605E">
              <w:rPr>
                <w:sz w:val="16"/>
                <w:szCs w:val="16"/>
              </w:rPr>
              <w:t xml:space="preserve"> jen Velká Británie </w:t>
            </w:r>
          </w:p>
        </w:tc>
        <w:tc>
          <w:tcPr>
            <w:tcW w:w="143" w:type="pct"/>
          </w:tcPr>
          <w:p w:rsidR="007A4048" w:rsidRPr="0097605E" w:rsidRDefault="007A4048" w:rsidP="0002434F">
            <w:pPr>
              <w:pStyle w:val="Textpoznpodarou"/>
              <w:jc w:val="both"/>
            </w:pPr>
          </w:p>
        </w:tc>
        <w:tc>
          <w:tcPr>
            <w:tcW w:w="3803" w:type="pct"/>
          </w:tcPr>
          <w:p w:rsidR="007A4048" w:rsidRPr="0097605E" w:rsidRDefault="00014028" w:rsidP="0002434F">
            <w:pPr>
              <w:pStyle w:val="Textpoznpodarou"/>
              <w:jc w:val="both"/>
            </w:pPr>
            <w:r w:rsidRPr="00014028">
              <w:rPr>
                <w:spacing w:val="-2"/>
              </w:rPr>
              <w:t>Podle</w:t>
            </w:r>
            <w:r w:rsidR="007A4048" w:rsidRPr="00014028">
              <w:rPr>
                <w:spacing w:val="-2"/>
              </w:rPr>
              <w:t xml:space="preserve"> dostupný</w:t>
            </w:r>
            <w:r w:rsidR="00C4422D" w:rsidRPr="00014028">
              <w:rPr>
                <w:spacing w:val="-2"/>
              </w:rPr>
              <w:t>ch údajů za jednotlivé země EU</w:t>
            </w:r>
            <w:r w:rsidR="007A4048" w:rsidRPr="00014028">
              <w:rPr>
                <w:spacing w:val="-2"/>
              </w:rPr>
              <w:t xml:space="preserve"> se HDP v 1. čtvrtletí 2016</w:t>
            </w:r>
            <w:r w:rsidR="007A4048" w:rsidRPr="0097605E">
              <w:t xml:space="preserve"> zvyšoval meziročně nejrychleji</w:t>
            </w:r>
            <w:r>
              <w:t xml:space="preserve"> na Maltě,</w:t>
            </w:r>
            <w:r w:rsidR="007A4048" w:rsidRPr="0097605E">
              <w:t xml:space="preserve"> v Rumunsku, Švédsku a na Slovensku</w:t>
            </w:r>
            <w:r w:rsidR="007A4048" w:rsidRPr="0097605E">
              <w:rPr>
                <w:rStyle w:val="Znakapoznpodarou"/>
              </w:rPr>
              <w:footnoteReference w:id="5"/>
            </w:r>
            <w:r w:rsidR="00D72897">
              <w:t>.</w:t>
            </w:r>
            <w:r w:rsidR="007A4048" w:rsidRPr="0097605E">
              <w:t xml:space="preserve"> Česku </w:t>
            </w:r>
            <w:r>
              <w:rPr>
                <w:spacing w:val="-4"/>
              </w:rPr>
              <w:t>patřila šestá</w:t>
            </w:r>
            <w:r w:rsidR="007A4048" w:rsidRPr="00C4422D">
              <w:rPr>
                <w:spacing w:val="-4"/>
              </w:rPr>
              <w:t xml:space="preserve"> příčka za Španělsk</w:t>
            </w:r>
            <w:r w:rsidR="00C4422D" w:rsidRPr="00C4422D">
              <w:rPr>
                <w:spacing w:val="-4"/>
              </w:rPr>
              <w:t xml:space="preserve">em. Ze tří největších ekonomik </w:t>
            </w:r>
            <w:r w:rsidR="007A4048" w:rsidRPr="00C4422D">
              <w:rPr>
                <w:spacing w:val="-4"/>
              </w:rPr>
              <w:t>U</w:t>
            </w:r>
            <w:r w:rsidR="00C4422D" w:rsidRPr="00C4422D">
              <w:rPr>
                <w:spacing w:val="-4"/>
              </w:rPr>
              <w:t>nie</w:t>
            </w:r>
            <w:r w:rsidR="007A4048" w:rsidRPr="00C4422D">
              <w:rPr>
                <w:spacing w:val="-4"/>
              </w:rPr>
              <w:t xml:space="preserve"> dosáhla</w:t>
            </w:r>
            <w:r w:rsidR="007A4048" w:rsidRPr="0097605E">
              <w:t xml:space="preserve"> alespoň 2% růstu pouze Velká Británie, německý HDP byl vyšší o 1,6 %, Francie rostla o 1,4 %. Meziroční </w:t>
            </w:r>
            <w:r w:rsidR="007A4048" w:rsidRPr="0097605E">
              <w:rPr>
                <w:spacing w:val="-2"/>
              </w:rPr>
              <w:t>pokles ekonomiky</w:t>
            </w:r>
            <w:r w:rsidR="007A4048" w:rsidRPr="0097605E">
              <w:t xml:space="preserve"> Řecka, již třetí v řadě, byl vyčíslen na 1,4 %.</w:t>
            </w:r>
          </w:p>
          <w:p w:rsidR="007A4048" w:rsidRPr="00D72897" w:rsidRDefault="007A4048" w:rsidP="0002434F">
            <w:pPr>
              <w:pStyle w:val="Textpoznpodarou"/>
              <w:jc w:val="both"/>
              <w:rPr>
                <w:spacing w:val="-4"/>
              </w:rPr>
            </w:pPr>
          </w:p>
        </w:tc>
      </w:tr>
      <w:tr w:rsidR="007A4048" w:rsidRPr="002A7D6D" w:rsidTr="0002434F">
        <w:tc>
          <w:tcPr>
            <w:tcW w:w="1054" w:type="pct"/>
          </w:tcPr>
          <w:p w:rsidR="007A4048" w:rsidRPr="005E01FF" w:rsidRDefault="007A4048" w:rsidP="0002434F">
            <w:pPr>
              <w:spacing w:line="240" w:lineRule="auto"/>
              <w:rPr>
                <w:sz w:val="16"/>
                <w:szCs w:val="16"/>
              </w:rPr>
            </w:pPr>
            <w:r w:rsidRPr="005E01FF">
              <w:rPr>
                <w:sz w:val="16"/>
                <w:szCs w:val="16"/>
              </w:rPr>
              <w:t>Hlavním zdrojem meziročního růstu českého hospodářství byly v 1. čtvrtletí 2016 výdaje na konečnou spotřebu domácností, …</w:t>
            </w:r>
          </w:p>
        </w:tc>
        <w:tc>
          <w:tcPr>
            <w:tcW w:w="143" w:type="pct"/>
          </w:tcPr>
          <w:p w:rsidR="007A4048" w:rsidRPr="005E01FF" w:rsidRDefault="007A4048" w:rsidP="0002434F">
            <w:pPr>
              <w:pStyle w:val="Textpoznpodarou"/>
              <w:jc w:val="both"/>
            </w:pPr>
          </w:p>
        </w:tc>
        <w:tc>
          <w:tcPr>
            <w:tcW w:w="3803" w:type="pct"/>
          </w:tcPr>
          <w:p w:rsidR="007A4048" w:rsidRPr="005E01FF" w:rsidRDefault="007A4048" w:rsidP="00E43B06">
            <w:pPr>
              <w:pStyle w:val="Textpoznpodarou"/>
              <w:jc w:val="both"/>
            </w:pPr>
            <w:r w:rsidRPr="005E01FF">
              <w:t>Na meziročním růstu ekonomiky ČR se v 1. čtvrtletí 2016 nadále</w:t>
            </w:r>
            <w:r w:rsidR="00B534EF">
              <w:t xml:space="preserve"> výrazně</w:t>
            </w:r>
            <w:r w:rsidRPr="005E01FF">
              <w:t xml:space="preserve"> podílela domácí poptávka, již druhé čtvrtletí v řadě se v něm odrážel příznivě ale i vývoj čisté zahraniční poptávky (přebytku zahraničního obchodu se zbožím a službami)</w:t>
            </w:r>
            <w:r w:rsidRPr="005E01FF">
              <w:rPr>
                <w:rStyle w:val="Znakapoznpodarou"/>
              </w:rPr>
              <w:footnoteReference w:id="6"/>
            </w:r>
            <w:r w:rsidR="0098095B">
              <w:t>.</w:t>
            </w:r>
            <w:r w:rsidRPr="005E01FF">
              <w:t xml:space="preserve"> Vysoký růst výdajů na konečnou spotřebu domácností, ke kterému docházelo při kontinuálně se zlepšující situaci na trhu práce a vysoké spotřebitelské důvěře loni, se přenesl i do 1. čtvrtletí 2016 a vysoké tempo růstu si zachovaly rovněž výdaje na konečnou spotřebu vládních institucí. Váhově významnější spotřeba domácností tak přispěla k  růstu 1,5 p.b., spotřeba vládních institucí přidala 0,6 p.b. Naproti tomu ochlazení celkové investiční aktivity (tvorby hrubého fixního kapitálu) spojené s poklesem investic sektoru vládních institucí se </w:t>
            </w:r>
            <w:r w:rsidRPr="005E01FF">
              <w:rPr>
                <w:spacing w:val="-2"/>
              </w:rPr>
              <w:t>odrazilo v propadu příspěvku této složky poptávky z 1,8 p.b. v roce 2015 na</w:t>
            </w:r>
            <w:r w:rsidRPr="005E01FF">
              <w:t xml:space="preserve"> pouhou jednu desetinu v 1. čtvrtletí. V menším rozsahu než vloni (+0,7 p.b.) přispívala k růstu ekonomiky i změna zásob (+0,2 p.b.). Přebytek zahraničního obchodu </w:t>
            </w:r>
            <w:r w:rsidR="00443E95">
              <w:t>se v 1. čtvrtletí 2016</w:t>
            </w:r>
            <w:r w:rsidRPr="005E01FF">
              <w:t xml:space="preserve"> na růstu ekonomiky podílel 0,7 p.b.</w:t>
            </w:r>
          </w:p>
        </w:tc>
      </w:tr>
      <w:tr w:rsidR="007A4048" w:rsidRPr="002A7D6D" w:rsidTr="0002434F">
        <w:tc>
          <w:tcPr>
            <w:tcW w:w="1054" w:type="pct"/>
          </w:tcPr>
          <w:p w:rsidR="007A4048" w:rsidRPr="005E01FF" w:rsidRDefault="007A4048" w:rsidP="0002434F">
            <w:pPr>
              <w:spacing w:line="240" w:lineRule="auto"/>
              <w:rPr>
                <w:sz w:val="16"/>
                <w:szCs w:val="16"/>
              </w:rPr>
            </w:pPr>
            <w:r w:rsidRPr="005E01FF">
              <w:rPr>
                <w:sz w:val="16"/>
                <w:szCs w:val="16"/>
              </w:rPr>
              <w:lastRenderedPageBreak/>
              <w:t>…jejich nárůst byl ale částečně uspokojován vyšším dovozem. V alternativním rozkladu růstu, kdy se z celkového dovozu zboží a služeb do ekonomiky vylučuje dovoz určený pro konečné užití, byl tahounem zahraniční obchod</w:t>
            </w:r>
          </w:p>
        </w:tc>
        <w:tc>
          <w:tcPr>
            <w:tcW w:w="143" w:type="pct"/>
          </w:tcPr>
          <w:p w:rsidR="007A4048" w:rsidRPr="005E01FF" w:rsidRDefault="007A4048" w:rsidP="0002434F">
            <w:pPr>
              <w:pStyle w:val="Textpoznpodarou"/>
              <w:jc w:val="both"/>
            </w:pPr>
          </w:p>
        </w:tc>
        <w:tc>
          <w:tcPr>
            <w:tcW w:w="3803" w:type="pct"/>
          </w:tcPr>
          <w:p w:rsidR="007A4048" w:rsidRPr="005E01FF" w:rsidRDefault="007A4048" w:rsidP="0002434F">
            <w:pPr>
              <w:pStyle w:val="Textpoznpodarou"/>
              <w:jc w:val="both"/>
              <w:rPr>
                <w:spacing w:val="-2"/>
              </w:rPr>
            </w:pPr>
            <w:r w:rsidRPr="005E01FF">
              <w:rPr>
                <w:spacing w:val="-2"/>
              </w:rPr>
              <w:t xml:space="preserve">Po vyloučení dovozu určeného pro konečné užití z celkového objemu zboží </w:t>
            </w:r>
            <w:r w:rsidR="002D338A">
              <w:rPr>
                <w:spacing w:val="-6"/>
              </w:rPr>
              <w:t>a služeb směřujícího do Česka byl</w:t>
            </w:r>
            <w:r w:rsidRPr="005E01FF">
              <w:rPr>
                <w:spacing w:val="-6"/>
              </w:rPr>
              <w:t xml:space="preserve"> příspěvek výdajů na konečnou spotřebu</w:t>
            </w:r>
            <w:r w:rsidRPr="005E01FF">
              <w:rPr>
                <w:spacing w:val="-2"/>
              </w:rPr>
              <w:t xml:space="preserve"> domácn</w:t>
            </w:r>
            <w:r w:rsidR="002D338A">
              <w:rPr>
                <w:spacing w:val="-2"/>
              </w:rPr>
              <w:t>ostí nižší o 0,4 p.b. a dosahoval</w:t>
            </w:r>
            <w:r w:rsidRPr="005E01FF">
              <w:rPr>
                <w:spacing w:val="-2"/>
              </w:rPr>
              <w:t xml:space="preserve"> 1,1 </w:t>
            </w:r>
            <w:r w:rsidR="002D338A">
              <w:rPr>
                <w:spacing w:val="-2"/>
              </w:rPr>
              <w:t>p.b. V případě investic zaostával o 0,3 p.b. a byl</w:t>
            </w:r>
            <w:r w:rsidRPr="005E01FF">
              <w:rPr>
                <w:spacing w:val="-2"/>
              </w:rPr>
              <w:t xml:space="preserve"> poprvé od konce roku 2013 záporný (-0,2 p.b.). Příspěvky spotřeby domácností a investic v tomto pojetí zaostávají proti standardnímu rozkladu významněji od 1. čtvrtletí 2015</w:t>
            </w:r>
            <w:r w:rsidR="00F10B64">
              <w:rPr>
                <w:spacing w:val="-2"/>
              </w:rPr>
              <w:t>,</w:t>
            </w:r>
            <w:r w:rsidRPr="005E01FF">
              <w:rPr>
                <w:spacing w:val="-2"/>
              </w:rPr>
              <w:t xml:space="preserve"> a tím indikují, že silný růst spotřeby a investic v loňském roce byl zčásti uspokojován vyššími dovozy. Nárůst spotřeby byl částečně saturován </w:t>
            </w:r>
            <w:r w:rsidRPr="005E01FF">
              <w:rPr>
                <w:spacing w:val="-4"/>
              </w:rPr>
              <w:t>vyšším dovozem i v 1. čtvrtletí 2016, mírný růst investic dokonce zcela. Příspěvek</w:t>
            </w:r>
            <w:r w:rsidRPr="005E01FF">
              <w:rPr>
                <w:spacing w:val="-2"/>
              </w:rPr>
              <w:t xml:space="preserve"> spotřeby vládních institucí v tomto pojetí byl v porovnání se standardním rozkladem nižší na počátku letošního roku jen nepatrně (dosáhl 0,5 p.b.), u změny zásob zůstával na 0,2 p.b. Rozdíl mezi vývozem a celkovými dovozy do České republiky, které jsou snížené o dovoz pro konečné užití, se na růstu ekonomiky podílel 1,4 p.b.</w:t>
            </w:r>
          </w:p>
          <w:p w:rsidR="007A4048" w:rsidRPr="007A4048" w:rsidRDefault="007A4048" w:rsidP="0002434F">
            <w:pPr>
              <w:pStyle w:val="Textpoznpodarou"/>
              <w:jc w:val="both"/>
              <w:rPr>
                <w:sz w:val="16"/>
                <w:szCs w:val="16"/>
              </w:rPr>
            </w:pPr>
          </w:p>
        </w:tc>
      </w:tr>
      <w:tr w:rsidR="007A4048" w:rsidRPr="002A7D6D" w:rsidTr="0002434F">
        <w:tc>
          <w:tcPr>
            <w:tcW w:w="1054" w:type="pct"/>
          </w:tcPr>
          <w:p w:rsidR="007A4048" w:rsidRPr="005E01FF" w:rsidRDefault="007A4048" w:rsidP="0002434F">
            <w:pPr>
              <w:spacing w:line="240" w:lineRule="auto"/>
              <w:rPr>
                <w:sz w:val="16"/>
                <w:szCs w:val="16"/>
                <w:vertAlign w:val="superscript"/>
              </w:rPr>
            </w:pPr>
            <w:r w:rsidRPr="005E01FF">
              <w:rPr>
                <w:sz w:val="16"/>
                <w:szCs w:val="16"/>
              </w:rPr>
              <w:t>Objem vyplacených mezd a platů narostl v 1. čtvrtletí 2016 nejrychleji od konjunktury</w:t>
            </w:r>
          </w:p>
        </w:tc>
        <w:tc>
          <w:tcPr>
            <w:tcW w:w="143" w:type="pct"/>
          </w:tcPr>
          <w:p w:rsidR="007A4048" w:rsidRPr="005E01FF" w:rsidRDefault="007A4048" w:rsidP="0002434F">
            <w:pPr>
              <w:pStyle w:val="Textpoznpodarou"/>
              <w:jc w:val="both"/>
            </w:pPr>
          </w:p>
        </w:tc>
        <w:tc>
          <w:tcPr>
            <w:tcW w:w="3803" w:type="pct"/>
          </w:tcPr>
          <w:p w:rsidR="007A4048" w:rsidRPr="005E01FF" w:rsidRDefault="007A4048" w:rsidP="0002434F">
            <w:pPr>
              <w:pStyle w:val="Textpoznpodarou"/>
              <w:jc w:val="both"/>
            </w:pPr>
            <w:r w:rsidRPr="005E01FF">
              <w:rPr>
                <w:spacing w:val="-2"/>
              </w:rPr>
              <w:t>Pokračující meziroční růst spotřeby domácností, který v 1. čtvrtletí dosáhl</w:t>
            </w:r>
            <w:r w:rsidRPr="005E01FF">
              <w:t xml:space="preserve"> 3,1 % a byl nadále tažen výdaji na předměty dlouhodobé spotřeby, byl umožněn </w:t>
            </w:r>
            <w:r w:rsidR="002D338A">
              <w:rPr>
                <w:spacing w:val="-2"/>
              </w:rPr>
              <w:t>rostoucí</w:t>
            </w:r>
            <w:r w:rsidRPr="005E01FF">
              <w:rPr>
                <w:spacing w:val="-2"/>
              </w:rPr>
              <w:t xml:space="preserve"> průměrnou mzdou, rekordní zaměstnaností a samozřejmě</w:t>
            </w:r>
            <w:r w:rsidRPr="005E01FF">
              <w:t xml:space="preserve"> i přetrvávající vysokou spotřebitelskou důvěrou. Celkový objem vyplacených mezd a platů (bez očištění o sezónní a kalendářní vlivy) stoupl v nominálním vyjádření o 6,1 %, reálně</w:t>
            </w:r>
            <w:r w:rsidRPr="005E01FF">
              <w:rPr>
                <w:rStyle w:val="Znakapoznpodarou"/>
              </w:rPr>
              <w:footnoteReference w:id="7"/>
            </w:r>
            <w:r w:rsidRPr="005E01FF">
              <w:t xml:space="preserve"> byl o 5,8 % vyšší než před rokem. V</w:t>
            </w:r>
            <w:r w:rsidR="00B534EF">
              <w:t> běžných cenách</w:t>
            </w:r>
            <w:r w:rsidRPr="005E01FF">
              <w:t xml:space="preserve"> šlo o nejsilnější navýšení mzdových prostředků od 3. čtvrtletí 2008, </w:t>
            </w:r>
            <w:r w:rsidR="00B534EF">
              <w:t>reálně</w:t>
            </w:r>
            <w:r w:rsidRPr="005E01FF">
              <w:t xml:space="preserve"> dokonce od začátku roku 2007. Podíl objemu mezd a platů na HDP vystoupal na 31,7 % a v rámci prvních čtvrtletí byl nejvyšší za poslední tři roky. V kontextu zemí Evropské unie patří tento podíl ale stále k nejnižším. Je to dané nadprůměrnou ziskovostí nefinančních podniků v České </w:t>
            </w:r>
            <w:r w:rsidRPr="005E01FF">
              <w:rPr>
                <w:spacing w:val="-2"/>
              </w:rPr>
              <w:t xml:space="preserve">republice, </w:t>
            </w:r>
            <w:r w:rsidRPr="005E01FF">
              <w:t xml:space="preserve">souvisí to částečně ale i s vyšším „zdaněním práce“, jež nesou </w:t>
            </w:r>
            <w:r w:rsidRPr="005E01FF">
              <w:rPr>
                <w:spacing w:val="-4"/>
              </w:rPr>
              <w:t xml:space="preserve">zaměstnavatelé (sociální příspěvky placené </w:t>
            </w:r>
            <w:r w:rsidRPr="00F10B64">
              <w:rPr>
                <w:spacing w:val="-2"/>
              </w:rPr>
              <w:t>zaměstnavateli v relaci ke mzdám a platům jsou v Česku vyšší</w:t>
            </w:r>
            <w:r w:rsidR="00F10B64" w:rsidRPr="00F10B64">
              <w:rPr>
                <w:spacing w:val="-2"/>
              </w:rPr>
              <w:t>,</w:t>
            </w:r>
            <w:r w:rsidRPr="00F10B64">
              <w:rPr>
                <w:spacing w:val="-2"/>
              </w:rPr>
              <w:t xml:space="preserve"> než je běžné v</w:t>
            </w:r>
            <w:r w:rsidRPr="005E01FF">
              <w:t xml:space="preserve"> EU).</w:t>
            </w:r>
          </w:p>
          <w:p w:rsidR="007A4048" w:rsidRPr="005E01FF" w:rsidRDefault="007A4048" w:rsidP="0002434F">
            <w:pPr>
              <w:pStyle w:val="Textpoznpodarou"/>
              <w:jc w:val="both"/>
              <w:rPr>
                <w:sz w:val="18"/>
                <w:szCs w:val="18"/>
              </w:rPr>
            </w:pPr>
          </w:p>
        </w:tc>
      </w:tr>
      <w:tr w:rsidR="007A4048" w:rsidRPr="002A7D6D" w:rsidTr="0002434F">
        <w:tc>
          <w:tcPr>
            <w:tcW w:w="1054" w:type="pct"/>
          </w:tcPr>
          <w:p w:rsidR="007A4048" w:rsidRPr="005E01FF" w:rsidRDefault="007A4048" w:rsidP="0002434F">
            <w:pPr>
              <w:spacing w:line="240" w:lineRule="auto"/>
              <w:rPr>
                <w:sz w:val="16"/>
                <w:szCs w:val="16"/>
              </w:rPr>
            </w:pPr>
            <w:r w:rsidRPr="005E01FF">
              <w:rPr>
                <w:sz w:val="16"/>
                <w:szCs w:val="16"/>
              </w:rPr>
              <w:t>Meziroční dynamika výdajů na konečnou spotřebu vládních institucí zhruba na úrovni loňského roku</w:t>
            </w:r>
          </w:p>
        </w:tc>
        <w:tc>
          <w:tcPr>
            <w:tcW w:w="143" w:type="pct"/>
          </w:tcPr>
          <w:p w:rsidR="007A4048" w:rsidRPr="005E01FF" w:rsidRDefault="007A4048" w:rsidP="0002434F">
            <w:pPr>
              <w:pStyle w:val="Textpoznpodarou"/>
              <w:jc w:val="both"/>
            </w:pPr>
          </w:p>
        </w:tc>
        <w:tc>
          <w:tcPr>
            <w:tcW w:w="3803" w:type="pct"/>
          </w:tcPr>
          <w:p w:rsidR="007A4048" w:rsidRPr="005E01FF" w:rsidRDefault="007A4048" w:rsidP="0002434F">
            <w:pPr>
              <w:pStyle w:val="Textpoznpodarou"/>
              <w:jc w:val="both"/>
            </w:pPr>
            <w:r w:rsidRPr="005E01FF">
              <w:t>Výdaje na konečnou spotřebu vládních institucí zahrnující výdaje na individuální spotřebu (ze kterých mají užitek výhradně domácnosti) a kolektivní spotřebu (ze kterých mají prospěch všechny sektory) narostly v 1. čtvrtletí letošního roku meziročně o 2,9 %. Přestože již byly zřejmě negativně ovlivněny ukončován</w:t>
            </w:r>
            <w:r>
              <w:t>ím programového</w:t>
            </w:r>
            <w:r w:rsidRPr="005E01FF">
              <w:t xml:space="preserve"> období 2007</w:t>
            </w:r>
            <w:r w:rsidRPr="005E01FF">
              <w:rPr>
                <w:spacing w:val="-2"/>
              </w:rPr>
              <w:t>–</w:t>
            </w:r>
            <w:r w:rsidRPr="005E01FF">
              <w:t>2013 a pouze pomalým náběhem</w:t>
            </w:r>
            <w:r>
              <w:t xml:space="preserve"> čerpání v nové periodě</w:t>
            </w:r>
            <w:r w:rsidRPr="005E01FF">
              <w:t>, podařilo se udržet vysokou dynamiku z loňského roku. Objem spo</w:t>
            </w:r>
            <w:r w:rsidR="002D338A">
              <w:t>třeby vládních institucí narůstal</w:t>
            </w:r>
            <w:r w:rsidRPr="005E01FF">
              <w:t xml:space="preserve"> v meziročním srovnání setrvale již od 1. čtvrtletí 2013.</w:t>
            </w:r>
          </w:p>
          <w:p w:rsidR="007A4048" w:rsidRPr="007A4048" w:rsidRDefault="007A4048" w:rsidP="0002434F">
            <w:pPr>
              <w:pStyle w:val="Textpoznpodarou"/>
              <w:jc w:val="both"/>
              <w:rPr>
                <w:sz w:val="16"/>
                <w:szCs w:val="16"/>
              </w:rPr>
            </w:pPr>
          </w:p>
        </w:tc>
      </w:tr>
      <w:tr w:rsidR="007A4048" w:rsidRPr="002A7D6D" w:rsidTr="0002434F">
        <w:tc>
          <w:tcPr>
            <w:tcW w:w="1054" w:type="pct"/>
          </w:tcPr>
          <w:p w:rsidR="007A4048" w:rsidRPr="005E01FF" w:rsidRDefault="007A4048" w:rsidP="0002434F">
            <w:pPr>
              <w:spacing w:line="240" w:lineRule="auto"/>
              <w:rPr>
                <w:sz w:val="16"/>
                <w:szCs w:val="16"/>
              </w:rPr>
            </w:pPr>
            <w:r w:rsidRPr="005E01FF">
              <w:rPr>
                <w:sz w:val="16"/>
                <w:szCs w:val="16"/>
              </w:rPr>
              <w:t>Mezičtvrtletní pokles investic, který započal na sklonku loňského roku, podstatně zesílil. Meziroční růst se přiblížil nule, …</w:t>
            </w:r>
          </w:p>
        </w:tc>
        <w:tc>
          <w:tcPr>
            <w:tcW w:w="143" w:type="pct"/>
          </w:tcPr>
          <w:p w:rsidR="007A4048" w:rsidRPr="005E01FF" w:rsidRDefault="007A4048" w:rsidP="0002434F">
            <w:pPr>
              <w:pStyle w:val="Textpoznpodarou"/>
              <w:jc w:val="both"/>
            </w:pPr>
          </w:p>
        </w:tc>
        <w:tc>
          <w:tcPr>
            <w:tcW w:w="3803" w:type="pct"/>
          </w:tcPr>
          <w:p w:rsidR="007A4048" w:rsidRPr="005E01FF" w:rsidRDefault="007A4048" w:rsidP="0002434F">
            <w:pPr>
              <w:pStyle w:val="Textpoznpodarou"/>
              <w:jc w:val="both"/>
              <w:rPr>
                <w:spacing w:val="-2"/>
              </w:rPr>
            </w:pPr>
            <w:r w:rsidRPr="005E01FF">
              <w:rPr>
                <w:spacing w:val="-2"/>
              </w:rPr>
              <w:t>Stimul v podobě dočerpávání peněz z předchozího </w:t>
            </w:r>
            <w:r w:rsidR="00845AB1">
              <w:rPr>
                <w:spacing w:val="-2"/>
              </w:rPr>
              <w:t>programového</w:t>
            </w:r>
            <w:r w:rsidRPr="005E01FF">
              <w:rPr>
                <w:spacing w:val="-2"/>
              </w:rPr>
              <w:t xml:space="preserve"> období se promítal v rostoucí meziroční dynamice investic až do 3. čtvrtletí loňského roku, kdy </w:t>
            </w:r>
            <w:r w:rsidRPr="005E01FF">
              <w:rPr>
                <w:spacing w:val="-4"/>
              </w:rPr>
              <w:t>dosáhla nebývalých 9,2 %. Ve 4. čtvrtletí ale již tempo růstu investic oslabilo (na 8</w:t>
            </w:r>
            <w:r w:rsidRPr="005E01FF">
              <w:rPr>
                <w:spacing w:val="-2"/>
              </w:rPr>
              <w:t xml:space="preserve"> %) a v 1. čtvrtletí se přiblížilo nule (+0,6 %). V mezikvartálním srovnání se investice </w:t>
            </w:r>
            <w:r w:rsidRPr="005E01FF">
              <w:rPr>
                <w:spacing w:val="-4"/>
              </w:rPr>
              <w:t>snižují – nejprve o 0,8 % na sklonku loňského roku, v 1. čtvrtletí 2016 ale už o 5,</w:t>
            </w:r>
            <w:r w:rsidRPr="005E01FF">
              <w:rPr>
                <w:spacing w:val="-2"/>
              </w:rPr>
              <w:t>6 %.</w:t>
            </w:r>
          </w:p>
          <w:p w:rsidR="007A4048" w:rsidRPr="005E01FF" w:rsidRDefault="007A4048" w:rsidP="0002434F">
            <w:pPr>
              <w:pStyle w:val="Textpoznpodarou"/>
              <w:jc w:val="both"/>
              <w:rPr>
                <w:sz w:val="18"/>
                <w:szCs w:val="18"/>
              </w:rPr>
            </w:pPr>
          </w:p>
        </w:tc>
      </w:tr>
      <w:tr w:rsidR="007A4048" w:rsidRPr="002A7D6D" w:rsidTr="0002434F">
        <w:tc>
          <w:tcPr>
            <w:tcW w:w="1054" w:type="pct"/>
          </w:tcPr>
          <w:p w:rsidR="007A4048" w:rsidRPr="005E01FF" w:rsidRDefault="007A4048" w:rsidP="0002434F">
            <w:pPr>
              <w:spacing w:line="240" w:lineRule="auto"/>
              <w:rPr>
                <w:sz w:val="16"/>
                <w:szCs w:val="16"/>
              </w:rPr>
            </w:pPr>
            <w:r w:rsidRPr="005E01FF">
              <w:rPr>
                <w:sz w:val="16"/>
                <w:szCs w:val="16"/>
              </w:rPr>
              <w:t>… když na vyšší úrovni než před rokem přetrvaly pouze investice do obydlí a investice do dopravních prostředků a zařízení</w:t>
            </w:r>
          </w:p>
        </w:tc>
        <w:tc>
          <w:tcPr>
            <w:tcW w:w="143" w:type="pct"/>
          </w:tcPr>
          <w:p w:rsidR="007A4048" w:rsidRPr="005E01FF" w:rsidRDefault="007A4048" w:rsidP="0002434F">
            <w:pPr>
              <w:pStyle w:val="Textpoznpodarou"/>
              <w:jc w:val="both"/>
            </w:pPr>
          </w:p>
        </w:tc>
        <w:tc>
          <w:tcPr>
            <w:tcW w:w="3803" w:type="pct"/>
          </w:tcPr>
          <w:p w:rsidR="007A4048" w:rsidRPr="005E01FF" w:rsidRDefault="007A4048" w:rsidP="0002434F">
            <w:pPr>
              <w:pStyle w:val="Textpoznpodarou"/>
              <w:jc w:val="both"/>
            </w:pPr>
            <w:r w:rsidRPr="005E01FF">
              <w:t>Podle věcného členění tvorby hrubého fixního kapitálu (bez očištění o sezónní a kalendářní vlivy) stouply v 1. čtvrtletí letošního roku v meziročním srovnání pouze investice do obydlí (o 4,5 %) reflektující nízké náklady financování rezidentských nemovitostí úvěry a investice do dopravních prostředků a zařízení (4,3 %) související s obnovou a rozšiřováním firemního vozového parku. Nákupy váhově nejvýznamnějších ICT, ostatních strojů a zařízení zůstaly prakticky na úrovni počátku roku 2015 (-0,1%) a totéž bylo patrné u produktů duševního vlastnictví (rovněž -0,1 %). Investice do ostatních budov a staveb poklesly poprvé po dvou letech (o 3,7 %).</w:t>
            </w:r>
          </w:p>
          <w:p w:rsidR="007A4048" w:rsidRPr="005E01FF" w:rsidRDefault="007A4048" w:rsidP="0002434F">
            <w:pPr>
              <w:pStyle w:val="Textpoznpodarou"/>
              <w:jc w:val="both"/>
              <w:rPr>
                <w:spacing w:val="-2"/>
                <w:sz w:val="16"/>
                <w:szCs w:val="16"/>
              </w:rPr>
            </w:pPr>
          </w:p>
        </w:tc>
      </w:tr>
      <w:tr w:rsidR="007A4048" w:rsidRPr="002A7D6D" w:rsidTr="0002434F">
        <w:tc>
          <w:tcPr>
            <w:tcW w:w="1054" w:type="pct"/>
          </w:tcPr>
          <w:p w:rsidR="007A4048" w:rsidRPr="005E01FF" w:rsidRDefault="007A4048" w:rsidP="0002434F">
            <w:pPr>
              <w:spacing w:line="240" w:lineRule="auto"/>
              <w:rPr>
                <w:spacing w:val="-4"/>
                <w:sz w:val="16"/>
                <w:szCs w:val="16"/>
              </w:rPr>
            </w:pPr>
            <w:r w:rsidRPr="005E01FF">
              <w:rPr>
                <w:sz w:val="16"/>
                <w:szCs w:val="16"/>
              </w:rPr>
              <w:t>Vyšší meziroční růst vývozu (6 %) oproti dovozu (5,6 %) ve spojení s kladnými směnnými</w:t>
            </w:r>
            <w:r w:rsidRPr="005E01FF">
              <w:rPr>
                <w:spacing w:val="-4"/>
                <w:sz w:val="16"/>
                <w:szCs w:val="16"/>
              </w:rPr>
              <w:t xml:space="preserve"> relacemi (101,1 %) přiblížily </w:t>
            </w:r>
            <w:r w:rsidRPr="005E01FF">
              <w:rPr>
                <w:sz w:val="16"/>
                <w:szCs w:val="16"/>
              </w:rPr>
              <w:t>přebytek zahraničního obchodu 90 mld. korun</w:t>
            </w:r>
          </w:p>
        </w:tc>
        <w:tc>
          <w:tcPr>
            <w:tcW w:w="143" w:type="pct"/>
          </w:tcPr>
          <w:p w:rsidR="007A4048" w:rsidRPr="005E01FF" w:rsidRDefault="007A4048" w:rsidP="0002434F">
            <w:pPr>
              <w:pStyle w:val="Textpoznpodarou"/>
              <w:jc w:val="both"/>
            </w:pPr>
          </w:p>
        </w:tc>
        <w:tc>
          <w:tcPr>
            <w:tcW w:w="3803" w:type="pct"/>
          </w:tcPr>
          <w:p w:rsidR="007A4048" w:rsidRPr="005E01FF" w:rsidRDefault="007A4048" w:rsidP="0002434F">
            <w:pPr>
              <w:pStyle w:val="Textpoznpodarou"/>
              <w:jc w:val="both"/>
              <w:rPr>
                <w:spacing w:val="-2"/>
              </w:rPr>
            </w:pPr>
            <w:r w:rsidRPr="005E01FF">
              <w:rPr>
                <w:spacing w:val="-2"/>
              </w:rPr>
              <w:t xml:space="preserve">Na dosud rekordním přebytku zahraničního obchodu se zbožím a službami atakujícím hranici 90 mld. korun nominálně se podílel příznivý meziroční vývoj </w:t>
            </w:r>
            <w:r w:rsidRPr="005E01FF">
              <w:rPr>
                <w:spacing w:val="-4"/>
              </w:rPr>
              <w:t>vývozu a dovozu v reálném vyjádření i kladné směnné relace. Přitom oba tyto</w:t>
            </w:r>
            <w:r w:rsidRPr="005E01FF">
              <w:rPr>
                <w:spacing w:val="-2"/>
              </w:rPr>
              <w:t xml:space="preserve"> faktory se promítaly pozitivně v samotném přebytku zboží i přebytku služeb. Převaha vývozu zboží nad jeho dovozem stoupla v 1. čtvrtletí o 11,9 mld. korun na 72 mld., přebytek ve službách dosáhl 17,1 mld. a v meziročním srovnání byl vyšší o 2,8 mld.</w:t>
            </w:r>
          </w:p>
          <w:p w:rsidR="007A4048" w:rsidRPr="005E01FF" w:rsidRDefault="007A4048" w:rsidP="0002434F">
            <w:pPr>
              <w:pStyle w:val="Textpoznpodarou"/>
              <w:jc w:val="both"/>
              <w:rPr>
                <w:sz w:val="18"/>
                <w:szCs w:val="18"/>
              </w:rPr>
            </w:pPr>
          </w:p>
        </w:tc>
      </w:tr>
      <w:tr w:rsidR="007A4048" w:rsidRPr="002A7D6D" w:rsidTr="0002434F">
        <w:tc>
          <w:tcPr>
            <w:tcW w:w="1054" w:type="pct"/>
          </w:tcPr>
          <w:p w:rsidR="007A4048" w:rsidRPr="005E01FF" w:rsidRDefault="007A4048" w:rsidP="0002434F">
            <w:pPr>
              <w:spacing w:line="240" w:lineRule="auto"/>
              <w:rPr>
                <w:sz w:val="16"/>
                <w:szCs w:val="16"/>
              </w:rPr>
            </w:pPr>
            <w:r w:rsidRPr="005E01FF">
              <w:rPr>
                <w:sz w:val="16"/>
                <w:szCs w:val="16"/>
              </w:rPr>
              <w:t>Zisky ze směnných relací: 11,1 mld. korun</w:t>
            </w:r>
          </w:p>
        </w:tc>
        <w:tc>
          <w:tcPr>
            <w:tcW w:w="143" w:type="pct"/>
          </w:tcPr>
          <w:p w:rsidR="007A4048" w:rsidRPr="005E01FF" w:rsidRDefault="007A4048" w:rsidP="0002434F">
            <w:pPr>
              <w:pStyle w:val="Textpoznpodarou"/>
              <w:jc w:val="both"/>
            </w:pPr>
          </w:p>
        </w:tc>
        <w:tc>
          <w:tcPr>
            <w:tcW w:w="3803" w:type="pct"/>
          </w:tcPr>
          <w:p w:rsidR="007A4048" w:rsidRPr="005E01FF" w:rsidRDefault="007A4048" w:rsidP="0002434F">
            <w:pPr>
              <w:pStyle w:val="Textpoznpodarou"/>
              <w:jc w:val="both"/>
            </w:pPr>
            <w:r w:rsidRPr="005E01FF">
              <w:t>Reálný hrubý domácí důchod, který na rozdíl od HDP zohledňuje dodatečné zisky</w:t>
            </w:r>
            <w:r w:rsidR="00F10B64">
              <w:t>,</w:t>
            </w:r>
            <w:r w:rsidRPr="005E01FF">
              <w:t xml:space="preserve"> nebo ztráty z vývoje cen v zahraničním obchodě, resp. zisky</w:t>
            </w:r>
            <w:r w:rsidR="00F10B64">
              <w:t>,</w:t>
            </w:r>
            <w:r w:rsidRPr="005E01FF">
              <w:t xml:space="preserve"> nebo ztráty </w:t>
            </w:r>
            <w:r w:rsidRPr="005E01FF">
              <w:rPr>
                <w:spacing w:val="-6"/>
              </w:rPr>
              <w:t>ze směnných relací, vzrostl v 1. čtvrtletí 2016 meziročně o 3,6 % (bez očištění o</w:t>
            </w:r>
            <w:r w:rsidRPr="005E01FF">
              <w:t xml:space="preserve"> sezónní </w:t>
            </w:r>
            <w:r w:rsidRPr="005E01FF">
              <w:lastRenderedPageBreak/>
              <w:t>a kalendářní vlivy). V porovnání s dynamikou HDP (+2,6 %) byl vývoj reálného hrubého domácího důchodu silnější o 1 p.b. Ekonomika dosáhla dodatečného zisku ve výši 11,1 mld. korun, který byl nejvyšší za posledních pět čtvrtletí.</w:t>
            </w:r>
          </w:p>
          <w:p w:rsidR="007A4048" w:rsidRPr="005E01FF" w:rsidRDefault="007A4048" w:rsidP="0002434F">
            <w:pPr>
              <w:pStyle w:val="Textpoznpodarou"/>
              <w:jc w:val="both"/>
              <w:rPr>
                <w:sz w:val="18"/>
                <w:szCs w:val="18"/>
              </w:rPr>
            </w:pPr>
          </w:p>
        </w:tc>
      </w:tr>
      <w:tr w:rsidR="007A4048" w:rsidRPr="002A7D6D" w:rsidTr="0002434F">
        <w:tc>
          <w:tcPr>
            <w:tcW w:w="1054" w:type="pct"/>
          </w:tcPr>
          <w:p w:rsidR="007A4048" w:rsidRPr="005E01FF" w:rsidRDefault="007A4048" w:rsidP="0002434F">
            <w:pPr>
              <w:spacing w:line="240" w:lineRule="auto"/>
              <w:rPr>
                <w:sz w:val="16"/>
                <w:szCs w:val="16"/>
              </w:rPr>
            </w:pPr>
            <w:r w:rsidRPr="005E01FF">
              <w:rPr>
                <w:sz w:val="16"/>
                <w:szCs w:val="16"/>
              </w:rPr>
              <w:lastRenderedPageBreak/>
              <w:t xml:space="preserve">Z hlediska strany nabídky se na meziročním růstu ekonomiky v 1. čtvrtletí 2016 podílel především zpracovatelský průmysl, </w:t>
            </w:r>
            <w:r w:rsidR="00B534EF">
              <w:rPr>
                <w:sz w:val="16"/>
                <w:szCs w:val="16"/>
              </w:rPr>
              <w:t>výrazně na něm participovaly</w:t>
            </w:r>
            <w:r w:rsidRPr="005E01FF">
              <w:rPr>
                <w:sz w:val="16"/>
                <w:szCs w:val="16"/>
              </w:rPr>
              <w:t xml:space="preserve"> i služby, …</w:t>
            </w:r>
          </w:p>
        </w:tc>
        <w:tc>
          <w:tcPr>
            <w:tcW w:w="143" w:type="pct"/>
          </w:tcPr>
          <w:p w:rsidR="007A4048" w:rsidRPr="005E01FF" w:rsidRDefault="007A4048" w:rsidP="0002434F">
            <w:pPr>
              <w:pStyle w:val="Textpoznpodarou"/>
              <w:jc w:val="both"/>
            </w:pPr>
          </w:p>
        </w:tc>
        <w:tc>
          <w:tcPr>
            <w:tcW w:w="3803" w:type="pct"/>
          </w:tcPr>
          <w:p w:rsidR="007A4048" w:rsidRPr="005E01FF" w:rsidRDefault="007A4048" w:rsidP="0002434F">
            <w:pPr>
              <w:pStyle w:val="Textpoznpodarou"/>
              <w:jc w:val="both"/>
            </w:pPr>
            <w:r w:rsidRPr="005E01FF">
              <w:rPr>
                <w:spacing w:val="-2"/>
              </w:rPr>
              <w:t>Na meziročním růstu ekonomiky se z hlediska strany nabídky podílela v 1</w:t>
            </w:r>
            <w:r w:rsidRPr="005E01FF">
              <w:t>. čtvrtletí většina hlavních činností. Dominantní pozici si uchoval zpracovatelský průmysl, jehož hrubá přidaná hodnota narostla o 6,4 % a přispěla k</w:t>
            </w:r>
            <w:r w:rsidR="00B534EF">
              <w:t xml:space="preserve"> celkovému</w:t>
            </w:r>
            <w:r w:rsidRPr="005E01FF">
              <w:t> růstu 1,7</w:t>
            </w:r>
            <w:r w:rsidR="00B534EF">
              <w:t> </w:t>
            </w:r>
            <w:r w:rsidRPr="005E01FF">
              <w:t xml:space="preserve">p.b. V rámci </w:t>
            </w:r>
            <w:r w:rsidRPr="005E01FF">
              <w:rPr>
                <w:spacing w:val="-4"/>
              </w:rPr>
              <w:t>odvětví služeb se z hlediska dynamiky dařilo uskupení obchodu, dopravy</w:t>
            </w:r>
            <w:r w:rsidRPr="005E01FF">
              <w:t>, ubytování</w:t>
            </w:r>
            <w:r w:rsidRPr="005E01FF">
              <w:rPr>
                <w:spacing w:val="-2"/>
              </w:rPr>
              <w:t xml:space="preserve"> a pohostinství (+3,8 %), peněžnictví a pojišťovnictví (+3,5</w:t>
            </w:r>
            <w:r w:rsidRPr="005E01FF">
              <w:t xml:space="preserve"> %) a</w:t>
            </w:r>
            <w:r w:rsidR="00B534EF">
              <w:t> </w:t>
            </w:r>
            <w:r w:rsidRPr="005E01FF">
              <w:t xml:space="preserve">alespoň 3% přírůstku dosáhly i činnosti v oblasti nemovitostí. Také informační a komunikační </w:t>
            </w:r>
            <w:r w:rsidRPr="005E01FF">
              <w:rPr>
                <w:spacing w:val="-2"/>
              </w:rPr>
              <w:t>činnosti (+0,5 %) a profesní, vědecké, technické a administrativní činnosti (+2,6</w:t>
            </w:r>
            <w:r w:rsidRPr="005E01FF">
              <w:t xml:space="preserve"> %) pokračovaly v růstové trajektorii, nebyly ale již tak úspěšné jako v letech 2013, 2014 a 2015. Odvětví veřejných služeb (CZ-NACE O až Q) stouplo </w:t>
            </w:r>
            <w:r w:rsidRPr="005E01FF">
              <w:rPr>
                <w:spacing w:val="-6"/>
              </w:rPr>
              <w:t>o rovné 1 %. Společně se služby na</w:t>
            </w:r>
            <w:r w:rsidR="00B534EF">
              <w:rPr>
                <w:spacing w:val="-6"/>
              </w:rPr>
              <w:t xml:space="preserve"> celkovém</w:t>
            </w:r>
            <w:r w:rsidRPr="005E01FF">
              <w:rPr>
                <w:spacing w:val="-6"/>
              </w:rPr>
              <w:t xml:space="preserve"> růstu podílely 1,4</w:t>
            </w:r>
            <w:r w:rsidRPr="005E01FF">
              <w:t xml:space="preserve"> p.b.</w:t>
            </w:r>
          </w:p>
          <w:p w:rsidR="007A4048" w:rsidRPr="005E01FF" w:rsidRDefault="007A4048" w:rsidP="0002434F">
            <w:pPr>
              <w:pStyle w:val="Textpoznpodarou"/>
              <w:jc w:val="both"/>
              <w:rPr>
                <w:spacing w:val="-4"/>
                <w:sz w:val="18"/>
                <w:szCs w:val="18"/>
              </w:rPr>
            </w:pPr>
          </w:p>
        </w:tc>
      </w:tr>
      <w:tr w:rsidR="007A4048" w:rsidRPr="002A7D6D" w:rsidTr="0002434F">
        <w:tc>
          <w:tcPr>
            <w:tcW w:w="1054" w:type="pct"/>
          </w:tcPr>
          <w:p w:rsidR="007A4048" w:rsidRPr="005E01FF" w:rsidRDefault="007A4048" w:rsidP="0002434F">
            <w:pPr>
              <w:spacing w:line="240" w:lineRule="auto"/>
              <w:rPr>
                <w:sz w:val="16"/>
                <w:szCs w:val="16"/>
              </w:rPr>
            </w:pPr>
            <w:r w:rsidRPr="005E01FF">
              <w:rPr>
                <w:sz w:val="16"/>
                <w:szCs w:val="16"/>
              </w:rPr>
              <w:t>… stavebnictví však zpomalilo a k růstu již prakticky nepřispívalo</w:t>
            </w:r>
          </w:p>
        </w:tc>
        <w:tc>
          <w:tcPr>
            <w:tcW w:w="143" w:type="pct"/>
          </w:tcPr>
          <w:p w:rsidR="007A4048" w:rsidRPr="005E01FF" w:rsidRDefault="007A4048" w:rsidP="0002434F">
            <w:pPr>
              <w:pStyle w:val="Textpoznpodarou"/>
              <w:jc w:val="both"/>
            </w:pPr>
          </w:p>
        </w:tc>
        <w:tc>
          <w:tcPr>
            <w:tcW w:w="3803" w:type="pct"/>
          </w:tcPr>
          <w:p w:rsidR="007A4048" w:rsidRPr="00C67481" w:rsidRDefault="007A4048" w:rsidP="0002434F">
            <w:pPr>
              <w:pStyle w:val="Textpoznpodarou"/>
              <w:jc w:val="both"/>
            </w:pPr>
            <w:r w:rsidRPr="00C67481">
              <w:rPr>
                <w:spacing w:val="-4"/>
              </w:rPr>
              <w:t>Pokles investic do ostatních budov a staveb při pokračujícím růstu investic do</w:t>
            </w:r>
            <w:r w:rsidRPr="00C67481">
              <w:t xml:space="preserve"> obydlí se odrazil ve výrazném zpomalení hrubé přidané hodnoty stavebnictví (na +0,4 % v 1. čtvrtletí) a způsobil, že příspěvek tohoto odvětví k růstu byl prakticky nulový. </w:t>
            </w:r>
            <w:r w:rsidRPr="00C67481">
              <w:rPr>
                <w:spacing w:val="-2"/>
              </w:rPr>
              <w:t>Stagnující zemědělství, lesnictví a rybářství (+0,1 %) se na růstu rovněž</w:t>
            </w:r>
            <w:r w:rsidRPr="00C67481">
              <w:t xml:space="preserve"> nepodílelo. </w:t>
            </w:r>
            <w:r w:rsidRPr="00C67481">
              <w:rPr>
                <w:spacing w:val="-2"/>
              </w:rPr>
              <w:t>Nezpracovatelská průmyslová odvětví jako celek ekonomiku nepatrně</w:t>
            </w:r>
            <w:r w:rsidRPr="00C67481">
              <w:t xml:space="preserve"> zpomalovala (-0,1 p.b.) především vlivem pokračujícího poklesu energetiky.</w:t>
            </w:r>
          </w:p>
        </w:tc>
      </w:tr>
    </w:tbl>
    <w:p w:rsidR="00ED3A94" w:rsidRPr="007A4048" w:rsidRDefault="00ED3A94" w:rsidP="00960769">
      <w:pPr>
        <w:pStyle w:val="Textpoznpodarou"/>
        <w:jc w:val="both"/>
        <w:rPr>
          <w:sz w:val="18"/>
          <w:szCs w:val="18"/>
        </w:rPr>
      </w:pPr>
    </w:p>
    <w:tbl>
      <w:tblPr>
        <w:tblW w:w="5000" w:type="pct"/>
        <w:tblLook w:val="04A0"/>
      </w:tblPr>
      <w:tblGrid>
        <w:gridCol w:w="1060"/>
        <w:gridCol w:w="3879"/>
        <w:gridCol w:w="622"/>
        <w:gridCol w:w="4293"/>
      </w:tblGrid>
      <w:tr w:rsidR="007A4048" w:rsidRPr="006133A2" w:rsidTr="007A4048">
        <w:tc>
          <w:tcPr>
            <w:tcW w:w="537" w:type="pct"/>
          </w:tcPr>
          <w:p w:rsidR="007A4048" w:rsidRPr="00E67C19" w:rsidRDefault="007A4048" w:rsidP="0002434F">
            <w:pPr>
              <w:pStyle w:val="Textpoznpodarou"/>
              <w:rPr>
                <w:lang w:eastAsia="en-US"/>
              </w:rPr>
            </w:pPr>
            <w:r w:rsidRPr="00E67C19">
              <w:rPr>
                <w:lang w:eastAsia="en-US"/>
              </w:rPr>
              <w:t>Graf č. 1</w:t>
            </w:r>
          </w:p>
        </w:tc>
        <w:tc>
          <w:tcPr>
            <w:tcW w:w="1968" w:type="pct"/>
          </w:tcPr>
          <w:p w:rsidR="007A4048" w:rsidRPr="00E67C19" w:rsidRDefault="007A4048" w:rsidP="0002434F">
            <w:pPr>
              <w:pStyle w:val="Textpoznpodarou"/>
              <w:rPr>
                <w:lang w:eastAsia="en-US"/>
              </w:rPr>
            </w:pPr>
            <w:r w:rsidRPr="00E67C19">
              <w:rPr>
                <w:b/>
                <w:lang w:eastAsia="en-US"/>
              </w:rPr>
              <w:t xml:space="preserve">HDP </w:t>
            </w:r>
            <w:r w:rsidRPr="00E67C19">
              <w:rPr>
                <w:lang w:eastAsia="en-US"/>
              </w:rPr>
              <w:t>(stálé ceny, očištěno o sezónní a kalendářní vlivy, v %)</w:t>
            </w:r>
          </w:p>
        </w:tc>
        <w:tc>
          <w:tcPr>
            <w:tcW w:w="315" w:type="pct"/>
          </w:tcPr>
          <w:p w:rsidR="007A4048" w:rsidRPr="005E01FF" w:rsidRDefault="007A4048" w:rsidP="0002434F">
            <w:pPr>
              <w:pStyle w:val="Textpoznpodarou"/>
              <w:rPr>
                <w:lang w:eastAsia="en-US"/>
              </w:rPr>
            </w:pPr>
            <w:r w:rsidRPr="005E01FF">
              <w:rPr>
                <w:lang w:eastAsia="en-US"/>
              </w:rPr>
              <w:t>Graf č. 2</w:t>
            </w:r>
          </w:p>
        </w:tc>
        <w:tc>
          <w:tcPr>
            <w:tcW w:w="2180" w:type="pct"/>
          </w:tcPr>
          <w:p w:rsidR="007A4048" w:rsidRPr="005E01FF" w:rsidRDefault="007A4048" w:rsidP="0002434F">
            <w:pPr>
              <w:pStyle w:val="Textpoznpodarou"/>
              <w:rPr>
                <w:spacing w:val="-2"/>
                <w:lang w:eastAsia="en-US"/>
              </w:rPr>
            </w:pPr>
            <w:r w:rsidRPr="005E01FF">
              <w:rPr>
                <w:b/>
                <w:spacing w:val="-2"/>
                <w:lang w:eastAsia="en-US"/>
              </w:rPr>
              <w:t xml:space="preserve">HDP </w:t>
            </w:r>
            <w:r w:rsidRPr="005E01FF">
              <w:rPr>
                <w:spacing w:val="-2"/>
                <w:lang w:eastAsia="en-US"/>
              </w:rPr>
              <w:t xml:space="preserve">(stálé ceny, očištěno o sezónní a kalendářní vlivy, y/y v %, pravá osa) </w:t>
            </w:r>
            <w:r w:rsidRPr="005E01FF">
              <w:rPr>
                <w:b/>
                <w:spacing w:val="-2"/>
                <w:lang w:eastAsia="en-US"/>
              </w:rPr>
              <w:t>a indikátory důvěry</w:t>
            </w:r>
            <w:r w:rsidRPr="005E01FF">
              <w:rPr>
                <w:spacing w:val="-2"/>
                <w:lang w:eastAsia="en-US"/>
              </w:rPr>
              <w:t xml:space="preserve"> (2005=100, levá osa)</w:t>
            </w:r>
          </w:p>
        </w:tc>
      </w:tr>
      <w:tr w:rsidR="007A4048" w:rsidRPr="006133A2" w:rsidTr="007A4048">
        <w:tc>
          <w:tcPr>
            <w:tcW w:w="2505" w:type="pct"/>
            <w:gridSpan w:val="2"/>
          </w:tcPr>
          <w:p w:rsidR="007A4048" w:rsidRPr="00960769" w:rsidRDefault="00CE505D" w:rsidP="0002434F">
            <w:pPr>
              <w:pStyle w:val="Textpoznpodarou"/>
              <w:jc w:val="both"/>
              <w:rPr>
                <w:color w:val="FF0000"/>
                <w:lang w:eastAsia="en-US"/>
              </w:rPr>
            </w:pPr>
            <w:r w:rsidRPr="00785FCA">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9pt;height:187.85pt;visibility:visible;mso-wrap-style:square">
                  <v:imagedata r:id="rId12" o:title=""/>
                </v:shape>
              </w:pict>
            </w:r>
          </w:p>
        </w:tc>
        <w:tc>
          <w:tcPr>
            <w:tcW w:w="2495" w:type="pct"/>
            <w:gridSpan w:val="2"/>
          </w:tcPr>
          <w:p w:rsidR="007A4048" w:rsidRPr="00960769" w:rsidRDefault="00CE505D" w:rsidP="0002434F">
            <w:pPr>
              <w:pStyle w:val="Textpoznpodarou"/>
              <w:jc w:val="both"/>
              <w:rPr>
                <w:color w:val="FF0000"/>
                <w:lang w:eastAsia="en-US"/>
              </w:rPr>
            </w:pPr>
            <w:r w:rsidRPr="00785FCA">
              <w:rPr>
                <w:noProof/>
                <w:color w:val="FF0000"/>
              </w:rPr>
              <w:pict>
                <v:shape id="obrázek 2" o:spid="_x0000_i1026" type="#_x0000_t75" style="width:236.65pt;height:187.85pt;visibility:visible;mso-wrap-style:square">
                  <v:imagedata r:id="rId13" o:title=""/>
                </v:shape>
              </w:pict>
            </w:r>
          </w:p>
        </w:tc>
      </w:tr>
      <w:tr w:rsidR="007A4048" w:rsidRPr="006133A2" w:rsidTr="0002434F">
        <w:tc>
          <w:tcPr>
            <w:tcW w:w="5000" w:type="pct"/>
            <w:gridSpan w:val="4"/>
          </w:tcPr>
          <w:p w:rsidR="007A4048" w:rsidRPr="005E01FF" w:rsidRDefault="007A4048" w:rsidP="0002434F">
            <w:pPr>
              <w:pStyle w:val="Textpoznpodarou"/>
              <w:jc w:val="right"/>
              <w:rPr>
                <w:sz w:val="18"/>
                <w:szCs w:val="18"/>
                <w:lang w:eastAsia="en-US"/>
              </w:rPr>
            </w:pPr>
            <w:r w:rsidRPr="005E01FF">
              <w:rPr>
                <w:sz w:val="18"/>
                <w:szCs w:val="18"/>
                <w:lang w:eastAsia="en-US"/>
              </w:rPr>
              <w:t>Zdroj: ČSÚ, Eurostat</w:t>
            </w:r>
          </w:p>
        </w:tc>
      </w:tr>
    </w:tbl>
    <w:p w:rsidR="00ED3A94" w:rsidRPr="007A4048" w:rsidRDefault="00ED3A94" w:rsidP="00960769">
      <w:pPr>
        <w:pStyle w:val="Textpoznpodarou"/>
        <w:jc w:val="both"/>
        <w:rPr>
          <w:sz w:val="18"/>
          <w:szCs w:val="18"/>
        </w:rPr>
      </w:pPr>
    </w:p>
    <w:tbl>
      <w:tblPr>
        <w:tblW w:w="5000" w:type="pct"/>
        <w:tblLook w:val="04A0"/>
      </w:tblPr>
      <w:tblGrid>
        <w:gridCol w:w="632"/>
        <w:gridCol w:w="4282"/>
        <w:gridCol w:w="1008"/>
        <w:gridCol w:w="1397"/>
        <w:gridCol w:w="2535"/>
      </w:tblGrid>
      <w:tr w:rsidR="007A4048" w:rsidRPr="006133A2" w:rsidTr="0002434F">
        <w:tc>
          <w:tcPr>
            <w:tcW w:w="320" w:type="pct"/>
          </w:tcPr>
          <w:p w:rsidR="007A4048" w:rsidRPr="005E01FF" w:rsidRDefault="007A4048" w:rsidP="0002434F">
            <w:pPr>
              <w:pStyle w:val="Textpoznpodarou"/>
              <w:rPr>
                <w:lang w:eastAsia="en-US"/>
              </w:rPr>
            </w:pPr>
            <w:r w:rsidRPr="005E01FF">
              <w:rPr>
                <w:lang w:eastAsia="en-US"/>
              </w:rPr>
              <w:t>Graf č. 3</w:t>
            </w:r>
          </w:p>
        </w:tc>
        <w:tc>
          <w:tcPr>
            <w:tcW w:w="2175" w:type="pct"/>
          </w:tcPr>
          <w:p w:rsidR="007A4048" w:rsidRPr="005E01FF" w:rsidRDefault="007A4048" w:rsidP="0002434F">
            <w:pPr>
              <w:pStyle w:val="Textpoznpodarou"/>
              <w:rPr>
                <w:spacing w:val="-6"/>
                <w:lang w:eastAsia="en-US"/>
              </w:rPr>
            </w:pPr>
            <w:r w:rsidRPr="005E01FF">
              <w:rPr>
                <w:b/>
                <w:spacing w:val="-6"/>
                <w:lang w:eastAsia="en-US"/>
              </w:rPr>
              <w:t>Příspěvky výdajových složek ke změně HDP*</w:t>
            </w:r>
            <w:r w:rsidRPr="005E01FF">
              <w:rPr>
                <w:spacing w:val="-6"/>
                <w:lang w:eastAsia="en-US"/>
              </w:rPr>
              <w:t xml:space="preserve"> (stálé ceny, y/y, příspěvky v p.b., HDP v %)</w:t>
            </w:r>
          </w:p>
        </w:tc>
        <w:tc>
          <w:tcPr>
            <w:tcW w:w="511" w:type="pct"/>
          </w:tcPr>
          <w:p w:rsidR="007A4048" w:rsidRPr="005E01FF" w:rsidRDefault="007A4048" w:rsidP="0002434F">
            <w:pPr>
              <w:pStyle w:val="Textpoznpodarou"/>
              <w:rPr>
                <w:lang w:eastAsia="en-US"/>
              </w:rPr>
            </w:pPr>
            <w:r w:rsidRPr="005E01FF">
              <w:rPr>
                <w:lang w:eastAsia="en-US"/>
              </w:rPr>
              <w:t>Graf č. 4</w:t>
            </w:r>
          </w:p>
        </w:tc>
        <w:tc>
          <w:tcPr>
            <w:tcW w:w="1994" w:type="pct"/>
            <w:gridSpan w:val="2"/>
          </w:tcPr>
          <w:p w:rsidR="007A4048" w:rsidRPr="005E01FF" w:rsidRDefault="007A4048" w:rsidP="0002434F">
            <w:pPr>
              <w:pStyle w:val="Textpoznpodarou"/>
              <w:rPr>
                <w:lang w:eastAsia="en-US"/>
              </w:rPr>
            </w:pPr>
            <w:r w:rsidRPr="005E01FF">
              <w:rPr>
                <w:b/>
                <w:lang w:eastAsia="en-US"/>
              </w:rPr>
              <w:t>Příspěvky odvětví ke změně HPH</w:t>
            </w:r>
            <w:r w:rsidRPr="005E01FF">
              <w:rPr>
                <w:lang w:eastAsia="en-US"/>
              </w:rPr>
              <w:t xml:space="preserve"> (stálé ceny, y/y, příspěvky v p.b., HPH v %)</w:t>
            </w:r>
          </w:p>
        </w:tc>
      </w:tr>
      <w:tr w:rsidR="007A4048" w:rsidRPr="006133A2" w:rsidTr="0002434F">
        <w:tc>
          <w:tcPr>
            <w:tcW w:w="2495" w:type="pct"/>
            <w:gridSpan w:val="2"/>
          </w:tcPr>
          <w:p w:rsidR="007A4048" w:rsidRPr="00960769" w:rsidRDefault="00CE505D" w:rsidP="0002434F">
            <w:pPr>
              <w:pStyle w:val="Textpoznpodarou"/>
              <w:jc w:val="both"/>
              <w:rPr>
                <w:color w:val="FF0000"/>
                <w:sz w:val="22"/>
                <w:lang w:eastAsia="en-US"/>
              </w:rPr>
            </w:pPr>
            <w:r w:rsidRPr="00785FCA">
              <w:rPr>
                <w:noProof/>
                <w:color w:val="FF0000"/>
                <w:sz w:val="22"/>
              </w:rPr>
              <w:pict>
                <v:shape id="obrázek 3" o:spid="_x0000_i1027" type="#_x0000_t75" style="width:236.65pt;height:187.85pt;visibility:visible;mso-wrap-style:square">
                  <v:imagedata r:id="rId14" o:title=""/>
                </v:shape>
              </w:pict>
            </w:r>
          </w:p>
        </w:tc>
        <w:tc>
          <w:tcPr>
            <w:tcW w:w="2505" w:type="pct"/>
            <w:gridSpan w:val="3"/>
          </w:tcPr>
          <w:p w:rsidR="007A4048" w:rsidRPr="00960769" w:rsidRDefault="00CE505D" w:rsidP="0002434F">
            <w:pPr>
              <w:pStyle w:val="Textpoznpodarou"/>
              <w:jc w:val="both"/>
              <w:rPr>
                <w:color w:val="FF0000"/>
                <w:sz w:val="22"/>
                <w:lang w:eastAsia="en-US"/>
              </w:rPr>
            </w:pPr>
            <w:r w:rsidRPr="00785FCA">
              <w:rPr>
                <w:noProof/>
                <w:color w:val="FF0000"/>
                <w:sz w:val="22"/>
              </w:rPr>
              <w:pict>
                <v:shape id="obrázek 4" o:spid="_x0000_i1028" type="#_x0000_t75" style="width:237.9pt;height:187.85pt;visibility:visible;mso-wrap-style:square">
                  <v:imagedata r:id="rId15" o:title=""/>
                </v:shape>
              </w:pict>
            </w:r>
          </w:p>
        </w:tc>
      </w:tr>
      <w:tr w:rsidR="007A4048" w:rsidRPr="006133A2" w:rsidTr="0002434F">
        <w:tc>
          <w:tcPr>
            <w:tcW w:w="3714" w:type="pct"/>
            <w:gridSpan w:val="4"/>
          </w:tcPr>
          <w:p w:rsidR="007A4048" w:rsidRPr="005E01FF" w:rsidRDefault="007A4048" w:rsidP="0002434F">
            <w:pPr>
              <w:pStyle w:val="Textpoznpodarou"/>
              <w:rPr>
                <w:sz w:val="18"/>
                <w:szCs w:val="18"/>
                <w:lang w:eastAsia="en-US"/>
              </w:rPr>
            </w:pPr>
            <w:r w:rsidRPr="005E01FF">
              <w:rPr>
                <w:sz w:val="18"/>
                <w:szCs w:val="18"/>
                <w:lang w:eastAsia="en-US"/>
              </w:rPr>
              <w:t>*příspěvky ke změně HDP bez vyloučení dovozu pro konečné užití</w:t>
            </w:r>
          </w:p>
        </w:tc>
        <w:tc>
          <w:tcPr>
            <w:tcW w:w="1286" w:type="pct"/>
          </w:tcPr>
          <w:p w:rsidR="007A4048" w:rsidRPr="005E01FF" w:rsidRDefault="007A4048" w:rsidP="0002434F">
            <w:pPr>
              <w:pStyle w:val="Textpoznpodarou"/>
              <w:jc w:val="right"/>
              <w:rPr>
                <w:sz w:val="18"/>
                <w:szCs w:val="18"/>
                <w:lang w:eastAsia="en-US"/>
              </w:rPr>
            </w:pPr>
            <w:r w:rsidRPr="005E01FF">
              <w:rPr>
                <w:sz w:val="18"/>
                <w:szCs w:val="18"/>
                <w:lang w:eastAsia="en-US"/>
              </w:rPr>
              <w:t>Zdroj: ČSÚ</w:t>
            </w:r>
          </w:p>
        </w:tc>
      </w:tr>
    </w:tbl>
    <w:p w:rsidR="00ED3A94" w:rsidRPr="007A4048" w:rsidRDefault="00ED3A94" w:rsidP="00960769">
      <w:pPr>
        <w:pStyle w:val="Textpoznpodarou"/>
        <w:jc w:val="both"/>
        <w:rPr>
          <w:sz w:val="2"/>
          <w:szCs w:val="2"/>
        </w:rPr>
      </w:pPr>
    </w:p>
    <w:p w:rsidR="00576A3E" w:rsidRPr="00F4591F" w:rsidRDefault="00576A3E" w:rsidP="00FC3C84">
      <w:pPr>
        <w:pStyle w:val="Nadpis1"/>
        <w:numPr>
          <w:ilvl w:val="0"/>
          <w:numId w:val="3"/>
        </w:numPr>
        <w:jc w:val="both"/>
      </w:pPr>
      <w:bookmarkStart w:id="5" w:name="_Toc454185150"/>
      <w:r>
        <w:t>Výkonnost odvětví</w:t>
      </w:r>
      <w:bookmarkEnd w:id="5"/>
    </w:p>
    <w:tbl>
      <w:tblPr>
        <w:tblW w:w="4999" w:type="pct"/>
        <w:tblCellMar>
          <w:left w:w="28" w:type="dxa"/>
          <w:right w:w="28" w:type="dxa"/>
        </w:tblCellMar>
        <w:tblLook w:val="04A0"/>
      </w:tblPr>
      <w:tblGrid>
        <w:gridCol w:w="2113"/>
        <w:gridCol w:w="281"/>
        <w:gridCol w:w="7298"/>
      </w:tblGrid>
      <w:tr w:rsidR="000E1EEA" w:rsidRPr="007E61CB" w:rsidTr="0002434F">
        <w:tc>
          <w:tcPr>
            <w:tcW w:w="1090" w:type="pct"/>
          </w:tcPr>
          <w:p w:rsidR="000E1EEA" w:rsidRDefault="000E1EEA" w:rsidP="0002434F">
            <w:pPr>
              <w:spacing w:line="240" w:lineRule="auto"/>
              <w:rPr>
                <w:color w:val="0D0D0D" w:themeColor="text1" w:themeTint="F2"/>
                <w:sz w:val="16"/>
                <w:szCs w:val="16"/>
              </w:rPr>
            </w:pPr>
            <w:r w:rsidRPr="00EF20EA">
              <w:rPr>
                <w:color w:val="0D0D0D" w:themeColor="text1" w:themeTint="F2"/>
                <w:sz w:val="16"/>
                <w:szCs w:val="16"/>
              </w:rPr>
              <w:t>Meziroč</w:t>
            </w:r>
            <w:r>
              <w:rPr>
                <w:color w:val="0D0D0D" w:themeColor="text1" w:themeTint="F2"/>
                <w:sz w:val="16"/>
                <w:szCs w:val="16"/>
              </w:rPr>
              <w:t xml:space="preserve">ní tempo růstu hrubé přidané hodnoty (HPH) sláblo již druhé čtvrtletí </w:t>
            </w:r>
          </w:p>
          <w:p w:rsidR="000E1EEA" w:rsidRPr="00EF20EA" w:rsidRDefault="000E1EEA" w:rsidP="0002434F">
            <w:pPr>
              <w:spacing w:line="240" w:lineRule="auto"/>
              <w:rPr>
                <w:color w:val="0D0D0D" w:themeColor="text1" w:themeTint="F2"/>
                <w:sz w:val="16"/>
                <w:szCs w:val="16"/>
              </w:rPr>
            </w:pPr>
            <w:r>
              <w:rPr>
                <w:color w:val="0D0D0D" w:themeColor="text1" w:themeTint="F2"/>
                <w:sz w:val="16"/>
                <w:szCs w:val="16"/>
              </w:rPr>
              <w:t>v řadě</w:t>
            </w:r>
          </w:p>
        </w:tc>
        <w:tc>
          <w:tcPr>
            <w:tcW w:w="145" w:type="pct"/>
          </w:tcPr>
          <w:p w:rsidR="000E1EEA" w:rsidRDefault="000E1EEA" w:rsidP="0002434F">
            <w:pPr>
              <w:pStyle w:val="Textpoznpodarou"/>
              <w:jc w:val="both"/>
            </w:pPr>
          </w:p>
        </w:tc>
        <w:tc>
          <w:tcPr>
            <w:tcW w:w="3765" w:type="pct"/>
          </w:tcPr>
          <w:p w:rsidR="000E1EEA" w:rsidRPr="00B50A6B" w:rsidRDefault="000E1EEA" w:rsidP="0002434F">
            <w:pPr>
              <w:spacing w:line="240" w:lineRule="auto"/>
              <w:jc w:val="both"/>
              <w:rPr>
                <w:color w:val="0D0D0D" w:themeColor="text1" w:themeTint="F2"/>
                <w:szCs w:val="20"/>
              </w:rPr>
            </w:pPr>
            <w:r w:rsidRPr="00B50A6B">
              <w:rPr>
                <w:spacing w:val="-4"/>
                <w:szCs w:val="20"/>
              </w:rPr>
              <w:t xml:space="preserve">Výkon všech odvětví ekonomiky, zachycený </w:t>
            </w:r>
            <w:r>
              <w:rPr>
                <w:spacing w:val="-4"/>
                <w:szCs w:val="20"/>
              </w:rPr>
              <w:t>v nich vytvořenou hrubou přidanou hodnotou</w:t>
            </w:r>
            <w:r w:rsidRPr="00B50A6B">
              <w:rPr>
                <w:spacing w:val="-4"/>
                <w:szCs w:val="20"/>
              </w:rPr>
              <w:t xml:space="preserve"> (HPH)</w:t>
            </w:r>
            <w:r>
              <w:rPr>
                <w:rStyle w:val="Znakapoznpodarou"/>
                <w:spacing w:val="-4"/>
                <w:szCs w:val="20"/>
              </w:rPr>
              <w:footnoteReference w:id="8"/>
            </w:r>
            <w:r w:rsidRPr="00B50A6B">
              <w:rPr>
                <w:spacing w:val="-4"/>
                <w:szCs w:val="20"/>
              </w:rPr>
              <w:t>, byl v prvních třech měsících roku meziročně o 3 % vyšší. Navzdory slábnutí tempa šlo stále o pátou nejvyšší hodnotu ze zemí EU</w:t>
            </w:r>
            <w:r w:rsidRPr="00B50A6B">
              <w:rPr>
                <w:rStyle w:val="Znakapoznpodarou"/>
                <w:spacing w:val="-4"/>
                <w:szCs w:val="20"/>
              </w:rPr>
              <w:footnoteReference w:id="9"/>
            </w:r>
            <w:r w:rsidRPr="00B50A6B">
              <w:rPr>
                <w:spacing w:val="-4"/>
                <w:szCs w:val="20"/>
              </w:rPr>
              <w:t xml:space="preserve">. V mezičtvrtletním vyjádření pokračoval růst již podvanácté v řadě, jeho tempo (0,5 %) však bylo proti průměrné úrovni všech čtvrtletí roku 2015 poloviční. Citelné oslabení mezičtvrtletní dynamiky (proti úrovni z druhé poloviny roku 2015) se na úrovni celé Unie neprojevilo, bylo však viditelné u některých států, které dočerpávaly prostředky z EU na konci programovacího období (Polsko, Maďarsko, Slovensko, </w:t>
            </w:r>
            <w:r>
              <w:rPr>
                <w:spacing w:val="-4"/>
                <w:szCs w:val="20"/>
              </w:rPr>
              <w:t>p</w:t>
            </w:r>
            <w:r w:rsidRPr="00B50A6B">
              <w:rPr>
                <w:spacing w:val="-4"/>
                <w:szCs w:val="20"/>
              </w:rPr>
              <w:t xml:space="preserve">obaltské státy). Zatímco v Česku </w:t>
            </w:r>
            <w:r>
              <w:rPr>
                <w:spacing w:val="-4"/>
                <w:szCs w:val="20"/>
              </w:rPr>
              <w:t>tradičně táhne</w:t>
            </w:r>
            <w:r w:rsidRPr="00B50A6B">
              <w:rPr>
                <w:spacing w:val="-4"/>
                <w:szCs w:val="20"/>
              </w:rPr>
              <w:t xml:space="preserve"> růst HPH</w:t>
            </w:r>
            <w:r>
              <w:rPr>
                <w:color w:val="0D0D0D" w:themeColor="text1" w:themeTint="F2"/>
                <w:szCs w:val="20"/>
              </w:rPr>
              <w:t xml:space="preserve"> zpracovatelský průmysl, v </w:t>
            </w:r>
            <w:r w:rsidRPr="00B50A6B">
              <w:rPr>
                <w:color w:val="0D0D0D" w:themeColor="text1" w:themeTint="F2"/>
                <w:szCs w:val="20"/>
              </w:rPr>
              <w:t>EU ale tuto roli plní seskupení odvětví obchod, doprava, ubytování a pohostinství</w:t>
            </w:r>
            <w:r>
              <w:rPr>
                <w:color w:val="0D0D0D" w:themeColor="text1" w:themeTint="F2"/>
                <w:szCs w:val="20"/>
              </w:rPr>
              <w:t>.</w:t>
            </w:r>
          </w:p>
          <w:p w:rsidR="000E1EEA" w:rsidRPr="00B07C2A" w:rsidRDefault="000E1EEA" w:rsidP="0002434F">
            <w:pPr>
              <w:pStyle w:val="Textpoznpodarou"/>
              <w:jc w:val="both"/>
              <w:rPr>
                <w:spacing w:val="-4"/>
                <w:sz w:val="16"/>
                <w:szCs w:val="16"/>
              </w:rPr>
            </w:pPr>
          </w:p>
        </w:tc>
      </w:tr>
      <w:tr w:rsidR="000E1EEA" w:rsidRPr="00A51B62" w:rsidTr="0002434F">
        <w:tc>
          <w:tcPr>
            <w:tcW w:w="1090" w:type="pct"/>
          </w:tcPr>
          <w:p w:rsidR="000E1EEA" w:rsidRDefault="000E1EEA" w:rsidP="0002434F">
            <w:pPr>
              <w:spacing w:line="240" w:lineRule="auto"/>
              <w:rPr>
                <w:spacing w:val="-2"/>
                <w:sz w:val="16"/>
                <w:szCs w:val="16"/>
              </w:rPr>
            </w:pPr>
            <w:r>
              <w:rPr>
                <w:spacing w:val="-2"/>
                <w:sz w:val="16"/>
                <w:szCs w:val="16"/>
              </w:rPr>
              <w:t>Na růstu HPH participovala všechna klíčová odvětví ekonomiky, samotný zpracovatelský průmysl se na něm podílel však téměř 60 %</w:t>
            </w:r>
          </w:p>
          <w:p w:rsidR="000E1EEA" w:rsidRPr="000A4ACC" w:rsidRDefault="000E1EEA" w:rsidP="0002434F">
            <w:pPr>
              <w:spacing w:line="240" w:lineRule="auto"/>
              <w:rPr>
                <w:spacing w:val="-2"/>
                <w:sz w:val="16"/>
                <w:szCs w:val="16"/>
              </w:rPr>
            </w:pPr>
          </w:p>
        </w:tc>
        <w:tc>
          <w:tcPr>
            <w:tcW w:w="145" w:type="pct"/>
          </w:tcPr>
          <w:p w:rsidR="000E1EEA" w:rsidRDefault="000E1EEA" w:rsidP="0002434F">
            <w:pPr>
              <w:pStyle w:val="Textpoznpodarou"/>
              <w:jc w:val="both"/>
            </w:pPr>
          </w:p>
        </w:tc>
        <w:tc>
          <w:tcPr>
            <w:tcW w:w="3765" w:type="pct"/>
          </w:tcPr>
          <w:p w:rsidR="000E1EEA" w:rsidRPr="003B4035" w:rsidRDefault="000E1EEA" w:rsidP="0002434F">
            <w:pPr>
              <w:pStyle w:val="Textpoznpodarou"/>
              <w:jc w:val="both"/>
              <w:rPr>
                <w:spacing w:val="-4"/>
              </w:rPr>
            </w:pPr>
            <w:r>
              <w:rPr>
                <w:spacing w:val="-4"/>
              </w:rPr>
              <w:t xml:space="preserve">Pokračoval silný růst přidané hodnoty ve zpracovatelském průmyslu (meziročně  o 6,4 %, po 7,3 % za celý rok 2015), který se na zvýšení výkonu všech odvětví ekonomiky podílel téměř z 60 %. Silná zahraniční poptávka se v tomto odvětví na konci roku 2015 plně odrazila v rekordním růstu odpracované doby </w:t>
            </w:r>
            <w:r w:rsidRPr="009E7B1B">
              <w:rPr>
                <w:spacing w:val="-4"/>
              </w:rPr>
              <w:t xml:space="preserve">(o 8,2 % a téměř </w:t>
            </w:r>
            <w:r w:rsidRPr="00D93A98">
              <w:rPr>
                <w:spacing w:val="-4"/>
              </w:rPr>
              <w:t>6 % v 1. čtvrtletí 2016), na počátku roku se silně meziročně zvýšila i zaměstnanost</w:t>
            </w:r>
            <w:r>
              <w:rPr>
                <w:rStyle w:val="Znakapoznpodarou"/>
                <w:spacing w:val="-5"/>
              </w:rPr>
              <w:footnoteReference w:id="10"/>
            </w:r>
            <w:r>
              <w:rPr>
                <w:spacing w:val="-4"/>
              </w:rPr>
              <w:t xml:space="preserve"> (o 3,5 %, v předchozím čtvrtletí o 2,1 %). Lze předpokládat, že zčásti k tomu přispěl také převod dříve zapojených agenturních pracovníků do kmenových stavů. </w:t>
            </w:r>
          </w:p>
          <w:p w:rsidR="000E1EEA" w:rsidRPr="00B07C2A" w:rsidRDefault="000E1EEA" w:rsidP="0002434F">
            <w:pPr>
              <w:pStyle w:val="Textpoznpodarou"/>
              <w:jc w:val="both"/>
              <w:rPr>
                <w:spacing w:val="-4"/>
                <w:sz w:val="16"/>
                <w:szCs w:val="16"/>
              </w:rPr>
            </w:pPr>
          </w:p>
        </w:tc>
      </w:tr>
      <w:tr w:rsidR="000E1EEA" w:rsidTr="0002434F">
        <w:tc>
          <w:tcPr>
            <w:tcW w:w="1090" w:type="pct"/>
          </w:tcPr>
          <w:p w:rsidR="000E1EEA" w:rsidRPr="00DA1318" w:rsidRDefault="000E1EEA" w:rsidP="0002434F">
            <w:pPr>
              <w:spacing w:line="240" w:lineRule="auto"/>
              <w:rPr>
                <w:sz w:val="16"/>
                <w:szCs w:val="16"/>
              </w:rPr>
            </w:pPr>
            <w:r>
              <w:rPr>
                <w:sz w:val="16"/>
                <w:szCs w:val="16"/>
              </w:rPr>
              <w:t>Hluboký pokles výkonu stavebnictví proti konci roku 2015 doprovázený stabilizací počtu zaměstnanců</w:t>
            </w:r>
          </w:p>
        </w:tc>
        <w:tc>
          <w:tcPr>
            <w:tcW w:w="145" w:type="pct"/>
          </w:tcPr>
          <w:p w:rsidR="000E1EEA" w:rsidRPr="009E7B1B" w:rsidRDefault="000E1EEA" w:rsidP="0002434F">
            <w:pPr>
              <w:pStyle w:val="Textpoznpodarou"/>
              <w:jc w:val="both"/>
              <w:rPr>
                <w:spacing w:val="-2"/>
              </w:rPr>
            </w:pPr>
          </w:p>
        </w:tc>
        <w:tc>
          <w:tcPr>
            <w:tcW w:w="3765" w:type="pct"/>
          </w:tcPr>
          <w:p w:rsidR="000E1EEA" w:rsidRPr="009E7B1B" w:rsidRDefault="000E1EEA" w:rsidP="0002434F">
            <w:pPr>
              <w:pStyle w:val="Textpoznpodarou"/>
              <w:jc w:val="both"/>
              <w:rPr>
                <w:spacing w:val="-4"/>
              </w:rPr>
            </w:pPr>
            <w:r>
              <w:rPr>
                <w:spacing w:val="-4"/>
              </w:rPr>
              <w:t>HPH ve stavebnictví se navzdory některým nepříznivým očekáváním v 1. čtvrtletí těsně udržela v růstovém pásmu. Proti vysoké základně z konce loňského roku však výkon o 4,1 % oslabil, šlo o ne</w:t>
            </w:r>
            <w:r w:rsidR="002F663A">
              <w:rPr>
                <w:spacing w:val="-4"/>
              </w:rPr>
              <w:t>j</w:t>
            </w:r>
            <w:r>
              <w:rPr>
                <w:spacing w:val="-4"/>
              </w:rPr>
              <w:t>hlubší pokles za posledních 16 čtvrtletí. Zaměstnanost klesala již šestý rok v řadě, na rozdíl od předchozích let však již výhradně vlivem redukce počtů sebezaměstnaných osob (meziročně o více než 5 %).</w:t>
            </w:r>
          </w:p>
          <w:p w:rsidR="000E1EEA" w:rsidRPr="00B07C2A" w:rsidRDefault="000E1EEA" w:rsidP="0002434F">
            <w:pPr>
              <w:pStyle w:val="Textpoznpodarou"/>
              <w:jc w:val="both"/>
              <w:rPr>
                <w:spacing w:val="-4"/>
                <w:sz w:val="16"/>
                <w:szCs w:val="16"/>
              </w:rPr>
            </w:pPr>
          </w:p>
        </w:tc>
      </w:tr>
      <w:tr w:rsidR="000E1EEA" w:rsidTr="0002434F">
        <w:tc>
          <w:tcPr>
            <w:tcW w:w="1090" w:type="pct"/>
          </w:tcPr>
          <w:p w:rsidR="000E1EEA" w:rsidRDefault="000E1EEA" w:rsidP="0002434F">
            <w:pPr>
              <w:spacing w:line="240" w:lineRule="auto"/>
              <w:rPr>
                <w:sz w:val="16"/>
                <w:szCs w:val="16"/>
              </w:rPr>
            </w:pPr>
            <w:r>
              <w:rPr>
                <w:sz w:val="16"/>
                <w:szCs w:val="16"/>
              </w:rPr>
              <w:t>Obchod, doprava, ubytování a pohostinství se na příspěvku celého sektoru služeb k růstu HPH v celé ekonomice podílely polovinou…</w:t>
            </w:r>
          </w:p>
          <w:p w:rsidR="000E1EEA" w:rsidRPr="000F401E" w:rsidRDefault="000E1EEA" w:rsidP="0002434F">
            <w:pPr>
              <w:spacing w:line="240" w:lineRule="auto"/>
              <w:rPr>
                <w:sz w:val="16"/>
                <w:szCs w:val="16"/>
              </w:rPr>
            </w:pPr>
          </w:p>
        </w:tc>
        <w:tc>
          <w:tcPr>
            <w:tcW w:w="145" w:type="pct"/>
          </w:tcPr>
          <w:p w:rsidR="000E1EEA" w:rsidRPr="005A16AE" w:rsidRDefault="000E1EEA" w:rsidP="0002434F">
            <w:pPr>
              <w:rPr>
                <w:color w:val="000000" w:themeColor="text1"/>
                <w:szCs w:val="16"/>
              </w:rPr>
            </w:pPr>
          </w:p>
        </w:tc>
        <w:tc>
          <w:tcPr>
            <w:tcW w:w="3765" w:type="pct"/>
          </w:tcPr>
          <w:p w:rsidR="000E1EEA" w:rsidRPr="00643A80" w:rsidRDefault="000E1EEA" w:rsidP="0002434F">
            <w:pPr>
              <w:pStyle w:val="Textpoznpodarou"/>
              <w:jc w:val="both"/>
              <w:rPr>
                <w:color w:val="000000" w:themeColor="text1"/>
                <w:spacing w:val="-6"/>
              </w:rPr>
            </w:pPr>
            <w:r w:rsidRPr="00643A80">
              <w:rPr>
                <w:color w:val="000000" w:themeColor="text1"/>
                <w:spacing w:val="-6"/>
              </w:rPr>
              <w:t>Terciární sektor táhl</w:t>
            </w:r>
            <w:r w:rsidR="00643A80" w:rsidRPr="00643A80">
              <w:rPr>
                <w:color w:val="000000" w:themeColor="text1"/>
                <w:spacing w:val="-6"/>
              </w:rPr>
              <w:t xml:space="preserve">a skupina </w:t>
            </w:r>
            <w:r w:rsidRPr="00643A80">
              <w:rPr>
                <w:color w:val="000000" w:themeColor="text1"/>
                <w:spacing w:val="-6"/>
              </w:rPr>
              <w:t xml:space="preserve">odvětví </w:t>
            </w:r>
            <w:r w:rsidRPr="00643A80">
              <w:rPr>
                <w:color w:val="0D0D0D" w:themeColor="text1" w:themeTint="F2"/>
                <w:spacing w:val="-6"/>
              </w:rPr>
              <w:t xml:space="preserve">obchod, doprava, ubytování a pohostinství. Vysoký meziroční růst HPH (o 3,8 %, nejvyšší od konce roku 2010) rezonoval s posílením počtu zaměstnanců (+2,5 %, nejvyšším od konjunktury). Tato odvětví profitovala z pozitivních nálad spotřebitelů podpořených vysokým růstem zaměstnanosti i reálných mezd, jakož i četnějších </w:t>
            </w:r>
            <w:r w:rsidR="00643A80">
              <w:rPr>
                <w:color w:val="0D0D0D" w:themeColor="text1" w:themeTint="F2"/>
                <w:spacing w:val="-6"/>
              </w:rPr>
              <w:t>příjezdů domácích i zahr.</w:t>
            </w:r>
            <w:r w:rsidRPr="00643A80">
              <w:rPr>
                <w:color w:val="0D0D0D" w:themeColor="text1" w:themeTint="F2"/>
                <w:spacing w:val="-6"/>
              </w:rPr>
              <w:t xml:space="preserve"> hostů. </w:t>
            </w:r>
          </w:p>
          <w:p w:rsidR="000E1EEA" w:rsidRPr="00B07C2A" w:rsidRDefault="000E1EEA" w:rsidP="0002434F">
            <w:pPr>
              <w:pStyle w:val="Textpoznpodarou"/>
              <w:jc w:val="both"/>
              <w:rPr>
                <w:color w:val="000000" w:themeColor="text1"/>
                <w:spacing w:val="-4"/>
                <w:sz w:val="16"/>
                <w:szCs w:val="16"/>
              </w:rPr>
            </w:pPr>
          </w:p>
        </w:tc>
      </w:tr>
      <w:tr w:rsidR="000E1EEA" w:rsidTr="0002434F">
        <w:tc>
          <w:tcPr>
            <w:tcW w:w="1090" w:type="pct"/>
          </w:tcPr>
          <w:p w:rsidR="000E1EEA" w:rsidRDefault="000E1EEA" w:rsidP="0002434F">
            <w:pPr>
              <w:spacing w:line="240" w:lineRule="auto"/>
              <w:rPr>
                <w:color w:val="000000" w:themeColor="text1"/>
                <w:sz w:val="16"/>
                <w:szCs w:val="16"/>
              </w:rPr>
            </w:pPr>
            <w:r>
              <w:rPr>
                <w:color w:val="000000" w:themeColor="text1"/>
                <w:sz w:val="16"/>
                <w:szCs w:val="16"/>
              </w:rPr>
              <w:t>…</w:t>
            </w:r>
            <w:r w:rsidRPr="005D14EE">
              <w:rPr>
                <w:color w:val="000000" w:themeColor="text1"/>
                <w:sz w:val="16"/>
                <w:szCs w:val="16"/>
              </w:rPr>
              <w:t>růst HPH v ostatních službách na počátku roku zpomalil, s výjimkou činností v oblasti nemovitostí</w:t>
            </w:r>
          </w:p>
          <w:p w:rsidR="000E1EEA" w:rsidRDefault="000E1EEA" w:rsidP="0002434F">
            <w:pPr>
              <w:spacing w:line="240" w:lineRule="auto"/>
              <w:rPr>
                <w:color w:val="000000" w:themeColor="text1"/>
                <w:sz w:val="16"/>
                <w:szCs w:val="16"/>
              </w:rPr>
            </w:pPr>
          </w:p>
          <w:p w:rsidR="000E1EEA" w:rsidRPr="005D14EE" w:rsidRDefault="000E1EEA" w:rsidP="0002434F">
            <w:pPr>
              <w:spacing w:line="240" w:lineRule="auto"/>
              <w:rPr>
                <w:color w:val="000000" w:themeColor="text1"/>
                <w:spacing w:val="-4"/>
                <w:sz w:val="16"/>
                <w:szCs w:val="16"/>
              </w:rPr>
            </w:pPr>
            <w:r w:rsidRPr="005D14EE">
              <w:rPr>
                <w:color w:val="000000" w:themeColor="text1"/>
                <w:spacing w:val="-4"/>
                <w:sz w:val="16"/>
                <w:szCs w:val="16"/>
              </w:rPr>
              <w:t>Meziročně rostoucí počty zaměstnan</w:t>
            </w:r>
            <w:r>
              <w:rPr>
                <w:color w:val="000000" w:themeColor="text1"/>
                <w:spacing w:val="-4"/>
                <w:sz w:val="16"/>
                <w:szCs w:val="16"/>
              </w:rPr>
              <w:t>ců a</w:t>
            </w:r>
            <w:r w:rsidRPr="005D14EE">
              <w:rPr>
                <w:color w:val="000000" w:themeColor="text1"/>
                <w:spacing w:val="-4"/>
                <w:sz w:val="16"/>
                <w:szCs w:val="16"/>
              </w:rPr>
              <w:t xml:space="preserve"> </w:t>
            </w:r>
            <w:r>
              <w:rPr>
                <w:color w:val="000000" w:themeColor="text1"/>
                <w:spacing w:val="-4"/>
                <w:sz w:val="16"/>
                <w:szCs w:val="16"/>
              </w:rPr>
              <w:t xml:space="preserve">také </w:t>
            </w:r>
            <w:r w:rsidRPr="005D14EE">
              <w:rPr>
                <w:color w:val="000000" w:themeColor="text1"/>
                <w:spacing w:val="-4"/>
                <w:sz w:val="16"/>
                <w:szCs w:val="16"/>
              </w:rPr>
              <w:t xml:space="preserve">sebezaměstnaných osob vyústily v nejvyšší růst pracovníků v profesních, vědeckých, technických </w:t>
            </w:r>
          </w:p>
          <w:p w:rsidR="000E1EEA" w:rsidRPr="005D14EE" w:rsidRDefault="000E1EEA" w:rsidP="0002434F">
            <w:pPr>
              <w:spacing w:line="240" w:lineRule="auto"/>
              <w:rPr>
                <w:color w:val="000000" w:themeColor="text1"/>
                <w:spacing w:val="-4"/>
                <w:sz w:val="16"/>
                <w:szCs w:val="16"/>
              </w:rPr>
            </w:pPr>
            <w:r>
              <w:rPr>
                <w:color w:val="000000" w:themeColor="text1"/>
                <w:spacing w:val="-4"/>
                <w:sz w:val="16"/>
                <w:szCs w:val="16"/>
              </w:rPr>
              <w:t>a administrativních činnostech</w:t>
            </w:r>
          </w:p>
          <w:p w:rsidR="000E1EEA" w:rsidRPr="00F3262E" w:rsidRDefault="000E1EEA" w:rsidP="0002434F">
            <w:pPr>
              <w:spacing w:line="240" w:lineRule="auto"/>
              <w:rPr>
                <w:color w:val="000000" w:themeColor="text1"/>
                <w:sz w:val="16"/>
                <w:szCs w:val="16"/>
              </w:rPr>
            </w:pPr>
            <w:r>
              <w:rPr>
                <w:color w:val="000000" w:themeColor="text1"/>
                <w:sz w:val="16"/>
                <w:szCs w:val="16"/>
              </w:rPr>
              <w:t xml:space="preserve"> </w:t>
            </w:r>
          </w:p>
        </w:tc>
        <w:tc>
          <w:tcPr>
            <w:tcW w:w="145" w:type="pct"/>
          </w:tcPr>
          <w:p w:rsidR="000E1EEA" w:rsidRPr="00F3262E" w:rsidRDefault="000E1EEA" w:rsidP="0002434F">
            <w:pPr>
              <w:pStyle w:val="Textpoznpodarou"/>
              <w:jc w:val="both"/>
              <w:rPr>
                <w:color w:val="000000" w:themeColor="text1"/>
                <w:spacing w:val="-2"/>
              </w:rPr>
            </w:pPr>
          </w:p>
        </w:tc>
        <w:tc>
          <w:tcPr>
            <w:tcW w:w="3765" w:type="pct"/>
          </w:tcPr>
          <w:p w:rsidR="000E1EEA" w:rsidRPr="008D59A9" w:rsidRDefault="000E1EEA" w:rsidP="0002434F">
            <w:pPr>
              <w:pStyle w:val="Textpoznpodarou"/>
              <w:jc w:val="both"/>
              <w:rPr>
                <w:color w:val="0D0D0D" w:themeColor="text1" w:themeTint="F2"/>
                <w:spacing w:val="-4"/>
              </w:rPr>
            </w:pPr>
            <w:r w:rsidRPr="008D59A9">
              <w:rPr>
                <w:color w:val="0D0D0D" w:themeColor="text1" w:themeTint="F2"/>
                <w:spacing w:val="-4"/>
              </w:rPr>
              <w:t>Na růstu HPH v celé ekonomice se podílela i všechna ostatní významnější odvětví služeb, na rozdíl od roku 2015</w:t>
            </w:r>
            <w:r>
              <w:rPr>
                <w:color w:val="0D0D0D" w:themeColor="text1" w:themeTint="F2"/>
                <w:spacing w:val="-4"/>
              </w:rPr>
              <w:t xml:space="preserve"> se jejich vliv podstatně snížil</w:t>
            </w:r>
            <w:r w:rsidRPr="008D59A9">
              <w:rPr>
                <w:color w:val="0D0D0D" w:themeColor="text1" w:themeTint="F2"/>
                <w:spacing w:val="-4"/>
              </w:rPr>
              <w:t>. Výjimku představovaly činnosti v oblasti nemovitostí, kde zvýraznění meziročního růstu HPH (</w:t>
            </w:r>
            <w:r>
              <w:rPr>
                <w:color w:val="0D0D0D" w:themeColor="text1" w:themeTint="F2"/>
                <w:spacing w:val="-4"/>
              </w:rPr>
              <w:t>3 % v 1.</w:t>
            </w:r>
            <w:r w:rsidRPr="008D59A9">
              <w:rPr>
                <w:color w:val="0D0D0D" w:themeColor="text1" w:themeTint="F2"/>
                <w:spacing w:val="-4"/>
              </w:rPr>
              <w:t> čtvrtletí oproti 1,6 % za celý rok 2015) dokládá pozvolné posilování realitní</w:t>
            </w:r>
            <w:r>
              <w:rPr>
                <w:color w:val="0D0D0D" w:themeColor="text1" w:themeTint="F2"/>
                <w:spacing w:val="-4"/>
              </w:rPr>
              <w:t>ho trhu</w:t>
            </w:r>
            <w:r w:rsidRPr="008D59A9">
              <w:rPr>
                <w:color w:val="0D0D0D" w:themeColor="text1" w:themeTint="F2"/>
                <w:spacing w:val="-4"/>
              </w:rPr>
              <w:t xml:space="preserve">. V profesních, vědeckých, technických a administrativních činnostech dynamika </w:t>
            </w:r>
            <w:r>
              <w:rPr>
                <w:color w:val="0D0D0D" w:themeColor="text1" w:themeTint="F2"/>
                <w:spacing w:val="-4"/>
              </w:rPr>
              <w:t>HPH naopak zvolnila (na +2,6 %) T</w:t>
            </w:r>
            <w:r w:rsidRPr="008D59A9">
              <w:rPr>
                <w:color w:val="0D0D0D" w:themeColor="text1" w:themeTint="F2"/>
                <w:spacing w:val="-4"/>
              </w:rPr>
              <w:t>y v předchozích pěti letech ale patřily mezi nejdynamičtěji rostoucí odvětví služeb, což se postupně projevilo i na zaměstnanosti, jež v 1. čtvrtletí 2016 posílila o téměř 5 % (nejvíce od konjunktury).</w:t>
            </w:r>
            <w:r>
              <w:rPr>
                <w:color w:val="0D0D0D" w:themeColor="text1" w:themeTint="F2"/>
                <w:spacing w:val="-4"/>
              </w:rPr>
              <w:t xml:space="preserve"> </w:t>
            </w:r>
            <w:r w:rsidRPr="008D59A9">
              <w:rPr>
                <w:color w:val="0D0D0D" w:themeColor="text1" w:themeTint="F2"/>
                <w:spacing w:val="-4"/>
              </w:rPr>
              <w:t>V peněžnictví a pojišťovnictví HPH na počátku roku rostla o 3,5 %. Váhově významné veřejné služby</w:t>
            </w:r>
            <w:r w:rsidRPr="008D59A9">
              <w:rPr>
                <w:rStyle w:val="Znakapoznpodarou"/>
                <w:color w:val="0D0D0D" w:themeColor="text1" w:themeTint="F2"/>
                <w:spacing w:val="-4"/>
              </w:rPr>
              <w:footnoteReference w:id="11"/>
            </w:r>
            <w:r w:rsidRPr="008D59A9">
              <w:rPr>
                <w:color w:val="0D0D0D" w:themeColor="text1" w:themeTint="F2"/>
                <w:spacing w:val="-4"/>
              </w:rPr>
              <w:t>, kde se HPH na rozdí</w:t>
            </w:r>
            <w:r>
              <w:rPr>
                <w:color w:val="0D0D0D" w:themeColor="text1" w:themeTint="F2"/>
                <w:spacing w:val="-4"/>
              </w:rPr>
              <w:t>l od finančního sektoru</w:t>
            </w:r>
            <w:r w:rsidRPr="008D59A9">
              <w:rPr>
                <w:color w:val="0D0D0D" w:themeColor="text1" w:themeTint="F2"/>
                <w:spacing w:val="-4"/>
              </w:rPr>
              <w:t xml:space="preserve"> vyvíjí bez výrazných výkyvů, </w:t>
            </w:r>
            <w:r>
              <w:rPr>
                <w:color w:val="0D0D0D" w:themeColor="text1" w:themeTint="F2"/>
                <w:spacing w:val="-4"/>
              </w:rPr>
              <w:t>vykázaly 1% růst, hlavně</w:t>
            </w:r>
            <w:r w:rsidRPr="008D59A9">
              <w:rPr>
                <w:color w:val="0D0D0D" w:themeColor="text1" w:themeTint="F2"/>
                <w:spacing w:val="-4"/>
              </w:rPr>
              <w:t xml:space="preserve"> vlivem nízkého růstu objemu </w:t>
            </w:r>
            <w:r>
              <w:rPr>
                <w:color w:val="0D0D0D" w:themeColor="text1" w:themeTint="F2"/>
                <w:spacing w:val="-4"/>
              </w:rPr>
              <w:t>vyplacených platů</w:t>
            </w:r>
            <w:r w:rsidRPr="008D59A9">
              <w:rPr>
                <w:color w:val="0D0D0D" w:themeColor="text1" w:themeTint="F2"/>
                <w:spacing w:val="-4"/>
              </w:rPr>
              <w:t xml:space="preserve"> ve školství.</w:t>
            </w:r>
          </w:p>
          <w:p w:rsidR="000E1EEA" w:rsidRPr="003F1E23" w:rsidRDefault="000E1EEA" w:rsidP="0002434F">
            <w:pPr>
              <w:pStyle w:val="Textpoznpodarou"/>
              <w:jc w:val="both"/>
              <w:rPr>
                <w:color w:val="000000" w:themeColor="text1"/>
                <w:spacing w:val="-4"/>
                <w:sz w:val="16"/>
                <w:szCs w:val="16"/>
              </w:rPr>
            </w:pPr>
          </w:p>
        </w:tc>
      </w:tr>
      <w:tr w:rsidR="000E1EEA" w:rsidTr="0002434F">
        <w:tc>
          <w:tcPr>
            <w:tcW w:w="1090" w:type="pct"/>
          </w:tcPr>
          <w:p w:rsidR="000E1EEA" w:rsidRPr="00DA1318" w:rsidRDefault="000E1EEA" w:rsidP="0002434F">
            <w:pPr>
              <w:spacing w:line="240" w:lineRule="auto"/>
              <w:rPr>
                <w:sz w:val="16"/>
                <w:szCs w:val="16"/>
              </w:rPr>
            </w:pPr>
            <w:r>
              <w:rPr>
                <w:sz w:val="16"/>
                <w:szCs w:val="16"/>
              </w:rPr>
              <w:t xml:space="preserve">Meziroční tempo růstu průmyslové produkce (proti výsledku za celý rok 2015) mírně oslabilo </w:t>
            </w:r>
          </w:p>
        </w:tc>
        <w:tc>
          <w:tcPr>
            <w:tcW w:w="145" w:type="pct"/>
          </w:tcPr>
          <w:p w:rsidR="000E1EEA" w:rsidRDefault="000E1EEA" w:rsidP="0002434F">
            <w:pPr>
              <w:pStyle w:val="Textpoznpodarou"/>
              <w:jc w:val="both"/>
              <w:rPr>
                <w:spacing w:val="-2"/>
              </w:rPr>
            </w:pPr>
          </w:p>
        </w:tc>
        <w:tc>
          <w:tcPr>
            <w:tcW w:w="3765" w:type="pct"/>
          </w:tcPr>
          <w:p w:rsidR="000E1EEA" w:rsidRPr="005D14EE" w:rsidRDefault="000E1EEA" w:rsidP="00070A0C">
            <w:pPr>
              <w:pStyle w:val="Textpoznpodarou"/>
              <w:jc w:val="both"/>
              <w:rPr>
                <w:spacing w:val="-4"/>
                <w:sz w:val="10"/>
                <w:szCs w:val="10"/>
              </w:rPr>
            </w:pPr>
            <w:r>
              <w:rPr>
                <w:color w:val="000000" w:themeColor="text1"/>
                <w:spacing w:val="-4"/>
              </w:rPr>
              <w:t>Výkon průmyslu (měřený</w:t>
            </w:r>
            <w:r w:rsidRPr="008D59A9">
              <w:rPr>
                <w:color w:val="000000" w:themeColor="text1"/>
                <w:spacing w:val="-4"/>
              </w:rPr>
              <w:t xml:space="preserve"> indexem</w:t>
            </w:r>
            <w:r w:rsidR="005F0976">
              <w:rPr>
                <w:color w:val="000000" w:themeColor="text1"/>
                <w:spacing w:val="-4"/>
              </w:rPr>
              <w:t xml:space="preserve"> průmyslové</w:t>
            </w:r>
            <w:r w:rsidRPr="008D59A9">
              <w:rPr>
                <w:color w:val="000000" w:themeColor="text1"/>
                <w:spacing w:val="-4"/>
              </w:rPr>
              <w:t xml:space="preserve"> produkce)</w:t>
            </w:r>
            <w:r w:rsidRPr="008D59A9">
              <w:rPr>
                <w:color w:val="000000" w:themeColor="text1"/>
                <w:spacing w:val="-4"/>
                <w:vertAlign w:val="superscript"/>
              </w:rPr>
              <w:footnoteReference w:id="12"/>
            </w:r>
            <w:r w:rsidRPr="008D59A9">
              <w:rPr>
                <w:color w:val="000000" w:themeColor="text1"/>
                <w:spacing w:val="-4"/>
              </w:rPr>
              <w:t xml:space="preserve"> v 1. čtvrtletí meziročně posílil </w:t>
            </w:r>
            <w:r>
              <w:rPr>
                <w:color w:val="000000" w:themeColor="text1"/>
                <w:spacing w:val="-4"/>
              </w:rPr>
              <w:t xml:space="preserve">o </w:t>
            </w:r>
            <w:r w:rsidRPr="008D59A9">
              <w:rPr>
                <w:color w:val="000000" w:themeColor="text1"/>
                <w:spacing w:val="-4"/>
              </w:rPr>
              <w:t>2,9</w:t>
            </w:r>
            <w:r w:rsidRPr="008D59A9">
              <w:rPr>
                <w:color w:val="0D0D0D" w:themeColor="text1" w:themeTint="F2"/>
                <w:spacing w:val="-4"/>
              </w:rPr>
              <w:t> </w:t>
            </w:r>
            <w:r w:rsidRPr="008D59A9">
              <w:rPr>
                <w:color w:val="000000" w:themeColor="text1"/>
                <w:spacing w:val="-4"/>
              </w:rPr>
              <w:t xml:space="preserve">% (resp. 3,4 % po očištění o kalendářní vlivy). Ve vztahu </w:t>
            </w:r>
            <w:r>
              <w:rPr>
                <w:color w:val="000000" w:themeColor="text1"/>
                <w:spacing w:val="-4"/>
              </w:rPr>
              <w:t xml:space="preserve">k </w:t>
            </w:r>
            <w:r w:rsidRPr="008D59A9">
              <w:rPr>
                <w:color w:val="000000" w:themeColor="text1"/>
                <w:spacing w:val="-4"/>
              </w:rPr>
              <w:t xml:space="preserve">výsledkům z roku 2015 jeho růst mírně zpomalil. </w:t>
            </w:r>
            <w:r>
              <w:rPr>
                <w:color w:val="000000" w:themeColor="text1"/>
                <w:spacing w:val="-4"/>
              </w:rPr>
              <w:t xml:space="preserve">Proti 4. </w:t>
            </w:r>
            <w:r w:rsidRPr="008D59A9">
              <w:rPr>
                <w:color w:val="000000" w:themeColor="text1"/>
                <w:spacing w:val="-4"/>
              </w:rPr>
              <w:t xml:space="preserve">čtvrtletí </w:t>
            </w:r>
            <w:r>
              <w:rPr>
                <w:color w:val="000000" w:themeColor="text1"/>
                <w:spacing w:val="-4"/>
              </w:rPr>
              <w:t xml:space="preserve">2015 </w:t>
            </w:r>
            <w:r w:rsidRPr="008D59A9">
              <w:rPr>
                <w:color w:val="000000" w:themeColor="text1"/>
                <w:spacing w:val="-4"/>
              </w:rPr>
              <w:t>byla produkce o 1,9</w:t>
            </w:r>
            <w:r w:rsidRPr="008D59A9">
              <w:rPr>
                <w:color w:val="0D0D0D" w:themeColor="text1" w:themeTint="F2"/>
                <w:spacing w:val="-4"/>
              </w:rPr>
              <w:t> </w:t>
            </w:r>
            <w:r w:rsidRPr="008D59A9">
              <w:rPr>
                <w:color w:val="000000" w:themeColor="text1"/>
                <w:spacing w:val="-4"/>
              </w:rPr>
              <w:t xml:space="preserve">% vyšší (po </w:t>
            </w:r>
            <w:r>
              <w:rPr>
                <w:color w:val="000000" w:themeColor="text1"/>
                <w:spacing w:val="-4"/>
              </w:rPr>
              <w:t xml:space="preserve">mezičtvrtletní </w:t>
            </w:r>
            <w:r w:rsidRPr="008D59A9">
              <w:rPr>
                <w:color w:val="000000" w:themeColor="text1"/>
                <w:spacing w:val="-4"/>
              </w:rPr>
              <w:t>stagnac</w:t>
            </w:r>
            <w:r>
              <w:rPr>
                <w:color w:val="000000" w:themeColor="text1"/>
                <w:spacing w:val="-4"/>
              </w:rPr>
              <w:t>i</w:t>
            </w:r>
            <w:r w:rsidRPr="008D59A9">
              <w:rPr>
                <w:color w:val="000000" w:themeColor="text1"/>
                <w:spacing w:val="-4"/>
              </w:rPr>
              <w:t xml:space="preserve"> v druhé polovině loňského roku). Celé odvětví táhl </w:t>
            </w:r>
            <w:r w:rsidRPr="0002292C">
              <w:rPr>
                <w:color w:val="000000" w:themeColor="text1"/>
                <w:spacing w:val="-6"/>
              </w:rPr>
              <w:t>stejně jako v předchozích třech letech</w:t>
            </w:r>
            <w:r w:rsidR="0002292C" w:rsidRPr="0002292C">
              <w:rPr>
                <w:color w:val="000000" w:themeColor="text1"/>
                <w:spacing w:val="-6"/>
              </w:rPr>
              <w:t xml:space="preserve"> téměř</w:t>
            </w:r>
            <w:r w:rsidRPr="0002292C">
              <w:rPr>
                <w:color w:val="000000" w:themeColor="text1"/>
                <w:spacing w:val="-6"/>
              </w:rPr>
              <w:t xml:space="preserve"> výhradně zpracovatelský průmysl (+4,2</w:t>
            </w:r>
            <w:r w:rsidRPr="008D59A9">
              <w:rPr>
                <w:color w:val="000000" w:themeColor="text1"/>
                <w:spacing w:val="-4"/>
              </w:rPr>
              <w:t xml:space="preserve"> %</w:t>
            </w:r>
            <w:r>
              <w:rPr>
                <w:color w:val="000000" w:themeColor="text1"/>
                <w:spacing w:val="-4"/>
              </w:rPr>
              <w:t xml:space="preserve"> meziročně</w:t>
            </w:r>
            <w:r w:rsidR="009558A6">
              <w:rPr>
                <w:color w:val="000000" w:themeColor="text1"/>
                <w:spacing w:val="-4"/>
              </w:rPr>
              <w:t>). Pokles p</w:t>
            </w:r>
            <w:r w:rsidRPr="008D59A9">
              <w:rPr>
                <w:color w:val="000000" w:themeColor="text1"/>
                <w:spacing w:val="-4"/>
              </w:rPr>
              <w:t>rodukce v těžbě, poznamenané</w:t>
            </w:r>
            <w:r>
              <w:rPr>
                <w:color w:val="000000" w:themeColor="text1"/>
                <w:spacing w:val="-4"/>
              </w:rPr>
              <w:t xml:space="preserve"> vleklým</w:t>
            </w:r>
            <w:r w:rsidRPr="008D59A9">
              <w:rPr>
                <w:color w:val="000000" w:themeColor="text1"/>
                <w:spacing w:val="-4"/>
              </w:rPr>
              <w:t xml:space="preserve"> útlumem těžby zejména černého uhlí</w:t>
            </w:r>
            <w:r w:rsidR="009558A6">
              <w:rPr>
                <w:color w:val="000000" w:themeColor="text1"/>
                <w:spacing w:val="-4"/>
              </w:rPr>
              <w:t>, se zastavil</w:t>
            </w:r>
            <w:r w:rsidRPr="008D59A9">
              <w:rPr>
                <w:color w:val="000000" w:themeColor="text1"/>
                <w:spacing w:val="-4"/>
              </w:rPr>
              <w:t>. Důvodem však nebyla zlepšená situace odvětví, nýbrž velmi nízká srovnávací základna (na počátku roku 2015 propadl</w:t>
            </w:r>
            <w:r>
              <w:rPr>
                <w:color w:val="000000" w:themeColor="text1"/>
                <w:spacing w:val="-4"/>
              </w:rPr>
              <w:t>a produkce meziročně o</w:t>
            </w:r>
            <w:r w:rsidRPr="008D59A9">
              <w:rPr>
                <w:color w:val="000000" w:themeColor="text1"/>
                <w:spacing w:val="-4"/>
              </w:rPr>
              <w:t xml:space="preserve"> desetinu). S dlouhodobými (ve srovnání s těžbou však jen mírnými) poklesy produkce se potýkala rovněž energetika, kde měla přetrvávající neplánovaná omezení výrobních kapacit negativní dopad na produkci elektřiny. Na počátku roku se výkon energetiky snížil o dalších 4,6 % </w:t>
            </w:r>
            <w:r w:rsidRPr="00C73B8B">
              <w:rPr>
                <w:color w:val="000000" w:themeColor="text1"/>
                <w:spacing w:val="-5"/>
              </w:rPr>
              <w:t>(mezičtvrtletně se ale její poklesy zastavily).</w:t>
            </w:r>
          </w:p>
        </w:tc>
      </w:tr>
      <w:tr w:rsidR="000E1EEA" w:rsidTr="0002434F">
        <w:trPr>
          <w:trHeight w:val="269"/>
        </w:trPr>
        <w:tc>
          <w:tcPr>
            <w:tcW w:w="1090" w:type="pct"/>
          </w:tcPr>
          <w:p w:rsidR="000E1EEA" w:rsidRDefault="000E1EEA" w:rsidP="0002434F">
            <w:pPr>
              <w:spacing w:line="240" w:lineRule="auto"/>
              <w:rPr>
                <w:sz w:val="16"/>
                <w:szCs w:val="16"/>
              </w:rPr>
            </w:pPr>
            <w:r>
              <w:rPr>
                <w:sz w:val="16"/>
                <w:szCs w:val="16"/>
              </w:rPr>
              <w:lastRenderedPageBreak/>
              <w:t>Nebýt dynamického růstu odvětví výroby dopravních prostředků, produkce v celém průmyslu by v meziročním vyjádření pouze stagnovala</w:t>
            </w:r>
          </w:p>
        </w:tc>
        <w:tc>
          <w:tcPr>
            <w:tcW w:w="145" w:type="pct"/>
          </w:tcPr>
          <w:p w:rsidR="000E1EEA" w:rsidRPr="00636F97" w:rsidRDefault="000E1EEA" w:rsidP="0002434F">
            <w:pPr>
              <w:rPr>
                <w:spacing w:val="-4"/>
                <w:szCs w:val="20"/>
              </w:rPr>
            </w:pPr>
          </w:p>
        </w:tc>
        <w:tc>
          <w:tcPr>
            <w:tcW w:w="3765" w:type="pct"/>
          </w:tcPr>
          <w:p w:rsidR="000E1EEA" w:rsidRPr="00C00806" w:rsidRDefault="000E1EEA" w:rsidP="0002434F">
            <w:pPr>
              <w:pStyle w:val="Textpoznpodarou"/>
              <w:jc w:val="both"/>
              <w:rPr>
                <w:spacing w:val="-4"/>
              </w:rPr>
            </w:pPr>
            <w:r w:rsidRPr="00C00806">
              <w:rPr>
                <w:spacing w:val="-4"/>
              </w:rPr>
              <w:t xml:space="preserve">Klíčové postavení mezi průmyslovými obory patří tradičně výrobě dopravních prostředků (tvoří téměř čtvrtinu jeho produkce). Samotná výroba motorových vozidel vzrostla v 1. čtvrtletí o téměř 14 % a udržela tak vysoká meziroční tempa z roku 2015. Tržby byly vyšší o </w:t>
            </w:r>
            <w:r>
              <w:rPr>
                <w:spacing w:val="-4"/>
              </w:rPr>
              <w:t>10,7 %, a to jak domácí,</w:t>
            </w:r>
            <w:r w:rsidRPr="00C00806">
              <w:rPr>
                <w:spacing w:val="-4"/>
              </w:rPr>
              <w:t xml:space="preserve"> tak i z přímého vývozu. Rekordní hodnoty dosáhlo i fyzické množství vyrobených osobních automobilů</w:t>
            </w:r>
            <w:r w:rsidRPr="00C00806">
              <w:rPr>
                <w:rStyle w:val="Znakapoznpodarou"/>
                <w:spacing w:val="-4"/>
              </w:rPr>
              <w:footnoteReference w:id="13"/>
            </w:r>
            <w:r w:rsidRPr="00C00806">
              <w:rPr>
                <w:spacing w:val="-4"/>
              </w:rPr>
              <w:t xml:space="preserve">. Navzdory relativně vysoké loňské základně vykázali nadprůměrný růst produkce i výrobci ostatních (především kolejových) dopravních vozidel (+7,7 %). Důležitost výroby dopravních prostředků ještě v 1. čtvrtletí zvýraznil fakt, že nebýt tohoto odvětví, meziroční růst produkce celého průmyslu by byl nulový. Dařilo se i klíčovému subdodavatelskému odboru – </w:t>
            </w:r>
            <w:r>
              <w:rPr>
                <w:spacing w:val="-4"/>
              </w:rPr>
              <w:t>výrobě</w:t>
            </w:r>
            <w:r w:rsidRPr="00663BB3">
              <w:rPr>
                <w:spacing w:val="-4"/>
              </w:rPr>
              <w:t xml:space="preserve"> pryžových a plastových výrobků </w:t>
            </w:r>
            <w:r w:rsidRPr="00C00806">
              <w:rPr>
                <w:spacing w:val="-4"/>
              </w:rPr>
              <w:t>(+4,5 %), růst produkce a zejmé</w:t>
            </w:r>
            <w:r>
              <w:rPr>
                <w:spacing w:val="-4"/>
              </w:rPr>
              <w:t>na celkových tržeb (+1,3 %) však</w:t>
            </w:r>
            <w:r w:rsidRPr="00C00806">
              <w:rPr>
                <w:spacing w:val="-4"/>
              </w:rPr>
              <w:t xml:space="preserve"> zpomaloval. To bylo ještě více patrné u výroby elektrických zařízení, k</w:t>
            </w:r>
            <w:r>
              <w:rPr>
                <w:spacing w:val="-4"/>
              </w:rPr>
              <w:t>de se tržby</w:t>
            </w:r>
            <w:r w:rsidRPr="00C00806">
              <w:rPr>
                <w:spacing w:val="-4"/>
              </w:rPr>
              <w:t xml:space="preserve"> poprvé po deseti čtvrtletích meziročně snížily. Stabilní byl naopak dosud vývoj produkce ve váhově významných odvětví</w:t>
            </w:r>
            <w:r>
              <w:rPr>
                <w:spacing w:val="-4"/>
              </w:rPr>
              <w:t>ch</w:t>
            </w:r>
            <w:r w:rsidRPr="00C00806">
              <w:rPr>
                <w:spacing w:val="-4"/>
              </w:rPr>
              <w:t xml:space="preserve"> kovovýroby (+6,2 %) a strojírenství (+2,4 %). Z menších odvětví se dařilo především výrobcům nábytku (jejichž produkce za tři roky vzrostla o čtvrtinu), textilnímu a také oděvnímu průmyslu, který se vloni po deseti letech vymanil z recese. </w:t>
            </w:r>
          </w:p>
          <w:p w:rsidR="000E1EEA" w:rsidRPr="00070A0C" w:rsidRDefault="000E1EEA" w:rsidP="0002434F">
            <w:pPr>
              <w:pStyle w:val="Textpoznpodarou"/>
              <w:jc w:val="both"/>
              <w:rPr>
                <w:spacing w:val="-4"/>
                <w:sz w:val="18"/>
                <w:szCs w:val="18"/>
              </w:rPr>
            </w:pPr>
          </w:p>
        </w:tc>
      </w:tr>
      <w:tr w:rsidR="000E1EEA" w:rsidTr="0002434F">
        <w:tc>
          <w:tcPr>
            <w:tcW w:w="1090" w:type="pct"/>
          </w:tcPr>
          <w:p w:rsidR="000E1EEA" w:rsidRDefault="000E1EEA" w:rsidP="0002434F">
            <w:pPr>
              <w:spacing w:line="240" w:lineRule="auto"/>
              <w:rPr>
                <w:spacing w:val="-4"/>
                <w:sz w:val="16"/>
                <w:szCs w:val="16"/>
              </w:rPr>
            </w:pPr>
            <w:r w:rsidRPr="00B507F7">
              <w:rPr>
                <w:spacing w:val="-4"/>
                <w:sz w:val="16"/>
                <w:szCs w:val="16"/>
              </w:rPr>
              <w:t>Z významnějších zpr</w:t>
            </w:r>
            <w:r>
              <w:rPr>
                <w:spacing w:val="-4"/>
                <w:sz w:val="16"/>
                <w:szCs w:val="16"/>
              </w:rPr>
              <w:t>acovatelských oborů klesala produkce jen v hutnictví (vlivem přebytku oceli na evropských trzích), chemickém průmyslu (vlivem</w:t>
            </w:r>
            <w:r w:rsidRPr="00B507F7">
              <w:rPr>
                <w:spacing w:val="-4"/>
                <w:sz w:val="16"/>
                <w:szCs w:val="16"/>
              </w:rPr>
              <w:t xml:space="preserve"> havárií výrobních zařízení) </w:t>
            </w:r>
          </w:p>
          <w:p w:rsidR="000E1EEA" w:rsidRPr="0036070D" w:rsidRDefault="000E1EEA" w:rsidP="0002434F">
            <w:pPr>
              <w:spacing w:line="240" w:lineRule="auto"/>
              <w:rPr>
                <w:spacing w:val="-4"/>
                <w:sz w:val="16"/>
                <w:szCs w:val="16"/>
              </w:rPr>
            </w:pPr>
            <w:r>
              <w:rPr>
                <w:spacing w:val="-4"/>
                <w:sz w:val="16"/>
                <w:szCs w:val="16"/>
              </w:rPr>
              <w:t>a poprvé po osmi čtvrtletích i potravinářství</w:t>
            </w:r>
          </w:p>
          <w:p w:rsidR="000E1EEA" w:rsidRPr="00CC67DF" w:rsidRDefault="000E1EEA" w:rsidP="0002434F">
            <w:pPr>
              <w:spacing w:line="240" w:lineRule="auto"/>
              <w:rPr>
                <w:spacing w:val="-4"/>
                <w:sz w:val="16"/>
                <w:szCs w:val="16"/>
              </w:rPr>
            </w:pPr>
          </w:p>
        </w:tc>
        <w:tc>
          <w:tcPr>
            <w:tcW w:w="145" w:type="pct"/>
          </w:tcPr>
          <w:p w:rsidR="000E1EEA" w:rsidRDefault="000E1EEA" w:rsidP="0002434F">
            <w:pPr>
              <w:pStyle w:val="Textpoznpodarou"/>
              <w:jc w:val="both"/>
            </w:pPr>
          </w:p>
        </w:tc>
        <w:tc>
          <w:tcPr>
            <w:tcW w:w="3765" w:type="pct"/>
          </w:tcPr>
          <w:p w:rsidR="000E1EEA" w:rsidRPr="00C00806" w:rsidRDefault="000E1EEA" w:rsidP="0002434F">
            <w:pPr>
              <w:pStyle w:val="Textpoznpodarou"/>
              <w:jc w:val="both"/>
              <w:rPr>
                <w:color w:val="000000" w:themeColor="text1"/>
                <w:spacing w:val="-4"/>
              </w:rPr>
            </w:pPr>
            <w:r w:rsidRPr="00C00806">
              <w:rPr>
                <w:color w:val="000000" w:themeColor="text1"/>
                <w:spacing w:val="-4"/>
              </w:rPr>
              <w:t>Obtížím naopak čelil chemický průmysl, jehož produkce vinou havárií propadla v meziročním vyjádření již třetí čtvrtletí v řadě (naposledy o téměř 15 %). Šlo také o jediný zpracovatelský obor, jehož produkce svou úroveň z počátku roku 2013 (dno poslední recese ekonomiky) dosud nepřekonala. Čtyři čtvrtletí klesá i výkon v hutnictví a slévárens</w:t>
            </w:r>
            <w:r>
              <w:rPr>
                <w:color w:val="000000" w:themeColor="text1"/>
                <w:spacing w:val="-4"/>
              </w:rPr>
              <w:t xml:space="preserve">tví (na počátku roku o dalších </w:t>
            </w:r>
            <w:r w:rsidRPr="00C00806">
              <w:rPr>
                <w:color w:val="000000" w:themeColor="text1"/>
                <w:spacing w:val="-4"/>
              </w:rPr>
              <w:t xml:space="preserve">6,1 %). S negativními důsledky přetlaku nabídky oceli na evropských trzích se však loni i letos potýkala i většina </w:t>
            </w:r>
            <w:r>
              <w:rPr>
                <w:color w:val="000000" w:themeColor="text1"/>
                <w:spacing w:val="-4"/>
              </w:rPr>
              <w:t>významných producentů, hlavně</w:t>
            </w:r>
            <w:r w:rsidRPr="00C00806">
              <w:rPr>
                <w:color w:val="000000" w:themeColor="text1"/>
                <w:spacing w:val="-4"/>
              </w:rPr>
              <w:t xml:space="preserve"> ve Francii a Velké Británii </w:t>
            </w:r>
            <w:r>
              <w:rPr>
                <w:color w:val="000000" w:themeColor="text1"/>
                <w:spacing w:val="-4"/>
              </w:rPr>
              <w:t>(celé odvětví silně rostlo jen</w:t>
            </w:r>
            <w:r w:rsidRPr="00C00806">
              <w:rPr>
                <w:color w:val="000000" w:themeColor="text1"/>
                <w:spacing w:val="-4"/>
              </w:rPr>
              <w:t xml:space="preserve"> ve Švédsku).</w:t>
            </w:r>
            <w:r>
              <w:rPr>
                <w:color w:val="000000" w:themeColor="text1"/>
                <w:spacing w:val="-4"/>
              </w:rPr>
              <w:t xml:space="preserve"> Ve</w:t>
            </w:r>
            <w:r w:rsidRPr="00C00806">
              <w:rPr>
                <w:color w:val="000000" w:themeColor="text1"/>
                <w:spacing w:val="-4"/>
              </w:rPr>
              <w:t xml:space="preserve"> výrobě </w:t>
            </w:r>
            <w:r w:rsidRPr="00C00806">
              <w:rPr>
                <w:color w:val="000000"/>
                <w:spacing w:val="-4"/>
              </w:rPr>
              <w:t>počítačů, elektronických a optických přístrojů produkce stagnovala, k citelnému zpomalení po intenzivním růstu v letech 2013 a 201</w:t>
            </w:r>
            <w:r w:rsidRPr="00B67D90">
              <w:rPr>
                <w:color w:val="000000"/>
                <w:spacing w:val="-4"/>
              </w:rPr>
              <w:t>4</w:t>
            </w:r>
            <w:r w:rsidRPr="00C00806">
              <w:rPr>
                <w:color w:val="000000"/>
                <w:spacing w:val="-4"/>
              </w:rPr>
              <w:t xml:space="preserve"> však docházelo již v předchozím roce. Poprvé po osmi čtvrtletích </w:t>
            </w:r>
            <w:r>
              <w:rPr>
                <w:color w:val="000000"/>
                <w:spacing w:val="-4"/>
              </w:rPr>
              <w:t xml:space="preserve">se </w:t>
            </w:r>
            <w:r w:rsidRPr="00C00806">
              <w:rPr>
                <w:color w:val="000000"/>
                <w:spacing w:val="-4"/>
              </w:rPr>
              <w:t>zastavil růst produkce v objemově významném a vnitřně diverzifikovaném potravinářském průmyslu. I mělký meziroční pokles (o 3,5 %) znamenal v tomto stabilním, především na domácí trh orientovaném odvětví, nejhorší výsledek od konce roku 2011.</w:t>
            </w:r>
          </w:p>
          <w:p w:rsidR="000E1EEA" w:rsidRPr="00070A0C" w:rsidRDefault="000E1EEA" w:rsidP="0002434F">
            <w:pPr>
              <w:pStyle w:val="Textpoznpodarou"/>
              <w:jc w:val="both"/>
              <w:rPr>
                <w:color w:val="000000" w:themeColor="text1"/>
                <w:spacing w:val="-4"/>
                <w:sz w:val="18"/>
                <w:szCs w:val="18"/>
              </w:rPr>
            </w:pPr>
          </w:p>
        </w:tc>
      </w:tr>
      <w:tr w:rsidR="000E1EEA" w:rsidTr="0002434F">
        <w:tc>
          <w:tcPr>
            <w:tcW w:w="1090" w:type="pct"/>
          </w:tcPr>
          <w:p w:rsidR="000E1EEA" w:rsidRDefault="000E1EEA" w:rsidP="0002434F">
            <w:pPr>
              <w:spacing w:line="240" w:lineRule="auto"/>
              <w:rPr>
                <w:sz w:val="16"/>
                <w:szCs w:val="16"/>
              </w:rPr>
            </w:pPr>
            <w:r>
              <w:rPr>
                <w:sz w:val="16"/>
                <w:szCs w:val="16"/>
              </w:rPr>
              <w:t>Úrovně produkce z vrcholu konjunktury stále nedosáhla polovina zpracovatelských oborů, u producentů motorových vozidel již však byla o téměř dvě třetiny vyšší</w:t>
            </w:r>
          </w:p>
        </w:tc>
        <w:tc>
          <w:tcPr>
            <w:tcW w:w="145" w:type="pct"/>
          </w:tcPr>
          <w:p w:rsidR="000E1EEA" w:rsidRDefault="000E1EEA" w:rsidP="0002434F">
            <w:pPr>
              <w:pStyle w:val="Textpoznpodarou"/>
              <w:jc w:val="both"/>
              <w:rPr>
                <w:spacing w:val="-2"/>
              </w:rPr>
            </w:pPr>
          </w:p>
        </w:tc>
        <w:tc>
          <w:tcPr>
            <w:tcW w:w="3765" w:type="pct"/>
          </w:tcPr>
          <w:p w:rsidR="000E1EEA" w:rsidRPr="00E0259A" w:rsidRDefault="000E1EEA" w:rsidP="0002434F">
            <w:pPr>
              <w:pStyle w:val="Textpoznpodarou"/>
              <w:jc w:val="both"/>
              <w:rPr>
                <w:spacing w:val="-4"/>
              </w:rPr>
            </w:pPr>
            <w:r w:rsidRPr="00E0259A">
              <w:rPr>
                <w:spacing w:val="-4"/>
              </w:rPr>
              <w:t>Přestože l</w:t>
            </w:r>
            <w:r>
              <w:rPr>
                <w:spacing w:val="-4"/>
              </w:rPr>
              <w:t xml:space="preserve">etošní výše produkce v celém zpracovatelském průmyslu </w:t>
            </w:r>
            <w:r w:rsidRPr="00E0259A">
              <w:rPr>
                <w:spacing w:val="-4"/>
              </w:rPr>
              <w:t xml:space="preserve">převýšila hodnotu z vrcholu konjunktury (1. </w:t>
            </w:r>
            <w:r>
              <w:rPr>
                <w:spacing w:val="-4"/>
              </w:rPr>
              <w:t>č</w:t>
            </w:r>
            <w:r w:rsidRPr="00E0259A">
              <w:rPr>
                <w:spacing w:val="-4"/>
              </w:rPr>
              <w:t>tvrtletí 2008)</w:t>
            </w:r>
            <w:r>
              <w:rPr>
                <w:spacing w:val="-4"/>
              </w:rPr>
              <w:t xml:space="preserve"> o téměř 12 %, polovina jeho odvětví této mety zatím nedosáhla. Z významnějších oborů šlo hlavně o hutnictví (-21 %), chemický průmysl (-18 %), v menší míře i potravinářství (-5 %) a také strojírenství. Hluboko pod předkrizovou úrovní zůstávají i menší obory –  průmysl skla, keramiky, porcelánu a stavebních hmot, textilní a oděvní průmysl nebo výrobci nápojů. </w:t>
            </w:r>
          </w:p>
          <w:p w:rsidR="000E1EEA" w:rsidRPr="00070A0C" w:rsidRDefault="000E1EEA" w:rsidP="0002434F">
            <w:pPr>
              <w:pStyle w:val="Textpoznpodarou"/>
              <w:jc w:val="both"/>
              <w:rPr>
                <w:spacing w:val="-4"/>
                <w:sz w:val="18"/>
                <w:szCs w:val="18"/>
              </w:rPr>
            </w:pPr>
          </w:p>
        </w:tc>
      </w:tr>
      <w:tr w:rsidR="000E1EEA" w:rsidTr="0002434F">
        <w:tc>
          <w:tcPr>
            <w:tcW w:w="1090" w:type="pct"/>
          </w:tcPr>
          <w:p w:rsidR="000E1EEA" w:rsidRDefault="000E1EEA" w:rsidP="0002434F">
            <w:pPr>
              <w:spacing w:line="240" w:lineRule="auto"/>
              <w:rPr>
                <w:sz w:val="16"/>
                <w:szCs w:val="16"/>
              </w:rPr>
            </w:pPr>
            <w:r>
              <w:rPr>
                <w:sz w:val="16"/>
                <w:szCs w:val="16"/>
              </w:rPr>
              <w:t>Růst nových zakázek na počátku roku výrazně zpomalil, dosáhl nejnižšího tempa od 3. čtvrtletí 2013</w:t>
            </w:r>
          </w:p>
          <w:p w:rsidR="000E1EEA" w:rsidRDefault="000E1EEA" w:rsidP="0002434F">
            <w:pPr>
              <w:spacing w:line="240" w:lineRule="auto"/>
              <w:rPr>
                <w:sz w:val="16"/>
                <w:szCs w:val="16"/>
              </w:rPr>
            </w:pPr>
          </w:p>
          <w:p w:rsidR="000E1EEA" w:rsidRDefault="000E1EEA" w:rsidP="0002434F">
            <w:pPr>
              <w:spacing w:line="240" w:lineRule="auto"/>
              <w:rPr>
                <w:sz w:val="16"/>
                <w:szCs w:val="16"/>
              </w:rPr>
            </w:pPr>
          </w:p>
          <w:p w:rsidR="000E1EEA" w:rsidRDefault="000E1EEA" w:rsidP="0002434F">
            <w:pPr>
              <w:spacing w:line="240" w:lineRule="auto"/>
              <w:rPr>
                <w:sz w:val="16"/>
                <w:szCs w:val="16"/>
              </w:rPr>
            </w:pPr>
            <w:r>
              <w:rPr>
                <w:sz w:val="16"/>
                <w:szCs w:val="16"/>
              </w:rPr>
              <w:t>Od poloviny roku 2015 pociťují průmyslové podniky nedostatek pracovní síly jako barieru růstu stále častěji…</w:t>
            </w:r>
          </w:p>
          <w:p w:rsidR="000E1EEA" w:rsidRDefault="000E1EEA" w:rsidP="0002434F">
            <w:pPr>
              <w:spacing w:line="240" w:lineRule="auto"/>
              <w:rPr>
                <w:sz w:val="16"/>
                <w:szCs w:val="16"/>
              </w:rPr>
            </w:pPr>
          </w:p>
          <w:p w:rsidR="000E1EEA" w:rsidRDefault="000E1EEA" w:rsidP="0002434F">
            <w:pPr>
              <w:spacing w:line="240" w:lineRule="auto"/>
              <w:rPr>
                <w:sz w:val="16"/>
                <w:szCs w:val="16"/>
              </w:rPr>
            </w:pPr>
            <w:r>
              <w:rPr>
                <w:sz w:val="16"/>
                <w:szCs w:val="16"/>
              </w:rPr>
              <w:t>…jejich podíl byl na počátku 2. čtvrtletí nejvyšší od konjunktury</w:t>
            </w:r>
          </w:p>
          <w:p w:rsidR="000E1EEA" w:rsidRPr="000B1183" w:rsidRDefault="000E1EEA" w:rsidP="0002434F">
            <w:pPr>
              <w:spacing w:line="240" w:lineRule="auto"/>
              <w:rPr>
                <w:sz w:val="16"/>
                <w:szCs w:val="16"/>
              </w:rPr>
            </w:pPr>
          </w:p>
        </w:tc>
        <w:tc>
          <w:tcPr>
            <w:tcW w:w="145" w:type="pct"/>
          </w:tcPr>
          <w:p w:rsidR="000E1EEA" w:rsidRDefault="000E1EEA" w:rsidP="0002434F">
            <w:pPr>
              <w:pStyle w:val="Textpoznpodarou"/>
              <w:jc w:val="both"/>
              <w:rPr>
                <w:spacing w:val="-2"/>
              </w:rPr>
            </w:pPr>
          </w:p>
        </w:tc>
        <w:tc>
          <w:tcPr>
            <w:tcW w:w="3765" w:type="pct"/>
          </w:tcPr>
          <w:p w:rsidR="000E1EEA" w:rsidRPr="00FE16E6" w:rsidRDefault="000E1EEA" w:rsidP="0002434F">
            <w:pPr>
              <w:pStyle w:val="Textpoznpodarou"/>
              <w:jc w:val="both"/>
              <w:rPr>
                <w:color w:val="000000"/>
                <w:spacing w:val="-4"/>
              </w:rPr>
            </w:pPr>
            <w:r>
              <w:rPr>
                <w:spacing w:val="-4"/>
              </w:rPr>
              <w:t>Po úspěšném loňském roce příliv nových zakázek do průmyslu citelně zpomalil. Hodnota zahraničních objednávek byla v 1. čtvrtletí meziročně vyšší o 1,8 %, nejméně od ukončení poslední recese</w:t>
            </w:r>
            <w:r>
              <w:rPr>
                <w:rStyle w:val="Znakapoznpodarou"/>
                <w:spacing w:val="-4"/>
              </w:rPr>
              <w:footnoteReference w:id="14"/>
            </w:r>
            <w:r>
              <w:rPr>
                <w:spacing w:val="-4"/>
              </w:rPr>
              <w:t xml:space="preserve">. Zpomalení se nedotklo pouze klíčových oborů – výroby motorových vozidel (+10 %) a strojírenství (+5 %). </w:t>
            </w:r>
            <w:r>
              <w:rPr>
                <w:color w:val="000000" w:themeColor="text1"/>
                <w:spacing w:val="-4"/>
              </w:rPr>
              <w:t>Nálada podnikatelů v průmyslu však zůstává mírně pozitivní. Sezónně očištěná salda indikátorů důvěry dosahují stabilních hodnot již dva a půl roku, byť proti loňské úrovni po celé jarní období nepatrně zaostávala. Růst výrobní činnosti v příštích třech měsících v květnu očekávala pětina průmyslových podniků, u zaměstnanosti sedmina. Nedostatek pracovní síly považovalo na počátku 2. čtvrtletí 2016 za hlavní bariéru růstu 17 % podniků, před rokem pouze 7 % (ale na vrcholu konjunktury více než čtvrtina). Tento trend lze ale vypozorovat téměř ve všech novějších členských státech EU, především v Polsku a Maďarsku. Dynamika za</w:t>
            </w:r>
            <w:r w:rsidR="00F10B64">
              <w:rPr>
                <w:color w:val="000000" w:themeColor="text1"/>
                <w:spacing w:val="-4"/>
              </w:rPr>
              <w:t>městnanosti i mezd nadále sílila</w:t>
            </w:r>
            <w:r>
              <w:rPr>
                <w:color w:val="000000" w:themeColor="text1"/>
                <w:spacing w:val="-4"/>
              </w:rPr>
              <w:t>. Na počátku roku vzrostl průměrný evidenční počet zaměstnanců (v</w:t>
            </w:r>
            <w:r w:rsidR="00A711B0">
              <w:rPr>
                <w:color w:val="000000" w:themeColor="text1"/>
                <w:spacing w:val="-4"/>
              </w:rPr>
              <w:t> prům.</w:t>
            </w:r>
            <w:r>
              <w:rPr>
                <w:color w:val="0D0D0D" w:themeColor="text1" w:themeTint="F2"/>
                <w:spacing w:val="-4"/>
              </w:rPr>
              <w:t> </w:t>
            </w:r>
            <w:r>
              <w:rPr>
                <w:color w:val="000000" w:themeColor="text1"/>
                <w:spacing w:val="-4"/>
              </w:rPr>
              <w:t xml:space="preserve">podnicích </w:t>
            </w:r>
            <w:r w:rsidR="00A711B0">
              <w:rPr>
                <w:color w:val="000000" w:themeColor="text1"/>
                <w:spacing w:val="-4"/>
              </w:rPr>
              <w:t>v ČR) meziročně</w:t>
            </w:r>
            <w:r>
              <w:rPr>
                <w:color w:val="000000" w:themeColor="text1"/>
                <w:spacing w:val="-4"/>
              </w:rPr>
              <w:t xml:space="preserve"> </w:t>
            </w:r>
            <w:r w:rsidRPr="00A711B0">
              <w:rPr>
                <w:color w:val="000000" w:themeColor="text1"/>
                <w:spacing w:val="-5"/>
              </w:rPr>
              <w:t>o</w:t>
            </w:r>
            <w:r w:rsidR="00A711B0" w:rsidRPr="00A711B0">
              <w:rPr>
                <w:color w:val="000000" w:themeColor="text1"/>
                <w:spacing w:val="-5"/>
              </w:rPr>
              <w:t xml:space="preserve"> 2,9</w:t>
            </w:r>
            <w:r w:rsidRPr="00A711B0">
              <w:rPr>
                <w:color w:val="000000" w:themeColor="text1"/>
                <w:spacing w:val="-5"/>
              </w:rPr>
              <w:t xml:space="preserve"> % (více</w:t>
            </w:r>
            <w:r w:rsidR="00A711B0" w:rsidRPr="00A711B0">
              <w:rPr>
                <w:color w:val="000000" w:themeColor="text1"/>
                <w:spacing w:val="-5"/>
              </w:rPr>
              <w:t xml:space="preserve"> než dvojnásobným tempem v </w:t>
            </w:r>
            <w:r w:rsidRPr="00A711B0">
              <w:rPr>
                <w:color w:val="000000" w:themeColor="text1"/>
                <w:spacing w:val="-5"/>
              </w:rPr>
              <w:t>automobilovém průmyslu</w:t>
            </w:r>
            <w:r w:rsidR="00A711B0" w:rsidRPr="00A711B0">
              <w:rPr>
                <w:color w:val="000000" w:themeColor="text1"/>
                <w:spacing w:val="-5"/>
              </w:rPr>
              <w:t xml:space="preserve"> a ve výrobě PC, elektronických a optických přístrojů</w:t>
            </w:r>
            <w:r w:rsidRPr="00A711B0">
              <w:rPr>
                <w:color w:val="000000" w:themeColor="text1"/>
                <w:spacing w:val="-5"/>
              </w:rPr>
              <w:t>).</w:t>
            </w:r>
            <w:r w:rsidRPr="00B41BB6">
              <w:rPr>
                <w:color w:val="000000" w:themeColor="text1"/>
                <w:spacing w:val="-5"/>
              </w:rPr>
              <w:t xml:space="preserve"> </w:t>
            </w:r>
          </w:p>
          <w:p w:rsidR="000E1EEA" w:rsidRPr="00070A0C" w:rsidRDefault="000E1EEA" w:rsidP="0002434F">
            <w:pPr>
              <w:pStyle w:val="Textpoznpodarou"/>
              <w:jc w:val="both"/>
              <w:rPr>
                <w:spacing w:val="-4"/>
                <w:sz w:val="18"/>
                <w:szCs w:val="18"/>
              </w:rPr>
            </w:pPr>
          </w:p>
        </w:tc>
      </w:tr>
      <w:tr w:rsidR="000E1EEA" w:rsidTr="0002434F">
        <w:tc>
          <w:tcPr>
            <w:tcW w:w="1090" w:type="pct"/>
          </w:tcPr>
          <w:p w:rsidR="000E1EEA" w:rsidRDefault="000E1EEA" w:rsidP="0002434F">
            <w:pPr>
              <w:spacing w:line="240" w:lineRule="auto"/>
              <w:rPr>
                <w:color w:val="000000" w:themeColor="text1"/>
                <w:sz w:val="16"/>
                <w:szCs w:val="16"/>
              </w:rPr>
            </w:pPr>
            <w:r>
              <w:rPr>
                <w:color w:val="000000" w:themeColor="text1"/>
                <w:sz w:val="16"/>
                <w:szCs w:val="16"/>
              </w:rPr>
              <w:t>Silný meziroční pokles stavební produkce byl ovlivněn především nepříznivým vývojem v pozemním stavitelství</w:t>
            </w:r>
          </w:p>
          <w:p w:rsidR="000E1EEA" w:rsidRDefault="000E1EEA" w:rsidP="0002434F">
            <w:pPr>
              <w:spacing w:line="240" w:lineRule="auto"/>
              <w:rPr>
                <w:color w:val="000000" w:themeColor="text1"/>
                <w:sz w:val="16"/>
                <w:szCs w:val="16"/>
              </w:rPr>
            </w:pPr>
          </w:p>
          <w:p w:rsidR="001B7231" w:rsidRDefault="001B7231" w:rsidP="0002434F">
            <w:pPr>
              <w:spacing w:line="240" w:lineRule="auto"/>
              <w:rPr>
                <w:color w:val="000000" w:themeColor="text1"/>
                <w:sz w:val="16"/>
                <w:szCs w:val="16"/>
              </w:rPr>
            </w:pPr>
          </w:p>
          <w:p w:rsidR="001B7231" w:rsidRDefault="001B7231" w:rsidP="0002434F">
            <w:pPr>
              <w:spacing w:line="240" w:lineRule="auto"/>
              <w:rPr>
                <w:color w:val="000000" w:themeColor="text1"/>
                <w:sz w:val="16"/>
                <w:szCs w:val="16"/>
              </w:rPr>
            </w:pPr>
          </w:p>
          <w:p w:rsidR="001B7231" w:rsidRDefault="001B7231" w:rsidP="0002434F">
            <w:pPr>
              <w:spacing w:line="240" w:lineRule="auto"/>
              <w:rPr>
                <w:color w:val="000000" w:themeColor="text1"/>
                <w:sz w:val="16"/>
                <w:szCs w:val="16"/>
              </w:rPr>
            </w:pPr>
          </w:p>
          <w:p w:rsidR="001B7231" w:rsidRDefault="001B7231" w:rsidP="0002434F">
            <w:pPr>
              <w:spacing w:line="240" w:lineRule="auto"/>
              <w:rPr>
                <w:color w:val="000000" w:themeColor="text1"/>
                <w:sz w:val="16"/>
                <w:szCs w:val="16"/>
              </w:rPr>
            </w:pPr>
          </w:p>
          <w:p w:rsidR="001B7231" w:rsidRPr="001B7231" w:rsidRDefault="001B7231" w:rsidP="0002434F">
            <w:pPr>
              <w:spacing w:line="240" w:lineRule="auto"/>
              <w:rPr>
                <w:color w:val="000000" w:themeColor="text1"/>
                <w:sz w:val="14"/>
                <w:szCs w:val="14"/>
              </w:rPr>
            </w:pPr>
          </w:p>
          <w:p w:rsidR="000E1EEA" w:rsidRPr="0032604E" w:rsidRDefault="000E1EEA" w:rsidP="0002434F">
            <w:pPr>
              <w:spacing w:line="240" w:lineRule="auto"/>
              <w:rPr>
                <w:color w:val="000000" w:themeColor="text1"/>
                <w:sz w:val="16"/>
                <w:szCs w:val="16"/>
              </w:rPr>
            </w:pPr>
            <w:r>
              <w:rPr>
                <w:color w:val="000000" w:themeColor="text1"/>
                <w:sz w:val="16"/>
                <w:szCs w:val="16"/>
              </w:rPr>
              <w:t xml:space="preserve">Výkon celého stavebnictví se nacházel na předloňské úrovni, proti počátku roku 2008 byl ale o 31 % slabší </w:t>
            </w:r>
          </w:p>
        </w:tc>
        <w:tc>
          <w:tcPr>
            <w:tcW w:w="145" w:type="pct"/>
          </w:tcPr>
          <w:p w:rsidR="000E1EEA" w:rsidRDefault="000E1EEA" w:rsidP="0002434F">
            <w:pPr>
              <w:pStyle w:val="Textpoznpodarou"/>
              <w:jc w:val="both"/>
              <w:rPr>
                <w:spacing w:val="-2"/>
              </w:rPr>
            </w:pPr>
          </w:p>
        </w:tc>
        <w:tc>
          <w:tcPr>
            <w:tcW w:w="3765" w:type="pct"/>
          </w:tcPr>
          <w:p w:rsidR="000E1EEA" w:rsidRPr="00B05778" w:rsidRDefault="000E1EEA" w:rsidP="0002434F">
            <w:pPr>
              <w:pStyle w:val="Textpoznpodarou"/>
              <w:jc w:val="both"/>
              <w:rPr>
                <w:color w:val="000000" w:themeColor="text1"/>
                <w:spacing w:val="-4"/>
              </w:rPr>
            </w:pPr>
            <w:r>
              <w:rPr>
                <w:spacing w:val="-4"/>
              </w:rPr>
              <w:t xml:space="preserve">Stavební produkce se po silném růstu z předchozích dvou let v prvních třech měsících roku 2016 opět vrátila k hlubším poklesům, když meziročně oslabila o téměř 9 % (resp. o 7,6 % </w:t>
            </w:r>
            <w:r w:rsidRPr="008D59A9">
              <w:rPr>
                <w:color w:val="000000" w:themeColor="text1"/>
                <w:spacing w:val="-4"/>
              </w:rPr>
              <w:t>po očištění o kalendářní vlivy</w:t>
            </w:r>
            <w:r>
              <w:rPr>
                <w:color w:val="000000" w:themeColor="text1"/>
                <w:spacing w:val="-4"/>
              </w:rPr>
              <w:t xml:space="preserve">). Bezmála z 90 % se na tom podílelo objemově významnější pozemní stavitelství (-9,7 %), výkon inženýrského stavitelství </w:t>
            </w:r>
            <w:r>
              <w:rPr>
                <w:color w:val="000000" w:themeColor="text1"/>
                <w:spacing w:val="-4"/>
              </w:rPr>
              <w:lastRenderedPageBreak/>
              <w:t>se snižoval mírněji (- 6%). Obrat v celém odvětví naznačovaly již ve druhé polovině loňského roku výsledky konjunkturních šetření, meziroční snížení hodnoty nových zakázek a především prohlubující se mezičtvrtletní pokles stavební produkce. Na letošních výsledcích se negativně podepsal očekávaný pokles veřejných investic do dopravních staveb (loňský 17% růst produkce v inženýrském stavitelství byl nejvyšší v dvanáctileté řadě), ale také do určité míry i překvapivě opatrný rozvoj nové bytové výstavby podobně jako nerezidenčních nemovitostí. Letošní produkce stavebnictví byla srovnatelná s počátkem roku 2014 (v inženýrském stavitelství o 8 % vyšší).</w:t>
            </w:r>
          </w:p>
          <w:p w:rsidR="000E1EEA" w:rsidRPr="00C60943" w:rsidRDefault="000E1EEA" w:rsidP="0002434F">
            <w:pPr>
              <w:pStyle w:val="Textpoznpodarou"/>
              <w:jc w:val="both"/>
              <w:rPr>
                <w:spacing w:val="-4"/>
                <w:sz w:val="16"/>
                <w:szCs w:val="16"/>
              </w:rPr>
            </w:pPr>
          </w:p>
        </w:tc>
      </w:tr>
      <w:tr w:rsidR="000E1EEA" w:rsidTr="0002434F">
        <w:tc>
          <w:tcPr>
            <w:tcW w:w="1090" w:type="pct"/>
          </w:tcPr>
          <w:p w:rsidR="000E1EEA" w:rsidRDefault="000E1EEA" w:rsidP="0002434F">
            <w:pPr>
              <w:spacing w:line="240" w:lineRule="auto"/>
              <w:rPr>
                <w:color w:val="000000" w:themeColor="text1"/>
                <w:sz w:val="16"/>
                <w:szCs w:val="16"/>
              </w:rPr>
            </w:pPr>
            <w:r>
              <w:rPr>
                <w:color w:val="000000" w:themeColor="text1"/>
                <w:sz w:val="16"/>
                <w:szCs w:val="16"/>
              </w:rPr>
              <w:lastRenderedPageBreak/>
              <w:t>Nové zakázky na inženýrské stavby meziročně o 11 % oslabily</w:t>
            </w:r>
          </w:p>
          <w:p w:rsidR="000E1EEA" w:rsidRDefault="000E1EEA" w:rsidP="0002434F">
            <w:pPr>
              <w:spacing w:line="240" w:lineRule="auto"/>
              <w:rPr>
                <w:color w:val="000000" w:themeColor="text1"/>
                <w:sz w:val="16"/>
                <w:szCs w:val="16"/>
              </w:rPr>
            </w:pPr>
          </w:p>
          <w:p w:rsidR="000E1EEA" w:rsidRDefault="000E1EEA" w:rsidP="0002434F">
            <w:pPr>
              <w:spacing w:line="240" w:lineRule="auto"/>
              <w:rPr>
                <w:color w:val="000000" w:themeColor="text1"/>
                <w:sz w:val="16"/>
                <w:szCs w:val="16"/>
              </w:rPr>
            </w:pPr>
          </w:p>
          <w:p w:rsidR="000E1EEA" w:rsidRDefault="000E1EEA" w:rsidP="0002434F">
            <w:pPr>
              <w:spacing w:line="240" w:lineRule="auto"/>
              <w:rPr>
                <w:color w:val="000000" w:themeColor="text1"/>
                <w:sz w:val="16"/>
                <w:szCs w:val="16"/>
              </w:rPr>
            </w:pPr>
          </w:p>
          <w:p w:rsidR="000E1EEA" w:rsidRPr="0032604E" w:rsidRDefault="000E1EEA" w:rsidP="0002434F">
            <w:pPr>
              <w:spacing w:line="240" w:lineRule="auto"/>
              <w:rPr>
                <w:color w:val="000000" w:themeColor="text1"/>
                <w:sz w:val="16"/>
                <w:szCs w:val="16"/>
              </w:rPr>
            </w:pPr>
            <w:r>
              <w:rPr>
                <w:color w:val="000000" w:themeColor="text1"/>
                <w:sz w:val="16"/>
                <w:szCs w:val="16"/>
              </w:rPr>
              <w:t xml:space="preserve">Stavebnictví na počátku roku chyběly větší stavby, průměrná hodnota nově uzavřené zakázky klesla pod 3 mil. korun – na nejnižší úroveň za posledních dvanáct čtvrtletí </w:t>
            </w:r>
          </w:p>
        </w:tc>
        <w:tc>
          <w:tcPr>
            <w:tcW w:w="145" w:type="pct"/>
          </w:tcPr>
          <w:p w:rsidR="000E1EEA" w:rsidRDefault="000E1EEA" w:rsidP="0002434F">
            <w:pPr>
              <w:pStyle w:val="Textpoznpodarou"/>
              <w:jc w:val="both"/>
              <w:rPr>
                <w:spacing w:val="-2"/>
              </w:rPr>
            </w:pPr>
          </w:p>
        </w:tc>
        <w:tc>
          <w:tcPr>
            <w:tcW w:w="3765" w:type="pct"/>
          </w:tcPr>
          <w:p w:rsidR="000E1EEA" w:rsidRPr="00C23B45" w:rsidRDefault="000E1EEA" w:rsidP="0002434F">
            <w:pPr>
              <w:pStyle w:val="Textpoznpodarou"/>
              <w:jc w:val="both"/>
              <w:rPr>
                <w:spacing w:val="-4"/>
              </w:rPr>
            </w:pPr>
            <w:r>
              <w:rPr>
                <w:spacing w:val="-4"/>
              </w:rPr>
              <w:t xml:space="preserve">Hodnota nových zakázek (stavebních podniků s 50 a více zaměstnanci) meziročně poklesla o 6,2 %, téměř výhradně vlivem nižších objednávek na inženýrské stavby. Pokles průměrné hodnoty nově uzavřené zakázky (na 2,9 mil. korun, nejníže za posledních 12 čtvrtletí) nepřímo indikuje absenci větších staveb. Mírně optimističtější </w:t>
            </w:r>
            <w:r w:rsidRPr="0083102D">
              <w:rPr>
                <w:spacing w:val="-6"/>
              </w:rPr>
              <w:t>vyhlídky může naznačovat</w:t>
            </w:r>
            <w:r w:rsidR="0083102D">
              <w:rPr>
                <w:spacing w:val="-6"/>
              </w:rPr>
              <w:t xml:space="preserve"> průměrná</w:t>
            </w:r>
            <w:r w:rsidRPr="0083102D">
              <w:rPr>
                <w:spacing w:val="-6"/>
              </w:rPr>
              <w:t xml:space="preserve"> orientační hodnota stavebních povolení. Ta v 1</w:t>
            </w:r>
            <w:r>
              <w:rPr>
                <w:spacing w:val="-4"/>
              </w:rPr>
              <w:t>.</w:t>
            </w:r>
            <w:r w:rsidR="0083102D">
              <w:rPr>
                <w:spacing w:val="-4"/>
              </w:rPr>
              <w:t> </w:t>
            </w:r>
            <w:r>
              <w:rPr>
                <w:spacing w:val="-4"/>
              </w:rPr>
              <w:t xml:space="preserve">čtvrtletí mírně rostla (na 3,2 mil. korun) zásluhou nebytových staveb, kde se mezičtvrtletně zvýšila již potřetí v řadě (na 5,6 mil. korun). Celková zásoba práce ve formě dosud nerealizovaných stavebních zakázek se meziročně zredukovala o osminu (na 140 mld. korun), především vlivem intenzivní realizace veřejných zakázek </w:t>
            </w:r>
            <w:r w:rsidRPr="0083102D">
              <w:rPr>
                <w:spacing w:val="-6"/>
              </w:rPr>
              <w:t>na konci loňského roku v souvislosti s končícím programovacím obdobím EU</w:t>
            </w:r>
            <w:r>
              <w:rPr>
                <w:spacing w:val="-4"/>
              </w:rPr>
              <w:t>. Vytíženým stavebním firmám se zřejmě nedostávalo kapacit na zakázky v zahraničí, jejichž hodnota se za posledních šest čtvrtletí snížila o téměř polovinu, v celkové zásobě práce však tyto zak</w:t>
            </w:r>
            <w:r w:rsidR="0083102D">
              <w:rPr>
                <w:spacing w:val="-4"/>
              </w:rPr>
              <w:t>ázky na konci března tvořily ne</w:t>
            </w:r>
            <w:r>
              <w:rPr>
                <w:spacing w:val="-4"/>
              </w:rPr>
              <w:t>zanedbatelných 14</w:t>
            </w:r>
            <w:r>
              <w:rPr>
                <w:color w:val="000000" w:themeColor="text1"/>
                <w:spacing w:val="-4"/>
              </w:rPr>
              <w:t> </w:t>
            </w:r>
            <w:r>
              <w:rPr>
                <w:spacing w:val="-4"/>
              </w:rPr>
              <w:t>%.</w:t>
            </w:r>
          </w:p>
          <w:p w:rsidR="000E1EEA" w:rsidRPr="00C60943" w:rsidRDefault="000E1EEA" w:rsidP="0002434F">
            <w:pPr>
              <w:pStyle w:val="Textpoznpodarou"/>
              <w:jc w:val="both"/>
              <w:rPr>
                <w:spacing w:val="-4"/>
                <w:sz w:val="16"/>
                <w:szCs w:val="16"/>
              </w:rPr>
            </w:pPr>
          </w:p>
        </w:tc>
      </w:tr>
      <w:tr w:rsidR="000E1EEA" w:rsidTr="0002434F">
        <w:trPr>
          <w:cantSplit/>
          <w:trHeight w:val="203"/>
        </w:trPr>
        <w:tc>
          <w:tcPr>
            <w:tcW w:w="1090" w:type="pct"/>
          </w:tcPr>
          <w:p w:rsidR="000E1EEA" w:rsidRPr="00FD73C6" w:rsidRDefault="000E1EEA" w:rsidP="00F10B64">
            <w:pPr>
              <w:spacing w:line="240" w:lineRule="auto"/>
              <w:rPr>
                <w:sz w:val="16"/>
                <w:szCs w:val="16"/>
              </w:rPr>
            </w:pPr>
            <w:r>
              <w:rPr>
                <w:sz w:val="16"/>
                <w:szCs w:val="16"/>
              </w:rPr>
              <w:t xml:space="preserve">Navzdory relativně příznivým klimatickým podmínkám se </w:t>
            </w:r>
            <w:r w:rsidR="00F10B64">
              <w:rPr>
                <w:sz w:val="16"/>
                <w:szCs w:val="16"/>
              </w:rPr>
              <w:t xml:space="preserve">proti loňskému historickému minimu </w:t>
            </w:r>
            <w:r>
              <w:rPr>
                <w:sz w:val="16"/>
                <w:szCs w:val="16"/>
              </w:rPr>
              <w:t>počet zahájených bytů na počátku roku navýšil jen o 2 %</w:t>
            </w:r>
          </w:p>
        </w:tc>
        <w:tc>
          <w:tcPr>
            <w:tcW w:w="145" w:type="pct"/>
          </w:tcPr>
          <w:p w:rsidR="000E1EEA" w:rsidRDefault="000E1EEA" w:rsidP="0002434F">
            <w:pPr>
              <w:pStyle w:val="Textpoznpodarou"/>
              <w:jc w:val="both"/>
              <w:rPr>
                <w:spacing w:val="-2"/>
              </w:rPr>
            </w:pPr>
          </w:p>
        </w:tc>
        <w:tc>
          <w:tcPr>
            <w:tcW w:w="3765" w:type="pct"/>
          </w:tcPr>
          <w:p w:rsidR="000E1EEA" w:rsidRPr="00E84204" w:rsidRDefault="000E1EEA" w:rsidP="0002434F">
            <w:pPr>
              <w:pStyle w:val="Textpoznpodarou"/>
              <w:jc w:val="both"/>
              <w:rPr>
                <w:spacing w:val="-4"/>
              </w:rPr>
            </w:pPr>
            <w:r>
              <w:rPr>
                <w:spacing w:val="-4"/>
              </w:rPr>
              <w:t xml:space="preserve">Na trh s residenčními nemovitostmi působí nejen rostoucí disponibilní příjmy domácností, které v prostředí historicky nejnižších úrokových sazeb stimulují další růst úvěrů na bydlení, ale také přítomnost velkého množství neobsazených bytů postavených s vyššími náklady v době konjunktury, kdy byl objem bytové výstavby proti současnosti téměř dvojnásobný. Počet zahájených bytů se v 1. čtvrtletí navýšil </w:t>
            </w:r>
            <w:r w:rsidRPr="00314110">
              <w:rPr>
                <w:spacing w:val="-5"/>
              </w:rPr>
              <w:t>o pouhá 2 %, na počátku loňského roku byl přitom objem výstavby nejnižší od poloviny 90. let. Počet dokončených bytů (6,2 tis.) stagnoval, když mírný růst u rodinných domů byl zcela kompenzován meziročně nižší výstavbou bytových domů.</w:t>
            </w:r>
            <w:r>
              <w:rPr>
                <w:spacing w:val="-4"/>
              </w:rPr>
              <w:t xml:space="preserve"> </w:t>
            </w:r>
          </w:p>
          <w:p w:rsidR="000E1EEA" w:rsidRPr="00C60943" w:rsidRDefault="000E1EEA" w:rsidP="0002434F">
            <w:pPr>
              <w:pStyle w:val="Textpoznpodarou"/>
              <w:jc w:val="both"/>
              <w:rPr>
                <w:spacing w:val="-4"/>
                <w:sz w:val="16"/>
                <w:szCs w:val="16"/>
              </w:rPr>
            </w:pPr>
          </w:p>
        </w:tc>
      </w:tr>
      <w:tr w:rsidR="000E1EEA" w:rsidRPr="00A51B62" w:rsidTr="0002434F">
        <w:trPr>
          <w:cantSplit/>
          <w:trHeight w:val="250"/>
        </w:trPr>
        <w:tc>
          <w:tcPr>
            <w:tcW w:w="1090" w:type="pct"/>
          </w:tcPr>
          <w:p w:rsidR="000E1EEA" w:rsidRDefault="000E1EEA" w:rsidP="0002434F">
            <w:pPr>
              <w:spacing w:line="240" w:lineRule="auto"/>
              <w:rPr>
                <w:sz w:val="16"/>
                <w:szCs w:val="16"/>
              </w:rPr>
            </w:pPr>
            <w:r w:rsidRPr="00312EF3">
              <w:rPr>
                <w:sz w:val="16"/>
                <w:szCs w:val="16"/>
              </w:rPr>
              <w:t>Trend</w:t>
            </w:r>
            <w:r>
              <w:rPr>
                <w:sz w:val="16"/>
                <w:szCs w:val="16"/>
              </w:rPr>
              <w:t xml:space="preserve"> postupné</w:t>
            </w:r>
            <w:r w:rsidR="00032E0C">
              <w:rPr>
                <w:sz w:val="16"/>
                <w:szCs w:val="16"/>
              </w:rPr>
              <w:t>ho</w:t>
            </w:r>
            <w:r>
              <w:rPr>
                <w:sz w:val="16"/>
                <w:szCs w:val="16"/>
              </w:rPr>
              <w:t xml:space="preserve"> zlepšování negativního salda důvěry podnikatelů ve stavebnictví se na počátku roku zastavil, v květnu klesl na nejnižší úroveň za posledních devatenáct měsíců</w:t>
            </w:r>
          </w:p>
          <w:p w:rsidR="000E1EEA" w:rsidRPr="00312EF3" w:rsidRDefault="000E1EEA" w:rsidP="0002434F">
            <w:pPr>
              <w:spacing w:line="240" w:lineRule="auto"/>
              <w:rPr>
                <w:sz w:val="16"/>
                <w:szCs w:val="16"/>
              </w:rPr>
            </w:pPr>
          </w:p>
        </w:tc>
        <w:tc>
          <w:tcPr>
            <w:tcW w:w="145" w:type="pct"/>
          </w:tcPr>
          <w:p w:rsidR="000E1EEA" w:rsidRDefault="000E1EEA" w:rsidP="0002434F">
            <w:pPr>
              <w:pStyle w:val="Textpoznpodarou"/>
              <w:jc w:val="both"/>
              <w:rPr>
                <w:spacing w:val="-2"/>
              </w:rPr>
            </w:pPr>
          </w:p>
        </w:tc>
        <w:tc>
          <w:tcPr>
            <w:tcW w:w="3765" w:type="pct"/>
          </w:tcPr>
          <w:p w:rsidR="000E1EEA" w:rsidRPr="00C50631" w:rsidRDefault="000E1EEA" w:rsidP="0002434F">
            <w:pPr>
              <w:pStyle w:val="Textpoznpodarou"/>
              <w:jc w:val="both"/>
              <w:rPr>
                <w:color w:val="000000" w:themeColor="text1"/>
                <w:spacing w:val="-5"/>
              </w:rPr>
            </w:pPr>
            <w:r w:rsidRPr="00C50631">
              <w:rPr>
                <w:color w:val="000000" w:themeColor="text1"/>
                <w:spacing w:val="-5"/>
              </w:rPr>
              <w:t>Sezó</w:t>
            </w:r>
            <w:r w:rsidR="006C53C7">
              <w:rPr>
                <w:color w:val="000000" w:themeColor="text1"/>
                <w:spacing w:val="-5"/>
              </w:rPr>
              <w:t>n</w:t>
            </w:r>
            <w:r w:rsidRPr="00C50631">
              <w:rPr>
                <w:color w:val="000000" w:themeColor="text1"/>
                <w:spacing w:val="-5"/>
              </w:rPr>
              <w:t xml:space="preserve">ně očištěné saldo důvěry podnikatelů ve stavebnictví setrvává dlouhodobě v negativním pásmu. Dva roky trvající tendence mírného zlepšování se na počátku roku 2016 zastavily, všechny jarní měsíce byla hodnota salda důvěry meziročně nižší a v květnu dokonce dosáhla devatenáctiměsíčního minima. Nedostatečnou poptávku jako bariéru růstu uvedlo a v květnu dle sezónně očištěných dat více než 61 % podniků (oproti 53 % na počátku roku), téměř dvojnásobně více než v celé EU. Pokles průměrného evidenčního počtu zaměstnanců se dle podnikových statistik po sedmi letech téměř zastavil, loňský nadprůměrný růst mezd se v 1. čtvrtletí vrátil k tempu </w:t>
            </w:r>
            <w:r w:rsidRPr="00C50631">
              <w:rPr>
                <w:color w:val="000000" w:themeColor="text1"/>
                <w:spacing w:val="-6"/>
              </w:rPr>
              <w:t>(4,6</w:t>
            </w:r>
            <w:r>
              <w:rPr>
                <w:spacing w:val="-4"/>
              </w:rPr>
              <w:t> </w:t>
            </w:r>
            <w:r w:rsidRPr="00C50631">
              <w:rPr>
                <w:color w:val="000000" w:themeColor="text1"/>
                <w:spacing w:val="-6"/>
              </w:rPr>
              <w:t xml:space="preserve">%) </w:t>
            </w:r>
            <w:r w:rsidRPr="00C50631">
              <w:rPr>
                <w:color w:val="000000" w:themeColor="text1"/>
                <w:spacing w:val="-5"/>
              </w:rPr>
              <w:t>blízkému v</w:t>
            </w:r>
            <w:r>
              <w:rPr>
                <w:color w:val="000000" w:themeColor="text1"/>
                <w:spacing w:val="-5"/>
              </w:rPr>
              <w:t> celé ekonomice (absolutní výše</w:t>
            </w:r>
            <w:r w:rsidRPr="00C50631">
              <w:rPr>
                <w:color w:val="000000" w:themeColor="text1"/>
                <w:spacing w:val="-5"/>
              </w:rPr>
              <w:t xml:space="preserve"> mezd zůstala nižší). Ve větších stavebních podnicích však byla výše mezd i jejich dynamika podstatně vyšší.</w:t>
            </w:r>
          </w:p>
          <w:p w:rsidR="000E1EEA" w:rsidRPr="00C60943" w:rsidRDefault="000E1EEA" w:rsidP="0002434F">
            <w:pPr>
              <w:pStyle w:val="Textpoznpodarou"/>
              <w:jc w:val="both"/>
              <w:rPr>
                <w:color w:val="000000" w:themeColor="text1"/>
                <w:spacing w:val="-4"/>
                <w:sz w:val="14"/>
                <w:szCs w:val="14"/>
              </w:rPr>
            </w:pPr>
          </w:p>
        </w:tc>
      </w:tr>
      <w:tr w:rsidR="000E1EEA" w:rsidRPr="00BE4405" w:rsidTr="0002434F">
        <w:trPr>
          <w:trHeight w:val="250"/>
        </w:trPr>
        <w:tc>
          <w:tcPr>
            <w:tcW w:w="1090" w:type="pct"/>
          </w:tcPr>
          <w:p w:rsidR="000E1EEA" w:rsidRDefault="000E1EEA" w:rsidP="0002434F">
            <w:pPr>
              <w:spacing w:line="240" w:lineRule="auto"/>
              <w:rPr>
                <w:color w:val="000000" w:themeColor="text1"/>
                <w:spacing w:val="-4"/>
                <w:sz w:val="16"/>
                <w:szCs w:val="16"/>
              </w:rPr>
            </w:pPr>
            <w:r w:rsidRPr="006E73E1">
              <w:rPr>
                <w:color w:val="000000" w:themeColor="text1"/>
                <w:spacing w:val="-4"/>
                <w:sz w:val="16"/>
                <w:szCs w:val="16"/>
              </w:rPr>
              <w:t>Za zpomalením růstu tržeb ve službách stály zejména profesní, vědecké a technické činnosti</w:t>
            </w:r>
          </w:p>
          <w:p w:rsidR="000E1EEA" w:rsidRDefault="000E1EEA" w:rsidP="0002434F">
            <w:pPr>
              <w:spacing w:line="240" w:lineRule="auto"/>
              <w:rPr>
                <w:color w:val="000000" w:themeColor="text1"/>
                <w:spacing w:val="-4"/>
                <w:sz w:val="16"/>
                <w:szCs w:val="16"/>
              </w:rPr>
            </w:pPr>
          </w:p>
          <w:p w:rsidR="000E1EEA" w:rsidRDefault="000E1EEA" w:rsidP="0002434F">
            <w:pPr>
              <w:spacing w:line="240" w:lineRule="auto"/>
              <w:rPr>
                <w:color w:val="000000" w:themeColor="text1"/>
                <w:spacing w:val="-4"/>
                <w:sz w:val="16"/>
                <w:szCs w:val="16"/>
              </w:rPr>
            </w:pPr>
          </w:p>
          <w:p w:rsidR="000E1EEA" w:rsidRDefault="000E1EEA" w:rsidP="0002434F">
            <w:pPr>
              <w:spacing w:line="240" w:lineRule="auto"/>
              <w:rPr>
                <w:color w:val="000000" w:themeColor="text1"/>
                <w:spacing w:val="-4"/>
                <w:sz w:val="16"/>
                <w:szCs w:val="16"/>
              </w:rPr>
            </w:pPr>
          </w:p>
          <w:p w:rsidR="000E1EEA" w:rsidRDefault="000E1EEA" w:rsidP="0002434F">
            <w:pPr>
              <w:spacing w:line="240" w:lineRule="auto"/>
              <w:rPr>
                <w:color w:val="000000" w:themeColor="text1"/>
                <w:spacing w:val="-4"/>
                <w:sz w:val="16"/>
                <w:szCs w:val="16"/>
              </w:rPr>
            </w:pPr>
            <w:r>
              <w:rPr>
                <w:color w:val="000000" w:themeColor="text1"/>
                <w:spacing w:val="-4"/>
                <w:sz w:val="16"/>
                <w:szCs w:val="16"/>
              </w:rPr>
              <w:t xml:space="preserve">Stabilní více než 5% růst si udržují administrativní </w:t>
            </w:r>
          </w:p>
          <w:p w:rsidR="000E1EEA" w:rsidRDefault="000E1EEA" w:rsidP="0002434F">
            <w:pPr>
              <w:spacing w:line="240" w:lineRule="auto"/>
              <w:rPr>
                <w:color w:val="000000" w:themeColor="text1"/>
                <w:spacing w:val="-4"/>
                <w:sz w:val="16"/>
                <w:szCs w:val="16"/>
              </w:rPr>
            </w:pPr>
            <w:r>
              <w:rPr>
                <w:color w:val="000000" w:themeColor="text1"/>
                <w:spacing w:val="-4"/>
                <w:sz w:val="16"/>
                <w:szCs w:val="16"/>
              </w:rPr>
              <w:t xml:space="preserve">a podpůrné činnosti a také pohostinství, ubytování </w:t>
            </w:r>
          </w:p>
          <w:p w:rsidR="000E1EEA" w:rsidRPr="006E73E1" w:rsidRDefault="000E1EEA" w:rsidP="0002434F">
            <w:pPr>
              <w:spacing w:line="240" w:lineRule="auto"/>
              <w:rPr>
                <w:color w:val="000000" w:themeColor="text1"/>
                <w:spacing w:val="-4"/>
                <w:sz w:val="16"/>
                <w:szCs w:val="16"/>
              </w:rPr>
            </w:pPr>
            <w:r>
              <w:rPr>
                <w:color w:val="000000" w:themeColor="text1"/>
                <w:spacing w:val="-4"/>
                <w:sz w:val="16"/>
                <w:szCs w:val="16"/>
              </w:rPr>
              <w:t>a stravování, které profitovalo z rychlého růstu příjezdů domácích i zahraničních hostů</w:t>
            </w:r>
          </w:p>
        </w:tc>
        <w:tc>
          <w:tcPr>
            <w:tcW w:w="145" w:type="pct"/>
          </w:tcPr>
          <w:p w:rsidR="000E1EEA" w:rsidRPr="00F3262E" w:rsidRDefault="000E1EEA" w:rsidP="0002434F">
            <w:pPr>
              <w:pStyle w:val="Textpoznpodarou"/>
              <w:jc w:val="both"/>
              <w:rPr>
                <w:color w:val="000000" w:themeColor="text1"/>
                <w:spacing w:val="-2"/>
              </w:rPr>
            </w:pPr>
          </w:p>
        </w:tc>
        <w:tc>
          <w:tcPr>
            <w:tcW w:w="3765" w:type="pct"/>
          </w:tcPr>
          <w:p w:rsidR="000E1EEA" w:rsidRPr="00CD4481" w:rsidRDefault="000E1EEA" w:rsidP="006936AD">
            <w:pPr>
              <w:pStyle w:val="Textpoznpodarou"/>
              <w:jc w:val="both"/>
              <w:rPr>
                <w:color w:val="000000" w:themeColor="text1"/>
                <w:spacing w:val="-2"/>
                <w:sz w:val="14"/>
                <w:szCs w:val="14"/>
              </w:rPr>
            </w:pPr>
            <w:r w:rsidRPr="006046C4">
              <w:rPr>
                <w:color w:val="000000" w:themeColor="text1"/>
                <w:spacing w:val="-4"/>
              </w:rPr>
              <w:t>Tržby ve vybraných službách</w:t>
            </w:r>
            <w:r w:rsidRPr="006046C4">
              <w:rPr>
                <w:color w:val="000000" w:themeColor="text1"/>
                <w:spacing w:val="-4"/>
                <w:vertAlign w:val="superscript"/>
              </w:rPr>
              <w:footnoteReference w:id="15"/>
            </w:r>
            <w:r>
              <w:rPr>
                <w:color w:val="000000" w:themeColor="text1"/>
                <w:spacing w:val="-4"/>
              </w:rPr>
              <w:t xml:space="preserve"> se zvýšily o 1 %. O zpomalení růstu služeb oproti celému roku 2015 (+3 %) se nejvíce přičinily p</w:t>
            </w:r>
            <w:r w:rsidRPr="006E73E1">
              <w:rPr>
                <w:color w:val="000000" w:themeColor="text1"/>
                <w:spacing w:val="-4"/>
              </w:rPr>
              <w:t>rofesní, vědecké a technické činnosti</w:t>
            </w:r>
            <w:r>
              <w:rPr>
                <w:color w:val="000000" w:themeColor="text1"/>
                <w:spacing w:val="-4"/>
              </w:rPr>
              <w:t>, jejichž loňský 3% celoroční růst představoval doposud v celém období od konjunktury pouze jednorázové vybočení, neboť v 1. čtvrtletí 2016 meziročně o 3,1 % poklesly (hlavně vlivem a</w:t>
            </w:r>
            <w:r w:rsidRPr="00F17E8F">
              <w:rPr>
                <w:color w:val="000000" w:themeColor="text1"/>
                <w:spacing w:val="-4"/>
              </w:rPr>
              <w:t>rchi</w:t>
            </w:r>
            <w:r>
              <w:rPr>
                <w:color w:val="000000" w:themeColor="text1"/>
                <w:spacing w:val="-4"/>
              </w:rPr>
              <w:t>tektonických a inženýrských činností). V dopravě a skladování tržby (podobně jako v celém loňském roce) stagnovaly, když 2% růst ve skladování stačil vykompenzovat 1% snížení váhově významnější pozemní</w:t>
            </w:r>
            <w:r w:rsidR="006936AD">
              <w:rPr>
                <w:color w:val="000000" w:themeColor="text1"/>
                <w:spacing w:val="-4"/>
              </w:rPr>
              <w:t xml:space="preserve"> a potrubní dopravy</w:t>
            </w:r>
            <w:r>
              <w:rPr>
                <w:color w:val="000000" w:themeColor="text1"/>
                <w:spacing w:val="-4"/>
              </w:rPr>
              <w:t>. Vyšší meziroční základna se promítla ve slabším růstu i v i</w:t>
            </w:r>
            <w:r w:rsidRPr="000213F4">
              <w:rPr>
                <w:color w:val="000000" w:themeColor="text1"/>
                <w:spacing w:val="-4"/>
              </w:rPr>
              <w:t>nformační</w:t>
            </w:r>
            <w:r>
              <w:rPr>
                <w:color w:val="000000" w:themeColor="text1"/>
                <w:spacing w:val="-4"/>
              </w:rPr>
              <w:t>ch</w:t>
            </w:r>
            <w:r w:rsidRPr="000213F4">
              <w:rPr>
                <w:color w:val="000000" w:themeColor="text1"/>
                <w:spacing w:val="-4"/>
              </w:rPr>
              <w:t xml:space="preserve"> a</w:t>
            </w:r>
            <w:r w:rsidR="006936AD">
              <w:rPr>
                <w:color w:val="000000" w:themeColor="text1"/>
                <w:spacing w:val="-4"/>
              </w:rPr>
              <w:t> </w:t>
            </w:r>
            <w:r w:rsidRPr="000213F4">
              <w:rPr>
                <w:color w:val="000000" w:themeColor="text1"/>
                <w:spacing w:val="-4"/>
              </w:rPr>
              <w:t>komunikační</w:t>
            </w:r>
            <w:r>
              <w:rPr>
                <w:color w:val="000000" w:themeColor="text1"/>
                <w:spacing w:val="-4"/>
              </w:rPr>
              <w:t>ch činnostech (1,6 %).</w:t>
            </w:r>
            <w:r w:rsidRPr="000213F4">
              <w:rPr>
                <w:color w:val="000000" w:themeColor="text1"/>
                <w:spacing w:val="-4"/>
              </w:rPr>
              <w:t xml:space="preserve"> </w:t>
            </w:r>
            <w:r>
              <w:rPr>
                <w:color w:val="000000" w:themeColor="text1"/>
                <w:spacing w:val="-4"/>
              </w:rPr>
              <w:t>Vysoké tempo růstu si naopak udržují administrativní a </w:t>
            </w:r>
            <w:r w:rsidRPr="008C6029">
              <w:rPr>
                <w:color w:val="000000" w:themeColor="text1"/>
                <w:spacing w:val="-4"/>
              </w:rPr>
              <w:t>podpůrné činnosti</w:t>
            </w:r>
            <w:r>
              <w:rPr>
                <w:color w:val="000000" w:themeColor="text1"/>
                <w:spacing w:val="-4"/>
              </w:rPr>
              <w:t xml:space="preserve"> (5 %), kde pokračoval dvouciferný růst u</w:t>
            </w:r>
            <w:r w:rsidR="006936AD">
              <w:rPr>
                <w:color w:val="000000" w:themeColor="text1"/>
                <w:spacing w:val="-4"/>
              </w:rPr>
              <w:t> </w:t>
            </w:r>
            <w:r>
              <w:rPr>
                <w:color w:val="000000" w:themeColor="text1"/>
                <w:spacing w:val="-4"/>
              </w:rPr>
              <w:t xml:space="preserve">pracovních agentur, dařilo se však oborům napříč celému odvětví, vyjma </w:t>
            </w:r>
            <w:r w:rsidR="006936AD">
              <w:rPr>
                <w:color w:val="000000" w:themeColor="text1"/>
                <w:spacing w:val="-4"/>
              </w:rPr>
              <w:t>činností cestovních agentur, kanceláří a jiných rezervačních a souvisejících činností (-8,6</w:t>
            </w:r>
            <w:r>
              <w:rPr>
                <w:color w:val="000000" w:themeColor="text1"/>
                <w:spacing w:val="-4"/>
              </w:rPr>
              <w:t xml:space="preserve"> %), jejichž tržby propad</w:t>
            </w:r>
            <w:r w:rsidR="006936AD">
              <w:rPr>
                <w:color w:val="000000" w:themeColor="text1"/>
                <w:spacing w:val="-4"/>
              </w:rPr>
              <w:t>ly oproti 1. čtvrtletí 2012 o 22,9</w:t>
            </w:r>
            <w:r>
              <w:rPr>
                <w:color w:val="000000" w:themeColor="text1"/>
                <w:spacing w:val="-4"/>
              </w:rPr>
              <w:t> %. Podobně jako v roce 2015 se nadále dařilo ubytování, stravování a pohostinství, když počet přenocování domácích i zahraničních hostů byl v 1. čtvrtletí meziročně shodně o 12 % vyšší. Tržby v sektoru služeb v úhrnu zatím nepřekonaly úroveň vrcholu konjunktury, proti 1. čtvrtletí 2008 byly stále o 4,6 % nižší. Tuto hranici již překonaly pozemní doprava, skladování, ubytování, informační,</w:t>
            </w:r>
            <w:r w:rsidRPr="00A45ED9">
              <w:rPr>
                <w:color w:val="000000" w:themeColor="text1"/>
                <w:spacing w:val="-4"/>
              </w:rPr>
              <w:t xml:space="preserve"> komunikační </w:t>
            </w:r>
            <w:r>
              <w:rPr>
                <w:color w:val="000000" w:themeColor="text1"/>
                <w:spacing w:val="-4"/>
              </w:rPr>
              <w:t>a také a</w:t>
            </w:r>
            <w:r w:rsidRPr="00A45ED9">
              <w:rPr>
                <w:color w:val="000000" w:themeColor="text1"/>
                <w:spacing w:val="-4"/>
              </w:rPr>
              <w:t>dministrativní a podpůrné činnosti</w:t>
            </w:r>
            <w:r>
              <w:rPr>
                <w:color w:val="000000" w:themeColor="text1"/>
                <w:spacing w:val="-4"/>
              </w:rPr>
              <w:t>.</w:t>
            </w:r>
          </w:p>
        </w:tc>
      </w:tr>
      <w:tr w:rsidR="000E1EEA" w:rsidRPr="00BE4405" w:rsidTr="0002434F">
        <w:trPr>
          <w:cantSplit/>
          <w:trHeight w:val="250"/>
        </w:trPr>
        <w:tc>
          <w:tcPr>
            <w:tcW w:w="1090" w:type="pct"/>
          </w:tcPr>
          <w:p w:rsidR="000E1EEA" w:rsidRPr="005E6B0B" w:rsidRDefault="000E1EEA" w:rsidP="0002434F">
            <w:pPr>
              <w:spacing w:line="240" w:lineRule="auto"/>
              <w:rPr>
                <w:color w:val="000000" w:themeColor="text1"/>
                <w:spacing w:val="-4"/>
                <w:sz w:val="16"/>
                <w:szCs w:val="16"/>
              </w:rPr>
            </w:pPr>
            <w:r>
              <w:rPr>
                <w:color w:val="000000" w:themeColor="text1"/>
                <w:spacing w:val="-4"/>
                <w:sz w:val="16"/>
                <w:szCs w:val="16"/>
              </w:rPr>
              <w:lastRenderedPageBreak/>
              <w:t>Vysoký</w:t>
            </w:r>
            <w:r w:rsidRPr="005E6B0B">
              <w:rPr>
                <w:color w:val="000000" w:themeColor="text1"/>
                <w:spacing w:val="-4"/>
                <w:sz w:val="16"/>
                <w:szCs w:val="16"/>
              </w:rPr>
              <w:t xml:space="preserve"> </w:t>
            </w:r>
            <w:r>
              <w:rPr>
                <w:color w:val="000000" w:themeColor="text1"/>
                <w:spacing w:val="-4"/>
                <w:sz w:val="16"/>
                <w:szCs w:val="16"/>
              </w:rPr>
              <w:t xml:space="preserve">růst </w:t>
            </w:r>
            <w:r w:rsidRPr="005E6B0B">
              <w:rPr>
                <w:color w:val="000000" w:themeColor="text1"/>
                <w:spacing w:val="-4"/>
                <w:sz w:val="16"/>
                <w:szCs w:val="16"/>
              </w:rPr>
              <w:t>maloobchodních tržeb pokračoval</w:t>
            </w:r>
            <w:r>
              <w:rPr>
                <w:color w:val="000000" w:themeColor="text1"/>
                <w:spacing w:val="-4"/>
                <w:sz w:val="16"/>
                <w:szCs w:val="16"/>
              </w:rPr>
              <w:t xml:space="preserve"> </w:t>
            </w:r>
            <w:r w:rsidRPr="005E6B0B">
              <w:rPr>
                <w:color w:val="000000" w:themeColor="text1"/>
                <w:spacing w:val="-4"/>
                <w:sz w:val="16"/>
                <w:szCs w:val="16"/>
              </w:rPr>
              <w:t>i </w:t>
            </w:r>
            <w:r>
              <w:rPr>
                <w:color w:val="000000" w:themeColor="text1"/>
                <w:spacing w:val="-4"/>
                <w:sz w:val="16"/>
                <w:szCs w:val="16"/>
              </w:rPr>
              <w:t>v</w:t>
            </w:r>
            <w:r w:rsidRPr="005E6B0B">
              <w:rPr>
                <w:color w:val="000000" w:themeColor="text1"/>
                <w:spacing w:val="-4"/>
                <w:sz w:val="16"/>
                <w:szCs w:val="16"/>
              </w:rPr>
              <w:t xml:space="preserve"> 1. čtvrtletí, </w:t>
            </w:r>
            <w:r>
              <w:rPr>
                <w:color w:val="000000" w:themeColor="text1"/>
                <w:spacing w:val="-4"/>
                <w:sz w:val="16"/>
                <w:szCs w:val="16"/>
              </w:rPr>
              <w:t xml:space="preserve">vedle příznivého spotřebitelského klimatu byl podpořen i předsunutými Velikonocemi </w:t>
            </w:r>
          </w:p>
          <w:p w:rsidR="000E1EEA" w:rsidRDefault="000E1EEA" w:rsidP="0002434F">
            <w:pPr>
              <w:spacing w:line="240" w:lineRule="auto"/>
              <w:rPr>
                <w:color w:val="000000" w:themeColor="text1"/>
                <w:spacing w:val="-4"/>
                <w:sz w:val="16"/>
                <w:szCs w:val="16"/>
              </w:rPr>
            </w:pPr>
          </w:p>
          <w:p w:rsidR="000E1EEA" w:rsidRDefault="000E1EEA" w:rsidP="0002434F">
            <w:pPr>
              <w:spacing w:line="240" w:lineRule="auto"/>
              <w:rPr>
                <w:color w:val="000000" w:themeColor="text1"/>
                <w:spacing w:val="-4"/>
                <w:sz w:val="16"/>
                <w:szCs w:val="16"/>
              </w:rPr>
            </w:pPr>
          </w:p>
          <w:p w:rsidR="000E1EEA" w:rsidRDefault="000E1EEA" w:rsidP="0002434F">
            <w:pPr>
              <w:pStyle w:val="Textpoznpodarou"/>
              <w:rPr>
                <w:sz w:val="16"/>
                <w:szCs w:val="16"/>
              </w:rPr>
            </w:pPr>
            <w:r w:rsidRPr="005E6B0B">
              <w:rPr>
                <w:color w:val="000000" w:themeColor="text1"/>
                <w:spacing w:val="-4"/>
                <w:sz w:val="16"/>
                <w:szCs w:val="16"/>
              </w:rPr>
              <w:t xml:space="preserve">Tržby s počítačovým a komunikačním zařízením ve specializovaných prodejnách se snížily poprvé </w:t>
            </w:r>
            <w:r w:rsidR="006936AD">
              <w:rPr>
                <w:color w:val="000000" w:themeColor="text1"/>
                <w:spacing w:val="-4"/>
                <w:sz w:val="16"/>
                <w:szCs w:val="16"/>
              </w:rPr>
              <w:t>od 4. čtvrtletí 2009</w:t>
            </w:r>
            <w:r w:rsidRPr="005E6B0B">
              <w:rPr>
                <w:color w:val="000000" w:themeColor="text1"/>
                <w:spacing w:val="-4"/>
                <w:sz w:val="16"/>
                <w:szCs w:val="16"/>
              </w:rPr>
              <w:t>, proti počátku roku 2011 však byly o více</w:t>
            </w:r>
            <w:r w:rsidR="00D433F5">
              <w:rPr>
                <w:color w:val="000000" w:themeColor="text1"/>
                <w:spacing w:val="-4"/>
                <w:sz w:val="16"/>
                <w:szCs w:val="16"/>
              </w:rPr>
              <w:t xml:space="preserve"> než</w:t>
            </w:r>
            <w:r w:rsidRPr="005E6B0B">
              <w:rPr>
                <w:color w:val="000000" w:themeColor="text1"/>
                <w:spacing w:val="-4"/>
                <w:sz w:val="16"/>
                <w:szCs w:val="16"/>
              </w:rPr>
              <w:t xml:space="preserve"> tři čtvrtiny vyšší</w:t>
            </w:r>
          </w:p>
          <w:p w:rsidR="000E1EEA" w:rsidRPr="005E6B0B" w:rsidRDefault="000E1EEA" w:rsidP="0002434F">
            <w:pPr>
              <w:spacing w:line="240" w:lineRule="auto"/>
              <w:rPr>
                <w:color w:val="000000" w:themeColor="text1"/>
                <w:spacing w:val="-4"/>
                <w:sz w:val="16"/>
                <w:szCs w:val="16"/>
              </w:rPr>
            </w:pPr>
          </w:p>
          <w:p w:rsidR="000E1EEA" w:rsidRPr="00BF497A" w:rsidRDefault="000E1EEA" w:rsidP="0002434F">
            <w:pPr>
              <w:spacing w:line="240" w:lineRule="auto"/>
              <w:rPr>
                <w:color w:val="000000" w:themeColor="text1"/>
                <w:sz w:val="16"/>
                <w:szCs w:val="16"/>
              </w:rPr>
            </w:pPr>
          </w:p>
        </w:tc>
        <w:tc>
          <w:tcPr>
            <w:tcW w:w="145" w:type="pct"/>
          </w:tcPr>
          <w:p w:rsidR="000E1EEA" w:rsidRPr="005A16AE" w:rsidRDefault="000E1EEA" w:rsidP="0002434F">
            <w:pPr>
              <w:rPr>
                <w:color w:val="000000" w:themeColor="text1"/>
                <w:szCs w:val="16"/>
              </w:rPr>
            </w:pPr>
          </w:p>
        </w:tc>
        <w:tc>
          <w:tcPr>
            <w:tcW w:w="3765" w:type="pct"/>
          </w:tcPr>
          <w:p w:rsidR="000E1EEA" w:rsidRPr="00203F25" w:rsidRDefault="000E1EEA" w:rsidP="0002434F">
            <w:pPr>
              <w:spacing w:line="240" w:lineRule="auto"/>
              <w:jc w:val="both"/>
              <w:rPr>
                <w:color w:val="000000" w:themeColor="text1"/>
                <w:spacing w:val="-4"/>
              </w:rPr>
            </w:pPr>
            <w:r w:rsidRPr="00203F25">
              <w:rPr>
                <w:color w:val="000000" w:themeColor="text1"/>
                <w:spacing w:val="-4"/>
              </w:rPr>
              <w:t>Rekordní výše zaměstnanosti</w:t>
            </w:r>
            <w:r w:rsidR="005D7C4B">
              <w:rPr>
                <w:color w:val="000000" w:themeColor="text1"/>
                <w:spacing w:val="-4"/>
              </w:rPr>
              <w:t>,</w:t>
            </w:r>
            <w:r w:rsidRPr="00203F25">
              <w:rPr>
                <w:color w:val="000000" w:themeColor="text1"/>
                <w:spacing w:val="-4"/>
              </w:rPr>
              <w:t xml:space="preserve"> doprovázená vysokým růstem reálných mezd</w:t>
            </w:r>
            <w:r w:rsidR="005D7C4B">
              <w:rPr>
                <w:color w:val="000000" w:themeColor="text1"/>
                <w:spacing w:val="-4"/>
              </w:rPr>
              <w:t>, se promítla</w:t>
            </w:r>
            <w:r w:rsidRPr="00203F25">
              <w:rPr>
                <w:color w:val="000000" w:themeColor="text1"/>
                <w:spacing w:val="-4"/>
              </w:rPr>
              <w:t xml:space="preserve"> do optimistických nálad spotřebitelů. Sezóně očištěné saldo důvěry dosáhlo na počátk</w:t>
            </w:r>
            <w:r>
              <w:rPr>
                <w:color w:val="000000" w:themeColor="text1"/>
                <w:spacing w:val="-4"/>
              </w:rPr>
              <w:t xml:space="preserve">u roku nejvyšší hodnoty </w:t>
            </w:r>
            <w:r w:rsidRPr="006B4FFB">
              <w:rPr>
                <w:color w:val="000000" w:themeColor="text1"/>
                <w:spacing w:val="-6"/>
              </w:rPr>
              <w:t>(+7,5 bodu)</w:t>
            </w:r>
            <w:r w:rsidRPr="00203F25">
              <w:rPr>
                <w:color w:val="000000" w:themeColor="text1"/>
                <w:spacing w:val="-4"/>
              </w:rPr>
              <w:t xml:space="preserve"> v historii </w:t>
            </w:r>
            <w:r>
              <w:rPr>
                <w:color w:val="000000" w:themeColor="text1"/>
                <w:spacing w:val="-4"/>
              </w:rPr>
              <w:t>sledování. Vysoký</w:t>
            </w:r>
            <w:r w:rsidRPr="00203F25">
              <w:rPr>
                <w:color w:val="000000" w:themeColor="text1"/>
                <w:spacing w:val="-4"/>
              </w:rPr>
              <w:t xml:space="preserve"> růst udržely i maloobchodní </w:t>
            </w:r>
            <w:r w:rsidRPr="00203F25">
              <w:rPr>
                <w:color w:val="000000" w:themeColor="text1"/>
                <w:spacing w:val="-4"/>
                <w:szCs w:val="20"/>
              </w:rPr>
              <w:t>tržby (</w:t>
            </w:r>
            <w:r w:rsidRPr="00203F25">
              <w:rPr>
                <w:spacing w:val="-4"/>
                <w:szCs w:val="20"/>
              </w:rPr>
              <w:t>bez motoristického segmentu)</w:t>
            </w:r>
            <w:r w:rsidRPr="00203F25">
              <w:rPr>
                <w:color w:val="000000" w:themeColor="text1"/>
                <w:spacing w:val="-4"/>
                <w:szCs w:val="20"/>
              </w:rPr>
              <w:t>,</w:t>
            </w:r>
            <w:r w:rsidRPr="00203F25">
              <w:rPr>
                <w:color w:val="000000" w:themeColor="text1"/>
                <w:spacing w:val="-4"/>
              </w:rPr>
              <w:t xml:space="preserve"> jejichž meziroční dynamika atakovala hodnoty z vrcholu konjunktury. V 1. čtvrtletí posílily o 6,9 % (po očištění o kalendářní vlivy o 5,5 %). K růstu maloobchodu tradičně nejvíce přispěl prodej </w:t>
            </w:r>
            <w:r w:rsidRPr="00203F25">
              <w:rPr>
                <w:color w:val="000000" w:themeColor="text1"/>
                <w:spacing w:val="-6"/>
              </w:rPr>
              <w:t>nepotravinářského zboží (s růstem tržeb o 6,3 %). Tržby prodejců potravin sílily o 7,2 %</w:t>
            </w:r>
            <w:r w:rsidRPr="00203F25">
              <w:rPr>
                <w:color w:val="000000" w:themeColor="text1"/>
                <w:spacing w:val="-4"/>
              </w:rPr>
              <w:t xml:space="preserve"> (nejvíce od roku 2003), byly však ovlivněny přestupným rokem i předsunutými Velikonocemi (po očištění o kalendářní vlivy rostly o 5</w:t>
            </w:r>
            <w:r>
              <w:rPr>
                <w:color w:val="000000" w:themeColor="text1"/>
                <w:spacing w:val="-4"/>
              </w:rPr>
              <w:t xml:space="preserve"> </w:t>
            </w:r>
            <w:r w:rsidRPr="00203F25">
              <w:rPr>
                <w:color w:val="000000" w:themeColor="text1"/>
                <w:spacing w:val="-4"/>
              </w:rPr>
              <w:t>% a stále silněji než v úhrnu za celý rok 2015)</w:t>
            </w:r>
            <w:r>
              <w:rPr>
                <w:color w:val="000000" w:themeColor="text1"/>
                <w:spacing w:val="-4"/>
              </w:rPr>
              <w:t>. Ze specializovaných prodejen se tržby nejvíce zvýšily u výrobků</w:t>
            </w:r>
            <w:r w:rsidRPr="00EB2DF8">
              <w:rPr>
                <w:color w:val="000000" w:themeColor="text1"/>
                <w:spacing w:val="-4"/>
              </w:rPr>
              <w:t xml:space="preserve"> pro kulturu a rekreaci</w:t>
            </w:r>
            <w:r>
              <w:rPr>
                <w:color w:val="000000" w:themeColor="text1"/>
                <w:spacing w:val="-4"/>
              </w:rPr>
              <w:t xml:space="preserve"> (meziročně o 9,5 %, za tři roky o téměř čtvrtinu), vylepšily se však i</w:t>
            </w:r>
            <w:r w:rsidRPr="00203F25">
              <w:rPr>
                <w:color w:val="000000" w:themeColor="text1"/>
                <w:spacing w:val="-4"/>
              </w:rPr>
              <w:t> </w:t>
            </w:r>
            <w:r>
              <w:rPr>
                <w:color w:val="000000" w:themeColor="text1"/>
                <w:spacing w:val="-4"/>
              </w:rPr>
              <w:t xml:space="preserve">v ostatních segmentech, vyjma </w:t>
            </w:r>
            <w:r w:rsidRPr="00114FC0">
              <w:rPr>
                <w:color w:val="000000" w:themeColor="text1"/>
                <w:spacing w:val="-2"/>
              </w:rPr>
              <w:t>prodejů počítačových a komunikačních zařízení</w:t>
            </w:r>
            <w:r>
              <w:rPr>
                <w:color w:val="000000" w:themeColor="text1"/>
                <w:spacing w:val="-2"/>
              </w:rPr>
              <w:t>. Tržby u čerpacích stanic posílily o 8,2 % (shodně jako za celý rok 2015).</w:t>
            </w:r>
            <w:r w:rsidRPr="00114FC0">
              <w:rPr>
                <w:color w:val="000000" w:themeColor="text1"/>
                <w:spacing w:val="-2"/>
              </w:rPr>
              <w:t xml:space="preserve"> Poptávku stimulovaly nízké ceny PHM (i ve srovnání se sousedními státy), zčásti i</w:t>
            </w:r>
            <w:r w:rsidRPr="00114FC0">
              <w:rPr>
                <w:color w:val="0D0D0D" w:themeColor="text1" w:themeTint="F2"/>
                <w:spacing w:val="-2"/>
              </w:rPr>
              <w:t> </w:t>
            </w:r>
            <w:r w:rsidRPr="00114FC0">
              <w:rPr>
                <w:color w:val="000000" w:themeColor="text1"/>
                <w:spacing w:val="-2"/>
              </w:rPr>
              <w:t>vyšší přepravní nároky v</w:t>
            </w:r>
            <w:r>
              <w:rPr>
                <w:color w:val="000000" w:themeColor="text1"/>
                <w:spacing w:val="-2"/>
              </w:rPr>
              <w:t> </w:t>
            </w:r>
            <w:r w:rsidRPr="00114FC0">
              <w:rPr>
                <w:color w:val="000000" w:themeColor="text1"/>
                <w:spacing w:val="-2"/>
              </w:rPr>
              <w:t>souvislosti</w:t>
            </w:r>
            <w:r>
              <w:rPr>
                <w:color w:val="000000" w:themeColor="text1"/>
                <w:spacing w:val="-2"/>
              </w:rPr>
              <w:t xml:space="preserve"> s</w:t>
            </w:r>
            <w:r w:rsidRPr="00114FC0">
              <w:rPr>
                <w:color w:val="000000" w:themeColor="text1"/>
                <w:spacing w:val="-2"/>
              </w:rPr>
              <w:t xml:space="preserve"> růstem ekonomiky i zahraničního obchodu.</w:t>
            </w:r>
            <w:r>
              <w:rPr>
                <w:color w:val="000000" w:themeColor="text1"/>
                <w:spacing w:val="-2"/>
              </w:rPr>
              <w:t xml:space="preserve"> </w:t>
            </w:r>
          </w:p>
          <w:p w:rsidR="000E1EEA" w:rsidRPr="00CD4481" w:rsidRDefault="000E1EEA" w:rsidP="0002434F">
            <w:pPr>
              <w:spacing w:line="240" w:lineRule="auto"/>
              <w:jc w:val="both"/>
              <w:rPr>
                <w:color w:val="000000" w:themeColor="text1"/>
                <w:spacing w:val="-4"/>
                <w:sz w:val="14"/>
                <w:szCs w:val="14"/>
              </w:rPr>
            </w:pPr>
          </w:p>
        </w:tc>
      </w:tr>
      <w:tr w:rsidR="000E1EEA" w:rsidTr="0002434F">
        <w:trPr>
          <w:cantSplit/>
          <w:trHeight w:val="203"/>
        </w:trPr>
        <w:tc>
          <w:tcPr>
            <w:tcW w:w="1090" w:type="pct"/>
          </w:tcPr>
          <w:p w:rsidR="000E1EEA" w:rsidRPr="00FD73C6" w:rsidRDefault="000E1EEA" w:rsidP="0002434F">
            <w:pPr>
              <w:spacing w:line="240" w:lineRule="auto"/>
              <w:rPr>
                <w:sz w:val="16"/>
                <w:szCs w:val="16"/>
              </w:rPr>
            </w:pPr>
            <w:r w:rsidRPr="00114531">
              <w:rPr>
                <w:color w:val="000000" w:themeColor="text1"/>
                <w:spacing w:val="-4"/>
                <w:sz w:val="16"/>
                <w:szCs w:val="16"/>
              </w:rPr>
              <w:t>Růst maloobchodních tržeb ČR</w:t>
            </w:r>
            <w:r>
              <w:rPr>
                <w:color w:val="000000" w:themeColor="text1"/>
                <w:spacing w:val="-4"/>
                <w:sz w:val="16"/>
                <w:szCs w:val="16"/>
              </w:rPr>
              <w:t xml:space="preserve"> byl za první tři letošní měsíce mezi státy EU osmý ne</w:t>
            </w:r>
            <w:r w:rsidR="006936AD">
              <w:rPr>
                <w:color w:val="000000" w:themeColor="text1"/>
                <w:spacing w:val="-4"/>
                <w:sz w:val="16"/>
                <w:szCs w:val="16"/>
              </w:rPr>
              <w:t>jvyšší, v roce 2015 dokonce šestý</w:t>
            </w:r>
            <w:r>
              <w:rPr>
                <w:color w:val="000000" w:themeColor="text1"/>
                <w:spacing w:val="-4"/>
                <w:sz w:val="16"/>
                <w:szCs w:val="16"/>
              </w:rPr>
              <w:t xml:space="preserve"> nejvyšší</w:t>
            </w:r>
          </w:p>
        </w:tc>
        <w:tc>
          <w:tcPr>
            <w:tcW w:w="145" w:type="pct"/>
          </w:tcPr>
          <w:p w:rsidR="000E1EEA" w:rsidRDefault="000E1EEA" w:rsidP="0002434F">
            <w:pPr>
              <w:pStyle w:val="Textpoznpodarou"/>
              <w:jc w:val="both"/>
              <w:rPr>
                <w:spacing w:val="-2"/>
              </w:rPr>
            </w:pPr>
          </w:p>
        </w:tc>
        <w:tc>
          <w:tcPr>
            <w:tcW w:w="3765" w:type="pct"/>
          </w:tcPr>
          <w:p w:rsidR="000E1EEA" w:rsidRPr="006200F4" w:rsidRDefault="000E1EEA" w:rsidP="0002434F">
            <w:pPr>
              <w:pStyle w:val="Textpoznpodarou"/>
              <w:jc w:val="both"/>
              <w:rPr>
                <w:spacing w:val="-5"/>
              </w:rPr>
            </w:pPr>
            <w:r w:rsidRPr="006200F4">
              <w:rPr>
                <w:color w:val="000000" w:themeColor="text1"/>
                <w:spacing w:val="-5"/>
              </w:rPr>
              <w:t>Maloobchodní tržby</w:t>
            </w:r>
            <w:r w:rsidRPr="006200F4">
              <w:rPr>
                <w:rStyle w:val="Znakapoznpodarou"/>
                <w:color w:val="000000" w:themeColor="text1"/>
                <w:spacing w:val="-5"/>
              </w:rPr>
              <w:footnoteReference w:id="16"/>
            </w:r>
            <w:r w:rsidRPr="006200F4">
              <w:rPr>
                <w:color w:val="000000" w:themeColor="text1"/>
                <w:spacing w:val="-5"/>
              </w:rPr>
              <w:t xml:space="preserve"> v ČR se oproti EU (+2,8 %) zvyšovaly téměř dvojnásobným tempem. Dvouciferný růst vykázaly Rumunsko a Lucembursko, vyšší dynamiku než ČR měly i Irsko (6,4 %) či Polsko (5,8 %), jen o 1,1 % vzrostly na Slovensku. Meziročně nižší tržby </w:t>
            </w:r>
            <w:r>
              <w:rPr>
                <w:color w:val="000000" w:themeColor="text1"/>
                <w:spacing w:val="-5"/>
              </w:rPr>
              <w:t>by</w:t>
            </w:r>
            <w:r w:rsidRPr="006200F4">
              <w:rPr>
                <w:color w:val="000000" w:themeColor="text1"/>
                <w:spacing w:val="-5"/>
              </w:rPr>
              <w:t>ly jen v Dánsku a stejně jako v roce 2015 i v Belgii a Řecku.</w:t>
            </w:r>
          </w:p>
        </w:tc>
      </w:tr>
    </w:tbl>
    <w:p w:rsidR="00ED3A94" w:rsidRDefault="00ED3A94" w:rsidP="00FE16E6">
      <w:pPr>
        <w:pStyle w:val="Textpoznpodarou"/>
        <w:jc w:val="both"/>
      </w:pPr>
    </w:p>
    <w:tbl>
      <w:tblPr>
        <w:tblW w:w="5059" w:type="pct"/>
        <w:tblLayout w:type="fixed"/>
        <w:tblCellMar>
          <w:left w:w="28" w:type="dxa"/>
          <w:right w:w="28" w:type="dxa"/>
        </w:tblCellMar>
        <w:tblLook w:val="04A0"/>
      </w:tblPr>
      <w:tblGrid>
        <w:gridCol w:w="735"/>
        <w:gridCol w:w="4180"/>
        <w:gridCol w:w="783"/>
        <w:gridCol w:w="4110"/>
      </w:tblGrid>
      <w:tr w:rsidR="000E1EEA" w:rsidTr="0002434F">
        <w:tc>
          <w:tcPr>
            <w:tcW w:w="375" w:type="pct"/>
          </w:tcPr>
          <w:p w:rsidR="000E1EEA" w:rsidRDefault="000E1EEA" w:rsidP="0002434F">
            <w:pPr>
              <w:spacing w:line="240" w:lineRule="auto"/>
            </w:pPr>
            <w:r>
              <w:t>Graf č. 5</w:t>
            </w:r>
          </w:p>
        </w:tc>
        <w:tc>
          <w:tcPr>
            <w:tcW w:w="2131" w:type="pct"/>
          </w:tcPr>
          <w:p w:rsidR="000E1EEA" w:rsidRPr="001D04BA" w:rsidRDefault="000E1EEA" w:rsidP="0002434F">
            <w:pPr>
              <w:pStyle w:val="Textpoznpodarou"/>
              <w:rPr>
                <w:b/>
              </w:rPr>
            </w:pPr>
            <w:r w:rsidRPr="001D04BA">
              <w:rPr>
                <w:b/>
              </w:rPr>
              <w:t>Produkce v průmyslu a</w:t>
            </w:r>
            <w:r>
              <w:rPr>
                <w:b/>
              </w:rPr>
              <w:t xml:space="preserve"> ve</w:t>
            </w:r>
            <w:r w:rsidRPr="001D04BA">
              <w:rPr>
                <w:b/>
              </w:rPr>
              <w:t xml:space="preserve"> vyb</w:t>
            </w:r>
            <w:r>
              <w:rPr>
                <w:b/>
              </w:rPr>
              <w:t>raných zpracovatelských odvětvích</w:t>
            </w:r>
          </w:p>
          <w:p w:rsidR="000E1EEA" w:rsidRDefault="000E1EEA" w:rsidP="0002434F">
            <w:pPr>
              <w:pStyle w:val="Textpoznpodarou"/>
              <w:rPr>
                <w:b/>
              </w:rPr>
            </w:pPr>
            <w:r>
              <w:t>(reálně, y/y</w:t>
            </w:r>
            <w:r w:rsidRPr="001D04BA">
              <w:t xml:space="preserve"> v %)</w:t>
            </w:r>
          </w:p>
        </w:tc>
        <w:tc>
          <w:tcPr>
            <w:tcW w:w="399" w:type="pct"/>
          </w:tcPr>
          <w:p w:rsidR="000E1EEA" w:rsidRDefault="000E1EEA" w:rsidP="0002434F">
            <w:pPr>
              <w:spacing w:line="240" w:lineRule="auto"/>
            </w:pPr>
            <w:r>
              <w:t>Graf č. 6</w:t>
            </w:r>
          </w:p>
        </w:tc>
        <w:tc>
          <w:tcPr>
            <w:tcW w:w="2095" w:type="pct"/>
          </w:tcPr>
          <w:p w:rsidR="000E1EEA" w:rsidRDefault="000E1EEA" w:rsidP="0002434F">
            <w:pPr>
              <w:spacing w:line="240" w:lineRule="auto"/>
              <w:rPr>
                <w:b/>
              </w:rPr>
            </w:pPr>
            <w:r w:rsidRPr="004B22DA">
              <w:rPr>
                <w:b/>
                <w:spacing w:val="-2"/>
              </w:rPr>
              <w:t>Nové zakázky v automobilovém průmyslu</w:t>
            </w:r>
            <w:r>
              <w:rPr>
                <w:b/>
              </w:rPr>
              <w:t xml:space="preserve">, v průmyslu celkem </w:t>
            </w:r>
            <w:r>
              <w:rPr>
                <w:bCs/>
              </w:rPr>
              <w:t xml:space="preserve">(b.c., y/y v %) </w:t>
            </w:r>
            <w:r w:rsidRPr="006B4FFB">
              <w:rPr>
                <w:b/>
              </w:rPr>
              <w:t>a</w:t>
            </w:r>
            <w:r>
              <w:rPr>
                <w:b/>
              </w:rPr>
              <w:t xml:space="preserve"> saldo indikátoru důvěry v průmyslu </w:t>
            </w:r>
            <w:r w:rsidRPr="00C1711F">
              <w:t>(pravá osa)</w:t>
            </w:r>
          </w:p>
        </w:tc>
      </w:tr>
      <w:tr w:rsidR="000E1EEA" w:rsidTr="0002434F">
        <w:tc>
          <w:tcPr>
            <w:tcW w:w="2506" w:type="pct"/>
            <w:gridSpan w:val="2"/>
          </w:tcPr>
          <w:p w:rsidR="000E1EEA" w:rsidRPr="00D07B05" w:rsidRDefault="00CE505D" w:rsidP="0002434F">
            <w:pPr>
              <w:pStyle w:val="Textpoznpodarou"/>
              <w:jc w:val="both"/>
              <w:rPr>
                <w:sz w:val="6"/>
                <w:szCs w:val="6"/>
              </w:rPr>
            </w:pPr>
            <w:r w:rsidRPr="00785FCA">
              <w:rPr>
                <w:sz w:val="6"/>
                <w:szCs w:val="6"/>
              </w:rPr>
              <w:pict>
                <v:shape id="_x0000_i1029" type="#_x0000_t75" style="width:241.05pt;height:180.95pt">
                  <v:imagedata r:id="rId16" o:title=""/>
                </v:shape>
              </w:pict>
            </w:r>
          </w:p>
        </w:tc>
        <w:tc>
          <w:tcPr>
            <w:tcW w:w="2494" w:type="pct"/>
            <w:gridSpan w:val="2"/>
          </w:tcPr>
          <w:p w:rsidR="000E1EEA" w:rsidRDefault="00CE505D" w:rsidP="0002434F">
            <w:pPr>
              <w:pStyle w:val="Textpoznpodarou"/>
              <w:jc w:val="both"/>
            </w:pPr>
            <w:r>
              <w:pict>
                <v:shape id="_x0000_i1030" type="#_x0000_t75" style="width:239.15pt;height:180.95pt">
                  <v:imagedata r:id="rId17" o:title=""/>
                </v:shape>
              </w:pict>
            </w:r>
          </w:p>
        </w:tc>
      </w:tr>
    </w:tbl>
    <w:p w:rsidR="00ED3A94" w:rsidRDefault="00ED3A94" w:rsidP="00FE16E6">
      <w:pPr>
        <w:pStyle w:val="Textpoznpodarou"/>
        <w:jc w:val="both"/>
      </w:pPr>
    </w:p>
    <w:tbl>
      <w:tblPr>
        <w:tblW w:w="5059" w:type="pct"/>
        <w:tblLayout w:type="fixed"/>
        <w:tblCellMar>
          <w:left w:w="28" w:type="dxa"/>
          <w:right w:w="28" w:type="dxa"/>
        </w:tblCellMar>
        <w:tblLook w:val="04A0"/>
      </w:tblPr>
      <w:tblGrid>
        <w:gridCol w:w="735"/>
        <w:gridCol w:w="4180"/>
        <w:gridCol w:w="783"/>
        <w:gridCol w:w="4110"/>
      </w:tblGrid>
      <w:tr w:rsidR="000E1EEA" w:rsidTr="0002434F">
        <w:tc>
          <w:tcPr>
            <w:tcW w:w="375" w:type="pct"/>
          </w:tcPr>
          <w:p w:rsidR="000E1EEA" w:rsidRDefault="000E1EEA" w:rsidP="0002434F">
            <w:pPr>
              <w:spacing w:line="240" w:lineRule="auto"/>
            </w:pPr>
            <w:r>
              <w:t>Graf č. 7</w:t>
            </w:r>
          </w:p>
        </w:tc>
        <w:tc>
          <w:tcPr>
            <w:tcW w:w="2131" w:type="pct"/>
          </w:tcPr>
          <w:p w:rsidR="000E1EEA" w:rsidRDefault="000E1EEA" w:rsidP="0002434F">
            <w:pPr>
              <w:spacing w:line="240" w:lineRule="auto"/>
              <w:rPr>
                <w:b/>
              </w:rPr>
            </w:pPr>
            <w:r>
              <w:rPr>
                <w:b/>
              </w:rPr>
              <w:t xml:space="preserve">Stavební produkce, hodnota nových zakázek </w:t>
            </w:r>
            <w:r>
              <w:rPr>
                <w:bCs/>
              </w:rPr>
              <w:t xml:space="preserve">(y/y v %) </w:t>
            </w:r>
            <w:r w:rsidRPr="006B4FFB">
              <w:rPr>
                <w:b/>
              </w:rPr>
              <w:t>a</w:t>
            </w:r>
            <w:r>
              <w:rPr>
                <w:b/>
              </w:rPr>
              <w:t xml:space="preserve"> saldo indikátoru </w:t>
            </w:r>
          </w:p>
          <w:p w:rsidR="000E1EEA" w:rsidRDefault="000E1EEA" w:rsidP="0002434F">
            <w:pPr>
              <w:spacing w:line="240" w:lineRule="auto"/>
              <w:rPr>
                <w:b/>
              </w:rPr>
            </w:pPr>
            <w:r>
              <w:rPr>
                <w:b/>
              </w:rPr>
              <w:t xml:space="preserve">důvěry ve stavebnictví </w:t>
            </w:r>
            <w:r w:rsidRPr="00C1711F">
              <w:t>(pravá osa)</w:t>
            </w:r>
          </w:p>
        </w:tc>
        <w:tc>
          <w:tcPr>
            <w:tcW w:w="399" w:type="pct"/>
          </w:tcPr>
          <w:p w:rsidR="000E1EEA" w:rsidRDefault="000E1EEA" w:rsidP="0002434F">
            <w:pPr>
              <w:spacing w:line="240" w:lineRule="auto"/>
            </w:pPr>
            <w:r>
              <w:t>Graf č. 8</w:t>
            </w:r>
          </w:p>
        </w:tc>
        <w:tc>
          <w:tcPr>
            <w:tcW w:w="2095" w:type="pct"/>
          </w:tcPr>
          <w:p w:rsidR="000E1EEA" w:rsidRDefault="000E1EEA" w:rsidP="0002434F">
            <w:pPr>
              <w:spacing w:line="240" w:lineRule="auto"/>
              <w:rPr>
                <w:b/>
              </w:rPr>
            </w:pPr>
            <w:r>
              <w:rPr>
                <w:b/>
              </w:rPr>
              <w:t xml:space="preserve">Tržby v maloobchodě vč. motoristického segmentu </w:t>
            </w:r>
            <w:r>
              <w:rPr>
                <w:bCs/>
              </w:rPr>
              <w:t xml:space="preserve">(reálně, y/y v %) </w:t>
            </w:r>
            <w:r>
              <w:rPr>
                <w:b/>
              </w:rPr>
              <w:t xml:space="preserve">saldo indikátoru důvěry spotřebitelů </w:t>
            </w:r>
            <w:r w:rsidRPr="00C1711F">
              <w:t>(pravá osa)</w:t>
            </w:r>
          </w:p>
        </w:tc>
      </w:tr>
      <w:tr w:rsidR="000E1EEA" w:rsidTr="0002434F">
        <w:tc>
          <w:tcPr>
            <w:tcW w:w="2506" w:type="pct"/>
            <w:gridSpan w:val="2"/>
          </w:tcPr>
          <w:p w:rsidR="000E1EEA" w:rsidRPr="00B00F42" w:rsidRDefault="00CE505D" w:rsidP="0002434F">
            <w:pPr>
              <w:pStyle w:val="Textpoznpodarou"/>
              <w:jc w:val="both"/>
              <w:rPr>
                <w:sz w:val="6"/>
                <w:szCs w:val="6"/>
              </w:rPr>
            </w:pPr>
            <w:r w:rsidRPr="00785FCA">
              <w:rPr>
                <w:sz w:val="6"/>
                <w:szCs w:val="6"/>
              </w:rPr>
              <w:pict>
                <v:shape id="_x0000_i1031" type="#_x0000_t75" style="width:242.3pt;height:179.7pt">
                  <v:imagedata r:id="rId18" o:title=""/>
                </v:shape>
              </w:pict>
            </w:r>
          </w:p>
        </w:tc>
        <w:tc>
          <w:tcPr>
            <w:tcW w:w="2494" w:type="pct"/>
            <w:gridSpan w:val="2"/>
          </w:tcPr>
          <w:p w:rsidR="000E1EEA" w:rsidRDefault="00CE505D" w:rsidP="0002434F">
            <w:pPr>
              <w:pStyle w:val="Textpoznpodarou"/>
              <w:jc w:val="both"/>
            </w:pPr>
            <w:r>
              <w:pict>
                <v:shape id="_x0000_i1032" type="#_x0000_t75" style="width:239.15pt;height:179.7pt">
                  <v:imagedata r:id="rId19" o:title=""/>
                </v:shape>
              </w:pict>
            </w:r>
          </w:p>
        </w:tc>
      </w:tr>
      <w:tr w:rsidR="000E1EEA" w:rsidTr="0002434F">
        <w:trPr>
          <w:trHeight w:val="58"/>
        </w:trPr>
        <w:tc>
          <w:tcPr>
            <w:tcW w:w="5000" w:type="pct"/>
            <w:gridSpan w:val="4"/>
          </w:tcPr>
          <w:p w:rsidR="000E1EEA" w:rsidRDefault="000E1EEA" w:rsidP="0002434F">
            <w:pPr>
              <w:pStyle w:val="Zhlav"/>
              <w:spacing w:line="240" w:lineRule="auto"/>
              <w:rPr>
                <w:rFonts w:ascii="Arial" w:eastAsia="Times New Roman" w:hAnsi="Arial" w:cs="Arial"/>
                <w:sz w:val="18"/>
                <w:szCs w:val="18"/>
              </w:rPr>
            </w:pPr>
            <w:r>
              <w:rPr>
                <w:rFonts w:ascii="Arial" w:hAnsi="Arial" w:cs="Arial"/>
                <w:sz w:val="18"/>
                <w:szCs w:val="18"/>
                <w:lang w:eastAsia="cs-CZ"/>
              </w:rPr>
              <w:t xml:space="preserve">*očištěno od vlivu počtu pracovních dnů                                                                                                                 </w:t>
            </w:r>
            <w:r w:rsidRPr="000F401E">
              <w:rPr>
                <w:rFonts w:ascii="Arial" w:hAnsi="Arial" w:cs="Arial"/>
                <w:sz w:val="18"/>
                <w:szCs w:val="18"/>
                <w:lang w:eastAsia="cs-CZ"/>
              </w:rPr>
              <w:t>Zdroj: ČSÚ</w:t>
            </w:r>
          </w:p>
        </w:tc>
      </w:tr>
    </w:tbl>
    <w:p w:rsidR="00ED3A94" w:rsidRPr="000E1EEA" w:rsidRDefault="00ED3A94" w:rsidP="00FE16E6">
      <w:pPr>
        <w:pStyle w:val="Textpoznpodarou"/>
        <w:jc w:val="both"/>
        <w:rPr>
          <w:sz w:val="2"/>
          <w:szCs w:val="2"/>
        </w:rPr>
      </w:pPr>
    </w:p>
    <w:p w:rsidR="00576A3E" w:rsidRDefault="00576A3E" w:rsidP="00FC3C84">
      <w:pPr>
        <w:pStyle w:val="Nadpis1"/>
        <w:numPr>
          <w:ilvl w:val="0"/>
          <w:numId w:val="3"/>
        </w:numPr>
        <w:jc w:val="both"/>
      </w:pPr>
      <w:bookmarkStart w:id="6" w:name="_Toc454185151"/>
      <w:r>
        <w:lastRenderedPageBreak/>
        <w:t>Vnější ekonomické vztahy</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7"/>
        <w:gridCol w:w="282"/>
        <w:gridCol w:w="7495"/>
      </w:tblGrid>
      <w:tr w:rsidR="00CE6E3C" w:rsidRPr="008F2F8F" w:rsidTr="0002434F">
        <w:tc>
          <w:tcPr>
            <w:tcW w:w="1054" w:type="pct"/>
            <w:tcBorders>
              <w:top w:val="nil"/>
              <w:left w:val="nil"/>
              <w:bottom w:val="nil"/>
              <w:right w:val="nil"/>
            </w:tcBorders>
          </w:tcPr>
          <w:p w:rsidR="00CE6E3C" w:rsidRPr="00F92F34" w:rsidRDefault="00CE6E3C" w:rsidP="0002434F">
            <w:pPr>
              <w:spacing w:line="240" w:lineRule="auto"/>
              <w:rPr>
                <w:sz w:val="16"/>
                <w:szCs w:val="16"/>
              </w:rPr>
            </w:pPr>
            <w:r w:rsidRPr="00F92F34">
              <w:rPr>
                <w:sz w:val="16"/>
                <w:szCs w:val="16"/>
              </w:rPr>
              <w:t xml:space="preserve">Přebytek běžného účtu platební bilance překonal v 1. čtvrtletí 2016 poprvé hranici 100 mld. korun… </w:t>
            </w:r>
          </w:p>
        </w:tc>
        <w:tc>
          <w:tcPr>
            <w:tcW w:w="143" w:type="pct"/>
            <w:tcBorders>
              <w:top w:val="nil"/>
              <w:left w:val="nil"/>
              <w:bottom w:val="nil"/>
              <w:right w:val="nil"/>
            </w:tcBorders>
          </w:tcPr>
          <w:p w:rsidR="00CE6E3C" w:rsidRPr="00D279F9" w:rsidRDefault="00CE6E3C" w:rsidP="0002434F">
            <w:pPr>
              <w:pStyle w:val="Textpoznpodarou"/>
              <w:jc w:val="both"/>
              <w:rPr>
                <w:color w:val="FF0000"/>
              </w:rPr>
            </w:pPr>
          </w:p>
        </w:tc>
        <w:tc>
          <w:tcPr>
            <w:tcW w:w="3803" w:type="pct"/>
            <w:tcBorders>
              <w:top w:val="nil"/>
              <w:left w:val="nil"/>
              <w:bottom w:val="nil"/>
              <w:right w:val="nil"/>
            </w:tcBorders>
          </w:tcPr>
          <w:p w:rsidR="00CE6E3C" w:rsidRPr="00F92F34" w:rsidRDefault="00CE6E3C" w:rsidP="0002434F">
            <w:pPr>
              <w:pStyle w:val="Textpoznpodarou"/>
              <w:jc w:val="both"/>
              <w:rPr>
                <w:spacing w:val="-2"/>
              </w:rPr>
            </w:pPr>
            <w:r w:rsidRPr="003976DC">
              <w:rPr>
                <w:spacing w:val="-2"/>
              </w:rPr>
              <w:t xml:space="preserve">Saldo běžného účtu platební bilance dosahuje přebytku v 1. čtvrtletí pravidelně od roku 2005 a nejinak tomu bylo i v lednu až březnu 2016. Mimořádná byla ale </w:t>
            </w:r>
            <w:r w:rsidRPr="003976DC">
              <w:rPr>
                <w:spacing w:val="-4"/>
              </w:rPr>
              <w:t>velikost tohoto přebytku, neboť poprvé v historii překročil 100 mld. korun (113,8</w:t>
            </w:r>
            <w:r w:rsidRPr="003976DC">
              <w:rPr>
                <w:spacing w:val="-2"/>
              </w:rPr>
              <w:t xml:space="preserve"> mld.) a výjimečně vysoký byl i jeho poměr </w:t>
            </w:r>
            <w:r w:rsidRPr="003976DC">
              <w:rPr>
                <w:spacing w:val="-4"/>
              </w:rPr>
              <w:t>k HDP v anualizovaném vyjádření (1,4 %). Převaha příjmů nad výdaji na</w:t>
            </w:r>
            <w:r w:rsidRPr="003976DC">
              <w:rPr>
                <w:spacing w:val="-2"/>
              </w:rPr>
              <w:t xml:space="preserve"> kapitálovém </w:t>
            </w:r>
            <w:r w:rsidRPr="003976DC">
              <w:rPr>
                <w:spacing w:val="-6"/>
              </w:rPr>
              <w:t>účtu, která v úhrnu za celý rok 2015 dosáhla díky dočerpávání peněz z fondů EU 106,1 mld</w:t>
            </w:r>
            <w:r w:rsidRPr="003976DC">
              <w:rPr>
                <w:spacing w:val="-2"/>
              </w:rPr>
              <w:t>. a v samotném 1. </w:t>
            </w:r>
            <w:r>
              <w:rPr>
                <w:spacing w:val="-2"/>
              </w:rPr>
              <w:t>č</w:t>
            </w:r>
            <w:r w:rsidRPr="003976DC">
              <w:rPr>
                <w:spacing w:val="-2"/>
              </w:rPr>
              <w:t>tvrtletí</w:t>
            </w:r>
            <w:r>
              <w:rPr>
                <w:spacing w:val="-2"/>
              </w:rPr>
              <w:t xml:space="preserve"> loňského roku činila</w:t>
            </w:r>
            <w:r w:rsidRPr="003976DC">
              <w:rPr>
                <w:spacing w:val="-2"/>
              </w:rPr>
              <w:t xml:space="preserve"> 30,7 mld., poklesla</w:t>
            </w:r>
            <w:r>
              <w:rPr>
                <w:spacing w:val="-2"/>
              </w:rPr>
              <w:t xml:space="preserve"> meziročně</w:t>
            </w:r>
            <w:r w:rsidRPr="003976DC">
              <w:rPr>
                <w:spacing w:val="-2"/>
              </w:rPr>
              <w:t xml:space="preserve"> </w:t>
            </w:r>
            <w:r>
              <w:rPr>
                <w:spacing w:val="-2"/>
              </w:rPr>
              <w:t xml:space="preserve">zhruba o 40 % </w:t>
            </w:r>
            <w:r w:rsidRPr="003976DC">
              <w:rPr>
                <w:spacing w:val="-2"/>
              </w:rPr>
              <w:t>na 18,4 mld. letos. Na finančním účtu již tradičně (pokud jde o 1. čtvrtletí roku) převládal nad přílivem finančních prostředků do</w:t>
            </w:r>
            <w:r>
              <w:rPr>
                <w:spacing w:val="-2"/>
              </w:rPr>
              <w:t> ČR </w:t>
            </w:r>
            <w:r w:rsidRPr="003976DC">
              <w:rPr>
                <w:spacing w:val="-2"/>
              </w:rPr>
              <w:t xml:space="preserve">jejich odliv do zahraničí, za první tři měsíce 2016 </w:t>
            </w:r>
            <w:r w:rsidR="00CC3440">
              <w:rPr>
                <w:spacing w:val="-2"/>
              </w:rPr>
              <w:t>činil čistý odliv</w:t>
            </w:r>
            <w:r w:rsidRPr="00F92F34">
              <w:rPr>
                <w:spacing w:val="-2"/>
              </w:rPr>
              <w:t xml:space="preserve"> 109,1 mld. korun. Participovaly na tom ostatní investice,</w:t>
            </w:r>
            <w:r>
              <w:rPr>
                <w:spacing w:val="-2"/>
              </w:rPr>
              <w:t xml:space="preserve"> </w:t>
            </w:r>
            <w:r w:rsidRPr="00F92F34">
              <w:rPr>
                <w:spacing w:val="-2"/>
              </w:rPr>
              <w:t>především ale nárůst rezervních aktiv.</w:t>
            </w:r>
          </w:p>
          <w:p w:rsidR="00CE6E3C" w:rsidRPr="00CE6E3C" w:rsidRDefault="00CE6E3C" w:rsidP="0002434F">
            <w:pPr>
              <w:pStyle w:val="Textpoznpodarou"/>
              <w:jc w:val="both"/>
              <w:rPr>
                <w:color w:val="FF0000"/>
                <w:sz w:val="14"/>
                <w:szCs w:val="14"/>
              </w:rPr>
            </w:pPr>
          </w:p>
        </w:tc>
      </w:tr>
      <w:tr w:rsidR="00CE6E3C" w:rsidRPr="008F2F8F" w:rsidTr="0002434F">
        <w:tc>
          <w:tcPr>
            <w:tcW w:w="1054" w:type="pct"/>
            <w:tcBorders>
              <w:top w:val="nil"/>
              <w:left w:val="nil"/>
              <w:bottom w:val="nil"/>
              <w:right w:val="nil"/>
            </w:tcBorders>
          </w:tcPr>
          <w:p w:rsidR="00CE6E3C" w:rsidRPr="00D279F9" w:rsidRDefault="00CE6E3C" w:rsidP="0002434F">
            <w:pPr>
              <w:spacing w:line="240" w:lineRule="auto"/>
              <w:rPr>
                <w:color w:val="FF0000"/>
                <w:sz w:val="16"/>
                <w:szCs w:val="16"/>
              </w:rPr>
            </w:pPr>
            <w:r w:rsidRPr="00F92F34">
              <w:rPr>
                <w:sz w:val="16"/>
                <w:szCs w:val="16"/>
              </w:rPr>
              <w:t>… díky meziročnímu snížení deficitu prvotních důchodů při růstu přebytku výkonové bilance</w:t>
            </w:r>
          </w:p>
        </w:tc>
        <w:tc>
          <w:tcPr>
            <w:tcW w:w="143" w:type="pct"/>
            <w:tcBorders>
              <w:top w:val="nil"/>
              <w:left w:val="nil"/>
              <w:bottom w:val="nil"/>
              <w:right w:val="nil"/>
            </w:tcBorders>
          </w:tcPr>
          <w:p w:rsidR="00CE6E3C" w:rsidRPr="00D279F9" w:rsidRDefault="00CE6E3C" w:rsidP="0002434F">
            <w:pPr>
              <w:pStyle w:val="Textpoznpodarou"/>
              <w:jc w:val="both"/>
              <w:rPr>
                <w:color w:val="FF0000"/>
              </w:rPr>
            </w:pPr>
          </w:p>
        </w:tc>
        <w:tc>
          <w:tcPr>
            <w:tcW w:w="3803" w:type="pct"/>
            <w:tcBorders>
              <w:top w:val="nil"/>
              <w:left w:val="nil"/>
              <w:bottom w:val="nil"/>
              <w:right w:val="nil"/>
            </w:tcBorders>
          </w:tcPr>
          <w:p w:rsidR="00CE6E3C" w:rsidRPr="00175096" w:rsidRDefault="00CE6E3C" w:rsidP="0002434F">
            <w:pPr>
              <w:pStyle w:val="Textpoznpodarou"/>
              <w:jc w:val="both"/>
              <w:rPr>
                <w:color w:val="FF0000"/>
                <w:spacing w:val="-4"/>
              </w:rPr>
            </w:pPr>
            <w:r w:rsidRPr="00F92F34">
              <w:rPr>
                <w:spacing w:val="-4"/>
              </w:rPr>
              <w:t xml:space="preserve">Přebytek běžného účtu se v 1. čtvrtletí letošního roku zvýšil v meziročním srovnání o 21,9 mld. korun. Na jeho zlepšení (ke kterému docházelo již třetím rokem) se v největší míře podílel </w:t>
            </w:r>
            <w:r w:rsidRPr="005C3999">
              <w:rPr>
                <w:spacing w:val="-4"/>
              </w:rPr>
              <w:t>pokles deficitu prvotních důchodů (o 13,9 mld.) související se slabším odlivem důchodů z přímých investic a nárůst přebytku obchodní bilance (o 13,4 mld.). Při mírném meziročním</w:t>
            </w:r>
            <w:r w:rsidRPr="00F92F34">
              <w:rPr>
                <w:spacing w:val="-4"/>
              </w:rPr>
              <w:t xml:space="preserve"> zlepšení bilance služeb (o 2,1 mld.) působily na běžný účet negativně pouze druhotné důchody (pokles přebytku o 7,5 mld. korun).</w:t>
            </w:r>
          </w:p>
          <w:p w:rsidR="00CE6E3C" w:rsidRPr="00D279F9" w:rsidRDefault="00CE6E3C" w:rsidP="0002434F">
            <w:pPr>
              <w:pStyle w:val="Textpoznpodarou"/>
              <w:jc w:val="both"/>
              <w:rPr>
                <w:color w:val="FF0000"/>
                <w:sz w:val="16"/>
                <w:szCs w:val="16"/>
              </w:rPr>
            </w:pPr>
          </w:p>
        </w:tc>
      </w:tr>
      <w:tr w:rsidR="00CE6E3C" w:rsidRPr="008F2F8F" w:rsidTr="0002434F">
        <w:tc>
          <w:tcPr>
            <w:tcW w:w="1054" w:type="pct"/>
            <w:tcBorders>
              <w:top w:val="nil"/>
              <w:left w:val="nil"/>
              <w:bottom w:val="nil"/>
              <w:right w:val="nil"/>
            </w:tcBorders>
          </w:tcPr>
          <w:p w:rsidR="00CE6E3C" w:rsidRPr="00467602" w:rsidRDefault="00CE6E3C" w:rsidP="0002434F">
            <w:pPr>
              <w:spacing w:line="240" w:lineRule="auto"/>
              <w:rPr>
                <w:sz w:val="16"/>
                <w:szCs w:val="16"/>
              </w:rPr>
            </w:pPr>
            <w:r w:rsidRPr="00467602">
              <w:rPr>
                <w:sz w:val="16"/>
                <w:szCs w:val="16"/>
              </w:rPr>
              <w:t>Zdrojem deficitu finančního účtu byla především rostoucí rezervní aktiva související s intervenčním režimem ČNB</w:t>
            </w:r>
          </w:p>
        </w:tc>
        <w:tc>
          <w:tcPr>
            <w:tcW w:w="143" w:type="pct"/>
            <w:tcBorders>
              <w:top w:val="nil"/>
              <w:left w:val="nil"/>
              <w:bottom w:val="nil"/>
              <w:right w:val="nil"/>
            </w:tcBorders>
          </w:tcPr>
          <w:p w:rsidR="00CE6E3C" w:rsidRPr="00D279F9" w:rsidRDefault="00CE6E3C" w:rsidP="0002434F">
            <w:pPr>
              <w:pStyle w:val="Textpoznpodarou"/>
              <w:jc w:val="both"/>
              <w:rPr>
                <w:color w:val="FF0000"/>
              </w:rPr>
            </w:pPr>
          </w:p>
        </w:tc>
        <w:tc>
          <w:tcPr>
            <w:tcW w:w="3803" w:type="pct"/>
            <w:tcBorders>
              <w:top w:val="nil"/>
              <w:left w:val="nil"/>
              <w:bottom w:val="nil"/>
              <w:right w:val="nil"/>
            </w:tcBorders>
          </w:tcPr>
          <w:p w:rsidR="00CE6E3C" w:rsidRPr="00D279F9" w:rsidRDefault="00CE6E3C" w:rsidP="0002434F">
            <w:pPr>
              <w:pStyle w:val="Textpoznpodarou"/>
              <w:jc w:val="both"/>
              <w:rPr>
                <w:color w:val="FF0000"/>
              </w:rPr>
            </w:pPr>
            <w:r w:rsidRPr="005C3999">
              <w:rPr>
                <w:spacing w:val="-2"/>
              </w:rPr>
              <w:t>Přiliv přímých investic do české ekonomiky se v 1. čtvrtletí 2016 snížil na 22,2</w:t>
            </w:r>
            <w:r w:rsidRPr="005C3999">
              <w:t xml:space="preserve"> mld. korun a v rámci prvních čtvrtletí byl nejslabší od roku 2011, kdy se zahraniční investoři svých investic v České republice zbavovaly (došlo ke stažení přímých investic v rozsahu 24 mld.). </w:t>
            </w:r>
            <w:r>
              <w:t xml:space="preserve">Tuzemské společnosti navýšily své přímé investice v zahraničí ve stejném rozsahu jako zahraniční investoři v ČR a saldo přímých investic bylo nulové. </w:t>
            </w:r>
            <w:r w:rsidRPr="00467602">
              <w:t xml:space="preserve">Na odlivu peněz z Česka do ciziny se 24,7 miliardami podílelo saldo ostatních investic, z pohledu celkové deficitu finančního účtu byl </w:t>
            </w:r>
            <w:r w:rsidR="004529C7" w:rsidRPr="00467602">
              <w:t xml:space="preserve">ale </w:t>
            </w:r>
            <w:r w:rsidRPr="00467602">
              <w:t>klíčovým nárůst rezervních aktiv o 150,9 mld. daný pokračujícími intervencemi ČNB proti posilující české koruně.</w:t>
            </w:r>
          </w:p>
          <w:p w:rsidR="00CE6E3C" w:rsidRPr="00CE6E3C" w:rsidRDefault="00CE6E3C" w:rsidP="0002434F">
            <w:pPr>
              <w:pStyle w:val="Textpoznpodarou"/>
              <w:jc w:val="both"/>
              <w:rPr>
                <w:color w:val="FF0000"/>
                <w:sz w:val="14"/>
                <w:szCs w:val="14"/>
              </w:rPr>
            </w:pPr>
          </w:p>
        </w:tc>
      </w:tr>
      <w:tr w:rsidR="00CE6E3C" w:rsidRPr="008F2F8F" w:rsidTr="0002434F">
        <w:tc>
          <w:tcPr>
            <w:tcW w:w="1054" w:type="pct"/>
            <w:tcBorders>
              <w:top w:val="nil"/>
              <w:left w:val="nil"/>
              <w:bottom w:val="nil"/>
              <w:right w:val="nil"/>
            </w:tcBorders>
          </w:tcPr>
          <w:p w:rsidR="00CE6E3C" w:rsidRPr="00D279F9" w:rsidRDefault="00CE6E3C" w:rsidP="0002434F">
            <w:pPr>
              <w:spacing w:line="240" w:lineRule="auto"/>
              <w:rPr>
                <w:color w:val="FF0000"/>
                <w:sz w:val="16"/>
                <w:szCs w:val="16"/>
              </w:rPr>
            </w:pPr>
            <w:r w:rsidRPr="00397542">
              <w:rPr>
                <w:sz w:val="16"/>
                <w:szCs w:val="16"/>
              </w:rPr>
              <w:t xml:space="preserve">Zájem zahraničních investorů o tuzemské </w:t>
            </w:r>
            <w:r>
              <w:rPr>
                <w:sz w:val="16"/>
                <w:szCs w:val="16"/>
              </w:rPr>
              <w:t>vládní</w:t>
            </w:r>
            <w:r w:rsidRPr="00397542">
              <w:rPr>
                <w:sz w:val="16"/>
                <w:szCs w:val="16"/>
              </w:rPr>
              <w:t xml:space="preserve"> dluhopisy trvá – během prvních tří měsíců letošního roku jich nakoupily za 81,4 mld. korun</w:t>
            </w:r>
          </w:p>
        </w:tc>
        <w:tc>
          <w:tcPr>
            <w:tcW w:w="143" w:type="pct"/>
            <w:tcBorders>
              <w:top w:val="nil"/>
              <w:left w:val="nil"/>
              <w:bottom w:val="nil"/>
              <w:right w:val="nil"/>
            </w:tcBorders>
          </w:tcPr>
          <w:p w:rsidR="00CE6E3C" w:rsidRPr="00D279F9" w:rsidRDefault="00CE6E3C" w:rsidP="0002434F">
            <w:pPr>
              <w:pStyle w:val="Textpoznpodarou"/>
              <w:jc w:val="both"/>
              <w:rPr>
                <w:color w:val="FF0000"/>
              </w:rPr>
            </w:pPr>
          </w:p>
        </w:tc>
        <w:tc>
          <w:tcPr>
            <w:tcW w:w="3803" w:type="pct"/>
            <w:tcBorders>
              <w:top w:val="nil"/>
              <w:left w:val="nil"/>
              <w:bottom w:val="nil"/>
              <w:right w:val="nil"/>
            </w:tcBorders>
          </w:tcPr>
          <w:p w:rsidR="00CE6E3C" w:rsidRPr="009251D2" w:rsidRDefault="00CE6E3C" w:rsidP="0002434F">
            <w:pPr>
              <w:pStyle w:val="Textpoznpodarou"/>
              <w:jc w:val="both"/>
              <w:rPr>
                <w:color w:val="FF0000"/>
                <w:spacing w:val="-2"/>
              </w:rPr>
            </w:pPr>
            <w:r w:rsidRPr="00467602">
              <w:rPr>
                <w:spacing w:val="-2"/>
              </w:rPr>
              <w:t xml:space="preserve">Během 1. čtvrtletí 2016 se uskutečnil příliv portfoliových investic v rozsahu 81,5 mld. </w:t>
            </w:r>
            <w:r w:rsidRPr="00467602">
              <w:rPr>
                <w:spacing w:val="-4"/>
              </w:rPr>
              <w:t>korun a kontrastoval výrazně odlivu těchto prostředků z ČR do zahraničí (13,5</w:t>
            </w:r>
            <w:r w:rsidRPr="00467602">
              <w:rPr>
                <w:spacing w:val="-2"/>
              </w:rPr>
              <w:t xml:space="preserve"> mld.). Nadále </w:t>
            </w:r>
            <w:r w:rsidRPr="00397542">
              <w:rPr>
                <w:spacing w:val="-2"/>
              </w:rPr>
              <w:t xml:space="preserve">docházelo k masivním nákupům vládních dluhopisů, investice zahraničních investorů do dluhopisů tuzemských bank – které byly díky ojedinělým faktorům </w:t>
            </w:r>
            <w:r w:rsidRPr="00397542">
              <w:rPr>
                <w:spacing w:val="-4"/>
              </w:rPr>
              <w:t>velmi vysoké na sklonku loňského roku – již ale nepokračovaly. Samotných</w:t>
            </w:r>
            <w:r w:rsidRPr="00397542">
              <w:rPr>
                <w:spacing w:val="-2"/>
              </w:rPr>
              <w:t xml:space="preserve"> vládních dluhopisů nakoupili zahraniční investoři během 1. čtvrtletí za 81,4 mld. korun a šlo o nejvyšší objem v rámci všech čtvrtletí v historii. Jejich zájem vyplýval z nízkého kreditního rizika ČR a očekávaného budoucího posílení koruny a jeho důsledkem byly přetrvávající záporné výnosy státních dluhopisů se splatností v horizontu 2 a 5ti let. Tyto nákupy měnily rovněž strukturu státního dluhu – zatímco </w:t>
            </w:r>
            <w:r w:rsidRPr="00397542">
              <w:rPr>
                <w:spacing w:val="-4"/>
              </w:rPr>
              <w:t>v závěru roku 2014 drželi nerezidenti celkově 14,5 % všech emitovaných</w:t>
            </w:r>
            <w:r w:rsidRPr="00397542">
              <w:rPr>
                <w:spacing w:val="-2"/>
              </w:rPr>
              <w:t xml:space="preserve"> korunových státních dluhopisů, na konci března 2016 měli v držení již 24,7 % tohoto portfolia.</w:t>
            </w:r>
          </w:p>
          <w:p w:rsidR="00CE6E3C" w:rsidRPr="00D279F9" w:rsidRDefault="00CE6E3C" w:rsidP="0002434F">
            <w:pPr>
              <w:pStyle w:val="Textpoznpodarou"/>
              <w:jc w:val="both"/>
              <w:rPr>
                <w:color w:val="FF0000"/>
                <w:sz w:val="16"/>
                <w:szCs w:val="16"/>
              </w:rPr>
            </w:pPr>
          </w:p>
        </w:tc>
      </w:tr>
      <w:tr w:rsidR="00CE6E3C" w:rsidRPr="00D279F9" w:rsidTr="0002434F">
        <w:tc>
          <w:tcPr>
            <w:tcW w:w="1054" w:type="pct"/>
            <w:tcBorders>
              <w:top w:val="nil"/>
              <w:left w:val="nil"/>
              <w:bottom w:val="nil"/>
              <w:right w:val="nil"/>
            </w:tcBorders>
          </w:tcPr>
          <w:p w:rsidR="00CE6E3C" w:rsidRPr="003F62FC" w:rsidRDefault="00CE6E3C" w:rsidP="0002434F">
            <w:pPr>
              <w:spacing w:line="240" w:lineRule="auto"/>
              <w:rPr>
                <w:sz w:val="16"/>
                <w:szCs w:val="16"/>
              </w:rPr>
            </w:pPr>
            <w:r w:rsidRPr="003F62FC">
              <w:rPr>
                <w:sz w:val="16"/>
                <w:szCs w:val="16"/>
              </w:rPr>
              <w:t>Meziroční tempo růstu vývozu z české ekonomiky do zahraničí se podle dat národního pojetí snížilo v 1. čtvrtletí 2016 na 1,6 % a bylo nejslabší za posledních jedenáct čtvrtletí</w:t>
            </w:r>
          </w:p>
        </w:tc>
        <w:tc>
          <w:tcPr>
            <w:tcW w:w="143" w:type="pct"/>
            <w:tcBorders>
              <w:top w:val="nil"/>
              <w:left w:val="nil"/>
              <w:bottom w:val="nil"/>
              <w:right w:val="nil"/>
            </w:tcBorders>
          </w:tcPr>
          <w:p w:rsidR="00CE6E3C" w:rsidRPr="003F62FC" w:rsidRDefault="00CE6E3C" w:rsidP="0002434F">
            <w:pPr>
              <w:pStyle w:val="Textpoznpodarou"/>
              <w:jc w:val="both"/>
            </w:pPr>
          </w:p>
        </w:tc>
        <w:tc>
          <w:tcPr>
            <w:tcW w:w="3803" w:type="pct"/>
            <w:tcBorders>
              <w:top w:val="nil"/>
              <w:left w:val="nil"/>
              <w:bottom w:val="nil"/>
              <w:right w:val="nil"/>
            </w:tcBorders>
          </w:tcPr>
          <w:p w:rsidR="00CE6E3C" w:rsidRPr="003F62FC" w:rsidRDefault="00CE6E3C" w:rsidP="0002434F">
            <w:pPr>
              <w:pStyle w:val="Textpoznpodarou"/>
              <w:jc w:val="both"/>
              <w:rPr>
                <w:spacing w:val="-4"/>
              </w:rPr>
            </w:pPr>
            <w:r w:rsidRPr="00450700">
              <w:rPr>
                <w:spacing w:val="-6"/>
              </w:rPr>
              <w:t>Exportní výkonnost tuzemské ekonomiky se v 1. čtvrtletí 2016</w:t>
            </w:r>
            <w:r w:rsidR="00EA0AF3">
              <w:rPr>
                <w:spacing w:val="-6"/>
              </w:rPr>
              <w:t xml:space="preserve"> </w:t>
            </w:r>
            <w:r w:rsidRPr="003F62FC">
              <w:rPr>
                <w:spacing w:val="-4"/>
              </w:rPr>
              <w:t>zvýšila nejpomaleji za</w:t>
            </w:r>
            <w:r w:rsidR="00400244">
              <w:rPr>
                <w:spacing w:val="-4"/>
              </w:rPr>
              <w:t> </w:t>
            </w:r>
            <w:r w:rsidRPr="003F62FC">
              <w:rPr>
                <w:spacing w:val="-4"/>
              </w:rPr>
              <w:t>poslední téměř tři roky, když hodnota vývozu stoupla (při výrazném poklesu vývozních cen) pouze o 1,6 % meziročně.</w:t>
            </w:r>
            <w:r w:rsidR="00400244" w:rsidRPr="003F62FC">
              <w:rPr>
                <w:rStyle w:val="Znakapoznpodarou"/>
                <w:spacing w:val="-4"/>
              </w:rPr>
              <w:footnoteReference w:id="17"/>
            </w:r>
            <w:r w:rsidRPr="003F62FC">
              <w:rPr>
                <w:spacing w:val="-4"/>
              </w:rPr>
              <w:t xml:space="preserve"> Tempo růstu vývozu do zemí Evropské unie pokleslo na 2,5 % – negativně se v něm promítaly nejen pomaleji rostoucí vývozy do Německa, Francie, Velké Británie či na Slovensko, ale rovněž prohlubující se pokles vývozu do Polska a po třech čtvrtletích opětovně klesající vývoz do Rakouska. Hodnota zboží směřujícího do zemí mimo evropskou osmadvacítku se na počátku letošního roku snižovala v meziročním srovnání již třetím čtvrtletím (aktuálně o 2,8 %), z toho vývoz do Ruské federace postižený restrikcemi a recesí tamější ekonomiky se propadl o 18,2 % a vývoz do zpomalující Číny o 8,2 %. Zatímco </w:t>
            </w:r>
            <w:r w:rsidR="00B534EF">
              <w:rPr>
                <w:spacing w:val="-4"/>
              </w:rPr>
              <w:t>pokles</w:t>
            </w:r>
            <w:r w:rsidRPr="003F62FC">
              <w:rPr>
                <w:spacing w:val="-4"/>
              </w:rPr>
              <w:t xml:space="preserve"> hodnoty vývozu do Ruska se s tím, jak v sobě absorbuje nižší základnu, zvolna zmenšuje, vývoz do Číny poklesl nejvýrazněji od 1. čtvrtletí 2013.</w:t>
            </w:r>
          </w:p>
          <w:p w:rsidR="00CE6E3C" w:rsidRPr="003F62FC" w:rsidRDefault="00CE6E3C" w:rsidP="0002434F">
            <w:pPr>
              <w:pStyle w:val="Textpoznpodarou"/>
              <w:jc w:val="both"/>
              <w:rPr>
                <w:sz w:val="14"/>
                <w:szCs w:val="14"/>
              </w:rPr>
            </w:pPr>
          </w:p>
        </w:tc>
      </w:tr>
      <w:tr w:rsidR="00CE6E3C" w:rsidRPr="00D279F9" w:rsidTr="0002434F">
        <w:tc>
          <w:tcPr>
            <w:tcW w:w="1054" w:type="pct"/>
            <w:tcBorders>
              <w:top w:val="nil"/>
              <w:left w:val="nil"/>
              <w:bottom w:val="nil"/>
              <w:right w:val="nil"/>
            </w:tcBorders>
          </w:tcPr>
          <w:p w:rsidR="00CE6E3C" w:rsidRPr="003F62FC" w:rsidRDefault="00CE6E3C" w:rsidP="0002434F">
            <w:pPr>
              <w:spacing w:line="240" w:lineRule="auto"/>
              <w:rPr>
                <w:spacing w:val="-4"/>
                <w:sz w:val="16"/>
                <w:szCs w:val="16"/>
              </w:rPr>
            </w:pPr>
            <w:r w:rsidRPr="003F62FC">
              <w:rPr>
                <w:sz w:val="16"/>
                <w:szCs w:val="16"/>
              </w:rPr>
              <w:t>Podíl vývozu</w:t>
            </w:r>
            <w:r w:rsidRPr="003F62FC">
              <w:rPr>
                <w:spacing w:val="-4"/>
                <w:sz w:val="16"/>
                <w:szCs w:val="16"/>
              </w:rPr>
              <w:t xml:space="preserve"> do Německa, na Slovensko </w:t>
            </w:r>
            <w:r w:rsidRPr="003F62FC">
              <w:rPr>
                <w:sz w:val="16"/>
                <w:szCs w:val="16"/>
              </w:rPr>
              <w:t xml:space="preserve">a do Polska </w:t>
            </w:r>
            <w:r w:rsidRPr="003F62FC">
              <w:rPr>
                <w:sz w:val="16"/>
                <w:szCs w:val="16"/>
              </w:rPr>
              <w:lastRenderedPageBreak/>
              <w:t xml:space="preserve">na celkovém </w:t>
            </w:r>
            <w:r w:rsidRPr="003F62FC">
              <w:rPr>
                <w:spacing w:val="-4"/>
                <w:sz w:val="16"/>
                <w:szCs w:val="16"/>
              </w:rPr>
              <w:t>vývozu se mezi 1. čtvrtletím</w:t>
            </w:r>
            <w:r w:rsidRPr="003F62FC">
              <w:rPr>
                <w:sz w:val="16"/>
                <w:szCs w:val="16"/>
              </w:rPr>
              <w:t xml:space="preserve"> 2015 a 1. čtvrtletím 2016 zvýšil ze 48,7 na 48,9 %</w:t>
            </w:r>
          </w:p>
        </w:tc>
        <w:tc>
          <w:tcPr>
            <w:tcW w:w="143" w:type="pct"/>
            <w:tcBorders>
              <w:top w:val="nil"/>
              <w:left w:val="nil"/>
              <w:bottom w:val="nil"/>
              <w:right w:val="nil"/>
            </w:tcBorders>
          </w:tcPr>
          <w:p w:rsidR="00CE6E3C" w:rsidRPr="003F62FC" w:rsidRDefault="00CE6E3C" w:rsidP="0002434F">
            <w:pPr>
              <w:pStyle w:val="Textpoznpodarou"/>
              <w:jc w:val="both"/>
            </w:pPr>
          </w:p>
        </w:tc>
        <w:tc>
          <w:tcPr>
            <w:tcW w:w="3803" w:type="pct"/>
            <w:tcBorders>
              <w:top w:val="nil"/>
              <w:left w:val="nil"/>
              <w:bottom w:val="nil"/>
              <w:right w:val="nil"/>
            </w:tcBorders>
          </w:tcPr>
          <w:p w:rsidR="00CE6E3C" w:rsidRPr="003F62FC" w:rsidRDefault="00CE6E3C" w:rsidP="0002434F">
            <w:pPr>
              <w:pStyle w:val="Textpoznpodarou"/>
              <w:jc w:val="both"/>
            </w:pPr>
            <w:r w:rsidRPr="003F62FC">
              <w:t xml:space="preserve">Hodnota vývozu do tří nejdůležitějších exportních destinací ČR zahrnující </w:t>
            </w:r>
            <w:r w:rsidRPr="003F62FC">
              <w:rPr>
                <w:spacing w:val="-4"/>
              </w:rPr>
              <w:t>Německo, Slovensko a Polsko dosáhla v 1. čtvrtletí letošního roku 414,4 mld</w:t>
            </w:r>
            <w:r w:rsidRPr="003F62FC">
              <w:t xml:space="preserve">. korun. </w:t>
            </w:r>
            <w:r w:rsidRPr="003F62FC">
              <w:lastRenderedPageBreak/>
              <w:t>V meziročním srovnání narostly tyto vývozy o 2 %, a </w:t>
            </w:r>
            <w:r w:rsidRPr="003F62FC">
              <w:rPr>
                <w:spacing w:val="-2"/>
              </w:rPr>
              <w:t xml:space="preserve">přestože se jejich dynamika </w:t>
            </w:r>
            <w:r w:rsidRPr="003F62FC">
              <w:rPr>
                <w:spacing w:val="-4"/>
              </w:rPr>
              <w:t>oproti předchozím čtvrtletím snížila, stouply výrazněji než celkový vývoz</w:t>
            </w:r>
            <w:r w:rsidRPr="003F62FC">
              <w:t xml:space="preserve"> z ekonomiky. Podíl vývozu zboží do Německa, Slovenska </w:t>
            </w:r>
            <w:r w:rsidRPr="003F62FC">
              <w:rPr>
                <w:spacing w:val="-2"/>
              </w:rPr>
              <w:t>a Polska na celkovém vývozu narostl ze 48,7 % v 1. čtvrtletí 2015 na 48,9 %</w:t>
            </w:r>
            <w:r w:rsidRPr="003F62FC">
              <w:t xml:space="preserve"> letos.</w:t>
            </w:r>
          </w:p>
          <w:p w:rsidR="00CE6E3C" w:rsidRPr="00CE6E3C" w:rsidRDefault="00CE6E3C" w:rsidP="0002434F">
            <w:pPr>
              <w:pStyle w:val="Textpoznpodarou"/>
              <w:jc w:val="both"/>
              <w:rPr>
                <w:sz w:val="18"/>
                <w:szCs w:val="18"/>
              </w:rPr>
            </w:pPr>
          </w:p>
        </w:tc>
      </w:tr>
      <w:tr w:rsidR="00CE6E3C" w:rsidRPr="00D279F9" w:rsidTr="0002434F">
        <w:tc>
          <w:tcPr>
            <w:tcW w:w="1054" w:type="pct"/>
            <w:tcBorders>
              <w:top w:val="nil"/>
              <w:left w:val="nil"/>
              <w:bottom w:val="nil"/>
              <w:right w:val="nil"/>
            </w:tcBorders>
          </w:tcPr>
          <w:p w:rsidR="00CE6E3C" w:rsidRPr="003F62FC" w:rsidRDefault="00CE6E3C" w:rsidP="0002434F">
            <w:pPr>
              <w:spacing w:line="240" w:lineRule="auto"/>
              <w:rPr>
                <w:sz w:val="16"/>
                <w:szCs w:val="16"/>
              </w:rPr>
            </w:pPr>
            <w:r w:rsidRPr="003F62FC">
              <w:rPr>
                <w:sz w:val="16"/>
                <w:szCs w:val="16"/>
              </w:rPr>
              <w:lastRenderedPageBreak/>
              <w:t xml:space="preserve">Zpomalení vývozu patrné i v komoditní struktuře z hlediska klasifikace </w:t>
            </w:r>
          </w:p>
          <w:p w:rsidR="00CE6E3C" w:rsidRPr="003F62FC" w:rsidRDefault="00CE6E3C" w:rsidP="0002434F">
            <w:pPr>
              <w:spacing w:line="240" w:lineRule="auto"/>
              <w:rPr>
                <w:sz w:val="16"/>
                <w:szCs w:val="16"/>
              </w:rPr>
            </w:pPr>
            <w:r w:rsidRPr="003F62FC">
              <w:rPr>
                <w:sz w:val="16"/>
                <w:szCs w:val="16"/>
              </w:rPr>
              <w:t>CZ-CPA: z oddílů, jejichž hodnota vývozu překračuje 100 mld. korun za rok, se meziroční tempo růstu vývozu mezi posledním čtvrtletím 2015 a 1. čtvrtletím letošního roku zvýšilo pouze v případě kovodělných výrobků</w:t>
            </w:r>
          </w:p>
        </w:tc>
        <w:tc>
          <w:tcPr>
            <w:tcW w:w="143" w:type="pct"/>
            <w:tcBorders>
              <w:top w:val="nil"/>
              <w:left w:val="nil"/>
              <w:bottom w:val="nil"/>
              <w:right w:val="nil"/>
            </w:tcBorders>
          </w:tcPr>
          <w:p w:rsidR="00CE6E3C" w:rsidRPr="003F62FC" w:rsidRDefault="00CE6E3C" w:rsidP="0002434F">
            <w:pPr>
              <w:pStyle w:val="Textpoznpodarou"/>
              <w:jc w:val="both"/>
            </w:pPr>
          </w:p>
        </w:tc>
        <w:tc>
          <w:tcPr>
            <w:tcW w:w="3803" w:type="pct"/>
            <w:tcBorders>
              <w:top w:val="nil"/>
              <w:left w:val="nil"/>
              <w:bottom w:val="nil"/>
              <w:right w:val="nil"/>
            </w:tcBorders>
          </w:tcPr>
          <w:p w:rsidR="00CE6E3C" w:rsidRPr="003F62FC" w:rsidRDefault="00CE6E3C" w:rsidP="0002434F">
            <w:pPr>
              <w:pStyle w:val="Textpoznpodarou"/>
              <w:jc w:val="both"/>
              <w:rPr>
                <w:spacing w:val="-2"/>
              </w:rPr>
            </w:pPr>
            <w:r w:rsidRPr="003F62FC">
              <w:rPr>
                <w:spacing w:val="-2"/>
              </w:rPr>
              <w:t xml:space="preserve">Od počátku oživení evropského hospodářství zhruba v polovině roku 2013 se na růstu českého vývozu podílel především vývoz motorových vozidel. Totéž bylo </w:t>
            </w:r>
            <w:r w:rsidRPr="003F62FC">
              <w:rPr>
                <w:spacing w:val="-6"/>
              </w:rPr>
              <w:t>patrné v 1. čtvrtletí 2016, kdy se tento vývoz zvýšil meziročně o 9,7 %. Na</w:t>
            </w:r>
            <w:r w:rsidRPr="003F62FC">
              <w:rPr>
                <w:spacing w:val="-2"/>
              </w:rPr>
              <w:t xml:space="preserve"> zahraničních trzích se (z váhově významnějších oddílů podle klasifikace CZ-CPA) dařilo dále prosazovat potravinářské výrobky (jejich vývoz stoupl o 6,9 %), elektrická zařízení (4,6 %), stroje a zařízení (3 %) či výrobky z pryže a plastu (2,8 %). Všechny z těchto oddílů však mezi posledním čtvrtletím 2015 a prvními třemi měsíci letošního roku zpomalily a jejich dynamika byla slabší. Naproti tomu přírůstek vývozu rovněž váhově významných kovodělných výrobků se na sklonku roku 2015 vyšplhal na 18,1 % a výsledek za 1. čtvrtletí 2016 jej dokonce předčil (21,1 %). Hodnota vývozu chemických látek se v důsledku nízkých cen ropy a přetrvávající odstávky části výrobních kapacit v tuzemském chemickém průmys</w:t>
            </w:r>
            <w:r w:rsidR="00EC0860">
              <w:rPr>
                <w:spacing w:val="-2"/>
              </w:rPr>
              <w:t>lu snižuje od 1. čtvrtletí 2015. J</w:t>
            </w:r>
            <w:r w:rsidRPr="003F62FC">
              <w:rPr>
                <w:spacing w:val="-2"/>
              </w:rPr>
              <w:t>iž rok ale klesají i vývozy PC, elektronických a optických přístrojů a zařízení a nepříznivě se z pohledu exportérů vyvíjí i obchod se základními kovy.</w:t>
            </w:r>
          </w:p>
          <w:p w:rsidR="00CE6E3C" w:rsidRPr="00CE6E3C" w:rsidRDefault="00CE6E3C" w:rsidP="0002434F">
            <w:pPr>
              <w:pStyle w:val="Textpoznpodarou"/>
              <w:jc w:val="both"/>
              <w:rPr>
                <w:sz w:val="18"/>
                <w:szCs w:val="18"/>
              </w:rPr>
            </w:pPr>
          </w:p>
        </w:tc>
      </w:tr>
      <w:tr w:rsidR="00CE6E3C" w:rsidRPr="00D279F9" w:rsidTr="0002434F">
        <w:tc>
          <w:tcPr>
            <w:tcW w:w="1054" w:type="pct"/>
            <w:tcBorders>
              <w:top w:val="nil"/>
              <w:left w:val="nil"/>
              <w:bottom w:val="nil"/>
              <w:right w:val="nil"/>
            </w:tcBorders>
          </w:tcPr>
          <w:p w:rsidR="00CE6E3C" w:rsidRPr="003F62FC" w:rsidRDefault="00CE6E3C" w:rsidP="0002434F">
            <w:pPr>
              <w:spacing w:line="240" w:lineRule="auto"/>
              <w:rPr>
                <w:sz w:val="16"/>
                <w:szCs w:val="16"/>
              </w:rPr>
            </w:pPr>
            <w:r w:rsidRPr="003F62FC">
              <w:rPr>
                <w:sz w:val="16"/>
                <w:szCs w:val="16"/>
              </w:rPr>
              <w:t>Slabší meziroční dynamika dovozu oproti vývozu trvající dvě čtvrtletí souvisí s rozdílným cenovým vývojem na dovozní a vývozní straně zahraničního obchodu</w:t>
            </w:r>
          </w:p>
        </w:tc>
        <w:tc>
          <w:tcPr>
            <w:tcW w:w="143" w:type="pct"/>
            <w:tcBorders>
              <w:top w:val="nil"/>
              <w:left w:val="nil"/>
              <w:bottom w:val="nil"/>
              <w:right w:val="nil"/>
            </w:tcBorders>
          </w:tcPr>
          <w:p w:rsidR="00CE6E3C" w:rsidRPr="003F62FC" w:rsidRDefault="00CE6E3C" w:rsidP="0002434F">
            <w:pPr>
              <w:pStyle w:val="Textpoznpodarou"/>
              <w:jc w:val="both"/>
            </w:pPr>
          </w:p>
        </w:tc>
        <w:tc>
          <w:tcPr>
            <w:tcW w:w="3803" w:type="pct"/>
            <w:tcBorders>
              <w:top w:val="nil"/>
              <w:left w:val="nil"/>
              <w:bottom w:val="nil"/>
              <w:right w:val="nil"/>
            </w:tcBorders>
          </w:tcPr>
          <w:p w:rsidR="00CE6E3C" w:rsidRPr="0050631F" w:rsidRDefault="00CE6E3C" w:rsidP="0002434F">
            <w:pPr>
              <w:pStyle w:val="Textpoznpodarou"/>
              <w:jc w:val="both"/>
              <w:rPr>
                <w:spacing w:val="-2"/>
              </w:rPr>
            </w:pPr>
            <w:r w:rsidRPr="0050631F">
              <w:rPr>
                <w:spacing w:val="-2"/>
              </w:rPr>
              <w:t>Vyšší meziroční růst dovozu proti vývozu, který byl patrný po většinu loňského roku, se na jeho konci obrátil ve prospěch dynamiky vývozu. Data za 1. čtvrtletí tento obrat potvrdila, neboť dovoz nepatrně poklesl (o 0,1 %). Výsledek o snižujícím se dovozu lze zčásti připisovat kalendářním vlivům (vloni byly Velikonoce v dubnu, letos již v březnu a navíc trvaly o jeden den více), avšak ty měly vliv i na vývoz. Za aktuální disproporcí dynamiky dovozu a vývozu stojí především rychleji klesající dovozní ceny oproti cenám vývozu. Pokračoval pokles dovozu z Ruska, nově se k němu připojily snižující se dovozy z Číny, Slovenska a Rakouska.  Vliv levné ropy na hodnotu dovozu přetrvával silný (dovoz ropy a zemního plynu poklesl o 38,4 %).</w:t>
            </w:r>
          </w:p>
          <w:p w:rsidR="00CE6E3C" w:rsidRPr="003F62FC" w:rsidRDefault="00CE6E3C" w:rsidP="0002434F">
            <w:pPr>
              <w:pStyle w:val="Textpoznpodarou"/>
              <w:jc w:val="both"/>
              <w:rPr>
                <w:sz w:val="18"/>
                <w:szCs w:val="18"/>
              </w:rPr>
            </w:pPr>
          </w:p>
        </w:tc>
      </w:tr>
      <w:tr w:rsidR="00CE6E3C" w:rsidRPr="00D279F9" w:rsidTr="0002434F">
        <w:tc>
          <w:tcPr>
            <w:tcW w:w="1054" w:type="pct"/>
            <w:tcBorders>
              <w:top w:val="nil"/>
              <w:left w:val="nil"/>
              <w:bottom w:val="nil"/>
              <w:right w:val="nil"/>
            </w:tcBorders>
          </w:tcPr>
          <w:p w:rsidR="00CE6E3C" w:rsidRPr="003F62FC" w:rsidRDefault="00CE6E3C" w:rsidP="0002434F">
            <w:pPr>
              <w:spacing w:line="240" w:lineRule="auto"/>
              <w:rPr>
                <w:sz w:val="16"/>
                <w:szCs w:val="16"/>
              </w:rPr>
            </w:pPr>
            <w:r w:rsidRPr="003F62FC">
              <w:rPr>
                <w:sz w:val="16"/>
                <w:szCs w:val="16"/>
              </w:rPr>
              <w:t>Přebytek zahraničního obchodu za první tři měsíce roku 2016 byl nejvyšší v historii – na jeho zlepšení participoval obchod se zeměmi EU i státy mimo Unii</w:t>
            </w:r>
          </w:p>
        </w:tc>
        <w:tc>
          <w:tcPr>
            <w:tcW w:w="143" w:type="pct"/>
            <w:tcBorders>
              <w:top w:val="nil"/>
              <w:left w:val="nil"/>
              <w:bottom w:val="nil"/>
              <w:right w:val="nil"/>
            </w:tcBorders>
          </w:tcPr>
          <w:p w:rsidR="00CE6E3C" w:rsidRPr="003F62FC" w:rsidRDefault="00CE6E3C" w:rsidP="0002434F">
            <w:pPr>
              <w:pStyle w:val="Textpoznpodarou"/>
              <w:jc w:val="both"/>
            </w:pPr>
          </w:p>
        </w:tc>
        <w:tc>
          <w:tcPr>
            <w:tcW w:w="3803" w:type="pct"/>
            <w:tcBorders>
              <w:top w:val="nil"/>
              <w:left w:val="nil"/>
              <w:bottom w:val="nil"/>
              <w:right w:val="nil"/>
            </w:tcBorders>
          </w:tcPr>
          <w:p w:rsidR="00CE6E3C" w:rsidRPr="003F62FC" w:rsidRDefault="00CE6E3C" w:rsidP="00EA0AF3">
            <w:pPr>
              <w:pStyle w:val="Textpoznpodarou"/>
              <w:jc w:val="both"/>
              <w:rPr>
                <w:spacing w:val="-2"/>
              </w:rPr>
            </w:pPr>
            <w:r w:rsidRPr="003F62FC">
              <w:rPr>
                <w:spacing w:val="-2"/>
              </w:rPr>
              <w:t>Přebytek zahraničního obchodu vystoupal v 1. čtvrtletí 2016 na 68,5 mld. korun a</w:t>
            </w:r>
            <w:r w:rsidR="00EA0AF3">
              <w:rPr>
                <w:spacing w:val="-2"/>
              </w:rPr>
              <w:t> </w:t>
            </w:r>
            <w:r w:rsidRPr="003F62FC">
              <w:rPr>
                <w:spacing w:val="-2"/>
              </w:rPr>
              <w:t xml:space="preserve">dosáhl nejvyšší úrovně v historii. Při protisměrném vývoji vývozu a dovozu se zvýšil proti 1. čtvrtletí 2015 o 14,6 mld. korun, přičemž na jeho růstu se podílel obchod s EU (přebytek stoupl o 5,6 mld. na 175,1 mld.) i zeměmi </w:t>
            </w:r>
            <w:r w:rsidRPr="003F62FC">
              <w:rPr>
                <w:spacing w:val="-4"/>
              </w:rPr>
              <w:t>mimo tento hospodářský celek (deficit se snížil o 9,8 mld. na 100,9 mld.).</w:t>
            </w:r>
            <w:r w:rsidRPr="003F62FC">
              <w:rPr>
                <w:rStyle w:val="Znakapoznpodarou"/>
                <w:spacing w:val="-4"/>
              </w:rPr>
              <w:footnoteReference w:id="18"/>
            </w:r>
            <w:r w:rsidRPr="003F62FC">
              <w:rPr>
                <w:spacing w:val="-2"/>
              </w:rPr>
              <w:t xml:space="preserve"> Z pohledu jednotlivých oddílů se ve výsledku zahraničního obchodu pozitivně projevoval zejména nárůst přebytku v motorových vozidlech (o 10,2 mld. korun) a strojích a zařízení (o 6,6 mld.) a také nižší deficit obchodu s ropou a zemním plynem (o 9 mld.). Relativně silný pokles vývozu chemických látek při pokračujícím růstu </w:t>
            </w:r>
            <w:r w:rsidRPr="003F62FC">
              <w:rPr>
                <w:spacing w:val="-4"/>
              </w:rPr>
              <w:t>dovozu se odrazil v prohloubení deficitu obchodu s těmito produkty o 8 mld.</w:t>
            </w:r>
            <w:r w:rsidRPr="003F62FC">
              <w:rPr>
                <w:spacing w:val="-2"/>
              </w:rPr>
              <w:t xml:space="preserve"> korun.</w:t>
            </w:r>
          </w:p>
        </w:tc>
      </w:tr>
    </w:tbl>
    <w:p w:rsidR="00ED3A94" w:rsidRPr="00CE6E3C" w:rsidRDefault="00ED3A94" w:rsidP="002E0DB9">
      <w:pPr>
        <w:rPr>
          <w:sz w:val="18"/>
          <w:szCs w:val="18"/>
        </w:rPr>
      </w:pPr>
    </w:p>
    <w:tbl>
      <w:tblPr>
        <w:tblW w:w="5000" w:type="pct"/>
        <w:tblLook w:val="04A0"/>
      </w:tblPr>
      <w:tblGrid>
        <w:gridCol w:w="1120"/>
        <w:gridCol w:w="3806"/>
        <w:gridCol w:w="714"/>
        <w:gridCol w:w="1117"/>
        <w:gridCol w:w="3097"/>
      </w:tblGrid>
      <w:tr w:rsidR="00CE6E3C" w:rsidRPr="00D279F9" w:rsidTr="0002434F">
        <w:tc>
          <w:tcPr>
            <w:tcW w:w="568" w:type="pct"/>
          </w:tcPr>
          <w:p w:rsidR="00CE6E3C" w:rsidRPr="004F3F59" w:rsidRDefault="00CE6E3C" w:rsidP="0002434F">
            <w:pPr>
              <w:pStyle w:val="Textpoznpodarou"/>
            </w:pPr>
            <w:r w:rsidRPr="004F3F59">
              <w:t>Graf č. 9</w:t>
            </w:r>
          </w:p>
        </w:tc>
        <w:tc>
          <w:tcPr>
            <w:tcW w:w="1930" w:type="pct"/>
          </w:tcPr>
          <w:p w:rsidR="00CE6E3C" w:rsidRPr="004F3F59" w:rsidRDefault="00CE6E3C" w:rsidP="0002434F">
            <w:pPr>
              <w:pStyle w:val="Textpoznpodarou"/>
              <w:rPr>
                <w:b/>
              </w:rPr>
            </w:pPr>
            <w:r w:rsidRPr="004F3F59">
              <w:rPr>
                <w:b/>
              </w:rPr>
              <w:t>Běžný účet platební bilance</w:t>
            </w:r>
          </w:p>
          <w:p w:rsidR="00CE6E3C" w:rsidRPr="004F3F59" w:rsidRDefault="00CE6E3C" w:rsidP="0002434F">
            <w:pPr>
              <w:pStyle w:val="Textpoznpodarou"/>
            </w:pPr>
            <w:r w:rsidRPr="004F3F59">
              <w:t>(v mld. korun)</w:t>
            </w:r>
          </w:p>
        </w:tc>
        <w:tc>
          <w:tcPr>
            <w:tcW w:w="362" w:type="pct"/>
          </w:tcPr>
          <w:p w:rsidR="00CE6E3C" w:rsidRPr="003F62FC" w:rsidRDefault="00CE6E3C" w:rsidP="0002434F">
            <w:pPr>
              <w:pStyle w:val="Textpoznpodarou"/>
            </w:pPr>
            <w:r w:rsidRPr="003F62FC">
              <w:t>Graf č. 10</w:t>
            </w:r>
          </w:p>
        </w:tc>
        <w:tc>
          <w:tcPr>
            <w:tcW w:w="2140" w:type="pct"/>
            <w:gridSpan w:val="2"/>
          </w:tcPr>
          <w:p w:rsidR="00CE6E3C" w:rsidRPr="003F62FC" w:rsidRDefault="00CE6E3C" w:rsidP="0002434F">
            <w:pPr>
              <w:pStyle w:val="Textpoznpodarou"/>
              <w:rPr>
                <w:b/>
                <w:spacing w:val="-2"/>
              </w:rPr>
            </w:pPr>
            <w:r w:rsidRPr="003F62FC">
              <w:rPr>
                <w:b/>
                <w:spacing w:val="-2"/>
              </w:rPr>
              <w:t>Bilance zahraničního obchodu v národním pojetí v 1. čtvrtletí 2016</w:t>
            </w:r>
            <w:r w:rsidRPr="003F62FC">
              <w:rPr>
                <w:spacing w:val="-2"/>
              </w:rPr>
              <w:t xml:space="preserve"> (y–y v mld. korun)</w:t>
            </w:r>
          </w:p>
        </w:tc>
      </w:tr>
      <w:tr w:rsidR="00CE6E3C" w:rsidRPr="00D279F9" w:rsidTr="0002434F">
        <w:tc>
          <w:tcPr>
            <w:tcW w:w="2498" w:type="pct"/>
            <w:gridSpan w:val="2"/>
          </w:tcPr>
          <w:p w:rsidR="00CE6E3C" w:rsidRPr="00D279F9" w:rsidRDefault="00CE505D" w:rsidP="0002434F">
            <w:pPr>
              <w:pStyle w:val="Textpoznpodarou"/>
              <w:jc w:val="both"/>
              <w:rPr>
                <w:color w:val="FF0000"/>
              </w:rPr>
            </w:pPr>
            <w:r w:rsidRPr="00785FCA">
              <w:rPr>
                <w:noProof/>
                <w:color w:val="FF0000"/>
              </w:rPr>
              <w:pict>
                <v:shape id="_x0000_i1033" type="#_x0000_t75" style="width:236.65pt;height:187.2pt;visibility:visible;mso-wrap-style:square">
                  <v:imagedata r:id="rId20" o:title=""/>
                </v:shape>
              </w:pict>
            </w:r>
          </w:p>
        </w:tc>
        <w:tc>
          <w:tcPr>
            <w:tcW w:w="2502" w:type="pct"/>
            <w:gridSpan w:val="3"/>
          </w:tcPr>
          <w:p w:rsidR="00CE6E3C" w:rsidRPr="00D279F9" w:rsidRDefault="00CE505D" w:rsidP="0002434F">
            <w:pPr>
              <w:pStyle w:val="Textpoznpodarou"/>
              <w:jc w:val="both"/>
              <w:rPr>
                <w:color w:val="FF0000"/>
              </w:rPr>
            </w:pPr>
            <w:r w:rsidRPr="00785FCA">
              <w:rPr>
                <w:noProof/>
                <w:color w:val="FF0000"/>
              </w:rPr>
              <w:pict>
                <v:shape id="_x0000_i1034" type="#_x0000_t75" style="width:236.65pt;height:185.95pt;visibility:visible;mso-wrap-style:square">
                  <v:imagedata r:id="rId21" o:title=""/>
                </v:shape>
              </w:pict>
            </w:r>
          </w:p>
        </w:tc>
      </w:tr>
      <w:tr w:rsidR="00CE6E3C" w:rsidRPr="00D279F9" w:rsidTr="0002434F">
        <w:tc>
          <w:tcPr>
            <w:tcW w:w="3427" w:type="pct"/>
            <w:gridSpan w:val="4"/>
          </w:tcPr>
          <w:p w:rsidR="00CE6E3C" w:rsidRPr="00D279F9" w:rsidRDefault="00CE6E3C" w:rsidP="0002434F">
            <w:pPr>
              <w:pStyle w:val="Textpoznpodarou"/>
              <w:rPr>
                <w:noProof/>
                <w:color w:val="FF0000"/>
                <w:sz w:val="18"/>
                <w:szCs w:val="18"/>
              </w:rPr>
            </w:pPr>
          </w:p>
        </w:tc>
        <w:tc>
          <w:tcPr>
            <w:tcW w:w="1573" w:type="pct"/>
          </w:tcPr>
          <w:p w:rsidR="00CE6E3C" w:rsidRPr="003F62FC" w:rsidRDefault="00CE6E3C" w:rsidP="0002434F">
            <w:pPr>
              <w:pStyle w:val="Textpoznpodarou"/>
              <w:jc w:val="right"/>
              <w:rPr>
                <w:noProof/>
              </w:rPr>
            </w:pPr>
            <w:r w:rsidRPr="003F62FC">
              <w:rPr>
                <w:sz w:val="18"/>
                <w:szCs w:val="18"/>
              </w:rPr>
              <w:t>Zdroj: ČSÚ, ČNB</w:t>
            </w:r>
          </w:p>
        </w:tc>
      </w:tr>
    </w:tbl>
    <w:p w:rsidR="00ED3A94" w:rsidRPr="00CE6E3C" w:rsidRDefault="00ED3A94" w:rsidP="002E0DB9">
      <w:pPr>
        <w:rPr>
          <w:sz w:val="2"/>
          <w:szCs w:val="2"/>
        </w:rPr>
      </w:pPr>
    </w:p>
    <w:p w:rsidR="007D4281" w:rsidRDefault="007D4281" w:rsidP="006D142E">
      <w:pPr>
        <w:pStyle w:val="Nadpis1"/>
        <w:numPr>
          <w:ilvl w:val="0"/>
          <w:numId w:val="3"/>
        </w:numPr>
        <w:jc w:val="both"/>
      </w:pPr>
      <w:bookmarkStart w:id="7" w:name="_Toc454185152"/>
      <w:r>
        <w:lastRenderedPageBreak/>
        <w:t>Ceny</w:t>
      </w:r>
      <w:bookmarkEnd w:id="7"/>
    </w:p>
    <w:tbl>
      <w:tblPr>
        <w:tblW w:w="5000" w:type="pct"/>
        <w:tblLayout w:type="fixed"/>
        <w:tblLook w:val="00A0"/>
      </w:tblPr>
      <w:tblGrid>
        <w:gridCol w:w="2077"/>
        <w:gridCol w:w="282"/>
        <w:gridCol w:w="7495"/>
      </w:tblGrid>
      <w:tr w:rsidR="00C11DAF" w:rsidRPr="00103124" w:rsidTr="0002434F">
        <w:tc>
          <w:tcPr>
            <w:tcW w:w="1054" w:type="pct"/>
          </w:tcPr>
          <w:p w:rsidR="00C11DAF" w:rsidRPr="00804D97" w:rsidRDefault="00C11DAF" w:rsidP="0002434F">
            <w:pPr>
              <w:spacing w:line="240" w:lineRule="auto"/>
              <w:rPr>
                <w:sz w:val="16"/>
                <w:szCs w:val="16"/>
                <w:vertAlign w:val="superscript"/>
              </w:rPr>
            </w:pPr>
            <w:r w:rsidRPr="00804D97">
              <w:rPr>
                <w:sz w:val="16"/>
                <w:szCs w:val="16"/>
              </w:rPr>
              <w:t>Celková cenová hladina vzrostla v meziročním srovnání nejrychleji od 1. čtvrtletí 2015 díky vyšším směnným relacím</w:t>
            </w:r>
          </w:p>
        </w:tc>
        <w:tc>
          <w:tcPr>
            <w:tcW w:w="143" w:type="pct"/>
          </w:tcPr>
          <w:p w:rsidR="00C11DAF" w:rsidRPr="00804D97" w:rsidRDefault="00C11DAF" w:rsidP="0002434F">
            <w:pPr>
              <w:pStyle w:val="Textpoznpodarou"/>
              <w:jc w:val="both"/>
            </w:pPr>
          </w:p>
        </w:tc>
        <w:tc>
          <w:tcPr>
            <w:tcW w:w="3803" w:type="pct"/>
          </w:tcPr>
          <w:p w:rsidR="00C11DAF" w:rsidRPr="00804D97" w:rsidRDefault="00C11DAF" w:rsidP="0002434F">
            <w:pPr>
              <w:pStyle w:val="Textpoznpodarou"/>
              <w:jc w:val="both"/>
            </w:pPr>
            <w:r w:rsidRPr="00804D97">
              <w:t xml:space="preserve">Celková cenová hladina narostla v 1. čtvrtletí 2016 podle implicitního deflátoru </w:t>
            </w:r>
            <w:r w:rsidRPr="00804D97">
              <w:rPr>
                <w:spacing w:val="-2"/>
              </w:rPr>
              <w:t>HDP</w:t>
            </w:r>
            <w:r w:rsidRPr="00804D97">
              <w:rPr>
                <w:rStyle w:val="Znakapoznpodarou"/>
              </w:rPr>
              <w:footnoteReference w:id="19"/>
            </w:r>
            <w:r w:rsidRPr="00804D97">
              <w:rPr>
                <w:spacing w:val="-2"/>
              </w:rPr>
              <w:t xml:space="preserve"> nejrychleji od počátku předchozího roku. Stoupla meziročně o 1,1</w:t>
            </w:r>
            <w:r w:rsidRPr="00804D97">
              <w:t xml:space="preserve"> %, přitom zdrojem jejího zrychlení byly především směnné relace v zahraničním obchodě (dosáhly hodnoty 101,2 % a byly nejvyšší za posledních šest čtvrtletí). Ve směru silnějšího růstu celkové cenové hladiny působil mírně i opětovný růst cen zboží a služeb spotřebovávaných domácnostmi (ve 4. čtvrtletí 2015 tyto ceny meziročně stagnovaly, v 1. čtvrtletí se zvýšily o 0,2 %) a nepatrně vyšší růst cen produktů nakupovaných vládními institucemi. Ceny investic (tvorby hrubého fixního </w:t>
            </w:r>
            <w:r w:rsidRPr="00804D97">
              <w:rPr>
                <w:spacing w:val="-2"/>
              </w:rPr>
              <w:t xml:space="preserve">kapitálu) </w:t>
            </w:r>
            <w:r w:rsidRPr="00804D97">
              <w:rPr>
                <w:spacing w:val="-4"/>
              </w:rPr>
              <w:t>si zachovaly umírněnou dynamiku z posledních třech měsíců 2015 (0,3</w:t>
            </w:r>
            <w:r w:rsidRPr="00804D97">
              <w:t xml:space="preserve"> %).</w:t>
            </w:r>
          </w:p>
          <w:p w:rsidR="00C11DAF" w:rsidRPr="00804D97" w:rsidRDefault="00C11DAF" w:rsidP="0002434F">
            <w:pPr>
              <w:pStyle w:val="Textpoznpodarou"/>
              <w:jc w:val="both"/>
              <w:rPr>
                <w:spacing w:val="-2"/>
                <w:sz w:val="18"/>
                <w:szCs w:val="18"/>
              </w:rPr>
            </w:pPr>
          </w:p>
        </w:tc>
      </w:tr>
      <w:tr w:rsidR="00C11DAF" w:rsidRPr="00103124" w:rsidTr="0002434F">
        <w:tc>
          <w:tcPr>
            <w:tcW w:w="1054" w:type="pct"/>
          </w:tcPr>
          <w:p w:rsidR="00C11DAF" w:rsidRPr="00103124" w:rsidRDefault="00C11DAF" w:rsidP="0002434F">
            <w:pPr>
              <w:spacing w:line="240" w:lineRule="auto"/>
              <w:rPr>
                <w:sz w:val="16"/>
                <w:szCs w:val="16"/>
              </w:rPr>
            </w:pPr>
            <w:r w:rsidRPr="00103124">
              <w:rPr>
                <w:sz w:val="16"/>
                <w:szCs w:val="16"/>
              </w:rPr>
              <w:t>Meziroční růst spotřebitelských cen zůstal slabý i v 1. čtvrtletí 2016, …</w:t>
            </w:r>
          </w:p>
        </w:tc>
        <w:tc>
          <w:tcPr>
            <w:tcW w:w="143" w:type="pct"/>
          </w:tcPr>
          <w:p w:rsidR="00C11DAF" w:rsidRPr="00103124" w:rsidRDefault="00C11DAF" w:rsidP="0002434F">
            <w:pPr>
              <w:pStyle w:val="Textpoznpodarou"/>
              <w:jc w:val="both"/>
            </w:pPr>
          </w:p>
        </w:tc>
        <w:tc>
          <w:tcPr>
            <w:tcW w:w="3803" w:type="pct"/>
          </w:tcPr>
          <w:p w:rsidR="00C11DAF" w:rsidRPr="00103124" w:rsidRDefault="00C11DAF" w:rsidP="0002434F">
            <w:pPr>
              <w:pStyle w:val="Textpoznpodarou"/>
              <w:jc w:val="both"/>
            </w:pPr>
            <w:r w:rsidRPr="00103124">
              <w:t>Spotřebitelské ceny se v 1. čtvrtletí 2016 zvýšily v meziročním srovnání o 0,5 %. Jejich meziroční dynamika nepřekročila 1% hranici již devět čtvrtletí a pod cílem České národní banky (ČNB) stanoveném na úrovni 2 % setrvávala dokonce třináct čtvrtletí. Míra inflace vyjádřená přírůstkem průměrného indexu spotřebitelských cen za posledních dvanáct měsíců oproti průměru předchozích dvanácti měsíců se v lednu, únoru i březnu letošního roku rovnala 0,4 %.</w:t>
            </w:r>
          </w:p>
          <w:p w:rsidR="00C11DAF" w:rsidRPr="00C11DAF" w:rsidRDefault="00C11DAF" w:rsidP="0002434F">
            <w:pPr>
              <w:pStyle w:val="Textpoznpodarou"/>
              <w:jc w:val="both"/>
              <w:rPr>
                <w:sz w:val="16"/>
                <w:szCs w:val="16"/>
              </w:rPr>
            </w:pPr>
          </w:p>
        </w:tc>
      </w:tr>
      <w:tr w:rsidR="00C11DAF" w:rsidRPr="00103124" w:rsidTr="0002434F">
        <w:tc>
          <w:tcPr>
            <w:tcW w:w="1054" w:type="pct"/>
          </w:tcPr>
          <w:p w:rsidR="00C11DAF" w:rsidRPr="00103124" w:rsidRDefault="00C11DAF" w:rsidP="0002434F">
            <w:pPr>
              <w:spacing w:line="240" w:lineRule="auto"/>
              <w:rPr>
                <w:sz w:val="16"/>
                <w:szCs w:val="16"/>
              </w:rPr>
            </w:pPr>
            <w:r w:rsidRPr="00103124">
              <w:rPr>
                <w:sz w:val="16"/>
                <w:szCs w:val="16"/>
              </w:rPr>
              <w:t>…když cena ropy na světovém trhu byla nejnižší od počátku roku 2004 a k utlumenému cenovému vývoji v ČR přispívaly nadále i deflace zpracovatelů v eurozóně a klesající ceny zemědělských výrobců</w:t>
            </w:r>
          </w:p>
        </w:tc>
        <w:tc>
          <w:tcPr>
            <w:tcW w:w="143" w:type="pct"/>
          </w:tcPr>
          <w:p w:rsidR="00C11DAF" w:rsidRPr="00103124" w:rsidRDefault="00C11DAF" w:rsidP="0002434F">
            <w:pPr>
              <w:pStyle w:val="Textpoznpodarou"/>
              <w:jc w:val="both"/>
            </w:pPr>
          </w:p>
        </w:tc>
        <w:tc>
          <w:tcPr>
            <w:tcW w:w="3803" w:type="pct"/>
          </w:tcPr>
          <w:p w:rsidR="00C11DAF" w:rsidRPr="00103124" w:rsidRDefault="00C11DAF" w:rsidP="0002434F">
            <w:pPr>
              <w:pStyle w:val="Textpoznpodarou"/>
              <w:jc w:val="both"/>
              <w:rPr>
                <w:spacing w:val="-4"/>
              </w:rPr>
            </w:pPr>
            <w:r w:rsidRPr="00103124">
              <w:rPr>
                <w:spacing w:val="-4"/>
              </w:rPr>
              <w:t xml:space="preserve">Zdrojem trvajícího nevýrazného růstu spotřebitelských cen v České republice jsou především nízké ceny ropy. Barel ropy Brent se v 1. čtvrtletí 2016 obchodoval na světových trzích v průměru za 33,7 amerických dolarů, což byla nejnižší cena od počátku roku 2004. Meziroční pokles ceny této komodity nicméně začal vyprchávat (z 50,7 % ve 3. čtvrtletí 2015 přes 43 % v posledním čtvrtletí 2015 na 37,5 % v 1. čtvrtletí 2016), když </w:t>
            </w:r>
            <w:r>
              <w:rPr>
                <w:spacing w:val="-4"/>
              </w:rPr>
              <w:t>se v něm začala projevovat</w:t>
            </w:r>
            <w:r w:rsidRPr="00103124">
              <w:rPr>
                <w:spacing w:val="-4"/>
              </w:rPr>
              <w:t> nižší</w:t>
            </w:r>
            <w:r>
              <w:rPr>
                <w:spacing w:val="-4"/>
              </w:rPr>
              <w:t xml:space="preserve"> základna</w:t>
            </w:r>
            <w:r w:rsidRPr="00103124">
              <w:rPr>
                <w:spacing w:val="-4"/>
              </w:rPr>
              <w:t>. V korunové</w:t>
            </w:r>
            <w:r w:rsidR="00A41D07">
              <w:rPr>
                <w:spacing w:val="-4"/>
              </w:rPr>
              <w:t>m</w:t>
            </w:r>
            <w:r w:rsidRPr="00103124">
              <w:rPr>
                <w:spacing w:val="-4"/>
              </w:rPr>
              <w:t xml:space="preserve"> vyjádření, při meziroční stagnaci kurzu koruny k dolaru v 1. čtvrtletí 2016, byly ceny ropy Brent nižší rovněž o 37,5 %. K utlumenému cenovému vývoji v tuzemské ekonomice přispívají rovněž deflační tendence ve zpracovatelském průmyslu v eurozóně (vyvolané právě nízkými cenami ropy) a dlouhodobý pokles cen zemědělských výrobců prosakující prostřednictvím výrobního řetězce do cen potravin. </w:t>
            </w:r>
          </w:p>
          <w:p w:rsidR="00C11DAF" w:rsidRPr="00103124" w:rsidRDefault="00C11DAF" w:rsidP="0002434F">
            <w:pPr>
              <w:pStyle w:val="Textpoznpodarou"/>
              <w:jc w:val="both"/>
              <w:rPr>
                <w:sz w:val="18"/>
                <w:szCs w:val="18"/>
              </w:rPr>
            </w:pPr>
          </w:p>
        </w:tc>
      </w:tr>
      <w:tr w:rsidR="00C11DAF" w:rsidRPr="00103124" w:rsidTr="0002434F">
        <w:tc>
          <w:tcPr>
            <w:tcW w:w="1054" w:type="pct"/>
          </w:tcPr>
          <w:p w:rsidR="00C11DAF" w:rsidRPr="00103124" w:rsidRDefault="00C11DAF" w:rsidP="0002434F">
            <w:pPr>
              <w:spacing w:line="240" w:lineRule="auto"/>
              <w:rPr>
                <w:sz w:val="16"/>
                <w:szCs w:val="16"/>
              </w:rPr>
            </w:pPr>
            <w:r w:rsidRPr="00103124">
              <w:rPr>
                <w:sz w:val="16"/>
                <w:szCs w:val="16"/>
              </w:rPr>
              <w:t>Bez zahrnutí topných olejů, pohonných hmot a olejů byla meziroční dynamika spotřebitelských cen silnější o 0,4 p</w:t>
            </w:r>
            <w:r>
              <w:rPr>
                <w:sz w:val="16"/>
                <w:szCs w:val="16"/>
              </w:rPr>
              <w:t>.</w:t>
            </w:r>
            <w:r w:rsidRPr="00103124">
              <w:rPr>
                <w:sz w:val="16"/>
                <w:szCs w:val="16"/>
              </w:rPr>
              <w:t>b.</w:t>
            </w:r>
          </w:p>
        </w:tc>
        <w:tc>
          <w:tcPr>
            <w:tcW w:w="143" w:type="pct"/>
          </w:tcPr>
          <w:p w:rsidR="00C11DAF" w:rsidRPr="00103124" w:rsidRDefault="00C11DAF" w:rsidP="0002434F">
            <w:pPr>
              <w:pStyle w:val="Textpoznpodarou"/>
              <w:jc w:val="both"/>
            </w:pPr>
          </w:p>
        </w:tc>
        <w:tc>
          <w:tcPr>
            <w:tcW w:w="3803" w:type="pct"/>
          </w:tcPr>
          <w:p w:rsidR="00C11DAF" w:rsidRPr="00103124" w:rsidRDefault="00C11DAF" w:rsidP="0002434F">
            <w:pPr>
              <w:pStyle w:val="Textpoznpodarou"/>
              <w:jc w:val="both"/>
            </w:pPr>
            <w:r w:rsidRPr="00103124">
              <w:t>Na stále výrazný vliv nízkých cen ropy na vývoj spotřebitelských cen v Česku poukazuje meziroční růst celkového indexu bez topných olejů, pohonných hmot a olejů. V 1. čtvrtletí dosáhl 0,9 % a v porovnání s nárůstem celkového indexu byl vyšší o 0,4 p.b. Podobné to bylo s dopadem nižších cen potravin – dynamika celkového indexu bez potravin a nealkoholických nápojů činila rovněž 0,9 %.</w:t>
            </w:r>
          </w:p>
          <w:p w:rsidR="00C11DAF" w:rsidRPr="00103124" w:rsidRDefault="00C11DAF" w:rsidP="0002434F">
            <w:pPr>
              <w:pStyle w:val="Textpoznpodarou"/>
              <w:jc w:val="both"/>
              <w:rPr>
                <w:sz w:val="18"/>
                <w:szCs w:val="18"/>
              </w:rPr>
            </w:pPr>
          </w:p>
        </w:tc>
      </w:tr>
      <w:tr w:rsidR="00C11DAF" w:rsidRPr="00103124" w:rsidTr="0002434F">
        <w:tc>
          <w:tcPr>
            <w:tcW w:w="1054" w:type="pct"/>
          </w:tcPr>
          <w:p w:rsidR="00C11DAF" w:rsidRPr="00103124" w:rsidRDefault="00C11DAF" w:rsidP="0002434F">
            <w:pPr>
              <w:spacing w:line="240" w:lineRule="auto"/>
              <w:rPr>
                <w:sz w:val="16"/>
                <w:szCs w:val="16"/>
              </w:rPr>
            </w:pPr>
            <w:r w:rsidRPr="00103124">
              <w:rPr>
                <w:sz w:val="16"/>
                <w:szCs w:val="16"/>
              </w:rPr>
              <w:t>Ze tří nejvýznamnějších oddílů spotřebního koše se ceny v meziročním srovnání i nadále zvyšovaly jen v případě bydlení, vody, energie a paliv</w:t>
            </w:r>
          </w:p>
        </w:tc>
        <w:tc>
          <w:tcPr>
            <w:tcW w:w="143" w:type="pct"/>
          </w:tcPr>
          <w:p w:rsidR="00C11DAF" w:rsidRPr="00103124" w:rsidRDefault="00C11DAF" w:rsidP="0002434F">
            <w:pPr>
              <w:pStyle w:val="Textpoznpodarou"/>
              <w:jc w:val="both"/>
            </w:pPr>
          </w:p>
        </w:tc>
        <w:tc>
          <w:tcPr>
            <w:tcW w:w="3803" w:type="pct"/>
          </w:tcPr>
          <w:p w:rsidR="00C11DAF" w:rsidRPr="00103124" w:rsidRDefault="00C11DAF" w:rsidP="0002434F">
            <w:pPr>
              <w:pStyle w:val="Textpoznpodarou"/>
              <w:jc w:val="both"/>
            </w:pPr>
            <w:r w:rsidRPr="00103124">
              <w:t xml:space="preserve">Pokud jde o meziroční cenový vývoj ve třech nejvýznamnějších oddílech spotřebního koše, v 1. čtvrtletí 2016 narostly (stejně jako ve všech čtyřech čtvrtletích loňského roku) pouze ceny bydlení, vody, energií a paliv (o 0,9 %). Proti průměrnému přírůstku v roce 2015 zaostala dynamika cen energií, když ceny plynných paliv přešly z meziročního růstu o 3 % do poklesu o 0,5 % a ceny tepelné energie zpomalily z růstu o 1,9 % na 0,6 %. Naopak ceny nájemného z bytu a rovněž ceny imputovaného nájemného za bydlení v 1. čtvrtletí 2016 v porovnání s průměrnou dynamikou v roce 2015 mírně zrychlily. Ceny v oddílu potraviny a nealkoholické nápoje poklesly v 1. čtvrtletí letošního roku o 1,7 % meziročně, tj. ve stejném rozsahu jako samotné ceny potravin. Levnější byly především mléko, sýry a vejce (o 10,9 %) a dále z váhově důležitých skupin maso (o 2,1 %) a pekárenské výrobky a obiloviny (o 1 %). </w:t>
            </w:r>
            <w:r>
              <w:t>P</w:t>
            </w:r>
            <w:r w:rsidRPr="00103124">
              <w:t xml:space="preserve">okles cen ve třetím nejvýznamnějším oddílu spotřebního koše – ve výdajích na dopravu – se zmírnil z průměrného meziročního poklesu o 4,2 % v roce 2015 na 2,7 % v 1. čtvrtletí. Kromě menšího poklesu cen pohonných hmot se </w:t>
            </w:r>
            <w:r w:rsidRPr="00103124">
              <w:rPr>
                <w:spacing w:val="-4"/>
              </w:rPr>
              <w:t>v něm projevoval silnější růst cen dopravních prostředků pořizovaných</w:t>
            </w:r>
            <w:r w:rsidRPr="00103124">
              <w:t xml:space="preserve"> domácnostmi.</w:t>
            </w:r>
          </w:p>
          <w:p w:rsidR="00C11DAF" w:rsidRPr="00C11DAF" w:rsidRDefault="00C11DAF" w:rsidP="0002434F">
            <w:pPr>
              <w:pStyle w:val="Textpoznpodarou"/>
              <w:jc w:val="both"/>
              <w:rPr>
                <w:sz w:val="16"/>
                <w:szCs w:val="16"/>
              </w:rPr>
            </w:pPr>
          </w:p>
        </w:tc>
      </w:tr>
      <w:tr w:rsidR="00C11DAF" w:rsidRPr="00103124" w:rsidTr="0002434F">
        <w:tc>
          <w:tcPr>
            <w:tcW w:w="1054" w:type="pct"/>
          </w:tcPr>
          <w:p w:rsidR="00C11DAF" w:rsidRPr="006046A7" w:rsidRDefault="00C11DAF" w:rsidP="0002434F">
            <w:pPr>
              <w:spacing w:line="240" w:lineRule="auto"/>
              <w:rPr>
                <w:sz w:val="16"/>
                <w:szCs w:val="16"/>
              </w:rPr>
            </w:pPr>
            <w:r w:rsidRPr="006046A7">
              <w:rPr>
                <w:sz w:val="16"/>
                <w:szCs w:val="16"/>
              </w:rPr>
              <w:t>Meziroční vývoj nabídkových i realizovaných cen bytů je silný. Ukazuje, že ceny nemovitostí v ČR se zvyšují rychle</w:t>
            </w:r>
          </w:p>
        </w:tc>
        <w:tc>
          <w:tcPr>
            <w:tcW w:w="143" w:type="pct"/>
          </w:tcPr>
          <w:p w:rsidR="00C11DAF" w:rsidRPr="006046A7" w:rsidRDefault="00C11DAF" w:rsidP="0002434F">
            <w:pPr>
              <w:pStyle w:val="Textpoznpodarou"/>
              <w:jc w:val="both"/>
            </w:pPr>
          </w:p>
        </w:tc>
        <w:tc>
          <w:tcPr>
            <w:tcW w:w="3803" w:type="pct"/>
          </w:tcPr>
          <w:p w:rsidR="00C11DAF" w:rsidRPr="006046A7" w:rsidRDefault="00C11DAF" w:rsidP="0002434F">
            <w:pPr>
              <w:pStyle w:val="Textpoznpodarou"/>
              <w:jc w:val="both"/>
            </w:pPr>
            <w:r w:rsidRPr="006046A7">
              <w:t xml:space="preserve">Přetrvávající nízké úrokové sazby z úvěrů na bydlení, velmi nízká míra nezaměstnanosti, pokračující růst průměrné mzdy a vysoká spotřebitelská důvěra jsou katalyzátorem pro rychlý růst cen nemovitostí. Nabídkové ceny bytů stouply v 1. čtvrtletí 2016 o 10,2 % meziročně a šlo o nejsilnější růst cen od konce roku 2008. Je přitom zajímavé, že zatímco zhruba do poloviny roku 2015 se nabídkové ceny zvyšovaly výrazněji v Praze než v regionech mimo metropoli, od 3. čtvrtletí </w:t>
            </w:r>
            <w:r w:rsidRPr="006046A7">
              <w:lastRenderedPageBreak/>
              <w:t>je cenový vývoj v Praze i mimo Prahu již obdobný. Také meziroční vývoj realizovaných cen bytů naznačuje, že ceny nemovitostí v Česku rychle rostou. Ceny starších bytů v Praze stouply v 1. čtvrtletí o 5,7 % a v regionech mimo hlavní město dokonce o 9,3 %. Realizované ceny nových bytů, které jsou sledované pouze za Prahu, byly meziročně vyšší o 3,7 %.</w:t>
            </w:r>
          </w:p>
          <w:p w:rsidR="00C11DAF" w:rsidRPr="006046A7" w:rsidRDefault="00C11DAF" w:rsidP="0002434F">
            <w:pPr>
              <w:pStyle w:val="Textpoznpodarou"/>
              <w:jc w:val="both"/>
              <w:rPr>
                <w:sz w:val="16"/>
                <w:szCs w:val="16"/>
              </w:rPr>
            </w:pPr>
          </w:p>
        </w:tc>
      </w:tr>
      <w:tr w:rsidR="00C11DAF" w:rsidRPr="00103124" w:rsidTr="0002434F">
        <w:tc>
          <w:tcPr>
            <w:tcW w:w="1054" w:type="pct"/>
          </w:tcPr>
          <w:p w:rsidR="00C11DAF" w:rsidRPr="00103124" w:rsidRDefault="00C11DAF" w:rsidP="0002434F">
            <w:pPr>
              <w:spacing w:line="240" w:lineRule="auto"/>
              <w:rPr>
                <w:sz w:val="16"/>
                <w:szCs w:val="16"/>
              </w:rPr>
            </w:pPr>
            <w:r w:rsidRPr="00103124">
              <w:rPr>
                <w:sz w:val="16"/>
                <w:szCs w:val="16"/>
              </w:rPr>
              <w:lastRenderedPageBreak/>
              <w:t>Déle než</w:t>
            </w:r>
            <w:r>
              <w:rPr>
                <w:sz w:val="16"/>
                <w:szCs w:val="16"/>
              </w:rPr>
              <w:t xml:space="preserve"> jeden rok ceny klesaly</w:t>
            </w:r>
            <w:r w:rsidRPr="00103124">
              <w:rPr>
                <w:sz w:val="16"/>
                <w:szCs w:val="16"/>
              </w:rPr>
              <w:t xml:space="preserve"> v šesti zemích Evrops</w:t>
            </w:r>
            <w:r>
              <w:rPr>
                <w:sz w:val="16"/>
                <w:szCs w:val="16"/>
              </w:rPr>
              <w:t>ké unie. Na Slovensku se snižovaly</w:t>
            </w:r>
            <w:r w:rsidRPr="00103124">
              <w:rPr>
                <w:sz w:val="16"/>
                <w:szCs w:val="16"/>
              </w:rPr>
              <w:t xml:space="preserve"> již devět čtvrtletí a</w:t>
            </w:r>
            <w:r w:rsidR="00F053EA">
              <w:rPr>
                <w:sz w:val="16"/>
                <w:szCs w:val="16"/>
              </w:rPr>
              <w:t xml:space="preserve"> v</w:t>
            </w:r>
            <w:r w:rsidRPr="00103124">
              <w:rPr>
                <w:sz w:val="16"/>
                <w:szCs w:val="16"/>
              </w:rPr>
              <w:t> Bulharsku jedenáct</w:t>
            </w:r>
          </w:p>
        </w:tc>
        <w:tc>
          <w:tcPr>
            <w:tcW w:w="143" w:type="pct"/>
          </w:tcPr>
          <w:p w:rsidR="00C11DAF" w:rsidRPr="00103124" w:rsidRDefault="00C11DAF" w:rsidP="0002434F">
            <w:pPr>
              <w:pStyle w:val="Textpoznpodarou"/>
              <w:jc w:val="both"/>
            </w:pPr>
          </w:p>
        </w:tc>
        <w:tc>
          <w:tcPr>
            <w:tcW w:w="3803" w:type="pct"/>
          </w:tcPr>
          <w:p w:rsidR="00C11DAF" w:rsidRPr="00103124" w:rsidRDefault="00C11DAF" w:rsidP="0002434F">
            <w:pPr>
              <w:pStyle w:val="Textpoznpodarou"/>
              <w:jc w:val="both"/>
              <w:rPr>
                <w:spacing w:val="-2"/>
              </w:rPr>
            </w:pPr>
            <w:r w:rsidRPr="00103124">
              <w:t xml:space="preserve">Podle harmonizovaného indexu spotřebitelských cen se ceny v Česku zvýšily </w:t>
            </w:r>
            <w:r w:rsidRPr="006A19EE">
              <w:rPr>
                <w:spacing w:val="-2"/>
              </w:rPr>
              <w:t>v 1. čtvrtletí 2016 proti stejnému období předchozího roku o 0,4 %. Stejný</w:t>
            </w:r>
            <w:r w:rsidRPr="00103124">
              <w:t xml:space="preserve"> přírůstek </w:t>
            </w:r>
            <w:r w:rsidRPr="006A19EE">
              <w:rPr>
                <w:spacing w:val="-2"/>
              </w:rPr>
              <w:t>si připsaly i další tři ekonomiky Unie a vyšší už pouze pět členských zemí</w:t>
            </w:r>
            <w:r w:rsidRPr="00103124">
              <w:t xml:space="preserve">. S deflací se v tomto období potýkalo dvanáct zemí osmadvacítky, </w:t>
            </w:r>
            <w:r>
              <w:t>přitom v </w:t>
            </w:r>
            <w:r w:rsidRPr="006A19EE">
              <w:rPr>
                <w:spacing w:val="-4"/>
              </w:rPr>
              <w:t>některých byla patrná</w:t>
            </w:r>
            <w:r>
              <w:rPr>
                <w:spacing w:val="-4"/>
              </w:rPr>
              <w:t xml:space="preserve"> již</w:t>
            </w:r>
            <w:r w:rsidRPr="006A19EE">
              <w:rPr>
                <w:spacing w:val="-4"/>
              </w:rPr>
              <w:t xml:space="preserve"> dlouhodobě – déle než jeden rok spotřebitelské ceny</w:t>
            </w:r>
            <w:r w:rsidRPr="00103124">
              <w:t xml:space="preserve"> klesaly v polovině těchto zemí, na Slovensku dokonce již devět čtvrtletí a v Bulharsku jedenáct. </w:t>
            </w:r>
            <w:r w:rsidRPr="00103124">
              <w:rPr>
                <w:spacing w:val="-4"/>
              </w:rPr>
              <w:t>Ceny v eurozóně i celé EU zůstaly v 1. čtvrtletí letošního roku stejné jako před</w:t>
            </w:r>
            <w:r w:rsidRPr="00103124">
              <w:t xml:space="preserve"> rokem.</w:t>
            </w:r>
          </w:p>
          <w:p w:rsidR="00C11DAF" w:rsidRPr="00103124" w:rsidRDefault="00C11DAF" w:rsidP="0002434F">
            <w:pPr>
              <w:pStyle w:val="Textpoznpodarou"/>
              <w:jc w:val="both"/>
              <w:rPr>
                <w:spacing w:val="-2"/>
                <w:sz w:val="18"/>
                <w:szCs w:val="18"/>
              </w:rPr>
            </w:pPr>
          </w:p>
        </w:tc>
      </w:tr>
      <w:tr w:rsidR="00C11DAF" w:rsidRPr="00103124" w:rsidTr="0002434F">
        <w:tc>
          <w:tcPr>
            <w:tcW w:w="1054" w:type="pct"/>
          </w:tcPr>
          <w:p w:rsidR="00C11DAF" w:rsidRPr="00103124" w:rsidRDefault="00C11DAF" w:rsidP="0002434F">
            <w:pPr>
              <w:spacing w:line="240" w:lineRule="auto"/>
              <w:rPr>
                <w:sz w:val="16"/>
                <w:szCs w:val="16"/>
              </w:rPr>
            </w:pPr>
            <w:r w:rsidRPr="00103124">
              <w:rPr>
                <w:sz w:val="16"/>
                <w:szCs w:val="16"/>
              </w:rPr>
              <w:t>Ceny průmyslových výrobců se v Česku snižují v meziročním srovnání již devět čtvrtletí a intenzita jejich poklesu se stále zvětšuje. V 1. čtvrtletí 2016 byly nižší už o 4 %</w:t>
            </w:r>
          </w:p>
        </w:tc>
        <w:tc>
          <w:tcPr>
            <w:tcW w:w="143" w:type="pct"/>
          </w:tcPr>
          <w:p w:rsidR="00C11DAF" w:rsidRPr="00103124" w:rsidRDefault="00C11DAF" w:rsidP="0002434F">
            <w:pPr>
              <w:pStyle w:val="Textpoznpodarou"/>
              <w:jc w:val="both"/>
            </w:pPr>
          </w:p>
        </w:tc>
        <w:tc>
          <w:tcPr>
            <w:tcW w:w="3803" w:type="pct"/>
          </w:tcPr>
          <w:p w:rsidR="00C11DAF" w:rsidRPr="00103124" w:rsidRDefault="00C11DAF" w:rsidP="0002434F">
            <w:pPr>
              <w:pStyle w:val="Textpoznpodarou"/>
              <w:jc w:val="both"/>
            </w:pPr>
            <w:r w:rsidRPr="00103124">
              <w:t xml:space="preserve">V cenách průmyslových výrobců se na počátku letošního roku kromě nízkých cen ropy začaly významně projevovat prohlubující se meziroční cenové poklesy v energetice a v těžbě a dobývání. Zatímco ceny ve zpracovatelském průmyslu poklesly o 4 % a tedy jen nepatrně více než odpovídalo průměru za celý rok 2015, dodávky elektřiny, plynu, páry a klimatizovaného vzduchu byly meziročně nižší o 4,1 % a ceny v těžbě a dobývání o 6,4 %. V případě energetiky se jednalo </w:t>
            </w:r>
            <w:r w:rsidRPr="00103124">
              <w:rPr>
                <w:spacing w:val="-2"/>
              </w:rPr>
              <w:t>o nejhlubší pokles cen od konce roku 2014, v těžbě a dobývání od 3. čtvrtletí</w:t>
            </w:r>
            <w:r w:rsidRPr="00103124">
              <w:t xml:space="preserve"> 2009.</w:t>
            </w:r>
          </w:p>
          <w:p w:rsidR="00C11DAF" w:rsidRPr="00103124" w:rsidRDefault="00C11DAF" w:rsidP="0002434F">
            <w:pPr>
              <w:pStyle w:val="Textpoznpodarou"/>
              <w:jc w:val="both"/>
              <w:rPr>
                <w:sz w:val="18"/>
                <w:szCs w:val="18"/>
              </w:rPr>
            </w:pPr>
          </w:p>
        </w:tc>
      </w:tr>
      <w:tr w:rsidR="00C11DAF" w:rsidRPr="00103124" w:rsidTr="0002434F">
        <w:tc>
          <w:tcPr>
            <w:tcW w:w="1054" w:type="pct"/>
          </w:tcPr>
          <w:p w:rsidR="00C11DAF" w:rsidRPr="00103124" w:rsidRDefault="00C11DAF" w:rsidP="0002434F">
            <w:pPr>
              <w:spacing w:line="240" w:lineRule="auto"/>
              <w:rPr>
                <w:sz w:val="16"/>
                <w:szCs w:val="16"/>
              </w:rPr>
            </w:pPr>
            <w:r w:rsidRPr="00103124">
              <w:rPr>
                <w:sz w:val="16"/>
                <w:szCs w:val="16"/>
              </w:rPr>
              <w:t>Kromě Malty se ceny ve zpracovatelském průmyslu snižují v celé Unii</w:t>
            </w:r>
          </w:p>
        </w:tc>
        <w:tc>
          <w:tcPr>
            <w:tcW w:w="143" w:type="pct"/>
          </w:tcPr>
          <w:p w:rsidR="00C11DAF" w:rsidRPr="00103124" w:rsidRDefault="00C11DAF" w:rsidP="0002434F">
            <w:pPr>
              <w:pStyle w:val="Textpoznpodarou"/>
              <w:jc w:val="both"/>
            </w:pPr>
          </w:p>
        </w:tc>
        <w:tc>
          <w:tcPr>
            <w:tcW w:w="3803" w:type="pct"/>
          </w:tcPr>
          <w:p w:rsidR="00C11DAF" w:rsidRPr="00103124" w:rsidRDefault="00C11DAF" w:rsidP="0002434F">
            <w:pPr>
              <w:pStyle w:val="Textpoznpodarou"/>
              <w:jc w:val="both"/>
              <w:rPr>
                <w:spacing w:val="-2"/>
              </w:rPr>
            </w:pPr>
            <w:r w:rsidRPr="00103124">
              <w:rPr>
                <w:spacing w:val="-2"/>
              </w:rPr>
              <w:t>Klesající ceny zpracovatelů jsou charakteristickým jevem prakticky pro celou Evropskou unii. V průběhu let 2013 až 2015 se deflační vývoj v této části ekonomiky rozšířil do dvaceti sedmi zemí evropského hospodářského celku. Vzdoruje mu pouze Malta. V</w:t>
            </w:r>
            <w:r>
              <w:rPr>
                <w:spacing w:val="-2"/>
              </w:rPr>
              <w:t xml:space="preserve"> zemích platících eurem i celé </w:t>
            </w:r>
            <w:r w:rsidRPr="00103124">
              <w:rPr>
                <w:spacing w:val="-2"/>
              </w:rPr>
              <w:t>U</w:t>
            </w:r>
            <w:r>
              <w:rPr>
                <w:spacing w:val="-2"/>
              </w:rPr>
              <w:t>nii</w:t>
            </w:r>
            <w:r w:rsidRPr="00103124">
              <w:rPr>
                <w:spacing w:val="-2"/>
              </w:rPr>
              <w:t xml:space="preserve"> se ceny ve zpracovatelském </w:t>
            </w:r>
            <w:r w:rsidRPr="00103124">
              <w:rPr>
                <w:spacing w:val="-6"/>
              </w:rPr>
              <w:t xml:space="preserve">průmyslu snížily v prvních třech měsících letošního roku </w:t>
            </w:r>
            <w:r w:rsidRPr="00103124">
              <w:rPr>
                <w:spacing w:val="-2"/>
              </w:rPr>
              <w:t>meziročně</w:t>
            </w:r>
            <w:r w:rsidRPr="00103124">
              <w:rPr>
                <w:spacing w:val="-6"/>
              </w:rPr>
              <w:t xml:space="preserve"> v průměru o 2,7 %</w:t>
            </w:r>
            <w:r w:rsidRPr="00103124">
              <w:rPr>
                <w:spacing w:val="-2"/>
              </w:rPr>
              <w:t>.</w:t>
            </w:r>
          </w:p>
          <w:p w:rsidR="00C11DAF" w:rsidRPr="00103124" w:rsidRDefault="00C11DAF" w:rsidP="0002434F">
            <w:pPr>
              <w:pStyle w:val="Textpoznpodarou"/>
              <w:jc w:val="both"/>
              <w:rPr>
                <w:sz w:val="18"/>
                <w:szCs w:val="18"/>
              </w:rPr>
            </w:pPr>
          </w:p>
        </w:tc>
      </w:tr>
      <w:tr w:rsidR="00C11DAF" w:rsidRPr="00103124" w:rsidTr="0002434F">
        <w:tc>
          <w:tcPr>
            <w:tcW w:w="1054" w:type="pct"/>
          </w:tcPr>
          <w:p w:rsidR="00C11DAF" w:rsidRPr="00103124" w:rsidRDefault="00C11DAF" w:rsidP="0002434F">
            <w:pPr>
              <w:spacing w:line="240" w:lineRule="auto"/>
              <w:rPr>
                <w:sz w:val="16"/>
                <w:szCs w:val="16"/>
              </w:rPr>
            </w:pPr>
            <w:r w:rsidRPr="00103124">
              <w:rPr>
                <w:sz w:val="16"/>
                <w:szCs w:val="16"/>
              </w:rPr>
              <w:t>Nadbytek produkce prasat a mléka v Evropě stlačuje jejich ceny i nadále</w:t>
            </w:r>
          </w:p>
        </w:tc>
        <w:tc>
          <w:tcPr>
            <w:tcW w:w="143" w:type="pct"/>
          </w:tcPr>
          <w:p w:rsidR="00C11DAF" w:rsidRPr="00103124" w:rsidRDefault="00C11DAF" w:rsidP="0002434F">
            <w:pPr>
              <w:pStyle w:val="Textpoznpodarou"/>
              <w:jc w:val="both"/>
            </w:pPr>
          </w:p>
        </w:tc>
        <w:tc>
          <w:tcPr>
            <w:tcW w:w="3803" w:type="pct"/>
          </w:tcPr>
          <w:p w:rsidR="00C11DAF" w:rsidRPr="00103124" w:rsidRDefault="00C11DAF" w:rsidP="0002434F">
            <w:pPr>
              <w:pStyle w:val="Textpoznpodarou"/>
              <w:jc w:val="both"/>
            </w:pPr>
            <w:r w:rsidRPr="00103124">
              <w:t xml:space="preserve">Po mírném meziročním růstu cen zemědělských výrobců (vč. ryb) na sklonku </w:t>
            </w:r>
            <w:r w:rsidRPr="00103124">
              <w:rPr>
                <w:spacing w:val="-2"/>
              </w:rPr>
              <w:t>loňského roku, ke kterému došlo poprvé po osmi čtvrtletích, se ceny</w:t>
            </w:r>
            <w:r w:rsidRPr="00103124">
              <w:t xml:space="preserve"> v zemědělství začaly opět snižovat. V 1. čtvrtletí 2016 poklesly o 2,9 %. Ceny rostlinné výroby si udržely pozitivní tempo růstu, avšak zpomalily na 3,9 %, a právě tento vývoj byl příčinou opětovného poklesu cen zemědělských výrobců. Ceny živočišné výroby </w:t>
            </w:r>
            <w:r w:rsidRPr="00103124">
              <w:rPr>
                <w:spacing w:val="-2"/>
              </w:rPr>
              <w:t>byly v porovnání se stejným obdobím předchozího roku nižší o 9,5 %.</w:t>
            </w:r>
            <w:r w:rsidRPr="00103124">
              <w:t xml:space="preserve"> Hospodářská zvířata se vykupovala za ceny nižší o 3,6 % (z toho jatečná prasata o 7,4 %) a živočišné výrobky byly levnější o 15,2 % (z toho mléko o 15,9 %). Průměrná cena jednoho litru mléka dosahovala v tomto období 7,30 korun a v porovnání s průměrnou cenou v roce 2014 (9,50 korun) byla nižší o 23,2 %.</w:t>
            </w:r>
          </w:p>
          <w:p w:rsidR="00C11DAF" w:rsidRPr="00103124" w:rsidRDefault="00C11DAF" w:rsidP="0002434F">
            <w:pPr>
              <w:pStyle w:val="Textpoznpodarou"/>
              <w:jc w:val="both"/>
              <w:rPr>
                <w:sz w:val="18"/>
                <w:szCs w:val="18"/>
              </w:rPr>
            </w:pPr>
          </w:p>
        </w:tc>
      </w:tr>
      <w:tr w:rsidR="00C11DAF" w:rsidRPr="00103124" w:rsidTr="0002434F">
        <w:tc>
          <w:tcPr>
            <w:tcW w:w="1054" w:type="pct"/>
          </w:tcPr>
          <w:p w:rsidR="00C11DAF" w:rsidRPr="00103124" w:rsidRDefault="00C11DAF" w:rsidP="0002434F">
            <w:pPr>
              <w:spacing w:line="240" w:lineRule="auto"/>
              <w:rPr>
                <w:sz w:val="16"/>
                <w:szCs w:val="16"/>
              </w:rPr>
            </w:pPr>
            <w:r w:rsidRPr="00103124">
              <w:rPr>
                <w:sz w:val="16"/>
                <w:szCs w:val="16"/>
              </w:rPr>
              <w:t>Růst cen stavebních prací pokračuje a spolu s ním se nadále snižují ceny materiálových vstupů i celkové náklady stavební výroby</w:t>
            </w:r>
          </w:p>
        </w:tc>
        <w:tc>
          <w:tcPr>
            <w:tcW w:w="143" w:type="pct"/>
          </w:tcPr>
          <w:p w:rsidR="00C11DAF" w:rsidRPr="00103124" w:rsidRDefault="00C11DAF" w:rsidP="0002434F">
            <w:pPr>
              <w:pStyle w:val="Textpoznpodarou"/>
              <w:jc w:val="both"/>
            </w:pPr>
          </w:p>
        </w:tc>
        <w:tc>
          <w:tcPr>
            <w:tcW w:w="3803" w:type="pct"/>
          </w:tcPr>
          <w:p w:rsidR="00C11DAF" w:rsidRPr="00103124" w:rsidRDefault="00C11DAF" w:rsidP="0002434F">
            <w:pPr>
              <w:pStyle w:val="Textpoznpodarou"/>
              <w:jc w:val="both"/>
            </w:pPr>
            <w:r w:rsidRPr="00103124">
              <w:t>Ceny stavebních prací potvrdily v 1. čtvrtletí letošního roku meziroční růst započatý již ve 2. čtvrtletí 2014 a zvýšily se o 1,3 %. Ceny bytových budov stouply o 1,1 %, ceny nebytových budov a inženýrských děl byly v meziročním srovnání vyšší shodně o 1,3 %. Z pohledu stavebních firem se jevilo příznivě, že stejně jako v loňském roce docházelo při růstu cen stavebních prací ke snižování cen materiálových vstupů (v 1. čtvrtletí 2016 o 1,4 %) a rovněž celkových nákladů stavební výroby (také o 1,4 %).</w:t>
            </w:r>
          </w:p>
          <w:p w:rsidR="00C11DAF" w:rsidRPr="00103124" w:rsidRDefault="00C11DAF" w:rsidP="0002434F">
            <w:pPr>
              <w:pStyle w:val="Textpoznpodarou"/>
              <w:jc w:val="both"/>
              <w:rPr>
                <w:sz w:val="18"/>
                <w:szCs w:val="18"/>
              </w:rPr>
            </w:pPr>
          </w:p>
        </w:tc>
      </w:tr>
      <w:tr w:rsidR="00C11DAF" w:rsidRPr="00103124" w:rsidTr="0002434F">
        <w:tc>
          <w:tcPr>
            <w:tcW w:w="1054" w:type="pct"/>
          </w:tcPr>
          <w:p w:rsidR="00C11DAF" w:rsidRPr="00103124" w:rsidRDefault="00C11DAF" w:rsidP="0002434F">
            <w:pPr>
              <w:spacing w:line="240" w:lineRule="auto"/>
              <w:rPr>
                <w:sz w:val="16"/>
                <w:szCs w:val="16"/>
              </w:rPr>
            </w:pPr>
            <w:r w:rsidRPr="00103124">
              <w:rPr>
                <w:sz w:val="16"/>
                <w:szCs w:val="16"/>
              </w:rPr>
              <w:t>Ceny tržních služeb se v meziročním srovnání mírně snižují už tři čtvrtletí</w:t>
            </w:r>
          </w:p>
        </w:tc>
        <w:tc>
          <w:tcPr>
            <w:tcW w:w="143" w:type="pct"/>
          </w:tcPr>
          <w:p w:rsidR="00C11DAF" w:rsidRPr="00103124" w:rsidRDefault="00C11DAF" w:rsidP="0002434F">
            <w:pPr>
              <w:pStyle w:val="Textpoznpodarou"/>
              <w:jc w:val="both"/>
            </w:pPr>
          </w:p>
        </w:tc>
        <w:tc>
          <w:tcPr>
            <w:tcW w:w="3803" w:type="pct"/>
          </w:tcPr>
          <w:p w:rsidR="00C11DAF" w:rsidRPr="00103124" w:rsidRDefault="00C11DAF" w:rsidP="0002434F">
            <w:pPr>
              <w:pStyle w:val="Textpoznpodarou"/>
              <w:jc w:val="both"/>
            </w:pPr>
            <w:r w:rsidRPr="00103124">
              <w:rPr>
                <w:spacing w:val="-2"/>
              </w:rPr>
              <w:t>Ceny tržních služeb v podnikatelské sféře se v 1. čtvrtletí 2016 snížily oproti stejnému období předchozího roku o 0,1 % a cenový vývoj v tomto segmentu tak odpovídal mírné deflaci již třetí čtvrtletí. Levnější pohonné hmoty se odrážely v nižších cenách pozemní a potrubní dopravy (1,3 %), podstatnou měrou se na poklesu cen tržních služeb podílely i snižující se ceny neživotního pojištění (3,1 %). Hlubší deflaci bránil především silný nárůst cen architektonických a inženýrských služeb (o 3,3 %) související s loňskou nízkou srovnávací základnou.</w:t>
            </w:r>
          </w:p>
          <w:p w:rsidR="00C11DAF" w:rsidRPr="00103124" w:rsidRDefault="00C11DAF" w:rsidP="0002434F">
            <w:pPr>
              <w:pStyle w:val="Textpoznpodarou"/>
              <w:jc w:val="both"/>
              <w:rPr>
                <w:sz w:val="18"/>
                <w:szCs w:val="18"/>
              </w:rPr>
            </w:pPr>
          </w:p>
        </w:tc>
      </w:tr>
      <w:tr w:rsidR="00C11DAF" w:rsidRPr="00103124" w:rsidTr="0002434F">
        <w:tc>
          <w:tcPr>
            <w:tcW w:w="1054" w:type="pct"/>
          </w:tcPr>
          <w:p w:rsidR="00C11DAF" w:rsidRPr="00103124" w:rsidRDefault="00C11DAF" w:rsidP="0002434F">
            <w:pPr>
              <w:spacing w:line="240" w:lineRule="auto"/>
              <w:rPr>
                <w:sz w:val="16"/>
                <w:szCs w:val="16"/>
              </w:rPr>
            </w:pPr>
            <w:r>
              <w:rPr>
                <w:sz w:val="16"/>
                <w:szCs w:val="16"/>
              </w:rPr>
              <w:t>Meziroční k</w:t>
            </w:r>
            <w:r w:rsidRPr="00103124">
              <w:rPr>
                <w:sz w:val="16"/>
                <w:szCs w:val="16"/>
              </w:rPr>
              <w:t xml:space="preserve">urzový vývoj české koruny </w:t>
            </w:r>
            <w:r>
              <w:rPr>
                <w:sz w:val="16"/>
                <w:szCs w:val="16"/>
              </w:rPr>
              <w:t xml:space="preserve">působil </w:t>
            </w:r>
            <w:r w:rsidRPr="00103124">
              <w:rPr>
                <w:sz w:val="16"/>
                <w:szCs w:val="16"/>
              </w:rPr>
              <w:t>v 1.</w:t>
            </w:r>
            <w:r>
              <w:rPr>
                <w:sz w:val="16"/>
                <w:szCs w:val="16"/>
              </w:rPr>
              <w:t> </w:t>
            </w:r>
            <w:r w:rsidRPr="00103124">
              <w:rPr>
                <w:sz w:val="16"/>
                <w:szCs w:val="16"/>
              </w:rPr>
              <w:t>čtvrtletí 2016 především ve směru poklesu cen vývozu</w:t>
            </w:r>
          </w:p>
        </w:tc>
        <w:tc>
          <w:tcPr>
            <w:tcW w:w="143" w:type="pct"/>
          </w:tcPr>
          <w:p w:rsidR="00C11DAF" w:rsidRPr="00103124" w:rsidRDefault="00C11DAF" w:rsidP="0002434F">
            <w:pPr>
              <w:pStyle w:val="Textpoznpodarou"/>
              <w:jc w:val="both"/>
            </w:pPr>
          </w:p>
        </w:tc>
        <w:tc>
          <w:tcPr>
            <w:tcW w:w="3803" w:type="pct"/>
          </w:tcPr>
          <w:p w:rsidR="00C11DAF" w:rsidRPr="00103124" w:rsidRDefault="00C11DAF" w:rsidP="0002434F">
            <w:pPr>
              <w:pStyle w:val="Textpoznpodarou"/>
              <w:jc w:val="both"/>
            </w:pPr>
            <w:r w:rsidRPr="00103124">
              <w:t>Vůči euru posílila česká koruna v 1. čtvrtletí 2016  o 2,1 % meziročně, americký dolar se na devizovém trhu obchodoval na stejné hladině jako před rokem. Kurzový vývoj tak tlačil na pokles cen vývozu i dovozu, avšak vzhledem k výraznějšímu zastoupení eurových obchodů na vývozu v porovnání s dovozem byl jeho vliv větší právě na aktivní straně zahraničního obchodu České republiky.</w:t>
            </w:r>
          </w:p>
          <w:p w:rsidR="00C11DAF" w:rsidRPr="00103124" w:rsidRDefault="00C11DAF" w:rsidP="0002434F">
            <w:pPr>
              <w:pStyle w:val="Textpoznpodarou"/>
              <w:jc w:val="both"/>
              <w:rPr>
                <w:spacing w:val="-2"/>
                <w:sz w:val="18"/>
                <w:szCs w:val="18"/>
              </w:rPr>
            </w:pPr>
          </w:p>
        </w:tc>
      </w:tr>
      <w:tr w:rsidR="00C11DAF" w:rsidRPr="00103124" w:rsidTr="0002434F">
        <w:tc>
          <w:tcPr>
            <w:tcW w:w="1054" w:type="pct"/>
          </w:tcPr>
          <w:p w:rsidR="00C11DAF" w:rsidRPr="00103124" w:rsidRDefault="00C11DAF" w:rsidP="0002434F">
            <w:pPr>
              <w:spacing w:line="240" w:lineRule="auto"/>
              <w:rPr>
                <w:sz w:val="16"/>
                <w:szCs w:val="16"/>
              </w:rPr>
            </w:pPr>
            <w:r w:rsidRPr="00103124">
              <w:rPr>
                <w:sz w:val="16"/>
                <w:szCs w:val="16"/>
              </w:rPr>
              <w:t>Ceny vývozu zboží nižší o 4,2 %, …</w:t>
            </w:r>
          </w:p>
        </w:tc>
        <w:tc>
          <w:tcPr>
            <w:tcW w:w="143" w:type="pct"/>
          </w:tcPr>
          <w:p w:rsidR="00C11DAF" w:rsidRPr="00103124" w:rsidRDefault="00C11DAF" w:rsidP="0002434F">
            <w:pPr>
              <w:pStyle w:val="Textpoznpodarou"/>
              <w:jc w:val="both"/>
            </w:pPr>
          </w:p>
        </w:tc>
        <w:tc>
          <w:tcPr>
            <w:tcW w:w="3803" w:type="pct"/>
          </w:tcPr>
          <w:p w:rsidR="00C11DAF" w:rsidRPr="00103124" w:rsidRDefault="00C11DAF" w:rsidP="0002434F">
            <w:pPr>
              <w:pStyle w:val="Textpoznpodarou"/>
              <w:jc w:val="both"/>
            </w:pPr>
            <w:r w:rsidRPr="00103124">
              <w:t xml:space="preserve">Ceny vývozu zboží poklesly v 1. čtvrtletí 2016 o 4,2 % meziročně, nejvýrazněji od prvních tří měsíců roku 2010. Levnější byly všechny třídy SITC s výjimkou </w:t>
            </w:r>
            <w:r w:rsidRPr="00103124">
              <w:rPr>
                <w:spacing w:val="-2"/>
              </w:rPr>
              <w:lastRenderedPageBreak/>
              <w:t>nápojů a tabáku a živočišných a rostlinných olejů. Exportní ceny strojů a</w:t>
            </w:r>
            <w:r w:rsidRPr="00103124">
              <w:t xml:space="preserve"> dopravních prostředků poklesly o 2,6 % (z toho samotných silničních vozidel také o 2,6 %), polotovarů o 6,1 % a průmyslového spotřebního zboží o 1,9 %. Pokles cen ropy a ropných produktů a rovněž elektrické energie podstatně srážel vývozní ceny minerálních paliv (19 %).</w:t>
            </w:r>
          </w:p>
          <w:p w:rsidR="00C11DAF" w:rsidRPr="00103124" w:rsidRDefault="00C11DAF" w:rsidP="0002434F">
            <w:pPr>
              <w:pStyle w:val="Textpoznpodarou"/>
              <w:jc w:val="both"/>
              <w:rPr>
                <w:sz w:val="16"/>
                <w:szCs w:val="16"/>
              </w:rPr>
            </w:pPr>
          </w:p>
        </w:tc>
      </w:tr>
      <w:tr w:rsidR="00C11DAF" w:rsidRPr="00103124" w:rsidTr="0002434F">
        <w:tc>
          <w:tcPr>
            <w:tcW w:w="1054" w:type="pct"/>
          </w:tcPr>
          <w:p w:rsidR="00C11DAF" w:rsidRPr="00103124" w:rsidRDefault="00C11DAF" w:rsidP="0002434F">
            <w:pPr>
              <w:spacing w:line="240" w:lineRule="auto"/>
              <w:rPr>
                <w:sz w:val="16"/>
                <w:szCs w:val="16"/>
              </w:rPr>
            </w:pPr>
            <w:r w:rsidRPr="00103124">
              <w:rPr>
                <w:sz w:val="16"/>
                <w:szCs w:val="16"/>
              </w:rPr>
              <w:lastRenderedPageBreak/>
              <w:t>…dovozní ceny</w:t>
            </w:r>
            <w:r>
              <w:rPr>
                <w:sz w:val="16"/>
                <w:szCs w:val="16"/>
              </w:rPr>
              <w:t xml:space="preserve"> se</w:t>
            </w:r>
            <w:r w:rsidRPr="00103124">
              <w:rPr>
                <w:sz w:val="16"/>
                <w:szCs w:val="16"/>
              </w:rPr>
              <w:t xml:space="preserve"> propadly dokonce o</w:t>
            </w:r>
            <w:r>
              <w:rPr>
                <w:sz w:val="16"/>
                <w:szCs w:val="16"/>
              </w:rPr>
              <w:t> </w:t>
            </w:r>
            <w:r w:rsidRPr="00103124">
              <w:rPr>
                <w:sz w:val="16"/>
                <w:szCs w:val="16"/>
              </w:rPr>
              <w:t>5,6</w:t>
            </w:r>
            <w:r>
              <w:rPr>
                <w:sz w:val="16"/>
                <w:szCs w:val="16"/>
              </w:rPr>
              <w:t> </w:t>
            </w:r>
            <w:r w:rsidRPr="00103124">
              <w:rPr>
                <w:sz w:val="16"/>
                <w:szCs w:val="16"/>
              </w:rPr>
              <w:t>%. V prvním případě se jednalo o nejsilnější pokles cen za posledních šest let, ve druhém za šest let a čtvrt</w:t>
            </w:r>
          </w:p>
        </w:tc>
        <w:tc>
          <w:tcPr>
            <w:tcW w:w="143" w:type="pct"/>
          </w:tcPr>
          <w:p w:rsidR="00C11DAF" w:rsidRPr="00103124" w:rsidRDefault="00C11DAF" w:rsidP="0002434F">
            <w:pPr>
              <w:pStyle w:val="Textpoznpodarou"/>
              <w:jc w:val="both"/>
            </w:pPr>
          </w:p>
        </w:tc>
        <w:tc>
          <w:tcPr>
            <w:tcW w:w="3803" w:type="pct"/>
          </w:tcPr>
          <w:p w:rsidR="00C11DAF" w:rsidRPr="00103124" w:rsidRDefault="00C11DAF" w:rsidP="0002434F">
            <w:pPr>
              <w:pStyle w:val="Textpoznpodarou"/>
              <w:jc w:val="both"/>
            </w:pPr>
            <w:r w:rsidRPr="00103124">
              <w:t>Dovozní ceny zboží</w:t>
            </w:r>
            <w:r>
              <w:t xml:space="preserve"> se</w:t>
            </w:r>
            <w:r w:rsidRPr="00103124">
              <w:t xml:space="preserve"> propadly podle dat z prvních tří měsíců roku 2016 proti stejnému období loňského roku o 5,6 %. Šlo o nejhlubší pokles cen dovozu od posledního čtvrtletí 2009. Za nižší ceny se do České republiky dovážela minerální paliva (jejich ceny klesly téměř o třetinu) a rovněž všechny další komodity tříděné podle nomenklatury SITC kromě živočišných a rostlinných olejů. Mezi posledním čtvrtletím loňského roku a 1. čtvrtletím 2016 se meziroční pokles dovozních cen prohloubil o 1,8 p.b. – zčásti v důsledku hlubšího poklesu cen minerálních paliv a polotovarů, zčásti vlivem započatého poklesu cen strojů </w:t>
            </w:r>
            <w:r w:rsidRPr="00103124">
              <w:rPr>
                <w:spacing w:val="-4"/>
              </w:rPr>
              <w:t>a dopravních prostředků, průmyslového spotřebního zboží a potravin a živých</w:t>
            </w:r>
            <w:r w:rsidRPr="00103124">
              <w:t xml:space="preserve"> zvířat.</w:t>
            </w:r>
          </w:p>
          <w:p w:rsidR="00C11DAF" w:rsidRPr="00103124" w:rsidRDefault="00C11DAF" w:rsidP="0002434F">
            <w:pPr>
              <w:pStyle w:val="Textpoznpodarou"/>
              <w:jc w:val="both"/>
              <w:rPr>
                <w:sz w:val="16"/>
                <w:szCs w:val="16"/>
              </w:rPr>
            </w:pPr>
          </w:p>
        </w:tc>
      </w:tr>
      <w:tr w:rsidR="00C11DAF" w:rsidRPr="00103124" w:rsidTr="0002434F">
        <w:tc>
          <w:tcPr>
            <w:tcW w:w="1054" w:type="pct"/>
          </w:tcPr>
          <w:p w:rsidR="00C11DAF" w:rsidRPr="00103124" w:rsidRDefault="00C11DAF" w:rsidP="0002434F">
            <w:pPr>
              <w:spacing w:line="240" w:lineRule="auto"/>
              <w:rPr>
                <w:sz w:val="16"/>
                <w:szCs w:val="16"/>
              </w:rPr>
            </w:pPr>
            <w:r w:rsidRPr="00103124">
              <w:rPr>
                <w:sz w:val="16"/>
                <w:szCs w:val="16"/>
              </w:rPr>
              <w:t xml:space="preserve">Směnné relace v zahraničním obchodě se zbožím přetrvaly pozitivní i na počátku nového roku </w:t>
            </w:r>
          </w:p>
        </w:tc>
        <w:tc>
          <w:tcPr>
            <w:tcW w:w="143" w:type="pct"/>
          </w:tcPr>
          <w:p w:rsidR="00C11DAF" w:rsidRPr="00103124" w:rsidRDefault="00C11DAF" w:rsidP="0002434F">
            <w:pPr>
              <w:pStyle w:val="Textpoznpodarou"/>
              <w:jc w:val="both"/>
            </w:pPr>
          </w:p>
        </w:tc>
        <w:tc>
          <w:tcPr>
            <w:tcW w:w="3803" w:type="pct"/>
          </w:tcPr>
          <w:p w:rsidR="00C11DAF" w:rsidRPr="00103124" w:rsidRDefault="00C11DAF" w:rsidP="0002434F">
            <w:pPr>
              <w:pStyle w:val="Textpoznpodarou"/>
              <w:jc w:val="both"/>
            </w:pPr>
            <w:r w:rsidRPr="00103124">
              <w:t>Silnější meziroční snížení cen dovozu zboží v porovnání s poklesem cen vývozu se odrazilo v pozitivních směnných relacích. Dosáhly hodnoty 101,5 % a v kladném pásmu se pohybovaly druhé čtvrtletí. Pokud jde o jednotlivé třídy SITC, na kladných směnných relacích participoval zejména obchod s minerálními palivy. Při meziročně stabilním kurzu kor</w:t>
            </w:r>
            <w:r w:rsidR="00C53CDB">
              <w:t>uny by směnné relace byly</w:t>
            </w:r>
            <w:r w:rsidRPr="00103124">
              <w:t xml:space="preserve"> mírně vyšší, dosáhly by hodnoty 101,8 %.</w:t>
            </w:r>
          </w:p>
        </w:tc>
      </w:tr>
    </w:tbl>
    <w:p w:rsidR="00ED3A94" w:rsidRPr="00C11DAF" w:rsidRDefault="00ED3A94" w:rsidP="007C605B">
      <w:pPr>
        <w:rPr>
          <w:sz w:val="18"/>
          <w:szCs w:val="18"/>
        </w:rPr>
      </w:pPr>
    </w:p>
    <w:tbl>
      <w:tblPr>
        <w:tblW w:w="5000" w:type="pct"/>
        <w:tblLook w:val="04A0"/>
      </w:tblPr>
      <w:tblGrid>
        <w:gridCol w:w="1105"/>
        <w:gridCol w:w="3822"/>
        <w:gridCol w:w="1135"/>
        <w:gridCol w:w="3792"/>
      </w:tblGrid>
      <w:tr w:rsidR="00C11DAF" w:rsidRPr="00103124" w:rsidTr="0002434F">
        <w:tc>
          <w:tcPr>
            <w:tcW w:w="560" w:type="pct"/>
          </w:tcPr>
          <w:p w:rsidR="00C11DAF" w:rsidRPr="00103124" w:rsidRDefault="00C11DAF" w:rsidP="0002434F">
            <w:pPr>
              <w:pStyle w:val="Textpoznpodarou"/>
            </w:pPr>
            <w:r w:rsidRPr="00103124">
              <w:t>Graf č. 11</w:t>
            </w:r>
          </w:p>
        </w:tc>
        <w:tc>
          <w:tcPr>
            <w:tcW w:w="1940" w:type="pct"/>
          </w:tcPr>
          <w:p w:rsidR="00C11DAF" w:rsidRPr="00103124" w:rsidRDefault="00C11DAF" w:rsidP="0002434F">
            <w:pPr>
              <w:pStyle w:val="Textpoznpodarou"/>
            </w:pPr>
            <w:r w:rsidRPr="00103124">
              <w:rPr>
                <w:b/>
              </w:rPr>
              <w:t>Spotřebitelské ceny jednotlivých typů domácností</w:t>
            </w:r>
            <w:r w:rsidRPr="00103124">
              <w:t xml:space="preserve"> (y/y v %)</w:t>
            </w:r>
          </w:p>
        </w:tc>
        <w:tc>
          <w:tcPr>
            <w:tcW w:w="576" w:type="pct"/>
          </w:tcPr>
          <w:p w:rsidR="00C11DAF" w:rsidRPr="00103124" w:rsidRDefault="00C11DAF" w:rsidP="0002434F">
            <w:pPr>
              <w:pStyle w:val="Textpoznpodarou"/>
            </w:pPr>
            <w:r w:rsidRPr="00103124">
              <w:t>Graf č. 12</w:t>
            </w:r>
          </w:p>
        </w:tc>
        <w:tc>
          <w:tcPr>
            <w:tcW w:w="1924" w:type="pct"/>
          </w:tcPr>
          <w:p w:rsidR="00C11DAF" w:rsidRPr="00103124" w:rsidRDefault="00C11DAF" w:rsidP="0002434F">
            <w:pPr>
              <w:pStyle w:val="Textpoznpodarou"/>
            </w:pPr>
            <w:r w:rsidRPr="00103124">
              <w:rPr>
                <w:b/>
              </w:rPr>
              <w:t>Ceny ve vybraných oddílech indexu spotřebitelských cen</w:t>
            </w:r>
            <w:r w:rsidRPr="00103124">
              <w:t xml:space="preserve"> (y/y v %)</w:t>
            </w:r>
          </w:p>
        </w:tc>
      </w:tr>
      <w:tr w:rsidR="00C11DAF" w:rsidRPr="00103124" w:rsidTr="0002434F">
        <w:tc>
          <w:tcPr>
            <w:tcW w:w="2499" w:type="pct"/>
            <w:gridSpan w:val="2"/>
          </w:tcPr>
          <w:p w:rsidR="00C11DAF" w:rsidRPr="00103124" w:rsidRDefault="00CE505D" w:rsidP="0002434F">
            <w:pPr>
              <w:pStyle w:val="Textpoznpodarou"/>
              <w:jc w:val="both"/>
            </w:pPr>
            <w:r>
              <w:rPr>
                <w:noProof/>
              </w:rPr>
              <w:pict>
                <v:shape id="_x0000_i1035" type="#_x0000_t75" style="width:236.65pt;height:187.2pt;visibility:visible;mso-wrap-style:square">
                  <v:imagedata r:id="rId22" o:title=""/>
                </v:shape>
              </w:pict>
            </w:r>
          </w:p>
        </w:tc>
        <w:tc>
          <w:tcPr>
            <w:tcW w:w="2501" w:type="pct"/>
            <w:gridSpan w:val="2"/>
          </w:tcPr>
          <w:p w:rsidR="00C11DAF" w:rsidRPr="00103124" w:rsidRDefault="00CE505D" w:rsidP="0002434F">
            <w:pPr>
              <w:pStyle w:val="Textpoznpodarou"/>
              <w:jc w:val="both"/>
            </w:pPr>
            <w:r>
              <w:rPr>
                <w:noProof/>
              </w:rPr>
              <w:pict>
                <v:shape id="_x0000_i1036" type="#_x0000_t75" style="width:236.65pt;height:187.2pt;visibility:visible;mso-wrap-style:square">
                  <v:imagedata r:id="rId23" o:title=""/>
                </v:shape>
              </w:pict>
            </w:r>
          </w:p>
        </w:tc>
      </w:tr>
      <w:tr w:rsidR="00C11DAF" w:rsidRPr="00103124" w:rsidTr="0002434F">
        <w:tc>
          <w:tcPr>
            <w:tcW w:w="5000" w:type="pct"/>
            <w:gridSpan w:val="4"/>
          </w:tcPr>
          <w:p w:rsidR="00C11DAF" w:rsidRPr="00103124" w:rsidRDefault="00C11DAF" w:rsidP="0002434F">
            <w:pPr>
              <w:pStyle w:val="Textpoznpodarou"/>
              <w:jc w:val="right"/>
              <w:rPr>
                <w:noProof/>
              </w:rPr>
            </w:pPr>
            <w:r w:rsidRPr="00103124">
              <w:rPr>
                <w:sz w:val="18"/>
                <w:szCs w:val="18"/>
              </w:rPr>
              <w:t>Zdroj: ČSÚ</w:t>
            </w:r>
          </w:p>
        </w:tc>
      </w:tr>
    </w:tbl>
    <w:p w:rsidR="00ED3A94" w:rsidRPr="00C11DAF" w:rsidRDefault="00ED3A94" w:rsidP="007C605B">
      <w:pPr>
        <w:rPr>
          <w:sz w:val="16"/>
          <w:szCs w:val="16"/>
        </w:rPr>
      </w:pPr>
    </w:p>
    <w:tbl>
      <w:tblPr>
        <w:tblW w:w="5000" w:type="pct"/>
        <w:tblLook w:val="04A0"/>
      </w:tblPr>
      <w:tblGrid>
        <w:gridCol w:w="1103"/>
        <w:gridCol w:w="3812"/>
        <w:gridCol w:w="712"/>
        <w:gridCol w:w="4227"/>
      </w:tblGrid>
      <w:tr w:rsidR="00C11DAF" w:rsidRPr="00103124" w:rsidTr="0002434F">
        <w:tc>
          <w:tcPr>
            <w:tcW w:w="560" w:type="pct"/>
          </w:tcPr>
          <w:p w:rsidR="00C11DAF" w:rsidRPr="001E73A5" w:rsidRDefault="00C11DAF" w:rsidP="0002434F">
            <w:pPr>
              <w:pStyle w:val="Textpoznpodarou"/>
              <w:rPr>
                <w:lang w:eastAsia="en-US"/>
              </w:rPr>
            </w:pPr>
            <w:r w:rsidRPr="001E73A5">
              <w:rPr>
                <w:lang w:eastAsia="en-US"/>
              </w:rPr>
              <w:t>Graf č. 13</w:t>
            </w:r>
          </w:p>
        </w:tc>
        <w:tc>
          <w:tcPr>
            <w:tcW w:w="1940" w:type="pct"/>
          </w:tcPr>
          <w:p w:rsidR="00C11DAF" w:rsidRPr="00103124" w:rsidRDefault="00C11DAF" w:rsidP="0002434F">
            <w:pPr>
              <w:pStyle w:val="Textpoznpodarou"/>
              <w:rPr>
                <w:color w:val="FF0000"/>
                <w:lang w:eastAsia="en-US"/>
              </w:rPr>
            </w:pPr>
            <w:r w:rsidRPr="001E73A5">
              <w:rPr>
                <w:b/>
                <w:lang w:eastAsia="en-US"/>
              </w:rPr>
              <w:t>Deflátory</w:t>
            </w:r>
            <w:r w:rsidRPr="001E73A5">
              <w:rPr>
                <w:lang w:eastAsia="en-US"/>
              </w:rPr>
              <w:t xml:space="preserve"> (bez očištění o sezónní a kalendářní vlivy, y/y v %)</w:t>
            </w:r>
          </w:p>
        </w:tc>
        <w:tc>
          <w:tcPr>
            <w:tcW w:w="360" w:type="pct"/>
          </w:tcPr>
          <w:p w:rsidR="00C11DAF" w:rsidRPr="00103124" w:rsidRDefault="00C11DAF" w:rsidP="0002434F">
            <w:pPr>
              <w:pStyle w:val="Textpoznpodarou"/>
              <w:rPr>
                <w:lang w:eastAsia="en-US"/>
              </w:rPr>
            </w:pPr>
            <w:r w:rsidRPr="00103124">
              <w:rPr>
                <w:lang w:eastAsia="en-US"/>
              </w:rPr>
              <w:t>Graf č. 14</w:t>
            </w:r>
          </w:p>
        </w:tc>
        <w:tc>
          <w:tcPr>
            <w:tcW w:w="2140" w:type="pct"/>
          </w:tcPr>
          <w:p w:rsidR="00C11DAF" w:rsidRPr="00103124" w:rsidRDefault="00C11DAF" w:rsidP="0002434F">
            <w:pPr>
              <w:pStyle w:val="Textpoznpodarou"/>
              <w:rPr>
                <w:lang w:eastAsia="en-US"/>
              </w:rPr>
            </w:pPr>
            <w:r w:rsidRPr="00103124">
              <w:rPr>
                <w:b/>
                <w:lang w:eastAsia="en-US"/>
              </w:rPr>
              <w:t>Ceny výrobců</w:t>
            </w:r>
            <w:r w:rsidRPr="00103124">
              <w:rPr>
                <w:lang w:eastAsia="en-US"/>
              </w:rPr>
              <w:t xml:space="preserve"> (y/y v %, ceny zemědělských výrobců na pravé ose, ostatní na levé ose)</w:t>
            </w:r>
          </w:p>
        </w:tc>
      </w:tr>
      <w:tr w:rsidR="00C11DAF" w:rsidRPr="00103124" w:rsidTr="0002434F">
        <w:tc>
          <w:tcPr>
            <w:tcW w:w="2500" w:type="pct"/>
            <w:gridSpan w:val="2"/>
          </w:tcPr>
          <w:p w:rsidR="00C11DAF" w:rsidRPr="00103124" w:rsidRDefault="00CE505D" w:rsidP="0002434F">
            <w:pPr>
              <w:pStyle w:val="Textpoznpodarou"/>
              <w:jc w:val="both"/>
              <w:rPr>
                <w:lang w:eastAsia="en-US"/>
              </w:rPr>
            </w:pPr>
            <w:r>
              <w:rPr>
                <w:noProof/>
              </w:rPr>
              <w:pict>
                <v:shape id="_x0000_i1037" type="#_x0000_t75" style="width:236.65pt;height:187.2pt;visibility:visible;mso-wrap-style:square">
                  <v:imagedata r:id="rId24" o:title=""/>
                </v:shape>
              </w:pict>
            </w:r>
          </w:p>
        </w:tc>
        <w:tc>
          <w:tcPr>
            <w:tcW w:w="2500" w:type="pct"/>
            <w:gridSpan w:val="2"/>
          </w:tcPr>
          <w:p w:rsidR="00C11DAF" w:rsidRPr="00103124" w:rsidRDefault="00CE505D" w:rsidP="0002434F">
            <w:pPr>
              <w:pStyle w:val="Textpoznpodarou"/>
              <w:jc w:val="both"/>
              <w:rPr>
                <w:lang w:eastAsia="en-US"/>
              </w:rPr>
            </w:pPr>
            <w:r>
              <w:rPr>
                <w:noProof/>
              </w:rPr>
              <w:pict>
                <v:shape id="_x0000_i1038" type="#_x0000_t75" style="width:237.9pt;height:187.2pt;visibility:visible;mso-wrap-style:square">
                  <v:imagedata r:id="rId25" o:title=""/>
                </v:shape>
              </w:pict>
            </w:r>
          </w:p>
        </w:tc>
      </w:tr>
      <w:tr w:rsidR="00C11DAF" w:rsidRPr="00103124" w:rsidTr="0002434F">
        <w:tc>
          <w:tcPr>
            <w:tcW w:w="5000" w:type="pct"/>
            <w:gridSpan w:val="4"/>
          </w:tcPr>
          <w:p w:rsidR="00C11DAF" w:rsidRPr="00103124" w:rsidRDefault="00C11DAF" w:rsidP="0002434F">
            <w:pPr>
              <w:pStyle w:val="Textpoznpodarou"/>
              <w:jc w:val="right"/>
              <w:rPr>
                <w:sz w:val="18"/>
                <w:szCs w:val="18"/>
                <w:lang w:eastAsia="en-US"/>
              </w:rPr>
            </w:pPr>
            <w:r w:rsidRPr="00103124">
              <w:rPr>
                <w:sz w:val="18"/>
                <w:szCs w:val="18"/>
                <w:lang w:eastAsia="en-US"/>
              </w:rPr>
              <w:t>Zdroj: ČSÚ</w:t>
            </w:r>
          </w:p>
        </w:tc>
      </w:tr>
    </w:tbl>
    <w:p w:rsidR="00ED3A94" w:rsidRPr="00C11DAF" w:rsidRDefault="00ED3A94" w:rsidP="007C605B">
      <w:pPr>
        <w:rPr>
          <w:sz w:val="2"/>
          <w:szCs w:val="2"/>
        </w:rPr>
      </w:pPr>
    </w:p>
    <w:p w:rsidR="007D4281" w:rsidRPr="000732DB" w:rsidRDefault="007D4281" w:rsidP="006D142E">
      <w:pPr>
        <w:pStyle w:val="Nadpis1"/>
        <w:numPr>
          <w:ilvl w:val="0"/>
          <w:numId w:val="3"/>
        </w:numPr>
        <w:jc w:val="both"/>
      </w:pPr>
      <w:bookmarkStart w:id="8" w:name="_Toc454185153"/>
      <w:r>
        <w:t>Trh práce</w:t>
      </w:r>
      <w:bookmarkEnd w:id="8"/>
    </w:p>
    <w:tbl>
      <w:tblPr>
        <w:tblW w:w="5000" w:type="pct"/>
        <w:tblCellMar>
          <w:left w:w="28" w:type="dxa"/>
          <w:right w:w="28" w:type="dxa"/>
        </w:tblCellMar>
        <w:tblLook w:val="04A0"/>
      </w:tblPr>
      <w:tblGrid>
        <w:gridCol w:w="2044"/>
        <w:gridCol w:w="275"/>
        <w:gridCol w:w="7375"/>
      </w:tblGrid>
      <w:tr w:rsidR="007A4048" w:rsidTr="0002434F">
        <w:tc>
          <w:tcPr>
            <w:tcW w:w="1054" w:type="pct"/>
          </w:tcPr>
          <w:p w:rsidR="007A4048" w:rsidRPr="003A34E8" w:rsidRDefault="007A4048" w:rsidP="0002434F">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 xml:space="preserve">Rekordní mezičtvrtletní tempo růstu celkové zaměstnanosti </w:t>
            </w:r>
          </w:p>
        </w:tc>
        <w:tc>
          <w:tcPr>
            <w:tcW w:w="142" w:type="pct"/>
          </w:tcPr>
          <w:p w:rsidR="007A4048" w:rsidRPr="009720D9" w:rsidRDefault="007A4048" w:rsidP="0002434F">
            <w:pPr>
              <w:pStyle w:val="Textpoznpodarou"/>
              <w:jc w:val="both"/>
              <w:rPr>
                <w:color w:val="0D0D0D" w:themeColor="text1" w:themeTint="F2"/>
              </w:rPr>
            </w:pPr>
          </w:p>
        </w:tc>
        <w:tc>
          <w:tcPr>
            <w:tcW w:w="3804" w:type="pct"/>
          </w:tcPr>
          <w:p w:rsidR="007A4048" w:rsidRPr="001925A2" w:rsidRDefault="007A4048" w:rsidP="0002434F">
            <w:pPr>
              <w:pStyle w:val="Textpoznpodarou"/>
              <w:jc w:val="both"/>
              <w:rPr>
                <w:rFonts w:cs="Arial"/>
                <w:color w:val="0D0D0D" w:themeColor="text1" w:themeTint="F2"/>
                <w:spacing w:val="-4"/>
              </w:rPr>
            </w:pPr>
            <w:r>
              <w:rPr>
                <w:rFonts w:cs="Arial"/>
                <w:color w:val="0D0D0D" w:themeColor="text1" w:themeTint="F2"/>
                <w:spacing w:val="-4"/>
              </w:rPr>
              <w:t>Celková zaměstnanost</w:t>
            </w:r>
            <w:r>
              <w:rPr>
                <w:rStyle w:val="Znakapoznpodarou"/>
                <w:color w:val="0D0D0D" w:themeColor="text1" w:themeTint="F2"/>
                <w:spacing w:val="-4"/>
              </w:rPr>
              <w:footnoteReference w:id="20"/>
            </w:r>
            <w:r>
              <w:rPr>
                <w:rFonts w:cs="Arial"/>
                <w:color w:val="0D0D0D" w:themeColor="text1" w:themeTint="F2"/>
                <w:spacing w:val="-4"/>
              </w:rPr>
              <w:t xml:space="preserve"> na počátku roku zrychlila</w:t>
            </w:r>
            <w:r w:rsidRPr="001925A2">
              <w:rPr>
                <w:rFonts w:cs="Arial"/>
                <w:color w:val="0D0D0D" w:themeColor="text1" w:themeTint="F2"/>
                <w:spacing w:val="-4"/>
              </w:rPr>
              <w:t>.</w:t>
            </w:r>
            <w:r>
              <w:rPr>
                <w:rFonts w:cs="Arial"/>
                <w:color w:val="0D0D0D" w:themeColor="text1" w:themeTint="F2"/>
                <w:spacing w:val="-4"/>
              </w:rPr>
              <w:t xml:space="preserve"> Proti poslednímu čtvrtletí 2015 se </w:t>
            </w:r>
            <w:r w:rsidRPr="001925A2">
              <w:rPr>
                <w:rFonts w:cs="Arial"/>
                <w:color w:val="0D0D0D" w:themeColor="text1" w:themeTint="F2"/>
                <w:spacing w:val="-4"/>
              </w:rPr>
              <w:t>zvýšila o</w:t>
            </w:r>
            <w:r w:rsidRPr="001925A2">
              <w:rPr>
                <w:spacing w:val="-4"/>
              </w:rPr>
              <w:t> </w:t>
            </w:r>
            <w:r w:rsidRPr="001925A2">
              <w:rPr>
                <w:rFonts w:cs="Arial"/>
                <w:color w:val="0D0D0D" w:themeColor="text1" w:themeTint="F2"/>
                <w:spacing w:val="-4"/>
              </w:rPr>
              <w:t>1,5</w:t>
            </w:r>
            <w:r w:rsidRPr="001925A2">
              <w:rPr>
                <w:spacing w:val="-4"/>
              </w:rPr>
              <w:t> </w:t>
            </w:r>
            <w:r w:rsidRPr="001925A2">
              <w:rPr>
                <w:rFonts w:cs="Arial"/>
                <w:color w:val="0D0D0D" w:themeColor="text1" w:themeTint="F2"/>
                <w:spacing w:val="-4"/>
              </w:rPr>
              <w:t>%, což bylo nejvíce v historii samo</w:t>
            </w:r>
            <w:r>
              <w:rPr>
                <w:rFonts w:cs="Arial"/>
                <w:color w:val="0D0D0D" w:themeColor="text1" w:themeTint="F2"/>
                <w:spacing w:val="-4"/>
              </w:rPr>
              <w:t>sta</w:t>
            </w:r>
            <w:r w:rsidRPr="001925A2">
              <w:rPr>
                <w:rFonts w:cs="Arial"/>
                <w:color w:val="0D0D0D" w:themeColor="text1" w:themeTint="F2"/>
                <w:spacing w:val="-4"/>
              </w:rPr>
              <w:t xml:space="preserve">tné ČR. </w:t>
            </w:r>
            <w:r>
              <w:rPr>
                <w:rFonts w:cs="Arial"/>
                <w:color w:val="0D0D0D" w:themeColor="text1" w:themeTint="F2"/>
                <w:spacing w:val="-4"/>
              </w:rPr>
              <w:t xml:space="preserve">Meziročně mělo </w:t>
            </w:r>
            <w:r w:rsidRPr="001925A2">
              <w:rPr>
                <w:rFonts w:cs="Arial"/>
                <w:color w:val="0D0D0D" w:themeColor="text1" w:themeTint="F2"/>
                <w:spacing w:val="-4"/>
              </w:rPr>
              <w:t xml:space="preserve">práci </w:t>
            </w:r>
            <w:r w:rsidRPr="002C0FF4">
              <w:rPr>
                <w:rFonts w:cs="Arial"/>
                <w:color w:val="0D0D0D" w:themeColor="text1" w:themeTint="F2"/>
                <w:spacing w:val="-6"/>
              </w:rPr>
              <w:t>o</w:t>
            </w:r>
            <w:r w:rsidR="002C0FF4" w:rsidRPr="002C0FF4">
              <w:rPr>
                <w:rFonts w:cs="Arial"/>
                <w:color w:val="0D0D0D" w:themeColor="text1" w:themeTint="F2"/>
                <w:spacing w:val="-6"/>
              </w:rPr>
              <w:t> </w:t>
            </w:r>
            <w:r w:rsidRPr="002C0FF4">
              <w:rPr>
                <w:rFonts w:cs="Arial"/>
                <w:color w:val="0D0D0D" w:themeColor="text1" w:themeTint="F2"/>
                <w:spacing w:val="-6"/>
              </w:rPr>
              <w:t>téměř 2 % osob více, v absolutním vyjádření byly celkové počty pracovníků</w:t>
            </w:r>
            <w:r>
              <w:rPr>
                <w:rFonts w:cs="Arial"/>
                <w:color w:val="0D0D0D" w:themeColor="text1" w:themeTint="F2"/>
                <w:spacing w:val="-4"/>
              </w:rPr>
              <w:t xml:space="preserve"> rekordní</w:t>
            </w:r>
            <w:r w:rsidRPr="001925A2">
              <w:rPr>
                <w:rFonts w:cs="Arial"/>
                <w:color w:val="0D0D0D" w:themeColor="text1" w:themeTint="F2"/>
                <w:spacing w:val="-4"/>
              </w:rPr>
              <w:t>.</w:t>
            </w:r>
            <w:r>
              <w:rPr>
                <w:rFonts w:cs="Arial"/>
                <w:color w:val="0D0D0D" w:themeColor="text1" w:themeTint="F2"/>
                <w:spacing w:val="-4"/>
              </w:rPr>
              <w:t xml:space="preserve"> Stály za tím efekty hospodářského cyklu i</w:t>
            </w:r>
            <w:r w:rsidRPr="001925A2">
              <w:rPr>
                <w:rFonts w:cs="Arial"/>
                <w:color w:val="0D0D0D" w:themeColor="text1" w:themeTint="F2"/>
                <w:spacing w:val="-4"/>
              </w:rPr>
              <w:t xml:space="preserve"> dlouhodobě působící demografické vlivy</w:t>
            </w:r>
            <w:r>
              <w:rPr>
                <w:rFonts w:cs="Arial"/>
                <w:color w:val="0D0D0D" w:themeColor="text1" w:themeTint="F2"/>
                <w:spacing w:val="-4"/>
              </w:rPr>
              <w:t>.</w:t>
            </w:r>
          </w:p>
          <w:p w:rsidR="007A4048" w:rsidRPr="00FA2F16" w:rsidRDefault="007A4048" w:rsidP="0002434F">
            <w:pPr>
              <w:pStyle w:val="Textpoznpodarou"/>
              <w:jc w:val="both"/>
              <w:rPr>
                <w:rFonts w:cs="Arial"/>
                <w:color w:val="0D0D0D" w:themeColor="text1" w:themeTint="F2"/>
                <w:spacing w:val="-4"/>
                <w:sz w:val="15"/>
                <w:szCs w:val="15"/>
              </w:rPr>
            </w:pPr>
          </w:p>
        </w:tc>
      </w:tr>
      <w:tr w:rsidR="007A4048" w:rsidTr="0002434F">
        <w:tc>
          <w:tcPr>
            <w:tcW w:w="1054" w:type="pct"/>
          </w:tcPr>
          <w:p w:rsidR="007A4048" w:rsidRDefault="007A4048" w:rsidP="0002434F">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 xml:space="preserve">Zaměstnanost ve zpracovatelském průmyslu rostla meziročně téměř dvojnásobným tempem než v celé ekonomice, </w:t>
            </w:r>
          </w:p>
          <w:p w:rsidR="007A4048" w:rsidRPr="0099457E" w:rsidRDefault="007A4048" w:rsidP="0002434F">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 xml:space="preserve">nejvyšší dynamiku však zaznamenala některá odvětví služeb </w:t>
            </w:r>
          </w:p>
          <w:p w:rsidR="007A4048" w:rsidRPr="0099457E" w:rsidRDefault="007A4048" w:rsidP="0002434F">
            <w:pPr>
              <w:spacing w:line="240" w:lineRule="auto"/>
              <w:rPr>
                <w:rFonts w:cs="Arial"/>
                <w:bCs/>
                <w:iCs/>
                <w:color w:val="0D0D0D" w:themeColor="text1" w:themeTint="F2"/>
                <w:spacing w:val="-2"/>
                <w:szCs w:val="20"/>
              </w:rPr>
            </w:pPr>
          </w:p>
        </w:tc>
        <w:tc>
          <w:tcPr>
            <w:tcW w:w="142" w:type="pct"/>
          </w:tcPr>
          <w:p w:rsidR="007A4048" w:rsidRPr="009720D9" w:rsidRDefault="007A4048" w:rsidP="0002434F">
            <w:pPr>
              <w:pStyle w:val="Textpoznpodarou"/>
              <w:jc w:val="both"/>
              <w:rPr>
                <w:color w:val="0D0D0D" w:themeColor="text1" w:themeTint="F2"/>
              </w:rPr>
            </w:pPr>
          </w:p>
        </w:tc>
        <w:tc>
          <w:tcPr>
            <w:tcW w:w="3804" w:type="pct"/>
          </w:tcPr>
          <w:p w:rsidR="007A4048" w:rsidRPr="001925A2" w:rsidRDefault="007A4048" w:rsidP="0002434F">
            <w:pPr>
              <w:pStyle w:val="Textpoznpodarou"/>
              <w:jc w:val="both"/>
              <w:rPr>
                <w:spacing w:val="-4"/>
              </w:rPr>
            </w:pPr>
            <w:r w:rsidRPr="001925A2">
              <w:rPr>
                <w:spacing w:val="-4"/>
              </w:rPr>
              <w:t>Podobně jako v předchozích dvou letech táhl růst celkové zaměstnanosti zpracovatel</w:t>
            </w:r>
            <w:r w:rsidR="0002434F">
              <w:rPr>
                <w:spacing w:val="-4"/>
              </w:rPr>
              <w:t>ský průmysl (s meziročním zvýšením</w:t>
            </w:r>
            <w:r w:rsidRPr="001925A2">
              <w:rPr>
                <w:spacing w:val="-4"/>
              </w:rPr>
              <w:t xml:space="preserve"> o 3,5 %). O polovinu přírůstku se však zasloužily i služby, jejichž vývoj byl však vnitřně značně nerovnoměrný. Zejména faktická stagnace zaměstnanosti ve vzdělávání se odrazila ve střídmém růstu váhově významné skupiny odvětví veřejná správa, obrana, vzdělávání, zdravotní a sociální péče (1,2 %). Srovnatelným tempem ale nasávaly pracovníky v úhrnu i obchod, doprava, ubytování a pohostinství. Dynamicky naopak rostla z</w:t>
            </w:r>
            <w:r>
              <w:rPr>
                <w:spacing w:val="-4"/>
              </w:rPr>
              <w:t>aměstnanost v</w:t>
            </w:r>
            <w:r w:rsidRPr="001925A2">
              <w:rPr>
                <w:spacing w:val="-4"/>
              </w:rPr>
              <w:t> </w:t>
            </w:r>
            <w:r w:rsidRPr="001925A2">
              <w:rPr>
                <w:color w:val="0D0D0D" w:themeColor="text1" w:themeTint="F2"/>
                <w:spacing w:val="-4"/>
              </w:rPr>
              <w:t xml:space="preserve">profesních, vědeckých, technických a administrativních činnostech (4,8 %), ovlivněná stále silnou poptávkou po agenturních pracovnících. </w:t>
            </w:r>
            <w:r w:rsidRPr="001925A2">
              <w:rPr>
                <w:spacing w:val="-4"/>
              </w:rPr>
              <w:t>Tempo tvorby nových pracovních míst zrychlilo také v informačních a komunikačních činnostech.</w:t>
            </w:r>
          </w:p>
          <w:p w:rsidR="007A4048" w:rsidRPr="00FA2F16" w:rsidRDefault="007A4048" w:rsidP="0002434F">
            <w:pPr>
              <w:pStyle w:val="Textpoznpodarou"/>
              <w:jc w:val="both"/>
              <w:rPr>
                <w:spacing w:val="-4"/>
                <w:sz w:val="15"/>
                <w:szCs w:val="15"/>
              </w:rPr>
            </w:pPr>
          </w:p>
        </w:tc>
      </w:tr>
      <w:tr w:rsidR="007A4048" w:rsidTr="0002434F">
        <w:tc>
          <w:tcPr>
            <w:tcW w:w="1054" w:type="pct"/>
          </w:tcPr>
          <w:p w:rsidR="007A4048" w:rsidRPr="00372465" w:rsidRDefault="007A4048" w:rsidP="0002434F">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Pracovní místa nadále dlouhodobě ztrácely stavebnictví a zejména vlivem uhlí i celý těžební průmysl</w:t>
            </w:r>
          </w:p>
        </w:tc>
        <w:tc>
          <w:tcPr>
            <w:tcW w:w="142" w:type="pct"/>
          </w:tcPr>
          <w:p w:rsidR="007A4048" w:rsidRPr="009720D9" w:rsidRDefault="007A4048" w:rsidP="0002434F">
            <w:pPr>
              <w:pStyle w:val="Textpoznpodarou"/>
              <w:jc w:val="both"/>
              <w:rPr>
                <w:color w:val="0D0D0D" w:themeColor="text1" w:themeTint="F2"/>
              </w:rPr>
            </w:pPr>
          </w:p>
        </w:tc>
        <w:tc>
          <w:tcPr>
            <w:tcW w:w="3804" w:type="pct"/>
          </w:tcPr>
          <w:p w:rsidR="007A4048" w:rsidRPr="001925A2" w:rsidRDefault="007A4048" w:rsidP="0002434F">
            <w:pPr>
              <w:pStyle w:val="Textpoznpodarou"/>
              <w:jc w:val="both"/>
              <w:rPr>
                <w:rFonts w:cs="Arial"/>
                <w:color w:val="0D0D0D" w:themeColor="text1" w:themeTint="F2"/>
                <w:spacing w:val="-4"/>
              </w:rPr>
            </w:pPr>
            <w:r w:rsidRPr="001925A2">
              <w:rPr>
                <w:rFonts w:cs="Arial"/>
                <w:color w:val="0D0D0D" w:themeColor="text1" w:themeTint="F2"/>
                <w:spacing w:val="-4"/>
              </w:rPr>
              <w:t xml:space="preserve">Některá menší odvětví však dosud </w:t>
            </w:r>
            <w:r>
              <w:rPr>
                <w:rFonts w:cs="Arial"/>
                <w:color w:val="0D0D0D" w:themeColor="text1" w:themeTint="F2"/>
                <w:spacing w:val="-4"/>
              </w:rPr>
              <w:t>z</w:t>
            </w:r>
            <w:r w:rsidRPr="001925A2">
              <w:rPr>
                <w:rFonts w:cs="Arial"/>
                <w:color w:val="0D0D0D" w:themeColor="text1" w:themeTint="F2"/>
                <w:spacing w:val="-4"/>
              </w:rPr>
              <w:t> oživení ekonomiky neprofitovala. Šlo především o stavebnictví, kde se celková zaměstnanost snižovala již 21.</w:t>
            </w:r>
            <w:r>
              <w:rPr>
                <w:rFonts w:cs="Arial"/>
                <w:color w:val="0D0D0D" w:themeColor="text1" w:themeTint="F2"/>
                <w:spacing w:val="-4"/>
              </w:rPr>
              <w:t xml:space="preserve"> </w:t>
            </w:r>
            <w:r w:rsidRPr="001925A2">
              <w:rPr>
                <w:rFonts w:cs="Arial"/>
                <w:color w:val="0D0D0D" w:themeColor="text1" w:themeTint="F2"/>
                <w:spacing w:val="-4"/>
              </w:rPr>
              <w:t>čtvrtletí v řadě, byť na</w:t>
            </w:r>
            <w:r w:rsidR="002C0FF4">
              <w:rPr>
                <w:rFonts w:cs="Arial"/>
                <w:color w:val="0D0D0D" w:themeColor="text1" w:themeTint="F2"/>
                <w:spacing w:val="-4"/>
              </w:rPr>
              <w:t> </w:t>
            </w:r>
            <w:r w:rsidRPr="001925A2">
              <w:rPr>
                <w:rFonts w:cs="Arial"/>
                <w:color w:val="0D0D0D" w:themeColor="text1" w:themeTint="F2"/>
                <w:spacing w:val="-4"/>
              </w:rPr>
              <w:t>úrovni zaměstnaneckých pozic se pokles již zastavil. S citelnou redukcí pracovních míst se dlouhodobě potýkají i těže</w:t>
            </w:r>
            <w:r>
              <w:rPr>
                <w:rFonts w:cs="Arial"/>
                <w:color w:val="0D0D0D" w:themeColor="text1" w:themeTint="F2"/>
                <w:spacing w:val="-4"/>
              </w:rPr>
              <w:t>b</w:t>
            </w:r>
            <w:r w:rsidRPr="001925A2">
              <w:rPr>
                <w:rFonts w:cs="Arial"/>
                <w:color w:val="0D0D0D" w:themeColor="text1" w:themeTint="F2"/>
                <w:spacing w:val="-4"/>
              </w:rPr>
              <w:t>ní společnosti. Naopak jen mírně poklesly stavy zaměstnaných v dlouhodobě stabilizovaných odvětvích – činnostech v oblasti nemovitostí a v úhrnu v zemědělství, lesnictví a rybářství.</w:t>
            </w:r>
          </w:p>
          <w:p w:rsidR="007A4048" w:rsidRPr="00FA2F16" w:rsidRDefault="007A4048" w:rsidP="0002434F">
            <w:pPr>
              <w:pStyle w:val="Textpoznpodarou"/>
              <w:jc w:val="both"/>
              <w:rPr>
                <w:rFonts w:cs="Arial"/>
                <w:color w:val="0D0D0D" w:themeColor="text1" w:themeTint="F2"/>
                <w:spacing w:val="-4"/>
                <w:sz w:val="15"/>
                <w:szCs w:val="15"/>
              </w:rPr>
            </w:pPr>
          </w:p>
        </w:tc>
      </w:tr>
      <w:tr w:rsidR="007A4048" w:rsidTr="0002434F">
        <w:tc>
          <w:tcPr>
            <w:tcW w:w="1054" w:type="pct"/>
          </w:tcPr>
          <w:p w:rsidR="007A4048" w:rsidRDefault="007A4048" w:rsidP="0002434F">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Přeliv sebezaměstnaných do zaměstnaneckých pozic, typických pro pracovní trh v ČR v době konjunktury, pokračoval...</w:t>
            </w:r>
          </w:p>
          <w:p w:rsidR="007A4048" w:rsidRDefault="007A4048" w:rsidP="0002434F">
            <w:pPr>
              <w:spacing w:line="240" w:lineRule="auto"/>
              <w:rPr>
                <w:rFonts w:cs="Arial"/>
                <w:bCs/>
                <w:iCs/>
                <w:color w:val="0D0D0D" w:themeColor="text1" w:themeTint="F2"/>
                <w:spacing w:val="-4"/>
                <w:sz w:val="16"/>
                <w:szCs w:val="16"/>
              </w:rPr>
            </w:pPr>
          </w:p>
          <w:p w:rsidR="007A4048" w:rsidRDefault="007A4048" w:rsidP="0002434F">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 xml:space="preserve">…nejvíce byl patrný ve </w:t>
            </w:r>
            <w:r w:rsidR="007C3AE3">
              <w:rPr>
                <w:rFonts w:cs="Arial"/>
                <w:bCs/>
                <w:iCs/>
                <w:color w:val="0D0D0D" w:themeColor="text1" w:themeTint="F2"/>
                <w:spacing w:val="-4"/>
                <w:sz w:val="16"/>
                <w:szCs w:val="16"/>
              </w:rPr>
              <w:t>skupině</w:t>
            </w:r>
            <w:r>
              <w:rPr>
                <w:rFonts w:cs="Arial"/>
                <w:bCs/>
                <w:iCs/>
                <w:color w:val="0D0D0D" w:themeColor="text1" w:themeTint="F2"/>
                <w:spacing w:val="-4"/>
                <w:sz w:val="16"/>
                <w:szCs w:val="16"/>
              </w:rPr>
              <w:t xml:space="preserve"> odvětví o</w:t>
            </w:r>
            <w:r w:rsidRPr="007E7003">
              <w:rPr>
                <w:rFonts w:cs="Arial"/>
                <w:bCs/>
                <w:iCs/>
                <w:color w:val="0D0D0D" w:themeColor="text1" w:themeTint="F2"/>
                <w:spacing w:val="-4"/>
                <w:sz w:val="16"/>
                <w:szCs w:val="16"/>
              </w:rPr>
              <w:t xml:space="preserve">bchod, doprava, ubytování </w:t>
            </w:r>
          </w:p>
          <w:p w:rsidR="007A4048" w:rsidRPr="00A245E8" w:rsidRDefault="007A4048" w:rsidP="0002434F">
            <w:pPr>
              <w:spacing w:line="240" w:lineRule="auto"/>
              <w:rPr>
                <w:rFonts w:cs="Arial"/>
                <w:bCs/>
                <w:iCs/>
                <w:color w:val="0D0D0D" w:themeColor="text1" w:themeTint="F2"/>
                <w:spacing w:val="-4"/>
                <w:sz w:val="16"/>
                <w:szCs w:val="16"/>
              </w:rPr>
            </w:pPr>
            <w:r w:rsidRPr="007E7003">
              <w:rPr>
                <w:rFonts w:cs="Arial"/>
                <w:bCs/>
                <w:iCs/>
                <w:color w:val="0D0D0D" w:themeColor="text1" w:themeTint="F2"/>
                <w:spacing w:val="-4"/>
                <w:sz w:val="16"/>
                <w:szCs w:val="16"/>
              </w:rPr>
              <w:t>a pohostinství</w:t>
            </w:r>
          </w:p>
        </w:tc>
        <w:tc>
          <w:tcPr>
            <w:tcW w:w="142" w:type="pct"/>
          </w:tcPr>
          <w:p w:rsidR="007A4048" w:rsidRPr="009720D9" w:rsidRDefault="007A4048" w:rsidP="0002434F">
            <w:pPr>
              <w:pStyle w:val="Textpoznpodarou"/>
              <w:jc w:val="both"/>
              <w:rPr>
                <w:color w:val="0D0D0D" w:themeColor="text1" w:themeTint="F2"/>
              </w:rPr>
            </w:pPr>
          </w:p>
        </w:tc>
        <w:tc>
          <w:tcPr>
            <w:tcW w:w="3804" w:type="pct"/>
          </w:tcPr>
          <w:p w:rsidR="007A4048" w:rsidRPr="001925A2" w:rsidRDefault="007A4048" w:rsidP="0002434F">
            <w:pPr>
              <w:pStyle w:val="Textpoznpodarou"/>
              <w:jc w:val="both"/>
              <w:rPr>
                <w:spacing w:val="-4"/>
              </w:rPr>
            </w:pPr>
            <w:r>
              <w:rPr>
                <w:rFonts w:cs="Arial"/>
                <w:color w:val="0D0D0D" w:themeColor="text1" w:themeTint="F2"/>
                <w:spacing w:val="-4"/>
              </w:rPr>
              <w:t>Disproporce</w:t>
            </w:r>
            <w:r w:rsidRPr="001925A2">
              <w:rPr>
                <w:rFonts w:cs="Arial"/>
                <w:color w:val="0D0D0D" w:themeColor="text1" w:themeTint="F2"/>
                <w:spacing w:val="-4"/>
              </w:rPr>
              <w:t xml:space="preserve"> mezi vývojem počtu zaměstna</w:t>
            </w:r>
            <w:r>
              <w:rPr>
                <w:rFonts w:cs="Arial"/>
                <w:color w:val="0D0D0D" w:themeColor="text1" w:themeTint="F2"/>
                <w:spacing w:val="-4"/>
              </w:rPr>
              <w:t>nců a sebezaměstnaných,</w:t>
            </w:r>
            <w:r w:rsidRPr="001925A2">
              <w:rPr>
                <w:rFonts w:cs="Arial"/>
                <w:color w:val="0D0D0D" w:themeColor="text1" w:themeTint="F2"/>
                <w:spacing w:val="-4"/>
              </w:rPr>
              <w:t xml:space="preserve"> zvýrazněná v roce </w:t>
            </w:r>
            <w:r>
              <w:rPr>
                <w:rFonts w:cs="Arial"/>
                <w:color w:val="0D0D0D" w:themeColor="text1" w:themeTint="F2"/>
                <w:spacing w:val="-4"/>
              </w:rPr>
              <w:t>2015,</w:t>
            </w:r>
            <w:r w:rsidRPr="001925A2">
              <w:rPr>
                <w:rFonts w:cs="Arial"/>
                <w:color w:val="0D0D0D" w:themeColor="text1" w:themeTint="F2"/>
                <w:spacing w:val="-4"/>
              </w:rPr>
              <w:t xml:space="preserve"> pokračovala. V 1. čtvrtletí </w:t>
            </w:r>
            <w:r>
              <w:rPr>
                <w:rFonts w:cs="Arial"/>
                <w:color w:val="0D0D0D" w:themeColor="text1" w:themeTint="F2"/>
                <w:spacing w:val="-4"/>
              </w:rPr>
              <w:t>pracovalo</w:t>
            </w:r>
            <w:r w:rsidRPr="001925A2">
              <w:rPr>
                <w:rFonts w:cs="Arial"/>
                <w:color w:val="0D0D0D" w:themeColor="text1" w:themeTint="F2"/>
                <w:spacing w:val="-4"/>
              </w:rPr>
              <w:t xml:space="preserve"> na zaměstnaneckých postech o</w:t>
            </w:r>
            <w:r w:rsidRPr="001925A2">
              <w:rPr>
                <w:spacing w:val="-4"/>
              </w:rPr>
              <w:t> </w:t>
            </w:r>
            <w:r w:rsidRPr="001925A2">
              <w:rPr>
                <w:rFonts w:cs="Arial"/>
                <w:color w:val="0D0D0D" w:themeColor="text1" w:themeTint="F2"/>
                <w:spacing w:val="-4"/>
              </w:rPr>
              <w:t>2,6</w:t>
            </w:r>
            <w:r w:rsidRPr="001925A2">
              <w:rPr>
                <w:spacing w:val="-4"/>
              </w:rPr>
              <w:t> </w:t>
            </w:r>
            <w:r w:rsidRPr="001925A2">
              <w:rPr>
                <w:rFonts w:cs="Arial"/>
                <w:color w:val="0D0D0D" w:themeColor="text1" w:themeTint="F2"/>
                <w:spacing w:val="-4"/>
              </w:rPr>
              <w:t>% osob meziro</w:t>
            </w:r>
            <w:r>
              <w:rPr>
                <w:rFonts w:cs="Arial"/>
                <w:color w:val="0D0D0D" w:themeColor="text1" w:themeTint="F2"/>
                <w:spacing w:val="-4"/>
              </w:rPr>
              <w:t xml:space="preserve">čně více, sebezaměstnaných ale </w:t>
            </w:r>
            <w:r w:rsidRPr="001925A2">
              <w:rPr>
                <w:rFonts w:cs="Arial"/>
                <w:color w:val="0D0D0D" w:themeColor="text1" w:themeTint="F2"/>
                <w:spacing w:val="-4"/>
              </w:rPr>
              <w:t>o</w:t>
            </w:r>
            <w:r w:rsidRPr="001925A2">
              <w:rPr>
                <w:spacing w:val="-4"/>
              </w:rPr>
              <w:t> </w:t>
            </w:r>
            <w:r w:rsidRPr="001925A2">
              <w:rPr>
                <w:rFonts w:cs="Arial"/>
                <w:color w:val="0D0D0D" w:themeColor="text1" w:themeTint="F2"/>
                <w:spacing w:val="-4"/>
              </w:rPr>
              <w:t>2,3</w:t>
            </w:r>
            <w:r w:rsidRPr="001925A2">
              <w:rPr>
                <w:spacing w:val="-4"/>
              </w:rPr>
              <w:t> </w:t>
            </w:r>
            <w:r w:rsidRPr="001925A2">
              <w:rPr>
                <w:rFonts w:cs="Arial"/>
                <w:color w:val="0D0D0D" w:themeColor="text1" w:themeTint="F2"/>
                <w:spacing w:val="-4"/>
              </w:rPr>
              <w:t>% ubylo</w:t>
            </w:r>
            <w:r>
              <w:rPr>
                <w:rFonts w:cs="Arial"/>
                <w:color w:val="0D0D0D" w:themeColor="text1" w:themeTint="F2"/>
                <w:spacing w:val="-4"/>
              </w:rPr>
              <w:t xml:space="preserve"> (hlavně ve</w:t>
            </w:r>
            <w:r w:rsidR="002C0FF4">
              <w:rPr>
                <w:rFonts w:cs="Arial"/>
                <w:color w:val="0D0D0D" w:themeColor="text1" w:themeTint="F2"/>
                <w:spacing w:val="-4"/>
              </w:rPr>
              <w:t> </w:t>
            </w:r>
            <w:r w:rsidRPr="005562AC">
              <w:rPr>
                <w:rFonts w:cs="Arial"/>
                <w:color w:val="0D0D0D" w:themeColor="text1" w:themeTint="F2"/>
                <w:spacing w:val="-5"/>
              </w:rPr>
              <w:t xml:space="preserve">stavebnictví, nemovitostech a v seskupení </w:t>
            </w:r>
            <w:r w:rsidRPr="005562AC">
              <w:rPr>
                <w:spacing w:val="-5"/>
              </w:rPr>
              <w:t>obchod, doprava, ubytování a pohostinství).</w:t>
            </w:r>
            <w:r w:rsidRPr="001925A2">
              <w:rPr>
                <w:spacing w:val="-4"/>
              </w:rPr>
              <w:t xml:space="preserve"> Lze předpokládat, že na část sebezaměstnaných zapůsobila rozšiřující se nabídka relativně stabilnějších a někdy i lépe placených zaměstnaneckých míst. </w:t>
            </w:r>
            <w:r w:rsidRPr="001925A2">
              <w:rPr>
                <w:color w:val="0D0D0D" w:themeColor="text1" w:themeTint="F2"/>
                <w:spacing w:val="-4"/>
              </w:rPr>
              <w:t xml:space="preserve">Zčásti se také uplatňuje fakt, že firmy do svých kmenových stavů stahují pracovníky, které na podobnou práci v „horších </w:t>
            </w:r>
            <w:r w:rsidR="009F3FC3">
              <w:rPr>
                <w:color w:val="0D0D0D" w:themeColor="text1" w:themeTint="F2"/>
                <w:spacing w:val="-4"/>
              </w:rPr>
              <w:t xml:space="preserve">časech“ využívaly v rámci švarc </w:t>
            </w:r>
            <w:r w:rsidRPr="001925A2">
              <w:rPr>
                <w:color w:val="0D0D0D" w:themeColor="text1" w:themeTint="F2"/>
                <w:spacing w:val="-4"/>
              </w:rPr>
              <w:t>systému.</w:t>
            </w:r>
          </w:p>
          <w:p w:rsidR="007A4048" w:rsidRPr="00FA2F16" w:rsidRDefault="007A4048" w:rsidP="0002434F">
            <w:pPr>
              <w:pStyle w:val="Textpoznpodarou"/>
              <w:jc w:val="both"/>
              <w:rPr>
                <w:rFonts w:cs="Arial"/>
                <w:color w:val="0D0D0D" w:themeColor="text1" w:themeTint="F2"/>
                <w:spacing w:val="-4"/>
                <w:sz w:val="15"/>
                <w:szCs w:val="15"/>
              </w:rPr>
            </w:pPr>
          </w:p>
        </w:tc>
      </w:tr>
      <w:tr w:rsidR="007A4048" w:rsidRPr="003A21DC" w:rsidTr="0002434F">
        <w:tc>
          <w:tcPr>
            <w:tcW w:w="1054" w:type="pct"/>
          </w:tcPr>
          <w:p w:rsidR="007A4048" w:rsidRPr="00E23B96" w:rsidRDefault="007A4048" w:rsidP="0002434F">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Počet odpracovaných hodin rostl nejvíce od roku 2008, intenzivnějším využitím stávající pracovní síly reagují podniky na nedostatek kvalifikovaných zaměstnanců</w:t>
            </w:r>
          </w:p>
        </w:tc>
        <w:tc>
          <w:tcPr>
            <w:tcW w:w="142" w:type="pct"/>
          </w:tcPr>
          <w:p w:rsidR="007A4048" w:rsidRPr="009720D9" w:rsidRDefault="007A4048" w:rsidP="0002434F">
            <w:pPr>
              <w:pStyle w:val="Textpoznpodarou"/>
              <w:jc w:val="both"/>
              <w:rPr>
                <w:color w:val="0D0D0D" w:themeColor="text1" w:themeTint="F2"/>
              </w:rPr>
            </w:pPr>
          </w:p>
        </w:tc>
        <w:tc>
          <w:tcPr>
            <w:tcW w:w="3804" w:type="pct"/>
          </w:tcPr>
          <w:p w:rsidR="007A4048" w:rsidRPr="006F0A33" w:rsidRDefault="007A4048" w:rsidP="0002434F">
            <w:pPr>
              <w:pStyle w:val="Textpoznpodarou"/>
              <w:jc w:val="both"/>
              <w:rPr>
                <w:rFonts w:cs="Arial"/>
                <w:color w:val="0D0D0D" w:themeColor="text1" w:themeTint="F2"/>
                <w:spacing w:val="-4"/>
              </w:rPr>
            </w:pPr>
            <w:r w:rsidRPr="006F0A33">
              <w:rPr>
                <w:rFonts w:cs="Arial"/>
                <w:color w:val="0D0D0D" w:themeColor="text1" w:themeTint="F2"/>
                <w:spacing w:val="-4"/>
              </w:rPr>
              <w:t xml:space="preserve">Počet </w:t>
            </w:r>
            <w:r>
              <w:rPr>
                <w:rFonts w:cs="Arial"/>
                <w:color w:val="0D0D0D" w:themeColor="text1" w:themeTint="F2"/>
                <w:spacing w:val="-4"/>
              </w:rPr>
              <w:t>odpracovaných hodin rostl</w:t>
            </w:r>
            <w:r w:rsidRPr="006F0A33">
              <w:rPr>
                <w:rFonts w:cs="Arial"/>
                <w:color w:val="0D0D0D" w:themeColor="text1" w:themeTint="F2"/>
                <w:spacing w:val="-4"/>
              </w:rPr>
              <w:t xml:space="preserve"> (o 3,4 %) </w:t>
            </w:r>
            <w:r>
              <w:rPr>
                <w:rFonts w:cs="Arial"/>
                <w:color w:val="0D0D0D" w:themeColor="text1" w:themeTint="F2"/>
                <w:spacing w:val="-4"/>
              </w:rPr>
              <w:t>nejvíce</w:t>
            </w:r>
            <w:r w:rsidRPr="006F0A33">
              <w:rPr>
                <w:rFonts w:cs="Arial"/>
                <w:color w:val="0D0D0D" w:themeColor="text1" w:themeTint="F2"/>
                <w:spacing w:val="-4"/>
              </w:rPr>
              <w:t xml:space="preserve"> od 3. čtvrtletí 2008. Dynamiku rů</w:t>
            </w:r>
            <w:r>
              <w:rPr>
                <w:rFonts w:cs="Arial"/>
                <w:color w:val="0D0D0D" w:themeColor="text1" w:themeTint="F2"/>
                <w:spacing w:val="-4"/>
              </w:rPr>
              <w:t xml:space="preserve">stu celkové zaměstnanosti </w:t>
            </w:r>
            <w:r w:rsidRPr="006F0A33">
              <w:rPr>
                <w:rFonts w:cs="Arial"/>
                <w:color w:val="0D0D0D" w:themeColor="text1" w:themeTint="F2"/>
                <w:spacing w:val="-4"/>
              </w:rPr>
              <w:t>převýšil již počtvrté v řadě. Více hodin bylo odpracováno napříč vše</w:t>
            </w:r>
            <w:r>
              <w:rPr>
                <w:rFonts w:cs="Arial"/>
                <w:color w:val="0D0D0D" w:themeColor="text1" w:themeTint="F2"/>
                <w:spacing w:val="-4"/>
              </w:rPr>
              <w:t xml:space="preserve">mi hlavními odvětvími, </w:t>
            </w:r>
            <w:r w:rsidR="009F3FC3">
              <w:rPr>
                <w:rFonts w:cs="Arial"/>
                <w:color w:val="0D0D0D" w:themeColor="text1" w:themeTint="F2"/>
                <w:spacing w:val="-4"/>
              </w:rPr>
              <w:t>především</w:t>
            </w:r>
            <w:r w:rsidRPr="006F0A33">
              <w:rPr>
                <w:rFonts w:cs="Arial"/>
                <w:color w:val="0D0D0D" w:themeColor="text1" w:themeTint="F2"/>
                <w:spacing w:val="-4"/>
              </w:rPr>
              <w:t xml:space="preserve"> ve zpr</w:t>
            </w:r>
            <w:r>
              <w:rPr>
                <w:rFonts w:cs="Arial"/>
                <w:color w:val="0D0D0D" w:themeColor="text1" w:themeTint="F2"/>
                <w:spacing w:val="-4"/>
              </w:rPr>
              <w:t>acovatelském průmyslu (5,9 %) a</w:t>
            </w:r>
            <w:r w:rsidRPr="001925A2">
              <w:rPr>
                <w:spacing w:val="-4"/>
              </w:rPr>
              <w:t> </w:t>
            </w:r>
            <w:r w:rsidRPr="006F0A33">
              <w:rPr>
                <w:rFonts w:cs="Arial"/>
                <w:color w:val="0D0D0D" w:themeColor="text1" w:themeTint="F2"/>
                <w:spacing w:val="-4"/>
              </w:rPr>
              <w:t>informačních</w:t>
            </w:r>
            <w:r>
              <w:rPr>
                <w:rFonts w:cs="Arial"/>
                <w:color w:val="0D0D0D" w:themeColor="text1" w:themeTint="F2"/>
                <w:spacing w:val="-4"/>
              </w:rPr>
              <w:t xml:space="preserve"> a</w:t>
            </w:r>
            <w:r w:rsidRPr="006F0A33">
              <w:rPr>
                <w:rFonts w:cs="Arial"/>
                <w:color w:val="0D0D0D" w:themeColor="text1" w:themeTint="F2"/>
                <w:spacing w:val="-4"/>
              </w:rPr>
              <w:t xml:space="preserve"> komunikačních činnostech – tedy v oblastech potýkajících s</w:t>
            </w:r>
            <w:r>
              <w:rPr>
                <w:rFonts w:cs="Arial"/>
                <w:color w:val="0D0D0D" w:themeColor="text1" w:themeTint="F2"/>
                <w:spacing w:val="-4"/>
              </w:rPr>
              <w:t>e výrazněji s nedostatkem</w:t>
            </w:r>
            <w:r w:rsidRPr="006F0A33">
              <w:rPr>
                <w:rFonts w:cs="Arial"/>
                <w:color w:val="0D0D0D" w:themeColor="text1" w:themeTint="F2"/>
                <w:spacing w:val="-4"/>
              </w:rPr>
              <w:t xml:space="preserve"> kvalifikovaných pracovníků. </w:t>
            </w:r>
          </w:p>
          <w:p w:rsidR="007A4048" w:rsidRPr="00FA2F16" w:rsidRDefault="007A4048" w:rsidP="0002434F">
            <w:pPr>
              <w:pStyle w:val="Textpoznpodarou"/>
              <w:jc w:val="both"/>
              <w:rPr>
                <w:rFonts w:cs="Arial"/>
                <w:color w:val="0D0D0D" w:themeColor="text1" w:themeTint="F2"/>
                <w:spacing w:val="-2"/>
                <w:sz w:val="15"/>
                <w:szCs w:val="15"/>
              </w:rPr>
            </w:pPr>
          </w:p>
        </w:tc>
      </w:tr>
      <w:tr w:rsidR="007A4048" w:rsidTr="0002434F">
        <w:tc>
          <w:tcPr>
            <w:tcW w:w="1054" w:type="pct"/>
          </w:tcPr>
          <w:p w:rsidR="007A4048" w:rsidRPr="00E23B96" w:rsidRDefault="007A4048" w:rsidP="0002434F">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Hodinová produktivita práce v celé ekonomice poprvé po devíti čtvrtletích meziročně poklesla</w:t>
            </w:r>
          </w:p>
        </w:tc>
        <w:tc>
          <w:tcPr>
            <w:tcW w:w="142" w:type="pct"/>
          </w:tcPr>
          <w:p w:rsidR="007A4048" w:rsidRPr="009720D9" w:rsidRDefault="007A4048" w:rsidP="0002434F">
            <w:pPr>
              <w:pStyle w:val="Textpoznpodarou"/>
              <w:jc w:val="both"/>
              <w:rPr>
                <w:color w:val="0D0D0D" w:themeColor="text1" w:themeTint="F2"/>
              </w:rPr>
            </w:pPr>
          </w:p>
        </w:tc>
        <w:tc>
          <w:tcPr>
            <w:tcW w:w="3804" w:type="pct"/>
          </w:tcPr>
          <w:p w:rsidR="007A4048" w:rsidRPr="001C306A" w:rsidRDefault="007A4048" w:rsidP="0002434F">
            <w:pPr>
              <w:pStyle w:val="Textpoznpodarou"/>
              <w:jc w:val="both"/>
              <w:rPr>
                <w:spacing w:val="-4"/>
              </w:rPr>
            </w:pPr>
            <w:r w:rsidRPr="001C306A">
              <w:rPr>
                <w:rFonts w:cs="Arial"/>
                <w:color w:val="0D0D0D" w:themeColor="text1" w:themeTint="F2"/>
                <w:spacing w:val="-4"/>
              </w:rPr>
              <w:t xml:space="preserve">Snížení tempa růstu ekonomiky se promítlo i do produktivity. </w:t>
            </w:r>
            <w:r>
              <w:rPr>
                <w:rFonts w:cs="Arial"/>
                <w:color w:val="0D0D0D" w:themeColor="text1" w:themeTint="F2"/>
                <w:spacing w:val="-4"/>
              </w:rPr>
              <w:t>Ta byla při vyjádření na</w:t>
            </w:r>
            <w:r w:rsidR="002C0FF4">
              <w:rPr>
                <w:rFonts w:cs="Arial"/>
                <w:color w:val="0D0D0D" w:themeColor="text1" w:themeTint="F2"/>
                <w:spacing w:val="-4"/>
              </w:rPr>
              <w:t> </w:t>
            </w:r>
            <w:r>
              <w:rPr>
                <w:rFonts w:cs="Arial"/>
                <w:color w:val="0D0D0D" w:themeColor="text1" w:themeTint="F2"/>
                <w:spacing w:val="-4"/>
              </w:rPr>
              <w:t>jednoho</w:t>
            </w:r>
            <w:r w:rsidRPr="001C306A">
              <w:rPr>
                <w:rFonts w:cs="Arial"/>
                <w:color w:val="0D0D0D" w:themeColor="text1" w:themeTint="F2"/>
                <w:spacing w:val="-4"/>
              </w:rPr>
              <w:t xml:space="preserve"> zaměstnance v 1. čtvrtletí meziročně o 1,1 % vyšší (za celý rok 2015 o 2,5</w:t>
            </w:r>
            <w:r w:rsidRPr="001925A2">
              <w:rPr>
                <w:spacing w:val="-4"/>
              </w:rPr>
              <w:t> </w:t>
            </w:r>
            <w:r w:rsidRPr="001C306A">
              <w:rPr>
                <w:rFonts w:cs="Arial"/>
                <w:color w:val="0D0D0D" w:themeColor="text1" w:themeTint="F2"/>
                <w:spacing w:val="-4"/>
              </w:rPr>
              <w:t>%). V relaci na odpracovanou hodinu poprvé po devíti čtvrtletích dokonce poklesla (o</w:t>
            </w:r>
            <w:r w:rsidRPr="001C306A">
              <w:rPr>
                <w:color w:val="0D0D0D" w:themeColor="text1" w:themeTint="F2"/>
                <w:spacing w:val="-4"/>
              </w:rPr>
              <w:t> </w:t>
            </w:r>
            <w:r w:rsidRPr="001C306A">
              <w:rPr>
                <w:rFonts w:cs="Arial"/>
                <w:color w:val="0D0D0D" w:themeColor="text1" w:themeTint="F2"/>
                <w:spacing w:val="-4"/>
              </w:rPr>
              <w:t>0,4</w:t>
            </w:r>
            <w:r w:rsidRPr="001C306A">
              <w:rPr>
                <w:color w:val="0D0D0D" w:themeColor="text1" w:themeTint="F2"/>
                <w:spacing w:val="-4"/>
              </w:rPr>
              <w:t> </w:t>
            </w:r>
            <w:r w:rsidRPr="001C306A">
              <w:rPr>
                <w:rFonts w:cs="Arial"/>
                <w:color w:val="0D0D0D" w:themeColor="text1" w:themeTint="F2"/>
                <w:spacing w:val="-4"/>
              </w:rPr>
              <w:t xml:space="preserve">%), k celkovému růstu nepomohl ani relativně příznivý vývoj v uskupení </w:t>
            </w:r>
            <w:r w:rsidRPr="001C306A">
              <w:rPr>
                <w:spacing w:val="-4"/>
              </w:rPr>
              <w:t>obchod, doprava, ub</w:t>
            </w:r>
            <w:r w:rsidR="008F6F38">
              <w:rPr>
                <w:spacing w:val="-4"/>
              </w:rPr>
              <w:t>ytování a pohostinství (+1,6 %)</w:t>
            </w:r>
            <w:r w:rsidRPr="001C306A">
              <w:rPr>
                <w:spacing w:val="-4"/>
              </w:rPr>
              <w:t xml:space="preserve"> či váhově významném zpracovatelském průmyslu (+0,4 %). Proti 1. čtvrtletí konjunkturního roku 2008 byla letos hodinová produktivita v celé ekonomice o 5 % vyšší, ve zpracovatelském průmyslu o pětinu.</w:t>
            </w:r>
          </w:p>
          <w:p w:rsidR="007A4048" w:rsidRPr="00FA2F16" w:rsidRDefault="007A4048" w:rsidP="0002434F">
            <w:pPr>
              <w:pStyle w:val="Textpoznpodarou"/>
              <w:jc w:val="both"/>
              <w:rPr>
                <w:rFonts w:cs="Arial"/>
                <w:color w:val="0D0D0D" w:themeColor="text1" w:themeTint="F2"/>
                <w:spacing w:val="-2"/>
                <w:sz w:val="15"/>
                <w:szCs w:val="15"/>
              </w:rPr>
            </w:pPr>
          </w:p>
        </w:tc>
      </w:tr>
      <w:tr w:rsidR="007A4048" w:rsidTr="0002434F">
        <w:tc>
          <w:tcPr>
            <w:tcW w:w="1054" w:type="pct"/>
          </w:tcPr>
          <w:p w:rsidR="007A4048" w:rsidRDefault="007A4048" w:rsidP="0002434F">
            <w:pPr>
              <w:spacing w:line="240" w:lineRule="auto"/>
              <w:rPr>
                <w:rFonts w:cs="Arial"/>
                <w:bCs/>
                <w:iCs/>
                <w:color w:val="0D0D0D" w:themeColor="text1" w:themeTint="F2"/>
                <w:spacing w:val="-4"/>
                <w:sz w:val="16"/>
                <w:szCs w:val="16"/>
              </w:rPr>
            </w:pPr>
            <w:r w:rsidRPr="00A245E8">
              <w:rPr>
                <w:rFonts w:cs="Arial"/>
                <w:bCs/>
                <w:iCs/>
                <w:color w:val="0D0D0D" w:themeColor="text1" w:themeTint="F2"/>
                <w:spacing w:val="-4"/>
                <w:sz w:val="16"/>
                <w:szCs w:val="16"/>
              </w:rPr>
              <w:t>Počet volných pracovních míst</w:t>
            </w:r>
            <w:r>
              <w:rPr>
                <w:rFonts w:cs="Arial"/>
                <w:bCs/>
                <w:iCs/>
                <w:color w:val="0D0D0D" w:themeColor="text1" w:themeTint="F2"/>
                <w:spacing w:val="-4"/>
                <w:sz w:val="16"/>
                <w:szCs w:val="16"/>
              </w:rPr>
              <w:t xml:space="preserve"> nabízených</w:t>
            </w:r>
            <w:r w:rsidR="009F3FC3">
              <w:rPr>
                <w:rFonts w:cs="Arial"/>
                <w:bCs/>
                <w:iCs/>
                <w:color w:val="0D0D0D" w:themeColor="text1" w:themeTint="F2"/>
                <w:spacing w:val="-4"/>
                <w:sz w:val="16"/>
                <w:szCs w:val="16"/>
              </w:rPr>
              <w:t xml:space="preserve"> Úřadem práce</w:t>
            </w:r>
            <w:r>
              <w:rPr>
                <w:rFonts w:cs="Arial"/>
                <w:bCs/>
                <w:iCs/>
                <w:color w:val="0D0D0D" w:themeColor="text1" w:themeTint="F2"/>
                <w:spacing w:val="-4"/>
                <w:sz w:val="16"/>
                <w:szCs w:val="16"/>
              </w:rPr>
              <w:t xml:space="preserve"> </w:t>
            </w:r>
            <w:r w:rsidR="009F3FC3">
              <w:rPr>
                <w:rFonts w:cs="Arial"/>
                <w:bCs/>
                <w:iCs/>
                <w:color w:val="0D0D0D" w:themeColor="text1" w:themeTint="F2"/>
                <w:spacing w:val="-4"/>
                <w:sz w:val="16"/>
                <w:szCs w:val="16"/>
              </w:rPr>
              <w:t>(</w:t>
            </w:r>
            <w:r>
              <w:rPr>
                <w:rFonts w:cs="Arial"/>
                <w:bCs/>
                <w:iCs/>
                <w:color w:val="0D0D0D" w:themeColor="text1" w:themeTint="F2"/>
                <w:spacing w:val="-4"/>
                <w:sz w:val="16"/>
                <w:szCs w:val="16"/>
              </w:rPr>
              <w:t>ÚP</w:t>
            </w:r>
            <w:r w:rsidR="009F3FC3">
              <w:rPr>
                <w:rFonts w:cs="Arial"/>
                <w:bCs/>
                <w:iCs/>
                <w:color w:val="0D0D0D" w:themeColor="text1" w:themeTint="F2"/>
                <w:spacing w:val="-4"/>
                <w:sz w:val="16"/>
                <w:szCs w:val="16"/>
              </w:rPr>
              <w:t>)</w:t>
            </w:r>
            <w:r>
              <w:rPr>
                <w:rFonts w:cs="Arial"/>
                <w:bCs/>
                <w:iCs/>
                <w:color w:val="0D0D0D" w:themeColor="text1" w:themeTint="F2"/>
                <w:spacing w:val="-4"/>
                <w:sz w:val="16"/>
                <w:szCs w:val="16"/>
              </w:rPr>
              <w:t xml:space="preserve"> vzrostl na konci 1.</w:t>
            </w:r>
            <w:r w:rsidR="009F3FC3">
              <w:rPr>
                <w:rFonts w:cs="Arial"/>
                <w:bCs/>
                <w:iCs/>
                <w:color w:val="0D0D0D" w:themeColor="text1" w:themeTint="F2"/>
                <w:spacing w:val="-4"/>
                <w:sz w:val="16"/>
                <w:szCs w:val="16"/>
              </w:rPr>
              <w:t> </w:t>
            </w:r>
            <w:r>
              <w:rPr>
                <w:rFonts w:cs="Arial"/>
                <w:bCs/>
                <w:iCs/>
                <w:color w:val="0D0D0D" w:themeColor="text1" w:themeTint="F2"/>
                <w:spacing w:val="-4"/>
                <w:sz w:val="16"/>
                <w:szCs w:val="16"/>
              </w:rPr>
              <w:t>čtvrtletí na 117 tis., šlo o</w:t>
            </w:r>
            <w:r w:rsidR="009F3FC3">
              <w:rPr>
                <w:rFonts w:cs="Arial"/>
                <w:bCs/>
                <w:iCs/>
                <w:color w:val="0D0D0D" w:themeColor="text1" w:themeTint="F2"/>
                <w:spacing w:val="-4"/>
                <w:sz w:val="16"/>
                <w:szCs w:val="16"/>
              </w:rPr>
              <w:t> </w:t>
            </w:r>
            <w:r>
              <w:rPr>
                <w:rFonts w:cs="Arial"/>
                <w:bCs/>
                <w:iCs/>
                <w:color w:val="0D0D0D" w:themeColor="text1" w:themeTint="F2"/>
                <w:spacing w:val="-4"/>
                <w:sz w:val="16"/>
                <w:szCs w:val="16"/>
              </w:rPr>
              <w:t>nejvyšší úroveň od října 2008</w:t>
            </w:r>
          </w:p>
          <w:p w:rsidR="007A4048" w:rsidRPr="00FA2F16" w:rsidRDefault="007A4048" w:rsidP="0002434F">
            <w:pPr>
              <w:spacing w:line="240" w:lineRule="auto"/>
              <w:rPr>
                <w:rFonts w:cs="Arial"/>
                <w:bCs/>
                <w:iCs/>
                <w:color w:val="0D0D0D" w:themeColor="text1" w:themeTint="F2"/>
                <w:spacing w:val="-4"/>
                <w:sz w:val="22"/>
                <w:szCs w:val="22"/>
              </w:rPr>
            </w:pPr>
          </w:p>
          <w:p w:rsidR="007A4048" w:rsidRDefault="00826ED1" w:rsidP="0002434F">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Méně než 2,5 uchazeče</w:t>
            </w:r>
            <w:r w:rsidR="007A4048">
              <w:rPr>
                <w:rFonts w:cs="Arial"/>
                <w:bCs/>
                <w:iCs/>
                <w:color w:val="0D0D0D" w:themeColor="text1" w:themeTint="F2"/>
                <w:spacing w:val="-4"/>
                <w:sz w:val="16"/>
                <w:szCs w:val="16"/>
              </w:rPr>
              <w:t xml:space="preserve"> na</w:t>
            </w:r>
            <w:r>
              <w:rPr>
                <w:rFonts w:cs="Arial"/>
                <w:bCs/>
                <w:iCs/>
                <w:color w:val="0D0D0D" w:themeColor="text1" w:themeTint="F2"/>
                <w:spacing w:val="-4"/>
                <w:sz w:val="16"/>
                <w:szCs w:val="16"/>
              </w:rPr>
              <w:t> </w:t>
            </w:r>
            <w:r w:rsidR="007A4048">
              <w:rPr>
                <w:rFonts w:cs="Arial"/>
                <w:bCs/>
                <w:iCs/>
                <w:color w:val="0D0D0D" w:themeColor="text1" w:themeTint="F2"/>
                <w:spacing w:val="-4"/>
                <w:sz w:val="16"/>
                <w:szCs w:val="16"/>
              </w:rPr>
              <w:t>volné místo v Praze, Plzeňském a Pardubickém kraji, okolo 7 uchazečů na Ústecku a Moravskoslezsku</w:t>
            </w:r>
          </w:p>
          <w:p w:rsidR="007A4048" w:rsidRPr="00E23B96" w:rsidRDefault="007A4048" w:rsidP="0002434F">
            <w:pPr>
              <w:spacing w:line="240" w:lineRule="auto"/>
              <w:rPr>
                <w:rFonts w:cs="Arial"/>
                <w:bCs/>
                <w:iCs/>
                <w:color w:val="0D0D0D" w:themeColor="text1" w:themeTint="F2"/>
                <w:spacing w:val="-4"/>
                <w:sz w:val="14"/>
                <w:szCs w:val="14"/>
              </w:rPr>
            </w:pPr>
          </w:p>
        </w:tc>
        <w:tc>
          <w:tcPr>
            <w:tcW w:w="142" w:type="pct"/>
          </w:tcPr>
          <w:p w:rsidR="007A4048" w:rsidRPr="009720D9" w:rsidRDefault="007A4048" w:rsidP="0002434F">
            <w:pPr>
              <w:pStyle w:val="Textpoznpodarou"/>
              <w:jc w:val="both"/>
              <w:rPr>
                <w:color w:val="0D0D0D" w:themeColor="text1" w:themeTint="F2"/>
              </w:rPr>
            </w:pPr>
          </w:p>
        </w:tc>
        <w:tc>
          <w:tcPr>
            <w:tcW w:w="3804" w:type="pct"/>
          </w:tcPr>
          <w:p w:rsidR="007A4048" w:rsidRPr="00AA5F10" w:rsidRDefault="007A4048" w:rsidP="0002434F">
            <w:pPr>
              <w:pStyle w:val="Textpoznpodarou"/>
              <w:jc w:val="both"/>
            </w:pPr>
            <w:r w:rsidRPr="00AA5F10">
              <w:rPr>
                <w:rFonts w:cs="Arial"/>
                <w:color w:val="0D0D0D" w:themeColor="text1" w:themeTint="F2"/>
              </w:rPr>
              <w:t xml:space="preserve">Nabídka volných pracovních míst (prostřednictvím ÚP) se dále rozšiřovala a postupně se blížila dosud rekordní úrovni (152 tis.) z poloviny roku 2008. ÚP nabízely na konci března 2016 o 42 tis. pozic meziročně více, od počátku roku pak o téměř 15 tis. více. Dlouhodobě přetrvává </w:t>
            </w:r>
            <w:r w:rsidRPr="00AA5F10">
              <w:t>významný územní i kvalifikační nesoulad mezi nabízenými volnými místy a</w:t>
            </w:r>
            <w:r w:rsidRPr="00AA5F10">
              <w:rPr>
                <w:color w:val="0D0D0D" w:themeColor="text1" w:themeTint="F2"/>
              </w:rPr>
              <w:t> </w:t>
            </w:r>
            <w:r w:rsidRPr="00AA5F10">
              <w:t>registrovanými uchazeči o zaměstnání. Největší šanci na uplatnění měli uchazeči ve skupině „obsl</w:t>
            </w:r>
            <w:r w:rsidR="00E669C7" w:rsidRPr="00AA5F10">
              <w:t>uha strojů a zařízení, montéři“</w:t>
            </w:r>
            <w:r w:rsidRPr="00AA5F10">
              <w:t xml:space="preserve"> (nepřetržitě od jara 2014), na jedno volné místo zde na konci března 2016 připadalo 1,8 uchazečů (o rok dříve dvojnásobek). Ve dvaceti </w:t>
            </w:r>
            <w:r w:rsidR="00AA5F10" w:rsidRPr="00AA5F10">
              <w:t>okresech (zejména středních a jihozápadních</w:t>
            </w:r>
            <w:r w:rsidRPr="00AA5F10">
              <w:t xml:space="preserve"> Čech, na Liberecku a Pardubicku) by takto mohli být okamžitě uspokojeni</w:t>
            </w:r>
            <w:r w:rsidR="009C3705" w:rsidRPr="00AA5F10">
              <w:t xml:space="preserve"> téměř</w:t>
            </w:r>
            <w:r w:rsidRPr="00AA5F10">
              <w:t xml:space="preserve"> všichni uchazeči</w:t>
            </w:r>
            <w:r w:rsidRPr="00AA5F10">
              <w:rPr>
                <w:rStyle w:val="Znakapoznpodarou"/>
              </w:rPr>
              <w:footnoteReference w:id="21"/>
            </w:r>
            <w:r w:rsidRPr="00AA5F10">
              <w:t xml:space="preserve">. Dobře se také mohli </w:t>
            </w:r>
            <w:r w:rsidRPr="00AA5F10">
              <w:lastRenderedPageBreak/>
              <w:t>uplatnit řemeslníci a opraváři (2,6 uchazečů na m</w:t>
            </w:r>
            <w:r w:rsidR="00901AF3" w:rsidRPr="00AA5F10">
              <w:rPr>
                <w:color w:val="000000" w:themeColor="text1"/>
              </w:rPr>
              <w:t>ísto), kteří</w:t>
            </w:r>
            <w:r w:rsidRPr="00AA5F10">
              <w:rPr>
                <w:color w:val="000000" w:themeColor="text1"/>
              </w:rPr>
              <w:t xml:space="preserve"> navíc měli zřejmě slušné šance uplatnit se i mimo zaměstnanecký poměr. Naopak</w:t>
            </w:r>
            <w:r w:rsidR="000E1EEA" w:rsidRPr="00AA5F10">
              <w:t xml:space="preserve"> nejhorší vyhlídky </w:t>
            </w:r>
            <w:r w:rsidRPr="00AA5F10">
              <w:t>na</w:t>
            </w:r>
            <w:r w:rsidR="002C0FF4" w:rsidRPr="00AA5F10">
              <w:t> </w:t>
            </w:r>
            <w:r w:rsidRPr="00AA5F10">
              <w:t>uplatnění prostřednictvím ÚP mají dlouhodo</w:t>
            </w:r>
            <w:r w:rsidR="000E1EEA" w:rsidRPr="00AA5F10">
              <w:t xml:space="preserve">bě úředníci (9,3) a též pomocní </w:t>
            </w:r>
            <w:r w:rsidRPr="00AA5F10">
              <w:t>a</w:t>
            </w:r>
            <w:r w:rsidRPr="00AA5F10">
              <w:rPr>
                <w:color w:val="0D0D0D" w:themeColor="text1" w:themeTint="F2"/>
              </w:rPr>
              <w:t> </w:t>
            </w:r>
            <w:r w:rsidRPr="00AA5F10">
              <w:t xml:space="preserve">nekvalifikovaní pracovníci (5,7). Více než dva roky se v evidenci ÚP nacházelo 28 % nezaměstnaných (v okresech Ostrava, Karviná a Ústí nad Labem 40 %). </w:t>
            </w:r>
          </w:p>
          <w:p w:rsidR="007A4048" w:rsidRPr="00AA5F10" w:rsidRDefault="007A4048" w:rsidP="0002434F">
            <w:pPr>
              <w:pStyle w:val="Textpoznpodarou"/>
              <w:jc w:val="both"/>
              <w:rPr>
                <w:rFonts w:cs="Arial"/>
                <w:color w:val="0D0D0D" w:themeColor="text1" w:themeTint="F2"/>
                <w:spacing w:val="-2"/>
                <w:sz w:val="16"/>
                <w:szCs w:val="16"/>
              </w:rPr>
            </w:pPr>
          </w:p>
        </w:tc>
      </w:tr>
      <w:tr w:rsidR="007A4048" w:rsidTr="0002434F">
        <w:tc>
          <w:tcPr>
            <w:tcW w:w="1054" w:type="pct"/>
          </w:tcPr>
          <w:p w:rsidR="007A4048" w:rsidRDefault="007A4048" w:rsidP="0002434F">
            <w:pPr>
              <w:spacing w:line="240" w:lineRule="auto"/>
              <w:rPr>
                <w:spacing w:val="-2"/>
                <w:sz w:val="16"/>
                <w:szCs w:val="16"/>
              </w:rPr>
            </w:pPr>
            <w:r w:rsidRPr="001A7282">
              <w:rPr>
                <w:spacing w:val="-2"/>
                <w:sz w:val="16"/>
                <w:szCs w:val="16"/>
              </w:rPr>
              <w:lastRenderedPageBreak/>
              <w:t xml:space="preserve">Významný meziroční pokles </w:t>
            </w:r>
            <w:r w:rsidR="00EE6538">
              <w:rPr>
                <w:spacing w:val="-2"/>
                <w:sz w:val="16"/>
                <w:szCs w:val="16"/>
              </w:rPr>
              <w:t>míry nezaměstnanosti žen</w:t>
            </w:r>
            <w:r w:rsidRPr="001A7282">
              <w:rPr>
                <w:spacing w:val="-2"/>
                <w:sz w:val="16"/>
                <w:szCs w:val="16"/>
              </w:rPr>
              <w:t xml:space="preserve"> a</w:t>
            </w:r>
            <w:r w:rsidR="00EE6538">
              <w:rPr>
                <w:spacing w:val="-2"/>
                <w:sz w:val="16"/>
                <w:szCs w:val="16"/>
              </w:rPr>
              <w:t> </w:t>
            </w:r>
            <w:r w:rsidRPr="001A7282">
              <w:rPr>
                <w:spacing w:val="-2"/>
                <w:sz w:val="16"/>
                <w:szCs w:val="16"/>
              </w:rPr>
              <w:t xml:space="preserve">osob se středním vzděláním bez maturity </w:t>
            </w:r>
          </w:p>
          <w:p w:rsidR="007A4048" w:rsidRPr="001A7282" w:rsidRDefault="007A4048" w:rsidP="0002434F">
            <w:pPr>
              <w:spacing w:line="240" w:lineRule="auto"/>
              <w:rPr>
                <w:spacing w:val="-2"/>
                <w:sz w:val="16"/>
                <w:szCs w:val="16"/>
              </w:rPr>
            </w:pPr>
            <w:r w:rsidRPr="001A7282">
              <w:rPr>
                <w:spacing w:val="-2"/>
                <w:sz w:val="16"/>
                <w:szCs w:val="16"/>
              </w:rPr>
              <w:t>(vč. vyučených)</w:t>
            </w:r>
          </w:p>
          <w:p w:rsidR="007A4048" w:rsidRPr="00976BD9" w:rsidRDefault="007A4048" w:rsidP="0002434F">
            <w:pPr>
              <w:spacing w:line="240" w:lineRule="auto"/>
              <w:rPr>
                <w:sz w:val="16"/>
                <w:szCs w:val="16"/>
              </w:rPr>
            </w:pPr>
          </w:p>
          <w:p w:rsidR="007A4048" w:rsidRPr="00976BD9" w:rsidRDefault="007A4048" w:rsidP="0002434F">
            <w:pPr>
              <w:spacing w:line="240" w:lineRule="auto"/>
              <w:rPr>
                <w:sz w:val="16"/>
                <w:szCs w:val="16"/>
              </w:rPr>
            </w:pPr>
          </w:p>
          <w:p w:rsidR="007A4048" w:rsidRPr="00976BD9" w:rsidRDefault="007A4048" w:rsidP="0002434F">
            <w:pPr>
              <w:spacing w:line="240" w:lineRule="auto"/>
              <w:rPr>
                <w:sz w:val="16"/>
                <w:szCs w:val="16"/>
              </w:rPr>
            </w:pPr>
          </w:p>
        </w:tc>
        <w:tc>
          <w:tcPr>
            <w:tcW w:w="142" w:type="pct"/>
          </w:tcPr>
          <w:p w:rsidR="007A4048" w:rsidRPr="000A12D1" w:rsidRDefault="007A4048" w:rsidP="0002434F">
            <w:pPr>
              <w:pStyle w:val="Textpoznpodarou"/>
              <w:jc w:val="both"/>
            </w:pPr>
          </w:p>
        </w:tc>
        <w:tc>
          <w:tcPr>
            <w:tcW w:w="3804" w:type="pct"/>
          </w:tcPr>
          <w:p w:rsidR="007A4048" w:rsidRDefault="007A4048" w:rsidP="0002434F">
            <w:pPr>
              <w:pStyle w:val="Textpoznpodarou"/>
              <w:jc w:val="both"/>
              <w:rPr>
                <w:color w:val="333333"/>
              </w:rPr>
            </w:pPr>
            <w:r>
              <w:rPr>
                <w:rFonts w:cs="Arial"/>
                <w:color w:val="0D0D0D" w:themeColor="text1" w:themeTint="F2"/>
                <w:spacing w:val="-2"/>
              </w:rPr>
              <w:t xml:space="preserve">Obecná míra nezaměstnanosti </w:t>
            </w:r>
            <w:r w:rsidR="00BF786A">
              <w:t>(ve věku 15</w:t>
            </w:r>
            <w:r w:rsidR="00BF786A" w:rsidRPr="003E7065">
              <w:rPr>
                <w:rFonts w:cs="Arial"/>
                <w:color w:val="0D0D0D" w:themeColor="text1" w:themeTint="F2"/>
                <w:spacing w:val="-4"/>
              </w:rPr>
              <w:t>–</w:t>
            </w:r>
            <w:r w:rsidRPr="004F7565">
              <w:t>64 let, očištěná od sezónních vlivů)</w:t>
            </w:r>
            <w:r w:rsidRPr="004F7565">
              <w:rPr>
                <w:rFonts w:cs="Arial"/>
                <w:color w:val="0D0D0D" w:themeColor="text1" w:themeTint="F2"/>
                <w:spacing w:val="-2"/>
              </w:rPr>
              <w:t xml:space="preserve"> </w:t>
            </w:r>
            <w:r>
              <w:rPr>
                <w:rFonts w:cs="Arial"/>
                <w:color w:val="0D0D0D" w:themeColor="text1" w:themeTint="F2"/>
                <w:spacing w:val="-2"/>
              </w:rPr>
              <w:t>se snižovala až na 4,1 % na konci 1. čtvrtletí. Meziročně se rychleji redukovala u žen (o</w:t>
            </w:r>
            <w:r w:rsidRPr="002246DE">
              <w:rPr>
                <w:color w:val="0D0D0D" w:themeColor="text1" w:themeTint="F2"/>
                <w:spacing w:val="-4"/>
              </w:rPr>
              <w:t> </w:t>
            </w:r>
            <w:r>
              <w:rPr>
                <w:rFonts w:cs="Arial"/>
                <w:color w:val="0D0D0D" w:themeColor="text1" w:themeTint="F2"/>
                <w:spacing w:val="-2"/>
              </w:rPr>
              <w:t xml:space="preserve">1,9 p.b.) než u mužů (1,3 p.b.). Ekonomické oživení v druhé polovině roku 2013 se totiž nejdříve promítlo </w:t>
            </w:r>
            <w:r w:rsidRPr="00A517C1">
              <w:rPr>
                <w:rFonts w:cs="Arial"/>
                <w:spacing w:val="-2"/>
              </w:rPr>
              <w:t xml:space="preserve">nasáváním nových pracovníků v průmyslu (a pomohlo tak stlačit míru nezaměstnanosti mužů pod 5% hranici již na počátku roku 2015), služby začaly ve větší míře generovat volná místa až od roku 2015. Meziročně se výrazně zlepšila také u </w:t>
            </w:r>
            <w:r w:rsidRPr="00A517C1">
              <w:t>početné skupiny osob se středním vzděláním bez maturity vč.</w:t>
            </w:r>
            <w:r w:rsidR="002C0FF4" w:rsidRPr="00A517C1">
              <w:t> </w:t>
            </w:r>
            <w:r w:rsidRPr="00A517C1">
              <w:t xml:space="preserve">vyučených (klesla ze 7,3 % na 4,9 %), naopak u </w:t>
            </w:r>
            <w:r w:rsidRPr="00A517C1">
              <w:rPr>
                <w:rFonts w:cs="Arial"/>
                <w:spacing w:val="-2"/>
              </w:rPr>
              <w:t>osob se základním vzděláním byl posun menší dokonce i v absolutním měřítku (z 24,3 % na 22,2 %).</w:t>
            </w:r>
          </w:p>
          <w:p w:rsidR="007A4048" w:rsidRPr="00AA5F10" w:rsidRDefault="007A4048" w:rsidP="0002434F">
            <w:pPr>
              <w:pStyle w:val="Textpoznpodarou"/>
              <w:jc w:val="both"/>
              <w:rPr>
                <w:sz w:val="14"/>
                <w:szCs w:val="14"/>
              </w:rPr>
            </w:pPr>
          </w:p>
        </w:tc>
      </w:tr>
      <w:tr w:rsidR="007A4048" w:rsidTr="0002434F">
        <w:tc>
          <w:tcPr>
            <w:tcW w:w="1054" w:type="pct"/>
          </w:tcPr>
          <w:p w:rsidR="007A4048" w:rsidRDefault="007A4048" w:rsidP="0002434F">
            <w:pPr>
              <w:spacing w:line="240" w:lineRule="auto"/>
              <w:rPr>
                <w:rFonts w:cs="Arial"/>
                <w:bCs/>
                <w:iCs/>
                <w:color w:val="0D0D0D" w:themeColor="text1" w:themeTint="F2"/>
                <w:spacing w:val="-6"/>
                <w:sz w:val="16"/>
                <w:szCs w:val="16"/>
              </w:rPr>
            </w:pPr>
            <w:r w:rsidRPr="00976BD9">
              <w:rPr>
                <w:rFonts w:cs="Arial"/>
                <w:bCs/>
                <w:iCs/>
                <w:color w:val="0D0D0D" w:themeColor="text1" w:themeTint="F2"/>
                <w:spacing w:val="-4"/>
                <w:sz w:val="16"/>
                <w:szCs w:val="16"/>
              </w:rPr>
              <w:t xml:space="preserve">Česko má dlouhodobě v rámci </w:t>
            </w:r>
            <w:r>
              <w:rPr>
                <w:rFonts w:cs="Arial"/>
                <w:bCs/>
                <w:iCs/>
                <w:color w:val="0D0D0D" w:themeColor="text1" w:themeTint="F2"/>
                <w:spacing w:val="-4"/>
                <w:sz w:val="16"/>
                <w:szCs w:val="16"/>
              </w:rPr>
              <w:t xml:space="preserve">EU </w:t>
            </w:r>
            <w:r w:rsidRPr="00976BD9">
              <w:rPr>
                <w:rFonts w:cs="Arial"/>
                <w:bCs/>
                <w:iCs/>
                <w:color w:val="0D0D0D" w:themeColor="text1" w:themeTint="F2"/>
                <w:spacing w:val="-4"/>
                <w:sz w:val="16"/>
                <w:szCs w:val="16"/>
              </w:rPr>
              <w:t>nejnižší míru</w:t>
            </w:r>
            <w:r>
              <w:rPr>
                <w:rFonts w:cs="Arial"/>
                <w:bCs/>
                <w:iCs/>
                <w:color w:val="0D0D0D" w:themeColor="text1" w:themeTint="F2"/>
                <w:spacing w:val="-4"/>
                <w:sz w:val="16"/>
                <w:szCs w:val="16"/>
              </w:rPr>
              <w:t xml:space="preserve"> nezaměstnanosti</w:t>
            </w:r>
            <w:r w:rsidRPr="00976BD9">
              <w:rPr>
                <w:rFonts w:cs="Arial"/>
                <w:bCs/>
                <w:iCs/>
                <w:color w:val="0D0D0D" w:themeColor="text1" w:themeTint="F2"/>
                <w:spacing w:val="-4"/>
                <w:sz w:val="16"/>
                <w:szCs w:val="16"/>
              </w:rPr>
              <w:t xml:space="preserve"> </w:t>
            </w:r>
            <w:r w:rsidRPr="00976BD9">
              <w:rPr>
                <w:rFonts w:cs="Arial"/>
                <w:bCs/>
                <w:iCs/>
                <w:color w:val="0D0D0D" w:themeColor="text1" w:themeTint="F2"/>
                <w:spacing w:val="-6"/>
                <w:sz w:val="16"/>
                <w:szCs w:val="16"/>
              </w:rPr>
              <w:t>mužů, ale</w:t>
            </w:r>
          </w:p>
          <w:p w:rsidR="007A4048" w:rsidRPr="00976BD9" w:rsidRDefault="007A4048" w:rsidP="0002434F">
            <w:pPr>
              <w:spacing w:line="240" w:lineRule="auto"/>
              <w:rPr>
                <w:rFonts w:cs="Arial"/>
                <w:bCs/>
                <w:iCs/>
                <w:color w:val="0D0D0D" w:themeColor="text1" w:themeTint="F2"/>
                <w:spacing w:val="-4"/>
                <w:sz w:val="16"/>
                <w:szCs w:val="16"/>
              </w:rPr>
            </w:pPr>
            <w:r w:rsidRPr="00976BD9">
              <w:rPr>
                <w:rFonts w:cs="Arial"/>
                <w:bCs/>
                <w:iCs/>
                <w:color w:val="0D0D0D" w:themeColor="text1" w:themeTint="F2"/>
                <w:spacing w:val="-6"/>
                <w:sz w:val="16"/>
                <w:szCs w:val="16"/>
              </w:rPr>
              <w:t>i jedny z nejvyšších</w:t>
            </w:r>
            <w:r>
              <w:rPr>
                <w:rFonts w:cs="Arial"/>
                <w:bCs/>
                <w:iCs/>
                <w:color w:val="0D0D0D" w:themeColor="text1" w:themeTint="F2"/>
                <w:spacing w:val="-4"/>
                <w:sz w:val="16"/>
                <w:szCs w:val="16"/>
              </w:rPr>
              <w:t xml:space="preserve"> rozdílů měr</w:t>
            </w:r>
            <w:r w:rsidRPr="00976BD9">
              <w:rPr>
                <w:rFonts w:cs="Arial"/>
                <w:bCs/>
                <w:iCs/>
                <w:color w:val="0D0D0D" w:themeColor="text1" w:themeTint="F2"/>
                <w:spacing w:val="-4"/>
                <w:sz w:val="16"/>
                <w:szCs w:val="16"/>
              </w:rPr>
              <w:t xml:space="preserve"> podle úrovně vzdělání</w:t>
            </w:r>
          </w:p>
        </w:tc>
        <w:tc>
          <w:tcPr>
            <w:tcW w:w="142" w:type="pct"/>
          </w:tcPr>
          <w:p w:rsidR="007A4048" w:rsidRPr="009720D9" w:rsidRDefault="007A4048" w:rsidP="0002434F">
            <w:pPr>
              <w:pStyle w:val="Textpoznpodarou"/>
              <w:jc w:val="both"/>
              <w:rPr>
                <w:color w:val="0D0D0D" w:themeColor="text1" w:themeTint="F2"/>
              </w:rPr>
            </w:pPr>
          </w:p>
        </w:tc>
        <w:tc>
          <w:tcPr>
            <w:tcW w:w="3804" w:type="pct"/>
          </w:tcPr>
          <w:p w:rsidR="007A4048" w:rsidRPr="004017CE" w:rsidRDefault="007A4048" w:rsidP="0002434F">
            <w:pPr>
              <w:pStyle w:val="Textpoznpodarou"/>
              <w:jc w:val="both"/>
              <w:rPr>
                <w:spacing w:val="-4"/>
              </w:rPr>
            </w:pPr>
            <w:r w:rsidRPr="004017CE">
              <w:rPr>
                <w:rFonts w:cs="Arial"/>
                <w:color w:val="0D0D0D" w:themeColor="text1" w:themeTint="F2"/>
                <w:spacing w:val="-4"/>
              </w:rPr>
              <w:t>Česko se poprvé v historii svého členství v EU stalo v tomto uskupení zemí s nejnižší mírou nezaměstnanosti, když v lednu 2016 těsně překonalo dosud nejlépe postavené Německo. Méně příznivé postavení přetrvávalo u dlouhodobé nezaměstnanosti i osob s nejnižším stupněm vzdělání.</w:t>
            </w:r>
          </w:p>
          <w:p w:rsidR="007A4048" w:rsidRPr="00AA5F10" w:rsidRDefault="007A4048" w:rsidP="0002434F">
            <w:pPr>
              <w:pStyle w:val="Textpoznpodarou"/>
              <w:jc w:val="both"/>
              <w:rPr>
                <w:rFonts w:cs="Arial"/>
                <w:color w:val="0D0D0D" w:themeColor="text1" w:themeTint="F2"/>
                <w:spacing w:val="-4"/>
                <w:sz w:val="14"/>
                <w:szCs w:val="14"/>
              </w:rPr>
            </w:pPr>
          </w:p>
        </w:tc>
      </w:tr>
      <w:tr w:rsidR="007A4048" w:rsidTr="0002434F">
        <w:tc>
          <w:tcPr>
            <w:tcW w:w="1054" w:type="pct"/>
          </w:tcPr>
          <w:p w:rsidR="007A4048" w:rsidRPr="00635065" w:rsidRDefault="007A4048" w:rsidP="0002434F">
            <w:pPr>
              <w:spacing w:line="240" w:lineRule="auto"/>
              <w:rPr>
                <w:rFonts w:cs="Arial"/>
                <w:bCs/>
                <w:iCs/>
                <w:color w:val="0D0D0D" w:themeColor="text1" w:themeTint="F2"/>
                <w:spacing w:val="-2"/>
                <w:sz w:val="16"/>
                <w:szCs w:val="16"/>
              </w:rPr>
            </w:pPr>
            <w:r w:rsidRPr="00635065">
              <w:rPr>
                <w:rFonts w:cs="Arial"/>
                <w:bCs/>
                <w:iCs/>
                <w:color w:val="0D0D0D" w:themeColor="text1" w:themeTint="F2"/>
                <w:spacing w:val="-2"/>
                <w:sz w:val="16"/>
                <w:szCs w:val="16"/>
              </w:rPr>
              <w:t>Mírně zrychlují</w:t>
            </w:r>
            <w:r>
              <w:rPr>
                <w:rFonts w:cs="Arial"/>
                <w:bCs/>
                <w:iCs/>
                <w:color w:val="0D0D0D" w:themeColor="text1" w:themeTint="F2"/>
                <w:spacing w:val="-2"/>
                <w:sz w:val="16"/>
                <w:szCs w:val="16"/>
              </w:rPr>
              <w:t>cí</w:t>
            </w:r>
            <w:r w:rsidRPr="00635065">
              <w:rPr>
                <w:rFonts w:cs="Arial"/>
                <w:bCs/>
                <w:iCs/>
                <w:color w:val="0D0D0D" w:themeColor="text1" w:themeTint="F2"/>
                <w:spacing w:val="-2"/>
                <w:sz w:val="16"/>
                <w:szCs w:val="16"/>
              </w:rPr>
              <w:t xml:space="preserve"> meziroční tempo růstu mezd zaměstnanců během roku 2015 následně </w:t>
            </w:r>
            <w:r>
              <w:rPr>
                <w:rFonts w:cs="Arial"/>
                <w:bCs/>
                <w:iCs/>
                <w:color w:val="0D0D0D" w:themeColor="text1" w:themeTint="F2"/>
                <w:spacing w:val="-2"/>
                <w:sz w:val="16"/>
                <w:szCs w:val="16"/>
              </w:rPr>
              <w:t>v 1. č</w:t>
            </w:r>
            <w:r w:rsidRPr="00635065">
              <w:rPr>
                <w:rFonts w:cs="Arial"/>
                <w:bCs/>
                <w:iCs/>
                <w:color w:val="0D0D0D" w:themeColor="text1" w:themeTint="F2"/>
                <w:spacing w:val="-2"/>
                <w:sz w:val="16"/>
                <w:szCs w:val="16"/>
              </w:rPr>
              <w:t>tvrtletí akcelerovalo na 4,4 %, nejvyšší hodnotu za posledních sedm let</w:t>
            </w:r>
          </w:p>
          <w:p w:rsidR="007A4048" w:rsidRPr="00635065" w:rsidRDefault="007A4048" w:rsidP="0002434F">
            <w:pPr>
              <w:spacing w:line="240" w:lineRule="auto"/>
              <w:rPr>
                <w:rFonts w:cs="Arial"/>
                <w:bCs/>
                <w:iCs/>
                <w:color w:val="0D0D0D" w:themeColor="text1" w:themeTint="F2"/>
                <w:spacing w:val="-2"/>
                <w:sz w:val="16"/>
                <w:szCs w:val="16"/>
              </w:rPr>
            </w:pPr>
          </w:p>
          <w:p w:rsidR="007A4048" w:rsidRPr="00635065" w:rsidRDefault="007A4048" w:rsidP="0002434F">
            <w:pPr>
              <w:spacing w:line="240" w:lineRule="auto"/>
              <w:rPr>
                <w:rFonts w:cs="Arial"/>
                <w:bCs/>
                <w:iCs/>
                <w:color w:val="0D0D0D" w:themeColor="text1" w:themeTint="F2"/>
                <w:spacing w:val="-2"/>
                <w:sz w:val="16"/>
                <w:szCs w:val="16"/>
              </w:rPr>
            </w:pPr>
          </w:p>
        </w:tc>
        <w:tc>
          <w:tcPr>
            <w:tcW w:w="142" w:type="pct"/>
          </w:tcPr>
          <w:p w:rsidR="007A4048" w:rsidRPr="009720D9" w:rsidRDefault="007A4048" w:rsidP="0002434F">
            <w:pPr>
              <w:pStyle w:val="Textpoznpodarou"/>
              <w:jc w:val="both"/>
              <w:rPr>
                <w:color w:val="0D0D0D" w:themeColor="text1" w:themeTint="F2"/>
              </w:rPr>
            </w:pPr>
          </w:p>
        </w:tc>
        <w:tc>
          <w:tcPr>
            <w:tcW w:w="3804" w:type="pct"/>
          </w:tcPr>
          <w:p w:rsidR="007A4048" w:rsidRPr="003E7065" w:rsidRDefault="007A4048" w:rsidP="0002434F">
            <w:pPr>
              <w:pStyle w:val="Textpoznpodarou"/>
              <w:jc w:val="both"/>
              <w:rPr>
                <w:spacing w:val="-4"/>
              </w:rPr>
            </w:pPr>
            <w:r w:rsidRPr="003E7065">
              <w:rPr>
                <w:rFonts w:cs="Arial"/>
                <w:color w:val="0D0D0D" w:themeColor="text1" w:themeTint="F2"/>
                <w:spacing w:val="-4"/>
              </w:rPr>
              <w:t>Pokračující růst zásoby práce zejména v klíčových exportně orientovaných odvětvích ekonomiky v kombinaci s nízkou dosud klesající úrovní nezaměstnanosti, jakož i stále častěji pociťovaným nedostatkem pracovní síly (jak v kvalifikovaných zejména technicky zaměřených oborech, ale i v některých náročných manuálních činno</w:t>
            </w:r>
            <w:r>
              <w:rPr>
                <w:rFonts w:cs="Arial"/>
                <w:color w:val="0D0D0D" w:themeColor="text1" w:themeTint="F2"/>
                <w:spacing w:val="-4"/>
              </w:rPr>
              <w:t>stech s dosud nízkou úrovní výdělků</w:t>
            </w:r>
            <w:r w:rsidRPr="003E7065">
              <w:rPr>
                <w:rFonts w:cs="Arial"/>
                <w:color w:val="0D0D0D" w:themeColor="text1" w:themeTint="F2"/>
                <w:spacing w:val="-4"/>
              </w:rPr>
              <w:t>)</w:t>
            </w:r>
            <w:r>
              <w:rPr>
                <w:rFonts w:cs="Arial"/>
                <w:color w:val="0D0D0D" w:themeColor="text1" w:themeTint="F2"/>
                <w:spacing w:val="-4"/>
              </w:rPr>
              <w:t>,</w:t>
            </w:r>
            <w:r w:rsidRPr="003E7065">
              <w:rPr>
                <w:rFonts w:cs="Arial"/>
                <w:color w:val="0D0D0D" w:themeColor="text1" w:themeTint="F2"/>
                <w:spacing w:val="-4"/>
              </w:rPr>
              <w:t xml:space="preserve"> byly klíčovými determinanty vývoje mezd na počátku roku. Přistoupily k tomu ještě vlivy spíše „administrativního charakteru“ – opakované zvýšení minimální m</w:t>
            </w:r>
            <w:r w:rsidR="000B3B01">
              <w:rPr>
                <w:rFonts w:cs="Arial"/>
                <w:color w:val="0D0D0D" w:themeColor="text1" w:themeTint="F2"/>
                <w:spacing w:val="-4"/>
              </w:rPr>
              <w:t>zdy a nárůst platových tarifů státních zaměstnanců</w:t>
            </w:r>
            <w:r w:rsidRPr="003E7065">
              <w:rPr>
                <w:rFonts w:cs="Arial"/>
                <w:color w:val="0D0D0D" w:themeColor="text1" w:themeTint="F2"/>
                <w:spacing w:val="-4"/>
              </w:rPr>
              <w:t>.</w:t>
            </w:r>
            <w:r>
              <w:rPr>
                <w:rFonts w:cs="Arial"/>
                <w:color w:val="0D0D0D" w:themeColor="text1" w:themeTint="F2"/>
                <w:spacing w:val="-4"/>
              </w:rPr>
              <w:t xml:space="preserve"> Meziroční t</w:t>
            </w:r>
            <w:r w:rsidRPr="003E7065">
              <w:rPr>
                <w:rFonts w:cs="Arial"/>
                <w:color w:val="0D0D0D" w:themeColor="text1" w:themeTint="F2"/>
                <w:spacing w:val="-4"/>
              </w:rPr>
              <w:t>empo růstu průměrných mezd (</w:t>
            </w:r>
            <w:r w:rsidRPr="003E7065">
              <w:rPr>
                <w:spacing w:val="-4"/>
              </w:rPr>
              <w:t xml:space="preserve">na přepočtené počty zaměstnanců) v 1. </w:t>
            </w:r>
            <w:r w:rsidR="000B3B01">
              <w:rPr>
                <w:spacing w:val="-4"/>
              </w:rPr>
              <w:t>čtvrtletí akcelerovalo na 4,4 %.</w:t>
            </w:r>
            <w:r w:rsidRPr="003E7065">
              <w:rPr>
                <w:spacing w:val="-4"/>
              </w:rPr>
              <w:t xml:space="preserve"> </w:t>
            </w:r>
            <w:r w:rsidRPr="003E7065">
              <w:rPr>
                <w:rFonts w:cs="Arial"/>
                <w:color w:val="0D0D0D" w:themeColor="text1" w:themeTint="F2"/>
                <w:spacing w:val="-4"/>
              </w:rPr>
              <w:t>Relativně nejvíce si polepšili zaměstnanci v</w:t>
            </w:r>
            <w:r>
              <w:rPr>
                <w:rFonts w:cs="Arial"/>
                <w:color w:val="0D0D0D" w:themeColor="text1" w:themeTint="F2"/>
                <w:spacing w:val="-4"/>
              </w:rPr>
              <w:t xml:space="preserve"> odvětvích s nízkou úrovní mezd – šlo o </w:t>
            </w:r>
            <w:r w:rsidRPr="003E7065">
              <w:rPr>
                <w:rFonts w:cs="Arial"/>
                <w:color w:val="0D0D0D" w:themeColor="text1" w:themeTint="F2"/>
                <w:spacing w:val="-4"/>
              </w:rPr>
              <w:t>ubytování, str</w:t>
            </w:r>
            <w:r>
              <w:rPr>
                <w:rFonts w:cs="Arial"/>
                <w:color w:val="0D0D0D" w:themeColor="text1" w:themeTint="F2"/>
                <w:spacing w:val="-4"/>
              </w:rPr>
              <w:t xml:space="preserve">avování a pohostinství (7,2 %), </w:t>
            </w:r>
            <w:r w:rsidRPr="003E7065">
              <w:rPr>
                <w:rFonts w:cs="Arial"/>
                <w:color w:val="0D0D0D" w:themeColor="text1" w:themeTint="F2"/>
                <w:spacing w:val="-4"/>
              </w:rPr>
              <w:t>administrativní</w:t>
            </w:r>
            <w:r>
              <w:rPr>
                <w:rFonts w:cs="Arial"/>
                <w:color w:val="0D0D0D" w:themeColor="text1" w:themeTint="F2"/>
                <w:spacing w:val="-4"/>
              </w:rPr>
              <w:t xml:space="preserve"> a</w:t>
            </w:r>
            <w:r w:rsidR="000B3B01">
              <w:rPr>
                <w:rFonts w:cs="Arial"/>
                <w:color w:val="0D0D0D" w:themeColor="text1" w:themeTint="F2"/>
                <w:spacing w:val="-4"/>
              </w:rPr>
              <w:t> </w:t>
            </w:r>
            <w:r>
              <w:rPr>
                <w:rFonts w:cs="Arial"/>
                <w:color w:val="0D0D0D" w:themeColor="text1" w:themeTint="F2"/>
                <w:spacing w:val="-4"/>
              </w:rPr>
              <w:t>podpůrné činnosti</w:t>
            </w:r>
            <w:r w:rsidRPr="003E7065">
              <w:rPr>
                <w:rFonts w:cs="Arial"/>
                <w:color w:val="0D0D0D" w:themeColor="text1" w:themeTint="F2"/>
                <w:spacing w:val="-4"/>
              </w:rPr>
              <w:t xml:space="preserve"> (6,5 %) a kulturní, zábavní</w:t>
            </w:r>
            <w:r>
              <w:rPr>
                <w:rFonts w:cs="Arial"/>
                <w:color w:val="0D0D0D" w:themeColor="text1" w:themeTint="F2"/>
                <w:spacing w:val="-4"/>
              </w:rPr>
              <w:t xml:space="preserve"> a</w:t>
            </w:r>
            <w:r w:rsidRPr="003E7065">
              <w:rPr>
                <w:rFonts w:cs="Arial"/>
                <w:color w:val="0D0D0D" w:themeColor="text1" w:themeTint="F2"/>
                <w:spacing w:val="-4"/>
              </w:rPr>
              <w:t> rekreační činnost</w:t>
            </w:r>
            <w:r>
              <w:rPr>
                <w:rFonts w:cs="Arial"/>
                <w:color w:val="0D0D0D" w:themeColor="text1" w:themeTint="F2"/>
                <w:spacing w:val="-4"/>
              </w:rPr>
              <w:t>i</w:t>
            </w:r>
            <w:r w:rsidRPr="003E7065">
              <w:rPr>
                <w:rFonts w:cs="Arial"/>
                <w:color w:val="0D0D0D" w:themeColor="text1" w:themeTint="F2"/>
                <w:spacing w:val="-4"/>
              </w:rPr>
              <w:t xml:space="preserve"> (6</w:t>
            </w:r>
            <w:r>
              <w:rPr>
                <w:rFonts w:cs="Arial"/>
                <w:color w:val="0D0D0D" w:themeColor="text1" w:themeTint="F2"/>
                <w:spacing w:val="-4"/>
              </w:rPr>
              <w:t> </w:t>
            </w:r>
            <w:r w:rsidRPr="003E7065">
              <w:rPr>
                <w:rFonts w:cs="Arial"/>
                <w:color w:val="0D0D0D" w:themeColor="text1" w:themeTint="F2"/>
                <w:spacing w:val="-4"/>
              </w:rPr>
              <w:t xml:space="preserve">%). Z lépe placených odvětví šlo o veřejnou správu, obranu a sociální zabezpečení (5,8 %), a to hlavně v oblasti vnitřní bezpečnosti státu. Nízký byl naopak (podobně jako v roce 2015) růst mezd, ale i zaměstnanosti ve vzdělávání a finančním sektoru. </w:t>
            </w:r>
          </w:p>
          <w:p w:rsidR="007A4048" w:rsidRPr="00AA5F10" w:rsidRDefault="007A4048" w:rsidP="0002434F">
            <w:pPr>
              <w:pStyle w:val="Textpoznpodarou"/>
              <w:jc w:val="both"/>
              <w:rPr>
                <w:rFonts w:cs="Arial"/>
                <w:color w:val="0D0D0D" w:themeColor="text1" w:themeTint="F2"/>
                <w:spacing w:val="-4"/>
                <w:sz w:val="16"/>
                <w:szCs w:val="16"/>
              </w:rPr>
            </w:pPr>
          </w:p>
        </w:tc>
      </w:tr>
      <w:tr w:rsidR="007A4048" w:rsidTr="0002434F">
        <w:tc>
          <w:tcPr>
            <w:tcW w:w="1054" w:type="pct"/>
          </w:tcPr>
          <w:p w:rsidR="007A4048" w:rsidRPr="00635065" w:rsidRDefault="007A4048" w:rsidP="0002434F">
            <w:pPr>
              <w:spacing w:line="240" w:lineRule="auto"/>
              <w:rPr>
                <w:rFonts w:cs="Arial"/>
                <w:bCs/>
                <w:iCs/>
                <w:color w:val="0D0D0D" w:themeColor="text1" w:themeTint="F2"/>
                <w:spacing w:val="-2"/>
                <w:sz w:val="16"/>
                <w:szCs w:val="16"/>
              </w:rPr>
            </w:pPr>
            <w:r w:rsidRPr="00635065">
              <w:rPr>
                <w:rFonts w:cs="Arial"/>
                <w:bCs/>
                <w:iCs/>
                <w:color w:val="0D0D0D" w:themeColor="text1" w:themeTint="F2"/>
                <w:spacing w:val="-2"/>
                <w:sz w:val="16"/>
                <w:szCs w:val="16"/>
              </w:rPr>
              <w:t>Nízkoi</w:t>
            </w:r>
            <w:r>
              <w:rPr>
                <w:rFonts w:cs="Arial"/>
                <w:bCs/>
                <w:iCs/>
                <w:color w:val="0D0D0D" w:themeColor="text1" w:themeTint="F2"/>
                <w:spacing w:val="-2"/>
                <w:sz w:val="16"/>
                <w:szCs w:val="16"/>
              </w:rPr>
              <w:t xml:space="preserve">nflační prostředí zvýraznilo akcelerační efekt růstu mezd, jejich kupní síla vzrostla nejvíce za posledních sedm let </w:t>
            </w:r>
          </w:p>
        </w:tc>
        <w:tc>
          <w:tcPr>
            <w:tcW w:w="142" w:type="pct"/>
          </w:tcPr>
          <w:p w:rsidR="007A4048" w:rsidRPr="009720D9" w:rsidRDefault="007A4048" w:rsidP="0002434F">
            <w:pPr>
              <w:pStyle w:val="Textpoznpodarou"/>
              <w:jc w:val="both"/>
              <w:rPr>
                <w:color w:val="0D0D0D" w:themeColor="text1" w:themeTint="F2"/>
              </w:rPr>
            </w:pPr>
          </w:p>
        </w:tc>
        <w:tc>
          <w:tcPr>
            <w:tcW w:w="3804" w:type="pct"/>
          </w:tcPr>
          <w:p w:rsidR="007A4048" w:rsidRPr="00772EBD" w:rsidRDefault="007A4048" w:rsidP="0002434F">
            <w:pPr>
              <w:pStyle w:val="Textpoznpodarou"/>
              <w:jc w:val="both"/>
              <w:rPr>
                <w:spacing w:val="-4"/>
              </w:rPr>
            </w:pPr>
            <w:r w:rsidRPr="003E7065">
              <w:rPr>
                <w:spacing w:val="-4"/>
              </w:rPr>
              <w:t>Mzdový medián se zvýšil o 6,5 %, nejvíce od roku 2008. Diferenciace mezd poklesl</w:t>
            </w:r>
            <w:r>
              <w:rPr>
                <w:spacing w:val="-4"/>
              </w:rPr>
              <w:t xml:space="preserve">a. Snížily se meziodvětvové i meziregionální diference, </w:t>
            </w:r>
            <w:r w:rsidRPr="003E7065">
              <w:rPr>
                <w:spacing w:val="-4"/>
              </w:rPr>
              <w:t>když nejvíce rostly výdělky v krajích s tradičně nízkou úrovní mezd (Karlovarsko, Olomoucko). Nízká míra inflace a zrychlující růst průměrné mzdy se příznivě odrazily ve vývoji kupní síly výdělků. Dynamika reálných mezd v 1. čtvrtletí zrychlila na 3,9 % (po 2,</w:t>
            </w:r>
            <w:r w:rsidR="00A90343">
              <w:rPr>
                <w:spacing w:val="-4"/>
              </w:rPr>
              <w:t>4</w:t>
            </w:r>
            <w:r w:rsidRPr="003E7065">
              <w:rPr>
                <w:rFonts w:cs="Arial"/>
                <w:color w:val="0D0D0D" w:themeColor="text1" w:themeTint="F2"/>
                <w:spacing w:val="-4"/>
              </w:rPr>
              <w:t> </w:t>
            </w:r>
            <w:r w:rsidRPr="003E7065">
              <w:rPr>
                <w:spacing w:val="-4"/>
              </w:rPr>
              <w:t>% za celý rok 2015). Jednalo se o nejvyšší růst od konce roku 2009, kdy však byl růst mezd doprovázen citelnou redukcí zaměstnanosti.</w:t>
            </w:r>
          </w:p>
        </w:tc>
      </w:tr>
    </w:tbl>
    <w:p w:rsidR="000C5D56" w:rsidRPr="00AA5F10" w:rsidRDefault="000C5D56" w:rsidP="004762D8">
      <w:pPr>
        <w:rPr>
          <w:sz w:val="14"/>
          <w:szCs w:val="14"/>
          <w:lang w:eastAsia="ar-SA"/>
        </w:rPr>
      </w:pPr>
    </w:p>
    <w:tbl>
      <w:tblPr>
        <w:tblW w:w="5079" w:type="pct"/>
        <w:tblCellMar>
          <w:left w:w="28" w:type="dxa"/>
          <w:right w:w="28" w:type="dxa"/>
        </w:tblCellMar>
        <w:tblLook w:val="04A0"/>
      </w:tblPr>
      <w:tblGrid>
        <w:gridCol w:w="757"/>
        <w:gridCol w:w="4220"/>
        <w:gridCol w:w="701"/>
        <w:gridCol w:w="4169"/>
      </w:tblGrid>
      <w:tr w:rsidR="007A4048" w:rsidTr="007A4048">
        <w:tc>
          <w:tcPr>
            <w:tcW w:w="384" w:type="pct"/>
          </w:tcPr>
          <w:p w:rsidR="007A4048" w:rsidRPr="007E77FB" w:rsidRDefault="007A4048" w:rsidP="0002434F">
            <w:pPr>
              <w:pStyle w:val="Textpoznpodarou"/>
              <w:rPr>
                <w:lang w:eastAsia="en-US"/>
              </w:rPr>
            </w:pPr>
            <w:r w:rsidRPr="007E77FB">
              <w:rPr>
                <w:lang w:eastAsia="en-US"/>
              </w:rPr>
              <w:t>Graf č. 15</w:t>
            </w:r>
          </w:p>
        </w:tc>
        <w:tc>
          <w:tcPr>
            <w:tcW w:w="2143" w:type="pct"/>
          </w:tcPr>
          <w:p w:rsidR="007A4048" w:rsidRPr="007E77FB" w:rsidRDefault="007A4048" w:rsidP="0002434F">
            <w:pPr>
              <w:pStyle w:val="Textpoznpodarou"/>
              <w:rPr>
                <w:lang w:eastAsia="en-US"/>
              </w:rPr>
            </w:pPr>
            <w:r w:rsidRPr="00886A8F">
              <w:rPr>
                <w:b/>
                <w:lang w:eastAsia="en-US"/>
              </w:rPr>
              <w:t xml:space="preserve">Počty zaměstnaných osob a zaměstnanců </w:t>
            </w:r>
            <w:r w:rsidRPr="00582DA0">
              <w:rPr>
                <w:spacing w:val="-4"/>
                <w:lang w:eastAsia="en-US"/>
              </w:rPr>
              <w:t>(</w:t>
            </w:r>
            <w:r>
              <w:rPr>
                <w:spacing w:val="-4"/>
                <w:lang w:eastAsia="en-US"/>
              </w:rPr>
              <w:t>po</w:t>
            </w:r>
            <w:r w:rsidRPr="00582DA0">
              <w:rPr>
                <w:spacing w:val="-4"/>
                <w:lang w:eastAsia="en-US"/>
              </w:rPr>
              <w:t>dle</w:t>
            </w:r>
            <w:r>
              <w:rPr>
                <w:spacing w:val="-4"/>
                <w:lang w:eastAsia="en-US"/>
              </w:rPr>
              <w:t xml:space="preserve"> národních účtů</w:t>
            </w:r>
            <w:r w:rsidRPr="00582DA0">
              <w:rPr>
                <w:spacing w:val="-4"/>
                <w:lang w:eastAsia="en-US"/>
              </w:rPr>
              <w:t xml:space="preserve">, </w:t>
            </w:r>
            <w:r>
              <w:rPr>
                <w:spacing w:val="-4"/>
                <w:lang w:eastAsia="en-US"/>
              </w:rPr>
              <w:t xml:space="preserve">sezónně oč., </w:t>
            </w:r>
            <w:r w:rsidRPr="00582DA0">
              <w:rPr>
                <w:spacing w:val="-4"/>
                <w:lang w:eastAsia="en-US"/>
              </w:rPr>
              <w:t>y/y v %)</w:t>
            </w:r>
          </w:p>
        </w:tc>
        <w:tc>
          <w:tcPr>
            <w:tcW w:w="356" w:type="pct"/>
          </w:tcPr>
          <w:p w:rsidR="007A4048" w:rsidRPr="007E77FB" w:rsidRDefault="007A4048" w:rsidP="0002434F">
            <w:pPr>
              <w:pStyle w:val="Textpoznpodarou"/>
              <w:rPr>
                <w:lang w:eastAsia="en-US"/>
              </w:rPr>
            </w:pPr>
            <w:r w:rsidRPr="007E77FB">
              <w:rPr>
                <w:lang w:eastAsia="en-US"/>
              </w:rPr>
              <w:t>Graf č. 16</w:t>
            </w:r>
          </w:p>
        </w:tc>
        <w:tc>
          <w:tcPr>
            <w:tcW w:w="2117" w:type="pct"/>
          </w:tcPr>
          <w:p w:rsidR="007A4048" w:rsidRPr="00886A8F" w:rsidRDefault="000C5D56" w:rsidP="0002434F">
            <w:pPr>
              <w:pStyle w:val="Textpoznpodarou"/>
              <w:rPr>
                <w:spacing w:val="-2"/>
                <w:lang w:eastAsia="en-US"/>
              </w:rPr>
            </w:pPr>
            <w:r>
              <w:rPr>
                <w:b/>
                <w:spacing w:val="-2"/>
                <w:lang w:eastAsia="en-US"/>
              </w:rPr>
              <w:t>H</w:t>
            </w:r>
            <w:r w:rsidR="007A4048" w:rsidRPr="00886A8F">
              <w:rPr>
                <w:b/>
                <w:spacing w:val="-2"/>
                <w:lang w:eastAsia="en-US"/>
              </w:rPr>
              <w:t xml:space="preserve">rubá měsíční mzda nominálně a reálně </w:t>
            </w:r>
            <w:r w:rsidR="007A4048" w:rsidRPr="00582DA0">
              <w:rPr>
                <w:spacing w:val="-6"/>
                <w:lang w:eastAsia="en-US"/>
              </w:rPr>
              <w:t>(přepočtené počty zaměstnanců, y/y v %)</w:t>
            </w:r>
          </w:p>
        </w:tc>
      </w:tr>
      <w:tr w:rsidR="007A4048" w:rsidTr="0002434F">
        <w:tc>
          <w:tcPr>
            <w:tcW w:w="2527" w:type="pct"/>
            <w:gridSpan w:val="2"/>
          </w:tcPr>
          <w:p w:rsidR="007A4048" w:rsidRDefault="00CE505D" w:rsidP="0002434F">
            <w:pPr>
              <w:pStyle w:val="Textpoznpodarou"/>
              <w:jc w:val="both"/>
            </w:pPr>
            <w:r>
              <w:pict>
                <v:shape id="_x0000_i1039" type="#_x0000_t75" style="width:246.05pt;height:187.2pt">
                  <v:imagedata r:id="rId26" o:title=""/>
                </v:shape>
              </w:pict>
            </w:r>
          </w:p>
        </w:tc>
        <w:tc>
          <w:tcPr>
            <w:tcW w:w="2473" w:type="pct"/>
            <w:gridSpan w:val="2"/>
          </w:tcPr>
          <w:p w:rsidR="007A4048" w:rsidRDefault="00CE505D" w:rsidP="0002434F">
            <w:pPr>
              <w:pStyle w:val="Textpoznpodarou"/>
              <w:jc w:val="both"/>
            </w:pPr>
            <w:r>
              <w:pict>
                <v:shape id="_x0000_i1040" type="#_x0000_t75" style="width:238.55pt;height:187.2pt">
                  <v:imagedata r:id="rId27" o:title=""/>
                </v:shape>
              </w:pict>
            </w:r>
          </w:p>
        </w:tc>
      </w:tr>
      <w:tr w:rsidR="007A4048" w:rsidTr="0002434F">
        <w:tc>
          <w:tcPr>
            <w:tcW w:w="5000" w:type="pct"/>
            <w:gridSpan w:val="4"/>
          </w:tcPr>
          <w:p w:rsidR="007A4048" w:rsidRPr="004C5813" w:rsidRDefault="007A4048" w:rsidP="0002434F">
            <w:pPr>
              <w:autoSpaceDE w:val="0"/>
              <w:autoSpaceDN w:val="0"/>
              <w:adjustRightInd w:val="0"/>
              <w:spacing w:line="240" w:lineRule="auto"/>
              <w:jc w:val="right"/>
              <w:rPr>
                <w:rFonts w:cs="Arial"/>
                <w:color w:val="000000" w:themeColor="text1"/>
                <w:spacing w:val="-2"/>
                <w:sz w:val="18"/>
                <w:szCs w:val="18"/>
              </w:rPr>
            </w:pPr>
            <w:r w:rsidRPr="00886A8F">
              <w:rPr>
                <w:sz w:val="18"/>
                <w:szCs w:val="18"/>
                <w:lang w:eastAsia="en-US"/>
              </w:rPr>
              <w:t>Zdroj: ČSÚ</w:t>
            </w:r>
          </w:p>
        </w:tc>
      </w:tr>
    </w:tbl>
    <w:p w:rsidR="00ED3A94" w:rsidRPr="007A4048" w:rsidRDefault="00ED3A94" w:rsidP="004762D8">
      <w:pPr>
        <w:rPr>
          <w:sz w:val="2"/>
          <w:szCs w:val="2"/>
          <w:lang w:eastAsia="ar-SA"/>
        </w:rPr>
      </w:pPr>
    </w:p>
    <w:p w:rsidR="00576A3E" w:rsidRDefault="00576A3E" w:rsidP="006D142E">
      <w:pPr>
        <w:pStyle w:val="Nadpis1"/>
        <w:numPr>
          <w:ilvl w:val="0"/>
          <w:numId w:val="3"/>
        </w:numPr>
        <w:jc w:val="both"/>
      </w:pPr>
      <w:bookmarkStart w:id="9" w:name="_Toc454185154"/>
      <w:r>
        <w:t>Měnové podmínky</w:t>
      </w:r>
      <w:bookmarkEnd w:id="9"/>
    </w:p>
    <w:tbl>
      <w:tblPr>
        <w:tblW w:w="5000" w:type="pct"/>
        <w:tblLayout w:type="fixed"/>
        <w:tblLook w:val="00A0"/>
      </w:tblPr>
      <w:tblGrid>
        <w:gridCol w:w="2077"/>
        <w:gridCol w:w="282"/>
        <w:gridCol w:w="7495"/>
      </w:tblGrid>
      <w:tr w:rsidR="007A4048" w:rsidRPr="00831EC2" w:rsidTr="0002434F">
        <w:tc>
          <w:tcPr>
            <w:tcW w:w="1054" w:type="pct"/>
          </w:tcPr>
          <w:p w:rsidR="007A4048" w:rsidRPr="00C05F70" w:rsidRDefault="007A4048" w:rsidP="0002434F">
            <w:pPr>
              <w:spacing w:line="240" w:lineRule="auto"/>
              <w:rPr>
                <w:sz w:val="16"/>
                <w:szCs w:val="16"/>
              </w:rPr>
            </w:pPr>
            <w:r w:rsidRPr="00C05F70">
              <w:rPr>
                <w:sz w:val="16"/>
                <w:szCs w:val="16"/>
              </w:rPr>
              <w:t>Měnová politika je stále uvolněná, meziroční posílení koruny k euru při její stagnaci k americkému dolaru ale po</w:t>
            </w:r>
            <w:r>
              <w:rPr>
                <w:sz w:val="16"/>
                <w:szCs w:val="16"/>
              </w:rPr>
              <w:t>ukazuje na mírné</w:t>
            </w:r>
            <w:r w:rsidRPr="00C05F70">
              <w:rPr>
                <w:sz w:val="16"/>
                <w:szCs w:val="16"/>
              </w:rPr>
              <w:t xml:space="preserve"> snížení expanzivity měnových podmínek</w:t>
            </w:r>
          </w:p>
        </w:tc>
        <w:tc>
          <w:tcPr>
            <w:tcW w:w="143" w:type="pct"/>
          </w:tcPr>
          <w:p w:rsidR="007A4048" w:rsidRPr="00C05F70" w:rsidRDefault="007A4048" w:rsidP="0002434F">
            <w:pPr>
              <w:pStyle w:val="Textpoznpodarou"/>
              <w:jc w:val="both"/>
            </w:pPr>
          </w:p>
        </w:tc>
        <w:tc>
          <w:tcPr>
            <w:tcW w:w="3803" w:type="pct"/>
          </w:tcPr>
          <w:p w:rsidR="007A4048" w:rsidRPr="00C05F70" w:rsidRDefault="007A4048" w:rsidP="0002434F">
            <w:pPr>
              <w:pStyle w:val="Textpoznpodarou"/>
              <w:jc w:val="both"/>
            </w:pPr>
            <w:r w:rsidRPr="00C05F70">
              <w:t>Měnová politika</w:t>
            </w:r>
            <w:r w:rsidR="00F47321">
              <w:t xml:space="preserve"> ČR</w:t>
            </w:r>
            <w:r w:rsidRPr="00C05F70">
              <w:t xml:space="preserve"> přetrvává uvolněná a stimuluje tak hospodářský růst </w:t>
            </w:r>
            <w:r w:rsidR="00F47321">
              <w:t xml:space="preserve">domácí </w:t>
            </w:r>
            <w:r w:rsidRPr="00C05F70">
              <w:t xml:space="preserve">ekonomiky i cenový vývoj. 2T repo sazba a diskontní sazba jsou stále na úrovni blízké nule (0,05 %), lombardní sazba rovněž (0,25 %). Měnový kurz koruny k euru je od listopadu 2013 usměrňovaný závazkem ČNB, kurz koruny k americkému dolaru kolísá od počátku loňského roku kolem 25 korun za dolar. V 1. čtvrtletí 2016 byla koruna k euru v meziročním srovnání silnější o 2,1 %, když se v loňském červenci přimkla těsně k hranici 27 korun za euro. Vůči dolaru se kurz koruny nezměnil. Peněžní zásoba vyjádřená harmonizovaným měnovým agregátem M3 narostla v březnu 2016 meziročně o 9,4 %. Její tempo bylo mírně </w:t>
            </w:r>
            <w:r w:rsidRPr="0025592F">
              <w:t>nad průměrem 1. čtvrtletí a výrazně vyšší</w:t>
            </w:r>
            <w:r w:rsidR="004529C7">
              <w:t>,</w:t>
            </w:r>
            <w:r w:rsidRPr="0025592F">
              <w:t xml:space="preserve"> než odpovídalo průměru každého roku z</w:t>
            </w:r>
            <w:r>
              <w:t xml:space="preserve"> období</w:t>
            </w:r>
            <w:r w:rsidRPr="00C05F70">
              <w:t xml:space="preserve"> 2009 až 2015.</w:t>
            </w:r>
          </w:p>
          <w:p w:rsidR="007A4048" w:rsidRPr="00C05F70" w:rsidRDefault="007A4048" w:rsidP="0002434F">
            <w:pPr>
              <w:pStyle w:val="Textpoznpodarou"/>
              <w:jc w:val="both"/>
              <w:rPr>
                <w:sz w:val="16"/>
                <w:szCs w:val="16"/>
              </w:rPr>
            </w:pPr>
          </w:p>
        </w:tc>
      </w:tr>
      <w:tr w:rsidR="007A4048" w:rsidRPr="00831EC2" w:rsidTr="0002434F">
        <w:tc>
          <w:tcPr>
            <w:tcW w:w="1054" w:type="pct"/>
          </w:tcPr>
          <w:p w:rsidR="007A4048" w:rsidRPr="00F2151C" w:rsidRDefault="007A4048" w:rsidP="0002434F">
            <w:pPr>
              <w:spacing w:line="240" w:lineRule="auto"/>
              <w:rPr>
                <w:color w:val="000000" w:themeColor="text1"/>
                <w:sz w:val="16"/>
                <w:szCs w:val="16"/>
              </w:rPr>
            </w:pPr>
            <w:r w:rsidRPr="00F2151C">
              <w:rPr>
                <w:color w:val="000000" w:themeColor="text1"/>
                <w:sz w:val="16"/>
                <w:szCs w:val="16"/>
              </w:rPr>
              <w:t>Meziroční růst nominálního HDP zaostává za růstem harmonizovaného měnového agregátu M3 stále výrazněji</w:t>
            </w:r>
          </w:p>
        </w:tc>
        <w:tc>
          <w:tcPr>
            <w:tcW w:w="143" w:type="pct"/>
          </w:tcPr>
          <w:p w:rsidR="007A4048" w:rsidRPr="0025592F" w:rsidRDefault="007A4048" w:rsidP="0002434F">
            <w:pPr>
              <w:pStyle w:val="Textpoznpodarou"/>
              <w:jc w:val="both"/>
              <w:rPr>
                <w:color w:val="FF0000"/>
              </w:rPr>
            </w:pPr>
          </w:p>
        </w:tc>
        <w:tc>
          <w:tcPr>
            <w:tcW w:w="3803" w:type="pct"/>
          </w:tcPr>
          <w:p w:rsidR="007A4048" w:rsidRPr="00F2151C" w:rsidRDefault="007A4048" w:rsidP="0002434F">
            <w:pPr>
              <w:pStyle w:val="Textpoznpodarou"/>
              <w:jc w:val="both"/>
              <w:rPr>
                <w:color w:val="000000" w:themeColor="text1"/>
                <w:spacing w:val="-2"/>
              </w:rPr>
            </w:pPr>
            <w:r w:rsidRPr="00F2151C">
              <w:rPr>
                <w:color w:val="000000" w:themeColor="text1"/>
                <w:spacing w:val="-2"/>
              </w:rPr>
              <w:t>Meziroční vývoj nominálního HDP zaostává za dynamikou harmonizovaného měnového agregátu M3 a rychlost obratu peněz se snižuje. Ve větší míře k tomu dochází od 2. čtvrtletí 2015, přitom rozdíl v tempech HDP a peněžní zásoby se trvale zvětšuje. Zatímco ve 2. čtvrtletí loňského roku bylo průměrné tempo růstu harmonizovaného měnového agregátu M3 v porovnání s tempem nominálního HDP vyšší o 1,3 p.b</w:t>
            </w:r>
            <w:r>
              <w:rPr>
                <w:color w:val="000000" w:themeColor="text1"/>
                <w:spacing w:val="-2"/>
              </w:rPr>
              <w:t>., v 1. čtvrtletí 2016 již o 5,5</w:t>
            </w:r>
            <w:r w:rsidRPr="00F2151C">
              <w:rPr>
                <w:color w:val="000000" w:themeColor="text1"/>
                <w:spacing w:val="-2"/>
              </w:rPr>
              <w:t xml:space="preserve"> p.b.</w:t>
            </w:r>
          </w:p>
          <w:p w:rsidR="007A4048" w:rsidRPr="0025592F" w:rsidRDefault="007A4048" w:rsidP="0002434F">
            <w:pPr>
              <w:pStyle w:val="Textpoznpodarou"/>
              <w:jc w:val="both"/>
              <w:rPr>
                <w:color w:val="FF0000"/>
                <w:sz w:val="16"/>
                <w:szCs w:val="16"/>
              </w:rPr>
            </w:pPr>
          </w:p>
        </w:tc>
      </w:tr>
      <w:tr w:rsidR="007A4048" w:rsidRPr="00831EC2" w:rsidTr="0002434F">
        <w:tc>
          <w:tcPr>
            <w:tcW w:w="1054" w:type="pct"/>
          </w:tcPr>
          <w:p w:rsidR="007A4048" w:rsidRPr="00C05F70" w:rsidRDefault="007A4048" w:rsidP="0002434F">
            <w:pPr>
              <w:spacing w:line="240" w:lineRule="auto"/>
              <w:rPr>
                <w:sz w:val="16"/>
                <w:szCs w:val="16"/>
              </w:rPr>
            </w:pPr>
            <w:r>
              <w:rPr>
                <w:sz w:val="16"/>
                <w:szCs w:val="16"/>
              </w:rPr>
              <w:t>Na meziročním růstu peněžní zásoby participovaly drtivě jednodenní vklady</w:t>
            </w:r>
          </w:p>
        </w:tc>
        <w:tc>
          <w:tcPr>
            <w:tcW w:w="143" w:type="pct"/>
          </w:tcPr>
          <w:p w:rsidR="007A4048" w:rsidRPr="00C05F70" w:rsidRDefault="007A4048" w:rsidP="0002434F">
            <w:pPr>
              <w:pStyle w:val="Textpoznpodarou"/>
              <w:jc w:val="both"/>
            </w:pPr>
          </w:p>
        </w:tc>
        <w:tc>
          <w:tcPr>
            <w:tcW w:w="3803" w:type="pct"/>
          </w:tcPr>
          <w:p w:rsidR="007A4048" w:rsidRPr="00C05F70" w:rsidRDefault="007A4048" w:rsidP="0002434F">
            <w:pPr>
              <w:pStyle w:val="Textpoznpodarou"/>
              <w:jc w:val="both"/>
              <w:rPr>
                <w:spacing w:val="-2"/>
              </w:rPr>
            </w:pPr>
            <w:r w:rsidRPr="00C05F70">
              <w:rPr>
                <w:spacing w:val="-2"/>
              </w:rPr>
              <w:t xml:space="preserve">Peněžní zásoba v podobě harmonizovaného měnového agregátu M3 vystoupala </w:t>
            </w:r>
            <w:r w:rsidRPr="00C05F70">
              <w:rPr>
                <w:spacing w:val="-6"/>
              </w:rPr>
              <w:t>na </w:t>
            </w:r>
            <w:r>
              <w:rPr>
                <w:spacing w:val="-6"/>
              </w:rPr>
              <w:t>konci 1. čtvrtletí 2016 na 3 656</w:t>
            </w:r>
            <w:r w:rsidRPr="00C05F70">
              <w:rPr>
                <w:spacing w:val="-6"/>
              </w:rPr>
              <w:t xml:space="preserve"> mld. korun. Na jejím meziročním růstu o 315 mld</w:t>
            </w:r>
            <w:r w:rsidRPr="00C05F70">
              <w:rPr>
                <w:spacing w:val="-2"/>
              </w:rPr>
              <w:t>. se podílel téměř výhradně nárůst objemu nejlikvidnějších peněz – jednodenních vkladů o </w:t>
            </w:r>
            <w:r>
              <w:rPr>
                <w:spacing w:val="-2"/>
              </w:rPr>
              <w:t>303</w:t>
            </w:r>
            <w:r w:rsidRPr="00C05F70">
              <w:rPr>
                <w:spacing w:val="-2"/>
              </w:rPr>
              <w:t xml:space="preserve"> mld. a oběživa o 38 mld. Vkladů se splatností do dvou let, jejichž objem se v prostředí nízkých úrokových sazeb snižuje téměř bez přestání od září 2012, ubylo za 12 mld. a vkladů s výpovědní lhůtou do tří měsíců bylo v tuzemském finančním sektoru v důsledku jejich nízkého úročení také méně (o 29 mld.). Úhrn nejméně likvidních peněz zahrnující repo operace, cenné papíry fondů peněžního trhu a dluhopisy se splatností do dvou let, který </w:t>
            </w:r>
            <w:r w:rsidR="00F47321">
              <w:rPr>
                <w:spacing w:val="-2"/>
              </w:rPr>
              <w:t>je co do objemu ale prakticky bez</w:t>
            </w:r>
            <w:r w:rsidRPr="00C05F70">
              <w:rPr>
                <w:spacing w:val="-2"/>
              </w:rPr>
              <w:t xml:space="preserve">významný, se zvýšil z 9 mld. korun v březnu 2015 na 23 mld. letos. Podíl </w:t>
            </w:r>
            <w:r w:rsidRPr="00F76262">
              <w:rPr>
                <w:spacing w:val="-4"/>
              </w:rPr>
              <w:t>jednodenních vkladů na harmonizovaném měnovém agregátu M3 narostl na 73,7</w:t>
            </w:r>
            <w:r w:rsidRPr="00C05F70">
              <w:rPr>
                <w:spacing w:val="-2"/>
              </w:rPr>
              <w:t xml:space="preserve"> %.</w:t>
            </w:r>
          </w:p>
          <w:p w:rsidR="007A4048" w:rsidRPr="00C05F70" w:rsidRDefault="007A4048" w:rsidP="0002434F">
            <w:pPr>
              <w:pStyle w:val="Textpoznpodarou"/>
              <w:jc w:val="both"/>
              <w:rPr>
                <w:sz w:val="18"/>
                <w:szCs w:val="18"/>
              </w:rPr>
            </w:pPr>
          </w:p>
        </w:tc>
      </w:tr>
      <w:tr w:rsidR="007A4048" w:rsidRPr="00831EC2" w:rsidTr="0002434F">
        <w:tc>
          <w:tcPr>
            <w:tcW w:w="1054" w:type="pct"/>
          </w:tcPr>
          <w:p w:rsidR="007A4048" w:rsidRPr="00C05F70" w:rsidRDefault="007A4048" w:rsidP="0002434F">
            <w:pPr>
              <w:spacing w:line="240" w:lineRule="auto"/>
              <w:rPr>
                <w:sz w:val="16"/>
                <w:szCs w:val="16"/>
              </w:rPr>
            </w:pPr>
            <w:r>
              <w:rPr>
                <w:sz w:val="16"/>
                <w:szCs w:val="16"/>
              </w:rPr>
              <w:t>L</w:t>
            </w:r>
            <w:r w:rsidRPr="00C05F70">
              <w:rPr>
                <w:sz w:val="16"/>
                <w:szCs w:val="16"/>
              </w:rPr>
              <w:t>ikviditu preferují</w:t>
            </w:r>
            <w:r>
              <w:rPr>
                <w:sz w:val="16"/>
                <w:szCs w:val="16"/>
              </w:rPr>
              <w:t xml:space="preserve"> již dlouhodobě</w:t>
            </w:r>
            <w:r w:rsidRPr="00C05F70">
              <w:rPr>
                <w:sz w:val="16"/>
                <w:szCs w:val="16"/>
              </w:rPr>
              <w:t xml:space="preserve"> domácnosti, zejména ale nefinanční podniky</w:t>
            </w:r>
          </w:p>
        </w:tc>
        <w:tc>
          <w:tcPr>
            <w:tcW w:w="143" w:type="pct"/>
          </w:tcPr>
          <w:p w:rsidR="007A4048" w:rsidRPr="00C05F70" w:rsidRDefault="007A4048" w:rsidP="0002434F">
            <w:pPr>
              <w:pStyle w:val="Textpoznpodarou"/>
              <w:jc w:val="both"/>
            </w:pPr>
          </w:p>
        </w:tc>
        <w:tc>
          <w:tcPr>
            <w:tcW w:w="3803" w:type="pct"/>
          </w:tcPr>
          <w:p w:rsidR="007A4048" w:rsidRPr="00C05F70" w:rsidRDefault="007A4048" w:rsidP="0002434F">
            <w:pPr>
              <w:pStyle w:val="Textpoznpodarou"/>
              <w:jc w:val="both"/>
            </w:pPr>
            <w:r>
              <w:t>Dlouhodobý n</w:t>
            </w:r>
            <w:r w:rsidRPr="00C05F70">
              <w:t>árůst preference likvidity</w:t>
            </w:r>
            <w:r>
              <w:t xml:space="preserve"> ze strany vkladatelů (umocněný nízkými</w:t>
            </w:r>
            <w:r w:rsidRPr="00C05F70">
              <w:t xml:space="preserve"> </w:t>
            </w:r>
            <w:r>
              <w:rPr>
                <w:spacing w:val="-2"/>
              </w:rPr>
              <w:t>úrokovými sazbami</w:t>
            </w:r>
            <w:r w:rsidRPr="00C05F70">
              <w:rPr>
                <w:spacing w:val="-2"/>
              </w:rPr>
              <w:t xml:space="preserve"> na vkladech se splatností a vkladech s výpovědní lhůtou</w:t>
            </w:r>
            <w:r>
              <w:rPr>
                <w:spacing w:val="-2"/>
              </w:rPr>
              <w:t>) je</w:t>
            </w:r>
            <w:r w:rsidRPr="00C05F70">
              <w:rPr>
                <w:spacing w:val="-2"/>
              </w:rPr>
              <w:t xml:space="preserve"> </w:t>
            </w:r>
            <w:r w:rsidRPr="00F76262">
              <w:rPr>
                <w:spacing w:val="-6"/>
              </w:rPr>
              <w:t>patrný u domácností, zejména však u nefinančních podniků. Zastoupení</w:t>
            </w:r>
            <w:r w:rsidRPr="00C05F70">
              <w:rPr>
                <w:spacing w:val="-4"/>
              </w:rPr>
              <w:t xml:space="preserve"> jednodenních vkladů domácností v jejich celkových depozitech narostlo v březnu 2016 na 74,</w:t>
            </w:r>
            <w:r w:rsidRPr="00C05F70">
              <w:t xml:space="preserve">2 %. Pokud jde o podíl jednodenních vkladů firemního sektoru, v listopadu loňského roku překonal 90% </w:t>
            </w:r>
            <w:r>
              <w:t>hranici</w:t>
            </w:r>
            <w:r w:rsidRPr="00C05F70">
              <w:t xml:space="preserve"> a do března vystoupal až na 91,7 %.</w:t>
            </w:r>
          </w:p>
          <w:p w:rsidR="007A4048" w:rsidRPr="00190214" w:rsidRDefault="007A4048" w:rsidP="0002434F">
            <w:pPr>
              <w:pStyle w:val="Textpoznpodarou"/>
              <w:jc w:val="both"/>
              <w:rPr>
                <w:sz w:val="16"/>
                <w:szCs w:val="16"/>
              </w:rPr>
            </w:pPr>
          </w:p>
        </w:tc>
      </w:tr>
      <w:tr w:rsidR="007A4048" w:rsidRPr="00831EC2" w:rsidTr="0002434F">
        <w:tc>
          <w:tcPr>
            <w:tcW w:w="1054" w:type="pct"/>
          </w:tcPr>
          <w:p w:rsidR="007A4048" w:rsidRPr="00C05F70" w:rsidRDefault="007A4048" w:rsidP="008329BD">
            <w:pPr>
              <w:spacing w:line="240" w:lineRule="auto"/>
              <w:rPr>
                <w:sz w:val="16"/>
                <w:szCs w:val="16"/>
              </w:rPr>
            </w:pPr>
            <w:r w:rsidRPr="00C05F70">
              <w:rPr>
                <w:sz w:val="16"/>
                <w:szCs w:val="16"/>
              </w:rPr>
              <w:t>Průměrné výnosy stát</w:t>
            </w:r>
            <w:r w:rsidR="008329BD">
              <w:rPr>
                <w:sz w:val="16"/>
                <w:szCs w:val="16"/>
              </w:rPr>
              <w:t>ních dluhopisů se splatností 2 roky a 5</w:t>
            </w:r>
            <w:r w:rsidRPr="00C05F70">
              <w:rPr>
                <w:sz w:val="16"/>
                <w:szCs w:val="16"/>
              </w:rPr>
              <w:t xml:space="preserve"> let nadále záporné</w:t>
            </w:r>
          </w:p>
        </w:tc>
        <w:tc>
          <w:tcPr>
            <w:tcW w:w="143" w:type="pct"/>
          </w:tcPr>
          <w:p w:rsidR="007A4048" w:rsidRPr="00C05F70" w:rsidRDefault="007A4048" w:rsidP="0002434F">
            <w:pPr>
              <w:pStyle w:val="Textpoznpodarou"/>
              <w:jc w:val="both"/>
            </w:pPr>
          </w:p>
        </w:tc>
        <w:tc>
          <w:tcPr>
            <w:tcW w:w="3803" w:type="pct"/>
          </w:tcPr>
          <w:p w:rsidR="007A4048" w:rsidRPr="00C05F70" w:rsidRDefault="007A4048" w:rsidP="0002434F">
            <w:pPr>
              <w:pStyle w:val="Textpoznpodarou"/>
              <w:jc w:val="both"/>
            </w:pPr>
            <w:r w:rsidRPr="00C05F70">
              <w:t>Tržní úrokové sazby zůstávají v České republice na rekordně nízkých hodnotách. Sazby na mezibankovním trhu odrá</w:t>
            </w:r>
            <w:r w:rsidR="00F47321">
              <w:t>ží téměř nulové základní měnově</w:t>
            </w:r>
            <w:r w:rsidRPr="00C05F70">
              <w:t xml:space="preserve">politické sazby ČNB, výnosy státních dluhopisů s delší splatností v sobě kromě </w:t>
            </w:r>
            <w:r w:rsidR="00F47321">
              <w:t>velmi nízkých základních měnově</w:t>
            </w:r>
            <w:r w:rsidRPr="00C05F70">
              <w:t>politických sazeb a všeobecně nízkých úrokových sazeb ve světě absorbují vyšší poptávku investorů po tuzemských cenných papírech. Tříměsíční PRIBOR se od října 2015 do března letošního roku podle měsíčních průměrů pohyboval pod 0,30 %, roční PRIBOR se mezi posledním čtvrtletím 2015 a 1. čtvrtletím 2016 snížil z 0,46 na 0,45 %. Průměrné výnosy stát</w:t>
            </w:r>
            <w:r w:rsidR="00F47321">
              <w:t>ních dluhopisů se splatností 2 roky a 5</w:t>
            </w:r>
            <w:r w:rsidRPr="00C05F70">
              <w:t xml:space="preserve"> let byly v 1. čtvrtletí letošního roku </w:t>
            </w:r>
            <w:r w:rsidRPr="00C05F70">
              <w:rPr>
                <w:spacing w:val="-4"/>
              </w:rPr>
              <w:t>nadále záporné</w:t>
            </w:r>
            <w:r w:rsidRPr="00C05F70">
              <w:t xml:space="preserve">. </w:t>
            </w:r>
            <w:r w:rsidR="00F47321">
              <w:t>Odrážely</w:t>
            </w:r>
            <w:r w:rsidR="00F47321" w:rsidRPr="00C05F70">
              <w:t xml:space="preserve"> vyšší </w:t>
            </w:r>
            <w:r w:rsidR="00F47321">
              <w:rPr>
                <w:spacing w:val="-4"/>
              </w:rPr>
              <w:t>poptávku</w:t>
            </w:r>
            <w:r w:rsidR="00F47321" w:rsidRPr="00C05F70">
              <w:rPr>
                <w:spacing w:val="-4"/>
              </w:rPr>
              <w:t xml:space="preserve"> zahraničních investorů po těchto instrumentech</w:t>
            </w:r>
            <w:r w:rsidR="00F47321">
              <w:rPr>
                <w:spacing w:val="-4"/>
              </w:rPr>
              <w:t xml:space="preserve"> vyplývající z</w:t>
            </w:r>
            <w:r w:rsidR="008329BD">
              <w:t xml:space="preserve"> očekávaného</w:t>
            </w:r>
            <w:r w:rsidR="0038034A">
              <w:t> budoucího</w:t>
            </w:r>
            <w:r w:rsidR="00F47321">
              <w:t xml:space="preserve"> posílení české koruny. </w:t>
            </w:r>
            <w:r w:rsidRPr="00C05F70">
              <w:t>Průměrný výnos desetiletého státního dluhopisu podle dat z března 2016 činil 0,35 % a s výjimkou ledna, března a dubna roku 2015 byl nejnižší v historii.</w:t>
            </w:r>
          </w:p>
          <w:p w:rsidR="007A4048" w:rsidRPr="00C05F70" w:rsidRDefault="007A4048" w:rsidP="0002434F">
            <w:pPr>
              <w:pStyle w:val="Textpoznpodarou"/>
              <w:jc w:val="both"/>
              <w:rPr>
                <w:sz w:val="18"/>
                <w:szCs w:val="18"/>
              </w:rPr>
            </w:pPr>
          </w:p>
        </w:tc>
      </w:tr>
      <w:tr w:rsidR="007A4048" w:rsidRPr="00831EC2" w:rsidTr="0002434F">
        <w:tc>
          <w:tcPr>
            <w:tcW w:w="1054" w:type="pct"/>
          </w:tcPr>
          <w:p w:rsidR="007A4048" w:rsidRPr="00C05F70" w:rsidRDefault="007A4048" w:rsidP="0002434F">
            <w:pPr>
              <w:spacing w:line="240" w:lineRule="auto"/>
              <w:rPr>
                <w:sz w:val="16"/>
                <w:szCs w:val="16"/>
              </w:rPr>
            </w:pPr>
            <w:r w:rsidRPr="00C05F70">
              <w:rPr>
                <w:sz w:val="16"/>
                <w:szCs w:val="16"/>
              </w:rPr>
              <w:t xml:space="preserve">Jestliže si domácnosti a nefinanční podniky sjednávaly v březnu letošního roku </w:t>
            </w:r>
            <w:r>
              <w:rPr>
                <w:sz w:val="16"/>
                <w:szCs w:val="16"/>
              </w:rPr>
              <w:t>jednodenní vklady</w:t>
            </w:r>
            <w:r w:rsidRPr="00C05F70">
              <w:rPr>
                <w:sz w:val="16"/>
                <w:szCs w:val="16"/>
              </w:rPr>
              <w:t>, pak jim z těchto finančních produktů plynuly nejnižší výnosy v historii, …</w:t>
            </w:r>
          </w:p>
        </w:tc>
        <w:tc>
          <w:tcPr>
            <w:tcW w:w="143" w:type="pct"/>
          </w:tcPr>
          <w:p w:rsidR="007A4048" w:rsidRPr="00C05F70" w:rsidRDefault="007A4048" w:rsidP="0002434F">
            <w:pPr>
              <w:pStyle w:val="Textpoznpodarou"/>
              <w:jc w:val="both"/>
            </w:pPr>
          </w:p>
        </w:tc>
        <w:tc>
          <w:tcPr>
            <w:tcW w:w="3803" w:type="pct"/>
          </w:tcPr>
          <w:p w:rsidR="007A4048" w:rsidRPr="00091B2A" w:rsidRDefault="007A4048" w:rsidP="0002434F">
            <w:pPr>
              <w:pStyle w:val="Textpoznpodarou"/>
              <w:jc w:val="both"/>
            </w:pPr>
            <w:r w:rsidRPr="00091B2A">
              <w:t xml:space="preserve">Vývoj úrokových sazeb na finančních trzích se přenáší i do nízké úrovně klientských úrokových sazeb – depozitních sazeb a sazeb z úvěrů. Úrokové sazby na nově sjednávaných jednodenních vkladech v březnu 2016 byly historicky nejnižší u domácností, v jejichž případě činily 0,19 %, rekordně nízké výnosy získávaly ze svých „nových“ běžných depozit ale i nefinanční podniky (0,07 %). Sazby na termínovaných vkladech (vkladech se splatností a výpovědní lhůtou) se </w:t>
            </w:r>
            <w:r w:rsidR="00F47321">
              <w:rPr>
                <w:spacing w:val="-2"/>
              </w:rPr>
              <w:t>celkově pohybují rovněž na</w:t>
            </w:r>
            <w:r w:rsidRPr="00F76262">
              <w:rPr>
                <w:spacing w:val="-2"/>
              </w:rPr>
              <w:t xml:space="preserve"> nízkých úrovních, jistou výjimkou se zdají být</w:t>
            </w:r>
            <w:r w:rsidRPr="00091B2A">
              <w:t xml:space="preserve"> jen </w:t>
            </w:r>
            <w:r w:rsidRPr="00091B2A">
              <w:rPr>
                <w:spacing w:val="-4"/>
              </w:rPr>
              <w:t>vklady se splatností v případě domácností. V 1. čtvrtletí 2016 sjednávaly</w:t>
            </w:r>
            <w:r w:rsidRPr="00091B2A">
              <w:t xml:space="preserve"> domácnosti tato </w:t>
            </w:r>
            <w:r w:rsidRPr="00091B2A">
              <w:lastRenderedPageBreak/>
              <w:t xml:space="preserve">depozita při průměrné úrokové sazbě 1,45 %. Ta sice byla </w:t>
            </w:r>
            <w:r w:rsidR="00F47321">
              <w:t xml:space="preserve">meziročně </w:t>
            </w:r>
            <w:r w:rsidRPr="00091B2A">
              <w:t>o 0,19 p.b. nižší, avšak průměr roku 2010</w:t>
            </w:r>
            <w:r w:rsidR="00F47321">
              <w:t xml:space="preserve"> (kdy byla velmi nízká)</w:t>
            </w:r>
            <w:r w:rsidRPr="00091B2A">
              <w:t xml:space="preserve"> převyšovala o 0,55 p.b.</w:t>
            </w:r>
          </w:p>
          <w:p w:rsidR="007A4048" w:rsidRPr="00C05F70" w:rsidRDefault="007A4048" w:rsidP="0002434F">
            <w:pPr>
              <w:pStyle w:val="Textpoznpodarou"/>
              <w:jc w:val="both"/>
              <w:rPr>
                <w:sz w:val="16"/>
                <w:szCs w:val="16"/>
              </w:rPr>
            </w:pPr>
          </w:p>
        </w:tc>
      </w:tr>
      <w:tr w:rsidR="007A4048" w:rsidRPr="00831EC2" w:rsidTr="0002434F">
        <w:tc>
          <w:tcPr>
            <w:tcW w:w="1054" w:type="pct"/>
          </w:tcPr>
          <w:p w:rsidR="007A4048" w:rsidRPr="00C05F70" w:rsidRDefault="007A4048" w:rsidP="0002434F">
            <w:pPr>
              <w:spacing w:line="240" w:lineRule="auto"/>
              <w:rPr>
                <w:sz w:val="16"/>
                <w:szCs w:val="16"/>
              </w:rPr>
            </w:pPr>
            <w:r w:rsidRPr="00C05F70">
              <w:rPr>
                <w:sz w:val="16"/>
                <w:szCs w:val="16"/>
              </w:rPr>
              <w:lastRenderedPageBreak/>
              <w:t>…na druhou stranu do té doby nejlevnější byly v tomto měsíci i úvěry na bydlení a úvěry na spotřebu</w:t>
            </w:r>
          </w:p>
        </w:tc>
        <w:tc>
          <w:tcPr>
            <w:tcW w:w="143" w:type="pct"/>
          </w:tcPr>
          <w:p w:rsidR="007A4048" w:rsidRPr="00C05F70" w:rsidRDefault="007A4048" w:rsidP="0002434F">
            <w:pPr>
              <w:pStyle w:val="Textpoznpodarou"/>
              <w:jc w:val="both"/>
            </w:pPr>
          </w:p>
        </w:tc>
        <w:tc>
          <w:tcPr>
            <w:tcW w:w="3803" w:type="pct"/>
          </w:tcPr>
          <w:p w:rsidR="007A4048" w:rsidRPr="00C05F70" w:rsidRDefault="007A4048" w:rsidP="0002434F">
            <w:pPr>
              <w:pStyle w:val="Textpoznpodarou"/>
              <w:jc w:val="both"/>
              <w:rPr>
                <w:spacing w:val="-2"/>
              </w:rPr>
            </w:pPr>
            <w:r w:rsidRPr="00C05F70">
              <w:rPr>
                <w:spacing w:val="-2"/>
              </w:rPr>
              <w:t xml:space="preserve">Své dosud nejnižší úrovně překonaly v březnu letošního roku také úrokové sazby z úvěrů na bydlení a úvěrů na spotřebu. V prvním případě domácnosti dosáhly v průměru na úrokovou sazbu ve výši 2,36 % </w:t>
            </w:r>
            <w:r w:rsidRPr="00C05F70">
              <w:rPr>
                <w:spacing w:val="-2"/>
                <w:lang w:val="en-US"/>
              </w:rPr>
              <w:t>[</w:t>
            </w:r>
            <w:r w:rsidRPr="00C05F70">
              <w:rPr>
                <w:spacing w:val="-2"/>
              </w:rPr>
              <w:t>historicky nejnižší byly sazby při fixaci nad jeden rok do pěti let (2,25 %) a při fixaci nad pět let do deseti let (2,28 %)], ve druhém na 10,99 %. Přitom pokud si dom</w:t>
            </w:r>
            <w:r>
              <w:rPr>
                <w:spacing w:val="-2"/>
              </w:rPr>
              <w:t>ácnosti půjčovaly v roce 2015, t</w:t>
            </w:r>
            <w:r w:rsidRPr="00C05F70">
              <w:rPr>
                <w:spacing w:val="-2"/>
              </w:rPr>
              <w:t>ak pro ně byly relevantní sazby v průměrné výši 2,61 a 12,57 %. Stále velmi dostupné jsou podle dat z let</w:t>
            </w:r>
            <w:r w:rsidR="00F47321">
              <w:rPr>
                <w:spacing w:val="-2"/>
              </w:rPr>
              <w:t>ošního března i peníze určené k</w:t>
            </w:r>
            <w:r w:rsidRPr="00C05F70">
              <w:rPr>
                <w:spacing w:val="-2"/>
              </w:rPr>
              <w:t> podnikání. Živnostníci dosáhli na průměrnou úrokovou sazbu 4,68 %, nefinanční podniky se při úvěrech s objemem do 30 milionů korun financovaly při úrokové sazbě 2,51 %. Sazby z velkých úvěrů (</w:t>
            </w:r>
            <w:r w:rsidRPr="00107097">
              <w:rPr>
                <w:spacing w:val="-4"/>
              </w:rPr>
              <w:t>nad 30 milionů) – jenž jsou sjednávány velkými společnostmi, které jsou bankami</w:t>
            </w:r>
            <w:r w:rsidRPr="00C05F70">
              <w:rPr>
                <w:spacing w:val="-2"/>
              </w:rPr>
              <w:t xml:space="preserve"> ve</w:t>
            </w:r>
            <w:r>
              <w:rPr>
                <w:spacing w:val="-2"/>
              </w:rPr>
              <w:t xml:space="preserve"> </w:t>
            </w:r>
            <w:r w:rsidRPr="00091B2A">
              <w:rPr>
                <w:spacing w:val="-6"/>
              </w:rPr>
              <w:t xml:space="preserve">většině případů vnímané jako méně rizikové než menší firmy – činily v průměru 1,94 </w:t>
            </w:r>
            <w:r w:rsidRPr="00C05F70">
              <w:rPr>
                <w:spacing w:val="-2"/>
              </w:rPr>
              <w:t>%.</w:t>
            </w:r>
          </w:p>
          <w:p w:rsidR="007A4048" w:rsidRPr="00C05F70" w:rsidRDefault="007A4048" w:rsidP="0002434F">
            <w:pPr>
              <w:pStyle w:val="Textpoznpodarou"/>
              <w:jc w:val="both"/>
              <w:rPr>
                <w:sz w:val="16"/>
                <w:szCs w:val="16"/>
              </w:rPr>
            </w:pPr>
          </w:p>
        </w:tc>
      </w:tr>
      <w:tr w:rsidR="007A4048" w:rsidRPr="00831EC2" w:rsidTr="0002434F">
        <w:tc>
          <w:tcPr>
            <w:tcW w:w="1054" w:type="pct"/>
          </w:tcPr>
          <w:p w:rsidR="007A4048" w:rsidRPr="00C05F70" w:rsidRDefault="007A4048" w:rsidP="0002434F">
            <w:pPr>
              <w:spacing w:line="240" w:lineRule="auto"/>
              <w:rPr>
                <w:sz w:val="16"/>
                <w:szCs w:val="16"/>
              </w:rPr>
            </w:pPr>
            <w:r w:rsidRPr="00C05F70">
              <w:rPr>
                <w:sz w:val="16"/>
                <w:szCs w:val="16"/>
              </w:rPr>
              <w:t>Stavy úvěrů domácnostem na bydlení byly v březnu 2016 o 7,8 % vyšší než před rokem. Samotné hypoteční úvěry převyšovaly úroveň z března loňského roku o 8,5 %</w:t>
            </w:r>
          </w:p>
        </w:tc>
        <w:tc>
          <w:tcPr>
            <w:tcW w:w="143" w:type="pct"/>
          </w:tcPr>
          <w:p w:rsidR="007A4048" w:rsidRPr="00C05F70" w:rsidRDefault="007A4048" w:rsidP="0002434F">
            <w:pPr>
              <w:pStyle w:val="Textpoznpodarou"/>
              <w:jc w:val="both"/>
            </w:pPr>
          </w:p>
        </w:tc>
        <w:tc>
          <w:tcPr>
            <w:tcW w:w="3803" w:type="pct"/>
          </w:tcPr>
          <w:p w:rsidR="007A4048" w:rsidRPr="00C05F70" w:rsidRDefault="007A4048" w:rsidP="0002434F">
            <w:pPr>
              <w:pStyle w:val="Textpoznpodarou"/>
              <w:jc w:val="both"/>
              <w:rPr>
                <w:spacing w:val="-6"/>
              </w:rPr>
            </w:pPr>
            <w:r w:rsidRPr="00C05F70">
              <w:t>Zájem tuzemských domácností o úvěrové financování zůstává vysoký – stavy úvěrů domácnostem bez ohledu na jejich účel rostly podle dat bankovní statistiky v průběhu 1. čtvrtletí letošního roku v každém měsíci více než 7% meziročním tempem, stejně jako ve 4. čtvrtletí 2015.</w:t>
            </w:r>
            <w:r w:rsidRPr="00C05F70">
              <w:rPr>
                <w:rStyle w:val="Znakapoznpodarou"/>
              </w:rPr>
              <w:footnoteReference w:id="22"/>
            </w:r>
            <w:r w:rsidRPr="00C05F70">
              <w:t xml:space="preserve"> Přírůstek váhově nejvýznamnějších úvěrů na bydlení přetrval v podmínkách pokračujícího ekonomického růstu a zlepšující se situace na trhu práce doprovázených vysokou důvěrou spotřebitelů a rekordně nízkými náklady financování srovnatelný s koncem předchozího roku. </w:t>
            </w:r>
            <w:r w:rsidRPr="00C05F70">
              <w:rPr>
                <w:spacing w:val="-6"/>
              </w:rPr>
              <w:t>V březnu dosahoval 7,8 %. Obdobný vývoj byl patrný i v případě samotných hypoték.</w:t>
            </w:r>
          </w:p>
          <w:p w:rsidR="007A4048" w:rsidRPr="00C05F70" w:rsidRDefault="007A4048" w:rsidP="0002434F">
            <w:pPr>
              <w:pStyle w:val="Textpoznpodarou"/>
              <w:jc w:val="both"/>
              <w:rPr>
                <w:sz w:val="16"/>
                <w:szCs w:val="16"/>
              </w:rPr>
            </w:pPr>
          </w:p>
        </w:tc>
      </w:tr>
      <w:tr w:rsidR="007A4048" w:rsidRPr="00831EC2" w:rsidTr="0002434F">
        <w:tc>
          <w:tcPr>
            <w:tcW w:w="1054" w:type="pct"/>
          </w:tcPr>
          <w:p w:rsidR="007A4048" w:rsidRPr="00C05F70" w:rsidRDefault="007A4048" w:rsidP="0002434F">
            <w:pPr>
              <w:spacing w:line="240" w:lineRule="auto"/>
              <w:rPr>
                <w:sz w:val="16"/>
                <w:szCs w:val="16"/>
              </w:rPr>
            </w:pPr>
            <w:r w:rsidRPr="00C05F70">
              <w:rPr>
                <w:sz w:val="16"/>
                <w:szCs w:val="16"/>
              </w:rPr>
              <w:t>Úvěry nefinančním podnikům v 1. čtvrtletí mírně zpomalily, v porovnání s průměrným meziročním tempem růstu za celý rok 2015 byl jejich přírůstek ale vyšší</w:t>
            </w:r>
          </w:p>
        </w:tc>
        <w:tc>
          <w:tcPr>
            <w:tcW w:w="143" w:type="pct"/>
          </w:tcPr>
          <w:p w:rsidR="007A4048" w:rsidRPr="00C05F70" w:rsidRDefault="007A4048" w:rsidP="0002434F">
            <w:pPr>
              <w:pStyle w:val="Textpoznpodarou"/>
              <w:jc w:val="both"/>
            </w:pPr>
          </w:p>
        </w:tc>
        <w:tc>
          <w:tcPr>
            <w:tcW w:w="3803" w:type="pct"/>
          </w:tcPr>
          <w:p w:rsidR="007A4048" w:rsidRPr="00C05F70" w:rsidRDefault="007A4048" w:rsidP="0002434F">
            <w:pPr>
              <w:pStyle w:val="Textpoznpodarou"/>
              <w:jc w:val="both"/>
            </w:pPr>
            <w:r w:rsidRPr="00C05F70">
              <w:rPr>
                <w:spacing w:val="-2"/>
              </w:rPr>
              <w:t>Průměrné meziroční tempo růstu úvěrů nefinančním podnikům se mezi 4.</w:t>
            </w:r>
            <w:r w:rsidRPr="00C05F70">
              <w:t xml:space="preserve"> čtvrtletím loňského roku a 1. čtvrtletím 2016 snížilo ze 7,9 % na 6,9 %, v porovnání s průměrem za celý loňský rok (5,9 %) byla ale dynamika úvěrů firemnímu sektoru silnější. Z </w:t>
            </w:r>
            <w:r>
              <w:t>několikaměsíčního</w:t>
            </w:r>
            <w:r w:rsidRPr="00C05F70">
              <w:t xml:space="preserve"> vývoje úvěrů nefinančním podnikům vyplývá, že je daný vyšší poptávkou po</w:t>
            </w:r>
            <w:r>
              <w:t> investičních úvěrech –</w:t>
            </w:r>
            <w:r w:rsidRPr="00C05F70">
              <w:t xml:space="preserve"> </w:t>
            </w:r>
            <w:r>
              <w:t>n</w:t>
            </w:r>
            <w:r w:rsidRPr="00C05F70">
              <w:t>árůst stavu dlouhodobých úvěrů o více než 10 % trval v březnu letošního roku již devět po sobě jdoucích měsíců</w:t>
            </w:r>
            <w:r>
              <w:t>, v</w:t>
            </w:r>
            <w:r w:rsidRPr="00C05F70">
              <w:t> případě střednědobých úvěrů docházelo k více než 10% růstu sedm měsíců, avšak s velmi výrazným zrychlením úvěrů v březnu (na 20,6 %). Z hlediska hlavních odvětvových uskupení byl meziroční růst úvěrů nefinančním podnikům tažen v 1. čtvrtletí činnostmi v oblasti nemovitostí.</w:t>
            </w:r>
          </w:p>
          <w:p w:rsidR="007A4048" w:rsidRPr="007A4048" w:rsidRDefault="007A4048" w:rsidP="0002434F">
            <w:pPr>
              <w:pStyle w:val="Textpoznpodarou"/>
              <w:jc w:val="both"/>
              <w:rPr>
                <w:spacing w:val="-4"/>
                <w:sz w:val="16"/>
                <w:szCs w:val="16"/>
              </w:rPr>
            </w:pPr>
          </w:p>
        </w:tc>
      </w:tr>
      <w:tr w:rsidR="007A4048" w:rsidRPr="00831EC2" w:rsidTr="0002434F">
        <w:tc>
          <w:tcPr>
            <w:tcW w:w="1054" w:type="pct"/>
          </w:tcPr>
          <w:p w:rsidR="007A4048" w:rsidRPr="00FF214D" w:rsidRDefault="007A4048" w:rsidP="0002434F">
            <w:pPr>
              <w:spacing w:line="240" w:lineRule="auto"/>
              <w:rPr>
                <w:color w:val="000000" w:themeColor="text1"/>
                <w:sz w:val="16"/>
                <w:szCs w:val="16"/>
              </w:rPr>
            </w:pPr>
            <w:r w:rsidRPr="00FF214D">
              <w:rPr>
                <w:color w:val="000000" w:themeColor="text1"/>
                <w:sz w:val="16"/>
                <w:szCs w:val="16"/>
              </w:rPr>
              <w:t xml:space="preserve">Poměr celkového dluhu domácností k anualizovanému HDP </w:t>
            </w:r>
            <w:r w:rsidRPr="00FF214D">
              <w:rPr>
                <w:color w:val="000000" w:themeColor="text1"/>
                <w:spacing w:val="-4"/>
                <w:sz w:val="16"/>
                <w:szCs w:val="16"/>
              </w:rPr>
              <w:t>se nepatrně snížil</w:t>
            </w:r>
            <w:r w:rsidRPr="00FF214D">
              <w:rPr>
                <w:color w:val="000000" w:themeColor="text1"/>
                <w:sz w:val="16"/>
                <w:szCs w:val="16"/>
              </w:rPr>
              <w:t xml:space="preserve"> z 31,1 % na konci loňského roku na 31,0 % v březnu 2016</w:t>
            </w:r>
          </w:p>
        </w:tc>
        <w:tc>
          <w:tcPr>
            <w:tcW w:w="143" w:type="pct"/>
          </w:tcPr>
          <w:p w:rsidR="007A4048" w:rsidRPr="009210D0" w:rsidRDefault="007A4048" w:rsidP="0002434F">
            <w:pPr>
              <w:pStyle w:val="Textpoznpodarou"/>
              <w:jc w:val="both"/>
              <w:rPr>
                <w:color w:val="FF0000"/>
              </w:rPr>
            </w:pPr>
          </w:p>
        </w:tc>
        <w:tc>
          <w:tcPr>
            <w:tcW w:w="3803" w:type="pct"/>
          </w:tcPr>
          <w:p w:rsidR="007A4048" w:rsidRPr="00C05F70" w:rsidRDefault="007A4048" w:rsidP="0002434F">
            <w:pPr>
              <w:pStyle w:val="Textpoznpodarou"/>
              <w:jc w:val="both"/>
            </w:pPr>
            <w:r w:rsidRPr="00C05F70">
              <w:t xml:space="preserve">V březnu 2016 dosáhl celkový dluh domácností </w:t>
            </w:r>
            <w:r>
              <w:t>1 396</w:t>
            </w:r>
            <w:r w:rsidRPr="00C05F70">
              <w:t xml:space="preserve"> mld. korun a proti stejnému měsíci předchozího roku narostl</w:t>
            </w:r>
            <w:r>
              <w:t xml:space="preserve"> o 74,5</w:t>
            </w:r>
            <w:r w:rsidRPr="00C05F70">
              <w:t xml:space="preserve"> mld.  </w:t>
            </w:r>
            <w:r>
              <w:t>Téměř zcela</w:t>
            </w:r>
            <w:r w:rsidRPr="00C05F70">
              <w:t xml:space="preserve"> se na tomto růstu podílely úvěry na bydlení, jejichž objem stoupl</w:t>
            </w:r>
            <w:r>
              <w:t xml:space="preserve"> o 70,9</w:t>
            </w:r>
            <w:r w:rsidRPr="00C05F70">
              <w:t xml:space="preserve"> mld. </w:t>
            </w:r>
            <w:r>
              <w:t>V</w:t>
            </w:r>
            <w:r w:rsidRPr="00C05F70">
              <w:t> souvislosti se spotřebou</w:t>
            </w:r>
            <w:r>
              <w:t xml:space="preserve"> se domácnosti prakticky nezadlužovaly (+0,1</w:t>
            </w:r>
            <w:r w:rsidRPr="00C05F70">
              <w:t xml:space="preserve"> mld.), ostatní závazky </w:t>
            </w:r>
            <w:r>
              <w:t>domácností narostly o 3,5 mld</w:t>
            </w:r>
            <w:r w:rsidRPr="00C05F70">
              <w:t>.</w:t>
            </w:r>
          </w:p>
        </w:tc>
      </w:tr>
    </w:tbl>
    <w:p w:rsidR="00ED3A94" w:rsidRPr="007A4048" w:rsidRDefault="00ED3A94" w:rsidP="00960769">
      <w:pPr>
        <w:rPr>
          <w:sz w:val="14"/>
          <w:szCs w:val="14"/>
        </w:rPr>
      </w:pPr>
    </w:p>
    <w:tbl>
      <w:tblPr>
        <w:tblW w:w="5000" w:type="pct"/>
        <w:tblLook w:val="04A0"/>
      </w:tblPr>
      <w:tblGrid>
        <w:gridCol w:w="1112"/>
        <w:gridCol w:w="3813"/>
        <w:gridCol w:w="1140"/>
        <w:gridCol w:w="678"/>
        <w:gridCol w:w="3111"/>
      </w:tblGrid>
      <w:tr w:rsidR="007A4048" w:rsidRPr="00C05F70" w:rsidTr="007A4048">
        <w:tc>
          <w:tcPr>
            <w:tcW w:w="563" w:type="pct"/>
          </w:tcPr>
          <w:p w:rsidR="007A4048" w:rsidRPr="00073A62" w:rsidRDefault="007A4048" w:rsidP="0002434F">
            <w:pPr>
              <w:pStyle w:val="Textpoznpodarou"/>
              <w:rPr>
                <w:color w:val="000000" w:themeColor="text1"/>
              </w:rPr>
            </w:pPr>
            <w:r w:rsidRPr="00073A62">
              <w:rPr>
                <w:color w:val="000000" w:themeColor="text1"/>
              </w:rPr>
              <w:t>Graf č. 17</w:t>
            </w:r>
          </w:p>
        </w:tc>
        <w:tc>
          <w:tcPr>
            <w:tcW w:w="1936" w:type="pct"/>
          </w:tcPr>
          <w:p w:rsidR="007A4048" w:rsidRPr="000A445A" w:rsidRDefault="007A4048" w:rsidP="0002434F">
            <w:pPr>
              <w:pStyle w:val="Textpoznpodarou"/>
              <w:rPr>
                <w:color w:val="FF0000"/>
              </w:rPr>
            </w:pPr>
            <w:r w:rsidRPr="00073A62">
              <w:rPr>
                <w:b/>
                <w:color w:val="000000" w:themeColor="text1"/>
              </w:rPr>
              <w:t>Měnové agregáty a hrubý domácí produkt</w:t>
            </w:r>
            <w:r w:rsidRPr="00073A62">
              <w:rPr>
                <w:color w:val="000000" w:themeColor="text1"/>
              </w:rPr>
              <w:t xml:space="preserve"> (y/y v %)</w:t>
            </w:r>
          </w:p>
        </w:tc>
        <w:tc>
          <w:tcPr>
            <w:tcW w:w="578" w:type="pct"/>
          </w:tcPr>
          <w:p w:rsidR="007A4048" w:rsidRPr="00C05F70" w:rsidRDefault="007A4048" w:rsidP="0002434F">
            <w:pPr>
              <w:pStyle w:val="Textpoznpodarou"/>
            </w:pPr>
            <w:r w:rsidRPr="00C05F70">
              <w:t>Graf č. 18</w:t>
            </w:r>
          </w:p>
        </w:tc>
        <w:tc>
          <w:tcPr>
            <w:tcW w:w="1923" w:type="pct"/>
            <w:gridSpan w:val="2"/>
          </w:tcPr>
          <w:p w:rsidR="007A4048" w:rsidRPr="00C05F70" w:rsidRDefault="007A4048" w:rsidP="0002434F">
            <w:pPr>
              <w:pStyle w:val="Textpoznpodarou"/>
            </w:pPr>
            <w:r w:rsidRPr="00C05F70">
              <w:rPr>
                <w:b/>
              </w:rPr>
              <w:t xml:space="preserve">Tržní úrokové sazby </w:t>
            </w:r>
            <w:r w:rsidRPr="00C05F70">
              <w:t>(v %)</w:t>
            </w:r>
          </w:p>
        </w:tc>
      </w:tr>
      <w:tr w:rsidR="007A4048" w:rsidRPr="00C05F70" w:rsidTr="0002434F">
        <w:tc>
          <w:tcPr>
            <w:tcW w:w="2499" w:type="pct"/>
            <w:gridSpan w:val="2"/>
          </w:tcPr>
          <w:p w:rsidR="007A4048" w:rsidRPr="00C05F70" w:rsidRDefault="00CE505D" w:rsidP="0002434F">
            <w:pPr>
              <w:pStyle w:val="Textpoznpodarou"/>
              <w:jc w:val="both"/>
            </w:pPr>
            <w:r>
              <w:rPr>
                <w:noProof/>
              </w:rPr>
              <w:pict>
                <v:shape id="_x0000_i1041" type="#_x0000_t75" style="width:239.8pt;height:187.2pt;visibility:visible;mso-wrap-style:square">
                  <v:imagedata r:id="rId28" o:title=""/>
                </v:shape>
              </w:pict>
            </w:r>
          </w:p>
        </w:tc>
        <w:tc>
          <w:tcPr>
            <w:tcW w:w="2501" w:type="pct"/>
            <w:gridSpan w:val="3"/>
          </w:tcPr>
          <w:p w:rsidR="007A4048" w:rsidRPr="00C05F70" w:rsidRDefault="00CE505D" w:rsidP="0002434F">
            <w:pPr>
              <w:pStyle w:val="Textpoznpodarou"/>
              <w:jc w:val="both"/>
            </w:pPr>
            <w:r>
              <w:rPr>
                <w:noProof/>
              </w:rPr>
              <w:pict>
                <v:shape id="_x0000_i1042" type="#_x0000_t75" style="width:239.8pt;height:185.95pt;visibility:visible;mso-wrap-style:square">
                  <v:imagedata r:id="rId29" o:title=""/>
                </v:shape>
              </w:pict>
            </w:r>
          </w:p>
        </w:tc>
      </w:tr>
      <w:tr w:rsidR="007A4048" w:rsidRPr="00C05F70" w:rsidTr="007A4048">
        <w:tc>
          <w:tcPr>
            <w:tcW w:w="3420" w:type="pct"/>
            <w:gridSpan w:val="4"/>
          </w:tcPr>
          <w:p w:rsidR="007A4048" w:rsidRPr="00C05F70" w:rsidRDefault="007A4048" w:rsidP="0002434F">
            <w:pPr>
              <w:pStyle w:val="Textpoznpodarou"/>
              <w:rPr>
                <w:noProof/>
                <w:sz w:val="18"/>
                <w:szCs w:val="18"/>
              </w:rPr>
            </w:pPr>
          </w:p>
        </w:tc>
        <w:tc>
          <w:tcPr>
            <w:tcW w:w="1580" w:type="pct"/>
          </w:tcPr>
          <w:p w:rsidR="007A4048" w:rsidRPr="00C05F70" w:rsidRDefault="007A4048" w:rsidP="0002434F">
            <w:pPr>
              <w:pStyle w:val="Textpoznpodarou"/>
              <w:jc w:val="right"/>
              <w:rPr>
                <w:noProof/>
              </w:rPr>
            </w:pPr>
            <w:r w:rsidRPr="00C05F70">
              <w:rPr>
                <w:sz w:val="18"/>
                <w:szCs w:val="18"/>
              </w:rPr>
              <w:t>Zdroj: ČSÚ, ČNB</w:t>
            </w:r>
          </w:p>
        </w:tc>
      </w:tr>
    </w:tbl>
    <w:p w:rsidR="00ED3A94" w:rsidRPr="007A4048" w:rsidRDefault="00ED3A94" w:rsidP="00960769">
      <w:pPr>
        <w:rPr>
          <w:sz w:val="2"/>
          <w:szCs w:val="2"/>
        </w:rPr>
      </w:pPr>
    </w:p>
    <w:p w:rsidR="002E435E" w:rsidRDefault="002E435E" w:rsidP="002E435E">
      <w:pPr>
        <w:pStyle w:val="Nadpis1"/>
        <w:numPr>
          <w:ilvl w:val="0"/>
          <w:numId w:val="3"/>
        </w:numPr>
        <w:jc w:val="both"/>
      </w:pPr>
      <w:bookmarkStart w:id="10" w:name="_Toc454185155"/>
      <w:r>
        <w:t>Státní rozpočet</w:t>
      </w:r>
      <w:bookmarkEnd w:id="10"/>
    </w:p>
    <w:tbl>
      <w:tblPr>
        <w:tblW w:w="5063" w:type="pct"/>
        <w:tblCellMar>
          <w:left w:w="28" w:type="dxa"/>
          <w:right w:w="28" w:type="dxa"/>
        </w:tblCellMar>
        <w:tblLook w:val="04A0"/>
      </w:tblPr>
      <w:tblGrid>
        <w:gridCol w:w="584"/>
        <w:gridCol w:w="1459"/>
        <w:gridCol w:w="275"/>
        <w:gridCol w:w="2591"/>
        <w:gridCol w:w="711"/>
        <w:gridCol w:w="4074"/>
        <w:gridCol w:w="122"/>
      </w:tblGrid>
      <w:tr w:rsidR="007A4048" w:rsidRPr="00A90EFD" w:rsidTr="002C0FF4">
        <w:trPr>
          <w:gridAfter w:val="1"/>
          <w:wAfter w:w="62" w:type="pct"/>
        </w:trPr>
        <w:tc>
          <w:tcPr>
            <w:tcW w:w="1041" w:type="pct"/>
            <w:gridSpan w:val="2"/>
          </w:tcPr>
          <w:p w:rsidR="007A4048" w:rsidRPr="009E7272" w:rsidRDefault="007A4048" w:rsidP="0002434F">
            <w:pPr>
              <w:spacing w:line="240" w:lineRule="auto"/>
              <w:rPr>
                <w:rFonts w:cs="Arial"/>
                <w:color w:val="0D0D0D" w:themeColor="text1" w:themeTint="F2"/>
                <w:spacing w:val="-4"/>
                <w:sz w:val="16"/>
                <w:szCs w:val="16"/>
              </w:rPr>
            </w:pPr>
            <w:r w:rsidRPr="009E7272">
              <w:rPr>
                <w:rFonts w:cs="Arial"/>
                <w:color w:val="0D0D0D" w:themeColor="text1" w:themeTint="F2"/>
                <w:spacing w:val="-4"/>
                <w:sz w:val="16"/>
                <w:szCs w:val="16"/>
              </w:rPr>
              <w:t xml:space="preserve">Pokračující svižný růst ekonomiky v kombinaci s dozníváním efektu intenzivního čerpání prostředků z evropských fondů vyústily </w:t>
            </w:r>
            <w:r>
              <w:rPr>
                <w:rFonts w:cs="Arial"/>
                <w:color w:val="0D0D0D" w:themeColor="text1" w:themeTint="F2"/>
                <w:spacing w:val="-4"/>
                <w:sz w:val="16"/>
                <w:szCs w:val="16"/>
              </w:rPr>
              <w:t xml:space="preserve">v 1. čtvrtletí v dosud rekordní výši přebytku SR </w:t>
            </w:r>
          </w:p>
        </w:tc>
        <w:tc>
          <w:tcPr>
            <w:tcW w:w="140" w:type="pct"/>
          </w:tcPr>
          <w:p w:rsidR="007A4048" w:rsidRPr="00A90EFD" w:rsidRDefault="007A4048" w:rsidP="0002434F">
            <w:pPr>
              <w:pStyle w:val="Textpoznpodarou"/>
              <w:jc w:val="both"/>
              <w:rPr>
                <w:rFonts w:cs="Arial"/>
                <w:color w:val="0D0D0D" w:themeColor="text1" w:themeTint="F2"/>
              </w:rPr>
            </w:pPr>
          </w:p>
        </w:tc>
        <w:tc>
          <w:tcPr>
            <w:tcW w:w="3757" w:type="pct"/>
            <w:gridSpan w:val="3"/>
          </w:tcPr>
          <w:p w:rsidR="007A4048" w:rsidRPr="00741F3C" w:rsidRDefault="007A4048" w:rsidP="0002434F">
            <w:pPr>
              <w:pStyle w:val="Textpoznpodarou"/>
              <w:jc w:val="both"/>
              <w:rPr>
                <w:rFonts w:cs="Arial"/>
                <w:color w:val="000000" w:themeColor="text1"/>
                <w:spacing w:val="-4"/>
              </w:rPr>
            </w:pPr>
            <w:r w:rsidRPr="00741F3C">
              <w:rPr>
                <w:rFonts w:cs="Arial"/>
                <w:color w:val="0D0D0D" w:themeColor="text1" w:themeTint="F2"/>
                <w:spacing w:val="-4"/>
              </w:rPr>
              <w:t>Státní rozpočet (SR) skončil (dle pokladního plnění) za celé 1. čtvrtletí 2016 přebytkem ve výši 43,6 mld. korun a těsně překonal dosud rekordní hodnotu z </w:t>
            </w:r>
            <w:r w:rsidRPr="00741F3C">
              <w:rPr>
                <w:rFonts w:cs="Arial"/>
                <w:color w:val="000000" w:themeColor="text1"/>
                <w:spacing w:val="-4"/>
              </w:rPr>
              <w:t xml:space="preserve">počátku roku 2014. Šlo v tomto období roku o nejlepší výsledek v historii samotné ČR. Souvisel se svižným růstem ekonomiky, jenž byl reflektován vysokými růstovými tempy inkasa přímých i nepřímých daní. Významný byl také doznívající efekt přílivu prostředků z rozpočtu EU. </w:t>
            </w:r>
            <w:r w:rsidRPr="00741F3C">
              <w:rPr>
                <w:rFonts w:cs="Arial"/>
                <w:color w:val="0D0D0D" w:themeColor="text1" w:themeTint="F2"/>
                <w:spacing w:val="-4"/>
              </w:rPr>
              <w:t>Saldo SR (tvořící klíčovou složku deficitu či přebytku sektoru vládních institucí) činilo v poměru k</w:t>
            </w:r>
            <w:r w:rsidRPr="00741F3C">
              <w:rPr>
                <w:color w:val="0D0D0D" w:themeColor="text1" w:themeTint="F2"/>
                <w:spacing w:val="-4"/>
              </w:rPr>
              <w:t> </w:t>
            </w:r>
            <w:r w:rsidRPr="00741F3C">
              <w:rPr>
                <w:rFonts w:cs="Arial"/>
                <w:color w:val="000000" w:themeColor="text1"/>
                <w:spacing w:val="-4"/>
              </w:rPr>
              <w:t>nominálnímu HDP +4,1 % (o rok dříve +1,9 %) a</w:t>
            </w:r>
            <w:r w:rsidRPr="00741F3C">
              <w:rPr>
                <w:rFonts w:cs="Arial"/>
                <w:color w:val="0D0D0D" w:themeColor="text1" w:themeTint="F2"/>
                <w:spacing w:val="-4"/>
              </w:rPr>
              <w:t xml:space="preserve"> dosáhlo</w:t>
            </w:r>
            <w:r w:rsidRPr="00741F3C">
              <w:rPr>
                <w:rFonts w:cs="Arial"/>
                <w:color w:val="FF0000"/>
                <w:spacing w:val="-4"/>
              </w:rPr>
              <w:t xml:space="preserve"> </w:t>
            </w:r>
            <w:r w:rsidRPr="00741F3C">
              <w:rPr>
                <w:rFonts w:cs="Arial"/>
                <w:color w:val="000000" w:themeColor="text1"/>
                <w:spacing w:val="-4"/>
              </w:rPr>
              <w:t>druhého nejpříznivějšího</w:t>
            </w:r>
            <w:r w:rsidRPr="00741F3C">
              <w:rPr>
                <w:rFonts w:cs="Arial"/>
                <w:color w:val="0D0D0D" w:themeColor="text1" w:themeTint="F2"/>
                <w:spacing w:val="-4"/>
              </w:rPr>
              <w:t xml:space="preserve"> výsledku v rámci 1. čtvrtletí po roce 2000.</w:t>
            </w:r>
          </w:p>
          <w:p w:rsidR="007A4048" w:rsidRPr="00741F3C" w:rsidRDefault="007A4048" w:rsidP="0002434F">
            <w:pPr>
              <w:pStyle w:val="Textpoznpodarou"/>
              <w:jc w:val="both"/>
              <w:rPr>
                <w:rFonts w:cs="Arial"/>
                <w:color w:val="0D0D0D" w:themeColor="text1" w:themeTint="F2"/>
                <w:spacing w:val="-2"/>
                <w:sz w:val="15"/>
                <w:szCs w:val="15"/>
              </w:rPr>
            </w:pPr>
          </w:p>
        </w:tc>
      </w:tr>
      <w:tr w:rsidR="007A4048" w:rsidRPr="00A90EFD" w:rsidTr="002C0FF4">
        <w:trPr>
          <w:gridAfter w:val="1"/>
          <w:wAfter w:w="62" w:type="pct"/>
        </w:trPr>
        <w:tc>
          <w:tcPr>
            <w:tcW w:w="1041" w:type="pct"/>
            <w:gridSpan w:val="2"/>
          </w:tcPr>
          <w:p w:rsidR="007A4048" w:rsidRDefault="007A4048" w:rsidP="0002434F">
            <w:pPr>
              <w:spacing w:line="240" w:lineRule="auto"/>
              <w:rPr>
                <w:rFonts w:cs="Arial"/>
                <w:color w:val="0D0D0D" w:themeColor="text1" w:themeTint="F2"/>
                <w:spacing w:val="-2"/>
                <w:sz w:val="16"/>
                <w:szCs w:val="16"/>
              </w:rPr>
            </w:pPr>
            <w:r w:rsidRPr="00C30516">
              <w:rPr>
                <w:rFonts w:cs="Arial"/>
                <w:color w:val="0D0D0D" w:themeColor="text1" w:themeTint="F2"/>
                <w:spacing w:val="-2"/>
                <w:sz w:val="16"/>
                <w:szCs w:val="16"/>
              </w:rPr>
              <w:t xml:space="preserve">Nejvíc plateb z rozpočtu EU směřovalo do dopravy </w:t>
            </w:r>
          </w:p>
          <w:p w:rsidR="007A4048" w:rsidRPr="00C30516" w:rsidRDefault="007A4048" w:rsidP="0002434F">
            <w:pPr>
              <w:spacing w:line="240" w:lineRule="auto"/>
              <w:rPr>
                <w:rFonts w:cs="Arial"/>
                <w:color w:val="0D0D0D" w:themeColor="text1" w:themeTint="F2"/>
                <w:spacing w:val="-2"/>
                <w:sz w:val="16"/>
                <w:szCs w:val="16"/>
              </w:rPr>
            </w:pPr>
            <w:r w:rsidRPr="00C30516">
              <w:rPr>
                <w:rFonts w:cs="Arial"/>
                <w:color w:val="0D0D0D" w:themeColor="text1" w:themeTint="F2"/>
                <w:spacing w:val="-2"/>
                <w:sz w:val="16"/>
                <w:szCs w:val="16"/>
              </w:rPr>
              <w:t xml:space="preserve">(18 mld. korun), následované životním prostředím a školstvím </w:t>
            </w:r>
          </w:p>
        </w:tc>
        <w:tc>
          <w:tcPr>
            <w:tcW w:w="140" w:type="pct"/>
          </w:tcPr>
          <w:p w:rsidR="007A4048" w:rsidRPr="00A90EFD" w:rsidRDefault="007A4048" w:rsidP="0002434F">
            <w:pPr>
              <w:pStyle w:val="Textpoznpodarou"/>
              <w:jc w:val="both"/>
              <w:rPr>
                <w:rFonts w:cs="Arial"/>
                <w:color w:val="0D0D0D" w:themeColor="text1" w:themeTint="F2"/>
              </w:rPr>
            </w:pPr>
          </w:p>
        </w:tc>
        <w:tc>
          <w:tcPr>
            <w:tcW w:w="3757" w:type="pct"/>
            <w:gridSpan w:val="3"/>
          </w:tcPr>
          <w:p w:rsidR="007A4048" w:rsidRPr="00E26A48" w:rsidRDefault="007A4048" w:rsidP="0002434F">
            <w:pPr>
              <w:pStyle w:val="Textpoznpodarou"/>
              <w:jc w:val="both"/>
              <w:rPr>
                <w:rFonts w:cs="Arial"/>
                <w:color w:val="000000" w:themeColor="text1"/>
                <w:spacing w:val="-2"/>
              </w:rPr>
            </w:pPr>
            <w:r w:rsidRPr="00E26A48">
              <w:rPr>
                <w:rFonts w:cs="Arial"/>
                <w:color w:val="000000" w:themeColor="text1"/>
                <w:spacing w:val="-2"/>
              </w:rPr>
              <w:t>K růstu celkových příjmů SR (meziročně o 8,7 %) přispěly v 1. čtvrtletí hlavně daňové příjmy, vč. pojistného (v úhrnu vyšší o 14,7 mld. korun). O pětinu dále posílily i transfery z EU (nejvíce směřovalo na operační program Doprava), které za</w:t>
            </w:r>
            <w:r w:rsidR="002C0FF4">
              <w:rPr>
                <w:rFonts w:cs="Arial"/>
                <w:color w:val="000000" w:themeColor="text1"/>
                <w:spacing w:val="-2"/>
              </w:rPr>
              <w:t> </w:t>
            </w:r>
            <w:r w:rsidRPr="00E26A48">
              <w:rPr>
                <w:rFonts w:cs="Arial"/>
                <w:color w:val="000000" w:themeColor="text1"/>
                <w:spacing w:val="-2"/>
              </w:rPr>
              <w:t>prvních pět měsíců činily 112 mld. korun a překonaly rozpočtem očekávanou celoroční hodnotu. Příjmy SR jsou v roce 2016 negativně ovlivněny změnou rozpočtového určení daní, jež snižuje podíl SR na celostátním inkasu zhruba o 1 p.b., a to jak u DPH, tak i u daně z příjmu fyzických osob ze závislé činnosti.</w:t>
            </w:r>
          </w:p>
          <w:p w:rsidR="007A4048" w:rsidRPr="00741F3C" w:rsidRDefault="007A4048" w:rsidP="0002434F">
            <w:pPr>
              <w:pStyle w:val="Textpoznpodarou"/>
              <w:jc w:val="both"/>
              <w:rPr>
                <w:rFonts w:cs="Arial"/>
                <w:color w:val="000000" w:themeColor="text1"/>
                <w:spacing w:val="-2"/>
                <w:sz w:val="15"/>
                <w:szCs w:val="15"/>
              </w:rPr>
            </w:pPr>
          </w:p>
        </w:tc>
      </w:tr>
      <w:tr w:rsidR="007A4048" w:rsidRPr="00A90EFD" w:rsidTr="002C0FF4">
        <w:trPr>
          <w:gridAfter w:val="1"/>
          <w:wAfter w:w="62" w:type="pct"/>
        </w:trPr>
        <w:tc>
          <w:tcPr>
            <w:tcW w:w="1041" w:type="pct"/>
            <w:gridSpan w:val="2"/>
          </w:tcPr>
          <w:p w:rsidR="007A4048" w:rsidRPr="00C30516" w:rsidRDefault="007A4048" w:rsidP="0002434F">
            <w:pPr>
              <w:spacing w:line="240" w:lineRule="auto"/>
              <w:rPr>
                <w:rFonts w:cs="Arial"/>
                <w:bCs/>
                <w:iCs/>
                <w:color w:val="0D0D0D" w:themeColor="text1" w:themeTint="F2"/>
                <w:spacing w:val="-2"/>
                <w:sz w:val="16"/>
                <w:szCs w:val="16"/>
              </w:rPr>
            </w:pPr>
            <w:r w:rsidRPr="00C30516">
              <w:rPr>
                <w:rFonts w:cs="Arial"/>
                <w:bCs/>
                <w:iCs/>
                <w:color w:val="0D0D0D" w:themeColor="text1" w:themeTint="F2"/>
                <w:spacing w:val="-2"/>
                <w:sz w:val="16"/>
                <w:szCs w:val="16"/>
              </w:rPr>
              <w:t xml:space="preserve">Sílící tempo výběru DPH v průběhu roku odráželo vysoký meziroční růst </w:t>
            </w:r>
            <w:r>
              <w:rPr>
                <w:rFonts w:cs="Arial"/>
                <w:bCs/>
                <w:iCs/>
                <w:color w:val="0D0D0D" w:themeColor="text1" w:themeTint="F2"/>
                <w:spacing w:val="-2"/>
                <w:sz w:val="16"/>
                <w:szCs w:val="16"/>
              </w:rPr>
              <w:t xml:space="preserve">celkových </w:t>
            </w:r>
            <w:r w:rsidRPr="00C30516">
              <w:rPr>
                <w:rFonts w:cs="Arial"/>
                <w:bCs/>
                <w:iCs/>
                <w:color w:val="0D0D0D" w:themeColor="text1" w:themeTint="F2"/>
                <w:spacing w:val="-2"/>
                <w:sz w:val="16"/>
                <w:szCs w:val="16"/>
              </w:rPr>
              <w:t>výdajů na konečnou spotřebu</w:t>
            </w:r>
          </w:p>
        </w:tc>
        <w:tc>
          <w:tcPr>
            <w:tcW w:w="140" w:type="pct"/>
          </w:tcPr>
          <w:p w:rsidR="007A4048" w:rsidRPr="00A90EFD" w:rsidRDefault="007A4048" w:rsidP="0002434F">
            <w:pPr>
              <w:pStyle w:val="Textpoznpodarou"/>
              <w:jc w:val="both"/>
              <w:rPr>
                <w:rFonts w:cs="Arial"/>
                <w:color w:val="0D0D0D" w:themeColor="text1" w:themeTint="F2"/>
              </w:rPr>
            </w:pPr>
          </w:p>
        </w:tc>
        <w:tc>
          <w:tcPr>
            <w:tcW w:w="3757" w:type="pct"/>
            <w:gridSpan w:val="3"/>
          </w:tcPr>
          <w:p w:rsidR="007A4048" w:rsidRPr="00E26A48" w:rsidRDefault="007A4048" w:rsidP="0002434F">
            <w:pPr>
              <w:pStyle w:val="Textpoznpodarou"/>
              <w:jc w:val="both"/>
              <w:rPr>
                <w:rFonts w:cs="Arial"/>
                <w:color w:val="0D0D0D" w:themeColor="text1" w:themeTint="F2"/>
                <w:spacing w:val="-2"/>
              </w:rPr>
            </w:pPr>
            <w:r w:rsidRPr="00E26A48">
              <w:rPr>
                <w:rFonts w:cs="Arial"/>
                <w:color w:val="0D0D0D" w:themeColor="text1" w:themeTint="F2"/>
                <w:spacing w:val="-2"/>
              </w:rPr>
              <w:t>Celostátní inkaso váhově dominantní daně – DPH vzrostlo o 4,2 %, na úrovni SR meziročně posílilo o 2,9 %</w:t>
            </w:r>
            <w:r w:rsidRPr="00E26A48">
              <w:rPr>
                <w:rStyle w:val="Znakapoznpodarou"/>
                <w:color w:val="0D0D0D" w:themeColor="text1" w:themeTint="F2"/>
                <w:spacing w:val="-2"/>
              </w:rPr>
              <w:footnoteReference w:id="23"/>
            </w:r>
            <w:r w:rsidRPr="00E26A48">
              <w:rPr>
                <w:rFonts w:cs="Arial"/>
                <w:color w:val="0D0D0D" w:themeColor="text1" w:themeTint="F2"/>
                <w:spacing w:val="-2"/>
              </w:rPr>
              <w:t>. Reflektovalo stabilní růstová tempa výdajů na konečnou spotřebu, a to jak u domácností (nominálně v 1. čtvrtletí 3,2 %), tak i</w:t>
            </w:r>
            <w:r w:rsidR="002C0FF4">
              <w:rPr>
                <w:rFonts w:cs="Arial"/>
                <w:color w:val="0D0D0D" w:themeColor="text1" w:themeTint="F2"/>
                <w:spacing w:val="-2"/>
              </w:rPr>
              <w:t> </w:t>
            </w:r>
            <w:r w:rsidRPr="00E26A48">
              <w:rPr>
                <w:rFonts w:cs="Arial"/>
                <w:color w:val="0D0D0D" w:themeColor="text1" w:themeTint="F2"/>
                <w:spacing w:val="-2"/>
              </w:rPr>
              <w:t>vládních institucí (3,9 %). Mírně negativní vliv měla i meziročně mírně vyšší výplata zadržovaných odpočtů, v opačném směru zřejmě působilo zvýšení kontrolních opatření při výběru daně.</w:t>
            </w:r>
          </w:p>
          <w:p w:rsidR="007A4048" w:rsidRPr="002C493D" w:rsidRDefault="007A4048" w:rsidP="0002434F">
            <w:pPr>
              <w:pStyle w:val="Textpoznpodarou"/>
              <w:jc w:val="both"/>
              <w:rPr>
                <w:rFonts w:cs="Arial"/>
                <w:color w:val="0D0D0D" w:themeColor="text1" w:themeTint="F2"/>
                <w:spacing w:val="-2"/>
                <w:sz w:val="16"/>
                <w:szCs w:val="16"/>
              </w:rPr>
            </w:pPr>
          </w:p>
        </w:tc>
      </w:tr>
      <w:tr w:rsidR="007A4048" w:rsidRPr="00A90EFD" w:rsidTr="002C0FF4">
        <w:trPr>
          <w:gridAfter w:val="1"/>
          <w:wAfter w:w="62" w:type="pct"/>
        </w:trPr>
        <w:tc>
          <w:tcPr>
            <w:tcW w:w="1041" w:type="pct"/>
            <w:gridSpan w:val="2"/>
          </w:tcPr>
          <w:p w:rsidR="007A4048" w:rsidRDefault="007A4048" w:rsidP="0002434F">
            <w:pPr>
              <w:spacing w:line="240" w:lineRule="auto"/>
              <w:rPr>
                <w:rFonts w:cs="Arial"/>
                <w:bCs/>
                <w:iCs/>
                <w:color w:val="0D0D0D" w:themeColor="text1" w:themeTint="F2"/>
                <w:sz w:val="16"/>
                <w:szCs w:val="16"/>
              </w:rPr>
            </w:pPr>
            <w:r w:rsidRPr="00D02B7C">
              <w:rPr>
                <w:rFonts w:cs="Arial"/>
                <w:bCs/>
                <w:iCs/>
                <w:color w:val="0D0D0D" w:themeColor="text1" w:themeTint="F2"/>
                <w:sz w:val="16"/>
                <w:szCs w:val="16"/>
              </w:rPr>
              <w:t>K meziročně vyššímu výběru spotřebních daní přispělo rozhodující měrou zvýšení sazeb daně z tabákových výrobků</w:t>
            </w:r>
          </w:p>
          <w:p w:rsidR="007A4048" w:rsidRPr="00D02B7C" w:rsidRDefault="007A4048" w:rsidP="0002434F">
            <w:pPr>
              <w:spacing w:line="240" w:lineRule="auto"/>
              <w:rPr>
                <w:rFonts w:cs="Arial"/>
                <w:bCs/>
                <w:iCs/>
                <w:color w:val="0D0D0D" w:themeColor="text1" w:themeTint="F2"/>
                <w:sz w:val="16"/>
                <w:szCs w:val="16"/>
              </w:rPr>
            </w:pPr>
            <w:r>
              <w:rPr>
                <w:rFonts w:cs="Arial"/>
                <w:bCs/>
                <w:iCs/>
                <w:color w:val="0D0D0D" w:themeColor="text1" w:themeTint="F2"/>
                <w:sz w:val="16"/>
                <w:szCs w:val="16"/>
              </w:rPr>
              <w:t>(od 1.</w:t>
            </w:r>
            <w:r w:rsidR="00A517C1">
              <w:rPr>
                <w:rFonts w:cs="Arial"/>
                <w:bCs/>
                <w:iCs/>
                <w:color w:val="0D0D0D" w:themeColor="text1" w:themeTint="F2"/>
                <w:sz w:val="16"/>
                <w:szCs w:val="16"/>
              </w:rPr>
              <w:t xml:space="preserve"> </w:t>
            </w:r>
            <w:r>
              <w:rPr>
                <w:rFonts w:cs="Arial"/>
                <w:bCs/>
                <w:iCs/>
                <w:color w:val="0D0D0D" w:themeColor="text1" w:themeTint="F2"/>
                <w:sz w:val="16"/>
                <w:szCs w:val="16"/>
              </w:rPr>
              <w:t>1.</w:t>
            </w:r>
            <w:r w:rsidR="00A517C1">
              <w:rPr>
                <w:rFonts w:cs="Arial"/>
                <w:bCs/>
                <w:iCs/>
                <w:color w:val="0D0D0D" w:themeColor="text1" w:themeTint="F2"/>
                <w:sz w:val="16"/>
                <w:szCs w:val="16"/>
              </w:rPr>
              <w:t xml:space="preserve"> </w:t>
            </w:r>
            <w:r>
              <w:rPr>
                <w:rFonts w:cs="Arial"/>
                <w:bCs/>
                <w:iCs/>
                <w:color w:val="0D0D0D" w:themeColor="text1" w:themeTint="F2"/>
                <w:sz w:val="16"/>
                <w:szCs w:val="16"/>
              </w:rPr>
              <w:t>2016)</w:t>
            </w:r>
          </w:p>
        </w:tc>
        <w:tc>
          <w:tcPr>
            <w:tcW w:w="140" w:type="pct"/>
          </w:tcPr>
          <w:p w:rsidR="007A4048" w:rsidRPr="00A90EFD" w:rsidRDefault="007A4048" w:rsidP="0002434F">
            <w:pPr>
              <w:pStyle w:val="Textpoznpodarou"/>
              <w:jc w:val="both"/>
              <w:rPr>
                <w:rFonts w:cs="Arial"/>
                <w:color w:val="0D0D0D" w:themeColor="text1" w:themeTint="F2"/>
              </w:rPr>
            </w:pPr>
          </w:p>
        </w:tc>
        <w:tc>
          <w:tcPr>
            <w:tcW w:w="3757" w:type="pct"/>
            <w:gridSpan w:val="3"/>
          </w:tcPr>
          <w:p w:rsidR="007A4048" w:rsidRPr="00E26A48" w:rsidRDefault="007A4048" w:rsidP="0002434F">
            <w:pPr>
              <w:pStyle w:val="Textpoznpodarou"/>
              <w:jc w:val="both"/>
              <w:rPr>
                <w:rFonts w:cs="Arial"/>
                <w:color w:val="0D0D0D" w:themeColor="text1" w:themeTint="F2"/>
                <w:spacing w:val="-2"/>
              </w:rPr>
            </w:pPr>
            <w:r w:rsidRPr="00E26A48">
              <w:rPr>
                <w:rFonts w:cs="Arial"/>
                <w:color w:val="0D0D0D" w:themeColor="text1" w:themeTint="F2"/>
                <w:spacing w:val="-2"/>
              </w:rPr>
              <w:t>SR inkasoval více i ze spotřebních daní (+8,4 % meziročně), jejich výběr se po delší době opět vrátil k běžné sezónnosti. Nejvyšší inkaso zaznamenala tradičně daň z minerálních olejů, a to navzdory relativně slabšímu tempu (+4,0 %). Příznivé spotřebitelské ceny</w:t>
            </w:r>
            <w:r w:rsidR="00A517C1">
              <w:rPr>
                <w:rFonts w:cs="Arial"/>
                <w:color w:val="0D0D0D" w:themeColor="text1" w:themeTint="F2"/>
                <w:spacing w:val="-2"/>
              </w:rPr>
              <w:t xml:space="preserve"> pohonných hmot</w:t>
            </w:r>
            <w:r w:rsidRPr="00E26A48">
              <w:rPr>
                <w:rFonts w:cs="Arial"/>
                <w:color w:val="0D0D0D" w:themeColor="text1" w:themeTint="F2"/>
                <w:spacing w:val="-2"/>
              </w:rPr>
              <w:t xml:space="preserve"> </w:t>
            </w:r>
            <w:r w:rsidR="00A517C1">
              <w:rPr>
                <w:rFonts w:cs="Arial"/>
                <w:color w:val="0D0D0D" w:themeColor="text1" w:themeTint="F2"/>
                <w:spacing w:val="-2"/>
              </w:rPr>
              <w:t>(</w:t>
            </w:r>
            <w:r w:rsidRPr="00E26A48">
              <w:rPr>
                <w:rFonts w:cs="Arial"/>
                <w:color w:val="0D0D0D" w:themeColor="text1" w:themeTint="F2"/>
                <w:spacing w:val="-2"/>
              </w:rPr>
              <w:t>PHM</w:t>
            </w:r>
            <w:r w:rsidR="00A517C1">
              <w:rPr>
                <w:rFonts w:cs="Arial"/>
                <w:color w:val="0D0D0D" w:themeColor="text1" w:themeTint="F2"/>
                <w:spacing w:val="-2"/>
              </w:rPr>
              <w:t>)</w:t>
            </w:r>
            <w:r w:rsidRPr="00E26A48">
              <w:rPr>
                <w:rFonts w:cs="Arial"/>
                <w:color w:val="0D0D0D" w:themeColor="text1" w:themeTint="F2"/>
                <w:spacing w:val="-2"/>
              </w:rPr>
              <w:t xml:space="preserve"> doprovázené růstem poptávky po dopravě v souvislosti s ekonomickým růstem vyústily ve zvýšení spotřeby PHM. O</w:t>
            </w:r>
            <w:r w:rsidR="00A517C1">
              <w:rPr>
                <w:rFonts w:cs="Arial"/>
                <w:color w:val="0D0D0D" w:themeColor="text1" w:themeTint="F2"/>
                <w:spacing w:val="-2"/>
              </w:rPr>
              <w:t> </w:t>
            </w:r>
            <w:r w:rsidRPr="00E26A48">
              <w:rPr>
                <w:rFonts w:cs="Arial"/>
                <w:color w:val="0D0D0D" w:themeColor="text1" w:themeTint="F2"/>
                <w:spacing w:val="-2"/>
              </w:rPr>
              <w:t xml:space="preserve">šestinu více získal SR na dani z tabákových výrobků. Její inkaso reflektovalo navýšení sazeb daně, mohlo signalizovat i návrat k rostoucí spotřebě cigaret. </w:t>
            </w:r>
            <w:r>
              <w:rPr>
                <w:rFonts w:cs="Arial"/>
                <w:color w:val="0D0D0D" w:themeColor="text1" w:themeTint="F2"/>
                <w:spacing w:val="-2"/>
              </w:rPr>
              <w:t>Mírně posílilo inkaso také</w:t>
            </w:r>
            <w:r w:rsidRPr="00E26A48">
              <w:rPr>
                <w:rFonts w:cs="Arial"/>
                <w:color w:val="0D0D0D" w:themeColor="text1" w:themeTint="F2"/>
                <w:spacing w:val="-2"/>
              </w:rPr>
              <w:t xml:space="preserve"> </w:t>
            </w:r>
            <w:r>
              <w:rPr>
                <w:rFonts w:cs="Arial"/>
                <w:color w:val="0D0D0D" w:themeColor="text1" w:themeTint="F2"/>
                <w:spacing w:val="-2"/>
              </w:rPr>
              <w:t>u</w:t>
            </w:r>
            <w:r w:rsidRPr="00E26A48">
              <w:rPr>
                <w:rFonts w:cs="Arial"/>
                <w:color w:val="0D0D0D" w:themeColor="text1" w:themeTint="F2"/>
                <w:spacing w:val="-2"/>
              </w:rPr>
              <w:t> většiny ostatních druhů spotřebních daní (vč. energetických daní), pokles se objevil jen u</w:t>
            </w:r>
            <w:r w:rsidR="00F44E1B">
              <w:rPr>
                <w:rFonts w:cs="Arial"/>
                <w:color w:val="0D0D0D" w:themeColor="text1" w:themeTint="F2"/>
                <w:spacing w:val="-2"/>
              </w:rPr>
              <w:t> </w:t>
            </w:r>
            <w:r w:rsidRPr="00E26A48">
              <w:rPr>
                <w:rFonts w:cs="Arial"/>
                <w:color w:val="0D0D0D" w:themeColor="text1" w:themeTint="F2"/>
                <w:spacing w:val="-2"/>
              </w:rPr>
              <w:t xml:space="preserve">výběru daně z piva. </w:t>
            </w:r>
          </w:p>
          <w:p w:rsidR="007A4048" w:rsidRPr="002C493D" w:rsidRDefault="007A4048" w:rsidP="0002434F">
            <w:pPr>
              <w:pStyle w:val="Textpoznpodarou"/>
              <w:jc w:val="both"/>
              <w:rPr>
                <w:rFonts w:cs="Arial"/>
                <w:color w:val="0D0D0D" w:themeColor="text1" w:themeTint="F2"/>
                <w:spacing w:val="-2"/>
                <w:sz w:val="16"/>
                <w:szCs w:val="16"/>
              </w:rPr>
            </w:pPr>
          </w:p>
        </w:tc>
      </w:tr>
      <w:tr w:rsidR="007A4048" w:rsidRPr="00A90EFD" w:rsidTr="002C0FF4">
        <w:trPr>
          <w:gridAfter w:val="1"/>
          <w:wAfter w:w="62" w:type="pct"/>
        </w:trPr>
        <w:tc>
          <w:tcPr>
            <w:tcW w:w="1041" w:type="pct"/>
            <w:gridSpan w:val="2"/>
          </w:tcPr>
          <w:p w:rsidR="007A4048" w:rsidRDefault="007A4048" w:rsidP="0002434F">
            <w:pPr>
              <w:spacing w:line="240" w:lineRule="auto"/>
              <w:rPr>
                <w:rFonts w:cs="Arial"/>
                <w:bCs/>
                <w:iCs/>
                <w:color w:val="0D0D0D" w:themeColor="text1" w:themeTint="F2"/>
                <w:sz w:val="16"/>
                <w:szCs w:val="16"/>
              </w:rPr>
            </w:pPr>
            <w:r w:rsidRPr="00F55C6A">
              <w:rPr>
                <w:rFonts w:cs="Arial"/>
                <w:bCs/>
                <w:iCs/>
                <w:color w:val="0D0D0D" w:themeColor="text1" w:themeTint="F2"/>
                <w:sz w:val="16"/>
                <w:szCs w:val="16"/>
              </w:rPr>
              <w:t xml:space="preserve">Nejvyšší počet zaměstnaných </w:t>
            </w:r>
            <w:r>
              <w:rPr>
                <w:rFonts w:cs="Arial"/>
                <w:bCs/>
                <w:iCs/>
                <w:color w:val="0D0D0D" w:themeColor="text1" w:themeTint="F2"/>
                <w:sz w:val="16"/>
                <w:szCs w:val="16"/>
              </w:rPr>
              <w:t xml:space="preserve">osob </w:t>
            </w:r>
            <w:r w:rsidRPr="00F55C6A">
              <w:rPr>
                <w:rFonts w:cs="Arial"/>
                <w:bCs/>
                <w:iCs/>
                <w:color w:val="0D0D0D" w:themeColor="text1" w:themeTint="F2"/>
                <w:sz w:val="16"/>
                <w:szCs w:val="16"/>
              </w:rPr>
              <w:t xml:space="preserve">v novodobé </w:t>
            </w:r>
            <w:r>
              <w:rPr>
                <w:rFonts w:cs="Arial"/>
                <w:bCs/>
                <w:iCs/>
                <w:color w:val="0D0D0D" w:themeColor="text1" w:themeTint="F2"/>
                <w:sz w:val="16"/>
                <w:szCs w:val="16"/>
              </w:rPr>
              <w:t>historii v kombinaci se sílícím růstem průměrných mezd</w:t>
            </w:r>
            <w:r w:rsidRPr="00F55C6A">
              <w:rPr>
                <w:rFonts w:cs="Arial"/>
                <w:bCs/>
                <w:iCs/>
                <w:color w:val="0D0D0D" w:themeColor="text1" w:themeTint="F2"/>
                <w:sz w:val="16"/>
                <w:szCs w:val="16"/>
              </w:rPr>
              <w:t xml:space="preserve"> </w:t>
            </w:r>
            <w:r>
              <w:rPr>
                <w:rFonts w:cs="Arial"/>
                <w:bCs/>
                <w:iCs/>
                <w:color w:val="0D0D0D" w:themeColor="text1" w:themeTint="F2"/>
                <w:sz w:val="16"/>
                <w:szCs w:val="16"/>
              </w:rPr>
              <w:t xml:space="preserve">(napříč drtivou většinou odvětví) vyústily ve vysoký výběr daně z příjmu od zaměstnanců, jehož dynamika převýšila </w:t>
            </w:r>
          </w:p>
          <w:p w:rsidR="007A4048" w:rsidRPr="00F55C6A" w:rsidRDefault="007A4048" w:rsidP="0002434F">
            <w:pPr>
              <w:spacing w:line="240" w:lineRule="auto"/>
              <w:rPr>
                <w:rFonts w:cs="Arial"/>
                <w:bCs/>
                <w:iCs/>
                <w:color w:val="0D0D0D" w:themeColor="text1" w:themeTint="F2"/>
                <w:sz w:val="16"/>
                <w:szCs w:val="16"/>
              </w:rPr>
            </w:pPr>
            <w:r>
              <w:rPr>
                <w:rFonts w:cs="Arial"/>
                <w:bCs/>
                <w:iCs/>
                <w:color w:val="0D0D0D" w:themeColor="text1" w:themeTint="F2"/>
                <w:sz w:val="16"/>
                <w:szCs w:val="16"/>
              </w:rPr>
              <w:t>i rozpočtová očekávání</w:t>
            </w:r>
          </w:p>
        </w:tc>
        <w:tc>
          <w:tcPr>
            <w:tcW w:w="140" w:type="pct"/>
          </w:tcPr>
          <w:p w:rsidR="007A4048" w:rsidRPr="00807B25" w:rsidRDefault="007A4048" w:rsidP="0002434F">
            <w:pPr>
              <w:pStyle w:val="Textpoznpodarou"/>
              <w:jc w:val="both"/>
              <w:rPr>
                <w:rFonts w:cs="Arial"/>
                <w:color w:val="0D0D0D" w:themeColor="text1" w:themeTint="F2"/>
                <w:spacing w:val="-4"/>
              </w:rPr>
            </w:pPr>
          </w:p>
        </w:tc>
        <w:tc>
          <w:tcPr>
            <w:tcW w:w="3757" w:type="pct"/>
            <w:gridSpan w:val="3"/>
          </w:tcPr>
          <w:p w:rsidR="007A4048" w:rsidRPr="00741F3C" w:rsidRDefault="007A4048" w:rsidP="0002434F">
            <w:pPr>
              <w:pStyle w:val="Textpoznpodarou"/>
              <w:jc w:val="both"/>
              <w:rPr>
                <w:rFonts w:cs="Arial"/>
                <w:spacing w:val="-4"/>
              </w:rPr>
            </w:pPr>
            <w:r w:rsidRPr="00741F3C">
              <w:rPr>
                <w:rFonts w:cs="Arial"/>
                <w:spacing w:val="-4"/>
              </w:rPr>
              <w:t>Velmi dobrá kondice pracovního trhu vyjádřená plynulým zvyšováním zaměstnanosti a sílícími růstovými tempy průměrných mezd se v 1. čtvrtletí projevila vysokou dynamikou celostátního inkasa daně z příjmu fyzických osob (DPFO) ze závislé činnosti (+8,3</w:t>
            </w:r>
            <w:r w:rsidRPr="00741F3C">
              <w:rPr>
                <w:rFonts w:cs="Arial"/>
                <w:color w:val="0D0D0D" w:themeColor="text1" w:themeTint="F2"/>
                <w:spacing w:val="-4"/>
              </w:rPr>
              <w:t> </w:t>
            </w:r>
            <w:r w:rsidRPr="00741F3C">
              <w:rPr>
                <w:rFonts w:cs="Arial"/>
                <w:spacing w:val="-4"/>
              </w:rPr>
              <w:t xml:space="preserve">%, třetí nejvyšší za posledních 18 čtvrtletí). I na úrovni SR jeho tempo převyšovalo rozpočtová očekávání, v dalších měsících bude ale postupně negativně ovlivňováno zvýšením daňového zvýhodnění pro rodiny s větším počtem dětí. Vývoj ekonomiky podpořil i výběr DPFO placené na základě přiznání, na konci května (po zohlednění pravidelných vratek) byl výsledek meziročně o 3,5 mld. korun příznivější. Naopak DPFO z kapitálových výnosů se překvapivě pohyboval pod loňskou úrovní. </w:t>
            </w:r>
          </w:p>
          <w:p w:rsidR="007A4048" w:rsidRPr="002C493D" w:rsidRDefault="007A4048" w:rsidP="0002434F">
            <w:pPr>
              <w:pStyle w:val="Textpoznpodarou"/>
              <w:jc w:val="both"/>
              <w:rPr>
                <w:rFonts w:cs="Arial"/>
                <w:spacing w:val="-2"/>
                <w:sz w:val="16"/>
                <w:szCs w:val="16"/>
              </w:rPr>
            </w:pPr>
          </w:p>
        </w:tc>
      </w:tr>
      <w:tr w:rsidR="007A4048" w:rsidRPr="00A90EFD" w:rsidTr="002C0FF4">
        <w:trPr>
          <w:gridAfter w:val="1"/>
          <w:wAfter w:w="62" w:type="pct"/>
        </w:trPr>
        <w:tc>
          <w:tcPr>
            <w:tcW w:w="1041" w:type="pct"/>
            <w:gridSpan w:val="2"/>
          </w:tcPr>
          <w:p w:rsidR="007A4048" w:rsidRDefault="007A4048" w:rsidP="0002434F">
            <w:pPr>
              <w:spacing w:line="240" w:lineRule="auto"/>
              <w:rPr>
                <w:rFonts w:cs="Arial"/>
                <w:bCs/>
                <w:iCs/>
                <w:color w:val="0D0D0D" w:themeColor="text1" w:themeTint="F2"/>
                <w:spacing w:val="-2"/>
                <w:sz w:val="16"/>
                <w:szCs w:val="16"/>
              </w:rPr>
            </w:pPr>
            <w:r w:rsidRPr="002879E3">
              <w:rPr>
                <w:rFonts w:cs="Arial"/>
                <w:bCs/>
                <w:iCs/>
                <w:color w:val="0D0D0D" w:themeColor="text1" w:themeTint="F2"/>
                <w:spacing w:val="-2"/>
                <w:sz w:val="16"/>
                <w:szCs w:val="16"/>
              </w:rPr>
              <w:t xml:space="preserve">Meziroční tempo růstu inkasa korporátní daně atakovalo dvouciferné hodnoty již osm čtvrtletí </w:t>
            </w:r>
          </w:p>
          <w:p w:rsidR="007A4048" w:rsidRPr="002879E3" w:rsidRDefault="007A4048" w:rsidP="0002434F">
            <w:pPr>
              <w:spacing w:line="240" w:lineRule="auto"/>
              <w:rPr>
                <w:rFonts w:cs="Arial"/>
                <w:bCs/>
                <w:iCs/>
                <w:color w:val="0D0D0D" w:themeColor="text1" w:themeTint="F2"/>
                <w:spacing w:val="-2"/>
                <w:sz w:val="16"/>
                <w:szCs w:val="16"/>
              </w:rPr>
            </w:pPr>
            <w:r w:rsidRPr="002879E3">
              <w:rPr>
                <w:rFonts w:cs="Arial"/>
                <w:bCs/>
                <w:iCs/>
                <w:color w:val="0D0D0D" w:themeColor="text1" w:themeTint="F2"/>
                <w:spacing w:val="-2"/>
                <w:sz w:val="16"/>
                <w:szCs w:val="16"/>
              </w:rPr>
              <w:t>v řadě</w:t>
            </w:r>
          </w:p>
          <w:p w:rsidR="007A4048" w:rsidRPr="00A90EFD" w:rsidRDefault="007A4048" w:rsidP="0002434F">
            <w:pPr>
              <w:spacing w:line="240" w:lineRule="auto"/>
              <w:rPr>
                <w:rFonts w:cs="Arial"/>
                <w:bCs/>
                <w:iCs/>
                <w:color w:val="0D0D0D" w:themeColor="text1" w:themeTint="F2"/>
                <w:szCs w:val="20"/>
              </w:rPr>
            </w:pPr>
          </w:p>
        </w:tc>
        <w:tc>
          <w:tcPr>
            <w:tcW w:w="140" w:type="pct"/>
          </w:tcPr>
          <w:p w:rsidR="007A4048" w:rsidRPr="00807B25" w:rsidRDefault="007A4048" w:rsidP="0002434F">
            <w:pPr>
              <w:pStyle w:val="Textpoznpodarou"/>
              <w:jc w:val="both"/>
              <w:rPr>
                <w:rFonts w:cs="Arial"/>
                <w:color w:val="0D0D0D" w:themeColor="text1" w:themeTint="F2"/>
                <w:spacing w:val="-4"/>
              </w:rPr>
            </w:pPr>
          </w:p>
        </w:tc>
        <w:tc>
          <w:tcPr>
            <w:tcW w:w="3757" w:type="pct"/>
            <w:gridSpan w:val="3"/>
          </w:tcPr>
          <w:p w:rsidR="007A4048" w:rsidRPr="002C0FF4" w:rsidRDefault="007A4048" w:rsidP="0002434F">
            <w:pPr>
              <w:pStyle w:val="Textpoznpodarou"/>
              <w:jc w:val="both"/>
              <w:rPr>
                <w:rFonts w:cs="Arial"/>
                <w:color w:val="0D0D0D" w:themeColor="text1" w:themeTint="F2"/>
              </w:rPr>
            </w:pPr>
            <w:r w:rsidRPr="002C0FF4">
              <w:rPr>
                <w:rFonts w:cs="Arial"/>
                <w:color w:val="0D0D0D" w:themeColor="text1" w:themeTint="F2"/>
              </w:rPr>
              <w:t>Sílící zisky podniků stále více prosakují do celostátního výběru korporátních daní, jenž byl v 1. čtvrtletí meziročně o osminu vyšší. Zároveň se již téměř dostal na</w:t>
            </w:r>
            <w:r w:rsidR="002C0FF4" w:rsidRPr="002C0FF4">
              <w:rPr>
                <w:rFonts w:cs="Arial"/>
                <w:color w:val="0D0D0D" w:themeColor="text1" w:themeTint="F2"/>
              </w:rPr>
              <w:t> </w:t>
            </w:r>
            <w:r w:rsidRPr="002C0FF4">
              <w:rPr>
                <w:rFonts w:cs="Arial"/>
                <w:color w:val="0D0D0D" w:themeColor="text1" w:themeTint="F2"/>
              </w:rPr>
              <w:t xml:space="preserve">úroveň svého dosavadního maxima (1. čtvrtletí 2008, u DPFO ze závislé činnosti byl proti obdobné předkrizové úrovni již o šestinu vyšší). Větší vypovídací hodnotu vzhledem k roku 2016 však bude mít až údaj za 2. čtvrtletí, ve kterém již budou zahrnuty i výsledky přiznání největších plátců daně. </w:t>
            </w:r>
          </w:p>
          <w:p w:rsidR="007A4048" w:rsidRPr="0014428D" w:rsidRDefault="007A4048" w:rsidP="0002434F">
            <w:pPr>
              <w:pStyle w:val="Textpoznpodarou"/>
              <w:jc w:val="both"/>
              <w:rPr>
                <w:rFonts w:cs="Arial"/>
                <w:color w:val="0D0D0D" w:themeColor="text1" w:themeTint="F2"/>
                <w:spacing w:val="-2"/>
                <w:sz w:val="14"/>
                <w:szCs w:val="14"/>
              </w:rPr>
            </w:pPr>
          </w:p>
        </w:tc>
      </w:tr>
      <w:tr w:rsidR="007A4048" w:rsidRPr="00A90EFD" w:rsidTr="002C0FF4">
        <w:trPr>
          <w:gridAfter w:val="1"/>
          <w:wAfter w:w="62" w:type="pct"/>
        </w:trPr>
        <w:tc>
          <w:tcPr>
            <w:tcW w:w="1041" w:type="pct"/>
            <w:gridSpan w:val="2"/>
          </w:tcPr>
          <w:p w:rsidR="007A4048" w:rsidRDefault="007A4048" w:rsidP="0002434F">
            <w:pPr>
              <w:spacing w:line="240" w:lineRule="auto"/>
              <w:rPr>
                <w:rFonts w:cs="Arial"/>
                <w:bCs/>
                <w:iCs/>
                <w:color w:val="0D0D0D" w:themeColor="text1" w:themeTint="F2"/>
                <w:spacing w:val="-4"/>
                <w:sz w:val="16"/>
                <w:szCs w:val="16"/>
              </w:rPr>
            </w:pPr>
            <w:r w:rsidRPr="00F745A4">
              <w:rPr>
                <w:rFonts w:cs="Arial"/>
                <w:bCs/>
                <w:iCs/>
                <w:color w:val="0D0D0D" w:themeColor="text1" w:themeTint="F2"/>
                <w:spacing w:val="-4"/>
                <w:sz w:val="16"/>
                <w:szCs w:val="16"/>
              </w:rPr>
              <w:t xml:space="preserve">Výrazné zpomalení </w:t>
            </w:r>
            <w:r>
              <w:rPr>
                <w:rFonts w:cs="Arial"/>
                <w:bCs/>
                <w:iCs/>
                <w:color w:val="0D0D0D" w:themeColor="text1" w:themeTint="F2"/>
                <w:spacing w:val="-4"/>
                <w:sz w:val="16"/>
                <w:szCs w:val="16"/>
              </w:rPr>
              <w:t>tempa růstu výdajů SR</w:t>
            </w:r>
          </w:p>
          <w:p w:rsidR="007A4048" w:rsidRDefault="007A4048" w:rsidP="0002434F">
            <w:pPr>
              <w:spacing w:line="240" w:lineRule="auto"/>
              <w:rPr>
                <w:rFonts w:cs="Arial"/>
                <w:bCs/>
                <w:iCs/>
                <w:color w:val="0D0D0D" w:themeColor="text1" w:themeTint="F2"/>
                <w:spacing w:val="-4"/>
                <w:sz w:val="16"/>
                <w:szCs w:val="16"/>
              </w:rPr>
            </w:pPr>
          </w:p>
          <w:p w:rsidR="007A4048" w:rsidRDefault="007A4048" w:rsidP="0002434F">
            <w:pPr>
              <w:spacing w:line="240" w:lineRule="auto"/>
              <w:rPr>
                <w:rFonts w:cs="Arial"/>
                <w:bCs/>
                <w:iCs/>
                <w:color w:val="0D0D0D" w:themeColor="text1" w:themeTint="F2"/>
                <w:spacing w:val="-4"/>
                <w:sz w:val="16"/>
                <w:szCs w:val="16"/>
              </w:rPr>
            </w:pPr>
          </w:p>
          <w:p w:rsidR="007A4048" w:rsidRDefault="007A4048" w:rsidP="0002434F">
            <w:pPr>
              <w:spacing w:line="240" w:lineRule="auto"/>
              <w:rPr>
                <w:rFonts w:cs="Arial"/>
                <w:bCs/>
                <w:iCs/>
                <w:color w:val="0D0D0D" w:themeColor="text1" w:themeTint="F2"/>
                <w:spacing w:val="-4"/>
                <w:sz w:val="16"/>
                <w:szCs w:val="16"/>
              </w:rPr>
            </w:pPr>
          </w:p>
          <w:p w:rsidR="007A4048" w:rsidRDefault="007A4048" w:rsidP="0002434F">
            <w:pPr>
              <w:spacing w:line="240" w:lineRule="auto"/>
              <w:rPr>
                <w:rFonts w:cs="Arial"/>
                <w:bCs/>
                <w:iCs/>
                <w:color w:val="0D0D0D" w:themeColor="text1" w:themeTint="F2"/>
                <w:spacing w:val="-4"/>
                <w:sz w:val="16"/>
                <w:szCs w:val="16"/>
              </w:rPr>
            </w:pPr>
          </w:p>
          <w:p w:rsidR="007A4048" w:rsidRDefault="007A4048" w:rsidP="0002434F">
            <w:pPr>
              <w:spacing w:line="240" w:lineRule="auto"/>
              <w:rPr>
                <w:rFonts w:cs="Arial"/>
                <w:bCs/>
                <w:iCs/>
                <w:color w:val="0D0D0D" w:themeColor="text1" w:themeTint="F2"/>
                <w:spacing w:val="-4"/>
                <w:sz w:val="16"/>
                <w:szCs w:val="16"/>
              </w:rPr>
            </w:pPr>
          </w:p>
          <w:p w:rsidR="007A4048" w:rsidRPr="00F745A4" w:rsidRDefault="007A4048" w:rsidP="0002434F">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lastRenderedPageBreak/>
              <w:t xml:space="preserve">Dosud velmi nízká alokace investic SR určených na rozvojové projekty v novém programovacím období </w:t>
            </w:r>
          </w:p>
        </w:tc>
        <w:tc>
          <w:tcPr>
            <w:tcW w:w="140" w:type="pct"/>
          </w:tcPr>
          <w:p w:rsidR="007A4048" w:rsidRPr="00782BA5" w:rsidRDefault="007A4048" w:rsidP="0002434F">
            <w:pPr>
              <w:pStyle w:val="Textpoznpodarou"/>
              <w:jc w:val="both"/>
              <w:rPr>
                <w:rFonts w:cs="Arial"/>
                <w:color w:val="000000" w:themeColor="text1"/>
                <w:spacing w:val="-4"/>
              </w:rPr>
            </w:pPr>
          </w:p>
        </w:tc>
        <w:tc>
          <w:tcPr>
            <w:tcW w:w="3757" w:type="pct"/>
            <w:gridSpan w:val="3"/>
          </w:tcPr>
          <w:p w:rsidR="007A4048" w:rsidRPr="00E26A48" w:rsidRDefault="007A4048" w:rsidP="0002434F">
            <w:pPr>
              <w:pStyle w:val="Textpoznpodarou"/>
              <w:jc w:val="both"/>
              <w:rPr>
                <w:rFonts w:cs="Arial"/>
                <w:color w:val="000000" w:themeColor="text1"/>
                <w:spacing w:val="-2"/>
              </w:rPr>
            </w:pPr>
            <w:r w:rsidRPr="00E26A48">
              <w:rPr>
                <w:rFonts w:cs="Arial"/>
                <w:color w:val="000000" w:themeColor="text1"/>
                <w:spacing w:val="-2"/>
              </w:rPr>
              <w:t xml:space="preserve">Růst celkových výdajů SR meziročně zpomalil na 1,3 % (z 4,9 % v 1. čtvrtletí 2015), i tak šlo o druhé nejvyšší tempo za posledních šest let. Téměř shodným umírněným tempem se navýšily jak běžné, tak i kapitálové výdaje. Z dílčích položek k růstu všech výdajů citelněji přispěly jen prostředky na důchody (+6,5 mld. korun), platy státních zaměstnanců (+1 mld. korun) a neinvestiční transfery územním rozpočtům (zejména na regionální školství). Celkové investice byly naopak meziročně jen </w:t>
            </w:r>
            <w:r w:rsidRPr="00E26A48">
              <w:rPr>
                <w:rFonts w:cs="Arial"/>
                <w:color w:val="000000" w:themeColor="text1"/>
                <w:spacing w:val="-2"/>
              </w:rPr>
              <w:lastRenderedPageBreak/>
              <w:t>o</w:t>
            </w:r>
            <w:r w:rsidR="002C0FF4">
              <w:rPr>
                <w:rFonts w:cs="Arial"/>
                <w:color w:val="000000" w:themeColor="text1"/>
                <w:spacing w:val="-2"/>
              </w:rPr>
              <w:t> </w:t>
            </w:r>
            <w:r w:rsidRPr="00E26A48">
              <w:rPr>
                <w:rFonts w:cs="Arial"/>
                <w:color w:val="000000" w:themeColor="text1"/>
                <w:spacing w:val="-2"/>
              </w:rPr>
              <w:t>0,2</w:t>
            </w:r>
            <w:r w:rsidR="002C0FF4">
              <w:rPr>
                <w:rFonts w:cs="Arial"/>
                <w:color w:val="000000" w:themeColor="text1"/>
                <w:spacing w:val="-2"/>
              </w:rPr>
              <w:t> </w:t>
            </w:r>
            <w:r w:rsidRPr="00E26A48">
              <w:rPr>
                <w:rFonts w:cs="Arial"/>
                <w:color w:val="000000" w:themeColor="text1"/>
                <w:spacing w:val="-2"/>
              </w:rPr>
              <w:t>mld. vyšší. Čtyři pětiny směřovalo na společné programy ČR a EU. Drtivá většina z toho se však ještě týkala programovacího období 2007</w:t>
            </w:r>
            <w:r w:rsidRPr="00E26A48">
              <w:rPr>
                <w:rFonts w:cs="Arial"/>
                <w:color w:val="0D0D0D" w:themeColor="text1" w:themeTint="F2"/>
                <w:spacing w:val="-2"/>
              </w:rPr>
              <w:t>–</w:t>
            </w:r>
            <w:r w:rsidRPr="00E26A48">
              <w:rPr>
                <w:rFonts w:cs="Arial"/>
                <w:color w:val="000000" w:themeColor="text1"/>
                <w:spacing w:val="-2"/>
              </w:rPr>
              <w:t>2013, což jen potvrzuje očekávaný předpoklad, že náběh nového období čerpání bude s ohledem na celkově nižší připravenost projektů pomalejší</w:t>
            </w:r>
            <w:r w:rsidRPr="00E26A48">
              <w:rPr>
                <w:rStyle w:val="Znakapoznpodarou"/>
                <w:color w:val="000000" w:themeColor="text1"/>
                <w:spacing w:val="-2"/>
              </w:rPr>
              <w:footnoteReference w:id="24"/>
            </w:r>
            <w:r w:rsidRPr="00E26A48">
              <w:rPr>
                <w:rFonts w:cs="Arial"/>
                <w:color w:val="000000" w:themeColor="text1"/>
                <w:spacing w:val="-2"/>
              </w:rPr>
              <w:t>. Podíl investic na</w:t>
            </w:r>
            <w:r w:rsidR="002C0FF4">
              <w:rPr>
                <w:rFonts w:cs="Arial"/>
                <w:color w:val="000000" w:themeColor="text1"/>
                <w:spacing w:val="-2"/>
              </w:rPr>
              <w:t> </w:t>
            </w:r>
            <w:r w:rsidRPr="00E26A48">
              <w:rPr>
                <w:rFonts w:cs="Arial"/>
                <w:color w:val="000000" w:themeColor="text1"/>
                <w:spacing w:val="-2"/>
              </w:rPr>
              <w:t>celkových výdajích SR meziročně stagnoval na 6,7 %, v prvních měsících let 2008</w:t>
            </w:r>
            <w:r w:rsidR="00380E6C">
              <w:rPr>
                <w:rFonts w:cs="Arial"/>
                <w:color w:val="0D0D0D" w:themeColor="text1" w:themeTint="F2"/>
                <w:spacing w:val="-2"/>
              </w:rPr>
              <w:t>–</w:t>
            </w:r>
            <w:r w:rsidRPr="00E26A48">
              <w:rPr>
                <w:rFonts w:cs="Arial"/>
                <w:color w:val="0D0D0D" w:themeColor="text1" w:themeTint="F2"/>
                <w:spacing w:val="-2"/>
              </w:rPr>
              <w:t>2</w:t>
            </w:r>
            <w:r w:rsidRPr="00E26A48">
              <w:rPr>
                <w:rFonts w:cs="Arial"/>
                <w:color w:val="000000" w:themeColor="text1"/>
                <w:spacing w:val="-2"/>
              </w:rPr>
              <w:t>010 byl však o téměř 5 p.b. vyšší.</w:t>
            </w:r>
          </w:p>
          <w:p w:rsidR="007A4048" w:rsidRPr="0014428D" w:rsidRDefault="007A4048" w:rsidP="0002434F">
            <w:pPr>
              <w:pStyle w:val="Textpoznpodarou"/>
              <w:jc w:val="both"/>
              <w:rPr>
                <w:rFonts w:cs="Arial"/>
                <w:color w:val="000000" w:themeColor="text1"/>
                <w:spacing w:val="-2"/>
                <w:sz w:val="16"/>
                <w:szCs w:val="16"/>
              </w:rPr>
            </w:pPr>
          </w:p>
        </w:tc>
      </w:tr>
      <w:tr w:rsidR="007A4048" w:rsidRPr="00A90EFD" w:rsidTr="002C0FF4">
        <w:trPr>
          <w:gridAfter w:val="1"/>
          <w:wAfter w:w="62" w:type="pct"/>
        </w:trPr>
        <w:tc>
          <w:tcPr>
            <w:tcW w:w="1041" w:type="pct"/>
            <w:gridSpan w:val="2"/>
          </w:tcPr>
          <w:p w:rsidR="007A4048" w:rsidRPr="006E7FAA" w:rsidRDefault="007A4048" w:rsidP="0002434F">
            <w:pPr>
              <w:spacing w:line="240" w:lineRule="auto"/>
              <w:rPr>
                <w:rFonts w:cs="Arial"/>
                <w:color w:val="0D0D0D" w:themeColor="text1" w:themeTint="F2"/>
                <w:spacing w:val="-2"/>
                <w:sz w:val="16"/>
                <w:szCs w:val="16"/>
              </w:rPr>
            </w:pPr>
            <w:r w:rsidRPr="006E7FAA">
              <w:rPr>
                <w:rFonts w:cs="Arial"/>
                <w:color w:val="0D0D0D" w:themeColor="text1" w:themeTint="F2"/>
                <w:spacing w:val="-2"/>
                <w:sz w:val="16"/>
                <w:szCs w:val="16"/>
              </w:rPr>
              <w:lastRenderedPageBreak/>
              <w:t xml:space="preserve">Deficit salda důchodového účtu se poprvé po čtyřech letech opět prohloubil, výhradně vlivem </w:t>
            </w:r>
            <w:r>
              <w:rPr>
                <w:rFonts w:cs="Arial"/>
                <w:color w:val="0D0D0D" w:themeColor="text1" w:themeTint="F2"/>
                <w:spacing w:val="-2"/>
                <w:sz w:val="16"/>
                <w:szCs w:val="16"/>
              </w:rPr>
              <w:t>jednorázového příspěvku vyplaceného k důchodům nad rámec běžné valorizace</w:t>
            </w:r>
          </w:p>
        </w:tc>
        <w:tc>
          <w:tcPr>
            <w:tcW w:w="140" w:type="pct"/>
          </w:tcPr>
          <w:p w:rsidR="007A4048" w:rsidRPr="00A90EFD" w:rsidRDefault="007A4048" w:rsidP="0002434F">
            <w:pPr>
              <w:pStyle w:val="Textpoznpodarou"/>
              <w:jc w:val="both"/>
              <w:rPr>
                <w:rFonts w:cs="Arial"/>
                <w:color w:val="0D0D0D" w:themeColor="text1" w:themeTint="F2"/>
              </w:rPr>
            </w:pPr>
          </w:p>
        </w:tc>
        <w:tc>
          <w:tcPr>
            <w:tcW w:w="3757" w:type="pct"/>
            <w:gridSpan w:val="3"/>
          </w:tcPr>
          <w:p w:rsidR="007A4048" w:rsidRPr="002C0FF4" w:rsidRDefault="007A4048" w:rsidP="0002434F">
            <w:pPr>
              <w:pStyle w:val="Textpoznpodarou"/>
              <w:jc w:val="both"/>
              <w:rPr>
                <w:rFonts w:cs="Arial"/>
                <w:color w:val="0D0D0D" w:themeColor="text1" w:themeTint="F2"/>
              </w:rPr>
            </w:pPr>
            <w:r w:rsidRPr="002C0FF4">
              <w:rPr>
                <w:rFonts w:cs="Arial"/>
                <w:color w:val="0D0D0D" w:themeColor="text1" w:themeTint="F2"/>
              </w:rPr>
              <w:t xml:space="preserve">Plných 77 % prostředků ze sociálních dávek šlo na důchody, na nichž bylo vyplaceno meziročně o 7,2 % více, především zásluhou jednorázového únorového </w:t>
            </w:r>
            <w:r w:rsidRPr="002C0FF4">
              <w:rPr>
                <w:rFonts w:cs="Arial"/>
                <w:color w:val="0D0D0D" w:themeColor="text1" w:themeTint="F2"/>
                <w:spacing w:val="-2"/>
              </w:rPr>
              <w:t>příspěvku (1</w:t>
            </w:r>
            <w:r w:rsidRPr="002C0FF4">
              <w:rPr>
                <w:rFonts w:cs="Arial"/>
                <w:color w:val="000000" w:themeColor="text1"/>
                <w:spacing w:val="-2"/>
              </w:rPr>
              <w:t> </w:t>
            </w:r>
            <w:r w:rsidRPr="002C0FF4">
              <w:rPr>
                <w:rFonts w:cs="Arial"/>
                <w:color w:val="0D0D0D" w:themeColor="text1" w:themeTint="F2"/>
                <w:spacing w:val="-2"/>
              </w:rPr>
              <w:t>200 korun) nad rámec standardní valorizace (opětovně platné od</w:t>
            </w:r>
            <w:r w:rsidRPr="002C0FF4">
              <w:rPr>
                <w:rFonts w:cs="Arial"/>
                <w:color w:val="0D0D0D" w:themeColor="text1" w:themeTint="F2"/>
              </w:rPr>
              <w:t xml:space="preserve"> ledna 2015). Na</w:t>
            </w:r>
            <w:r w:rsidR="002C0FF4" w:rsidRPr="002C0FF4">
              <w:rPr>
                <w:rFonts w:cs="Arial"/>
                <w:color w:val="0D0D0D" w:themeColor="text1" w:themeTint="F2"/>
              </w:rPr>
              <w:t> </w:t>
            </w:r>
            <w:r w:rsidRPr="002C0FF4">
              <w:rPr>
                <w:rFonts w:cs="Arial"/>
                <w:color w:val="0D0D0D" w:themeColor="text1" w:themeTint="F2"/>
              </w:rPr>
              <w:t xml:space="preserve">růst výdajů na důchody působil i rostoucí počet příjemců (+0,4 %, výhradně vlivem vyššího počtu starobních </w:t>
            </w:r>
            <w:r w:rsidRPr="002C0FF4">
              <w:rPr>
                <w:rFonts w:cs="Arial"/>
                <w:color w:val="000000" w:themeColor="text1"/>
              </w:rPr>
              <w:t xml:space="preserve">důchodců). Deficit salda důchodového účtu (rozdíl mezi příjmy a výdaji na důchody ze SR) se poprvé po čtyřech letech opět meziročně prohloubil (na 5,3 mld. korun), avšak pouze vlivem vyplaceného jednorázového únorového příspěvku. Za prvních pět měsíců činil deficit 7,7 mld. korun a byl již meziročně opět příznivější, neboť zrychlovalo tempo výběru pojistného (na 6,2 % meziročně). </w:t>
            </w:r>
          </w:p>
          <w:p w:rsidR="007A4048" w:rsidRPr="0014428D" w:rsidRDefault="007A4048" w:rsidP="0002434F">
            <w:pPr>
              <w:pStyle w:val="Textpoznpodarou"/>
              <w:jc w:val="both"/>
              <w:rPr>
                <w:rFonts w:cs="Arial"/>
                <w:color w:val="0D0D0D" w:themeColor="text1" w:themeTint="F2"/>
                <w:spacing w:val="-2"/>
                <w:sz w:val="16"/>
                <w:szCs w:val="16"/>
              </w:rPr>
            </w:pPr>
          </w:p>
        </w:tc>
      </w:tr>
      <w:tr w:rsidR="007A4048" w:rsidRPr="00A90EFD" w:rsidTr="002C0FF4">
        <w:trPr>
          <w:gridAfter w:val="1"/>
          <w:wAfter w:w="62" w:type="pct"/>
        </w:trPr>
        <w:tc>
          <w:tcPr>
            <w:tcW w:w="1041" w:type="pct"/>
            <w:gridSpan w:val="2"/>
          </w:tcPr>
          <w:p w:rsidR="007A4048" w:rsidRDefault="007A4048" w:rsidP="0002434F">
            <w:pPr>
              <w:spacing w:line="240" w:lineRule="auto"/>
              <w:rPr>
                <w:rFonts w:cs="Arial"/>
                <w:bCs/>
                <w:iCs/>
                <w:color w:val="0D0D0D" w:themeColor="text1" w:themeTint="F2"/>
                <w:sz w:val="16"/>
                <w:szCs w:val="16"/>
              </w:rPr>
            </w:pPr>
            <w:r w:rsidRPr="00906D15">
              <w:rPr>
                <w:rFonts w:cs="Arial"/>
                <w:bCs/>
                <w:iCs/>
                <w:color w:val="0D0D0D" w:themeColor="text1" w:themeTint="F2"/>
                <w:sz w:val="16"/>
                <w:szCs w:val="16"/>
              </w:rPr>
              <w:t>Ostatní sociální dávky</w:t>
            </w:r>
          </w:p>
          <w:p w:rsidR="007A4048" w:rsidRDefault="007A4048" w:rsidP="0002434F">
            <w:pPr>
              <w:spacing w:line="240" w:lineRule="auto"/>
              <w:rPr>
                <w:rFonts w:cs="Arial"/>
                <w:bCs/>
                <w:iCs/>
                <w:color w:val="0D0D0D" w:themeColor="text1" w:themeTint="F2"/>
                <w:sz w:val="16"/>
                <w:szCs w:val="16"/>
              </w:rPr>
            </w:pPr>
            <w:r w:rsidRPr="00906D15">
              <w:rPr>
                <w:rFonts w:cs="Arial"/>
                <w:bCs/>
                <w:iCs/>
                <w:color w:val="0D0D0D" w:themeColor="text1" w:themeTint="F2"/>
                <w:sz w:val="16"/>
                <w:szCs w:val="16"/>
              </w:rPr>
              <w:t>(tj. bez důchodů) rostly nejnižším tempem za poslední čtyři roky</w:t>
            </w:r>
          </w:p>
          <w:p w:rsidR="007A4048" w:rsidRDefault="007A4048" w:rsidP="0002434F">
            <w:pPr>
              <w:spacing w:line="240" w:lineRule="auto"/>
              <w:rPr>
                <w:rFonts w:cs="Arial"/>
                <w:bCs/>
                <w:iCs/>
                <w:color w:val="0D0D0D" w:themeColor="text1" w:themeTint="F2"/>
                <w:sz w:val="16"/>
                <w:szCs w:val="16"/>
              </w:rPr>
            </w:pPr>
          </w:p>
          <w:p w:rsidR="007A4048" w:rsidRDefault="007A4048" w:rsidP="0002434F">
            <w:pPr>
              <w:spacing w:line="240" w:lineRule="auto"/>
              <w:rPr>
                <w:rFonts w:cs="Arial"/>
                <w:bCs/>
                <w:iCs/>
                <w:color w:val="0D0D0D" w:themeColor="text1" w:themeTint="F2"/>
                <w:sz w:val="16"/>
                <w:szCs w:val="16"/>
              </w:rPr>
            </w:pPr>
          </w:p>
          <w:p w:rsidR="007A4048" w:rsidRDefault="007A4048" w:rsidP="0002434F">
            <w:pPr>
              <w:spacing w:line="240" w:lineRule="auto"/>
              <w:rPr>
                <w:rFonts w:cs="Arial"/>
                <w:bCs/>
                <w:iCs/>
                <w:color w:val="0D0D0D" w:themeColor="text1" w:themeTint="F2"/>
                <w:sz w:val="16"/>
                <w:szCs w:val="16"/>
              </w:rPr>
            </w:pPr>
          </w:p>
          <w:p w:rsidR="007A4048" w:rsidRPr="00BA3B5F" w:rsidRDefault="007A4048" w:rsidP="0002434F">
            <w:pPr>
              <w:spacing w:line="240" w:lineRule="auto"/>
              <w:rPr>
                <w:rFonts w:cs="Arial"/>
                <w:bCs/>
                <w:iCs/>
                <w:color w:val="000000" w:themeColor="text1"/>
                <w:spacing w:val="-4"/>
                <w:sz w:val="16"/>
                <w:szCs w:val="16"/>
              </w:rPr>
            </w:pPr>
            <w:r w:rsidRPr="00BA3B5F">
              <w:rPr>
                <w:rFonts w:cs="Arial"/>
                <w:bCs/>
                <w:iCs/>
                <w:color w:val="000000" w:themeColor="text1"/>
                <w:spacing w:val="-4"/>
                <w:sz w:val="16"/>
                <w:szCs w:val="16"/>
              </w:rPr>
              <w:t>Výdaje na dávky nemocenského pojištění dosáhly nejvyšší absolutní výše po roce 2009, přesto byly stále o téměř 300 mil. korun nižší než objem vybraného pojistného</w:t>
            </w:r>
          </w:p>
          <w:p w:rsidR="007A4048" w:rsidRPr="00A90EFD" w:rsidRDefault="007A4048" w:rsidP="0002434F">
            <w:pPr>
              <w:spacing w:line="240" w:lineRule="auto"/>
              <w:rPr>
                <w:rFonts w:cs="Arial"/>
                <w:bCs/>
                <w:iCs/>
                <w:color w:val="0D0D0D" w:themeColor="text1" w:themeTint="F2"/>
                <w:szCs w:val="20"/>
              </w:rPr>
            </w:pPr>
          </w:p>
        </w:tc>
        <w:tc>
          <w:tcPr>
            <w:tcW w:w="140" w:type="pct"/>
          </w:tcPr>
          <w:p w:rsidR="007A4048" w:rsidRPr="00A90EFD" w:rsidRDefault="007A4048" w:rsidP="0002434F">
            <w:pPr>
              <w:pStyle w:val="Textpoznpodarou"/>
              <w:jc w:val="both"/>
              <w:rPr>
                <w:rFonts w:cs="Arial"/>
                <w:color w:val="0D0D0D" w:themeColor="text1" w:themeTint="F2"/>
              </w:rPr>
            </w:pPr>
          </w:p>
        </w:tc>
        <w:tc>
          <w:tcPr>
            <w:tcW w:w="3757" w:type="pct"/>
            <w:gridSpan w:val="3"/>
          </w:tcPr>
          <w:p w:rsidR="007A4048" w:rsidRPr="002C0FF4" w:rsidRDefault="007A4048" w:rsidP="0002434F">
            <w:pPr>
              <w:pStyle w:val="Textpoznpodarou"/>
              <w:jc w:val="both"/>
              <w:rPr>
                <w:rFonts w:cs="Arial"/>
                <w:color w:val="000000" w:themeColor="text1"/>
              </w:rPr>
            </w:pPr>
            <w:r w:rsidRPr="002C0FF4">
              <w:rPr>
                <w:rFonts w:cs="Arial"/>
                <w:color w:val="0D0D0D" w:themeColor="text1" w:themeTint="F2"/>
              </w:rPr>
              <w:t>Tempo růstu ostatních sociálních dávek zpomalovalo (na 1,1 %), a to především zásluhou faktické stagnace výše objemově nejvýznamnější státní sociální podpory (v</w:t>
            </w:r>
            <w:r w:rsidR="002C0FF4" w:rsidRPr="002C0FF4">
              <w:rPr>
                <w:rFonts w:cs="Arial"/>
                <w:color w:val="0D0D0D" w:themeColor="text1" w:themeTint="F2"/>
              </w:rPr>
              <w:t> </w:t>
            </w:r>
            <w:r w:rsidRPr="002C0FF4">
              <w:rPr>
                <w:rFonts w:cs="Arial"/>
                <w:color w:val="0D0D0D" w:themeColor="text1" w:themeTint="F2"/>
              </w:rPr>
              <w:t xml:space="preserve">rámci ní významněji rostly jen dávky pěstounské péče). Stagnovaly i dávky sociální péče </w:t>
            </w:r>
            <w:r w:rsidRPr="002C0FF4">
              <w:rPr>
                <w:rFonts w:cs="Arial"/>
                <w:color w:val="000000" w:themeColor="text1"/>
              </w:rPr>
              <w:t>(kde vyšší výdaje na péči dle zákona o sociálních službách byly kompenzovány 11% poklesem výdajů na dávky v hmotné nouzi).</w:t>
            </w:r>
            <w:r w:rsidRPr="002C0FF4">
              <w:rPr>
                <w:rFonts w:cs="Arial"/>
                <w:color w:val="0D0D0D" w:themeColor="text1" w:themeTint="F2"/>
              </w:rPr>
              <w:t xml:space="preserve"> Celá 4 % ušetřil stát meziročně na podporách v nezaměstnanosti, když se počet nezaměstnaných osob v evidenci ÚP na konci března 2016 meziročně snížil o 82 tis. osob, současně však mírně narostl podíl uchazečů s nárokem na podporu (z 22,1 na</w:t>
            </w:r>
            <w:r w:rsidR="002C0FF4">
              <w:rPr>
                <w:rFonts w:cs="Arial"/>
                <w:color w:val="0D0D0D" w:themeColor="text1" w:themeTint="F2"/>
              </w:rPr>
              <w:t> </w:t>
            </w:r>
            <w:r w:rsidRPr="002C0FF4">
              <w:rPr>
                <w:rFonts w:cs="Arial"/>
                <w:color w:val="000000" w:themeColor="text1"/>
              </w:rPr>
              <w:t>24,5 %). Již třetí rok v řadě naopak zásluhou podpory z EU sílily výdaje na aktivní politiku zaměstnanosti. Ze sociálních dávek (bez důchodů) viditelně rostly jen výdaje na dávky nemocenského pojištění (za</w:t>
            </w:r>
            <w:r w:rsidR="002C0FF4" w:rsidRPr="002C0FF4">
              <w:rPr>
                <w:rFonts w:cs="Arial"/>
                <w:color w:val="000000" w:themeColor="text1"/>
              </w:rPr>
              <w:t> </w:t>
            </w:r>
            <w:r w:rsidRPr="002C0FF4">
              <w:rPr>
                <w:rFonts w:cs="Arial"/>
                <w:color w:val="000000" w:themeColor="text1"/>
              </w:rPr>
              <w:t xml:space="preserve">poslední dva roky o více než pětinu) a to vlivem legislativních opatření (opětovného vyplácení nemocenské již od 15. dne) a také růstu pracovní neschopnosti. </w:t>
            </w:r>
          </w:p>
          <w:p w:rsidR="007A4048" w:rsidRPr="0014428D" w:rsidRDefault="007A4048" w:rsidP="0002434F">
            <w:pPr>
              <w:pStyle w:val="Textpoznpodarou"/>
              <w:jc w:val="both"/>
              <w:rPr>
                <w:rFonts w:cs="Arial"/>
                <w:color w:val="0D0D0D" w:themeColor="text1" w:themeTint="F2"/>
                <w:spacing w:val="-4"/>
                <w:sz w:val="16"/>
                <w:szCs w:val="16"/>
              </w:rPr>
            </w:pPr>
          </w:p>
        </w:tc>
      </w:tr>
      <w:tr w:rsidR="007A4048" w:rsidRPr="00A90EFD" w:rsidTr="002C0FF4">
        <w:trPr>
          <w:gridAfter w:val="1"/>
          <w:wAfter w:w="62" w:type="pct"/>
        </w:trPr>
        <w:tc>
          <w:tcPr>
            <w:tcW w:w="1041" w:type="pct"/>
            <w:gridSpan w:val="2"/>
          </w:tcPr>
          <w:p w:rsidR="007A4048" w:rsidRPr="00584441" w:rsidRDefault="007A4048" w:rsidP="0002434F">
            <w:pPr>
              <w:spacing w:line="240" w:lineRule="auto"/>
              <w:rPr>
                <w:rFonts w:cs="Arial"/>
                <w:bCs/>
                <w:iCs/>
                <w:color w:val="000000" w:themeColor="text1"/>
                <w:sz w:val="16"/>
                <w:szCs w:val="16"/>
              </w:rPr>
            </w:pPr>
            <w:r w:rsidRPr="00584441">
              <w:rPr>
                <w:rFonts w:cs="Arial"/>
                <w:bCs/>
                <w:iCs/>
                <w:color w:val="000000" w:themeColor="text1"/>
                <w:sz w:val="16"/>
                <w:szCs w:val="16"/>
              </w:rPr>
              <w:t xml:space="preserve">Výdaje na státní dluh klesaly již druhý rok v řadě, </w:t>
            </w:r>
          </w:p>
          <w:p w:rsidR="007A4048" w:rsidRDefault="007A4048" w:rsidP="0002434F">
            <w:pPr>
              <w:spacing w:line="240" w:lineRule="auto"/>
              <w:rPr>
                <w:rFonts w:cs="Arial"/>
                <w:bCs/>
                <w:iCs/>
                <w:color w:val="000000" w:themeColor="text1"/>
                <w:sz w:val="16"/>
                <w:szCs w:val="16"/>
              </w:rPr>
            </w:pPr>
            <w:r w:rsidRPr="00584441">
              <w:rPr>
                <w:rFonts w:cs="Arial"/>
                <w:bCs/>
                <w:iCs/>
                <w:color w:val="000000" w:themeColor="text1"/>
                <w:sz w:val="16"/>
                <w:szCs w:val="16"/>
              </w:rPr>
              <w:t>v úhrnu o téměř 55 %</w:t>
            </w:r>
          </w:p>
          <w:p w:rsidR="007A4048" w:rsidRDefault="007A4048" w:rsidP="0002434F">
            <w:pPr>
              <w:spacing w:line="240" w:lineRule="auto"/>
              <w:rPr>
                <w:rFonts w:cs="Arial"/>
                <w:bCs/>
                <w:iCs/>
                <w:color w:val="000000" w:themeColor="text1"/>
                <w:sz w:val="16"/>
                <w:szCs w:val="16"/>
              </w:rPr>
            </w:pPr>
          </w:p>
          <w:p w:rsidR="007A4048" w:rsidRDefault="007A4048" w:rsidP="0002434F">
            <w:pPr>
              <w:spacing w:line="240" w:lineRule="auto"/>
              <w:rPr>
                <w:rFonts w:cs="Arial"/>
                <w:bCs/>
                <w:iCs/>
                <w:color w:val="000000" w:themeColor="text1"/>
                <w:sz w:val="16"/>
                <w:szCs w:val="16"/>
              </w:rPr>
            </w:pPr>
          </w:p>
          <w:p w:rsidR="007A4048" w:rsidRPr="00A90EFD" w:rsidRDefault="007A4048" w:rsidP="0002434F">
            <w:pPr>
              <w:spacing w:line="240" w:lineRule="auto"/>
              <w:rPr>
                <w:rFonts w:cs="Arial"/>
                <w:bCs/>
                <w:iCs/>
                <w:color w:val="000000" w:themeColor="text1"/>
                <w:szCs w:val="20"/>
              </w:rPr>
            </w:pPr>
            <w:r>
              <w:rPr>
                <w:rFonts w:cs="Arial"/>
                <w:bCs/>
                <w:iCs/>
                <w:color w:val="000000" w:themeColor="text1"/>
                <w:sz w:val="16"/>
                <w:szCs w:val="16"/>
              </w:rPr>
              <w:t xml:space="preserve">Mírný růst státního dluhu pokračoval již druhé čtvrtletí </w:t>
            </w:r>
          </w:p>
        </w:tc>
        <w:tc>
          <w:tcPr>
            <w:tcW w:w="140" w:type="pct"/>
          </w:tcPr>
          <w:p w:rsidR="007A4048" w:rsidRPr="00A90EFD" w:rsidRDefault="007A4048" w:rsidP="0002434F">
            <w:pPr>
              <w:pStyle w:val="Textpoznpodarou"/>
              <w:jc w:val="both"/>
              <w:rPr>
                <w:rFonts w:cs="Arial"/>
                <w:color w:val="0D0D0D" w:themeColor="text1" w:themeTint="F2"/>
              </w:rPr>
            </w:pPr>
          </w:p>
        </w:tc>
        <w:tc>
          <w:tcPr>
            <w:tcW w:w="3757" w:type="pct"/>
            <w:gridSpan w:val="3"/>
          </w:tcPr>
          <w:p w:rsidR="007A4048" w:rsidRPr="002C0FF4" w:rsidRDefault="007A4048" w:rsidP="0002434F">
            <w:pPr>
              <w:pStyle w:val="Textpoznpodarou"/>
              <w:jc w:val="both"/>
              <w:rPr>
                <w:rFonts w:cs="Arial"/>
                <w:color w:val="000000" w:themeColor="text1"/>
              </w:rPr>
            </w:pPr>
            <w:r w:rsidRPr="002C0FF4">
              <w:rPr>
                <w:rFonts w:cs="Arial"/>
                <w:color w:val="000000" w:themeColor="text1"/>
              </w:rPr>
              <w:t xml:space="preserve">Podobně jako loni SR ušetřil na odvodech do rozpočtu EU </w:t>
            </w:r>
            <w:r w:rsidRPr="002C0FF4">
              <w:rPr>
                <w:rFonts w:cs="Arial"/>
                <w:color w:val="0D0D0D" w:themeColor="text1" w:themeTint="F2"/>
              </w:rPr>
              <w:t>–</w:t>
            </w:r>
            <w:r w:rsidRPr="002C0FF4">
              <w:rPr>
                <w:rFonts w:cs="Arial"/>
                <w:color w:val="000000" w:themeColor="text1"/>
              </w:rPr>
              <w:t xml:space="preserve"> v 1. čtvrtletí 2016 o</w:t>
            </w:r>
            <w:r w:rsidR="002C0FF4">
              <w:rPr>
                <w:rFonts w:cs="Arial"/>
                <w:color w:val="000000" w:themeColor="text1"/>
              </w:rPr>
              <w:t> </w:t>
            </w:r>
            <w:r w:rsidRPr="002C0FF4">
              <w:rPr>
                <w:rFonts w:cs="Arial"/>
                <w:color w:val="000000" w:themeColor="text1"/>
              </w:rPr>
              <w:t>1,7 mld. korun meziročně, v obdobné výši pak i na výdajích na státní dluh, kterým pomáhá prostředí nízkých úrokových sazeb.</w:t>
            </w:r>
            <w:r w:rsidRPr="002C0FF4">
              <w:rPr>
                <w:rFonts w:cs="Arial"/>
                <w:color w:val="0D0D0D" w:themeColor="text1" w:themeTint="F2"/>
              </w:rPr>
              <w:t xml:space="preserve"> Výše celkového státního dluhu mírně vzrostla již druhé </w:t>
            </w:r>
            <w:r w:rsidRPr="002C0FF4">
              <w:rPr>
                <w:rFonts w:cs="Arial"/>
                <w:color w:val="000000" w:themeColor="text1"/>
              </w:rPr>
              <w:t>čtvrtletí v řadě a na konci března činila 1 695 mld. korun (meziročně o 1,9 %). S</w:t>
            </w:r>
            <w:r w:rsidRPr="002C0FF4">
              <w:rPr>
                <w:color w:val="000000" w:themeColor="text1"/>
              </w:rPr>
              <w:t xml:space="preserve">tát využil příznivé situace na finančních trzích, kdy si půjčoval se záporným výnosem. Vnější dluh se na celkové zadluženosti státu </w:t>
            </w:r>
            <w:r w:rsidRPr="002C0FF4">
              <w:rPr>
                <w:color w:val="000000" w:themeColor="text1"/>
                <w:spacing w:val="-2"/>
              </w:rPr>
              <w:t>na</w:t>
            </w:r>
            <w:r w:rsidR="002C0FF4" w:rsidRPr="002C0FF4">
              <w:rPr>
                <w:color w:val="000000" w:themeColor="text1"/>
                <w:spacing w:val="-2"/>
              </w:rPr>
              <w:t> </w:t>
            </w:r>
            <w:r w:rsidRPr="002C0FF4">
              <w:rPr>
                <w:color w:val="000000" w:themeColor="text1"/>
                <w:spacing w:val="-2"/>
              </w:rPr>
              <w:t>konci 1.</w:t>
            </w:r>
            <w:r w:rsidRPr="002C0FF4">
              <w:rPr>
                <w:rFonts w:cs="Arial"/>
                <w:color w:val="0D0D0D" w:themeColor="text1" w:themeTint="F2"/>
                <w:spacing w:val="-2"/>
              </w:rPr>
              <w:t> </w:t>
            </w:r>
            <w:r w:rsidRPr="002C0FF4">
              <w:rPr>
                <w:color w:val="000000" w:themeColor="text1"/>
                <w:spacing w:val="-2"/>
              </w:rPr>
              <w:t>čtvrtletí podílel 16,7</w:t>
            </w:r>
            <w:r w:rsidRPr="002C0FF4">
              <w:rPr>
                <w:rFonts w:cs="Arial"/>
                <w:color w:val="000000" w:themeColor="text1"/>
                <w:spacing w:val="-2"/>
              </w:rPr>
              <w:t> </w:t>
            </w:r>
            <w:r w:rsidRPr="002C0FF4">
              <w:rPr>
                <w:color w:val="000000" w:themeColor="text1"/>
                <w:spacing w:val="-2"/>
              </w:rPr>
              <w:t>% (nejméně od počátku roku 2008).</w:t>
            </w:r>
            <w:r w:rsidRPr="002C0FF4">
              <w:rPr>
                <w:color w:val="FF0000"/>
                <w:spacing w:val="-2"/>
              </w:rPr>
              <w:t xml:space="preserve"> </w:t>
            </w:r>
            <w:r w:rsidRPr="002C0FF4">
              <w:rPr>
                <w:color w:val="000000" w:themeColor="text1"/>
                <w:spacing w:val="-2"/>
              </w:rPr>
              <w:t>Ve</w:t>
            </w:r>
            <w:r w:rsidRPr="002C0FF4">
              <w:rPr>
                <w:color w:val="000000" w:themeColor="text1"/>
              </w:rPr>
              <w:t xml:space="preserve"> zrychleném tempu pokračoval růst objemu českých dluhopisů v držbě zahraničních investorů. Zatímco ti na konci roku vlastnili korunové dluhopisy v hodnotě 295 mld. korun, o</w:t>
            </w:r>
            <w:r w:rsidR="002C0FF4">
              <w:rPr>
                <w:color w:val="000000" w:themeColor="text1"/>
              </w:rPr>
              <w:t> </w:t>
            </w:r>
            <w:r w:rsidRPr="002C0FF4">
              <w:rPr>
                <w:color w:val="000000" w:themeColor="text1"/>
              </w:rPr>
              <w:t>tři měsíce později již za 348 mld. korun.</w:t>
            </w:r>
          </w:p>
          <w:p w:rsidR="007A4048" w:rsidRPr="0014428D" w:rsidRDefault="007A4048" w:rsidP="0002434F">
            <w:pPr>
              <w:pStyle w:val="Textpoznpodarou"/>
              <w:jc w:val="both"/>
              <w:rPr>
                <w:rFonts w:cs="Arial"/>
                <w:color w:val="0D0D0D" w:themeColor="text1" w:themeTint="F2"/>
                <w:spacing w:val="-4"/>
                <w:sz w:val="16"/>
                <w:szCs w:val="16"/>
              </w:rPr>
            </w:pPr>
          </w:p>
        </w:tc>
      </w:tr>
      <w:tr w:rsidR="007A4048" w:rsidRPr="00A90EFD" w:rsidTr="002C0FF4">
        <w:trPr>
          <w:gridAfter w:val="1"/>
          <w:wAfter w:w="62" w:type="pct"/>
        </w:trPr>
        <w:tc>
          <w:tcPr>
            <w:tcW w:w="1041" w:type="pct"/>
            <w:gridSpan w:val="2"/>
          </w:tcPr>
          <w:p w:rsidR="007A4048" w:rsidRDefault="007A4048" w:rsidP="0002434F">
            <w:pPr>
              <w:spacing w:line="240" w:lineRule="auto"/>
              <w:rPr>
                <w:rFonts w:cs="Arial"/>
                <w:bCs/>
                <w:iCs/>
                <w:color w:val="0D0D0D" w:themeColor="text1" w:themeTint="F2"/>
                <w:sz w:val="16"/>
                <w:szCs w:val="16"/>
              </w:rPr>
            </w:pPr>
            <w:r>
              <w:rPr>
                <w:rFonts w:cs="Arial"/>
                <w:bCs/>
                <w:iCs/>
                <w:color w:val="0D0D0D" w:themeColor="text1" w:themeTint="F2"/>
                <w:sz w:val="16"/>
                <w:szCs w:val="16"/>
              </w:rPr>
              <w:t>Relativní výše dluhu sektoru vládních institucí klesla výhradně vlivem silného růstu HDP</w:t>
            </w:r>
          </w:p>
          <w:p w:rsidR="007A4048" w:rsidRDefault="007A4048" w:rsidP="0002434F">
            <w:pPr>
              <w:spacing w:line="240" w:lineRule="auto"/>
              <w:rPr>
                <w:rFonts w:cs="Arial"/>
                <w:bCs/>
                <w:iCs/>
                <w:color w:val="0D0D0D" w:themeColor="text1" w:themeTint="F2"/>
                <w:sz w:val="16"/>
                <w:szCs w:val="16"/>
              </w:rPr>
            </w:pPr>
          </w:p>
          <w:p w:rsidR="007A4048" w:rsidRPr="00DB3D34" w:rsidRDefault="007A4048" w:rsidP="0002434F">
            <w:pPr>
              <w:spacing w:line="240" w:lineRule="auto"/>
              <w:rPr>
                <w:rFonts w:cs="Arial"/>
                <w:bCs/>
                <w:iCs/>
                <w:color w:val="0D0D0D" w:themeColor="text1" w:themeTint="F2"/>
                <w:sz w:val="16"/>
                <w:szCs w:val="16"/>
              </w:rPr>
            </w:pPr>
          </w:p>
          <w:p w:rsidR="007A4048" w:rsidRPr="00DB3D34" w:rsidRDefault="007A4048" w:rsidP="0002434F">
            <w:pPr>
              <w:spacing w:line="240" w:lineRule="auto"/>
              <w:rPr>
                <w:rFonts w:cs="Arial"/>
                <w:bCs/>
                <w:iCs/>
                <w:color w:val="0D0D0D" w:themeColor="text1" w:themeTint="F2"/>
                <w:sz w:val="16"/>
                <w:szCs w:val="16"/>
              </w:rPr>
            </w:pPr>
          </w:p>
          <w:p w:rsidR="007A4048" w:rsidRDefault="007A4048" w:rsidP="0002434F">
            <w:pPr>
              <w:spacing w:line="240" w:lineRule="auto"/>
              <w:rPr>
                <w:rFonts w:cs="Arial"/>
                <w:bCs/>
                <w:iCs/>
                <w:color w:val="0D0D0D" w:themeColor="text1" w:themeTint="F2"/>
                <w:sz w:val="16"/>
                <w:szCs w:val="16"/>
              </w:rPr>
            </w:pPr>
          </w:p>
          <w:p w:rsidR="007A4048" w:rsidRDefault="007A4048" w:rsidP="0002434F">
            <w:pPr>
              <w:spacing w:line="240" w:lineRule="auto"/>
              <w:rPr>
                <w:rFonts w:cs="Arial"/>
                <w:bCs/>
                <w:iCs/>
                <w:color w:val="0D0D0D" w:themeColor="text1" w:themeTint="F2"/>
                <w:sz w:val="16"/>
                <w:szCs w:val="16"/>
              </w:rPr>
            </w:pPr>
          </w:p>
          <w:p w:rsidR="007A4048" w:rsidRDefault="007A4048" w:rsidP="0002434F">
            <w:pPr>
              <w:spacing w:line="240" w:lineRule="auto"/>
              <w:rPr>
                <w:rFonts w:cs="Arial"/>
                <w:bCs/>
                <w:iCs/>
                <w:color w:val="0D0D0D" w:themeColor="text1" w:themeTint="F2"/>
                <w:sz w:val="16"/>
                <w:szCs w:val="16"/>
              </w:rPr>
            </w:pPr>
          </w:p>
          <w:p w:rsidR="007A4048" w:rsidRDefault="007A4048" w:rsidP="0002434F">
            <w:pPr>
              <w:spacing w:line="240" w:lineRule="auto"/>
              <w:rPr>
                <w:rFonts w:cs="Arial"/>
                <w:bCs/>
                <w:iCs/>
                <w:color w:val="0D0D0D" w:themeColor="text1" w:themeTint="F2"/>
                <w:sz w:val="16"/>
                <w:szCs w:val="16"/>
              </w:rPr>
            </w:pPr>
          </w:p>
          <w:p w:rsidR="007A4048" w:rsidRDefault="007A4048" w:rsidP="0002434F">
            <w:pPr>
              <w:spacing w:line="240" w:lineRule="auto"/>
              <w:rPr>
                <w:rFonts w:cs="Arial"/>
                <w:bCs/>
                <w:iCs/>
                <w:color w:val="0D0D0D" w:themeColor="text1" w:themeTint="F2"/>
                <w:sz w:val="16"/>
                <w:szCs w:val="16"/>
              </w:rPr>
            </w:pPr>
            <w:r>
              <w:rPr>
                <w:rFonts w:cs="Arial"/>
                <w:bCs/>
                <w:iCs/>
                <w:color w:val="0D0D0D" w:themeColor="text1" w:themeTint="F2"/>
                <w:sz w:val="16"/>
                <w:szCs w:val="16"/>
              </w:rPr>
              <w:t>Saldo hospodaření</w:t>
            </w:r>
            <w:r w:rsidR="00380E6C">
              <w:rPr>
                <w:rFonts w:cs="Arial"/>
                <w:bCs/>
                <w:iCs/>
                <w:color w:val="0D0D0D" w:themeColor="text1" w:themeTint="F2"/>
                <w:sz w:val="16"/>
                <w:szCs w:val="16"/>
              </w:rPr>
              <w:t xml:space="preserve"> k HDP</w:t>
            </w:r>
            <w:r>
              <w:rPr>
                <w:rFonts w:cs="Arial"/>
                <w:bCs/>
                <w:iCs/>
                <w:color w:val="0D0D0D" w:themeColor="text1" w:themeTint="F2"/>
                <w:sz w:val="16"/>
                <w:szCs w:val="16"/>
              </w:rPr>
              <w:t xml:space="preserve"> i</w:t>
            </w:r>
            <w:r w:rsidR="00380E6C">
              <w:rPr>
                <w:rFonts w:cs="Arial"/>
                <w:bCs/>
                <w:iCs/>
                <w:color w:val="0D0D0D" w:themeColor="text1" w:themeTint="F2"/>
                <w:sz w:val="16"/>
                <w:szCs w:val="16"/>
              </w:rPr>
              <w:t> relativní</w:t>
            </w:r>
            <w:r>
              <w:rPr>
                <w:rFonts w:cs="Arial"/>
                <w:bCs/>
                <w:iCs/>
                <w:color w:val="0D0D0D" w:themeColor="text1" w:themeTint="F2"/>
                <w:sz w:val="16"/>
                <w:szCs w:val="16"/>
              </w:rPr>
              <w:t xml:space="preserve"> výše dluhu se meziročně zlepšovaly nejen</w:t>
            </w:r>
            <w:r w:rsidR="00380E6C">
              <w:rPr>
                <w:rFonts w:cs="Arial"/>
                <w:bCs/>
                <w:iCs/>
                <w:color w:val="0D0D0D" w:themeColor="text1" w:themeTint="F2"/>
                <w:sz w:val="16"/>
                <w:szCs w:val="16"/>
              </w:rPr>
              <w:t> </w:t>
            </w:r>
            <w:r>
              <w:rPr>
                <w:rFonts w:cs="Arial"/>
                <w:bCs/>
                <w:iCs/>
                <w:color w:val="0D0D0D" w:themeColor="text1" w:themeTint="F2"/>
                <w:sz w:val="16"/>
                <w:szCs w:val="16"/>
              </w:rPr>
              <w:t>v ČR,</w:t>
            </w:r>
          </w:p>
          <w:p w:rsidR="007A4048" w:rsidRPr="00DB3D34" w:rsidRDefault="007A4048" w:rsidP="0002434F">
            <w:pPr>
              <w:spacing w:line="240" w:lineRule="auto"/>
              <w:rPr>
                <w:rFonts w:cs="Arial"/>
                <w:bCs/>
                <w:iCs/>
                <w:color w:val="0D0D0D" w:themeColor="text1" w:themeTint="F2"/>
                <w:sz w:val="16"/>
                <w:szCs w:val="16"/>
              </w:rPr>
            </w:pPr>
            <w:r>
              <w:rPr>
                <w:rFonts w:cs="Arial"/>
                <w:bCs/>
                <w:iCs/>
                <w:color w:val="0D0D0D" w:themeColor="text1" w:themeTint="F2"/>
                <w:sz w:val="16"/>
                <w:szCs w:val="16"/>
              </w:rPr>
              <w:t>ale i ve většině států EU</w:t>
            </w:r>
          </w:p>
          <w:p w:rsidR="007A4048" w:rsidRPr="00DB3D34" w:rsidRDefault="007A4048" w:rsidP="0002434F">
            <w:pPr>
              <w:spacing w:line="240" w:lineRule="auto"/>
              <w:rPr>
                <w:rFonts w:cs="Arial"/>
                <w:bCs/>
                <w:iCs/>
                <w:color w:val="0D0D0D" w:themeColor="text1" w:themeTint="F2"/>
                <w:sz w:val="16"/>
                <w:szCs w:val="16"/>
              </w:rPr>
            </w:pPr>
          </w:p>
          <w:p w:rsidR="007A4048" w:rsidRPr="00DB3D34" w:rsidRDefault="007A4048" w:rsidP="0002434F">
            <w:pPr>
              <w:spacing w:line="240" w:lineRule="auto"/>
              <w:rPr>
                <w:rFonts w:cs="Arial"/>
                <w:bCs/>
                <w:iCs/>
                <w:color w:val="0D0D0D" w:themeColor="text1" w:themeTint="F2"/>
                <w:sz w:val="16"/>
                <w:szCs w:val="16"/>
              </w:rPr>
            </w:pPr>
          </w:p>
        </w:tc>
        <w:tc>
          <w:tcPr>
            <w:tcW w:w="140" w:type="pct"/>
          </w:tcPr>
          <w:p w:rsidR="007A4048" w:rsidRPr="00A90EFD" w:rsidRDefault="007A4048" w:rsidP="0002434F">
            <w:pPr>
              <w:pStyle w:val="Textpoznpodarou"/>
              <w:jc w:val="both"/>
              <w:rPr>
                <w:rFonts w:cs="Arial"/>
                <w:color w:val="0D0D0D" w:themeColor="text1" w:themeTint="F2"/>
              </w:rPr>
            </w:pPr>
          </w:p>
        </w:tc>
        <w:tc>
          <w:tcPr>
            <w:tcW w:w="3757" w:type="pct"/>
            <w:gridSpan w:val="3"/>
          </w:tcPr>
          <w:p w:rsidR="007A4048" w:rsidRPr="002D7255" w:rsidRDefault="007A4048" w:rsidP="00CE2756">
            <w:pPr>
              <w:pStyle w:val="Textpoznpodarou"/>
              <w:jc w:val="both"/>
              <w:rPr>
                <w:spacing w:val="-4"/>
              </w:rPr>
            </w:pPr>
            <w:r w:rsidRPr="00741F3C">
              <w:rPr>
                <w:color w:val="000000" w:themeColor="text1"/>
                <w:spacing w:val="-4"/>
              </w:rPr>
              <w:t>Dluh celého sektoru vládních institucí (zohledňující mj. i hospodaření územně správních celků či fondů sociálního zabezpečení) dosáhl dle aktuálních dat ČSÚ na konci 4. čtvrtletí 2015</w:t>
            </w:r>
            <w:r w:rsidRPr="00741F3C">
              <w:rPr>
                <w:rStyle w:val="Znakapoznpodarou"/>
                <w:color w:val="000000" w:themeColor="text1"/>
                <w:spacing w:val="-4"/>
              </w:rPr>
              <w:footnoteReference w:id="25"/>
            </w:r>
            <w:r w:rsidRPr="00741F3C">
              <w:rPr>
                <w:color w:val="000000" w:themeColor="text1"/>
                <w:spacing w:val="-4"/>
              </w:rPr>
              <w:t xml:space="preserve"> výše 1 836,2 mld. korun a ve vztahu k HDP činil 41,06 % (ve stejném období předchozího roku byl o 1,63 p.b. vyšší).</w:t>
            </w:r>
            <w:r w:rsidRPr="00741F3C">
              <w:rPr>
                <w:spacing w:val="-4"/>
              </w:rPr>
              <w:t xml:space="preserve"> Pokles relativní úrovně dluhu vládních i</w:t>
            </w:r>
            <w:r>
              <w:rPr>
                <w:spacing w:val="-4"/>
              </w:rPr>
              <w:t>nstitucí byl výsledkem výhradně</w:t>
            </w:r>
            <w:r w:rsidRPr="00741F3C">
              <w:rPr>
                <w:spacing w:val="-4"/>
              </w:rPr>
              <w:t xml:space="preserve"> silného růstu n</w:t>
            </w:r>
            <w:r>
              <w:rPr>
                <w:spacing w:val="-4"/>
              </w:rPr>
              <w:t>ominálního HDP, neboť</w:t>
            </w:r>
            <w:r w:rsidRPr="00741F3C">
              <w:rPr>
                <w:spacing w:val="-4"/>
              </w:rPr>
              <w:t xml:space="preserve"> absolutní </w:t>
            </w:r>
            <w:r>
              <w:rPr>
                <w:spacing w:val="-4"/>
              </w:rPr>
              <w:t>úroveň</w:t>
            </w:r>
            <w:r w:rsidRPr="00741F3C">
              <w:rPr>
                <w:spacing w:val="-4"/>
              </w:rPr>
              <w:t xml:space="preserve"> zadlužení </w:t>
            </w:r>
            <w:r>
              <w:rPr>
                <w:spacing w:val="-4"/>
              </w:rPr>
              <w:t xml:space="preserve">vzrostla </w:t>
            </w:r>
            <w:r w:rsidRPr="00741F3C">
              <w:rPr>
                <w:spacing w:val="-4"/>
              </w:rPr>
              <w:t xml:space="preserve">(o 17,1 mld. korun). Saldo hospodaření vládních institucí bylo za celý rok 2015 (oproti výsledku státního rozpočtu) výrazně </w:t>
            </w:r>
            <w:r w:rsidRPr="002C0FF4">
              <w:rPr>
                <w:spacing w:val="6"/>
              </w:rPr>
              <w:t>příznivější a</w:t>
            </w:r>
            <w:r w:rsidRPr="002C0FF4">
              <w:rPr>
                <w:color w:val="000000" w:themeColor="text1"/>
                <w:spacing w:val="6"/>
              </w:rPr>
              <w:t> </w:t>
            </w:r>
            <w:r w:rsidRPr="002C0FF4">
              <w:rPr>
                <w:spacing w:val="6"/>
              </w:rPr>
              <w:t>dosáhlo -18,7 mld</w:t>
            </w:r>
            <w:r w:rsidR="00380E6C">
              <w:rPr>
                <w:spacing w:val="6"/>
              </w:rPr>
              <w:t>.</w:t>
            </w:r>
            <w:r w:rsidRPr="002C0FF4">
              <w:rPr>
                <w:spacing w:val="6"/>
              </w:rPr>
              <w:t xml:space="preserve"> korun, v relaci k HDP pak -0,42 % (o rok dříve -</w:t>
            </w:r>
            <w:r w:rsidRPr="00185894">
              <w:rPr>
                <w:spacing w:val="-4"/>
              </w:rPr>
              <w:t>1,95</w:t>
            </w:r>
            <w:r w:rsidRPr="00185894">
              <w:rPr>
                <w:color w:val="000000" w:themeColor="text1"/>
                <w:spacing w:val="-4"/>
              </w:rPr>
              <w:t> </w:t>
            </w:r>
            <w:r w:rsidRPr="00185894">
              <w:rPr>
                <w:spacing w:val="-4"/>
              </w:rPr>
              <w:t>%).</w:t>
            </w:r>
            <w:r w:rsidRPr="00E76562">
              <w:rPr>
                <w:spacing w:val="-5"/>
              </w:rPr>
              <w:t xml:space="preserve"> </w:t>
            </w:r>
            <w:r>
              <w:rPr>
                <w:spacing w:val="-4"/>
              </w:rPr>
              <w:t>Relativní výše salda hospodaření</w:t>
            </w:r>
            <w:r w:rsidRPr="00741F3C">
              <w:rPr>
                <w:spacing w:val="-4"/>
              </w:rPr>
              <w:t xml:space="preserve"> sektoru vládních institucí v</w:t>
            </w:r>
            <w:r>
              <w:rPr>
                <w:spacing w:val="-4"/>
              </w:rPr>
              <w:t> Česku byla v roce 2015 mezi státy EU šestá nejpříznivější, když s přebytkem hospodařily jen t</w:t>
            </w:r>
            <w:r w:rsidR="00380E6C">
              <w:rPr>
                <w:spacing w:val="-4"/>
              </w:rPr>
              <w:t>ři země (vč. Německa). Meziročně</w:t>
            </w:r>
            <w:r>
              <w:rPr>
                <w:spacing w:val="-4"/>
              </w:rPr>
              <w:t xml:space="preserve"> příznivějších výsledků dosáhlo 23 členů EU. Výše</w:t>
            </w:r>
            <w:r w:rsidR="00CE2756">
              <w:rPr>
                <w:spacing w:val="-4"/>
              </w:rPr>
              <w:t> </w:t>
            </w:r>
            <w:r>
              <w:rPr>
                <w:spacing w:val="-4"/>
              </w:rPr>
              <w:t>celkového dluhu</w:t>
            </w:r>
            <w:r w:rsidRPr="00741F3C">
              <w:rPr>
                <w:spacing w:val="-4"/>
              </w:rPr>
              <w:t xml:space="preserve"> </w:t>
            </w:r>
            <w:r>
              <w:rPr>
                <w:spacing w:val="-4"/>
              </w:rPr>
              <w:t>k HDP (</w:t>
            </w:r>
            <w:r w:rsidRPr="00741F3C">
              <w:rPr>
                <w:spacing w:val="-4"/>
              </w:rPr>
              <w:t>na konci 4. čtvrtletí 2015</w:t>
            </w:r>
            <w:r>
              <w:rPr>
                <w:spacing w:val="-4"/>
              </w:rPr>
              <w:t>) v Česku byla v rámci EU sedmá nejnižší (podobné postavení</w:t>
            </w:r>
            <w:r w:rsidRPr="00741F3C">
              <w:rPr>
                <w:spacing w:val="-4"/>
              </w:rPr>
              <w:t xml:space="preserve"> měly např. také Dánsko, Švédsko či Rumunsko). Během roku 2015 se relativní zadluženost snížila v 18 zemích EU (nejvíce v Irsku – z</w:t>
            </w:r>
            <w:r w:rsidR="00CE2756">
              <w:rPr>
                <w:spacing w:val="-4"/>
              </w:rPr>
              <w:t> </w:t>
            </w:r>
            <w:r w:rsidRPr="00741F3C">
              <w:rPr>
                <w:spacing w:val="-4"/>
              </w:rPr>
              <w:t xml:space="preserve">107,5 % na 93,8 %). Naopak o téměř 4 p.b. se navýšila ve Finsku (na 63,1 %), z větších ekonomik </w:t>
            </w:r>
            <w:r w:rsidR="00380E6C">
              <w:rPr>
                <w:spacing w:val="-4"/>
              </w:rPr>
              <w:t>pak</w:t>
            </w:r>
            <w:r w:rsidRPr="00741F3C">
              <w:rPr>
                <w:spacing w:val="-4"/>
              </w:rPr>
              <w:t xml:space="preserve"> mírně narostla</w:t>
            </w:r>
            <w:r>
              <w:rPr>
                <w:spacing w:val="-4"/>
              </w:rPr>
              <w:t xml:space="preserve"> v Itálii, Francii</w:t>
            </w:r>
            <w:r w:rsidRPr="00741F3C">
              <w:rPr>
                <w:spacing w:val="-4"/>
              </w:rPr>
              <w:t xml:space="preserve"> a Velké Británii.</w:t>
            </w:r>
          </w:p>
        </w:tc>
      </w:tr>
      <w:tr w:rsidR="007A4048" w:rsidRPr="006F2BEE" w:rsidTr="002C0FF4">
        <w:tc>
          <w:tcPr>
            <w:tcW w:w="298" w:type="pct"/>
          </w:tcPr>
          <w:p w:rsidR="007A4048" w:rsidRDefault="007A4048" w:rsidP="0002434F">
            <w:pPr>
              <w:spacing w:line="240" w:lineRule="auto"/>
            </w:pPr>
            <w:r>
              <w:rPr>
                <w:sz w:val="14"/>
                <w:szCs w:val="14"/>
              </w:rPr>
              <w:lastRenderedPageBreak/>
              <w:br w:type="page"/>
            </w:r>
            <w:r>
              <w:t>Graf č. 19</w:t>
            </w:r>
          </w:p>
        </w:tc>
        <w:tc>
          <w:tcPr>
            <w:tcW w:w="2203" w:type="pct"/>
            <w:gridSpan w:val="3"/>
          </w:tcPr>
          <w:p w:rsidR="007A4048" w:rsidRPr="00E43BFF" w:rsidRDefault="007A4048" w:rsidP="0002434F">
            <w:pPr>
              <w:spacing w:line="240" w:lineRule="auto"/>
              <w:rPr>
                <w:rFonts w:cs="Arial"/>
                <w:b/>
                <w:bCs/>
              </w:rPr>
            </w:pPr>
            <w:r>
              <w:rPr>
                <w:rFonts w:cs="Arial"/>
                <w:b/>
                <w:bCs/>
              </w:rPr>
              <w:t xml:space="preserve">Celostátní inkasa daňových příjmů </w:t>
            </w:r>
            <w:r>
              <w:rPr>
                <w:rFonts w:cs="Arial"/>
                <w:bCs/>
              </w:rPr>
              <w:t>(y/y</w:t>
            </w:r>
            <w:r w:rsidRPr="008A3A85">
              <w:rPr>
                <w:rFonts w:cs="Arial"/>
                <w:bCs/>
              </w:rPr>
              <w:t xml:space="preserve"> v %)</w:t>
            </w:r>
            <w:r>
              <w:rPr>
                <w:rFonts w:cs="Arial"/>
                <w:bCs/>
              </w:rPr>
              <w:t xml:space="preserve"> </w:t>
            </w:r>
            <w:r>
              <w:rPr>
                <w:rFonts w:cs="Arial"/>
                <w:b/>
                <w:bCs/>
              </w:rPr>
              <w:t>a saldo státního rozpočtu</w:t>
            </w:r>
            <w:r>
              <w:t xml:space="preserve"> </w:t>
            </w:r>
            <w:r>
              <w:rPr>
                <w:rFonts w:cs="Arial"/>
                <w:bCs/>
              </w:rPr>
              <w:t>(v mld. korun)</w:t>
            </w:r>
          </w:p>
        </w:tc>
        <w:tc>
          <w:tcPr>
            <w:tcW w:w="362" w:type="pct"/>
          </w:tcPr>
          <w:p w:rsidR="007A4048" w:rsidRDefault="007A4048" w:rsidP="0002434F">
            <w:pPr>
              <w:spacing w:line="240" w:lineRule="auto"/>
            </w:pPr>
            <w:r>
              <w:t>Graf č. 20</w:t>
            </w:r>
          </w:p>
        </w:tc>
        <w:tc>
          <w:tcPr>
            <w:tcW w:w="2137" w:type="pct"/>
            <w:gridSpan w:val="2"/>
          </w:tcPr>
          <w:p w:rsidR="007A4048" w:rsidRDefault="007A4048" w:rsidP="0002434F">
            <w:pPr>
              <w:spacing w:line="240" w:lineRule="auto"/>
              <w:rPr>
                <w:rFonts w:cs="Arial"/>
                <w:b/>
                <w:bCs/>
              </w:rPr>
            </w:pPr>
            <w:r>
              <w:rPr>
                <w:rFonts w:cs="Arial"/>
                <w:b/>
                <w:bCs/>
              </w:rPr>
              <w:t>Vybrané výdaje státního rozpočtu</w:t>
            </w:r>
          </w:p>
          <w:p w:rsidR="007A4048" w:rsidRPr="006F2BEE" w:rsidRDefault="007A4048" w:rsidP="0002434F">
            <w:pPr>
              <w:spacing w:line="240" w:lineRule="auto"/>
              <w:rPr>
                <w:rFonts w:cs="Arial"/>
                <w:b/>
                <w:bCs/>
                <w:spacing w:val="-2"/>
              </w:rPr>
            </w:pPr>
            <w:r>
              <w:rPr>
                <w:rFonts w:cs="Arial"/>
                <w:bCs/>
              </w:rPr>
              <w:t>(</w:t>
            </w:r>
            <w:r w:rsidRPr="00DB06E9">
              <w:rPr>
                <w:rFonts w:cs="Arial"/>
                <w:bCs/>
              </w:rPr>
              <w:t>v mld. korun</w:t>
            </w:r>
            <w:r>
              <w:rPr>
                <w:rFonts w:cs="Arial"/>
                <w:bCs/>
              </w:rPr>
              <w:t>)</w:t>
            </w:r>
          </w:p>
        </w:tc>
      </w:tr>
      <w:tr w:rsidR="007A4048" w:rsidTr="002C0FF4">
        <w:tc>
          <w:tcPr>
            <w:tcW w:w="2501" w:type="pct"/>
            <w:gridSpan w:val="4"/>
          </w:tcPr>
          <w:p w:rsidR="007A4048" w:rsidRDefault="00CE505D" w:rsidP="0002434F">
            <w:pPr>
              <w:pStyle w:val="Textpoznpodarou"/>
              <w:jc w:val="both"/>
            </w:pPr>
            <w:r>
              <w:pict>
                <v:shape id="_x0000_i1043" type="#_x0000_t75" style="width:242.3pt;height:185.95pt">
                  <v:imagedata r:id="rId30" o:title=""/>
                </v:shape>
              </w:pict>
            </w:r>
          </w:p>
        </w:tc>
        <w:tc>
          <w:tcPr>
            <w:tcW w:w="2499" w:type="pct"/>
            <w:gridSpan w:val="3"/>
          </w:tcPr>
          <w:p w:rsidR="007A4048" w:rsidRDefault="00CE505D" w:rsidP="0002434F">
            <w:pPr>
              <w:pStyle w:val="Textpoznpodarou"/>
              <w:jc w:val="both"/>
            </w:pPr>
            <w:r>
              <w:pict>
                <v:shape id="_x0000_i1044" type="#_x0000_t75" style="width:242.3pt;height:185.95pt">
                  <v:imagedata r:id="rId31" o:title=""/>
                </v:shape>
              </w:pict>
            </w:r>
          </w:p>
        </w:tc>
      </w:tr>
      <w:tr w:rsidR="007A4048" w:rsidRPr="009E6613" w:rsidTr="002C0FF4">
        <w:tc>
          <w:tcPr>
            <w:tcW w:w="5000" w:type="pct"/>
            <w:gridSpan w:val="7"/>
          </w:tcPr>
          <w:p w:rsidR="007A4048" w:rsidRDefault="007A4048" w:rsidP="0002434F">
            <w:pPr>
              <w:pStyle w:val="Textpoznpodarou"/>
              <w:spacing w:before="60"/>
              <w:rPr>
                <w:sz w:val="18"/>
                <w:szCs w:val="18"/>
              </w:rPr>
            </w:pPr>
            <w:r w:rsidRPr="004C5813">
              <w:rPr>
                <w:sz w:val="18"/>
                <w:szCs w:val="18"/>
              </w:rPr>
              <w:t>*vč. dávek pěstounské péče</w:t>
            </w:r>
          </w:p>
          <w:p w:rsidR="007A4048" w:rsidRDefault="007A4048" w:rsidP="0002434F">
            <w:pPr>
              <w:pStyle w:val="Textpoznpodarou"/>
              <w:rPr>
                <w:sz w:val="18"/>
                <w:szCs w:val="18"/>
              </w:rPr>
            </w:pPr>
            <w:r w:rsidRPr="004C5813">
              <w:rPr>
                <w:sz w:val="18"/>
                <w:szCs w:val="18"/>
              </w:rPr>
              <w:t>**dávky pomoci</w:t>
            </w:r>
            <w:r>
              <w:rPr>
                <w:sz w:val="18"/>
                <w:szCs w:val="18"/>
              </w:rPr>
              <w:t xml:space="preserve"> v hmotné</w:t>
            </w:r>
            <w:r w:rsidRPr="004C5813">
              <w:rPr>
                <w:sz w:val="18"/>
                <w:szCs w:val="18"/>
              </w:rPr>
              <w:t xml:space="preserve"> n</w:t>
            </w:r>
            <w:r>
              <w:rPr>
                <w:sz w:val="18"/>
                <w:szCs w:val="18"/>
              </w:rPr>
              <w:t>ouzi, dávky osobám se zdravotním</w:t>
            </w:r>
            <w:r w:rsidRPr="004C5813">
              <w:rPr>
                <w:sz w:val="18"/>
                <w:szCs w:val="18"/>
              </w:rPr>
              <w:t xml:space="preserve"> </w:t>
            </w:r>
            <w:r>
              <w:rPr>
                <w:sz w:val="18"/>
                <w:szCs w:val="18"/>
              </w:rPr>
              <w:t xml:space="preserve">postižením, příspěvek na péči </w:t>
            </w:r>
            <w:r w:rsidRPr="004C5813">
              <w:rPr>
                <w:sz w:val="18"/>
                <w:szCs w:val="18"/>
              </w:rPr>
              <w:t>dle zákona o sociálních službách</w:t>
            </w:r>
          </w:p>
          <w:p w:rsidR="007A4048" w:rsidRPr="009E6613" w:rsidRDefault="007A4048" w:rsidP="0002434F">
            <w:pPr>
              <w:pStyle w:val="Textpoznpodarou"/>
              <w:jc w:val="right"/>
              <w:rPr>
                <w:sz w:val="18"/>
                <w:szCs w:val="18"/>
              </w:rPr>
            </w:pPr>
            <w:r>
              <w:rPr>
                <w:rFonts w:cs="Arial"/>
                <w:sz w:val="18"/>
                <w:szCs w:val="18"/>
              </w:rPr>
              <w:t>Zdroj: MF ČR, MPSV</w:t>
            </w:r>
          </w:p>
        </w:tc>
      </w:tr>
    </w:tbl>
    <w:p w:rsidR="00A9221C" w:rsidRDefault="00A9221C" w:rsidP="00C2463B">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ED3A94" w:rsidRDefault="00ED3A94" w:rsidP="00C2463B">
      <w:pPr>
        <w:pStyle w:val="Textpoznpodarou"/>
        <w:jc w:val="both"/>
        <w:rPr>
          <w:rFonts w:cs="Arial"/>
          <w:color w:val="000000" w:themeColor="text1"/>
          <w:spacing w:val="-2"/>
        </w:rPr>
      </w:pPr>
    </w:p>
    <w:p w:rsidR="00ED3A94" w:rsidRDefault="00ED3A94" w:rsidP="00C2463B">
      <w:pPr>
        <w:pStyle w:val="Textpoznpodarou"/>
        <w:jc w:val="both"/>
        <w:rPr>
          <w:rFonts w:cs="Arial"/>
          <w:color w:val="000000" w:themeColor="text1"/>
          <w:spacing w:val="-2"/>
        </w:rPr>
      </w:pPr>
    </w:p>
    <w:p w:rsidR="007A4048" w:rsidRDefault="007A4048" w:rsidP="00C2463B">
      <w:pPr>
        <w:pStyle w:val="Textpoznpodarou"/>
        <w:jc w:val="both"/>
        <w:rPr>
          <w:rFonts w:cs="Arial"/>
          <w:color w:val="000000" w:themeColor="text1"/>
          <w:spacing w:val="-2"/>
        </w:rPr>
      </w:pPr>
    </w:p>
    <w:p w:rsidR="007A4048" w:rsidRDefault="007A4048" w:rsidP="00C2463B">
      <w:pPr>
        <w:pStyle w:val="Textpoznpodarou"/>
        <w:jc w:val="both"/>
        <w:rPr>
          <w:rFonts w:cs="Arial"/>
          <w:color w:val="000000" w:themeColor="text1"/>
          <w:spacing w:val="-2"/>
        </w:rPr>
      </w:pPr>
    </w:p>
    <w:p w:rsidR="007A4048" w:rsidRDefault="007A4048" w:rsidP="00C2463B">
      <w:pPr>
        <w:pStyle w:val="Textpoznpodarou"/>
        <w:jc w:val="both"/>
        <w:rPr>
          <w:rFonts w:cs="Arial"/>
          <w:color w:val="000000" w:themeColor="text1"/>
          <w:spacing w:val="-2"/>
        </w:rPr>
      </w:pPr>
    </w:p>
    <w:p w:rsidR="007A4048" w:rsidRDefault="007A4048" w:rsidP="00C2463B">
      <w:pPr>
        <w:pStyle w:val="Textpoznpodarou"/>
        <w:jc w:val="both"/>
        <w:rPr>
          <w:rFonts w:cs="Arial"/>
          <w:color w:val="000000" w:themeColor="text1"/>
          <w:spacing w:val="-2"/>
        </w:rPr>
      </w:pPr>
    </w:p>
    <w:p w:rsidR="007A4048" w:rsidRDefault="007A4048" w:rsidP="00C2463B">
      <w:pPr>
        <w:pStyle w:val="Textpoznpodarou"/>
        <w:jc w:val="both"/>
        <w:rPr>
          <w:rFonts w:cs="Arial"/>
          <w:color w:val="000000" w:themeColor="text1"/>
          <w:spacing w:val="-2"/>
        </w:rPr>
      </w:pPr>
    </w:p>
    <w:p w:rsidR="007A4048" w:rsidRDefault="007A4048" w:rsidP="00C2463B">
      <w:pPr>
        <w:pStyle w:val="Textpoznpodarou"/>
        <w:jc w:val="both"/>
        <w:rPr>
          <w:rFonts w:cs="Arial"/>
          <w:color w:val="000000" w:themeColor="text1"/>
          <w:spacing w:val="-2"/>
        </w:rPr>
      </w:pPr>
    </w:p>
    <w:p w:rsidR="007A4048" w:rsidRDefault="007A4048" w:rsidP="00C2463B">
      <w:pPr>
        <w:pStyle w:val="Textpoznpodarou"/>
        <w:jc w:val="both"/>
        <w:rPr>
          <w:rFonts w:cs="Arial"/>
          <w:color w:val="000000" w:themeColor="text1"/>
          <w:spacing w:val="-2"/>
        </w:rPr>
      </w:pPr>
    </w:p>
    <w:p w:rsidR="007A4048" w:rsidRDefault="007A4048" w:rsidP="00C2463B">
      <w:pPr>
        <w:pStyle w:val="Textpoznpodarou"/>
        <w:jc w:val="both"/>
        <w:rPr>
          <w:rFonts w:cs="Arial"/>
          <w:color w:val="000000" w:themeColor="text1"/>
          <w:spacing w:val="-2"/>
        </w:rPr>
      </w:pPr>
    </w:p>
    <w:p w:rsidR="007A4048" w:rsidRDefault="007A4048" w:rsidP="00C2463B">
      <w:pPr>
        <w:pStyle w:val="Textpoznpodarou"/>
        <w:jc w:val="both"/>
        <w:rPr>
          <w:rFonts w:cs="Arial"/>
          <w:color w:val="000000" w:themeColor="text1"/>
          <w:spacing w:val="-2"/>
        </w:rPr>
      </w:pPr>
    </w:p>
    <w:p w:rsidR="007A4048" w:rsidRDefault="007A4048" w:rsidP="00C2463B">
      <w:pPr>
        <w:pStyle w:val="Textpoznpodarou"/>
        <w:jc w:val="both"/>
        <w:rPr>
          <w:rFonts w:cs="Arial"/>
          <w:color w:val="000000" w:themeColor="text1"/>
          <w:spacing w:val="-2"/>
        </w:rPr>
      </w:pPr>
    </w:p>
    <w:p w:rsidR="007A4048" w:rsidRDefault="007A4048" w:rsidP="00C2463B">
      <w:pPr>
        <w:pStyle w:val="Textpoznpodarou"/>
        <w:jc w:val="both"/>
        <w:rPr>
          <w:rFonts w:cs="Arial"/>
          <w:color w:val="000000" w:themeColor="text1"/>
          <w:spacing w:val="-2"/>
        </w:rPr>
      </w:pPr>
    </w:p>
    <w:p w:rsidR="007A4048" w:rsidRDefault="007A4048" w:rsidP="00C2463B">
      <w:pPr>
        <w:pStyle w:val="Textpoznpodarou"/>
        <w:jc w:val="both"/>
        <w:rPr>
          <w:rFonts w:cs="Arial"/>
          <w:color w:val="000000" w:themeColor="text1"/>
          <w:spacing w:val="-2"/>
        </w:rPr>
      </w:pPr>
    </w:p>
    <w:p w:rsidR="00ED3A94" w:rsidRDefault="00ED3A94" w:rsidP="00C2463B">
      <w:pPr>
        <w:pStyle w:val="Textpoznpodarou"/>
        <w:jc w:val="both"/>
        <w:rPr>
          <w:rFonts w:cs="Arial"/>
          <w:color w:val="000000" w:themeColor="text1"/>
          <w:spacing w:val="-2"/>
        </w:rPr>
      </w:pPr>
    </w:p>
    <w:p w:rsidR="00ED3A94" w:rsidRDefault="00ED3A94" w:rsidP="00C2463B">
      <w:pPr>
        <w:pStyle w:val="Textpoznpodarou"/>
        <w:jc w:val="both"/>
        <w:rPr>
          <w:rFonts w:cs="Arial"/>
          <w:color w:val="000000" w:themeColor="text1"/>
          <w:spacing w:val="-2"/>
        </w:rPr>
      </w:pPr>
    </w:p>
    <w:p w:rsidR="00ED3A94" w:rsidRDefault="00ED3A94" w:rsidP="00C2463B">
      <w:pPr>
        <w:pStyle w:val="Textpoznpodarou"/>
        <w:jc w:val="both"/>
        <w:rPr>
          <w:rFonts w:cs="Arial"/>
          <w:color w:val="000000" w:themeColor="text1"/>
          <w:spacing w:val="-2"/>
        </w:rPr>
      </w:pPr>
    </w:p>
    <w:p w:rsidR="00ED3A94" w:rsidRDefault="00ED3A94" w:rsidP="00C2463B">
      <w:pPr>
        <w:pStyle w:val="Textpoznpodarou"/>
        <w:jc w:val="both"/>
        <w:rPr>
          <w:rFonts w:cs="Arial"/>
          <w:color w:val="000000" w:themeColor="text1"/>
          <w:spacing w:val="-2"/>
        </w:rPr>
      </w:pPr>
    </w:p>
    <w:p w:rsidR="00ED3A94" w:rsidRDefault="00ED3A94" w:rsidP="00C2463B">
      <w:pPr>
        <w:pStyle w:val="Textpoznpodarou"/>
        <w:jc w:val="both"/>
        <w:rPr>
          <w:rFonts w:cs="Arial"/>
          <w:color w:val="000000" w:themeColor="text1"/>
          <w:spacing w:val="-2"/>
        </w:rPr>
      </w:pPr>
    </w:p>
    <w:p w:rsidR="00ED3A94" w:rsidRDefault="00ED3A94" w:rsidP="00C2463B">
      <w:pPr>
        <w:pStyle w:val="Textpoznpodarou"/>
        <w:jc w:val="both"/>
        <w:rPr>
          <w:rFonts w:cs="Arial"/>
          <w:color w:val="000000" w:themeColor="text1"/>
          <w:spacing w:val="-2"/>
        </w:rPr>
      </w:pPr>
    </w:p>
    <w:p w:rsidR="00ED3A94" w:rsidRDefault="00ED3A94" w:rsidP="00C2463B">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2C493D" w:rsidRDefault="002C493D" w:rsidP="00C2463B">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A9221C" w:rsidRDefault="00A9221C" w:rsidP="00C2463B">
      <w:pPr>
        <w:pStyle w:val="Textpoznpodarou"/>
        <w:jc w:val="both"/>
        <w:rPr>
          <w:rFonts w:cs="Arial"/>
          <w:color w:val="000000" w:themeColor="text1"/>
          <w:spacing w:val="-2"/>
        </w:rPr>
      </w:pPr>
    </w:p>
    <w:p w:rsidR="00A9221C" w:rsidRPr="00A9221C" w:rsidRDefault="00A9221C" w:rsidP="00C2463B">
      <w:pPr>
        <w:pStyle w:val="Textpoznpodarou"/>
        <w:jc w:val="both"/>
        <w:rPr>
          <w:rFonts w:cs="Arial"/>
          <w:color w:val="000000" w:themeColor="text1"/>
          <w:spacing w:val="-2"/>
        </w:rPr>
      </w:pPr>
    </w:p>
    <w:p w:rsidR="00B55BA8" w:rsidRPr="00C2463B" w:rsidRDefault="00B55BA8" w:rsidP="00C2463B">
      <w:pPr>
        <w:pStyle w:val="Textpoznpodarou"/>
        <w:jc w:val="both"/>
        <w:rPr>
          <w:rFonts w:cs="Arial"/>
          <w:color w:val="000000" w:themeColor="text1"/>
          <w:spacing w:val="-2"/>
        </w:rPr>
      </w:pPr>
      <w:r w:rsidRPr="00C2463B">
        <w:rPr>
          <w:rFonts w:cs="Arial"/>
          <w:color w:val="000000" w:themeColor="text1"/>
          <w:spacing w:val="-2"/>
        </w:rPr>
        <w:t>Zdroj</w:t>
      </w:r>
      <w:r w:rsidR="000E1EEA">
        <w:rPr>
          <w:rFonts w:cs="Arial"/>
          <w:color w:val="000000" w:themeColor="text1"/>
          <w:spacing w:val="-2"/>
        </w:rPr>
        <w:t>e dat v celé analýze: ČSÚ, MF ČR</w:t>
      </w:r>
      <w:r w:rsidRPr="00C2463B">
        <w:rPr>
          <w:rFonts w:cs="Arial"/>
          <w:color w:val="000000" w:themeColor="text1"/>
          <w:spacing w:val="-2"/>
        </w:rPr>
        <w:t>, ČNB,</w:t>
      </w:r>
      <w:r w:rsidR="00886A8F">
        <w:rPr>
          <w:rFonts w:cs="Arial"/>
          <w:color w:val="000000" w:themeColor="text1"/>
          <w:spacing w:val="-2"/>
        </w:rPr>
        <w:t xml:space="preserve"> MPSV</w:t>
      </w:r>
      <w:r w:rsidR="00FD1BBD">
        <w:rPr>
          <w:rFonts w:cs="Arial"/>
          <w:color w:val="000000" w:themeColor="text1"/>
          <w:spacing w:val="-2"/>
        </w:rPr>
        <w:t>,</w:t>
      </w:r>
      <w:r w:rsidRPr="00C2463B">
        <w:rPr>
          <w:rFonts w:cs="Arial"/>
          <w:color w:val="000000" w:themeColor="text1"/>
          <w:spacing w:val="-2"/>
        </w:rPr>
        <w:t xml:space="preserve"> ČSSZ, Eurostat, propočty ČSÚ.</w:t>
      </w:r>
    </w:p>
    <w:p w:rsidR="00B55BA8" w:rsidRPr="00C2463B" w:rsidRDefault="00B55BA8" w:rsidP="00C2463B">
      <w:pPr>
        <w:pStyle w:val="Textpoznpodarou"/>
        <w:jc w:val="both"/>
        <w:rPr>
          <w:rFonts w:cs="Arial"/>
          <w:color w:val="000000" w:themeColor="text1"/>
          <w:spacing w:val="-2"/>
        </w:rPr>
      </w:pPr>
      <w:r w:rsidRPr="00C2463B">
        <w:rPr>
          <w:rFonts w:cs="Arial"/>
          <w:color w:val="000000" w:themeColor="text1"/>
          <w:spacing w:val="-2"/>
        </w:rPr>
        <w:t>Poslední informace uváděné v té</w:t>
      </w:r>
      <w:r w:rsidR="00ED3A94">
        <w:rPr>
          <w:rFonts w:cs="Arial"/>
          <w:color w:val="000000" w:themeColor="text1"/>
          <w:spacing w:val="-2"/>
        </w:rPr>
        <w:t>to zprávě pocházejí ze 14</w:t>
      </w:r>
      <w:r w:rsidR="00886A8F">
        <w:rPr>
          <w:rFonts w:cs="Arial"/>
          <w:color w:val="000000" w:themeColor="text1"/>
          <w:spacing w:val="-2"/>
        </w:rPr>
        <w:t xml:space="preserve">. </w:t>
      </w:r>
      <w:r w:rsidR="00ED3A94">
        <w:rPr>
          <w:rFonts w:cs="Arial"/>
          <w:color w:val="000000" w:themeColor="text1"/>
          <w:spacing w:val="-2"/>
        </w:rPr>
        <w:t>června</w:t>
      </w:r>
      <w:r w:rsidR="00A9221C">
        <w:rPr>
          <w:rFonts w:cs="Arial"/>
          <w:color w:val="000000" w:themeColor="text1"/>
          <w:spacing w:val="-2"/>
        </w:rPr>
        <w:t xml:space="preserve"> 2016</w:t>
      </w:r>
      <w:r w:rsidRPr="00C2463B">
        <w:rPr>
          <w:rFonts w:cs="Arial"/>
          <w:color w:val="000000" w:themeColor="text1"/>
          <w:spacing w:val="-2"/>
        </w:rPr>
        <w:t>.</w:t>
      </w:r>
    </w:p>
    <w:sectPr w:rsidR="00B55BA8" w:rsidRPr="00C2463B" w:rsidSect="00D43998">
      <w:headerReference w:type="even" r:id="rId32"/>
      <w:headerReference w:type="default" r:id="rId33"/>
      <w:footerReference w:type="even" r:id="rId34"/>
      <w:footerReference w:type="default" r:id="rId35"/>
      <w:type w:val="continuous"/>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785" w:rsidRDefault="00270785" w:rsidP="00E71A58">
      <w:r>
        <w:separator/>
      </w:r>
    </w:p>
  </w:endnote>
  <w:endnote w:type="continuationSeparator" w:id="0">
    <w:p w:rsidR="00270785" w:rsidRDefault="00270785"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4F" w:rsidRDefault="00785FCA"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42" o:spid="_x0000_s2049" type="#_x0000_t75" alt="Description: 3" style="position:absolute;margin-left:.3pt;margin-top:7.1pt;width:39pt;height:21pt;z-index:251656704;visibility:visible">
          <v:imagedata r:id="rId1" o:title=""/>
        </v:shape>
      </w:pict>
    </w:r>
    <w:r w:rsidR="0002434F">
      <w:tab/>
    </w:r>
    <w:r w:rsidR="0002434F">
      <w:tab/>
    </w:r>
    <w:r w:rsidR="0002434F" w:rsidRPr="00DC5B3B">
      <w:t xml:space="preserve">                              </w:t>
    </w:r>
  </w:p>
  <w:p w:rsidR="0002434F" w:rsidRPr="00223E00" w:rsidRDefault="0002434F"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785FCA"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785FCA" w:rsidRPr="00223E00">
      <w:rPr>
        <w:rFonts w:ascii="Arial" w:hAnsi="Arial" w:cs="Arial"/>
        <w:sz w:val="16"/>
        <w:szCs w:val="16"/>
      </w:rPr>
      <w:fldChar w:fldCharType="separate"/>
    </w:r>
    <w:r w:rsidR="00CE505D">
      <w:rPr>
        <w:rFonts w:ascii="Arial" w:hAnsi="Arial" w:cs="Arial"/>
        <w:noProof/>
        <w:sz w:val="16"/>
        <w:szCs w:val="16"/>
      </w:rPr>
      <w:t>3</w:t>
    </w:r>
    <w:r w:rsidR="00785FCA" w:rsidRPr="00223E00">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4F" w:rsidRDefault="00785FCA" w:rsidP="00357449">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51657728;visibility:visible">
          <v:imagedata r:id="rId1" o:title=""/>
        </v:shape>
      </w:pict>
    </w:r>
    <w:r w:rsidRPr="005A21E0">
      <w:rPr>
        <w:rFonts w:ascii="Arial" w:hAnsi="Arial" w:cs="Arial"/>
        <w:sz w:val="16"/>
        <w:szCs w:val="16"/>
      </w:rPr>
      <w:fldChar w:fldCharType="begin"/>
    </w:r>
    <w:r w:rsidR="0002434F" w:rsidRPr="005A21E0">
      <w:rPr>
        <w:rFonts w:ascii="Arial" w:hAnsi="Arial" w:cs="Arial"/>
        <w:sz w:val="16"/>
        <w:szCs w:val="16"/>
      </w:rPr>
      <w:instrText>PAGE   \* MERGEFORMAT</w:instrText>
    </w:r>
    <w:r w:rsidRPr="005A21E0">
      <w:rPr>
        <w:rFonts w:ascii="Arial" w:hAnsi="Arial" w:cs="Arial"/>
        <w:sz w:val="16"/>
        <w:szCs w:val="16"/>
      </w:rPr>
      <w:fldChar w:fldCharType="separate"/>
    </w:r>
    <w:r w:rsidR="00CE505D">
      <w:rPr>
        <w:rFonts w:ascii="Arial" w:hAnsi="Arial" w:cs="Arial"/>
        <w:noProof/>
        <w:sz w:val="16"/>
        <w:szCs w:val="16"/>
      </w:rPr>
      <w:t>4</w:t>
    </w:r>
    <w:r w:rsidRPr="005A21E0">
      <w:rPr>
        <w:rFonts w:ascii="Arial" w:hAnsi="Arial" w:cs="Arial"/>
        <w:sz w:val="16"/>
        <w:szCs w:val="16"/>
      </w:rPr>
      <w:fldChar w:fldCharType="end"/>
    </w:r>
    <w:r w:rsidR="0002434F">
      <w:rPr>
        <w:rFonts w:ascii="Arial" w:hAnsi="Arial" w:cs="Arial"/>
        <w:sz w:val="16"/>
        <w:szCs w:val="16"/>
      </w:rPr>
      <w:tab/>
      <w:t>2016</w:t>
    </w:r>
    <w:r w:rsidR="0002434F">
      <w:tab/>
    </w:r>
    <w:r w:rsidR="0002434F">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4F" w:rsidRDefault="00785FCA"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Description: 3" style="position:absolute;margin-left:.3pt;margin-top:7.1pt;width:39pt;height:21pt;z-index:251658752;visibility:visible">
          <v:imagedata r:id="rId1" o:title=""/>
        </v:shape>
      </w:pict>
    </w:r>
    <w:r w:rsidR="0002434F">
      <w:tab/>
    </w:r>
    <w:r w:rsidR="0002434F">
      <w:tab/>
    </w:r>
    <w:r w:rsidR="0002434F" w:rsidRPr="00DC5B3B">
      <w:t xml:space="preserve">                              </w:t>
    </w:r>
  </w:p>
  <w:p w:rsidR="0002434F" w:rsidRPr="00223E00" w:rsidRDefault="0002434F"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785FCA"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785FCA" w:rsidRPr="00223E00">
      <w:rPr>
        <w:rFonts w:ascii="Arial" w:hAnsi="Arial" w:cs="Arial"/>
        <w:sz w:val="16"/>
        <w:szCs w:val="16"/>
      </w:rPr>
      <w:fldChar w:fldCharType="separate"/>
    </w:r>
    <w:r w:rsidR="00CE505D">
      <w:rPr>
        <w:rFonts w:ascii="Arial" w:hAnsi="Arial" w:cs="Arial"/>
        <w:noProof/>
        <w:sz w:val="16"/>
        <w:szCs w:val="16"/>
      </w:rPr>
      <w:t>23</w:t>
    </w:r>
    <w:r w:rsidR="00785FCA"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785" w:rsidRDefault="00270785" w:rsidP="00E71A58">
      <w:r>
        <w:separator/>
      </w:r>
    </w:p>
  </w:footnote>
  <w:footnote w:type="continuationSeparator" w:id="0">
    <w:p w:rsidR="00270785" w:rsidRDefault="00270785" w:rsidP="00E71A58">
      <w:r>
        <w:continuationSeparator/>
      </w:r>
    </w:p>
  </w:footnote>
  <w:footnote w:id="1">
    <w:p w:rsidR="0002434F" w:rsidRPr="002018BF" w:rsidRDefault="0002434F" w:rsidP="007A4048">
      <w:pPr>
        <w:pStyle w:val="Textpoznpodarou"/>
        <w:jc w:val="both"/>
        <w:rPr>
          <w:sz w:val="16"/>
          <w:szCs w:val="16"/>
        </w:rPr>
      </w:pPr>
      <w:r w:rsidRPr="002018BF">
        <w:rPr>
          <w:rStyle w:val="Znakapoznpodarou"/>
          <w:sz w:val="16"/>
          <w:szCs w:val="16"/>
        </w:rPr>
        <w:footnoteRef/>
      </w:r>
      <w:r w:rsidRPr="002018BF">
        <w:rPr>
          <w:sz w:val="16"/>
          <w:szCs w:val="16"/>
        </w:rPr>
        <w:t xml:space="preserve"> Data o HDP, </w:t>
      </w:r>
      <w:r w:rsidR="00AE7DFF">
        <w:rPr>
          <w:sz w:val="16"/>
          <w:szCs w:val="16"/>
        </w:rPr>
        <w:t>hrubé přidané hodnotě</w:t>
      </w:r>
      <w:r w:rsidRPr="002018BF">
        <w:rPr>
          <w:sz w:val="16"/>
          <w:szCs w:val="16"/>
        </w:rPr>
        <w:t xml:space="preserve"> a jejich složkách jsou vyjádřena </w:t>
      </w:r>
      <w:r>
        <w:rPr>
          <w:sz w:val="16"/>
          <w:szCs w:val="16"/>
        </w:rPr>
        <w:t>ve stálých cenách</w:t>
      </w:r>
      <w:r w:rsidRPr="002018BF">
        <w:rPr>
          <w:sz w:val="16"/>
          <w:szCs w:val="16"/>
        </w:rPr>
        <w:t xml:space="preserve"> a v očištění o sezónní a kalendářní vlivy.</w:t>
      </w:r>
      <w:r w:rsidR="00AE7DFF">
        <w:rPr>
          <w:sz w:val="16"/>
          <w:szCs w:val="16"/>
        </w:rPr>
        <w:t xml:space="preserve"> Údaje byly zveřejněny 3. 6. 2016 a zpřesnění bude publikováno 1. 7. 2016.</w:t>
      </w:r>
    </w:p>
  </w:footnote>
  <w:footnote w:id="2">
    <w:p w:rsidR="0002434F" w:rsidRPr="00960769" w:rsidRDefault="0002434F" w:rsidP="007A4048">
      <w:pPr>
        <w:pStyle w:val="Textpoznpodarou"/>
      </w:pPr>
      <w:r w:rsidRPr="002018BF">
        <w:rPr>
          <w:rStyle w:val="Znakapoznpodarou"/>
          <w:sz w:val="16"/>
          <w:szCs w:val="16"/>
        </w:rPr>
        <w:footnoteRef/>
      </w:r>
      <w:r w:rsidRPr="002018BF">
        <w:rPr>
          <w:sz w:val="16"/>
          <w:szCs w:val="16"/>
        </w:rPr>
        <w:t xml:space="preserve"> Jde o rozklad změny HDP bez vyloučení dovozu pro konečné užití.</w:t>
      </w:r>
    </w:p>
  </w:footnote>
  <w:footnote w:id="3">
    <w:p w:rsidR="0002434F" w:rsidRPr="005E01FF" w:rsidRDefault="0002434F" w:rsidP="007A4048">
      <w:pPr>
        <w:pStyle w:val="Textpoznpodarou"/>
        <w:jc w:val="both"/>
        <w:rPr>
          <w:sz w:val="16"/>
          <w:szCs w:val="16"/>
        </w:rPr>
      </w:pPr>
      <w:r w:rsidRPr="005E01FF">
        <w:rPr>
          <w:rStyle w:val="Znakapoznpodarou"/>
          <w:sz w:val="16"/>
          <w:szCs w:val="16"/>
        </w:rPr>
        <w:footnoteRef/>
      </w:r>
      <w:r w:rsidRPr="005E01FF">
        <w:rPr>
          <w:sz w:val="16"/>
          <w:szCs w:val="16"/>
        </w:rPr>
        <w:t xml:space="preserve"> Pokud není uvedeno jinak, jsou data o HDP a jeho složkách vyjádřena ve stálých cenách a v očištění o se</w:t>
      </w:r>
      <w:r w:rsidR="00D0061E">
        <w:rPr>
          <w:sz w:val="16"/>
          <w:szCs w:val="16"/>
        </w:rPr>
        <w:t>zónní a kalendářní vlivy. Totéž</w:t>
      </w:r>
      <w:r w:rsidRPr="005E01FF">
        <w:rPr>
          <w:sz w:val="16"/>
          <w:szCs w:val="16"/>
        </w:rPr>
        <w:t xml:space="preserve"> pl</w:t>
      </w:r>
      <w:r w:rsidR="00D72897">
        <w:rPr>
          <w:sz w:val="16"/>
          <w:szCs w:val="16"/>
        </w:rPr>
        <w:t>atí pro hrubou přidanou hodnotu a její složky.</w:t>
      </w:r>
    </w:p>
  </w:footnote>
  <w:footnote w:id="4">
    <w:p w:rsidR="0002434F" w:rsidRPr="002115F5" w:rsidRDefault="0002434F" w:rsidP="007A4048">
      <w:pPr>
        <w:pStyle w:val="Textpoznpodarou"/>
        <w:jc w:val="both"/>
        <w:rPr>
          <w:sz w:val="16"/>
          <w:szCs w:val="16"/>
        </w:rPr>
      </w:pPr>
      <w:r w:rsidRPr="00D72897">
        <w:rPr>
          <w:sz w:val="16"/>
          <w:szCs w:val="16"/>
          <w:vertAlign w:val="superscript"/>
        </w:rPr>
        <w:footnoteRef/>
      </w:r>
      <w:r w:rsidRPr="00D72897">
        <w:rPr>
          <w:sz w:val="16"/>
          <w:szCs w:val="16"/>
        </w:rPr>
        <w:t xml:space="preserve"> Časová řada HDP v období od 1. čtvrtletí 2014 je od sezónnosti očišťována novým modelem. Tento model zohledňuje změnu sezónního chování HDP po roce 2013 související s</w:t>
      </w:r>
      <w:r w:rsidR="00D72897" w:rsidRPr="00D72897">
        <w:rPr>
          <w:sz w:val="16"/>
          <w:szCs w:val="16"/>
        </w:rPr>
        <w:t> nově rovnoměrnějším výběrem daní z</w:t>
      </w:r>
      <w:r w:rsidR="006520D5">
        <w:rPr>
          <w:sz w:val="16"/>
          <w:szCs w:val="16"/>
        </w:rPr>
        <w:t> </w:t>
      </w:r>
      <w:r w:rsidR="00D72897" w:rsidRPr="00D72897">
        <w:rPr>
          <w:sz w:val="16"/>
          <w:szCs w:val="16"/>
        </w:rPr>
        <w:t>produktů</w:t>
      </w:r>
      <w:r w:rsidR="006520D5">
        <w:rPr>
          <w:sz w:val="16"/>
          <w:szCs w:val="16"/>
        </w:rPr>
        <w:t>, zejména z tabákových výrobků</w:t>
      </w:r>
      <w:r w:rsidR="00D72897" w:rsidRPr="00D72897">
        <w:rPr>
          <w:sz w:val="16"/>
          <w:szCs w:val="16"/>
        </w:rPr>
        <w:t>.</w:t>
      </w:r>
    </w:p>
  </w:footnote>
  <w:footnote w:id="5">
    <w:p w:rsidR="0002434F" w:rsidRPr="00C809A6" w:rsidRDefault="0002434F" w:rsidP="007A4048">
      <w:pPr>
        <w:pStyle w:val="Textpoznpodarou"/>
        <w:rPr>
          <w:sz w:val="16"/>
          <w:szCs w:val="16"/>
        </w:rPr>
      </w:pPr>
      <w:r w:rsidRPr="00C809A6">
        <w:rPr>
          <w:rStyle w:val="Znakapoznpodarou"/>
          <w:sz w:val="16"/>
          <w:szCs w:val="16"/>
        </w:rPr>
        <w:footnoteRef/>
      </w:r>
      <w:r w:rsidRPr="00C809A6">
        <w:rPr>
          <w:sz w:val="16"/>
          <w:szCs w:val="16"/>
        </w:rPr>
        <w:t xml:space="preserve"> </w:t>
      </w:r>
      <w:r>
        <w:rPr>
          <w:sz w:val="16"/>
          <w:szCs w:val="16"/>
        </w:rPr>
        <w:t xml:space="preserve">Nedostupný údaj za Irsko a Lucembursko. </w:t>
      </w:r>
      <w:r w:rsidRPr="00C809A6">
        <w:rPr>
          <w:sz w:val="16"/>
          <w:szCs w:val="16"/>
        </w:rPr>
        <w:t>Dynamika</w:t>
      </w:r>
      <w:r>
        <w:rPr>
          <w:sz w:val="16"/>
          <w:szCs w:val="16"/>
        </w:rPr>
        <w:t xml:space="preserve"> za</w:t>
      </w:r>
      <w:r w:rsidRPr="00C809A6">
        <w:rPr>
          <w:sz w:val="16"/>
          <w:szCs w:val="16"/>
        </w:rPr>
        <w:t xml:space="preserve"> Slovensko není očištěna o kalendářní vlivy.</w:t>
      </w:r>
    </w:p>
  </w:footnote>
  <w:footnote w:id="6">
    <w:p w:rsidR="0002434F" w:rsidRPr="005E01FF" w:rsidRDefault="0002434F" w:rsidP="007A4048">
      <w:pPr>
        <w:pStyle w:val="Textpoznpodarou"/>
        <w:rPr>
          <w:sz w:val="16"/>
          <w:szCs w:val="16"/>
        </w:rPr>
      </w:pPr>
      <w:r w:rsidRPr="005E01FF">
        <w:rPr>
          <w:rStyle w:val="Znakapoznpodarou"/>
          <w:sz w:val="16"/>
          <w:szCs w:val="16"/>
        </w:rPr>
        <w:footnoteRef/>
      </w:r>
      <w:r w:rsidRPr="005E01FF">
        <w:rPr>
          <w:sz w:val="16"/>
          <w:szCs w:val="16"/>
        </w:rPr>
        <w:t xml:space="preserve"> Příspěvky ke změně HDP bez vyloučení dovozu pro konečné užití.</w:t>
      </w:r>
    </w:p>
  </w:footnote>
  <w:footnote w:id="7">
    <w:p w:rsidR="0002434F" w:rsidRPr="005E01FF" w:rsidRDefault="0002434F" w:rsidP="007A4048">
      <w:pPr>
        <w:pStyle w:val="Textpoznpodarou"/>
        <w:rPr>
          <w:sz w:val="16"/>
          <w:szCs w:val="16"/>
        </w:rPr>
      </w:pPr>
      <w:r w:rsidRPr="005E01FF">
        <w:rPr>
          <w:rStyle w:val="Znakapoznpodarou"/>
          <w:sz w:val="16"/>
          <w:szCs w:val="16"/>
        </w:rPr>
        <w:footnoteRef/>
      </w:r>
      <w:r w:rsidRPr="005E01FF">
        <w:rPr>
          <w:sz w:val="16"/>
          <w:szCs w:val="16"/>
        </w:rPr>
        <w:t xml:space="preserve"> Do reálného vyjádření převedeno s využitím deflátoru výdajů na konečnou spotřebu domácností.</w:t>
      </w:r>
    </w:p>
  </w:footnote>
  <w:footnote w:id="8">
    <w:p w:rsidR="0002434F" w:rsidRPr="000A747C" w:rsidRDefault="0002434F" w:rsidP="000E1EEA">
      <w:pPr>
        <w:pStyle w:val="Textpoznpodarou"/>
        <w:rPr>
          <w:sz w:val="16"/>
          <w:szCs w:val="16"/>
        </w:rPr>
      </w:pPr>
      <w:r w:rsidRPr="000A747C">
        <w:rPr>
          <w:rStyle w:val="Znakapoznpodarou"/>
          <w:sz w:val="16"/>
          <w:szCs w:val="16"/>
        </w:rPr>
        <w:footnoteRef/>
      </w:r>
      <w:r w:rsidRPr="000A747C">
        <w:rPr>
          <w:sz w:val="16"/>
          <w:szCs w:val="16"/>
        </w:rPr>
        <w:t xml:space="preserve"> Údaje o HPH jsou vyjádřeny ve stálých cenách a v očištění o sezónní a kalendářní vlivy.</w:t>
      </w:r>
    </w:p>
  </w:footnote>
  <w:footnote w:id="9">
    <w:p w:rsidR="0002434F" w:rsidRPr="00EE6E60" w:rsidRDefault="0002434F" w:rsidP="000E1EEA">
      <w:pPr>
        <w:pStyle w:val="Textpoznpodarou"/>
        <w:rPr>
          <w:sz w:val="16"/>
          <w:szCs w:val="16"/>
        </w:rPr>
      </w:pPr>
      <w:r w:rsidRPr="00F53243">
        <w:rPr>
          <w:rStyle w:val="Znakapoznpodarou"/>
          <w:sz w:val="16"/>
          <w:szCs w:val="16"/>
        </w:rPr>
        <w:footnoteRef/>
      </w:r>
      <w:r w:rsidRPr="00F53243">
        <w:rPr>
          <w:sz w:val="16"/>
          <w:szCs w:val="16"/>
        </w:rPr>
        <w:t xml:space="preserve"> Mezi státy nejsou obsaženy údaje za Irsko, Lucembursko, Maltu a Slovensko.</w:t>
      </w:r>
    </w:p>
  </w:footnote>
  <w:footnote w:id="10">
    <w:p w:rsidR="0002434F" w:rsidRDefault="0002434F" w:rsidP="000E1EEA">
      <w:pPr>
        <w:pStyle w:val="Textpoznpodarou"/>
      </w:pPr>
      <w:r w:rsidRPr="00C73B8B">
        <w:rPr>
          <w:rStyle w:val="Znakapoznpodarou"/>
          <w:sz w:val="16"/>
          <w:szCs w:val="16"/>
        </w:rPr>
        <w:footnoteRef/>
      </w:r>
      <w:r w:rsidRPr="00C73B8B">
        <w:rPr>
          <w:sz w:val="16"/>
          <w:szCs w:val="16"/>
        </w:rPr>
        <w:t xml:space="preserve"> </w:t>
      </w:r>
      <w:r w:rsidRPr="00B4223A">
        <w:rPr>
          <w:sz w:val="16"/>
          <w:szCs w:val="16"/>
        </w:rPr>
        <w:t xml:space="preserve">Pokud není uvedeno </w:t>
      </w:r>
      <w:r>
        <w:rPr>
          <w:sz w:val="16"/>
          <w:szCs w:val="16"/>
        </w:rPr>
        <w:t>jinak, jde o údaje</w:t>
      </w:r>
      <w:r w:rsidRPr="00B4223A">
        <w:rPr>
          <w:sz w:val="16"/>
          <w:szCs w:val="16"/>
        </w:rPr>
        <w:t xml:space="preserve"> v pojetí národních účtů v očištění o sezónní vlivy.</w:t>
      </w:r>
    </w:p>
  </w:footnote>
  <w:footnote w:id="11">
    <w:p w:rsidR="0002434F" w:rsidRPr="00092C9A" w:rsidRDefault="0002434F" w:rsidP="000E1EEA">
      <w:pPr>
        <w:pStyle w:val="Textpoznpodarou"/>
        <w:rPr>
          <w:sz w:val="16"/>
          <w:szCs w:val="16"/>
        </w:rPr>
      </w:pPr>
      <w:r w:rsidRPr="00092C9A">
        <w:rPr>
          <w:rStyle w:val="Znakapoznpodarou"/>
          <w:sz w:val="16"/>
          <w:szCs w:val="16"/>
        </w:rPr>
        <w:footnoteRef/>
      </w:r>
      <w:r w:rsidRPr="00092C9A">
        <w:rPr>
          <w:sz w:val="16"/>
          <w:szCs w:val="16"/>
        </w:rPr>
        <w:t xml:space="preserve"> Sestávají se z dílčích odvětví: Veřejná správa a obrana, vzdělávání, zdravotní a sociální péče.</w:t>
      </w:r>
    </w:p>
  </w:footnote>
  <w:footnote w:id="12">
    <w:p w:rsidR="0002434F" w:rsidRPr="00EF6BE3" w:rsidRDefault="0002434F" w:rsidP="000E1EEA">
      <w:pPr>
        <w:pStyle w:val="Textpoznpodarou"/>
        <w:rPr>
          <w:sz w:val="16"/>
          <w:szCs w:val="16"/>
        </w:rPr>
      </w:pPr>
      <w:r w:rsidRPr="00092C9A">
        <w:rPr>
          <w:rStyle w:val="Znakapoznpodarou"/>
          <w:sz w:val="16"/>
          <w:szCs w:val="16"/>
        </w:rPr>
        <w:footnoteRef/>
      </w:r>
      <w:r w:rsidRPr="00092C9A">
        <w:rPr>
          <w:sz w:val="16"/>
          <w:szCs w:val="16"/>
        </w:rPr>
        <w:t xml:space="preserve"> Zahrnující odvětví dle CZ-NACE: B (Těžba a dobývání), C (Zpracovatelský průmysl), D (Energetika).</w:t>
      </w:r>
    </w:p>
  </w:footnote>
  <w:footnote w:id="13">
    <w:p w:rsidR="0002434F" w:rsidRPr="00826F9B" w:rsidRDefault="0002434F" w:rsidP="000E1EEA">
      <w:pPr>
        <w:pStyle w:val="Textpoznpodarou"/>
        <w:jc w:val="both"/>
        <w:rPr>
          <w:sz w:val="16"/>
          <w:szCs w:val="16"/>
        </w:rPr>
      </w:pPr>
      <w:r w:rsidRPr="00826F9B">
        <w:rPr>
          <w:rStyle w:val="Znakapoznpodarou"/>
          <w:sz w:val="16"/>
          <w:szCs w:val="16"/>
        </w:rPr>
        <w:footnoteRef/>
      </w:r>
      <w:r w:rsidRPr="00826F9B">
        <w:rPr>
          <w:sz w:val="16"/>
          <w:szCs w:val="16"/>
        </w:rPr>
        <w:t xml:space="preserve"> Podle údajů Sdružení automobilového průmyslu bylo v Česku během prvních třech měsíců </w:t>
      </w:r>
      <w:r>
        <w:rPr>
          <w:sz w:val="16"/>
          <w:szCs w:val="16"/>
        </w:rPr>
        <w:t xml:space="preserve">roku </w:t>
      </w:r>
      <w:r w:rsidRPr="00826F9B">
        <w:rPr>
          <w:sz w:val="16"/>
          <w:szCs w:val="16"/>
        </w:rPr>
        <w:t xml:space="preserve">vyrobeno téměř 350 tis. </w:t>
      </w:r>
      <w:r>
        <w:rPr>
          <w:sz w:val="16"/>
          <w:szCs w:val="16"/>
        </w:rPr>
        <w:t>o</w:t>
      </w:r>
      <w:r w:rsidRPr="00826F9B">
        <w:rPr>
          <w:sz w:val="16"/>
          <w:szCs w:val="16"/>
        </w:rPr>
        <w:t>sobních automobilů. Dařilo se i výrobcům ostatních druhů motorových vozidel.</w:t>
      </w:r>
    </w:p>
  </w:footnote>
  <w:footnote w:id="14">
    <w:p w:rsidR="0002434F" w:rsidRPr="0000444F" w:rsidRDefault="0002434F" w:rsidP="000E1EEA">
      <w:pPr>
        <w:pStyle w:val="Textpoznpodarou"/>
        <w:jc w:val="both"/>
        <w:rPr>
          <w:sz w:val="16"/>
          <w:szCs w:val="16"/>
        </w:rPr>
      </w:pPr>
      <w:r w:rsidRPr="0000444F">
        <w:rPr>
          <w:rStyle w:val="Znakapoznpodarou"/>
          <w:sz w:val="16"/>
          <w:szCs w:val="16"/>
        </w:rPr>
        <w:footnoteRef/>
      </w:r>
      <w:r w:rsidRPr="0000444F">
        <w:rPr>
          <w:sz w:val="16"/>
          <w:szCs w:val="16"/>
        </w:rPr>
        <w:t xml:space="preserve"> </w:t>
      </w:r>
      <w:r>
        <w:rPr>
          <w:sz w:val="16"/>
          <w:szCs w:val="16"/>
        </w:rPr>
        <w:t>O</w:t>
      </w:r>
      <w:r w:rsidRPr="0000444F">
        <w:rPr>
          <w:sz w:val="16"/>
          <w:szCs w:val="16"/>
        </w:rPr>
        <w:t>ptimističtější vyhlídky nabídly dosud nejaktuálnější dubnové údaje.</w:t>
      </w:r>
      <w:r>
        <w:rPr>
          <w:sz w:val="16"/>
          <w:szCs w:val="16"/>
        </w:rPr>
        <w:t xml:space="preserve"> Podle nich hodnota zahraničních zakázek zrychlila na 17 %. Za</w:t>
      </w:r>
      <w:r w:rsidRPr="00826F9B">
        <w:rPr>
          <w:sz w:val="16"/>
          <w:szCs w:val="16"/>
        </w:rPr>
        <w:t> </w:t>
      </w:r>
      <w:r>
        <w:rPr>
          <w:sz w:val="16"/>
          <w:szCs w:val="16"/>
        </w:rPr>
        <w:t>lepším výsledkem ale stála z rozhodující části opět výroba motorových vozidel.</w:t>
      </w:r>
    </w:p>
  </w:footnote>
  <w:footnote w:id="15">
    <w:p w:rsidR="0002434F" w:rsidRPr="00092C9A" w:rsidRDefault="0002434F" w:rsidP="000E1EEA">
      <w:pPr>
        <w:pStyle w:val="Textpoznpodarou"/>
        <w:rPr>
          <w:sz w:val="16"/>
          <w:szCs w:val="16"/>
        </w:rPr>
      </w:pPr>
      <w:r w:rsidRPr="00092C9A">
        <w:rPr>
          <w:rStyle w:val="Znakapoznpodarou"/>
          <w:sz w:val="16"/>
          <w:szCs w:val="16"/>
        </w:rPr>
        <w:footnoteRef/>
      </w:r>
      <w:r w:rsidRPr="00092C9A">
        <w:rPr>
          <w:sz w:val="16"/>
          <w:szCs w:val="16"/>
        </w:rPr>
        <w:t xml:space="preserve"> Nezahrnují </w:t>
      </w:r>
      <w:r>
        <w:rPr>
          <w:sz w:val="16"/>
          <w:szCs w:val="16"/>
        </w:rPr>
        <w:t>obchod</w:t>
      </w:r>
      <w:r w:rsidRPr="00092C9A">
        <w:rPr>
          <w:sz w:val="16"/>
          <w:szCs w:val="16"/>
        </w:rPr>
        <w:t>, pe</w:t>
      </w:r>
      <w:r>
        <w:rPr>
          <w:sz w:val="16"/>
          <w:szCs w:val="16"/>
        </w:rPr>
        <w:t>něžnictví a pojišťovnictví, vědu a výzkum a také veřejné služ</w:t>
      </w:r>
      <w:r w:rsidRPr="00092C9A">
        <w:rPr>
          <w:sz w:val="16"/>
          <w:szCs w:val="16"/>
        </w:rPr>
        <w:t>b</w:t>
      </w:r>
      <w:r>
        <w:rPr>
          <w:sz w:val="16"/>
          <w:szCs w:val="16"/>
        </w:rPr>
        <w:t>y</w:t>
      </w:r>
      <w:r w:rsidRPr="00092C9A">
        <w:rPr>
          <w:sz w:val="16"/>
          <w:szCs w:val="16"/>
        </w:rPr>
        <w:t>.</w:t>
      </w:r>
    </w:p>
  </w:footnote>
  <w:footnote w:id="16">
    <w:p w:rsidR="0002434F" w:rsidRPr="00EF2F5C" w:rsidRDefault="0002434F" w:rsidP="000E1EEA">
      <w:pPr>
        <w:pStyle w:val="Textpoznpodarou"/>
        <w:jc w:val="both"/>
        <w:rPr>
          <w:spacing w:val="-4"/>
        </w:rPr>
      </w:pPr>
      <w:r w:rsidRPr="00EF2F5C">
        <w:rPr>
          <w:rStyle w:val="Znakapoznpodarou"/>
          <w:sz w:val="16"/>
          <w:szCs w:val="16"/>
        </w:rPr>
        <w:footnoteRef/>
      </w:r>
      <w:r w:rsidRPr="00EF2F5C">
        <w:rPr>
          <w:sz w:val="16"/>
          <w:szCs w:val="16"/>
        </w:rPr>
        <w:t xml:space="preserve"> Zahrnuje maloobchod</w:t>
      </w:r>
      <w:r w:rsidRPr="00092C9A">
        <w:rPr>
          <w:sz w:val="16"/>
          <w:szCs w:val="16"/>
        </w:rPr>
        <w:t xml:space="preserve"> bez motoristického segment</w:t>
      </w:r>
      <w:r>
        <w:rPr>
          <w:sz w:val="16"/>
          <w:szCs w:val="16"/>
        </w:rPr>
        <w:t>u</w:t>
      </w:r>
      <w:r w:rsidRPr="00092C9A">
        <w:rPr>
          <w:sz w:val="16"/>
          <w:szCs w:val="16"/>
        </w:rPr>
        <w:t xml:space="preserve">, údaj </w:t>
      </w:r>
      <w:r>
        <w:rPr>
          <w:sz w:val="16"/>
          <w:szCs w:val="16"/>
        </w:rPr>
        <w:t xml:space="preserve">je </w:t>
      </w:r>
      <w:r w:rsidRPr="00092C9A">
        <w:rPr>
          <w:sz w:val="16"/>
          <w:szCs w:val="16"/>
        </w:rPr>
        <w:t xml:space="preserve">očištěný o </w:t>
      </w:r>
      <w:r>
        <w:rPr>
          <w:sz w:val="16"/>
          <w:szCs w:val="16"/>
        </w:rPr>
        <w:t>kalendářní vlivy.</w:t>
      </w:r>
    </w:p>
  </w:footnote>
  <w:footnote w:id="17">
    <w:p w:rsidR="00400244" w:rsidRPr="00D279F9" w:rsidRDefault="00400244" w:rsidP="00400244">
      <w:pPr>
        <w:pStyle w:val="Textpoznpodarou"/>
        <w:jc w:val="both"/>
        <w:rPr>
          <w:sz w:val="16"/>
          <w:szCs w:val="16"/>
        </w:rPr>
      </w:pPr>
      <w:r w:rsidRPr="00D279F9">
        <w:rPr>
          <w:rStyle w:val="Znakapoznpodarou"/>
          <w:sz w:val="16"/>
          <w:szCs w:val="16"/>
        </w:rPr>
        <w:footnoteRef/>
      </w:r>
      <w:r w:rsidRPr="00D279F9">
        <w:rPr>
          <w:sz w:val="16"/>
          <w:szCs w:val="16"/>
        </w:rPr>
        <w:t xml:space="preserve"> </w:t>
      </w:r>
      <w:r>
        <w:rPr>
          <w:sz w:val="16"/>
          <w:szCs w:val="16"/>
        </w:rPr>
        <w:t>Jde o ú</w:t>
      </w:r>
      <w:r w:rsidRPr="00D279F9">
        <w:rPr>
          <w:sz w:val="16"/>
          <w:szCs w:val="16"/>
        </w:rPr>
        <w:t>daje v národním pojetí</w:t>
      </w:r>
      <w:r>
        <w:rPr>
          <w:sz w:val="16"/>
          <w:szCs w:val="16"/>
        </w:rPr>
        <w:t>, které</w:t>
      </w:r>
      <w:r w:rsidRPr="00D279F9">
        <w:rPr>
          <w:sz w:val="16"/>
          <w:szCs w:val="16"/>
        </w:rPr>
        <w:t xml:space="preserve"> jsou v nominálním vyjádření a zahrnují pouze obchod se zbožím. Hodnota vývozu je zachycena v cenách FOB, tj. včetně nákladů souvisejících s dopravou pouze na hranice ČR. Dovoz je v cenách CIF, tj. včetně nákladů souvisejících s dopravou v zahraničí, a to až na hranice ČR.</w:t>
      </w:r>
    </w:p>
  </w:footnote>
  <w:footnote w:id="18">
    <w:p w:rsidR="0002434F" w:rsidRPr="003F62FC" w:rsidRDefault="0002434F" w:rsidP="00CE6E3C">
      <w:pPr>
        <w:pStyle w:val="Textpoznpodarou"/>
        <w:jc w:val="both"/>
      </w:pPr>
      <w:r w:rsidRPr="003F62FC">
        <w:rPr>
          <w:sz w:val="16"/>
          <w:szCs w:val="16"/>
          <w:vertAlign w:val="superscript"/>
        </w:rPr>
        <w:footnoteRef/>
      </w:r>
      <w:r w:rsidRPr="003F62FC">
        <w:rPr>
          <w:sz w:val="16"/>
          <w:szCs w:val="16"/>
        </w:rPr>
        <w:t xml:space="preserve"> Deficit obchodu s nespecifikovanými subjekty se zvětšil o 0,9 mld. korun na 5,7 mld.</w:t>
      </w:r>
    </w:p>
  </w:footnote>
  <w:footnote w:id="19">
    <w:p w:rsidR="0002434F" w:rsidRPr="00481C00" w:rsidRDefault="0002434F" w:rsidP="00C11DAF">
      <w:pPr>
        <w:pStyle w:val="Textpoznpodarou"/>
        <w:jc w:val="both"/>
        <w:rPr>
          <w:sz w:val="16"/>
          <w:szCs w:val="16"/>
        </w:rPr>
      </w:pPr>
      <w:r w:rsidRPr="00804D97">
        <w:rPr>
          <w:rStyle w:val="Znakapoznpodarou"/>
          <w:sz w:val="16"/>
          <w:szCs w:val="16"/>
        </w:rPr>
        <w:footnoteRef/>
      </w:r>
      <w:r w:rsidRPr="00804D97">
        <w:rPr>
          <w:sz w:val="16"/>
          <w:szCs w:val="16"/>
        </w:rPr>
        <w:t xml:space="preserve"> Bez očištění o sezónní a kalendářní vlivy.</w:t>
      </w:r>
    </w:p>
  </w:footnote>
  <w:footnote w:id="20">
    <w:p w:rsidR="0002434F" w:rsidRPr="00B4223A" w:rsidRDefault="0002434F" w:rsidP="007A4048">
      <w:pPr>
        <w:pStyle w:val="Textpoznpodarou"/>
        <w:rPr>
          <w:sz w:val="16"/>
          <w:szCs w:val="16"/>
        </w:rPr>
      </w:pPr>
      <w:r w:rsidRPr="00B4223A">
        <w:rPr>
          <w:rStyle w:val="Znakapoznpodarou"/>
          <w:sz w:val="16"/>
          <w:szCs w:val="16"/>
        </w:rPr>
        <w:footnoteRef/>
      </w:r>
      <w:r w:rsidRPr="00B4223A">
        <w:rPr>
          <w:sz w:val="16"/>
          <w:szCs w:val="16"/>
        </w:rPr>
        <w:t xml:space="preserve"> Pokud není uvedeno jinak, jsou data v této kapitole v pojetí národních účtů v očištění o sezónní vlivy.</w:t>
      </w:r>
    </w:p>
  </w:footnote>
  <w:footnote w:id="21">
    <w:p w:rsidR="0002434F" w:rsidRPr="0094711B" w:rsidRDefault="0002434F" w:rsidP="007A4048">
      <w:pPr>
        <w:pStyle w:val="Textpoznpodarou"/>
        <w:jc w:val="both"/>
        <w:rPr>
          <w:sz w:val="16"/>
          <w:szCs w:val="16"/>
        </w:rPr>
      </w:pPr>
      <w:r w:rsidRPr="0094711B">
        <w:rPr>
          <w:rStyle w:val="Znakapoznpodarou"/>
          <w:sz w:val="16"/>
          <w:szCs w:val="16"/>
        </w:rPr>
        <w:footnoteRef/>
      </w:r>
      <w:r w:rsidRPr="0094711B">
        <w:rPr>
          <w:sz w:val="16"/>
          <w:szCs w:val="16"/>
        </w:rPr>
        <w:t xml:space="preserve"> </w:t>
      </w:r>
      <w:r w:rsidRPr="0094711B">
        <w:rPr>
          <w:spacing w:val="-2"/>
          <w:sz w:val="16"/>
          <w:szCs w:val="16"/>
        </w:rPr>
        <w:t>V celé ČR by v rámci kvalifikační skupiny „obsluha strojů a zařízení, montéři“ v okrese svého bydliště (resp. evidence na ÚP) na konci března 2016 okamžitě našlo práci 21</w:t>
      </w:r>
      <w:r>
        <w:rPr>
          <w:spacing w:val="-2"/>
          <w:sz w:val="16"/>
          <w:szCs w:val="16"/>
        </w:rPr>
        <w:t xml:space="preserve"> tis. </w:t>
      </w:r>
      <w:r w:rsidRPr="0094711B">
        <w:rPr>
          <w:spacing w:val="-2"/>
          <w:sz w:val="16"/>
          <w:szCs w:val="16"/>
        </w:rPr>
        <w:t>o</w:t>
      </w:r>
      <w:r>
        <w:rPr>
          <w:spacing w:val="-2"/>
          <w:sz w:val="16"/>
          <w:szCs w:val="16"/>
        </w:rPr>
        <w:t>sob, dalších 2,7 tis. osob by získalo</w:t>
      </w:r>
      <w:r w:rsidRPr="0094711B">
        <w:rPr>
          <w:spacing w:val="-2"/>
          <w:sz w:val="16"/>
          <w:szCs w:val="16"/>
        </w:rPr>
        <w:t xml:space="preserve"> místo v </w:t>
      </w:r>
      <w:r>
        <w:rPr>
          <w:spacing w:val="-2"/>
          <w:sz w:val="16"/>
          <w:szCs w:val="16"/>
        </w:rPr>
        <w:t>rámci této kvalifikační skupiny při ochotě</w:t>
      </w:r>
      <w:r w:rsidRPr="0094711B">
        <w:rPr>
          <w:spacing w:val="-2"/>
          <w:sz w:val="16"/>
          <w:szCs w:val="16"/>
        </w:rPr>
        <w:t xml:space="preserve"> dojíždět (ev.</w:t>
      </w:r>
      <w:r>
        <w:rPr>
          <w:spacing w:val="-2"/>
          <w:sz w:val="16"/>
          <w:szCs w:val="16"/>
        </w:rPr>
        <w:t> </w:t>
      </w:r>
      <w:r w:rsidRPr="0094711B">
        <w:rPr>
          <w:spacing w:val="-2"/>
          <w:sz w:val="16"/>
          <w:szCs w:val="16"/>
        </w:rPr>
        <w:t>se přestěhovat) do jiného okresu v rámci kraje a na téměř stovku nezaměstnaných by ještě zbylo obdobné místo v jiném kraji.</w:t>
      </w:r>
    </w:p>
  </w:footnote>
  <w:footnote w:id="22">
    <w:p w:rsidR="0002434F" w:rsidRPr="00C05F70" w:rsidRDefault="0002434F" w:rsidP="007A4048">
      <w:pPr>
        <w:pStyle w:val="Textpoznpodarou"/>
        <w:jc w:val="both"/>
        <w:rPr>
          <w:rFonts w:cs="Arial"/>
          <w:sz w:val="16"/>
          <w:szCs w:val="16"/>
        </w:rPr>
      </w:pPr>
      <w:r w:rsidRPr="00C05F70">
        <w:rPr>
          <w:rStyle w:val="Znakapoznpodarou"/>
          <w:rFonts w:cs="Arial"/>
          <w:sz w:val="16"/>
          <w:szCs w:val="16"/>
        </w:rPr>
        <w:footnoteRef/>
      </w:r>
      <w:r w:rsidRPr="00C05F70">
        <w:rPr>
          <w:rFonts w:cs="Arial"/>
          <w:sz w:val="16"/>
          <w:szCs w:val="16"/>
        </w:rPr>
        <w:t xml:space="preserve"> Vysoké meziroční tempo růstu úvěrů domácnostem je zčásti důsledkem fúze pobočky zahraniční banky s nebankovním subjektem. Tato fúze jednorázově zvýšila objem úvěrů poskytnutých domácnostem</w:t>
      </w:r>
      <w:r>
        <w:rPr>
          <w:rFonts w:cs="Arial"/>
          <w:sz w:val="16"/>
          <w:szCs w:val="16"/>
        </w:rPr>
        <w:t xml:space="preserve"> v bankovní (a rovněž měnové) statistice</w:t>
      </w:r>
      <w:r w:rsidRPr="00C05F70">
        <w:rPr>
          <w:rFonts w:cs="Arial"/>
          <w:sz w:val="16"/>
          <w:szCs w:val="16"/>
        </w:rPr>
        <w:t xml:space="preserve"> k 30. 6. 2015.</w:t>
      </w:r>
    </w:p>
  </w:footnote>
  <w:footnote w:id="23">
    <w:p w:rsidR="0002434F" w:rsidRDefault="0002434F" w:rsidP="00380E6C">
      <w:pPr>
        <w:pStyle w:val="Textpoznpodarou"/>
        <w:jc w:val="both"/>
      </w:pPr>
      <w:r w:rsidRPr="00470DE4">
        <w:rPr>
          <w:rStyle w:val="Znakapoznpodarou"/>
          <w:sz w:val="16"/>
          <w:szCs w:val="16"/>
        </w:rPr>
        <w:footnoteRef/>
      </w:r>
      <w:r>
        <w:t xml:space="preserve"> </w:t>
      </w:r>
      <w:r w:rsidRPr="00470DE4">
        <w:rPr>
          <w:sz w:val="16"/>
          <w:szCs w:val="16"/>
        </w:rPr>
        <w:t>Za prvních pět měsíců získal SR na DPH již o 4,7 %</w:t>
      </w:r>
      <w:r>
        <w:rPr>
          <w:sz w:val="16"/>
          <w:szCs w:val="16"/>
        </w:rPr>
        <w:t xml:space="preserve"> více</w:t>
      </w:r>
      <w:r w:rsidRPr="00470DE4">
        <w:rPr>
          <w:sz w:val="16"/>
          <w:szCs w:val="16"/>
        </w:rPr>
        <w:t xml:space="preserve"> a přiblížil se tak rozpočtem očekávané celoroční dynamice. Zrychlování růstových temp se však týkalo všech hlavních druhů daňových příjmů, nejvíce patrné bylo u daně z příjmu fyzických </w:t>
      </w:r>
      <w:r>
        <w:rPr>
          <w:sz w:val="16"/>
          <w:szCs w:val="16"/>
        </w:rPr>
        <w:t>osob ze závislé činnosti (za 1. čtvrtletí +6,7 %, z</w:t>
      </w:r>
      <w:r w:rsidRPr="00470DE4">
        <w:rPr>
          <w:sz w:val="16"/>
          <w:szCs w:val="16"/>
        </w:rPr>
        <w:t>a pět měsíců +9,9 %), nejméně pak u spotřební daně z minerálních olejů (z 4,0 na 4,3 %).</w:t>
      </w:r>
    </w:p>
  </w:footnote>
  <w:footnote w:id="24">
    <w:p w:rsidR="0002434F" w:rsidRPr="0073136D" w:rsidRDefault="0002434F" w:rsidP="007A4048">
      <w:pPr>
        <w:pStyle w:val="Textpoznpodarou"/>
        <w:rPr>
          <w:sz w:val="16"/>
          <w:szCs w:val="16"/>
        </w:rPr>
      </w:pPr>
      <w:r w:rsidRPr="0073136D">
        <w:rPr>
          <w:rStyle w:val="Znakapoznpodarou"/>
          <w:sz w:val="16"/>
          <w:szCs w:val="16"/>
        </w:rPr>
        <w:footnoteRef/>
      </w:r>
      <w:r w:rsidRPr="0073136D">
        <w:rPr>
          <w:sz w:val="16"/>
          <w:szCs w:val="16"/>
        </w:rPr>
        <w:t xml:space="preserve"> Za prvních pět měsíc</w:t>
      </w:r>
      <w:r>
        <w:rPr>
          <w:sz w:val="16"/>
          <w:szCs w:val="16"/>
        </w:rPr>
        <w:t>ů</w:t>
      </w:r>
      <w:r w:rsidRPr="0073136D">
        <w:rPr>
          <w:sz w:val="16"/>
          <w:szCs w:val="16"/>
        </w:rPr>
        <w:t xml:space="preserve"> roku 2016 činily kapitálové výdaje SR 32,8 mld. korun, meziročně o 15 % méně. K novému programovacímu období se vázalo pouze 4,2 mld. korun.</w:t>
      </w:r>
    </w:p>
  </w:footnote>
  <w:footnote w:id="25">
    <w:p w:rsidR="0002434F" w:rsidRPr="00E90A4B" w:rsidRDefault="0002434F" w:rsidP="007A4048">
      <w:pPr>
        <w:pStyle w:val="Textpoznpodarou"/>
        <w:rPr>
          <w:sz w:val="16"/>
          <w:szCs w:val="16"/>
        </w:rPr>
      </w:pPr>
      <w:r w:rsidRPr="00E90A4B">
        <w:rPr>
          <w:rStyle w:val="Znakapoznpodarou"/>
          <w:sz w:val="16"/>
          <w:szCs w:val="16"/>
        </w:rPr>
        <w:footnoteRef/>
      </w:r>
      <w:r w:rsidRPr="00E90A4B">
        <w:rPr>
          <w:sz w:val="16"/>
          <w:szCs w:val="16"/>
        </w:rPr>
        <w:t xml:space="preserve"> </w:t>
      </w:r>
      <w:r>
        <w:rPr>
          <w:sz w:val="16"/>
          <w:szCs w:val="16"/>
        </w:rPr>
        <w:t>Předběžné ú</w:t>
      </w:r>
      <w:r w:rsidRPr="00E90A4B">
        <w:rPr>
          <w:sz w:val="16"/>
          <w:szCs w:val="16"/>
        </w:rPr>
        <w:t>daj</w:t>
      </w:r>
      <w:r>
        <w:rPr>
          <w:sz w:val="16"/>
          <w:szCs w:val="16"/>
        </w:rPr>
        <w:t>e</w:t>
      </w:r>
      <w:r w:rsidRPr="00E90A4B">
        <w:rPr>
          <w:sz w:val="16"/>
          <w:szCs w:val="16"/>
        </w:rPr>
        <w:t xml:space="preserve"> o dluhu a deficitu</w:t>
      </w:r>
      <w:r>
        <w:rPr>
          <w:sz w:val="16"/>
          <w:szCs w:val="16"/>
        </w:rPr>
        <w:t xml:space="preserve"> sektoru vládních institucí za 1. čtvrtletí 2016 zveřejní ČSÚ 4. července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4F" w:rsidRPr="00173642" w:rsidRDefault="0002434F" w:rsidP="0017364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2014/</w:t>
    </w:r>
    <w:r w:rsidRPr="00D43998">
      <w:rPr>
        <w:rFonts w:ascii="Arial" w:hAnsi="Arial" w:cs="Arial"/>
        <w:sz w:val="16"/>
        <w:szCs w:val="16"/>
      </w:rPr>
      <w:t xml:space="preserve"> </w:t>
    </w:r>
    <w:r>
      <w:rPr>
        <w:rFonts w:ascii="Arial" w:hAnsi="Arial" w:cs="Arial"/>
        <w:sz w:val="16"/>
        <w:szCs w:val="16"/>
      </w:rPr>
      <w:t>Souhrnná výkonnost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4F" w:rsidRPr="00DC5B3B" w:rsidRDefault="0002434F"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čtvrtletí 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4F" w:rsidRPr="00D766EF" w:rsidRDefault="0002434F"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1. čtvrtletí 2016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4F" w:rsidRPr="00D766EF" w:rsidRDefault="0002434F"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1. čtvrtletí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1024"/>
  <w:doNotTrackMoves/>
  <w:defaultTabStop w:val="708"/>
  <w:hyphenationZone w:val="425"/>
  <w:evenAndOddHeaders/>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0BD"/>
    <w:rsid w:val="00000FA7"/>
    <w:rsid w:val="00001EFF"/>
    <w:rsid w:val="00003687"/>
    <w:rsid w:val="00003C43"/>
    <w:rsid w:val="00007498"/>
    <w:rsid w:val="0000767A"/>
    <w:rsid w:val="000101F5"/>
    <w:rsid w:val="000104B9"/>
    <w:rsid w:val="00010702"/>
    <w:rsid w:val="00011191"/>
    <w:rsid w:val="0001159B"/>
    <w:rsid w:val="00012986"/>
    <w:rsid w:val="00014028"/>
    <w:rsid w:val="00015195"/>
    <w:rsid w:val="0001519F"/>
    <w:rsid w:val="0001572B"/>
    <w:rsid w:val="0001573E"/>
    <w:rsid w:val="000157DA"/>
    <w:rsid w:val="000162DB"/>
    <w:rsid w:val="00017F05"/>
    <w:rsid w:val="000202C6"/>
    <w:rsid w:val="00020946"/>
    <w:rsid w:val="00022081"/>
    <w:rsid w:val="0002292C"/>
    <w:rsid w:val="00022B41"/>
    <w:rsid w:val="0002434F"/>
    <w:rsid w:val="00024887"/>
    <w:rsid w:val="00024CBA"/>
    <w:rsid w:val="00025501"/>
    <w:rsid w:val="00026998"/>
    <w:rsid w:val="000304C4"/>
    <w:rsid w:val="0003066A"/>
    <w:rsid w:val="00030F14"/>
    <w:rsid w:val="000311C5"/>
    <w:rsid w:val="00032838"/>
    <w:rsid w:val="00032C12"/>
    <w:rsid w:val="00032E0C"/>
    <w:rsid w:val="00035CCF"/>
    <w:rsid w:val="00035FC6"/>
    <w:rsid w:val="00037667"/>
    <w:rsid w:val="0004075D"/>
    <w:rsid w:val="000411E1"/>
    <w:rsid w:val="00043E05"/>
    <w:rsid w:val="0004694F"/>
    <w:rsid w:val="000500DC"/>
    <w:rsid w:val="00052052"/>
    <w:rsid w:val="00052172"/>
    <w:rsid w:val="00053CBA"/>
    <w:rsid w:val="00054E43"/>
    <w:rsid w:val="00055059"/>
    <w:rsid w:val="000553E4"/>
    <w:rsid w:val="000567FA"/>
    <w:rsid w:val="00056B26"/>
    <w:rsid w:val="00057C16"/>
    <w:rsid w:val="00060F26"/>
    <w:rsid w:val="00062D43"/>
    <w:rsid w:val="00062EC5"/>
    <w:rsid w:val="00064256"/>
    <w:rsid w:val="000706A4"/>
    <w:rsid w:val="00070A0C"/>
    <w:rsid w:val="00071F80"/>
    <w:rsid w:val="00072118"/>
    <w:rsid w:val="00073173"/>
    <w:rsid w:val="000779AC"/>
    <w:rsid w:val="00083803"/>
    <w:rsid w:val="00084393"/>
    <w:rsid w:val="0008716A"/>
    <w:rsid w:val="00087634"/>
    <w:rsid w:val="00091237"/>
    <w:rsid w:val="0009191B"/>
    <w:rsid w:val="000920EC"/>
    <w:rsid w:val="00092208"/>
    <w:rsid w:val="00092505"/>
    <w:rsid w:val="00092C9A"/>
    <w:rsid w:val="00097D02"/>
    <w:rsid w:val="000A1183"/>
    <w:rsid w:val="000A2121"/>
    <w:rsid w:val="000A2484"/>
    <w:rsid w:val="000A36CE"/>
    <w:rsid w:val="000A59BF"/>
    <w:rsid w:val="000A66C2"/>
    <w:rsid w:val="000B1CFE"/>
    <w:rsid w:val="000B210A"/>
    <w:rsid w:val="000B249B"/>
    <w:rsid w:val="000B3B01"/>
    <w:rsid w:val="000B3DB9"/>
    <w:rsid w:val="000B3F02"/>
    <w:rsid w:val="000B48A2"/>
    <w:rsid w:val="000B48E7"/>
    <w:rsid w:val="000B4F41"/>
    <w:rsid w:val="000B7663"/>
    <w:rsid w:val="000C11D3"/>
    <w:rsid w:val="000C12F5"/>
    <w:rsid w:val="000C3408"/>
    <w:rsid w:val="000C5C0F"/>
    <w:rsid w:val="000C5D56"/>
    <w:rsid w:val="000C6498"/>
    <w:rsid w:val="000D0D51"/>
    <w:rsid w:val="000D14B3"/>
    <w:rsid w:val="000D208B"/>
    <w:rsid w:val="000D2B8D"/>
    <w:rsid w:val="000D2E41"/>
    <w:rsid w:val="000D342A"/>
    <w:rsid w:val="000D5E7A"/>
    <w:rsid w:val="000D5FAA"/>
    <w:rsid w:val="000D65A4"/>
    <w:rsid w:val="000D6AEF"/>
    <w:rsid w:val="000E025B"/>
    <w:rsid w:val="000E0ECB"/>
    <w:rsid w:val="000E153A"/>
    <w:rsid w:val="000E19A8"/>
    <w:rsid w:val="000E1EEA"/>
    <w:rsid w:val="000E4A42"/>
    <w:rsid w:val="000E6476"/>
    <w:rsid w:val="000E78D2"/>
    <w:rsid w:val="000F3332"/>
    <w:rsid w:val="000F33EE"/>
    <w:rsid w:val="000F401E"/>
    <w:rsid w:val="000F5445"/>
    <w:rsid w:val="000F5673"/>
    <w:rsid w:val="000F67B2"/>
    <w:rsid w:val="000F790F"/>
    <w:rsid w:val="000F7E1B"/>
    <w:rsid w:val="00100014"/>
    <w:rsid w:val="0010039A"/>
    <w:rsid w:val="00101E94"/>
    <w:rsid w:val="00101FB2"/>
    <w:rsid w:val="00102CB8"/>
    <w:rsid w:val="00102F02"/>
    <w:rsid w:val="0010385D"/>
    <w:rsid w:val="00103E41"/>
    <w:rsid w:val="001041B6"/>
    <w:rsid w:val="001070EA"/>
    <w:rsid w:val="0011002A"/>
    <w:rsid w:val="001107CE"/>
    <w:rsid w:val="0011110A"/>
    <w:rsid w:val="001118AF"/>
    <w:rsid w:val="00111CA5"/>
    <w:rsid w:val="0011256E"/>
    <w:rsid w:val="0011352E"/>
    <w:rsid w:val="00114FC0"/>
    <w:rsid w:val="00115496"/>
    <w:rsid w:val="00116DB9"/>
    <w:rsid w:val="00116F28"/>
    <w:rsid w:val="00121C39"/>
    <w:rsid w:val="00123255"/>
    <w:rsid w:val="00124D2D"/>
    <w:rsid w:val="00124DA1"/>
    <w:rsid w:val="00125326"/>
    <w:rsid w:val="00125CB5"/>
    <w:rsid w:val="00127535"/>
    <w:rsid w:val="001307BE"/>
    <w:rsid w:val="00130C8F"/>
    <w:rsid w:val="001314F2"/>
    <w:rsid w:val="001317DA"/>
    <w:rsid w:val="001323BA"/>
    <w:rsid w:val="0013254D"/>
    <w:rsid w:val="00133AAC"/>
    <w:rsid w:val="00133FBD"/>
    <w:rsid w:val="00136561"/>
    <w:rsid w:val="001400E1"/>
    <w:rsid w:val="001405FA"/>
    <w:rsid w:val="001413B3"/>
    <w:rsid w:val="001425C3"/>
    <w:rsid w:val="00142F16"/>
    <w:rsid w:val="00143E03"/>
    <w:rsid w:val="00143E93"/>
    <w:rsid w:val="0014428D"/>
    <w:rsid w:val="001500FC"/>
    <w:rsid w:val="00151AC0"/>
    <w:rsid w:val="00151B27"/>
    <w:rsid w:val="00152046"/>
    <w:rsid w:val="00154147"/>
    <w:rsid w:val="00155746"/>
    <w:rsid w:val="00156318"/>
    <w:rsid w:val="0015639A"/>
    <w:rsid w:val="0016081D"/>
    <w:rsid w:val="00160CF3"/>
    <w:rsid w:val="00160E61"/>
    <w:rsid w:val="001620FA"/>
    <w:rsid w:val="00162853"/>
    <w:rsid w:val="00163793"/>
    <w:rsid w:val="00167FB2"/>
    <w:rsid w:val="001707DE"/>
    <w:rsid w:val="00170B04"/>
    <w:rsid w:val="00170F47"/>
    <w:rsid w:val="001714F2"/>
    <w:rsid w:val="00173642"/>
    <w:rsid w:val="00173AF4"/>
    <w:rsid w:val="00173CB0"/>
    <w:rsid w:val="00174CE8"/>
    <w:rsid w:val="00175351"/>
    <w:rsid w:val="00175F60"/>
    <w:rsid w:val="00176050"/>
    <w:rsid w:val="001764D8"/>
    <w:rsid w:val="00176A8F"/>
    <w:rsid w:val="00180D58"/>
    <w:rsid w:val="00182981"/>
    <w:rsid w:val="00184CF9"/>
    <w:rsid w:val="00185010"/>
    <w:rsid w:val="001852EC"/>
    <w:rsid w:val="00186447"/>
    <w:rsid w:val="001874CF"/>
    <w:rsid w:val="00190214"/>
    <w:rsid w:val="00190D9B"/>
    <w:rsid w:val="00191BAE"/>
    <w:rsid w:val="00193432"/>
    <w:rsid w:val="0019346C"/>
    <w:rsid w:val="00195444"/>
    <w:rsid w:val="001A199D"/>
    <w:rsid w:val="001A2BDB"/>
    <w:rsid w:val="001A30F4"/>
    <w:rsid w:val="001A4C0D"/>
    <w:rsid w:val="001A552F"/>
    <w:rsid w:val="001A56F3"/>
    <w:rsid w:val="001A737B"/>
    <w:rsid w:val="001A750C"/>
    <w:rsid w:val="001B1D89"/>
    <w:rsid w:val="001B3110"/>
    <w:rsid w:val="001B4198"/>
    <w:rsid w:val="001B44BC"/>
    <w:rsid w:val="001B5888"/>
    <w:rsid w:val="001B618F"/>
    <w:rsid w:val="001B6545"/>
    <w:rsid w:val="001B681B"/>
    <w:rsid w:val="001B6A49"/>
    <w:rsid w:val="001B7231"/>
    <w:rsid w:val="001B74FB"/>
    <w:rsid w:val="001B77A1"/>
    <w:rsid w:val="001C0422"/>
    <w:rsid w:val="001C0E0E"/>
    <w:rsid w:val="001C0EB9"/>
    <w:rsid w:val="001C1219"/>
    <w:rsid w:val="001C357A"/>
    <w:rsid w:val="001C3A37"/>
    <w:rsid w:val="001C4384"/>
    <w:rsid w:val="001C65FF"/>
    <w:rsid w:val="001D47E5"/>
    <w:rsid w:val="001D584C"/>
    <w:rsid w:val="001D5E1B"/>
    <w:rsid w:val="001D66C1"/>
    <w:rsid w:val="001D7C6F"/>
    <w:rsid w:val="001E0024"/>
    <w:rsid w:val="001E0C65"/>
    <w:rsid w:val="001E23E3"/>
    <w:rsid w:val="001E387A"/>
    <w:rsid w:val="001E3DA4"/>
    <w:rsid w:val="001E5830"/>
    <w:rsid w:val="001E684C"/>
    <w:rsid w:val="001E701C"/>
    <w:rsid w:val="001E7C03"/>
    <w:rsid w:val="001F02AF"/>
    <w:rsid w:val="001F0649"/>
    <w:rsid w:val="001F28F4"/>
    <w:rsid w:val="001F2CC6"/>
    <w:rsid w:val="001F3055"/>
    <w:rsid w:val="001F31BC"/>
    <w:rsid w:val="001F378E"/>
    <w:rsid w:val="001F3C79"/>
    <w:rsid w:val="001F3E68"/>
    <w:rsid w:val="001F4597"/>
    <w:rsid w:val="001F56A9"/>
    <w:rsid w:val="001F5C6A"/>
    <w:rsid w:val="001F670A"/>
    <w:rsid w:val="00200D15"/>
    <w:rsid w:val="0020223B"/>
    <w:rsid w:val="00203074"/>
    <w:rsid w:val="00203B46"/>
    <w:rsid w:val="002048E1"/>
    <w:rsid w:val="00207DB6"/>
    <w:rsid w:val="00210278"/>
    <w:rsid w:val="00210CC2"/>
    <w:rsid w:val="00210F5B"/>
    <w:rsid w:val="00210FFA"/>
    <w:rsid w:val="00211262"/>
    <w:rsid w:val="002115F5"/>
    <w:rsid w:val="00211AC9"/>
    <w:rsid w:val="0021355B"/>
    <w:rsid w:val="002179F9"/>
    <w:rsid w:val="002205F2"/>
    <w:rsid w:val="0022080E"/>
    <w:rsid w:val="0022139E"/>
    <w:rsid w:val="0022272B"/>
    <w:rsid w:val="00222A99"/>
    <w:rsid w:val="00223678"/>
    <w:rsid w:val="002236F7"/>
    <w:rsid w:val="00223E00"/>
    <w:rsid w:val="002252E0"/>
    <w:rsid w:val="002255F6"/>
    <w:rsid w:val="00226466"/>
    <w:rsid w:val="002266D0"/>
    <w:rsid w:val="00226887"/>
    <w:rsid w:val="00230DAD"/>
    <w:rsid w:val="0023229C"/>
    <w:rsid w:val="0023355C"/>
    <w:rsid w:val="00234280"/>
    <w:rsid w:val="00235000"/>
    <w:rsid w:val="002350E3"/>
    <w:rsid w:val="00235330"/>
    <w:rsid w:val="00236443"/>
    <w:rsid w:val="00240773"/>
    <w:rsid w:val="00240815"/>
    <w:rsid w:val="00240A5B"/>
    <w:rsid w:val="00240C76"/>
    <w:rsid w:val="002411EF"/>
    <w:rsid w:val="00242730"/>
    <w:rsid w:val="002436BA"/>
    <w:rsid w:val="002444ED"/>
    <w:rsid w:val="00244A15"/>
    <w:rsid w:val="00244D40"/>
    <w:rsid w:val="00246AE9"/>
    <w:rsid w:val="0024799E"/>
    <w:rsid w:val="00250C59"/>
    <w:rsid w:val="00250E0D"/>
    <w:rsid w:val="00251D59"/>
    <w:rsid w:val="00252602"/>
    <w:rsid w:val="00252FDC"/>
    <w:rsid w:val="00257613"/>
    <w:rsid w:val="00261E5B"/>
    <w:rsid w:val="00262F34"/>
    <w:rsid w:val="00263470"/>
    <w:rsid w:val="00263733"/>
    <w:rsid w:val="00264676"/>
    <w:rsid w:val="00265536"/>
    <w:rsid w:val="00265E54"/>
    <w:rsid w:val="00266F3E"/>
    <w:rsid w:val="00270785"/>
    <w:rsid w:val="00272464"/>
    <w:rsid w:val="00273DCD"/>
    <w:rsid w:val="00274291"/>
    <w:rsid w:val="00276CFE"/>
    <w:rsid w:val="00277071"/>
    <w:rsid w:val="0027786C"/>
    <w:rsid w:val="00277BF7"/>
    <w:rsid w:val="00281416"/>
    <w:rsid w:val="00285CD3"/>
    <w:rsid w:val="0028686A"/>
    <w:rsid w:val="00286E66"/>
    <w:rsid w:val="002870B7"/>
    <w:rsid w:val="002919B5"/>
    <w:rsid w:val="00293441"/>
    <w:rsid w:val="00294238"/>
    <w:rsid w:val="0029493E"/>
    <w:rsid w:val="002962E0"/>
    <w:rsid w:val="00296C2E"/>
    <w:rsid w:val="002A1B05"/>
    <w:rsid w:val="002A267F"/>
    <w:rsid w:val="002A3354"/>
    <w:rsid w:val="002A35EA"/>
    <w:rsid w:val="002A37B6"/>
    <w:rsid w:val="002A3BD5"/>
    <w:rsid w:val="002A43A2"/>
    <w:rsid w:val="002A44ED"/>
    <w:rsid w:val="002A4612"/>
    <w:rsid w:val="002A4F70"/>
    <w:rsid w:val="002A5263"/>
    <w:rsid w:val="002A6821"/>
    <w:rsid w:val="002A74D2"/>
    <w:rsid w:val="002A7CDA"/>
    <w:rsid w:val="002A7F47"/>
    <w:rsid w:val="002B1544"/>
    <w:rsid w:val="002B36C8"/>
    <w:rsid w:val="002B71B4"/>
    <w:rsid w:val="002B7240"/>
    <w:rsid w:val="002C0FF4"/>
    <w:rsid w:val="002C125A"/>
    <w:rsid w:val="002C2668"/>
    <w:rsid w:val="002C43BD"/>
    <w:rsid w:val="002C493D"/>
    <w:rsid w:val="002C5261"/>
    <w:rsid w:val="002C6091"/>
    <w:rsid w:val="002D0562"/>
    <w:rsid w:val="002D1B5A"/>
    <w:rsid w:val="002D2500"/>
    <w:rsid w:val="002D338A"/>
    <w:rsid w:val="002D3F00"/>
    <w:rsid w:val="002D4D59"/>
    <w:rsid w:val="002D54BF"/>
    <w:rsid w:val="002D5E94"/>
    <w:rsid w:val="002D632D"/>
    <w:rsid w:val="002E02A1"/>
    <w:rsid w:val="002E0982"/>
    <w:rsid w:val="002E0DB9"/>
    <w:rsid w:val="002E2CE4"/>
    <w:rsid w:val="002E34F3"/>
    <w:rsid w:val="002E435E"/>
    <w:rsid w:val="002E73F2"/>
    <w:rsid w:val="002F33FB"/>
    <w:rsid w:val="002F663A"/>
    <w:rsid w:val="002F68A4"/>
    <w:rsid w:val="002F7594"/>
    <w:rsid w:val="00300D6F"/>
    <w:rsid w:val="00301357"/>
    <w:rsid w:val="00301D04"/>
    <w:rsid w:val="003035D4"/>
    <w:rsid w:val="00303DCB"/>
    <w:rsid w:val="00304771"/>
    <w:rsid w:val="00305736"/>
    <w:rsid w:val="00306C5B"/>
    <w:rsid w:val="00306E3B"/>
    <w:rsid w:val="003119B6"/>
    <w:rsid w:val="00312C3D"/>
    <w:rsid w:val="00314331"/>
    <w:rsid w:val="00317E31"/>
    <w:rsid w:val="00320214"/>
    <w:rsid w:val="003209D6"/>
    <w:rsid w:val="0032109A"/>
    <w:rsid w:val="0032214F"/>
    <w:rsid w:val="00322164"/>
    <w:rsid w:val="00323CF7"/>
    <w:rsid w:val="00323E61"/>
    <w:rsid w:val="0032513D"/>
    <w:rsid w:val="00326251"/>
    <w:rsid w:val="0032739C"/>
    <w:rsid w:val="00327DEE"/>
    <w:rsid w:val="003302DA"/>
    <w:rsid w:val="00330EB0"/>
    <w:rsid w:val="003329F3"/>
    <w:rsid w:val="0033352E"/>
    <w:rsid w:val="00333690"/>
    <w:rsid w:val="00333D20"/>
    <w:rsid w:val="00333F53"/>
    <w:rsid w:val="003340EF"/>
    <w:rsid w:val="00334A49"/>
    <w:rsid w:val="0033536F"/>
    <w:rsid w:val="00335BB0"/>
    <w:rsid w:val="0033627B"/>
    <w:rsid w:val="003406BD"/>
    <w:rsid w:val="00343474"/>
    <w:rsid w:val="00343F84"/>
    <w:rsid w:val="00344135"/>
    <w:rsid w:val="003450E2"/>
    <w:rsid w:val="00351B63"/>
    <w:rsid w:val="00352E57"/>
    <w:rsid w:val="003541B0"/>
    <w:rsid w:val="0035457E"/>
    <w:rsid w:val="00355885"/>
    <w:rsid w:val="0035605E"/>
    <w:rsid w:val="00357449"/>
    <w:rsid w:val="0036238B"/>
    <w:rsid w:val="003651A4"/>
    <w:rsid w:val="00365680"/>
    <w:rsid w:val="003657F3"/>
    <w:rsid w:val="00366D4D"/>
    <w:rsid w:val="00367038"/>
    <w:rsid w:val="00370963"/>
    <w:rsid w:val="0037144E"/>
    <w:rsid w:val="003736B5"/>
    <w:rsid w:val="00374F1E"/>
    <w:rsid w:val="00376DEC"/>
    <w:rsid w:val="00377200"/>
    <w:rsid w:val="0038034A"/>
    <w:rsid w:val="00380E04"/>
    <w:rsid w:val="00380E6C"/>
    <w:rsid w:val="00383227"/>
    <w:rsid w:val="00384D8F"/>
    <w:rsid w:val="00385D98"/>
    <w:rsid w:val="00385EC5"/>
    <w:rsid w:val="0038658E"/>
    <w:rsid w:val="0039066E"/>
    <w:rsid w:val="00391C95"/>
    <w:rsid w:val="00394D49"/>
    <w:rsid w:val="00396DAC"/>
    <w:rsid w:val="003A0214"/>
    <w:rsid w:val="003A027D"/>
    <w:rsid w:val="003A1D74"/>
    <w:rsid w:val="003A2B4D"/>
    <w:rsid w:val="003A2D2B"/>
    <w:rsid w:val="003A2DD4"/>
    <w:rsid w:val="003A3B1C"/>
    <w:rsid w:val="003A4088"/>
    <w:rsid w:val="003A478C"/>
    <w:rsid w:val="003A4F82"/>
    <w:rsid w:val="003A5525"/>
    <w:rsid w:val="003A6B38"/>
    <w:rsid w:val="003B2580"/>
    <w:rsid w:val="003B2E63"/>
    <w:rsid w:val="003B3189"/>
    <w:rsid w:val="003B3A9D"/>
    <w:rsid w:val="003B3DDD"/>
    <w:rsid w:val="003B5031"/>
    <w:rsid w:val="003B5A32"/>
    <w:rsid w:val="003B6105"/>
    <w:rsid w:val="003C03CC"/>
    <w:rsid w:val="003C04C4"/>
    <w:rsid w:val="003C26F4"/>
    <w:rsid w:val="003C3686"/>
    <w:rsid w:val="003C4852"/>
    <w:rsid w:val="003C5BC7"/>
    <w:rsid w:val="003C601E"/>
    <w:rsid w:val="003C66C4"/>
    <w:rsid w:val="003D2C4E"/>
    <w:rsid w:val="003D3600"/>
    <w:rsid w:val="003D3825"/>
    <w:rsid w:val="003D3EC4"/>
    <w:rsid w:val="003D4760"/>
    <w:rsid w:val="003D49DC"/>
    <w:rsid w:val="003D4DD9"/>
    <w:rsid w:val="003D5D7A"/>
    <w:rsid w:val="003E0663"/>
    <w:rsid w:val="003E133F"/>
    <w:rsid w:val="003E49F6"/>
    <w:rsid w:val="003E699C"/>
    <w:rsid w:val="003E69F3"/>
    <w:rsid w:val="003E782E"/>
    <w:rsid w:val="003E7A0B"/>
    <w:rsid w:val="003E7B2B"/>
    <w:rsid w:val="003F181F"/>
    <w:rsid w:val="003F1A48"/>
    <w:rsid w:val="003F1E23"/>
    <w:rsid w:val="003F2B0A"/>
    <w:rsid w:val="003F313C"/>
    <w:rsid w:val="003F341B"/>
    <w:rsid w:val="003F37FC"/>
    <w:rsid w:val="003F3A26"/>
    <w:rsid w:val="003F49A6"/>
    <w:rsid w:val="003F5098"/>
    <w:rsid w:val="003F5568"/>
    <w:rsid w:val="003F5A95"/>
    <w:rsid w:val="003F6D19"/>
    <w:rsid w:val="004000D5"/>
    <w:rsid w:val="00400244"/>
    <w:rsid w:val="004005C1"/>
    <w:rsid w:val="00401716"/>
    <w:rsid w:val="00401A09"/>
    <w:rsid w:val="0040273A"/>
    <w:rsid w:val="00402C25"/>
    <w:rsid w:val="004050D7"/>
    <w:rsid w:val="004078BD"/>
    <w:rsid w:val="00410132"/>
    <w:rsid w:val="00410BCD"/>
    <w:rsid w:val="00410DE5"/>
    <w:rsid w:val="0041175D"/>
    <w:rsid w:val="004123BE"/>
    <w:rsid w:val="00414CE5"/>
    <w:rsid w:val="00416673"/>
    <w:rsid w:val="0042160D"/>
    <w:rsid w:val="00423A3C"/>
    <w:rsid w:val="0042681B"/>
    <w:rsid w:val="00427193"/>
    <w:rsid w:val="0043068A"/>
    <w:rsid w:val="004306E0"/>
    <w:rsid w:val="00431D54"/>
    <w:rsid w:val="004329BE"/>
    <w:rsid w:val="00432C38"/>
    <w:rsid w:val="004342EC"/>
    <w:rsid w:val="00437C76"/>
    <w:rsid w:val="0044105C"/>
    <w:rsid w:val="00443E95"/>
    <w:rsid w:val="004441A0"/>
    <w:rsid w:val="00444268"/>
    <w:rsid w:val="00444326"/>
    <w:rsid w:val="004443BF"/>
    <w:rsid w:val="00444C19"/>
    <w:rsid w:val="00445218"/>
    <w:rsid w:val="00445CDD"/>
    <w:rsid w:val="00446892"/>
    <w:rsid w:val="00447E36"/>
    <w:rsid w:val="00450700"/>
    <w:rsid w:val="00450C30"/>
    <w:rsid w:val="004529C7"/>
    <w:rsid w:val="004540FF"/>
    <w:rsid w:val="004541F1"/>
    <w:rsid w:val="00455ECA"/>
    <w:rsid w:val="00457296"/>
    <w:rsid w:val="00457320"/>
    <w:rsid w:val="00460164"/>
    <w:rsid w:val="0046039A"/>
    <w:rsid w:val="00460A6B"/>
    <w:rsid w:val="00461977"/>
    <w:rsid w:val="00461A3F"/>
    <w:rsid w:val="004629FD"/>
    <w:rsid w:val="00462AD2"/>
    <w:rsid w:val="00463B4B"/>
    <w:rsid w:val="00463F4D"/>
    <w:rsid w:val="0046471F"/>
    <w:rsid w:val="00464BE8"/>
    <w:rsid w:val="00465019"/>
    <w:rsid w:val="00465FA4"/>
    <w:rsid w:val="0046613F"/>
    <w:rsid w:val="0046655D"/>
    <w:rsid w:val="0046765E"/>
    <w:rsid w:val="004676E2"/>
    <w:rsid w:val="00471EDD"/>
    <w:rsid w:val="00473E94"/>
    <w:rsid w:val="0047400C"/>
    <w:rsid w:val="004745D9"/>
    <w:rsid w:val="004762D8"/>
    <w:rsid w:val="004765B3"/>
    <w:rsid w:val="00476D29"/>
    <w:rsid w:val="00477241"/>
    <w:rsid w:val="00477EAF"/>
    <w:rsid w:val="00477EE0"/>
    <w:rsid w:val="00480AB8"/>
    <w:rsid w:val="0048139F"/>
    <w:rsid w:val="00481C00"/>
    <w:rsid w:val="00483053"/>
    <w:rsid w:val="00484874"/>
    <w:rsid w:val="00485230"/>
    <w:rsid w:val="004879E9"/>
    <w:rsid w:val="00487F81"/>
    <w:rsid w:val="00490247"/>
    <w:rsid w:val="0049104F"/>
    <w:rsid w:val="00491218"/>
    <w:rsid w:val="00491CFD"/>
    <w:rsid w:val="00493362"/>
    <w:rsid w:val="00494343"/>
    <w:rsid w:val="00496C2F"/>
    <w:rsid w:val="0049740D"/>
    <w:rsid w:val="004978D3"/>
    <w:rsid w:val="004A11F8"/>
    <w:rsid w:val="004A22BD"/>
    <w:rsid w:val="004A22FA"/>
    <w:rsid w:val="004A269A"/>
    <w:rsid w:val="004A30FB"/>
    <w:rsid w:val="004A35DD"/>
    <w:rsid w:val="004A37D3"/>
    <w:rsid w:val="004A3AD6"/>
    <w:rsid w:val="004A5865"/>
    <w:rsid w:val="004A77DF"/>
    <w:rsid w:val="004B0295"/>
    <w:rsid w:val="004B0803"/>
    <w:rsid w:val="004B10A8"/>
    <w:rsid w:val="004B22DA"/>
    <w:rsid w:val="004B3CB7"/>
    <w:rsid w:val="004B3D55"/>
    <w:rsid w:val="004B55B7"/>
    <w:rsid w:val="004B5836"/>
    <w:rsid w:val="004C00A6"/>
    <w:rsid w:val="004C0BBB"/>
    <w:rsid w:val="004C1AD6"/>
    <w:rsid w:val="004C1B86"/>
    <w:rsid w:val="004C3382"/>
    <w:rsid w:val="004C3867"/>
    <w:rsid w:val="004C4AB7"/>
    <w:rsid w:val="004C4CD0"/>
    <w:rsid w:val="004C57B5"/>
    <w:rsid w:val="004C5C25"/>
    <w:rsid w:val="004C6717"/>
    <w:rsid w:val="004C6CFF"/>
    <w:rsid w:val="004C70DC"/>
    <w:rsid w:val="004C7268"/>
    <w:rsid w:val="004D0211"/>
    <w:rsid w:val="004D1C9C"/>
    <w:rsid w:val="004D458D"/>
    <w:rsid w:val="004D504B"/>
    <w:rsid w:val="004D536E"/>
    <w:rsid w:val="004D76CC"/>
    <w:rsid w:val="004E1839"/>
    <w:rsid w:val="004E4A75"/>
    <w:rsid w:val="004E541A"/>
    <w:rsid w:val="004E5A5C"/>
    <w:rsid w:val="004E7007"/>
    <w:rsid w:val="004E76D6"/>
    <w:rsid w:val="004E7F57"/>
    <w:rsid w:val="004F06F5"/>
    <w:rsid w:val="004F191F"/>
    <w:rsid w:val="004F2A73"/>
    <w:rsid w:val="004F33A0"/>
    <w:rsid w:val="004F4353"/>
    <w:rsid w:val="004F447D"/>
    <w:rsid w:val="004F4C28"/>
    <w:rsid w:val="004F4E82"/>
    <w:rsid w:val="004F5CC5"/>
    <w:rsid w:val="004F6350"/>
    <w:rsid w:val="005028E1"/>
    <w:rsid w:val="0050692E"/>
    <w:rsid w:val="00507040"/>
    <w:rsid w:val="005079F8"/>
    <w:rsid w:val="00510189"/>
    <w:rsid w:val="005108C0"/>
    <w:rsid w:val="00511873"/>
    <w:rsid w:val="0051367B"/>
    <w:rsid w:val="00513B7E"/>
    <w:rsid w:val="005140DE"/>
    <w:rsid w:val="00514474"/>
    <w:rsid w:val="005147E9"/>
    <w:rsid w:val="0051778E"/>
    <w:rsid w:val="005215EF"/>
    <w:rsid w:val="00524637"/>
    <w:rsid w:val="00524FDD"/>
    <w:rsid w:val="00525137"/>
    <w:rsid w:val="005251DD"/>
    <w:rsid w:val="00526DB6"/>
    <w:rsid w:val="0053017A"/>
    <w:rsid w:val="00530492"/>
    <w:rsid w:val="00532854"/>
    <w:rsid w:val="005350F2"/>
    <w:rsid w:val="00535152"/>
    <w:rsid w:val="00535359"/>
    <w:rsid w:val="005357A2"/>
    <w:rsid w:val="005359E3"/>
    <w:rsid w:val="00535D87"/>
    <w:rsid w:val="00535EF0"/>
    <w:rsid w:val="005363DF"/>
    <w:rsid w:val="0053734B"/>
    <w:rsid w:val="005375B1"/>
    <w:rsid w:val="00537AFD"/>
    <w:rsid w:val="00537CB4"/>
    <w:rsid w:val="0054516B"/>
    <w:rsid w:val="0054559E"/>
    <w:rsid w:val="005513D5"/>
    <w:rsid w:val="005523B9"/>
    <w:rsid w:val="005545E0"/>
    <w:rsid w:val="00554865"/>
    <w:rsid w:val="00554E57"/>
    <w:rsid w:val="00562749"/>
    <w:rsid w:val="00562DE9"/>
    <w:rsid w:val="005638A5"/>
    <w:rsid w:val="00566381"/>
    <w:rsid w:val="00566A03"/>
    <w:rsid w:val="00571932"/>
    <w:rsid w:val="00573C97"/>
    <w:rsid w:val="00574240"/>
    <w:rsid w:val="00575CDC"/>
    <w:rsid w:val="005765D5"/>
    <w:rsid w:val="00576A3E"/>
    <w:rsid w:val="0057703D"/>
    <w:rsid w:val="0058366F"/>
    <w:rsid w:val="00583D5B"/>
    <w:rsid w:val="00583FFD"/>
    <w:rsid w:val="00587CCD"/>
    <w:rsid w:val="005908AE"/>
    <w:rsid w:val="0059176E"/>
    <w:rsid w:val="00592854"/>
    <w:rsid w:val="00593152"/>
    <w:rsid w:val="00593CA3"/>
    <w:rsid w:val="00594161"/>
    <w:rsid w:val="00594969"/>
    <w:rsid w:val="00596C5E"/>
    <w:rsid w:val="005A2194"/>
    <w:rsid w:val="005A21E0"/>
    <w:rsid w:val="005A33A1"/>
    <w:rsid w:val="005A54EE"/>
    <w:rsid w:val="005A563B"/>
    <w:rsid w:val="005A7500"/>
    <w:rsid w:val="005A77E4"/>
    <w:rsid w:val="005B1BDB"/>
    <w:rsid w:val="005B2BAA"/>
    <w:rsid w:val="005B2D53"/>
    <w:rsid w:val="005B3247"/>
    <w:rsid w:val="005B3409"/>
    <w:rsid w:val="005B498A"/>
    <w:rsid w:val="005B7B12"/>
    <w:rsid w:val="005C16CB"/>
    <w:rsid w:val="005C21D6"/>
    <w:rsid w:val="005C3F9F"/>
    <w:rsid w:val="005C406F"/>
    <w:rsid w:val="005C4A23"/>
    <w:rsid w:val="005C562C"/>
    <w:rsid w:val="005C5812"/>
    <w:rsid w:val="005C6400"/>
    <w:rsid w:val="005C7F1E"/>
    <w:rsid w:val="005D374F"/>
    <w:rsid w:val="005D5802"/>
    <w:rsid w:val="005D6CFC"/>
    <w:rsid w:val="005D73E2"/>
    <w:rsid w:val="005D757A"/>
    <w:rsid w:val="005D7C4B"/>
    <w:rsid w:val="005E1E4B"/>
    <w:rsid w:val="005E362D"/>
    <w:rsid w:val="005E3A0C"/>
    <w:rsid w:val="005E3FAC"/>
    <w:rsid w:val="005E492C"/>
    <w:rsid w:val="005E4BAA"/>
    <w:rsid w:val="005E52EF"/>
    <w:rsid w:val="005E5B56"/>
    <w:rsid w:val="005E6088"/>
    <w:rsid w:val="005E61DF"/>
    <w:rsid w:val="005E6B65"/>
    <w:rsid w:val="005E6B78"/>
    <w:rsid w:val="005E75B8"/>
    <w:rsid w:val="005F0976"/>
    <w:rsid w:val="005F26CE"/>
    <w:rsid w:val="005F4057"/>
    <w:rsid w:val="005F4088"/>
    <w:rsid w:val="005F601D"/>
    <w:rsid w:val="005F6119"/>
    <w:rsid w:val="005F7940"/>
    <w:rsid w:val="0060107A"/>
    <w:rsid w:val="00601AFF"/>
    <w:rsid w:val="00602D1D"/>
    <w:rsid w:val="00604307"/>
    <w:rsid w:val="0060487F"/>
    <w:rsid w:val="00605814"/>
    <w:rsid w:val="00606B93"/>
    <w:rsid w:val="00607727"/>
    <w:rsid w:val="00610BD5"/>
    <w:rsid w:val="00611531"/>
    <w:rsid w:val="006118AA"/>
    <w:rsid w:val="006139C7"/>
    <w:rsid w:val="006153E3"/>
    <w:rsid w:val="006167AB"/>
    <w:rsid w:val="00617D2D"/>
    <w:rsid w:val="00617D83"/>
    <w:rsid w:val="00620430"/>
    <w:rsid w:val="00620AC5"/>
    <w:rsid w:val="00621575"/>
    <w:rsid w:val="006215FC"/>
    <w:rsid w:val="00624093"/>
    <w:rsid w:val="00630F66"/>
    <w:rsid w:val="00631FC2"/>
    <w:rsid w:val="00632171"/>
    <w:rsid w:val="0063332A"/>
    <w:rsid w:val="006347F9"/>
    <w:rsid w:val="0063494E"/>
    <w:rsid w:val="00634C90"/>
    <w:rsid w:val="00635E79"/>
    <w:rsid w:val="00636E5E"/>
    <w:rsid w:val="006379E0"/>
    <w:rsid w:val="006404A7"/>
    <w:rsid w:val="006407F3"/>
    <w:rsid w:val="006408EC"/>
    <w:rsid w:val="0064129B"/>
    <w:rsid w:val="00641DF7"/>
    <w:rsid w:val="00643A80"/>
    <w:rsid w:val="00644DFC"/>
    <w:rsid w:val="006451E4"/>
    <w:rsid w:val="006454B4"/>
    <w:rsid w:val="00645A9C"/>
    <w:rsid w:val="006460B8"/>
    <w:rsid w:val="006504A0"/>
    <w:rsid w:val="006520C7"/>
    <w:rsid w:val="006520D5"/>
    <w:rsid w:val="00652CBB"/>
    <w:rsid w:val="006530B8"/>
    <w:rsid w:val="006535D6"/>
    <w:rsid w:val="00656716"/>
    <w:rsid w:val="006572ED"/>
    <w:rsid w:val="00657E87"/>
    <w:rsid w:val="00660457"/>
    <w:rsid w:val="00660E1E"/>
    <w:rsid w:val="006637B1"/>
    <w:rsid w:val="00664B64"/>
    <w:rsid w:val="00665D67"/>
    <w:rsid w:val="00665D77"/>
    <w:rsid w:val="006660CD"/>
    <w:rsid w:val="00666EC8"/>
    <w:rsid w:val="00666F4B"/>
    <w:rsid w:val="006676D0"/>
    <w:rsid w:val="0066796E"/>
    <w:rsid w:val="00670FAC"/>
    <w:rsid w:val="006710C9"/>
    <w:rsid w:val="006716A5"/>
    <w:rsid w:val="00675E37"/>
    <w:rsid w:val="00676AFC"/>
    <w:rsid w:val="00676F11"/>
    <w:rsid w:val="00680079"/>
    <w:rsid w:val="00680F68"/>
    <w:rsid w:val="0068260E"/>
    <w:rsid w:val="0068373D"/>
    <w:rsid w:val="00683BFE"/>
    <w:rsid w:val="0068437D"/>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AA5"/>
    <w:rsid w:val="006977F6"/>
    <w:rsid w:val="00697A13"/>
    <w:rsid w:val="006A109C"/>
    <w:rsid w:val="006A18AE"/>
    <w:rsid w:val="006A2EE8"/>
    <w:rsid w:val="006A3CF3"/>
    <w:rsid w:val="006A568F"/>
    <w:rsid w:val="006A65EF"/>
    <w:rsid w:val="006A672B"/>
    <w:rsid w:val="006B23A9"/>
    <w:rsid w:val="006B281D"/>
    <w:rsid w:val="006B3F8A"/>
    <w:rsid w:val="006B5CA3"/>
    <w:rsid w:val="006B6B3B"/>
    <w:rsid w:val="006B7248"/>
    <w:rsid w:val="006B7714"/>
    <w:rsid w:val="006B78D8"/>
    <w:rsid w:val="006C090F"/>
    <w:rsid w:val="006C0935"/>
    <w:rsid w:val="006C0BCE"/>
    <w:rsid w:val="006C113F"/>
    <w:rsid w:val="006C2AED"/>
    <w:rsid w:val="006C38DD"/>
    <w:rsid w:val="006C53C7"/>
    <w:rsid w:val="006C5577"/>
    <w:rsid w:val="006C559A"/>
    <w:rsid w:val="006C58FA"/>
    <w:rsid w:val="006D042D"/>
    <w:rsid w:val="006D06EF"/>
    <w:rsid w:val="006D142E"/>
    <w:rsid w:val="006D4497"/>
    <w:rsid w:val="006D4E6F"/>
    <w:rsid w:val="006D61F6"/>
    <w:rsid w:val="006E0EB0"/>
    <w:rsid w:val="006E1F4C"/>
    <w:rsid w:val="006E22C8"/>
    <w:rsid w:val="006E279A"/>
    <w:rsid w:val="006E2F3F"/>
    <w:rsid w:val="006E313B"/>
    <w:rsid w:val="006E442A"/>
    <w:rsid w:val="006E4434"/>
    <w:rsid w:val="006E59FC"/>
    <w:rsid w:val="006E5CFD"/>
    <w:rsid w:val="006E7E2C"/>
    <w:rsid w:val="006F1326"/>
    <w:rsid w:val="006F2BEE"/>
    <w:rsid w:val="006F3708"/>
    <w:rsid w:val="006F3E6B"/>
    <w:rsid w:val="006F4619"/>
    <w:rsid w:val="006F4A59"/>
    <w:rsid w:val="00700232"/>
    <w:rsid w:val="007014C7"/>
    <w:rsid w:val="00702D6F"/>
    <w:rsid w:val="00703B6C"/>
    <w:rsid w:val="00703C6B"/>
    <w:rsid w:val="007047D5"/>
    <w:rsid w:val="00705D98"/>
    <w:rsid w:val="00707891"/>
    <w:rsid w:val="00707D43"/>
    <w:rsid w:val="00711EF1"/>
    <w:rsid w:val="0071229A"/>
    <w:rsid w:val="00712572"/>
    <w:rsid w:val="00713495"/>
    <w:rsid w:val="00713EEB"/>
    <w:rsid w:val="007159D2"/>
    <w:rsid w:val="0072050E"/>
    <w:rsid w:val="00720FA2"/>
    <w:rsid w:val="007211F5"/>
    <w:rsid w:val="00724666"/>
    <w:rsid w:val="00725492"/>
    <w:rsid w:val="00726043"/>
    <w:rsid w:val="0072704A"/>
    <w:rsid w:val="00730AE8"/>
    <w:rsid w:val="007315DA"/>
    <w:rsid w:val="00731963"/>
    <w:rsid w:val="00734321"/>
    <w:rsid w:val="0073532E"/>
    <w:rsid w:val="00740310"/>
    <w:rsid w:val="00740652"/>
    <w:rsid w:val="00740F02"/>
    <w:rsid w:val="00740FEC"/>
    <w:rsid w:val="0074132E"/>
    <w:rsid w:val="00741493"/>
    <w:rsid w:val="007426B3"/>
    <w:rsid w:val="007426FD"/>
    <w:rsid w:val="0074329D"/>
    <w:rsid w:val="00744376"/>
    <w:rsid w:val="007449EA"/>
    <w:rsid w:val="00744D00"/>
    <w:rsid w:val="00745273"/>
    <w:rsid w:val="00746DD9"/>
    <w:rsid w:val="0075057A"/>
    <w:rsid w:val="00751771"/>
    <w:rsid w:val="00751C1C"/>
    <w:rsid w:val="00752180"/>
    <w:rsid w:val="007521A1"/>
    <w:rsid w:val="00752BC3"/>
    <w:rsid w:val="0075315D"/>
    <w:rsid w:val="007538F9"/>
    <w:rsid w:val="00754253"/>
    <w:rsid w:val="007552BB"/>
    <w:rsid w:val="007558D3"/>
    <w:rsid w:val="007559D7"/>
    <w:rsid w:val="00755D3A"/>
    <w:rsid w:val="00760141"/>
    <w:rsid w:val="007609C6"/>
    <w:rsid w:val="007610A0"/>
    <w:rsid w:val="00762036"/>
    <w:rsid w:val="007620F2"/>
    <w:rsid w:val="00762EBA"/>
    <w:rsid w:val="0076359D"/>
    <w:rsid w:val="0077058D"/>
    <w:rsid w:val="00772536"/>
    <w:rsid w:val="00773613"/>
    <w:rsid w:val="00774782"/>
    <w:rsid w:val="00776476"/>
    <w:rsid w:val="00776527"/>
    <w:rsid w:val="007805E1"/>
    <w:rsid w:val="0078113E"/>
    <w:rsid w:val="00781834"/>
    <w:rsid w:val="007821DB"/>
    <w:rsid w:val="00782818"/>
    <w:rsid w:val="007838F1"/>
    <w:rsid w:val="00784C4A"/>
    <w:rsid w:val="00785FCA"/>
    <w:rsid w:val="00787432"/>
    <w:rsid w:val="00787507"/>
    <w:rsid w:val="007879F2"/>
    <w:rsid w:val="00791CF8"/>
    <w:rsid w:val="00791EF9"/>
    <w:rsid w:val="00792262"/>
    <w:rsid w:val="00793387"/>
    <w:rsid w:val="00793BAE"/>
    <w:rsid w:val="00794E0A"/>
    <w:rsid w:val="00796642"/>
    <w:rsid w:val="007A11D9"/>
    <w:rsid w:val="007A327B"/>
    <w:rsid w:val="007A4048"/>
    <w:rsid w:val="007A45B1"/>
    <w:rsid w:val="007A4606"/>
    <w:rsid w:val="007B0D67"/>
    <w:rsid w:val="007B1966"/>
    <w:rsid w:val="007B2779"/>
    <w:rsid w:val="007B3DCC"/>
    <w:rsid w:val="007B4518"/>
    <w:rsid w:val="007B5031"/>
    <w:rsid w:val="007B573F"/>
    <w:rsid w:val="007B78F8"/>
    <w:rsid w:val="007C0065"/>
    <w:rsid w:val="007C010B"/>
    <w:rsid w:val="007C3AE3"/>
    <w:rsid w:val="007C605B"/>
    <w:rsid w:val="007D2A5A"/>
    <w:rsid w:val="007D2AD8"/>
    <w:rsid w:val="007D2C47"/>
    <w:rsid w:val="007D2F81"/>
    <w:rsid w:val="007D3167"/>
    <w:rsid w:val="007D4128"/>
    <w:rsid w:val="007D4281"/>
    <w:rsid w:val="007D42F5"/>
    <w:rsid w:val="007D44C3"/>
    <w:rsid w:val="007D5947"/>
    <w:rsid w:val="007D65C1"/>
    <w:rsid w:val="007E030F"/>
    <w:rsid w:val="007E0E59"/>
    <w:rsid w:val="007E0F4B"/>
    <w:rsid w:val="007E3715"/>
    <w:rsid w:val="007E7E61"/>
    <w:rsid w:val="007F0845"/>
    <w:rsid w:val="007F16F9"/>
    <w:rsid w:val="007F3E3E"/>
    <w:rsid w:val="007F42E0"/>
    <w:rsid w:val="007F500D"/>
    <w:rsid w:val="007F5F14"/>
    <w:rsid w:val="007F7B54"/>
    <w:rsid w:val="00800073"/>
    <w:rsid w:val="008005D7"/>
    <w:rsid w:val="00801FDD"/>
    <w:rsid w:val="008020C2"/>
    <w:rsid w:val="0080255C"/>
    <w:rsid w:val="00806D07"/>
    <w:rsid w:val="0081187C"/>
    <w:rsid w:val="00811E24"/>
    <w:rsid w:val="00812386"/>
    <w:rsid w:val="00812E2B"/>
    <w:rsid w:val="00813A70"/>
    <w:rsid w:val="00813FE6"/>
    <w:rsid w:val="00815C6E"/>
    <w:rsid w:val="0081645F"/>
    <w:rsid w:val="00817755"/>
    <w:rsid w:val="008178C2"/>
    <w:rsid w:val="008178CF"/>
    <w:rsid w:val="00817C98"/>
    <w:rsid w:val="00820C9F"/>
    <w:rsid w:val="00821FF6"/>
    <w:rsid w:val="00823AAF"/>
    <w:rsid w:val="00824081"/>
    <w:rsid w:val="0082409A"/>
    <w:rsid w:val="008252D7"/>
    <w:rsid w:val="00825C0F"/>
    <w:rsid w:val="00826ED1"/>
    <w:rsid w:val="00827181"/>
    <w:rsid w:val="0082733C"/>
    <w:rsid w:val="00827746"/>
    <w:rsid w:val="0083102D"/>
    <w:rsid w:val="0083143E"/>
    <w:rsid w:val="0083159D"/>
    <w:rsid w:val="008318FF"/>
    <w:rsid w:val="00832187"/>
    <w:rsid w:val="00832493"/>
    <w:rsid w:val="008329BD"/>
    <w:rsid w:val="008336D8"/>
    <w:rsid w:val="008339C4"/>
    <w:rsid w:val="00834F0A"/>
    <w:rsid w:val="00834FAA"/>
    <w:rsid w:val="00835181"/>
    <w:rsid w:val="00835991"/>
    <w:rsid w:val="00836086"/>
    <w:rsid w:val="00840699"/>
    <w:rsid w:val="00841D9F"/>
    <w:rsid w:val="00842604"/>
    <w:rsid w:val="00843ECF"/>
    <w:rsid w:val="00845AB1"/>
    <w:rsid w:val="00846673"/>
    <w:rsid w:val="0085281A"/>
    <w:rsid w:val="008559FE"/>
    <w:rsid w:val="00857339"/>
    <w:rsid w:val="00860706"/>
    <w:rsid w:val="00862A7A"/>
    <w:rsid w:val="00863104"/>
    <w:rsid w:val="008636CD"/>
    <w:rsid w:val="00863D9E"/>
    <w:rsid w:val="00863FDC"/>
    <w:rsid w:val="008642AF"/>
    <w:rsid w:val="00865729"/>
    <w:rsid w:val="00865ED4"/>
    <w:rsid w:val="008669A7"/>
    <w:rsid w:val="00867E29"/>
    <w:rsid w:val="00870F2B"/>
    <w:rsid w:val="008746E6"/>
    <w:rsid w:val="0087594C"/>
    <w:rsid w:val="00876086"/>
    <w:rsid w:val="008765FA"/>
    <w:rsid w:val="008768D6"/>
    <w:rsid w:val="008775D1"/>
    <w:rsid w:val="008777BB"/>
    <w:rsid w:val="00877D68"/>
    <w:rsid w:val="00877E5D"/>
    <w:rsid w:val="00880150"/>
    <w:rsid w:val="00880ABA"/>
    <w:rsid w:val="00883A67"/>
    <w:rsid w:val="00883D45"/>
    <w:rsid w:val="00884D69"/>
    <w:rsid w:val="0088503D"/>
    <w:rsid w:val="00886A8F"/>
    <w:rsid w:val="0088733A"/>
    <w:rsid w:val="00891BE0"/>
    <w:rsid w:val="00893302"/>
    <w:rsid w:val="00893648"/>
    <w:rsid w:val="00893F3C"/>
    <w:rsid w:val="008945A1"/>
    <w:rsid w:val="00894A63"/>
    <w:rsid w:val="00895A54"/>
    <w:rsid w:val="00896916"/>
    <w:rsid w:val="00896BDE"/>
    <w:rsid w:val="008A0861"/>
    <w:rsid w:val="008A0BB2"/>
    <w:rsid w:val="008A1AB3"/>
    <w:rsid w:val="008A1D5C"/>
    <w:rsid w:val="008A3292"/>
    <w:rsid w:val="008A3A85"/>
    <w:rsid w:val="008A43E9"/>
    <w:rsid w:val="008A4CB1"/>
    <w:rsid w:val="008A615E"/>
    <w:rsid w:val="008A632B"/>
    <w:rsid w:val="008A6BFE"/>
    <w:rsid w:val="008B00C2"/>
    <w:rsid w:val="008B07EF"/>
    <w:rsid w:val="008B16DE"/>
    <w:rsid w:val="008B190E"/>
    <w:rsid w:val="008B1A8A"/>
    <w:rsid w:val="008B1FC9"/>
    <w:rsid w:val="008B531F"/>
    <w:rsid w:val="008B6B67"/>
    <w:rsid w:val="008B7306"/>
    <w:rsid w:val="008B775F"/>
    <w:rsid w:val="008B7C02"/>
    <w:rsid w:val="008B7D13"/>
    <w:rsid w:val="008B7F9E"/>
    <w:rsid w:val="008C034E"/>
    <w:rsid w:val="008C0E88"/>
    <w:rsid w:val="008C1399"/>
    <w:rsid w:val="008C1AA8"/>
    <w:rsid w:val="008C22A8"/>
    <w:rsid w:val="008C5B43"/>
    <w:rsid w:val="008C63FD"/>
    <w:rsid w:val="008C6CB8"/>
    <w:rsid w:val="008C7815"/>
    <w:rsid w:val="008C7A07"/>
    <w:rsid w:val="008D0171"/>
    <w:rsid w:val="008D13EA"/>
    <w:rsid w:val="008D2671"/>
    <w:rsid w:val="008D2A16"/>
    <w:rsid w:val="008D2ECF"/>
    <w:rsid w:val="008D347D"/>
    <w:rsid w:val="008D3F3D"/>
    <w:rsid w:val="008E0367"/>
    <w:rsid w:val="008E308D"/>
    <w:rsid w:val="008E31FF"/>
    <w:rsid w:val="008E46A3"/>
    <w:rsid w:val="008E5DE6"/>
    <w:rsid w:val="008E6113"/>
    <w:rsid w:val="008E6AB3"/>
    <w:rsid w:val="008E6AD3"/>
    <w:rsid w:val="008E71A6"/>
    <w:rsid w:val="008E77B6"/>
    <w:rsid w:val="008E7C55"/>
    <w:rsid w:val="008F032E"/>
    <w:rsid w:val="008F0F14"/>
    <w:rsid w:val="008F4FCE"/>
    <w:rsid w:val="008F5301"/>
    <w:rsid w:val="008F6967"/>
    <w:rsid w:val="008F6A0C"/>
    <w:rsid w:val="008F6F38"/>
    <w:rsid w:val="008F7721"/>
    <w:rsid w:val="008F7D28"/>
    <w:rsid w:val="009003A8"/>
    <w:rsid w:val="009010A7"/>
    <w:rsid w:val="00901AF3"/>
    <w:rsid w:val="00902CBE"/>
    <w:rsid w:val="00902D74"/>
    <w:rsid w:val="00902EFF"/>
    <w:rsid w:val="00903E06"/>
    <w:rsid w:val="00904B9D"/>
    <w:rsid w:val="00905A11"/>
    <w:rsid w:val="009066E1"/>
    <w:rsid w:val="00907A41"/>
    <w:rsid w:val="009102BD"/>
    <w:rsid w:val="00910F93"/>
    <w:rsid w:val="0091255A"/>
    <w:rsid w:val="00914426"/>
    <w:rsid w:val="0091675F"/>
    <w:rsid w:val="00917709"/>
    <w:rsid w:val="00917918"/>
    <w:rsid w:val="00920874"/>
    <w:rsid w:val="00921F14"/>
    <w:rsid w:val="00923750"/>
    <w:rsid w:val="009243A5"/>
    <w:rsid w:val="0092500F"/>
    <w:rsid w:val="009250D2"/>
    <w:rsid w:val="0092540B"/>
    <w:rsid w:val="009256C5"/>
    <w:rsid w:val="00926283"/>
    <w:rsid w:val="009306BE"/>
    <w:rsid w:val="00937B11"/>
    <w:rsid w:val="00940F1F"/>
    <w:rsid w:val="00941250"/>
    <w:rsid w:val="0094427A"/>
    <w:rsid w:val="00944380"/>
    <w:rsid w:val="009459C5"/>
    <w:rsid w:val="0094626C"/>
    <w:rsid w:val="0095013A"/>
    <w:rsid w:val="00953AEF"/>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63EB"/>
    <w:rsid w:val="0096650F"/>
    <w:rsid w:val="00967801"/>
    <w:rsid w:val="00967AD2"/>
    <w:rsid w:val="009700DB"/>
    <w:rsid w:val="00971DC6"/>
    <w:rsid w:val="00972263"/>
    <w:rsid w:val="00972502"/>
    <w:rsid w:val="00972D8D"/>
    <w:rsid w:val="00973AAE"/>
    <w:rsid w:val="0097476C"/>
    <w:rsid w:val="00974923"/>
    <w:rsid w:val="00974D48"/>
    <w:rsid w:val="00974D5F"/>
    <w:rsid w:val="00975017"/>
    <w:rsid w:val="009759DF"/>
    <w:rsid w:val="00980373"/>
    <w:rsid w:val="00980621"/>
    <w:rsid w:val="0098095B"/>
    <w:rsid w:val="00982072"/>
    <w:rsid w:val="009833FA"/>
    <w:rsid w:val="00983DBB"/>
    <w:rsid w:val="00983ECF"/>
    <w:rsid w:val="00986745"/>
    <w:rsid w:val="009867BC"/>
    <w:rsid w:val="00987109"/>
    <w:rsid w:val="00987309"/>
    <w:rsid w:val="0099012D"/>
    <w:rsid w:val="00990363"/>
    <w:rsid w:val="009954FF"/>
    <w:rsid w:val="00995E2F"/>
    <w:rsid w:val="009961BC"/>
    <w:rsid w:val="00996355"/>
    <w:rsid w:val="009A2014"/>
    <w:rsid w:val="009A3A87"/>
    <w:rsid w:val="009A4E12"/>
    <w:rsid w:val="009A5C68"/>
    <w:rsid w:val="009A6EF7"/>
    <w:rsid w:val="009B04D0"/>
    <w:rsid w:val="009B052C"/>
    <w:rsid w:val="009B0EF2"/>
    <w:rsid w:val="009B23A3"/>
    <w:rsid w:val="009B4925"/>
    <w:rsid w:val="009B4B4B"/>
    <w:rsid w:val="009B6FD3"/>
    <w:rsid w:val="009B70BD"/>
    <w:rsid w:val="009C07A5"/>
    <w:rsid w:val="009C3705"/>
    <w:rsid w:val="009C7388"/>
    <w:rsid w:val="009D0CFF"/>
    <w:rsid w:val="009D1551"/>
    <w:rsid w:val="009D2859"/>
    <w:rsid w:val="009D36EC"/>
    <w:rsid w:val="009D4173"/>
    <w:rsid w:val="009D6095"/>
    <w:rsid w:val="009D6306"/>
    <w:rsid w:val="009E048A"/>
    <w:rsid w:val="009E1FBA"/>
    <w:rsid w:val="009E2C54"/>
    <w:rsid w:val="009E3710"/>
    <w:rsid w:val="009E6F65"/>
    <w:rsid w:val="009E7340"/>
    <w:rsid w:val="009E7B1F"/>
    <w:rsid w:val="009F3FC3"/>
    <w:rsid w:val="009F41C4"/>
    <w:rsid w:val="009F5846"/>
    <w:rsid w:val="009F7B52"/>
    <w:rsid w:val="009F7D77"/>
    <w:rsid w:val="00A004D2"/>
    <w:rsid w:val="00A015EA"/>
    <w:rsid w:val="00A10D66"/>
    <w:rsid w:val="00A12BA8"/>
    <w:rsid w:val="00A1420C"/>
    <w:rsid w:val="00A1456C"/>
    <w:rsid w:val="00A14821"/>
    <w:rsid w:val="00A17754"/>
    <w:rsid w:val="00A2055B"/>
    <w:rsid w:val="00A2253C"/>
    <w:rsid w:val="00A23545"/>
    <w:rsid w:val="00A23A55"/>
    <w:rsid w:val="00A23E43"/>
    <w:rsid w:val="00A24F8C"/>
    <w:rsid w:val="00A262BF"/>
    <w:rsid w:val="00A271AD"/>
    <w:rsid w:val="00A276D5"/>
    <w:rsid w:val="00A30336"/>
    <w:rsid w:val="00A30BB5"/>
    <w:rsid w:val="00A3128F"/>
    <w:rsid w:val="00A326D0"/>
    <w:rsid w:val="00A35287"/>
    <w:rsid w:val="00A378F8"/>
    <w:rsid w:val="00A40B19"/>
    <w:rsid w:val="00A41D07"/>
    <w:rsid w:val="00A424F8"/>
    <w:rsid w:val="00A42883"/>
    <w:rsid w:val="00A437B7"/>
    <w:rsid w:val="00A46D48"/>
    <w:rsid w:val="00A46DE0"/>
    <w:rsid w:val="00A4778A"/>
    <w:rsid w:val="00A47C94"/>
    <w:rsid w:val="00A504C0"/>
    <w:rsid w:val="00A5067F"/>
    <w:rsid w:val="00A517C1"/>
    <w:rsid w:val="00A55301"/>
    <w:rsid w:val="00A572FB"/>
    <w:rsid w:val="00A57B3C"/>
    <w:rsid w:val="00A57F1B"/>
    <w:rsid w:val="00A6128E"/>
    <w:rsid w:val="00A62CE1"/>
    <w:rsid w:val="00A631FA"/>
    <w:rsid w:val="00A64203"/>
    <w:rsid w:val="00A64348"/>
    <w:rsid w:val="00A644E1"/>
    <w:rsid w:val="00A711B0"/>
    <w:rsid w:val="00A721FB"/>
    <w:rsid w:val="00A727BA"/>
    <w:rsid w:val="00A72D4B"/>
    <w:rsid w:val="00A732AE"/>
    <w:rsid w:val="00A75E40"/>
    <w:rsid w:val="00A77EB2"/>
    <w:rsid w:val="00A81094"/>
    <w:rsid w:val="00A82B66"/>
    <w:rsid w:val="00A83B58"/>
    <w:rsid w:val="00A84FAF"/>
    <w:rsid w:val="00A851B6"/>
    <w:rsid w:val="00A85729"/>
    <w:rsid w:val="00A8574B"/>
    <w:rsid w:val="00A857C0"/>
    <w:rsid w:val="00A90343"/>
    <w:rsid w:val="00A91336"/>
    <w:rsid w:val="00A9221C"/>
    <w:rsid w:val="00A94628"/>
    <w:rsid w:val="00A94954"/>
    <w:rsid w:val="00A96463"/>
    <w:rsid w:val="00A97E3F"/>
    <w:rsid w:val="00AA09D3"/>
    <w:rsid w:val="00AA23FB"/>
    <w:rsid w:val="00AA42AB"/>
    <w:rsid w:val="00AA559A"/>
    <w:rsid w:val="00AA5F10"/>
    <w:rsid w:val="00AB104D"/>
    <w:rsid w:val="00AB1441"/>
    <w:rsid w:val="00AB2AF1"/>
    <w:rsid w:val="00AB440B"/>
    <w:rsid w:val="00AB47E3"/>
    <w:rsid w:val="00AB74C5"/>
    <w:rsid w:val="00AB7BEE"/>
    <w:rsid w:val="00AB7DF2"/>
    <w:rsid w:val="00AC1E3F"/>
    <w:rsid w:val="00AC219A"/>
    <w:rsid w:val="00AC4F18"/>
    <w:rsid w:val="00AD0B46"/>
    <w:rsid w:val="00AD1094"/>
    <w:rsid w:val="00AD2565"/>
    <w:rsid w:val="00AD306C"/>
    <w:rsid w:val="00AD3424"/>
    <w:rsid w:val="00AD50D1"/>
    <w:rsid w:val="00AD59BB"/>
    <w:rsid w:val="00AD5D68"/>
    <w:rsid w:val="00AD6C73"/>
    <w:rsid w:val="00AD7D49"/>
    <w:rsid w:val="00AE06D0"/>
    <w:rsid w:val="00AE1B8A"/>
    <w:rsid w:val="00AE39DC"/>
    <w:rsid w:val="00AE3CDA"/>
    <w:rsid w:val="00AE7968"/>
    <w:rsid w:val="00AE7DFF"/>
    <w:rsid w:val="00AF128B"/>
    <w:rsid w:val="00AF1AEA"/>
    <w:rsid w:val="00AF2852"/>
    <w:rsid w:val="00AF3225"/>
    <w:rsid w:val="00AF4983"/>
    <w:rsid w:val="00AF518B"/>
    <w:rsid w:val="00AF5275"/>
    <w:rsid w:val="00AF6367"/>
    <w:rsid w:val="00AF6A79"/>
    <w:rsid w:val="00AF724E"/>
    <w:rsid w:val="00AF73A9"/>
    <w:rsid w:val="00B01436"/>
    <w:rsid w:val="00B01C2C"/>
    <w:rsid w:val="00B0231C"/>
    <w:rsid w:val="00B07C2A"/>
    <w:rsid w:val="00B13681"/>
    <w:rsid w:val="00B15DCD"/>
    <w:rsid w:val="00B17E71"/>
    <w:rsid w:val="00B17FDE"/>
    <w:rsid w:val="00B208FC"/>
    <w:rsid w:val="00B20C65"/>
    <w:rsid w:val="00B22E17"/>
    <w:rsid w:val="00B25567"/>
    <w:rsid w:val="00B266C5"/>
    <w:rsid w:val="00B27293"/>
    <w:rsid w:val="00B301BB"/>
    <w:rsid w:val="00B3229E"/>
    <w:rsid w:val="00B32DDB"/>
    <w:rsid w:val="00B34931"/>
    <w:rsid w:val="00B35174"/>
    <w:rsid w:val="00B35BEA"/>
    <w:rsid w:val="00B37915"/>
    <w:rsid w:val="00B3793D"/>
    <w:rsid w:val="00B41BE6"/>
    <w:rsid w:val="00B428A4"/>
    <w:rsid w:val="00B457E7"/>
    <w:rsid w:val="00B45D1B"/>
    <w:rsid w:val="00B46D25"/>
    <w:rsid w:val="00B47430"/>
    <w:rsid w:val="00B52D2D"/>
    <w:rsid w:val="00B534EF"/>
    <w:rsid w:val="00B55BA8"/>
    <w:rsid w:val="00B55F15"/>
    <w:rsid w:val="00B561A6"/>
    <w:rsid w:val="00B60062"/>
    <w:rsid w:val="00B62960"/>
    <w:rsid w:val="00B63A11"/>
    <w:rsid w:val="00B63FD0"/>
    <w:rsid w:val="00B65C84"/>
    <w:rsid w:val="00B6608F"/>
    <w:rsid w:val="00B74317"/>
    <w:rsid w:val="00B76D1E"/>
    <w:rsid w:val="00B77BC8"/>
    <w:rsid w:val="00B800EB"/>
    <w:rsid w:val="00B822D2"/>
    <w:rsid w:val="00B83D46"/>
    <w:rsid w:val="00B848B8"/>
    <w:rsid w:val="00B84A41"/>
    <w:rsid w:val="00B84D57"/>
    <w:rsid w:val="00B8504B"/>
    <w:rsid w:val="00B85689"/>
    <w:rsid w:val="00B86748"/>
    <w:rsid w:val="00B907EA"/>
    <w:rsid w:val="00B91EC9"/>
    <w:rsid w:val="00B924CA"/>
    <w:rsid w:val="00B92A4B"/>
    <w:rsid w:val="00B93384"/>
    <w:rsid w:val="00B94417"/>
    <w:rsid w:val="00B95566"/>
    <w:rsid w:val="00B95940"/>
    <w:rsid w:val="00B95EF8"/>
    <w:rsid w:val="00B95F50"/>
    <w:rsid w:val="00B96BD9"/>
    <w:rsid w:val="00BB0274"/>
    <w:rsid w:val="00BB1CFD"/>
    <w:rsid w:val="00BB2C53"/>
    <w:rsid w:val="00BB32DA"/>
    <w:rsid w:val="00BB3A54"/>
    <w:rsid w:val="00BB4D26"/>
    <w:rsid w:val="00BB4E21"/>
    <w:rsid w:val="00BB7746"/>
    <w:rsid w:val="00BC22EB"/>
    <w:rsid w:val="00BC682B"/>
    <w:rsid w:val="00BC6B04"/>
    <w:rsid w:val="00BC6D27"/>
    <w:rsid w:val="00BD186B"/>
    <w:rsid w:val="00BD1EAC"/>
    <w:rsid w:val="00BD254C"/>
    <w:rsid w:val="00BD3428"/>
    <w:rsid w:val="00BD366B"/>
    <w:rsid w:val="00BD534C"/>
    <w:rsid w:val="00BD55A9"/>
    <w:rsid w:val="00BD56BC"/>
    <w:rsid w:val="00BD5D91"/>
    <w:rsid w:val="00BD6445"/>
    <w:rsid w:val="00BD6615"/>
    <w:rsid w:val="00BD6D50"/>
    <w:rsid w:val="00BE0D79"/>
    <w:rsid w:val="00BE0DB0"/>
    <w:rsid w:val="00BE3381"/>
    <w:rsid w:val="00BE3F09"/>
    <w:rsid w:val="00BE670A"/>
    <w:rsid w:val="00BE6906"/>
    <w:rsid w:val="00BF18F4"/>
    <w:rsid w:val="00BF1A69"/>
    <w:rsid w:val="00BF3BC8"/>
    <w:rsid w:val="00BF3DF1"/>
    <w:rsid w:val="00BF4C31"/>
    <w:rsid w:val="00BF4E57"/>
    <w:rsid w:val="00BF53B8"/>
    <w:rsid w:val="00BF786A"/>
    <w:rsid w:val="00BF7CB8"/>
    <w:rsid w:val="00C00F20"/>
    <w:rsid w:val="00C01700"/>
    <w:rsid w:val="00C034E6"/>
    <w:rsid w:val="00C05715"/>
    <w:rsid w:val="00C05926"/>
    <w:rsid w:val="00C0784A"/>
    <w:rsid w:val="00C10B28"/>
    <w:rsid w:val="00C10D62"/>
    <w:rsid w:val="00C10FAE"/>
    <w:rsid w:val="00C11DAF"/>
    <w:rsid w:val="00C123B4"/>
    <w:rsid w:val="00C12A69"/>
    <w:rsid w:val="00C13737"/>
    <w:rsid w:val="00C150BE"/>
    <w:rsid w:val="00C158B0"/>
    <w:rsid w:val="00C15A0C"/>
    <w:rsid w:val="00C15DCB"/>
    <w:rsid w:val="00C16208"/>
    <w:rsid w:val="00C1711F"/>
    <w:rsid w:val="00C17E38"/>
    <w:rsid w:val="00C20744"/>
    <w:rsid w:val="00C20C4D"/>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40F81"/>
    <w:rsid w:val="00C41463"/>
    <w:rsid w:val="00C41A72"/>
    <w:rsid w:val="00C42D45"/>
    <w:rsid w:val="00C4422D"/>
    <w:rsid w:val="00C476C5"/>
    <w:rsid w:val="00C503B0"/>
    <w:rsid w:val="00C511C2"/>
    <w:rsid w:val="00C53CDB"/>
    <w:rsid w:val="00C53D82"/>
    <w:rsid w:val="00C54748"/>
    <w:rsid w:val="00C575FB"/>
    <w:rsid w:val="00C60696"/>
    <w:rsid w:val="00C60943"/>
    <w:rsid w:val="00C60EEF"/>
    <w:rsid w:val="00C6121D"/>
    <w:rsid w:val="00C615F1"/>
    <w:rsid w:val="00C61627"/>
    <w:rsid w:val="00C64E60"/>
    <w:rsid w:val="00C657A4"/>
    <w:rsid w:val="00C6736C"/>
    <w:rsid w:val="00C71A1D"/>
    <w:rsid w:val="00C71EC4"/>
    <w:rsid w:val="00C7591E"/>
    <w:rsid w:val="00C75C7E"/>
    <w:rsid w:val="00C75C9B"/>
    <w:rsid w:val="00C76D8E"/>
    <w:rsid w:val="00C77833"/>
    <w:rsid w:val="00C80C9B"/>
    <w:rsid w:val="00C8335E"/>
    <w:rsid w:val="00C83F9C"/>
    <w:rsid w:val="00C84CE3"/>
    <w:rsid w:val="00C85614"/>
    <w:rsid w:val="00C86127"/>
    <w:rsid w:val="00C90CF4"/>
    <w:rsid w:val="00C91C19"/>
    <w:rsid w:val="00C929A0"/>
    <w:rsid w:val="00C93389"/>
    <w:rsid w:val="00C937DB"/>
    <w:rsid w:val="00C94519"/>
    <w:rsid w:val="00C94E83"/>
    <w:rsid w:val="00C97038"/>
    <w:rsid w:val="00CA02B2"/>
    <w:rsid w:val="00CA0883"/>
    <w:rsid w:val="00CA1085"/>
    <w:rsid w:val="00CA140F"/>
    <w:rsid w:val="00CA25C2"/>
    <w:rsid w:val="00CA37BB"/>
    <w:rsid w:val="00CA37CA"/>
    <w:rsid w:val="00CA5724"/>
    <w:rsid w:val="00CA6508"/>
    <w:rsid w:val="00CA6BA1"/>
    <w:rsid w:val="00CA6CD5"/>
    <w:rsid w:val="00CB1910"/>
    <w:rsid w:val="00CB2150"/>
    <w:rsid w:val="00CB28EE"/>
    <w:rsid w:val="00CB43A7"/>
    <w:rsid w:val="00CB4DF1"/>
    <w:rsid w:val="00CB5996"/>
    <w:rsid w:val="00CB6809"/>
    <w:rsid w:val="00CB7452"/>
    <w:rsid w:val="00CC0E10"/>
    <w:rsid w:val="00CC1DAF"/>
    <w:rsid w:val="00CC2642"/>
    <w:rsid w:val="00CC2967"/>
    <w:rsid w:val="00CC2A36"/>
    <w:rsid w:val="00CC2E15"/>
    <w:rsid w:val="00CC3440"/>
    <w:rsid w:val="00CC3908"/>
    <w:rsid w:val="00CC62AD"/>
    <w:rsid w:val="00CC6CA2"/>
    <w:rsid w:val="00CC7B80"/>
    <w:rsid w:val="00CD2B3C"/>
    <w:rsid w:val="00CD30F6"/>
    <w:rsid w:val="00CD4B29"/>
    <w:rsid w:val="00CD6954"/>
    <w:rsid w:val="00CD6DA3"/>
    <w:rsid w:val="00CD6EF1"/>
    <w:rsid w:val="00CD7E35"/>
    <w:rsid w:val="00CE21C7"/>
    <w:rsid w:val="00CE2682"/>
    <w:rsid w:val="00CE2756"/>
    <w:rsid w:val="00CE442A"/>
    <w:rsid w:val="00CE505D"/>
    <w:rsid w:val="00CE57D8"/>
    <w:rsid w:val="00CE617A"/>
    <w:rsid w:val="00CE6E3C"/>
    <w:rsid w:val="00CF25D2"/>
    <w:rsid w:val="00CF28C2"/>
    <w:rsid w:val="00CF42BD"/>
    <w:rsid w:val="00CF51EC"/>
    <w:rsid w:val="00CF6A9D"/>
    <w:rsid w:val="00CF6CD7"/>
    <w:rsid w:val="00CF75EC"/>
    <w:rsid w:val="00D0037A"/>
    <w:rsid w:val="00D0061E"/>
    <w:rsid w:val="00D00DAF"/>
    <w:rsid w:val="00D017EC"/>
    <w:rsid w:val="00D01CDA"/>
    <w:rsid w:val="00D040DD"/>
    <w:rsid w:val="00D04E1B"/>
    <w:rsid w:val="00D0547B"/>
    <w:rsid w:val="00D076DB"/>
    <w:rsid w:val="00D07EFF"/>
    <w:rsid w:val="00D1067C"/>
    <w:rsid w:val="00D136D4"/>
    <w:rsid w:val="00D13830"/>
    <w:rsid w:val="00D13ECF"/>
    <w:rsid w:val="00D142E5"/>
    <w:rsid w:val="00D148CD"/>
    <w:rsid w:val="00D1611E"/>
    <w:rsid w:val="00D16E69"/>
    <w:rsid w:val="00D17F4A"/>
    <w:rsid w:val="00D205A9"/>
    <w:rsid w:val="00D217EE"/>
    <w:rsid w:val="00D245BA"/>
    <w:rsid w:val="00D26923"/>
    <w:rsid w:val="00D27856"/>
    <w:rsid w:val="00D27D34"/>
    <w:rsid w:val="00D3006B"/>
    <w:rsid w:val="00D301CA"/>
    <w:rsid w:val="00D30740"/>
    <w:rsid w:val="00D31075"/>
    <w:rsid w:val="00D31445"/>
    <w:rsid w:val="00D31932"/>
    <w:rsid w:val="00D32AE0"/>
    <w:rsid w:val="00D360DA"/>
    <w:rsid w:val="00D37689"/>
    <w:rsid w:val="00D378CC"/>
    <w:rsid w:val="00D4042C"/>
    <w:rsid w:val="00D40B9E"/>
    <w:rsid w:val="00D41281"/>
    <w:rsid w:val="00D42312"/>
    <w:rsid w:val="00D433F5"/>
    <w:rsid w:val="00D43998"/>
    <w:rsid w:val="00D451E0"/>
    <w:rsid w:val="00D45A1D"/>
    <w:rsid w:val="00D4615E"/>
    <w:rsid w:val="00D478E2"/>
    <w:rsid w:val="00D5264C"/>
    <w:rsid w:val="00D547BA"/>
    <w:rsid w:val="00D55626"/>
    <w:rsid w:val="00D556BC"/>
    <w:rsid w:val="00D5626D"/>
    <w:rsid w:val="00D56631"/>
    <w:rsid w:val="00D60277"/>
    <w:rsid w:val="00D60336"/>
    <w:rsid w:val="00D61F88"/>
    <w:rsid w:val="00D62901"/>
    <w:rsid w:val="00D6470C"/>
    <w:rsid w:val="00D64853"/>
    <w:rsid w:val="00D64CB5"/>
    <w:rsid w:val="00D66D48"/>
    <w:rsid w:val="00D7162F"/>
    <w:rsid w:val="00D72897"/>
    <w:rsid w:val="00D73256"/>
    <w:rsid w:val="00D73A30"/>
    <w:rsid w:val="00D74C65"/>
    <w:rsid w:val="00D75DC2"/>
    <w:rsid w:val="00D766EF"/>
    <w:rsid w:val="00D76C03"/>
    <w:rsid w:val="00D77F8D"/>
    <w:rsid w:val="00D8119B"/>
    <w:rsid w:val="00D82462"/>
    <w:rsid w:val="00D868CE"/>
    <w:rsid w:val="00D86DAE"/>
    <w:rsid w:val="00D90116"/>
    <w:rsid w:val="00D90C1E"/>
    <w:rsid w:val="00D91BDF"/>
    <w:rsid w:val="00D91F2C"/>
    <w:rsid w:val="00D93F09"/>
    <w:rsid w:val="00D954C2"/>
    <w:rsid w:val="00D97BB8"/>
    <w:rsid w:val="00DA1318"/>
    <w:rsid w:val="00DA1382"/>
    <w:rsid w:val="00DA28B7"/>
    <w:rsid w:val="00DA2FE8"/>
    <w:rsid w:val="00DA4AF6"/>
    <w:rsid w:val="00DB016E"/>
    <w:rsid w:val="00DB06E9"/>
    <w:rsid w:val="00DB19BD"/>
    <w:rsid w:val="00DB1D55"/>
    <w:rsid w:val="00DB378E"/>
    <w:rsid w:val="00DB3E9D"/>
    <w:rsid w:val="00DB47B9"/>
    <w:rsid w:val="00DB4FB8"/>
    <w:rsid w:val="00DB53CE"/>
    <w:rsid w:val="00DB549D"/>
    <w:rsid w:val="00DB5792"/>
    <w:rsid w:val="00DB6A88"/>
    <w:rsid w:val="00DB7BA4"/>
    <w:rsid w:val="00DC226A"/>
    <w:rsid w:val="00DC257F"/>
    <w:rsid w:val="00DC350B"/>
    <w:rsid w:val="00DC3790"/>
    <w:rsid w:val="00DC408A"/>
    <w:rsid w:val="00DC436D"/>
    <w:rsid w:val="00DC519B"/>
    <w:rsid w:val="00DC5B3B"/>
    <w:rsid w:val="00DC6796"/>
    <w:rsid w:val="00DC78DF"/>
    <w:rsid w:val="00DC7D4C"/>
    <w:rsid w:val="00DD0821"/>
    <w:rsid w:val="00DD0E32"/>
    <w:rsid w:val="00DD2872"/>
    <w:rsid w:val="00DD2BFE"/>
    <w:rsid w:val="00DD373E"/>
    <w:rsid w:val="00DD57AD"/>
    <w:rsid w:val="00DE009B"/>
    <w:rsid w:val="00DE0C31"/>
    <w:rsid w:val="00DE2ED9"/>
    <w:rsid w:val="00DE319A"/>
    <w:rsid w:val="00DF0615"/>
    <w:rsid w:val="00DF0DC3"/>
    <w:rsid w:val="00DF21FD"/>
    <w:rsid w:val="00DF2873"/>
    <w:rsid w:val="00DF293C"/>
    <w:rsid w:val="00DF4C74"/>
    <w:rsid w:val="00DF5578"/>
    <w:rsid w:val="00DF78DD"/>
    <w:rsid w:val="00DF7FEC"/>
    <w:rsid w:val="00E01C0E"/>
    <w:rsid w:val="00E02086"/>
    <w:rsid w:val="00E02740"/>
    <w:rsid w:val="00E03B27"/>
    <w:rsid w:val="00E04694"/>
    <w:rsid w:val="00E049F6"/>
    <w:rsid w:val="00E04CA9"/>
    <w:rsid w:val="00E05B2B"/>
    <w:rsid w:val="00E06A2A"/>
    <w:rsid w:val="00E07F05"/>
    <w:rsid w:val="00E127E1"/>
    <w:rsid w:val="00E144D2"/>
    <w:rsid w:val="00E144D6"/>
    <w:rsid w:val="00E15346"/>
    <w:rsid w:val="00E15B7D"/>
    <w:rsid w:val="00E2097E"/>
    <w:rsid w:val="00E215EA"/>
    <w:rsid w:val="00E21CAB"/>
    <w:rsid w:val="00E221FC"/>
    <w:rsid w:val="00E22E78"/>
    <w:rsid w:val="00E24619"/>
    <w:rsid w:val="00E25223"/>
    <w:rsid w:val="00E263A8"/>
    <w:rsid w:val="00E30BEA"/>
    <w:rsid w:val="00E31764"/>
    <w:rsid w:val="00E32BC2"/>
    <w:rsid w:val="00E34985"/>
    <w:rsid w:val="00E34E4A"/>
    <w:rsid w:val="00E365B3"/>
    <w:rsid w:val="00E366BB"/>
    <w:rsid w:val="00E37C45"/>
    <w:rsid w:val="00E40AAA"/>
    <w:rsid w:val="00E42444"/>
    <w:rsid w:val="00E438CF"/>
    <w:rsid w:val="00E43B06"/>
    <w:rsid w:val="00E43C41"/>
    <w:rsid w:val="00E4500E"/>
    <w:rsid w:val="00E450CE"/>
    <w:rsid w:val="00E45A00"/>
    <w:rsid w:val="00E45CE7"/>
    <w:rsid w:val="00E4631F"/>
    <w:rsid w:val="00E46A4A"/>
    <w:rsid w:val="00E47CB8"/>
    <w:rsid w:val="00E522BB"/>
    <w:rsid w:val="00E539E4"/>
    <w:rsid w:val="00E569C7"/>
    <w:rsid w:val="00E571F2"/>
    <w:rsid w:val="00E57429"/>
    <w:rsid w:val="00E61EA8"/>
    <w:rsid w:val="00E64EA1"/>
    <w:rsid w:val="00E669C7"/>
    <w:rsid w:val="00E70510"/>
    <w:rsid w:val="00E71262"/>
    <w:rsid w:val="00E71A58"/>
    <w:rsid w:val="00E737F6"/>
    <w:rsid w:val="00E7568F"/>
    <w:rsid w:val="00E764AE"/>
    <w:rsid w:val="00E7724B"/>
    <w:rsid w:val="00E84F21"/>
    <w:rsid w:val="00E8618A"/>
    <w:rsid w:val="00E90A4B"/>
    <w:rsid w:val="00E90F73"/>
    <w:rsid w:val="00E910A7"/>
    <w:rsid w:val="00E91607"/>
    <w:rsid w:val="00E921C7"/>
    <w:rsid w:val="00E92995"/>
    <w:rsid w:val="00E94612"/>
    <w:rsid w:val="00E95797"/>
    <w:rsid w:val="00E9682F"/>
    <w:rsid w:val="00E96A8D"/>
    <w:rsid w:val="00E972BA"/>
    <w:rsid w:val="00E97FA2"/>
    <w:rsid w:val="00EA06CB"/>
    <w:rsid w:val="00EA0AF3"/>
    <w:rsid w:val="00EA0C68"/>
    <w:rsid w:val="00EA19E2"/>
    <w:rsid w:val="00EA3EBE"/>
    <w:rsid w:val="00EA3FAC"/>
    <w:rsid w:val="00EA4153"/>
    <w:rsid w:val="00EA5CD6"/>
    <w:rsid w:val="00EA76FD"/>
    <w:rsid w:val="00EB03D4"/>
    <w:rsid w:val="00EB0555"/>
    <w:rsid w:val="00EB20A0"/>
    <w:rsid w:val="00EB30B6"/>
    <w:rsid w:val="00EB4FA4"/>
    <w:rsid w:val="00EB5146"/>
    <w:rsid w:val="00EB522B"/>
    <w:rsid w:val="00EB55E9"/>
    <w:rsid w:val="00EB5641"/>
    <w:rsid w:val="00EB5CA9"/>
    <w:rsid w:val="00EB5ED4"/>
    <w:rsid w:val="00EB6537"/>
    <w:rsid w:val="00EB70E1"/>
    <w:rsid w:val="00EB7EB5"/>
    <w:rsid w:val="00EC0860"/>
    <w:rsid w:val="00EC424C"/>
    <w:rsid w:val="00EC454B"/>
    <w:rsid w:val="00EC6153"/>
    <w:rsid w:val="00EC7F92"/>
    <w:rsid w:val="00ED00A8"/>
    <w:rsid w:val="00ED0A79"/>
    <w:rsid w:val="00ED2989"/>
    <w:rsid w:val="00ED2CA5"/>
    <w:rsid w:val="00ED336F"/>
    <w:rsid w:val="00ED3A94"/>
    <w:rsid w:val="00ED40F0"/>
    <w:rsid w:val="00ED4AC0"/>
    <w:rsid w:val="00ED54D6"/>
    <w:rsid w:val="00ED5726"/>
    <w:rsid w:val="00EE0113"/>
    <w:rsid w:val="00EE0298"/>
    <w:rsid w:val="00EE0384"/>
    <w:rsid w:val="00EE10AA"/>
    <w:rsid w:val="00EE1637"/>
    <w:rsid w:val="00EE3B7A"/>
    <w:rsid w:val="00EE3E78"/>
    <w:rsid w:val="00EE495A"/>
    <w:rsid w:val="00EE5E02"/>
    <w:rsid w:val="00EE617D"/>
    <w:rsid w:val="00EE61BF"/>
    <w:rsid w:val="00EE6538"/>
    <w:rsid w:val="00EE6748"/>
    <w:rsid w:val="00EE6C6B"/>
    <w:rsid w:val="00EF0E75"/>
    <w:rsid w:val="00EF1F5A"/>
    <w:rsid w:val="00EF4685"/>
    <w:rsid w:val="00EF5397"/>
    <w:rsid w:val="00EF6BE3"/>
    <w:rsid w:val="00F00D0E"/>
    <w:rsid w:val="00F00D3C"/>
    <w:rsid w:val="00F04811"/>
    <w:rsid w:val="00F0488C"/>
    <w:rsid w:val="00F0496E"/>
    <w:rsid w:val="00F04D10"/>
    <w:rsid w:val="00F053EA"/>
    <w:rsid w:val="00F0625B"/>
    <w:rsid w:val="00F101FF"/>
    <w:rsid w:val="00F104DF"/>
    <w:rsid w:val="00F10A33"/>
    <w:rsid w:val="00F10B64"/>
    <w:rsid w:val="00F1186C"/>
    <w:rsid w:val="00F14ACD"/>
    <w:rsid w:val="00F15BEF"/>
    <w:rsid w:val="00F172BE"/>
    <w:rsid w:val="00F1776C"/>
    <w:rsid w:val="00F2037E"/>
    <w:rsid w:val="00F20D17"/>
    <w:rsid w:val="00F2103E"/>
    <w:rsid w:val="00F214FC"/>
    <w:rsid w:val="00F21C31"/>
    <w:rsid w:val="00F23825"/>
    <w:rsid w:val="00F23FFF"/>
    <w:rsid w:val="00F2441D"/>
    <w:rsid w:val="00F24FAA"/>
    <w:rsid w:val="00F26197"/>
    <w:rsid w:val="00F273D4"/>
    <w:rsid w:val="00F307DD"/>
    <w:rsid w:val="00F318FC"/>
    <w:rsid w:val="00F31F76"/>
    <w:rsid w:val="00F325A3"/>
    <w:rsid w:val="00F3364D"/>
    <w:rsid w:val="00F35ACD"/>
    <w:rsid w:val="00F365BF"/>
    <w:rsid w:val="00F36BF8"/>
    <w:rsid w:val="00F375BA"/>
    <w:rsid w:val="00F37760"/>
    <w:rsid w:val="00F403D1"/>
    <w:rsid w:val="00F43921"/>
    <w:rsid w:val="00F44E1B"/>
    <w:rsid w:val="00F4524F"/>
    <w:rsid w:val="00F45530"/>
    <w:rsid w:val="00F4591F"/>
    <w:rsid w:val="00F47321"/>
    <w:rsid w:val="00F4736B"/>
    <w:rsid w:val="00F47997"/>
    <w:rsid w:val="00F47D05"/>
    <w:rsid w:val="00F50030"/>
    <w:rsid w:val="00F502F5"/>
    <w:rsid w:val="00F50B9D"/>
    <w:rsid w:val="00F51FC9"/>
    <w:rsid w:val="00F53243"/>
    <w:rsid w:val="00F541ED"/>
    <w:rsid w:val="00F54B31"/>
    <w:rsid w:val="00F54FD3"/>
    <w:rsid w:val="00F55605"/>
    <w:rsid w:val="00F57CD7"/>
    <w:rsid w:val="00F62F02"/>
    <w:rsid w:val="00F6339F"/>
    <w:rsid w:val="00F63DDE"/>
    <w:rsid w:val="00F63FB7"/>
    <w:rsid w:val="00F64726"/>
    <w:rsid w:val="00F6561A"/>
    <w:rsid w:val="00F70309"/>
    <w:rsid w:val="00F7078A"/>
    <w:rsid w:val="00F70E45"/>
    <w:rsid w:val="00F727D5"/>
    <w:rsid w:val="00F72F44"/>
    <w:rsid w:val="00F73A0C"/>
    <w:rsid w:val="00F759DC"/>
    <w:rsid w:val="00F7717C"/>
    <w:rsid w:val="00F771A5"/>
    <w:rsid w:val="00F817A4"/>
    <w:rsid w:val="00F81C3A"/>
    <w:rsid w:val="00F835FC"/>
    <w:rsid w:val="00F8373A"/>
    <w:rsid w:val="00F83E21"/>
    <w:rsid w:val="00F83FA4"/>
    <w:rsid w:val="00F84E18"/>
    <w:rsid w:val="00F852E5"/>
    <w:rsid w:val="00F9310A"/>
    <w:rsid w:val="00F95117"/>
    <w:rsid w:val="00F97ED2"/>
    <w:rsid w:val="00FA05D7"/>
    <w:rsid w:val="00FA1C6C"/>
    <w:rsid w:val="00FA2447"/>
    <w:rsid w:val="00FA2C2A"/>
    <w:rsid w:val="00FA309A"/>
    <w:rsid w:val="00FA7644"/>
    <w:rsid w:val="00FB0A9A"/>
    <w:rsid w:val="00FB16AD"/>
    <w:rsid w:val="00FB483B"/>
    <w:rsid w:val="00FB56F1"/>
    <w:rsid w:val="00FB5FD4"/>
    <w:rsid w:val="00FB67F3"/>
    <w:rsid w:val="00FC0D8A"/>
    <w:rsid w:val="00FC0E5F"/>
    <w:rsid w:val="00FC135D"/>
    <w:rsid w:val="00FC3C84"/>
    <w:rsid w:val="00FC4660"/>
    <w:rsid w:val="00FC56DE"/>
    <w:rsid w:val="00FC5E01"/>
    <w:rsid w:val="00FD1261"/>
    <w:rsid w:val="00FD1627"/>
    <w:rsid w:val="00FD1BBD"/>
    <w:rsid w:val="00FD473D"/>
    <w:rsid w:val="00FD61C8"/>
    <w:rsid w:val="00FD63CE"/>
    <w:rsid w:val="00FD7D49"/>
    <w:rsid w:val="00FE1251"/>
    <w:rsid w:val="00FE16E6"/>
    <w:rsid w:val="00FE2F78"/>
    <w:rsid w:val="00FE3510"/>
    <w:rsid w:val="00FE371D"/>
    <w:rsid w:val="00FE375F"/>
    <w:rsid w:val="00FE3D8B"/>
    <w:rsid w:val="00FE4FCB"/>
    <w:rsid w:val="00FE688F"/>
    <w:rsid w:val="00FE705E"/>
    <w:rsid w:val="00FF02EB"/>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kas.kucera@czso.cz" TargetMode="Externa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A4A6D-D05E-47E2-987E-CBCB919D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1048</TotalTime>
  <Pages>23</Pages>
  <Words>12204</Words>
  <Characters>72008</Characters>
  <Application>Microsoft Office Word</Application>
  <DocSecurity>0</DocSecurity>
  <Lines>600</Lines>
  <Paragraphs>168</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403</cp:revision>
  <cp:lastPrinted>2015-06-19T06:21:00Z</cp:lastPrinted>
  <dcterms:created xsi:type="dcterms:W3CDTF">2015-12-16T13:30:00Z</dcterms:created>
  <dcterms:modified xsi:type="dcterms:W3CDTF">2016-06-21T05:35:00Z</dcterms:modified>
</cp:coreProperties>
</file>