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Default="00576A3E" w:rsidP="00521512">
      <w:pPr>
        <w:pStyle w:val="Nadpis1"/>
        <w:numPr>
          <w:ilvl w:val="0"/>
          <w:numId w:val="6"/>
        </w:numPr>
        <w:jc w:val="both"/>
      </w:pPr>
      <w:bookmarkStart w:id="0" w:name="_Toc454185151"/>
      <w:r>
        <w:t>Vnější ekonomické vztahy</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7"/>
        <w:gridCol w:w="282"/>
        <w:gridCol w:w="7495"/>
      </w:tblGrid>
      <w:tr w:rsidR="00CE6E3C" w:rsidRPr="008F2F8F" w:rsidTr="0002434F">
        <w:tc>
          <w:tcPr>
            <w:tcW w:w="1054" w:type="pct"/>
            <w:tcBorders>
              <w:top w:val="nil"/>
              <w:left w:val="nil"/>
              <w:bottom w:val="nil"/>
              <w:right w:val="nil"/>
            </w:tcBorders>
          </w:tcPr>
          <w:p w:rsidR="00CE6E3C" w:rsidRPr="00F92F34" w:rsidRDefault="00CE6E3C" w:rsidP="0002434F">
            <w:pPr>
              <w:spacing w:line="240" w:lineRule="auto"/>
              <w:rPr>
                <w:sz w:val="16"/>
                <w:szCs w:val="16"/>
              </w:rPr>
            </w:pPr>
            <w:r w:rsidRPr="00F92F34">
              <w:rPr>
                <w:sz w:val="16"/>
                <w:szCs w:val="16"/>
              </w:rPr>
              <w:t xml:space="preserve">Přebytek běžného účtu platební bilance překonal v 1. čtvrtletí 2016 poprvé hranici 100 mld. korun… </w:t>
            </w:r>
          </w:p>
        </w:tc>
        <w:tc>
          <w:tcPr>
            <w:tcW w:w="143" w:type="pct"/>
            <w:tcBorders>
              <w:top w:val="nil"/>
              <w:left w:val="nil"/>
              <w:bottom w:val="nil"/>
              <w:right w:val="nil"/>
            </w:tcBorders>
          </w:tcPr>
          <w:p w:rsidR="00CE6E3C" w:rsidRPr="00D279F9" w:rsidRDefault="00CE6E3C" w:rsidP="0002434F">
            <w:pPr>
              <w:pStyle w:val="Textpoznpodarou"/>
              <w:jc w:val="both"/>
              <w:rPr>
                <w:color w:val="FF0000"/>
              </w:rPr>
            </w:pPr>
          </w:p>
        </w:tc>
        <w:tc>
          <w:tcPr>
            <w:tcW w:w="3803" w:type="pct"/>
            <w:tcBorders>
              <w:top w:val="nil"/>
              <w:left w:val="nil"/>
              <w:bottom w:val="nil"/>
              <w:right w:val="nil"/>
            </w:tcBorders>
          </w:tcPr>
          <w:p w:rsidR="00CE6E3C" w:rsidRPr="00F92F34" w:rsidRDefault="00CE6E3C" w:rsidP="0002434F">
            <w:pPr>
              <w:pStyle w:val="Textpoznpodarou"/>
              <w:jc w:val="both"/>
              <w:rPr>
                <w:spacing w:val="-2"/>
              </w:rPr>
            </w:pPr>
            <w:r w:rsidRPr="003976DC">
              <w:rPr>
                <w:spacing w:val="-2"/>
              </w:rPr>
              <w:t xml:space="preserve">Saldo běžného účtu platební bilance dosahuje přebytku v 1. čtvrtletí pravidelně od roku 2005 a nejinak tomu bylo i v lednu až březnu 2016. Mimořádná byla ale </w:t>
            </w:r>
            <w:r w:rsidRPr="003976DC">
              <w:rPr>
                <w:spacing w:val="-4"/>
              </w:rPr>
              <w:t>velikost tohoto přebytku, neboť poprvé v historii překročil 100 mld. korun (113,8</w:t>
            </w:r>
            <w:r w:rsidRPr="003976DC">
              <w:rPr>
                <w:spacing w:val="-2"/>
              </w:rPr>
              <w:t xml:space="preserve"> mld.) a výjimečně vysoký byl i jeho poměr </w:t>
            </w:r>
            <w:r w:rsidRPr="003976DC">
              <w:rPr>
                <w:spacing w:val="-4"/>
              </w:rPr>
              <w:t>k HDP v </w:t>
            </w:r>
            <w:proofErr w:type="spellStart"/>
            <w:r w:rsidRPr="003976DC">
              <w:rPr>
                <w:spacing w:val="-4"/>
              </w:rPr>
              <w:t>anualizovaném</w:t>
            </w:r>
            <w:proofErr w:type="spellEnd"/>
            <w:r w:rsidRPr="003976DC">
              <w:rPr>
                <w:spacing w:val="-4"/>
              </w:rPr>
              <w:t xml:space="preserve"> vyjádření (1,4 %). Převaha příjmů nad výdaji na</w:t>
            </w:r>
            <w:r w:rsidRPr="003976DC">
              <w:rPr>
                <w:spacing w:val="-2"/>
              </w:rPr>
              <w:t xml:space="preserve"> kapitálovém </w:t>
            </w:r>
            <w:r w:rsidRPr="003976DC">
              <w:rPr>
                <w:spacing w:val="-6"/>
              </w:rPr>
              <w:t>účtu, která v úhrnu za celý rok 2015 dosáhla díky dočerpávání peněz z fondů EU 106,1 mld</w:t>
            </w:r>
            <w:r w:rsidRPr="003976DC">
              <w:rPr>
                <w:spacing w:val="-2"/>
              </w:rPr>
              <w:t>. a v samotném 1. </w:t>
            </w:r>
            <w:r>
              <w:rPr>
                <w:spacing w:val="-2"/>
              </w:rPr>
              <w:t>č</w:t>
            </w:r>
            <w:r w:rsidRPr="003976DC">
              <w:rPr>
                <w:spacing w:val="-2"/>
              </w:rPr>
              <w:t>tvrtletí</w:t>
            </w:r>
            <w:r>
              <w:rPr>
                <w:spacing w:val="-2"/>
              </w:rPr>
              <w:t xml:space="preserve"> loňského roku činila</w:t>
            </w:r>
            <w:r w:rsidRPr="003976DC">
              <w:rPr>
                <w:spacing w:val="-2"/>
              </w:rPr>
              <w:t xml:space="preserve"> 30,7 mld., poklesla</w:t>
            </w:r>
            <w:r>
              <w:rPr>
                <w:spacing w:val="-2"/>
              </w:rPr>
              <w:t xml:space="preserve"> meziročně</w:t>
            </w:r>
            <w:r w:rsidRPr="003976DC">
              <w:rPr>
                <w:spacing w:val="-2"/>
              </w:rPr>
              <w:t xml:space="preserve"> </w:t>
            </w:r>
            <w:r>
              <w:rPr>
                <w:spacing w:val="-2"/>
              </w:rPr>
              <w:t xml:space="preserve">zhruba o 40 % </w:t>
            </w:r>
            <w:r w:rsidRPr="003976DC">
              <w:rPr>
                <w:spacing w:val="-2"/>
              </w:rPr>
              <w:t>na 18,4 mld. letos. Na finančním účtu již tradičně (pokud jde o 1. čtvrtletí roku) převládal nad přílivem finančních prostředků do</w:t>
            </w:r>
            <w:r>
              <w:rPr>
                <w:spacing w:val="-2"/>
              </w:rPr>
              <w:t> ČR </w:t>
            </w:r>
            <w:r w:rsidRPr="003976DC">
              <w:rPr>
                <w:spacing w:val="-2"/>
              </w:rPr>
              <w:t xml:space="preserve">jejich odliv do zahraničí, za první tři měsíce 2016 </w:t>
            </w:r>
            <w:r w:rsidR="00CC3440">
              <w:rPr>
                <w:spacing w:val="-2"/>
              </w:rPr>
              <w:t>činil čistý odliv</w:t>
            </w:r>
            <w:r w:rsidRPr="00F92F34">
              <w:rPr>
                <w:spacing w:val="-2"/>
              </w:rPr>
              <w:t xml:space="preserve"> 109,1 mld. korun. Participovaly na tom ostatní investice,</w:t>
            </w:r>
            <w:r>
              <w:rPr>
                <w:spacing w:val="-2"/>
              </w:rPr>
              <w:t xml:space="preserve"> </w:t>
            </w:r>
            <w:r w:rsidRPr="00F92F34">
              <w:rPr>
                <w:spacing w:val="-2"/>
              </w:rPr>
              <w:t>především ale nárůst rezervních aktiv.</w:t>
            </w:r>
          </w:p>
          <w:p w:rsidR="00CE6E3C" w:rsidRPr="00CE6E3C" w:rsidRDefault="00CE6E3C" w:rsidP="0002434F">
            <w:pPr>
              <w:pStyle w:val="Textpoznpodarou"/>
              <w:jc w:val="both"/>
              <w:rPr>
                <w:color w:val="FF0000"/>
                <w:sz w:val="14"/>
                <w:szCs w:val="14"/>
              </w:rPr>
            </w:pPr>
          </w:p>
        </w:tc>
      </w:tr>
      <w:tr w:rsidR="00CE6E3C" w:rsidRPr="008F2F8F" w:rsidTr="0002434F">
        <w:tc>
          <w:tcPr>
            <w:tcW w:w="1054" w:type="pct"/>
            <w:tcBorders>
              <w:top w:val="nil"/>
              <w:left w:val="nil"/>
              <w:bottom w:val="nil"/>
              <w:right w:val="nil"/>
            </w:tcBorders>
          </w:tcPr>
          <w:p w:rsidR="00CE6E3C" w:rsidRPr="00D279F9" w:rsidRDefault="00CE6E3C" w:rsidP="0002434F">
            <w:pPr>
              <w:spacing w:line="240" w:lineRule="auto"/>
              <w:rPr>
                <w:color w:val="FF0000"/>
                <w:sz w:val="16"/>
                <w:szCs w:val="16"/>
              </w:rPr>
            </w:pPr>
            <w:r w:rsidRPr="00F92F34">
              <w:rPr>
                <w:sz w:val="16"/>
                <w:szCs w:val="16"/>
              </w:rPr>
              <w:t>… díky meziročnímu snížení deficitu prvotních důchodů při růstu přebytku výkonové bilance</w:t>
            </w:r>
          </w:p>
        </w:tc>
        <w:tc>
          <w:tcPr>
            <w:tcW w:w="143" w:type="pct"/>
            <w:tcBorders>
              <w:top w:val="nil"/>
              <w:left w:val="nil"/>
              <w:bottom w:val="nil"/>
              <w:right w:val="nil"/>
            </w:tcBorders>
          </w:tcPr>
          <w:p w:rsidR="00CE6E3C" w:rsidRPr="00D279F9" w:rsidRDefault="00CE6E3C" w:rsidP="0002434F">
            <w:pPr>
              <w:pStyle w:val="Textpoznpodarou"/>
              <w:jc w:val="both"/>
              <w:rPr>
                <w:color w:val="FF0000"/>
              </w:rPr>
            </w:pPr>
          </w:p>
        </w:tc>
        <w:tc>
          <w:tcPr>
            <w:tcW w:w="3803" w:type="pct"/>
            <w:tcBorders>
              <w:top w:val="nil"/>
              <w:left w:val="nil"/>
              <w:bottom w:val="nil"/>
              <w:right w:val="nil"/>
            </w:tcBorders>
          </w:tcPr>
          <w:p w:rsidR="00CE6E3C" w:rsidRPr="00175096" w:rsidRDefault="00CE6E3C" w:rsidP="0002434F">
            <w:pPr>
              <w:pStyle w:val="Textpoznpodarou"/>
              <w:jc w:val="both"/>
              <w:rPr>
                <w:color w:val="FF0000"/>
                <w:spacing w:val="-4"/>
              </w:rPr>
            </w:pPr>
            <w:r w:rsidRPr="00F92F34">
              <w:rPr>
                <w:spacing w:val="-4"/>
              </w:rPr>
              <w:t xml:space="preserve">Přebytek běžného účtu se v 1. čtvrtletí letošního roku zvýšil v meziročním srovnání o 21,9 mld. korun. Na jeho zlepšení (ke kterému docházelo již třetím rokem) se v největší míře podílel </w:t>
            </w:r>
            <w:r w:rsidRPr="005C3999">
              <w:rPr>
                <w:spacing w:val="-4"/>
              </w:rPr>
              <w:t>pokles deficitu prvotních důchodů (o 13,9 mld.) související se slabším odlivem důchodů z přímých investic a nárůst přebytku obchodní bilance (o 13,4 mld.). Při mírném meziročním</w:t>
            </w:r>
            <w:r w:rsidRPr="00F92F34">
              <w:rPr>
                <w:spacing w:val="-4"/>
              </w:rPr>
              <w:t xml:space="preserve"> zlepšení bilance služeb (o 2,1 mld.) působily na běžný účet negativně pouze druhotné důchody (pokles přebytku o 7,5 mld. korun).</w:t>
            </w:r>
          </w:p>
          <w:p w:rsidR="00CE6E3C" w:rsidRPr="00D279F9" w:rsidRDefault="00CE6E3C" w:rsidP="0002434F">
            <w:pPr>
              <w:pStyle w:val="Textpoznpodarou"/>
              <w:jc w:val="both"/>
              <w:rPr>
                <w:color w:val="FF0000"/>
                <w:sz w:val="16"/>
                <w:szCs w:val="16"/>
              </w:rPr>
            </w:pPr>
          </w:p>
        </w:tc>
      </w:tr>
      <w:tr w:rsidR="00CE6E3C" w:rsidRPr="008F2F8F" w:rsidTr="0002434F">
        <w:tc>
          <w:tcPr>
            <w:tcW w:w="1054" w:type="pct"/>
            <w:tcBorders>
              <w:top w:val="nil"/>
              <w:left w:val="nil"/>
              <w:bottom w:val="nil"/>
              <w:right w:val="nil"/>
            </w:tcBorders>
          </w:tcPr>
          <w:p w:rsidR="00CE6E3C" w:rsidRPr="00467602" w:rsidRDefault="00CE6E3C" w:rsidP="0002434F">
            <w:pPr>
              <w:spacing w:line="240" w:lineRule="auto"/>
              <w:rPr>
                <w:sz w:val="16"/>
                <w:szCs w:val="16"/>
              </w:rPr>
            </w:pPr>
            <w:r w:rsidRPr="00467602">
              <w:rPr>
                <w:sz w:val="16"/>
                <w:szCs w:val="16"/>
              </w:rPr>
              <w:t>Zdrojem deficitu finančního účtu byla především rostoucí rezervní aktiva související s intervenčním režimem ČNB</w:t>
            </w:r>
          </w:p>
        </w:tc>
        <w:tc>
          <w:tcPr>
            <w:tcW w:w="143" w:type="pct"/>
            <w:tcBorders>
              <w:top w:val="nil"/>
              <w:left w:val="nil"/>
              <w:bottom w:val="nil"/>
              <w:right w:val="nil"/>
            </w:tcBorders>
          </w:tcPr>
          <w:p w:rsidR="00CE6E3C" w:rsidRPr="00D279F9" w:rsidRDefault="00CE6E3C" w:rsidP="0002434F">
            <w:pPr>
              <w:pStyle w:val="Textpoznpodarou"/>
              <w:jc w:val="both"/>
              <w:rPr>
                <w:color w:val="FF0000"/>
              </w:rPr>
            </w:pPr>
          </w:p>
        </w:tc>
        <w:tc>
          <w:tcPr>
            <w:tcW w:w="3803" w:type="pct"/>
            <w:tcBorders>
              <w:top w:val="nil"/>
              <w:left w:val="nil"/>
              <w:bottom w:val="nil"/>
              <w:right w:val="nil"/>
            </w:tcBorders>
          </w:tcPr>
          <w:p w:rsidR="00CE6E3C" w:rsidRPr="00D279F9" w:rsidRDefault="00CE6E3C" w:rsidP="0002434F">
            <w:pPr>
              <w:pStyle w:val="Textpoznpodarou"/>
              <w:jc w:val="both"/>
              <w:rPr>
                <w:color w:val="FF0000"/>
              </w:rPr>
            </w:pPr>
            <w:r w:rsidRPr="005C3999">
              <w:rPr>
                <w:spacing w:val="-2"/>
              </w:rPr>
              <w:t>Přiliv přímých investic do české ekonomiky se v 1. čtvrtletí 2016 snížil na 22,2</w:t>
            </w:r>
            <w:r w:rsidRPr="005C3999">
              <w:t xml:space="preserve"> mld. korun a v rámci prvních čtvrtletí byl nejslabší od roku 2011, kdy se zahraniční investoři svých investic v České republice zbavovaly (došlo ke stažení přímých investic v rozsahu 24 mld.). </w:t>
            </w:r>
            <w:r>
              <w:t xml:space="preserve">Tuzemské společnosti navýšily své přímé investice v zahraničí ve stejném rozsahu jako zahraniční investoři v ČR a saldo přímých investic bylo nulové. </w:t>
            </w:r>
            <w:r w:rsidRPr="00467602">
              <w:t xml:space="preserve">Na odlivu peněz z Česka do ciziny se 24,7 miliardami podílelo saldo ostatních investic, z pohledu celkové deficitu finančního účtu byl </w:t>
            </w:r>
            <w:r w:rsidR="004529C7" w:rsidRPr="00467602">
              <w:t xml:space="preserve">ale </w:t>
            </w:r>
            <w:r w:rsidRPr="00467602">
              <w:t>klíčovým nárůst rezervních aktiv o 150,9 mld. daný pokračujícími intervencemi ČNB proti posilující české koruně.</w:t>
            </w:r>
          </w:p>
          <w:p w:rsidR="00CE6E3C" w:rsidRPr="00CE6E3C" w:rsidRDefault="00CE6E3C" w:rsidP="0002434F">
            <w:pPr>
              <w:pStyle w:val="Textpoznpodarou"/>
              <w:jc w:val="both"/>
              <w:rPr>
                <w:color w:val="FF0000"/>
                <w:sz w:val="14"/>
                <w:szCs w:val="14"/>
              </w:rPr>
            </w:pPr>
          </w:p>
        </w:tc>
      </w:tr>
      <w:tr w:rsidR="00CE6E3C" w:rsidRPr="008F2F8F" w:rsidTr="0002434F">
        <w:tc>
          <w:tcPr>
            <w:tcW w:w="1054" w:type="pct"/>
            <w:tcBorders>
              <w:top w:val="nil"/>
              <w:left w:val="nil"/>
              <w:bottom w:val="nil"/>
              <w:right w:val="nil"/>
            </w:tcBorders>
          </w:tcPr>
          <w:p w:rsidR="00CE6E3C" w:rsidRPr="00D279F9" w:rsidRDefault="00CE6E3C" w:rsidP="0002434F">
            <w:pPr>
              <w:spacing w:line="240" w:lineRule="auto"/>
              <w:rPr>
                <w:color w:val="FF0000"/>
                <w:sz w:val="16"/>
                <w:szCs w:val="16"/>
              </w:rPr>
            </w:pPr>
            <w:r w:rsidRPr="00397542">
              <w:rPr>
                <w:sz w:val="16"/>
                <w:szCs w:val="16"/>
              </w:rPr>
              <w:t xml:space="preserve">Zájem zahraničních investorů o tuzemské </w:t>
            </w:r>
            <w:r>
              <w:rPr>
                <w:sz w:val="16"/>
                <w:szCs w:val="16"/>
              </w:rPr>
              <w:t>vládní</w:t>
            </w:r>
            <w:r w:rsidRPr="00397542">
              <w:rPr>
                <w:sz w:val="16"/>
                <w:szCs w:val="16"/>
              </w:rPr>
              <w:t xml:space="preserve"> dluhopisy trvá – během prvních tří měsíců letošního roku jich nakoupily za 81,4 mld. korun</w:t>
            </w:r>
          </w:p>
        </w:tc>
        <w:tc>
          <w:tcPr>
            <w:tcW w:w="143" w:type="pct"/>
            <w:tcBorders>
              <w:top w:val="nil"/>
              <w:left w:val="nil"/>
              <w:bottom w:val="nil"/>
              <w:right w:val="nil"/>
            </w:tcBorders>
          </w:tcPr>
          <w:p w:rsidR="00CE6E3C" w:rsidRPr="00D279F9" w:rsidRDefault="00CE6E3C" w:rsidP="0002434F">
            <w:pPr>
              <w:pStyle w:val="Textpoznpodarou"/>
              <w:jc w:val="both"/>
              <w:rPr>
                <w:color w:val="FF0000"/>
              </w:rPr>
            </w:pPr>
          </w:p>
        </w:tc>
        <w:tc>
          <w:tcPr>
            <w:tcW w:w="3803" w:type="pct"/>
            <w:tcBorders>
              <w:top w:val="nil"/>
              <w:left w:val="nil"/>
              <w:bottom w:val="nil"/>
              <w:right w:val="nil"/>
            </w:tcBorders>
          </w:tcPr>
          <w:p w:rsidR="00CE6E3C" w:rsidRPr="009251D2" w:rsidRDefault="00CE6E3C" w:rsidP="0002434F">
            <w:pPr>
              <w:pStyle w:val="Textpoznpodarou"/>
              <w:jc w:val="both"/>
              <w:rPr>
                <w:color w:val="FF0000"/>
                <w:spacing w:val="-2"/>
              </w:rPr>
            </w:pPr>
            <w:r w:rsidRPr="00467602">
              <w:rPr>
                <w:spacing w:val="-2"/>
              </w:rPr>
              <w:t xml:space="preserve">Během 1. čtvrtletí 2016 se uskutečnil příliv portfoliových investic v rozsahu 81,5 mld. </w:t>
            </w:r>
            <w:r w:rsidRPr="00467602">
              <w:rPr>
                <w:spacing w:val="-4"/>
              </w:rPr>
              <w:t>korun a kontrastoval výrazně odlivu těchto prostředků z ČR do zahraničí (13,5</w:t>
            </w:r>
            <w:r w:rsidRPr="00467602">
              <w:rPr>
                <w:spacing w:val="-2"/>
              </w:rPr>
              <w:t xml:space="preserve"> mld.). Nadále </w:t>
            </w:r>
            <w:r w:rsidRPr="00397542">
              <w:rPr>
                <w:spacing w:val="-2"/>
              </w:rPr>
              <w:t xml:space="preserve">docházelo k masivním nákupům vládních dluhopisů, investice zahraničních investorů do dluhopisů tuzemských bank – které byly díky ojedinělým faktorům </w:t>
            </w:r>
            <w:r w:rsidRPr="00397542">
              <w:rPr>
                <w:spacing w:val="-4"/>
              </w:rPr>
              <w:t>velmi vysoké na sklonku loňského roku – již ale nepokračovaly. Samotných</w:t>
            </w:r>
            <w:r w:rsidRPr="00397542">
              <w:rPr>
                <w:spacing w:val="-2"/>
              </w:rPr>
              <w:t xml:space="preserve"> vládních dluhopisů nakoupili zahraniční investoři během 1. čtvrtletí za 81,4 mld. korun a šlo o nejvyšší objem v rámci všech čtvrtletí v historii. Jejich zájem vyplýval z nízkého kreditního rizika ČR a očekávaného budoucího posílení koruny a jeho důsledkem byly přetrvávající záporné výnosy státních dluhopisů se splatností v horizontu 2 a </w:t>
            </w:r>
            <w:proofErr w:type="gramStart"/>
            <w:r w:rsidRPr="00397542">
              <w:rPr>
                <w:spacing w:val="-2"/>
              </w:rPr>
              <w:t>5ti</w:t>
            </w:r>
            <w:proofErr w:type="gramEnd"/>
            <w:r w:rsidRPr="00397542">
              <w:rPr>
                <w:spacing w:val="-2"/>
              </w:rPr>
              <w:t xml:space="preserve"> let. Tyto nákupy měnily rovněž strukturu státního dluhu – zatímco </w:t>
            </w:r>
            <w:r w:rsidRPr="00397542">
              <w:rPr>
                <w:spacing w:val="-4"/>
              </w:rPr>
              <w:t xml:space="preserve">v závěru roku 2014 drželi </w:t>
            </w:r>
            <w:proofErr w:type="spellStart"/>
            <w:r w:rsidRPr="00397542">
              <w:rPr>
                <w:spacing w:val="-4"/>
              </w:rPr>
              <w:t>nerezidenti</w:t>
            </w:r>
            <w:proofErr w:type="spellEnd"/>
            <w:r w:rsidRPr="00397542">
              <w:rPr>
                <w:spacing w:val="-4"/>
              </w:rPr>
              <w:t xml:space="preserve"> celkově 14,5 % všech emitovaných</w:t>
            </w:r>
            <w:r w:rsidRPr="00397542">
              <w:rPr>
                <w:spacing w:val="-2"/>
              </w:rPr>
              <w:t xml:space="preserve"> korunových státních dluhopisů, na konci března 2016 měli v držení již 24,7 % tohoto portfolia.</w:t>
            </w:r>
          </w:p>
          <w:p w:rsidR="00CE6E3C" w:rsidRPr="00D279F9" w:rsidRDefault="00CE6E3C" w:rsidP="0002434F">
            <w:pPr>
              <w:pStyle w:val="Textpoznpodarou"/>
              <w:jc w:val="both"/>
              <w:rPr>
                <w:color w:val="FF0000"/>
                <w:sz w:val="16"/>
                <w:szCs w:val="16"/>
              </w:rPr>
            </w:pPr>
          </w:p>
        </w:tc>
      </w:tr>
      <w:tr w:rsidR="00CE6E3C" w:rsidRPr="00D279F9" w:rsidTr="0002434F">
        <w:tc>
          <w:tcPr>
            <w:tcW w:w="1054" w:type="pct"/>
            <w:tcBorders>
              <w:top w:val="nil"/>
              <w:left w:val="nil"/>
              <w:bottom w:val="nil"/>
              <w:right w:val="nil"/>
            </w:tcBorders>
          </w:tcPr>
          <w:p w:rsidR="00CE6E3C" w:rsidRPr="003F62FC" w:rsidRDefault="00CE6E3C" w:rsidP="0002434F">
            <w:pPr>
              <w:spacing w:line="240" w:lineRule="auto"/>
              <w:rPr>
                <w:sz w:val="16"/>
                <w:szCs w:val="16"/>
              </w:rPr>
            </w:pPr>
            <w:r w:rsidRPr="003F62FC">
              <w:rPr>
                <w:sz w:val="16"/>
                <w:szCs w:val="16"/>
              </w:rPr>
              <w:t>Meziroční tempo růstu vývozu z české ekonomiky do zahraničí se podle dat národního pojetí snížilo v 1. čtvrtletí 2016 na 1,6 % a bylo nejslabší za posledních jedenáct čtvrtletí</w:t>
            </w:r>
          </w:p>
        </w:tc>
        <w:tc>
          <w:tcPr>
            <w:tcW w:w="143" w:type="pct"/>
            <w:tcBorders>
              <w:top w:val="nil"/>
              <w:left w:val="nil"/>
              <w:bottom w:val="nil"/>
              <w:right w:val="nil"/>
            </w:tcBorders>
          </w:tcPr>
          <w:p w:rsidR="00CE6E3C" w:rsidRPr="003F62FC" w:rsidRDefault="00CE6E3C" w:rsidP="0002434F">
            <w:pPr>
              <w:pStyle w:val="Textpoznpodarou"/>
              <w:jc w:val="both"/>
            </w:pPr>
          </w:p>
        </w:tc>
        <w:tc>
          <w:tcPr>
            <w:tcW w:w="3803" w:type="pct"/>
            <w:tcBorders>
              <w:top w:val="nil"/>
              <w:left w:val="nil"/>
              <w:bottom w:val="nil"/>
              <w:right w:val="nil"/>
            </w:tcBorders>
          </w:tcPr>
          <w:p w:rsidR="00CE6E3C" w:rsidRPr="003F62FC" w:rsidRDefault="00CE6E3C" w:rsidP="0002434F">
            <w:pPr>
              <w:pStyle w:val="Textpoznpodarou"/>
              <w:jc w:val="both"/>
              <w:rPr>
                <w:spacing w:val="-4"/>
              </w:rPr>
            </w:pPr>
            <w:r w:rsidRPr="00450700">
              <w:rPr>
                <w:spacing w:val="-6"/>
              </w:rPr>
              <w:t>Exportní výkonnost tuzemské ekonomiky se v 1. čtvrtletí 2016</w:t>
            </w:r>
            <w:r w:rsidR="00EA0AF3">
              <w:rPr>
                <w:spacing w:val="-6"/>
              </w:rPr>
              <w:t xml:space="preserve"> </w:t>
            </w:r>
            <w:r w:rsidRPr="003F62FC">
              <w:rPr>
                <w:spacing w:val="-4"/>
              </w:rPr>
              <w:t>zvýšila nejpomaleji za</w:t>
            </w:r>
            <w:r w:rsidR="00400244">
              <w:rPr>
                <w:spacing w:val="-4"/>
              </w:rPr>
              <w:t> </w:t>
            </w:r>
            <w:r w:rsidRPr="003F62FC">
              <w:rPr>
                <w:spacing w:val="-4"/>
              </w:rPr>
              <w:t>poslední téměř tři roky, když hodnota vývozu stoupla (při výrazném poklesu vývozních cen) pouze o 1,6 % meziročně.</w:t>
            </w:r>
            <w:r w:rsidR="00400244" w:rsidRPr="003F62FC">
              <w:rPr>
                <w:rStyle w:val="Znakapoznpodarou"/>
                <w:spacing w:val="-4"/>
              </w:rPr>
              <w:footnoteReference w:id="1"/>
            </w:r>
            <w:r w:rsidRPr="003F62FC">
              <w:rPr>
                <w:spacing w:val="-4"/>
              </w:rPr>
              <w:t xml:space="preserve"> Tempo růstu vývozu do zemí Evropské unie pokleslo na 2,5 % – negativně se v něm promítaly nejen pomaleji rostoucí vývozy do Německa, Francie, Velké Británie či na Slovensko, ale rovněž prohlubující se pokles vývozu do Polska a po třech čtvrtletích opětovně klesající vývoz do Rakouska. Hodnota zboží směřujícího do zemí mimo evropskou osmadvacítku se na počátku letošního roku snižovala v meziročním srovnání již třetím čtvrtletím (aktuálně o 2,8 %), z toho vývoz do Ruské federace postižený restrikcemi a recesí tamější ekonomiky se propadl o 18,2 % a vývoz do zpomalující Číny o 8,2 %. Zatímco </w:t>
            </w:r>
            <w:r w:rsidR="00B534EF">
              <w:rPr>
                <w:spacing w:val="-4"/>
              </w:rPr>
              <w:t>pokles</w:t>
            </w:r>
            <w:r w:rsidRPr="003F62FC">
              <w:rPr>
                <w:spacing w:val="-4"/>
              </w:rPr>
              <w:t xml:space="preserve"> hodnoty vývozu do Ruska se s tím, jak v sobě absorbuje nižší základnu, zvolna zmenšuje, vývoz do Číny poklesl nejvýrazněji od 1. čtvrtletí 2013.</w:t>
            </w:r>
          </w:p>
          <w:p w:rsidR="00CE6E3C" w:rsidRPr="003F62FC" w:rsidRDefault="00CE6E3C" w:rsidP="0002434F">
            <w:pPr>
              <w:pStyle w:val="Textpoznpodarou"/>
              <w:jc w:val="both"/>
              <w:rPr>
                <w:sz w:val="14"/>
                <w:szCs w:val="14"/>
              </w:rPr>
            </w:pPr>
          </w:p>
        </w:tc>
      </w:tr>
      <w:tr w:rsidR="00CE6E3C" w:rsidRPr="00D279F9" w:rsidTr="0002434F">
        <w:tc>
          <w:tcPr>
            <w:tcW w:w="1054" w:type="pct"/>
            <w:tcBorders>
              <w:top w:val="nil"/>
              <w:left w:val="nil"/>
              <w:bottom w:val="nil"/>
              <w:right w:val="nil"/>
            </w:tcBorders>
          </w:tcPr>
          <w:p w:rsidR="00CE6E3C" w:rsidRPr="003F62FC" w:rsidRDefault="00CE6E3C" w:rsidP="0002434F">
            <w:pPr>
              <w:spacing w:line="240" w:lineRule="auto"/>
              <w:rPr>
                <w:spacing w:val="-4"/>
                <w:sz w:val="16"/>
                <w:szCs w:val="16"/>
              </w:rPr>
            </w:pPr>
            <w:r w:rsidRPr="003F62FC">
              <w:rPr>
                <w:sz w:val="16"/>
                <w:szCs w:val="16"/>
              </w:rPr>
              <w:t>Podíl vývozu</w:t>
            </w:r>
            <w:r w:rsidRPr="003F62FC">
              <w:rPr>
                <w:spacing w:val="-4"/>
                <w:sz w:val="16"/>
                <w:szCs w:val="16"/>
              </w:rPr>
              <w:t xml:space="preserve"> do Německa, na Slovensko </w:t>
            </w:r>
            <w:r w:rsidRPr="003F62FC">
              <w:rPr>
                <w:sz w:val="16"/>
                <w:szCs w:val="16"/>
              </w:rPr>
              <w:t xml:space="preserve">a do Polska </w:t>
            </w:r>
            <w:r w:rsidRPr="003F62FC">
              <w:rPr>
                <w:sz w:val="16"/>
                <w:szCs w:val="16"/>
              </w:rPr>
              <w:lastRenderedPageBreak/>
              <w:t xml:space="preserve">na celkovém </w:t>
            </w:r>
            <w:r w:rsidRPr="003F62FC">
              <w:rPr>
                <w:spacing w:val="-4"/>
                <w:sz w:val="16"/>
                <w:szCs w:val="16"/>
              </w:rPr>
              <w:t>vývozu se mezi 1. čtvrtletím</w:t>
            </w:r>
            <w:r w:rsidRPr="003F62FC">
              <w:rPr>
                <w:sz w:val="16"/>
                <w:szCs w:val="16"/>
              </w:rPr>
              <w:t xml:space="preserve"> 2015 a 1. čtvrtletím 2016 zvýšil ze 48,7 na 48,9 %</w:t>
            </w:r>
          </w:p>
        </w:tc>
        <w:tc>
          <w:tcPr>
            <w:tcW w:w="143" w:type="pct"/>
            <w:tcBorders>
              <w:top w:val="nil"/>
              <w:left w:val="nil"/>
              <w:bottom w:val="nil"/>
              <w:right w:val="nil"/>
            </w:tcBorders>
          </w:tcPr>
          <w:p w:rsidR="00CE6E3C" w:rsidRPr="003F62FC" w:rsidRDefault="00CE6E3C" w:rsidP="0002434F">
            <w:pPr>
              <w:pStyle w:val="Textpoznpodarou"/>
              <w:jc w:val="both"/>
            </w:pPr>
          </w:p>
        </w:tc>
        <w:tc>
          <w:tcPr>
            <w:tcW w:w="3803" w:type="pct"/>
            <w:tcBorders>
              <w:top w:val="nil"/>
              <w:left w:val="nil"/>
              <w:bottom w:val="nil"/>
              <w:right w:val="nil"/>
            </w:tcBorders>
          </w:tcPr>
          <w:p w:rsidR="00CE6E3C" w:rsidRPr="003F62FC" w:rsidRDefault="00CE6E3C" w:rsidP="0002434F">
            <w:pPr>
              <w:pStyle w:val="Textpoznpodarou"/>
              <w:jc w:val="both"/>
            </w:pPr>
            <w:r w:rsidRPr="003F62FC">
              <w:t xml:space="preserve">Hodnota vývozu do tří nejdůležitějších exportních destinací ČR zahrnující </w:t>
            </w:r>
            <w:r w:rsidRPr="003F62FC">
              <w:rPr>
                <w:spacing w:val="-4"/>
              </w:rPr>
              <w:t>Německo, Slovensko a Polsko dosáhla v 1. čtvrtletí letošního roku 414,4 mld</w:t>
            </w:r>
            <w:r w:rsidRPr="003F62FC">
              <w:t xml:space="preserve">. korun. </w:t>
            </w:r>
            <w:r w:rsidRPr="003F62FC">
              <w:lastRenderedPageBreak/>
              <w:t>V meziročním srovnání narostly tyto vývozy o 2 %, a </w:t>
            </w:r>
            <w:r w:rsidRPr="003F62FC">
              <w:rPr>
                <w:spacing w:val="-2"/>
              </w:rPr>
              <w:t xml:space="preserve">přestože se jejich dynamika </w:t>
            </w:r>
            <w:r w:rsidRPr="003F62FC">
              <w:rPr>
                <w:spacing w:val="-4"/>
              </w:rPr>
              <w:t>oproti předchozím čtvrtletím snížila, stouply výrazněji než celkový vývoz</w:t>
            </w:r>
            <w:r w:rsidRPr="003F62FC">
              <w:t xml:space="preserve"> z ekonomiky. Podíl vývozu zboží do Německa, Slovenska </w:t>
            </w:r>
            <w:r w:rsidRPr="003F62FC">
              <w:rPr>
                <w:spacing w:val="-2"/>
              </w:rPr>
              <w:t>a Polska na celkovém vývozu narostl ze 48,7 % v 1. čtvrtletí 2015 na 48,9 %</w:t>
            </w:r>
            <w:r w:rsidRPr="003F62FC">
              <w:t xml:space="preserve"> letos.</w:t>
            </w:r>
          </w:p>
          <w:p w:rsidR="00CE6E3C" w:rsidRPr="00CE6E3C" w:rsidRDefault="00CE6E3C" w:rsidP="0002434F">
            <w:pPr>
              <w:pStyle w:val="Textpoznpodarou"/>
              <w:jc w:val="both"/>
              <w:rPr>
                <w:sz w:val="18"/>
                <w:szCs w:val="18"/>
              </w:rPr>
            </w:pPr>
          </w:p>
        </w:tc>
      </w:tr>
      <w:tr w:rsidR="00CE6E3C" w:rsidRPr="00D279F9" w:rsidTr="0002434F">
        <w:tc>
          <w:tcPr>
            <w:tcW w:w="1054" w:type="pct"/>
            <w:tcBorders>
              <w:top w:val="nil"/>
              <w:left w:val="nil"/>
              <w:bottom w:val="nil"/>
              <w:right w:val="nil"/>
            </w:tcBorders>
          </w:tcPr>
          <w:p w:rsidR="00CE6E3C" w:rsidRPr="003F62FC" w:rsidRDefault="00CE6E3C" w:rsidP="0002434F">
            <w:pPr>
              <w:spacing w:line="240" w:lineRule="auto"/>
              <w:rPr>
                <w:sz w:val="16"/>
                <w:szCs w:val="16"/>
              </w:rPr>
            </w:pPr>
            <w:r w:rsidRPr="003F62FC">
              <w:rPr>
                <w:sz w:val="16"/>
                <w:szCs w:val="16"/>
              </w:rPr>
              <w:lastRenderedPageBreak/>
              <w:t xml:space="preserve">Zpomalení vývozu patrné i v komoditní struktuře z hlediska klasifikace </w:t>
            </w:r>
          </w:p>
          <w:p w:rsidR="00CE6E3C" w:rsidRPr="003F62FC" w:rsidRDefault="00CE6E3C" w:rsidP="0002434F">
            <w:pPr>
              <w:spacing w:line="240" w:lineRule="auto"/>
              <w:rPr>
                <w:sz w:val="16"/>
                <w:szCs w:val="16"/>
              </w:rPr>
            </w:pPr>
            <w:r w:rsidRPr="003F62FC">
              <w:rPr>
                <w:sz w:val="16"/>
                <w:szCs w:val="16"/>
              </w:rPr>
              <w:t>CZ-CPA: z oddílů, jejichž hodnota vývozu překračuje 100 mld. korun za rok, se meziroční tempo růstu vývozu mezi posledním čtvrtletím 2015 a 1. čtvrtletím letošního roku zvýšilo pouze v případě kovodělných výrobků</w:t>
            </w:r>
          </w:p>
        </w:tc>
        <w:tc>
          <w:tcPr>
            <w:tcW w:w="143" w:type="pct"/>
            <w:tcBorders>
              <w:top w:val="nil"/>
              <w:left w:val="nil"/>
              <w:bottom w:val="nil"/>
              <w:right w:val="nil"/>
            </w:tcBorders>
          </w:tcPr>
          <w:p w:rsidR="00CE6E3C" w:rsidRPr="003F62FC" w:rsidRDefault="00CE6E3C" w:rsidP="0002434F">
            <w:pPr>
              <w:pStyle w:val="Textpoznpodarou"/>
              <w:jc w:val="both"/>
            </w:pPr>
          </w:p>
        </w:tc>
        <w:tc>
          <w:tcPr>
            <w:tcW w:w="3803" w:type="pct"/>
            <w:tcBorders>
              <w:top w:val="nil"/>
              <w:left w:val="nil"/>
              <w:bottom w:val="nil"/>
              <w:right w:val="nil"/>
            </w:tcBorders>
          </w:tcPr>
          <w:p w:rsidR="00CE6E3C" w:rsidRPr="003F62FC" w:rsidRDefault="00CE6E3C" w:rsidP="0002434F">
            <w:pPr>
              <w:pStyle w:val="Textpoznpodarou"/>
              <w:jc w:val="both"/>
              <w:rPr>
                <w:spacing w:val="-2"/>
              </w:rPr>
            </w:pPr>
            <w:r w:rsidRPr="003F62FC">
              <w:rPr>
                <w:spacing w:val="-2"/>
              </w:rPr>
              <w:t xml:space="preserve">Od počátku oživení evropského hospodářství zhruba v polovině roku 2013 se na růstu českého vývozu podílel především vývoz motorových vozidel. Totéž bylo </w:t>
            </w:r>
            <w:r w:rsidRPr="003F62FC">
              <w:rPr>
                <w:spacing w:val="-6"/>
              </w:rPr>
              <w:t>patrné v 1. čtvrtletí 2016, kdy se tento vývoz zvýšil meziročně o 9,7 %. Na</w:t>
            </w:r>
            <w:r w:rsidRPr="003F62FC">
              <w:rPr>
                <w:spacing w:val="-2"/>
              </w:rPr>
              <w:t xml:space="preserve"> zahraničních trzích se (z váhově významnějších oddílů podle klasifikace CZ-CPA) dařilo dále prosazovat potravinářské výrobky (jejich vývoz stoupl o 6,9 %), elektrická zařízení (4,6 %), stroje a zařízení (3 %) či výrobky z pryže a plastu (2,8 %). Všechny z těchto oddílů však mezi posledním čtvrtletím 2015 a prvními třemi měsíci letošního roku zpomalily a jejich dynamika byla slabší. Naproti tomu přírůstek vývozu rovněž váhově významných kovodělných výrobků se na sklonku roku 2015 vyšplhal na 18,1 % a výsledek za 1. čtvrtletí 2016 jej dokonce předčil (21,1 %). Hodnota vývozu chemických látek se v důsledku nízkých cen ropy a přetrvávající odstávky části výrobních kapacit v tuzemském chemickém průmys</w:t>
            </w:r>
            <w:r w:rsidR="00EC0860">
              <w:rPr>
                <w:spacing w:val="-2"/>
              </w:rPr>
              <w:t>lu snižuje od 1. čtvrtletí 2015. J</w:t>
            </w:r>
            <w:r w:rsidRPr="003F62FC">
              <w:rPr>
                <w:spacing w:val="-2"/>
              </w:rPr>
              <w:t>iž rok ale klesají i vývozy PC, elektronických a optických přístrojů a zařízení a nepříznivě se z pohledu exportérů vyvíjí i obchod se základními kovy.</w:t>
            </w:r>
          </w:p>
          <w:p w:rsidR="00CE6E3C" w:rsidRPr="00CE6E3C" w:rsidRDefault="00CE6E3C" w:rsidP="0002434F">
            <w:pPr>
              <w:pStyle w:val="Textpoznpodarou"/>
              <w:jc w:val="both"/>
              <w:rPr>
                <w:sz w:val="18"/>
                <w:szCs w:val="18"/>
              </w:rPr>
            </w:pPr>
          </w:p>
        </w:tc>
      </w:tr>
      <w:tr w:rsidR="00CE6E3C" w:rsidRPr="00D279F9" w:rsidTr="0002434F">
        <w:tc>
          <w:tcPr>
            <w:tcW w:w="1054" w:type="pct"/>
            <w:tcBorders>
              <w:top w:val="nil"/>
              <w:left w:val="nil"/>
              <w:bottom w:val="nil"/>
              <w:right w:val="nil"/>
            </w:tcBorders>
          </w:tcPr>
          <w:p w:rsidR="00CE6E3C" w:rsidRPr="003F62FC" w:rsidRDefault="00CE6E3C" w:rsidP="0002434F">
            <w:pPr>
              <w:spacing w:line="240" w:lineRule="auto"/>
              <w:rPr>
                <w:sz w:val="16"/>
                <w:szCs w:val="16"/>
              </w:rPr>
            </w:pPr>
            <w:r w:rsidRPr="003F62FC">
              <w:rPr>
                <w:sz w:val="16"/>
                <w:szCs w:val="16"/>
              </w:rPr>
              <w:t>Slabší meziroční dynamika dovozu oproti vývozu trvající dvě čtvrtletí souvisí s rozdílným cenovým vývojem na dovozní a vývozní straně zahraničního obchodu</w:t>
            </w:r>
          </w:p>
        </w:tc>
        <w:tc>
          <w:tcPr>
            <w:tcW w:w="143" w:type="pct"/>
            <w:tcBorders>
              <w:top w:val="nil"/>
              <w:left w:val="nil"/>
              <w:bottom w:val="nil"/>
              <w:right w:val="nil"/>
            </w:tcBorders>
          </w:tcPr>
          <w:p w:rsidR="00CE6E3C" w:rsidRPr="003F62FC" w:rsidRDefault="00CE6E3C" w:rsidP="0002434F">
            <w:pPr>
              <w:pStyle w:val="Textpoznpodarou"/>
              <w:jc w:val="both"/>
            </w:pPr>
          </w:p>
        </w:tc>
        <w:tc>
          <w:tcPr>
            <w:tcW w:w="3803" w:type="pct"/>
            <w:tcBorders>
              <w:top w:val="nil"/>
              <w:left w:val="nil"/>
              <w:bottom w:val="nil"/>
              <w:right w:val="nil"/>
            </w:tcBorders>
          </w:tcPr>
          <w:p w:rsidR="00CE6E3C" w:rsidRPr="0050631F" w:rsidRDefault="00CE6E3C" w:rsidP="0002434F">
            <w:pPr>
              <w:pStyle w:val="Textpoznpodarou"/>
              <w:jc w:val="both"/>
              <w:rPr>
                <w:spacing w:val="-2"/>
              </w:rPr>
            </w:pPr>
            <w:r w:rsidRPr="0050631F">
              <w:rPr>
                <w:spacing w:val="-2"/>
              </w:rPr>
              <w:t>Vyšší meziroční růst dovozu proti vývozu, který byl patrný po většinu loňského roku, se na jeho konci obrátil ve prospěch dynamiky vývozu. Data za 1. čtvrtletí tento obrat potvrdila, neboť dovoz nepatrně poklesl (o 0,1 %). Výsledek o snižujícím se dovozu lze zčásti připisovat kalendářním vlivům (vloni byly Velikonoce v dubnu, letos již v březnu a navíc trvaly o jeden den více), avšak ty měly vliv i na vývoz. Za aktuální disproporcí dynamiky dovozu a vývozu stojí především rychleji klesající dovozní ceny oproti cenám vývozu. Pokračoval pokles dovozu z Ruska, nově se k němu připojily snižující se dovozy z Číny, Slovenska a Rakouska.  Vliv levné ropy na hodnotu dovozu přetrvával silný (dovoz ropy a zemního plynu poklesl o 38,4 %).</w:t>
            </w:r>
          </w:p>
          <w:p w:rsidR="00CE6E3C" w:rsidRPr="003F62FC" w:rsidRDefault="00CE6E3C" w:rsidP="0002434F">
            <w:pPr>
              <w:pStyle w:val="Textpoznpodarou"/>
              <w:jc w:val="both"/>
              <w:rPr>
                <w:sz w:val="18"/>
                <w:szCs w:val="18"/>
              </w:rPr>
            </w:pPr>
          </w:p>
        </w:tc>
      </w:tr>
      <w:tr w:rsidR="00CE6E3C" w:rsidRPr="00D279F9" w:rsidTr="0002434F">
        <w:tc>
          <w:tcPr>
            <w:tcW w:w="1054" w:type="pct"/>
            <w:tcBorders>
              <w:top w:val="nil"/>
              <w:left w:val="nil"/>
              <w:bottom w:val="nil"/>
              <w:right w:val="nil"/>
            </w:tcBorders>
          </w:tcPr>
          <w:p w:rsidR="00CE6E3C" w:rsidRPr="003F62FC" w:rsidRDefault="00CE6E3C" w:rsidP="0002434F">
            <w:pPr>
              <w:spacing w:line="240" w:lineRule="auto"/>
              <w:rPr>
                <w:sz w:val="16"/>
                <w:szCs w:val="16"/>
              </w:rPr>
            </w:pPr>
            <w:r w:rsidRPr="003F62FC">
              <w:rPr>
                <w:sz w:val="16"/>
                <w:szCs w:val="16"/>
              </w:rPr>
              <w:t>Přebytek zahraničního obchodu za první tři měsíce roku 2016 byl nejvyšší v historii – na jeho zlepšení participoval obchod se zeměmi EU i státy mimo Unii</w:t>
            </w:r>
          </w:p>
        </w:tc>
        <w:tc>
          <w:tcPr>
            <w:tcW w:w="143" w:type="pct"/>
            <w:tcBorders>
              <w:top w:val="nil"/>
              <w:left w:val="nil"/>
              <w:bottom w:val="nil"/>
              <w:right w:val="nil"/>
            </w:tcBorders>
          </w:tcPr>
          <w:p w:rsidR="00CE6E3C" w:rsidRPr="003F62FC" w:rsidRDefault="00CE6E3C" w:rsidP="0002434F">
            <w:pPr>
              <w:pStyle w:val="Textpoznpodarou"/>
              <w:jc w:val="both"/>
            </w:pPr>
          </w:p>
        </w:tc>
        <w:tc>
          <w:tcPr>
            <w:tcW w:w="3803" w:type="pct"/>
            <w:tcBorders>
              <w:top w:val="nil"/>
              <w:left w:val="nil"/>
              <w:bottom w:val="nil"/>
              <w:right w:val="nil"/>
            </w:tcBorders>
          </w:tcPr>
          <w:p w:rsidR="00CE6E3C" w:rsidRPr="003F62FC" w:rsidRDefault="00CE6E3C" w:rsidP="00EA0AF3">
            <w:pPr>
              <w:pStyle w:val="Textpoznpodarou"/>
              <w:jc w:val="both"/>
              <w:rPr>
                <w:spacing w:val="-2"/>
              </w:rPr>
            </w:pPr>
            <w:r w:rsidRPr="003F62FC">
              <w:rPr>
                <w:spacing w:val="-2"/>
              </w:rPr>
              <w:t>Přebytek zahraničního obchodu vystoupal v 1. čtvrtletí 2016 na 68,5 mld. korun a</w:t>
            </w:r>
            <w:r w:rsidR="00EA0AF3">
              <w:rPr>
                <w:spacing w:val="-2"/>
              </w:rPr>
              <w:t> </w:t>
            </w:r>
            <w:r w:rsidRPr="003F62FC">
              <w:rPr>
                <w:spacing w:val="-2"/>
              </w:rPr>
              <w:t xml:space="preserve">dosáhl nejvyšší úrovně v historii. Při protisměrném vývoji vývozu a dovozu se zvýšil proti 1. čtvrtletí 2015 o 14,6 mld. korun, přičemž na jeho růstu se podílel obchod s EU (přebytek stoupl o 5,6 mld. na 175,1 mld.) i zeměmi </w:t>
            </w:r>
            <w:r w:rsidRPr="003F62FC">
              <w:rPr>
                <w:spacing w:val="-4"/>
              </w:rPr>
              <w:t>mimo tento hospodářský celek (deficit se snížil o 9,8 mld. na 100,9 mld.).</w:t>
            </w:r>
            <w:r w:rsidRPr="003F62FC">
              <w:rPr>
                <w:rStyle w:val="Znakapoznpodarou"/>
                <w:spacing w:val="-4"/>
              </w:rPr>
              <w:footnoteReference w:id="2"/>
            </w:r>
            <w:r w:rsidRPr="003F62FC">
              <w:rPr>
                <w:spacing w:val="-2"/>
              </w:rPr>
              <w:t xml:space="preserve"> Z pohledu jednotlivých oddílů se ve výsledku zahraničního obchodu pozitivně projevoval zejména nárůst přebytku v motorových vozidlech (o 10,2 mld. korun) a strojích a zařízení (o 6,6 mld.) a také nižší deficit obchodu s ropou a zemním plynem (o 9 mld.). Relativně silný pokles vývozu chemických látek při pokračujícím růstu </w:t>
            </w:r>
            <w:r w:rsidRPr="003F62FC">
              <w:rPr>
                <w:spacing w:val="-4"/>
              </w:rPr>
              <w:t>dovozu se odrazil v prohloubení deficitu obchodu s těmito produkty o 8 mld.</w:t>
            </w:r>
            <w:r w:rsidRPr="003F62FC">
              <w:rPr>
                <w:spacing w:val="-2"/>
              </w:rPr>
              <w:t xml:space="preserve"> korun.</w:t>
            </w:r>
          </w:p>
        </w:tc>
      </w:tr>
    </w:tbl>
    <w:p w:rsidR="00ED3A94" w:rsidRPr="00CE6E3C" w:rsidRDefault="00ED3A94" w:rsidP="002E0DB9">
      <w:pPr>
        <w:rPr>
          <w:sz w:val="18"/>
          <w:szCs w:val="18"/>
        </w:rPr>
      </w:pPr>
    </w:p>
    <w:tbl>
      <w:tblPr>
        <w:tblW w:w="5000" w:type="pct"/>
        <w:tblLook w:val="04A0"/>
      </w:tblPr>
      <w:tblGrid>
        <w:gridCol w:w="1120"/>
        <w:gridCol w:w="3806"/>
        <w:gridCol w:w="714"/>
        <w:gridCol w:w="1117"/>
        <w:gridCol w:w="3097"/>
      </w:tblGrid>
      <w:tr w:rsidR="00CE6E3C" w:rsidRPr="00D279F9" w:rsidTr="0002434F">
        <w:tc>
          <w:tcPr>
            <w:tcW w:w="568" w:type="pct"/>
          </w:tcPr>
          <w:p w:rsidR="00CE6E3C" w:rsidRPr="004F3F59" w:rsidRDefault="00CE6E3C" w:rsidP="0002434F">
            <w:pPr>
              <w:pStyle w:val="Textpoznpodarou"/>
            </w:pPr>
            <w:r w:rsidRPr="004F3F59">
              <w:t>Graf č. 9</w:t>
            </w:r>
          </w:p>
        </w:tc>
        <w:tc>
          <w:tcPr>
            <w:tcW w:w="1930" w:type="pct"/>
          </w:tcPr>
          <w:p w:rsidR="00CE6E3C" w:rsidRPr="004F3F59" w:rsidRDefault="00CE6E3C" w:rsidP="0002434F">
            <w:pPr>
              <w:pStyle w:val="Textpoznpodarou"/>
              <w:rPr>
                <w:b/>
              </w:rPr>
            </w:pPr>
            <w:r w:rsidRPr="004F3F59">
              <w:rPr>
                <w:b/>
              </w:rPr>
              <w:t>Běžný účet platební bilance</w:t>
            </w:r>
          </w:p>
          <w:p w:rsidR="00CE6E3C" w:rsidRPr="004F3F59" w:rsidRDefault="00CE6E3C" w:rsidP="0002434F">
            <w:pPr>
              <w:pStyle w:val="Textpoznpodarou"/>
            </w:pPr>
            <w:r w:rsidRPr="004F3F59">
              <w:t>(v mld. korun)</w:t>
            </w:r>
          </w:p>
        </w:tc>
        <w:tc>
          <w:tcPr>
            <w:tcW w:w="362" w:type="pct"/>
          </w:tcPr>
          <w:p w:rsidR="00CE6E3C" w:rsidRPr="003F62FC" w:rsidRDefault="00CE6E3C" w:rsidP="0002434F">
            <w:pPr>
              <w:pStyle w:val="Textpoznpodarou"/>
            </w:pPr>
            <w:r w:rsidRPr="003F62FC">
              <w:t>Graf č. 10</w:t>
            </w:r>
          </w:p>
        </w:tc>
        <w:tc>
          <w:tcPr>
            <w:tcW w:w="2140" w:type="pct"/>
            <w:gridSpan w:val="2"/>
          </w:tcPr>
          <w:p w:rsidR="00CE6E3C" w:rsidRPr="003F62FC" w:rsidRDefault="00CE6E3C" w:rsidP="0002434F">
            <w:pPr>
              <w:pStyle w:val="Textpoznpodarou"/>
              <w:rPr>
                <w:b/>
                <w:spacing w:val="-2"/>
              </w:rPr>
            </w:pPr>
            <w:r w:rsidRPr="003F62FC">
              <w:rPr>
                <w:b/>
                <w:spacing w:val="-2"/>
              </w:rPr>
              <w:t xml:space="preserve">Bilance zahraničního obchodu v národním pojetí v 1. čtvrtletí </w:t>
            </w:r>
            <w:proofErr w:type="gramStart"/>
            <w:r w:rsidRPr="003F62FC">
              <w:rPr>
                <w:b/>
                <w:spacing w:val="-2"/>
              </w:rPr>
              <w:t>2016</w:t>
            </w:r>
            <w:r w:rsidRPr="003F62FC">
              <w:rPr>
                <w:spacing w:val="-2"/>
              </w:rPr>
              <w:t xml:space="preserve"> (y–y v mld.</w:t>
            </w:r>
            <w:proofErr w:type="gramEnd"/>
            <w:r w:rsidRPr="003F62FC">
              <w:rPr>
                <w:spacing w:val="-2"/>
              </w:rPr>
              <w:t> korun)</w:t>
            </w:r>
          </w:p>
        </w:tc>
      </w:tr>
      <w:tr w:rsidR="00CE6E3C" w:rsidRPr="00D279F9" w:rsidTr="0002434F">
        <w:tc>
          <w:tcPr>
            <w:tcW w:w="2498" w:type="pct"/>
            <w:gridSpan w:val="2"/>
          </w:tcPr>
          <w:p w:rsidR="00CE6E3C" w:rsidRPr="00D279F9" w:rsidRDefault="00521512" w:rsidP="0002434F">
            <w:pPr>
              <w:pStyle w:val="Textpoznpodarou"/>
              <w:jc w:val="both"/>
              <w:rPr>
                <w:color w:val="FF0000"/>
              </w:rPr>
            </w:pPr>
            <w:r w:rsidRPr="002143AD">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36.65pt;height:187.2pt;visibility:visible;mso-wrap-style:square">
                  <v:imagedata r:id="rId8" o:title=""/>
                </v:shape>
              </w:pict>
            </w:r>
          </w:p>
        </w:tc>
        <w:tc>
          <w:tcPr>
            <w:tcW w:w="2502" w:type="pct"/>
            <w:gridSpan w:val="3"/>
          </w:tcPr>
          <w:p w:rsidR="00CE6E3C" w:rsidRPr="00D279F9" w:rsidRDefault="00521512" w:rsidP="0002434F">
            <w:pPr>
              <w:pStyle w:val="Textpoznpodarou"/>
              <w:jc w:val="both"/>
              <w:rPr>
                <w:color w:val="FF0000"/>
              </w:rPr>
            </w:pPr>
            <w:r w:rsidRPr="002143AD">
              <w:rPr>
                <w:noProof/>
                <w:color w:val="FF0000"/>
              </w:rPr>
              <w:pict>
                <v:shape id="_x0000_i1034" type="#_x0000_t75" style="width:236.65pt;height:185.95pt;visibility:visible;mso-wrap-style:square">
                  <v:imagedata r:id="rId9" o:title=""/>
                </v:shape>
              </w:pict>
            </w:r>
          </w:p>
        </w:tc>
      </w:tr>
      <w:tr w:rsidR="00CE6E3C" w:rsidRPr="00D279F9" w:rsidTr="0002434F">
        <w:tc>
          <w:tcPr>
            <w:tcW w:w="3427" w:type="pct"/>
            <w:gridSpan w:val="4"/>
          </w:tcPr>
          <w:p w:rsidR="00CE6E3C" w:rsidRPr="00D279F9" w:rsidRDefault="00CE6E3C" w:rsidP="0002434F">
            <w:pPr>
              <w:pStyle w:val="Textpoznpodarou"/>
              <w:rPr>
                <w:noProof/>
                <w:color w:val="FF0000"/>
                <w:sz w:val="18"/>
                <w:szCs w:val="18"/>
              </w:rPr>
            </w:pPr>
          </w:p>
        </w:tc>
        <w:tc>
          <w:tcPr>
            <w:tcW w:w="1573" w:type="pct"/>
          </w:tcPr>
          <w:p w:rsidR="00CE6E3C" w:rsidRPr="003F62FC" w:rsidRDefault="00CE6E3C" w:rsidP="0002434F">
            <w:pPr>
              <w:pStyle w:val="Textpoznpodarou"/>
              <w:jc w:val="right"/>
              <w:rPr>
                <w:noProof/>
              </w:rPr>
            </w:pPr>
            <w:r w:rsidRPr="003F62FC">
              <w:rPr>
                <w:sz w:val="18"/>
                <w:szCs w:val="18"/>
              </w:rPr>
              <w:t>Zdroj: ČSÚ, ČNB</w:t>
            </w:r>
          </w:p>
        </w:tc>
      </w:tr>
    </w:tbl>
    <w:p w:rsidR="00ED3A94" w:rsidRPr="00CE6E3C" w:rsidRDefault="00ED3A94" w:rsidP="002E0DB9">
      <w:pPr>
        <w:rPr>
          <w:sz w:val="2"/>
          <w:szCs w:val="2"/>
        </w:rPr>
      </w:pPr>
    </w:p>
    <w:sectPr w:rsidR="00ED3A94" w:rsidRPr="00CE6E3C" w:rsidSect="00521512">
      <w:headerReference w:type="even" r:id="rId10"/>
      <w:headerReference w:type="default" r:id="rId11"/>
      <w:footerReference w:type="even" r:id="rId12"/>
      <w:footerReference w:type="default" r:id="rId13"/>
      <w:type w:val="continuous"/>
      <w:pgSz w:w="11906" w:h="16838" w:code="9"/>
      <w:pgMar w:top="1134" w:right="1134" w:bottom="1418" w:left="1134" w:header="680" w:footer="680"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785" w:rsidRDefault="00270785" w:rsidP="00E71A58">
      <w:r>
        <w:separator/>
      </w:r>
    </w:p>
  </w:endnote>
  <w:endnote w:type="continuationSeparator" w:id="0">
    <w:p w:rsidR="00270785" w:rsidRDefault="00270785"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4F" w:rsidRDefault="002143AD" w:rsidP="00357449">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51657728;visibility:visible">
          <v:imagedata r:id="rId1" o:title=""/>
        </v:shape>
      </w:pict>
    </w:r>
    <w:r w:rsidRPr="005A21E0">
      <w:rPr>
        <w:rFonts w:ascii="Arial" w:hAnsi="Arial" w:cs="Arial"/>
        <w:sz w:val="16"/>
        <w:szCs w:val="16"/>
      </w:rPr>
      <w:fldChar w:fldCharType="begin"/>
    </w:r>
    <w:r w:rsidR="0002434F" w:rsidRPr="005A21E0">
      <w:rPr>
        <w:rFonts w:ascii="Arial" w:hAnsi="Arial" w:cs="Arial"/>
        <w:sz w:val="16"/>
        <w:szCs w:val="16"/>
      </w:rPr>
      <w:instrText>PAGE   \* MERGEFORMAT</w:instrText>
    </w:r>
    <w:r w:rsidRPr="005A21E0">
      <w:rPr>
        <w:rFonts w:ascii="Arial" w:hAnsi="Arial" w:cs="Arial"/>
        <w:sz w:val="16"/>
        <w:szCs w:val="16"/>
      </w:rPr>
      <w:fldChar w:fldCharType="separate"/>
    </w:r>
    <w:r w:rsidR="00521512">
      <w:rPr>
        <w:rFonts w:ascii="Arial" w:hAnsi="Arial" w:cs="Arial"/>
        <w:noProof/>
        <w:sz w:val="16"/>
        <w:szCs w:val="16"/>
      </w:rPr>
      <w:t>12</w:t>
    </w:r>
    <w:r w:rsidRPr="005A21E0">
      <w:rPr>
        <w:rFonts w:ascii="Arial" w:hAnsi="Arial" w:cs="Arial"/>
        <w:sz w:val="16"/>
        <w:szCs w:val="16"/>
      </w:rPr>
      <w:fldChar w:fldCharType="end"/>
    </w:r>
    <w:r w:rsidR="0002434F">
      <w:rPr>
        <w:rFonts w:ascii="Arial" w:hAnsi="Arial" w:cs="Arial"/>
        <w:sz w:val="16"/>
        <w:szCs w:val="16"/>
      </w:rPr>
      <w:tab/>
      <w:t>2016</w:t>
    </w:r>
    <w:r w:rsidR="0002434F">
      <w:tab/>
    </w:r>
    <w:r w:rsidR="0002434F">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4F" w:rsidRDefault="002143AD"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3" style="position:absolute;margin-left:.3pt;margin-top:7.1pt;width:39pt;height:21pt;z-index:251658752;visibility:visible">
          <v:imagedata r:id="rId1" o:title=""/>
        </v:shape>
      </w:pict>
    </w:r>
    <w:r w:rsidR="0002434F">
      <w:tab/>
    </w:r>
    <w:r w:rsidR="0002434F">
      <w:tab/>
    </w:r>
    <w:r w:rsidR="0002434F" w:rsidRPr="00DC5B3B">
      <w:t xml:space="preserve">                              </w:t>
    </w:r>
  </w:p>
  <w:p w:rsidR="0002434F" w:rsidRPr="00223E00" w:rsidRDefault="0002434F"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2143AD"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2143AD" w:rsidRPr="00223E00">
      <w:rPr>
        <w:rFonts w:ascii="Arial" w:hAnsi="Arial" w:cs="Arial"/>
        <w:sz w:val="16"/>
        <w:szCs w:val="16"/>
      </w:rPr>
      <w:fldChar w:fldCharType="separate"/>
    </w:r>
    <w:r w:rsidR="00521512">
      <w:rPr>
        <w:rFonts w:ascii="Arial" w:hAnsi="Arial" w:cs="Arial"/>
        <w:noProof/>
        <w:sz w:val="16"/>
        <w:szCs w:val="16"/>
      </w:rPr>
      <w:t>13</w:t>
    </w:r>
    <w:r w:rsidR="002143AD"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785" w:rsidRDefault="00270785" w:rsidP="00E71A58">
      <w:r>
        <w:separator/>
      </w:r>
    </w:p>
  </w:footnote>
  <w:footnote w:type="continuationSeparator" w:id="0">
    <w:p w:rsidR="00270785" w:rsidRDefault="00270785" w:rsidP="00E71A58">
      <w:r>
        <w:continuationSeparator/>
      </w:r>
    </w:p>
  </w:footnote>
  <w:footnote w:id="1">
    <w:p w:rsidR="00400244" w:rsidRPr="00D279F9" w:rsidRDefault="00400244" w:rsidP="00400244">
      <w:pPr>
        <w:pStyle w:val="Textpoznpodarou"/>
        <w:jc w:val="both"/>
        <w:rPr>
          <w:sz w:val="16"/>
          <w:szCs w:val="16"/>
        </w:rPr>
      </w:pPr>
      <w:r w:rsidRPr="00D279F9">
        <w:rPr>
          <w:rStyle w:val="Znakapoznpodarou"/>
          <w:sz w:val="16"/>
          <w:szCs w:val="16"/>
        </w:rPr>
        <w:footnoteRef/>
      </w:r>
      <w:r w:rsidRPr="00D279F9">
        <w:rPr>
          <w:sz w:val="16"/>
          <w:szCs w:val="16"/>
        </w:rPr>
        <w:t xml:space="preserve"> </w:t>
      </w:r>
      <w:r>
        <w:rPr>
          <w:sz w:val="16"/>
          <w:szCs w:val="16"/>
        </w:rPr>
        <w:t>Jde o ú</w:t>
      </w:r>
      <w:r w:rsidRPr="00D279F9">
        <w:rPr>
          <w:sz w:val="16"/>
          <w:szCs w:val="16"/>
        </w:rPr>
        <w:t>daje v národním pojetí</w:t>
      </w:r>
      <w:r>
        <w:rPr>
          <w:sz w:val="16"/>
          <w:szCs w:val="16"/>
        </w:rPr>
        <w:t>, které</w:t>
      </w:r>
      <w:r w:rsidRPr="00D279F9">
        <w:rPr>
          <w:sz w:val="16"/>
          <w:szCs w:val="16"/>
        </w:rPr>
        <w:t xml:space="preserve"> jsou v nominálním vyjádření a zahrnují pouze obchod se zbožím. Hodnota vývozu je zachycena v cenách FOB, tj. včetně nákladů souvisejících s dopravou pouze na hranice ČR. Dovoz je v cenách CIF, tj. včetně nákladů souvisejících s dopravou v zahraničí, a to až na hranice ČR.</w:t>
      </w:r>
    </w:p>
  </w:footnote>
  <w:footnote w:id="2">
    <w:p w:rsidR="0002434F" w:rsidRPr="003F62FC" w:rsidRDefault="0002434F" w:rsidP="00CE6E3C">
      <w:pPr>
        <w:pStyle w:val="Textpoznpodarou"/>
        <w:jc w:val="both"/>
      </w:pPr>
      <w:r w:rsidRPr="003F62FC">
        <w:rPr>
          <w:sz w:val="16"/>
          <w:szCs w:val="16"/>
          <w:vertAlign w:val="superscript"/>
        </w:rPr>
        <w:footnoteRef/>
      </w:r>
      <w:r w:rsidRPr="003F62FC">
        <w:rPr>
          <w:sz w:val="16"/>
          <w:szCs w:val="16"/>
        </w:rPr>
        <w:t xml:space="preserve"> Deficit obchodu s nespecifikovanými subjekty se zvětšil o 0,9 mld. korun na 5,7 mld.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4F" w:rsidRPr="00D766EF" w:rsidRDefault="0002434F"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čtvrtletí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4F" w:rsidRPr="00D766EF" w:rsidRDefault="0002434F"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čtvrtletí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71CB3F0E"/>
    <w:multiLevelType w:val="hybridMultilevel"/>
    <w:tmpl w:val="756655DA"/>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oNotTrackMoves/>
  <w:defaultTabStop w:val="708"/>
  <w:hyphenationZone w:val="425"/>
  <w:evenAndOddHeaders/>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BD"/>
    <w:rsid w:val="00000FA7"/>
    <w:rsid w:val="00001EFF"/>
    <w:rsid w:val="00003687"/>
    <w:rsid w:val="00003C43"/>
    <w:rsid w:val="00007498"/>
    <w:rsid w:val="0000767A"/>
    <w:rsid w:val="000101F5"/>
    <w:rsid w:val="000104B9"/>
    <w:rsid w:val="00010702"/>
    <w:rsid w:val="00011191"/>
    <w:rsid w:val="0001159B"/>
    <w:rsid w:val="00012986"/>
    <w:rsid w:val="00014028"/>
    <w:rsid w:val="00015195"/>
    <w:rsid w:val="0001519F"/>
    <w:rsid w:val="0001572B"/>
    <w:rsid w:val="0001573E"/>
    <w:rsid w:val="000157DA"/>
    <w:rsid w:val="000162DB"/>
    <w:rsid w:val="00017F05"/>
    <w:rsid w:val="000202C6"/>
    <w:rsid w:val="00020946"/>
    <w:rsid w:val="00022081"/>
    <w:rsid w:val="0002292C"/>
    <w:rsid w:val="00022B41"/>
    <w:rsid w:val="0002434F"/>
    <w:rsid w:val="00024887"/>
    <w:rsid w:val="00024CBA"/>
    <w:rsid w:val="00025501"/>
    <w:rsid w:val="00026998"/>
    <w:rsid w:val="000304C4"/>
    <w:rsid w:val="0003066A"/>
    <w:rsid w:val="00030F14"/>
    <w:rsid w:val="000311C5"/>
    <w:rsid w:val="00032838"/>
    <w:rsid w:val="00032C12"/>
    <w:rsid w:val="00032E0C"/>
    <w:rsid w:val="00035CCF"/>
    <w:rsid w:val="00035FC6"/>
    <w:rsid w:val="00037667"/>
    <w:rsid w:val="0004075D"/>
    <w:rsid w:val="000411E1"/>
    <w:rsid w:val="00043E05"/>
    <w:rsid w:val="0004694F"/>
    <w:rsid w:val="000500DC"/>
    <w:rsid w:val="00052052"/>
    <w:rsid w:val="00052172"/>
    <w:rsid w:val="00053CBA"/>
    <w:rsid w:val="00054E43"/>
    <w:rsid w:val="00055059"/>
    <w:rsid w:val="000553E4"/>
    <w:rsid w:val="000567FA"/>
    <w:rsid w:val="00056B26"/>
    <w:rsid w:val="00057C16"/>
    <w:rsid w:val="00060F26"/>
    <w:rsid w:val="00062D43"/>
    <w:rsid w:val="00062EC5"/>
    <w:rsid w:val="00064256"/>
    <w:rsid w:val="000706A4"/>
    <w:rsid w:val="00070A0C"/>
    <w:rsid w:val="00071F80"/>
    <w:rsid w:val="00072118"/>
    <w:rsid w:val="00073173"/>
    <w:rsid w:val="000779AC"/>
    <w:rsid w:val="00083803"/>
    <w:rsid w:val="00084393"/>
    <w:rsid w:val="0008716A"/>
    <w:rsid w:val="00087634"/>
    <w:rsid w:val="00091237"/>
    <w:rsid w:val="0009191B"/>
    <w:rsid w:val="000920EC"/>
    <w:rsid w:val="00092208"/>
    <w:rsid w:val="00092505"/>
    <w:rsid w:val="00092C9A"/>
    <w:rsid w:val="00097D02"/>
    <w:rsid w:val="000A1183"/>
    <w:rsid w:val="000A2121"/>
    <w:rsid w:val="000A2484"/>
    <w:rsid w:val="000A36CE"/>
    <w:rsid w:val="000A59BF"/>
    <w:rsid w:val="000A66C2"/>
    <w:rsid w:val="000B1CFE"/>
    <w:rsid w:val="000B210A"/>
    <w:rsid w:val="000B249B"/>
    <w:rsid w:val="000B3B01"/>
    <w:rsid w:val="000B3DB9"/>
    <w:rsid w:val="000B3F02"/>
    <w:rsid w:val="000B48A2"/>
    <w:rsid w:val="000B48E7"/>
    <w:rsid w:val="000B4F41"/>
    <w:rsid w:val="000B7663"/>
    <w:rsid w:val="000C11D3"/>
    <w:rsid w:val="000C12F5"/>
    <w:rsid w:val="000C3408"/>
    <w:rsid w:val="000C5C0F"/>
    <w:rsid w:val="000C5D56"/>
    <w:rsid w:val="000C6498"/>
    <w:rsid w:val="000D0D51"/>
    <w:rsid w:val="000D14B3"/>
    <w:rsid w:val="000D208B"/>
    <w:rsid w:val="000D2B8D"/>
    <w:rsid w:val="000D2E41"/>
    <w:rsid w:val="000D342A"/>
    <w:rsid w:val="000D5E7A"/>
    <w:rsid w:val="000D5FAA"/>
    <w:rsid w:val="000D65A4"/>
    <w:rsid w:val="000D6AEF"/>
    <w:rsid w:val="000E025B"/>
    <w:rsid w:val="000E0ECB"/>
    <w:rsid w:val="000E153A"/>
    <w:rsid w:val="000E19A8"/>
    <w:rsid w:val="000E1EEA"/>
    <w:rsid w:val="000E4A42"/>
    <w:rsid w:val="000E6476"/>
    <w:rsid w:val="000E78D2"/>
    <w:rsid w:val="000F3332"/>
    <w:rsid w:val="000F33EE"/>
    <w:rsid w:val="000F401E"/>
    <w:rsid w:val="000F5445"/>
    <w:rsid w:val="000F5673"/>
    <w:rsid w:val="000F67B2"/>
    <w:rsid w:val="000F790F"/>
    <w:rsid w:val="000F7E1B"/>
    <w:rsid w:val="00100014"/>
    <w:rsid w:val="0010039A"/>
    <w:rsid w:val="00101E94"/>
    <w:rsid w:val="00101FB2"/>
    <w:rsid w:val="00102CB8"/>
    <w:rsid w:val="00102F02"/>
    <w:rsid w:val="0010385D"/>
    <w:rsid w:val="00103E41"/>
    <w:rsid w:val="001041B6"/>
    <w:rsid w:val="001070EA"/>
    <w:rsid w:val="0011002A"/>
    <w:rsid w:val="001107CE"/>
    <w:rsid w:val="0011110A"/>
    <w:rsid w:val="001118AF"/>
    <w:rsid w:val="00111CA5"/>
    <w:rsid w:val="0011256E"/>
    <w:rsid w:val="0011352E"/>
    <w:rsid w:val="00114FC0"/>
    <w:rsid w:val="00115496"/>
    <w:rsid w:val="00116DB9"/>
    <w:rsid w:val="00116F28"/>
    <w:rsid w:val="00121C39"/>
    <w:rsid w:val="00123255"/>
    <w:rsid w:val="00124D2D"/>
    <w:rsid w:val="00124DA1"/>
    <w:rsid w:val="00125326"/>
    <w:rsid w:val="00125CB5"/>
    <w:rsid w:val="00127535"/>
    <w:rsid w:val="001307BE"/>
    <w:rsid w:val="00130C8F"/>
    <w:rsid w:val="001314F2"/>
    <w:rsid w:val="001317DA"/>
    <w:rsid w:val="001323BA"/>
    <w:rsid w:val="0013254D"/>
    <w:rsid w:val="00133AAC"/>
    <w:rsid w:val="00133FBD"/>
    <w:rsid w:val="00136561"/>
    <w:rsid w:val="001400E1"/>
    <w:rsid w:val="001405FA"/>
    <w:rsid w:val="001413B3"/>
    <w:rsid w:val="001425C3"/>
    <w:rsid w:val="00142F16"/>
    <w:rsid w:val="00143E03"/>
    <w:rsid w:val="00143E93"/>
    <w:rsid w:val="0014428D"/>
    <w:rsid w:val="001500FC"/>
    <w:rsid w:val="00151AC0"/>
    <w:rsid w:val="00151B27"/>
    <w:rsid w:val="00152046"/>
    <w:rsid w:val="00154147"/>
    <w:rsid w:val="00155746"/>
    <w:rsid w:val="00156318"/>
    <w:rsid w:val="0015639A"/>
    <w:rsid w:val="0016081D"/>
    <w:rsid w:val="00160CF3"/>
    <w:rsid w:val="00160E61"/>
    <w:rsid w:val="001620FA"/>
    <w:rsid w:val="00162853"/>
    <w:rsid w:val="00163793"/>
    <w:rsid w:val="00167FB2"/>
    <w:rsid w:val="001707DE"/>
    <w:rsid w:val="00170B04"/>
    <w:rsid w:val="00170F47"/>
    <w:rsid w:val="001714F2"/>
    <w:rsid w:val="00173642"/>
    <w:rsid w:val="00173AF4"/>
    <w:rsid w:val="00173CB0"/>
    <w:rsid w:val="00174CE8"/>
    <w:rsid w:val="00175351"/>
    <w:rsid w:val="00175F60"/>
    <w:rsid w:val="00176050"/>
    <w:rsid w:val="001764D8"/>
    <w:rsid w:val="00176A8F"/>
    <w:rsid w:val="00180D58"/>
    <w:rsid w:val="00182981"/>
    <w:rsid w:val="00184CF9"/>
    <w:rsid w:val="00185010"/>
    <w:rsid w:val="001852EC"/>
    <w:rsid w:val="00186447"/>
    <w:rsid w:val="001874CF"/>
    <w:rsid w:val="00190214"/>
    <w:rsid w:val="00190D9B"/>
    <w:rsid w:val="00191BAE"/>
    <w:rsid w:val="00193432"/>
    <w:rsid w:val="0019346C"/>
    <w:rsid w:val="00195444"/>
    <w:rsid w:val="001A199D"/>
    <w:rsid w:val="001A2BDB"/>
    <w:rsid w:val="001A30F4"/>
    <w:rsid w:val="001A4C0D"/>
    <w:rsid w:val="001A552F"/>
    <w:rsid w:val="001A56F3"/>
    <w:rsid w:val="001A737B"/>
    <w:rsid w:val="001A750C"/>
    <w:rsid w:val="001B1D89"/>
    <w:rsid w:val="001B3110"/>
    <w:rsid w:val="001B4198"/>
    <w:rsid w:val="001B44BC"/>
    <w:rsid w:val="001B5888"/>
    <w:rsid w:val="001B618F"/>
    <w:rsid w:val="001B6545"/>
    <w:rsid w:val="001B681B"/>
    <w:rsid w:val="001B6A49"/>
    <w:rsid w:val="001B7231"/>
    <w:rsid w:val="001B74FB"/>
    <w:rsid w:val="001B77A1"/>
    <w:rsid w:val="001C0422"/>
    <w:rsid w:val="001C0E0E"/>
    <w:rsid w:val="001C0EB9"/>
    <w:rsid w:val="001C1219"/>
    <w:rsid w:val="001C357A"/>
    <w:rsid w:val="001C3A37"/>
    <w:rsid w:val="001C4384"/>
    <w:rsid w:val="001C65FF"/>
    <w:rsid w:val="001D47E5"/>
    <w:rsid w:val="001D584C"/>
    <w:rsid w:val="001D5E1B"/>
    <w:rsid w:val="001D66C1"/>
    <w:rsid w:val="001D7C6F"/>
    <w:rsid w:val="001E0024"/>
    <w:rsid w:val="001E0C65"/>
    <w:rsid w:val="001E23E3"/>
    <w:rsid w:val="001E387A"/>
    <w:rsid w:val="001E3DA4"/>
    <w:rsid w:val="001E5830"/>
    <w:rsid w:val="001E684C"/>
    <w:rsid w:val="001E701C"/>
    <w:rsid w:val="001E7C03"/>
    <w:rsid w:val="001F02AF"/>
    <w:rsid w:val="001F0649"/>
    <w:rsid w:val="001F28F4"/>
    <w:rsid w:val="001F2CC6"/>
    <w:rsid w:val="001F3055"/>
    <w:rsid w:val="001F31BC"/>
    <w:rsid w:val="001F378E"/>
    <w:rsid w:val="001F3C79"/>
    <w:rsid w:val="001F3E68"/>
    <w:rsid w:val="001F4597"/>
    <w:rsid w:val="001F56A9"/>
    <w:rsid w:val="001F5C6A"/>
    <w:rsid w:val="001F670A"/>
    <w:rsid w:val="00200D15"/>
    <w:rsid w:val="0020223B"/>
    <w:rsid w:val="00203074"/>
    <w:rsid w:val="00203B46"/>
    <w:rsid w:val="002048E1"/>
    <w:rsid w:val="00207DB6"/>
    <w:rsid w:val="00210278"/>
    <w:rsid w:val="00210CC2"/>
    <w:rsid w:val="00210F5B"/>
    <w:rsid w:val="00210FFA"/>
    <w:rsid w:val="00211262"/>
    <w:rsid w:val="002115F5"/>
    <w:rsid w:val="00211AC9"/>
    <w:rsid w:val="0021355B"/>
    <w:rsid w:val="002143AD"/>
    <w:rsid w:val="002179F9"/>
    <w:rsid w:val="002205F2"/>
    <w:rsid w:val="0022080E"/>
    <w:rsid w:val="0022139E"/>
    <w:rsid w:val="0022272B"/>
    <w:rsid w:val="00222A99"/>
    <w:rsid w:val="00223678"/>
    <w:rsid w:val="002236F7"/>
    <w:rsid w:val="00223E00"/>
    <w:rsid w:val="002252E0"/>
    <w:rsid w:val="002255F6"/>
    <w:rsid w:val="00226466"/>
    <w:rsid w:val="002266D0"/>
    <w:rsid w:val="00226887"/>
    <w:rsid w:val="00230DAD"/>
    <w:rsid w:val="0023229C"/>
    <w:rsid w:val="0023355C"/>
    <w:rsid w:val="00234280"/>
    <w:rsid w:val="00235000"/>
    <w:rsid w:val="002350E3"/>
    <w:rsid w:val="00235330"/>
    <w:rsid w:val="00236443"/>
    <w:rsid w:val="00240773"/>
    <w:rsid w:val="00240815"/>
    <w:rsid w:val="00240A5B"/>
    <w:rsid w:val="00240C76"/>
    <w:rsid w:val="002411EF"/>
    <w:rsid w:val="00242730"/>
    <w:rsid w:val="002436BA"/>
    <w:rsid w:val="002444ED"/>
    <w:rsid w:val="00244A15"/>
    <w:rsid w:val="00244D40"/>
    <w:rsid w:val="00246AE9"/>
    <w:rsid w:val="0024799E"/>
    <w:rsid w:val="00250C59"/>
    <w:rsid w:val="00250E0D"/>
    <w:rsid w:val="00251D59"/>
    <w:rsid w:val="00252602"/>
    <w:rsid w:val="00252FDC"/>
    <w:rsid w:val="00257613"/>
    <w:rsid w:val="00261E5B"/>
    <w:rsid w:val="00262F34"/>
    <w:rsid w:val="00263470"/>
    <w:rsid w:val="00263733"/>
    <w:rsid w:val="00264676"/>
    <w:rsid w:val="00265536"/>
    <w:rsid w:val="00265E54"/>
    <w:rsid w:val="00266F3E"/>
    <w:rsid w:val="00270785"/>
    <w:rsid w:val="00272464"/>
    <w:rsid w:val="00273DCD"/>
    <w:rsid w:val="00274291"/>
    <w:rsid w:val="00276CFE"/>
    <w:rsid w:val="00277071"/>
    <w:rsid w:val="0027786C"/>
    <w:rsid w:val="00277BF7"/>
    <w:rsid w:val="00281416"/>
    <w:rsid w:val="00285CD3"/>
    <w:rsid w:val="0028686A"/>
    <w:rsid w:val="00286E66"/>
    <w:rsid w:val="002870B7"/>
    <w:rsid w:val="002919B5"/>
    <w:rsid w:val="00293441"/>
    <w:rsid w:val="00294238"/>
    <w:rsid w:val="0029493E"/>
    <w:rsid w:val="002962E0"/>
    <w:rsid w:val="00296C2E"/>
    <w:rsid w:val="002A1B05"/>
    <w:rsid w:val="002A267F"/>
    <w:rsid w:val="002A3354"/>
    <w:rsid w:val="002A35EA"/>
    <w:rsid w:val="002A37B6"/>
    <w:rsid w:val="002A3BD5"/>
    <w:rsid w:val="002A43A2"/>
    <w:rsid w:val="002A44ED"/>
    <w:rsid w:val="002A4612"/>
    <w:rsid w:val="002A4F70"/>
    <w:rsid w:val="002A5263"/>
    <w:rsid w:val="002A6821"/>
    <w:rsid w:val="002A74D2"/>
    <w:rsid w:val="002A7CDA"/>
    <w:rsid w:val="002A7F47"/>
    <w:rsid w:val="002B1544"/>
    <w:rsid w:val="002B36C8"/>
    <w:rsid w:val="002B71B4"/>
    <w:rsid w:val="002B7240"/>
    <w:rsid w:val="002C0FF4"/>
    <w:rsid w:val="002C125A"/>
    <w:rsid w:val="002C2668"/>
    <w:rsid w:val="002C43BD"/>
    <w:rsid w:val="002C493D"/>
    <w:rsid w:val="002C5261"/>
    <w:rsid w:val="002C6091"/>
    <w:rsid w:val="002D0562"/>
    <w:rsid w:val="002D1B5A"/>
    <w:rsid w:val="002D2500"/>
    <w:rsid w:val="002D338A"/>
    <w:rsid w:val="002D3F00"/>
    <w:rsid w:val="002D4D59"/>
    <w:rsid w:val="002D54BF"/>
    <w:rsid w:val="002D5E94"/>
    <w:rsid w:val="002D632D"/>
    <w:rsid w:val="002E02A1"/>
    <w:rsid w:val="002E0982"/>
    <w:rsid w:val="002E0DB9"/>
    <w:rsid w:val="002E2CE4"/>
    <w:rsid w:val="002E34F3"/>
    <w:rsid w:val="002E435E"/>
    <w:rsid w:val="002E73F2"/>
    <w:rsid w:val="002F33FB"/>
    <w:rsid w:val="002F663A"/>
    <w:rsid w:val="002F68A4"/>
    <w:rsid w:val="002F7594"/>
    <w:rsid w:val="00300D6F"/>
    <w:rsid w:val="00301357"/>
    <w:rsid w:val="00301D04"/>
    <w:rsid w:val="003035D4"/>
    <w:rsid w:val="00303DCB"/>
    <w:rsid w:val="00304771"/>
    <w:rsid w:val="00305736"/>
    <w:rsid w:val="00306C5B"/>
    <w:rsid w:val="00306E3B"/>
    <w:rsid w:val="003119B6"/>
    <w:rsid w:val="00312C3D"/>
    <w:rsid w:val="00314331"/>
    <w:rsid w:val="00317E31"/>
    <w:rsid w:val="00320214"/>
    <w:rsid w:val="003209D6"/>
    <w:rsid w:val="0032109A"/>
    <w:rsid w:val="0032214F"/>
    <w:rsid w:val="00322164"/>
    <w:rsid w:val="00323CF7"/>
    <w:rsid w:val="00323E61"/>
    <w:rsid w:val="0032513D"/>
    <w:rsid w:val="00326251"/>
    <w:rsid w:val="0032739C"/>
    <w:rsid w:val="00327DEE"/>
    <w:rsid w:val="003302DA"/>
    <w:rsid w:val="00330EB0"/>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51B63"/>
    <w:rsid w:val="00352E57"/>
    <w:rsid w:val="003541B0"/>
    <w:rsid w:val="0035457E"/>
    <w:rsid w:val="00355885"/>
    <w:rsid w:val="0035605E"/>
    <w:rsid w:val="00357449"/>
    <w:rsid w:val="0036238B"/>
    <w:rsid w:val="003651A4"/>
    <w:rsid w:val="00365680"/>
    <w:rsid w:val="003657F3"/>
    <w:rsid w:val="00366D4D"/>
    <w:rsid w:val="00367038"/>
    <w:rsid w:val="00370963"/>
    <w:rsid w:val="0037144E"/>
    <w:rsid w:val="003736B5"/>
    <w:rsid w:val="00374F1E"/>
    <w:rsid w:val="00376DEC"/>
    <w:rsid w:val="00377200"/>
    <w:rsid w:val="0038034A"/>
    <w:rsid w:val="00380E04"/>
    <w:rsid w:val="00380E6C"/>
    <w:rsid w:val="00383227"/>
    <w:rsid w:val="00384D8F"/>
    <w:rsid w:val="00385D98"/>
    <w:rsid w:val="00385EC5"/>
    <w:rsid w:val="0038658E"/>
    <w:rsid w:val="0039066E"/>
    <w:rsid w:val="00391C95"/>
    <w:rsid w:val="00394D49"/>
    <w:rsid w:val="00396DAC"/>
    <w:rsid w:val="003A0214"/>
    <w:rsid w:val="003A027D"/>
    <w:rsid w:val="003A1D74"/>
    <w:rsid w:val="003A2B4D"/>
    <w:rsid w:val="003A2D2B"/>
    <w:rsid w:val="003A2DD4"/>
    <w:rsid w:val="003A3B1C"/>
    <w:rsid w:val="003A4088"/>
    <w:rsid w:val="003A478C"/>
    <w:rsid w:val="003A4F82"/>
    <w:rsid w:val="003A5525"/>
    <w:rsid w:val="003A6B38"/>
    <w:rsid w:val="003B2580"/>
    <w:rsid w:val="003B2E63"/>
    <w:rsid w:val="003B3189"/>
    <w:rsid w:val="003B3A9D"/>
    <w:rsid w:val="003B3DDD"/>
    <w:rsid w:val="003B5031"/>
    <w:rsid w:val="003B5A32"/>
    <w:rsid w:val="003B6105"/>
    <w:rsid w:val="003C03CC"/>
    <w:rsid w:val="003C04C4"/>
    <w:rsid w:val="003C26F4"/>
    <w:rsid w:val="003C3686"/>
    <w:rsid w:val="003C4852"/>
    <w:rsid w:val="003C5BC7"/>
    <w:rsid w:val="003C601E"/>
    <w:rsid w:val="003C66C4"/>
    <w:rsid w:val="003D2C4E"/>
    <w:rsid w:val="003D3600"/>
    <w:rsid w:val="003D3825"/>
    <w:rsid w:val="003D3EC4"/>
    <w:rsid w:val="003D4760"/>
    <w:rsid w:val="003D49DC"/>
    <w:rsid w:val="003D4DD9"/>
    <w:rsid w:val="003D5D7A"/>
    <w:rsid w:val="003E0663"/>
    <w:rsid w:val="003E133F"/>
    <w:rsid w:val="003E49F6"/>
    <w:rsid w:val="003E699C"/>
    <w:rsid w:val="003E69F3"/>
    <w:rsid w:val="003E782E"/>
    <w:rsid w:val="003E7A0B"/>
    <w:rsid w:val="003E7B2B"/>
    <w:rsid w:val="003F181F"/>
    <w:rsid w:val="003F1A48"/>
    <w:rsid w:val="003F1E23"/>
    <w:rsid w:val="003F2B0A"/>
    <w:rsid w:val="003F313C"/>
    <w:rsid w:val="003F341B"/>
    <w:rsid w:val="003F37FC"/>
    <w:rsid w:val="003F3A26"/>
    <w:rsid w:val="003F49A6"/>
    <w:rsid w:val="003F5098"/>
    <w:rsid w:val="003F5568"/>
    <w:rsid w:val="003F5A95"/>
    <w:rsid w:val="003F6D19"/>
    <w:rsid w:val="004000D5"/>
    <w:rsid w:val="00400244"/>
    <w:rsid w:val="004005C1"/>
    <w:rsid w:val="00401716"/>
    <w:rsid w:val="00401A09"/>
    <w:rsid w:val="0040273A"/>
    <w:rsid w:val="00402C25"/>
    <w:rsid w:val="004050D7"/>
    <w:rsid w:val="004078BD"/>
    <w:rsid w:val="00410132"/>
    <w:rsid w:val="00410BCD"/>
    <w:rsid w:val="00410DE5"/>
    <w:rsid w:val="0041175D"/>
    <w:rsid w:val="004123BE"/>
    <w:rsid w:val="00414CE5"/>
    <w:rsid w:val="00416673"/>
    <w:rsid w:val="0042160D"/>
    <w:rsid w:val="00423A3C"/>
    <w:rsid w:val="0042681B"/>
    <w:rsid w:val="00427193"/>
    <w:rsid w:val="0043068A"/>
    <w:rsid w:val="004306E0"/>
    <w:rsid w:val="00431D54"/>
    <w:rsid w:val="004329BE"/>
    <w:rsid w:val="00432C38"/>
    <w:rsid w:val="004342EC"/>
    <w:rsid w:val="00437C76"/>
    <w:rsid w:val="0044105C"/>
    <w:rsid w:val="00443E95"/>
    <w:rsid w:val="004441A0"/>
    <w:rsid w:val="00444268"/>
    <w:rsid w:val="00444326"/>
    <w:rsid w:val="004443BF"/>
    <w:rsid w:val="00444C19"/>
    <w:rsid w:val="00445218"/>
    <w:rsid w:val="00445CDD"/>
    <w:rsid w:val="00446892"/>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9FD"/>
    <w:rsid w:val="00462AD2"/>
    <w:rsid w:val="00463B4B"/>
    <w:rsid w:val="00463F4D"/>
    <w:rsid w:val="0046471F"/>
    <w:rsid w:val="00464BE8"/>
    <w:rsid w:val="00465019"/>
    <w:rsid w:val="00465FA4"/>
    <w:rsid w:val="0046613F"/>
    <w:rsid w:val="0046655D"/>
    <w:rsid w:val="0046765E"/>
    <w:rsid w:val="004676E2"/>
    <w:rsid w:val="00471EDD"/>
    <w:rsid w:val="00473E94"/>
    <w:rsid w:val="0047400C"/>
    <w:rsid w:val="004745D9"/>
    <w:rsid w:val="004762D8"/>
    <w:rsid w:val="004765B3"/>
    <w:rsid w:val="00476D29"/>
    <w:rsid w:val="00477241"/>
    <w:rsid w:val="00477EAF"/>
    <w:rsid w:val="00477EE0"/>
    <w:rsid w:val="00480AB8"/>
    <w:rsid w:val="0048139F"/>
    <w:rsid w:val="00481C00"/>
    <w:rsid w:val="00483053"/>
    <w:rsid w:val="00484874"/>
    <w:rsid w:val="00485230"/>
    <w:rsid w:val="004879E9"/>
    <w:rsid w:val="00487F81"/>
    <w:rsid w:val="00490247"/>
    <w:rsid w:val="0049104F"/>
    <w:rsid w:val="00491218"/>
    <w:rsid w:val="00491CFD"/>
    <w:rsid w:val="00493362"/>
    <w:rsid w:val="00494343"/>
    <w:rsid w:val="00496C2F"/>
    <w:rsid w:val="0049740D"/>
    <w:rsid w:val="004978D3"/>
    <w:rsid w:val="004A11F8"/>
    <w:rsid w:val="004A22BD"/>
    <w:rsid w:val="004A22FA"/>
    <w:rsid w:val="004A269A"/>
    <w:rsid w:val="004A30FB"/>
    <w:rsid w:val="004A35DD"/>
    <w:rsid w:val="004A37D3"/>
    <w:rsid w:val="004A3AD6"/>
    <w:rsid w:val="004A5865"/>
    <w:rsid w:val="004A77DF"/>
    <w:rsid w:val="004B0295"/>
    <w:rsid w:val="004B0803"/>
    <w:rsid w:val="004B10A8"/>
    <w:rsid w:val="004B22DA"/>
    <w:rsid w:val="004B3CB7"/>
    <w:rsid w:val="004B3D55"/>
    <w:rsid w:val="004B55B7"/>
    <w:rsid w:val="004B5836"/>
    <w:rsid w:val="004C00A6"/>
    <w:rsid w:val="004C0BBB"/>
    <w:rsid w:val="004C1AD6"/>
    <w:rsid w:val="004C1B86"/>
    <w:rsid w:val="004C3382"/>
    <w:rsid w:val="004C3867"/>
    <w:rsid w:val="004C4AB7"/>
    <w:rsid w:val="004C4CD0"/>
    <w:rsid w:val="004C57B5"/>
    <w:rsid w:val="004C5C25"/>
    <w:rsid w:val="004C6717"/>
    <w:rsid w:val="004C6CFF"/>
    <w:rsid w:val="004C70DC"/>
    <w:rsid w:val="004C7268"/>
    <w:rsid w:val="004D0211"/>
    <w:rsid w:val="004D1C9C"/>
    <w:rsid w:val="004D458D"/>
    <w:rsid w:val="004D504B"/>
    <w:rsid w:val="004D536E"/>
    <w:rsid w:val="004D76CC"/>
    <w:rsid w:val="004E1839"/>
    <w:rsid w:val="004E4A75"/>
    <w:rsid w:val="004E541A"/>
    <w:rsid w:val="004E5A5C"/>
    <w:rsid w:val="004E7007"/>
    <w:rsid w:val="004E76D6"/>
    <w:rsid w:val="004E7F57"/>
    <w:rsid w:val="004F06F5"/>
    <w:rsid w:val="004F191F"/>
    <w:rsid w:val="004F2A73"/>
    <w:rsid w:val="004F33A0"/>
    <w:rsid w:val="004F4353"/>
    <w:rsid w:val="004F447D"/>
    <w:rsid w:val="004F4C28"/>
    <w:rsid w:val="004F4E82"/>
    <w:rsid w:val="004F5CC5"/>
    <w:rsid w:val="004F6350"/>
    <w:rsid w:val="005028E1"/>
    <w:rsid w:val="0050692E"/>
    <w:rsid w:val="00507040"/>
    <w:rsid w:val="005079F8"/>
    <w:rsid w:val="00510189"/>
    <w:rsid w:val="005108C0"/>
    <w:rsid w:val="00511873"/>
    <w:rsid w:val="0051367B"/>
    <w:rsid w:val="00513B7E"/>
    <w:rsid w:val="005140DE"/>
    <w:rsid w:val="00514474"/>
    <w:rsid w:val="005147E9"/>
    <w:rsid w:val="0051778E"/>
    <w:rsid w:val="00521512"/>
    <w:rsid w:val="005215EF"/>
    <w:rsid w:val="00524637"/>
    <w:rsid w:val="00524FDD"/>
    <w:rsid w:val="00525137"/>
    <w:rsid w:val="005251DD"/>
    <w:rsid w:val="00526DB6"/>
    <w:rsid w:val="0053017A"/>
    <w:rsid w:val="00530492"/>
    <w:rsid w:val="00532854"/>
    <w:rsid w:val="005350F2"/>
    <w:rsid w:val="00535152"/>
    <w:rsid w:val="00535359"/>
    <w:rsid w:val="005357A2"/>
    <w:rsid w:val="005359E3"/>
    <w:rsid w:val="00535D87"/>
    <w:rsid w:val="00535EF0"/>
    <w:rsid w:val="005363DF"/>
    <w:rsid w:val="0053734B"/>
    <w:rsid w:val="005375B1"/>
    <w:rsid w:val="00537AFD"/>
    <w:rsid w:val="00537CB4"/>
    <w:rsid w:val="0054516B"/>
    <w:rsid w:val="0054559E"/>
    <w:rsid w:val="005513D5"/>
    <w:rsid w:val="005523B9"/>
    <w:rsid w:val="005545E0"/>
    <w:rsid w:val="00554865"/>
    <w:rsid w:val="00554E57"/>
    <w:rsid w:val="00562749"/>
    <w:rsid w:val="00562DE9"/>
    <w:rsid w:val="005638A5"/>
    <w:rsid w:val="00566381"/>
    <w:rsid w:val="00566A03"/>
    <w:rsid w:val="00571932"/>
    <w:rsid w:val="00573C97"/>
    <w:rsid w:val="00574240"/>
    <w:rsid w:val="00575CDC"/>
    <w:rsid w:val="005765D5"/>
    <w:rsid w:val="00576A3E"/>
    <w:rsid w:val="0057703D"/>
    <w:rsid w:val="0058366F"/>
    <w:rsid w:val="00583D5B"/>
    <w:rsid w:val="00583FFD"/>
    <w:rsid w:val="00587CCD"/>
    <w:rsid w:val="005908AE"/>
    <w:rsid w:val="0059176E"/>
    <w:rsid w:val="00592854"/>
    <w:rsid w:val="00593152"/>
    <w:rsid w:val="00593CA3"/>
    <w:rsid w:val="00594161"/>
    <w:rsid w:val="00594969"/>
    <w:rsid w:val="00596C5E"/>
    <w:rsid w:val="005A2194"/>
    <w:rsid w:val="005A21E0"/>
    <w:rsid w:val="005A33A1"/>
    <w:rsid w:val="005A54EE"/>
    <w:rsid w:val="005A563B"/>
    <w:rsid w:val="005A7500"/>
    <w:rsid w:val="005A77E4"/>
    <w:rsid w:val="005B1BDB"/>
    <w:rsid w:val="005B2BAA"/>
    <w:rsid w:val="005B2D53"/>
    <w:rsid w:val="005B3247"/>
    <w:rsid w:val="005B3409"/>
    <w:rsid w:val="005B498A"/>
    <w:rsid w:val="005B7B12"/>
    <w:rsid w:val="005C16CB"/>
    <w:rsid w:val="005C21D6"/>
    <w:rsid w:val="005C3F9F"/>
    <w:rsid w:val="005C406F"/>
    <w:rsid w:val="005C4A23"/>
    <w:rsid w:val="005C562C"/>
    <w:rsid w:val="005C5812"/>
    <w:rsid w:val="005C6400"/>
    <w:rsid w:val="005C7F1E"/>
    <w:rsid w:val="005D374F"/>
    <w:rsid w:val="005D5802"/>
    <w:rsid w:val="005D6CFC"/>
    <w:rsid w:val="005D73E2"/>
    <w:rsid w:val="005D757A"/>
    <w:rsid w:val="005D7C4B"/>
    <w:rsid w:val="005E1E4B"/>
    <w:rsid w:val="005E362D"/>
    <w:rsid w:val="005E3A0C"/>
    <w:rsid w:val="005E3FAC"/>
    <w:rsid w:val="005E492C"/>
    <w:rsid w:val="005E4BAA"/>
    <w:rsid w:val="005E52EF"/>
    <w:rsid w:val="005E5B56"/>
    <w:rsid w:val="005E6088"/>
    <w:rsid w:val="005E61DF"/>
    <w:rsid w:val="005E6B65"/>
    <w:rsid w:val="005E6B78"/>
    <w:rsid w:val="005E75B8"/>
    <w:rsid w:val="005F0976"/>
    <w:rsid w:val="005F26CE"/>
    <w:rsid w:val="005F4057"/>
    <w:rsid w:val="005F4088"/>
    <w:rsid w:val="005F601D"/>
    <w:rsid w:val="005F6119"/>
    <w:rsid w:val="005F7940"/>
    <w:rsid w:val="0060107A"/>
    <w:rsid w:val="00601AFF"/>
    <w:rsid w:val="00602D1D"/>
    <w:rsid w:val="00604307"/>
    <w:rsid w:val="0060487F"/>
    <w:rsid w:val="00605814"/>
    <w:rsid w:val="00606B93"/>
    <w:rsid w:val="00607727"/>
    <w:rsid w:val="00610BD5"/>
    <w:rsid w:val="00611531"/>
    <w:rsid w:val="006118AA"/>
    <w:rsid w:val="006139C7"/>
    <w:rsid w:val="006153E3"/>
    <w:rsid w:val="006167AB"/>
    <w:rsid w:val="00617D2D"/>
    <w:rsid w:val="00617D83"/>
    <w:rsid w:val="00620430"/>
    <w:rsid w:val="00620AC5"/>
    <w:rsid w:val="00621575"/>
    <w:rsid w:val="006215FC"/>
    <w:rsid w:val="00624093"/>
    <w:rsid w:val="00630F66"/>
    <w:rsid w:val="00631FC2"/>
    <w:rsid w:val="00632171"/>
    <w:rsid w:val="0063332A"/>
    <w:rsid w:val="006347F9"/>
    <w:rsid w:val="0063494E"/>
    <w:rsid w:val="00634C90"/>
    <w:rsid w:val="00635E79"/>
    <w:rsid w:val="00636E5E"/>
    <w:rsid w:val="006379E0"/>
    <w:rsid w:val="006404A7"/>
    <w:rsid w:val="006407F3"/>
    <w:rsid w:val="006408EC"/>
    <w:rsid w:val="0064129B"/>
    <w:rsid w:val="00641DF7"/>
    <w:rsid w:val="00643A80"/>
    <w:rsid w:val="00644DFC"/>
    <w:rsid w:val="006451E4"/>
    <w:rsid w:val="006454B4"/>
    <w:rsid w:val="00645A9C"/>
    <w:rsid w:val="006460B8"/>
    <w:rsid w:val="006504A0"/>
    <w:rsid w:val="006520C7"/>
    <w:rsid w:val="006520D5"/>
    <w:rsid w:val="00652CBB"/>
    <w:rsid w:val="006530B8"/>
    <w:rsid w:val="006535D6"/>
    <w:rsid w:val="00656716"/>
    <w:rsid w:val="006572ED"/>
    <w:rsid w:val="00657E87"/>
    <w:rsid w:val="00660457"/>
    <w:rsid w:val="00660E1E"/>
    <w:rsid w:val="006637B1"/>
    <w:rsid w:val="00664B64"/>
    <w:rsid w:val="00665D67"/>
    <w:rsid w:val="00665D77"/>
    <w:rsid w:val="006660CD"/>
    <w:rsid w:val="00666EC8"/>
    <w:rsid w:val="00666F4B"/>
    <w:rsid w:val="006676D0"/>
    <w:rsid w:val="0066796E"/>
    <w:rsid w:val="00670FAC"/>
    <w:rsid w:val="006710C9"/>
    <w:rsid w:val="006716A5"/>
    <w:rsid w:val="00675E37"/>
    <w:rsid w:val="00676AFC"/>
    <w:rsid w:val="00676F11"/>
    <w:rsid w:val="00680079"/>
    <w:rsid w:val="00680F68"/>
    <w:rsid w:val="0068260E"/>
    <w:rsid w:val="0068373D"/>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AA5"/>
    <w:rsid w:val="006977F6"/>
    <w:rsid w:val="00697A13"/>
    <w:rsid w:val="006A109C"/>
    <w:rsid w:val="006A18AE"/>
    <w:rsid w:val="006A2EE8"/>
    <w:rsid w:val="006A3CF3"/>
    <w:rsid w:val="006A568F"/>
    <w:rsid w:val="006A65EF"/>
    <w:rsid w:val="006A672B"/>
    <w:rsid w:val="006B23A9"/>
    <w:rsid w:val="006B281D"/>
    <w:rsid w:val="006B3F8A"/>
    <w:rsid w:val="006B5CA3"/>
    <w:rsid w:val="006B6B3B"/>
    <w:rsid w:val="006B7248"/>
    <w:rsid w:val="006B7714"/>
    <w:rsid w:val="006B78D8"/>
    <w:rsid w:val="006C090F"/>
    <w:rsid w:val="006C0935"/>
    <w:rsid w:val="006C0BCE"/>
    <w:rsid w:val="006C113F"/>
    <w:rsid w:val="006C2AED"/>
    <w:rsid w:val="006C38DD"/>
    <w:rsid w:val="006C53C7"/>
    <w:rsid w:val="006C5577"/>
    <w:rsid w:val="006C559A"/>
    <w:rsid w:val="006C58FA"/>
    <w:rsid w:val="006D042D"/>
    <w:rsid w:val="006D06EF"/>
    <w:rsid w:val="006D142E"/>
    <w:rsid w:val="006D4497"/>
    <w:rsid w:val="006D4E6F"/>
    <w:rsid w:val="006D61F6"/>
    <w:rsid w:val="006E0EB0"/>
    <w:rsid w:val="006E1F4C"/>
    <w:rsid w:val="006E22C8"/>
    <w:rsid w:val="006E279A"/>
    <w:rsid w:val="006E2F3F"/>
    <w:rsid w:val="006E313B"/>
    <w:rsid w:val="006E442A"/>
    <w:rsid w:val="006E4434"/>
    <w:rsid w:val="006E59FC"/>
    <w:rsid w:val="006E5CFD"/>
    <w:rsid w:val="006E7E2C"/>
    <w:rsid w:val="006F1326"/>
    <w:rsid w:val="006F2BEE"/>
    <w:rsid w:val="006F3708"/>
    <w:rsid w:val="006F3E6B"/>
    <w:rsid w:val="006F4619"/>
    <w:rsid w:val="006F4A59"/>
    <w:rsid w:val="00700232"/>
    <w:rsid w:val="007014C7"/>
    <w:rsid w:val="00702D6F"/>
    <w:rsid w:val="00703B6C"/>
    <w:rsid w:val="00703C6B"/>
    <w:rsid w:val="007047D5"/>
    <w:rsid w:val="00705D98"/>
    <w:rsid w:val="00707891"/>
    <w:rsid w:val="00707D43"/>
    <w:rsid w:val="00711EF1"/>
    <w:rsid w:val="0071229A"/>
    <w:rsid w:val="00712572"/>
    <w:rsid w:val="00713495"/>
    <w:rsid w:val="00713EEB"/>
    <w:rsid w:val="007159D2"/>
    <w:rsid w:val="0072050E"/>
    <w:rsid w:val="00720FA2"/>
    <w:rsid w:val="007211F5"/>
    <w:rsid w:val="00724666"/>
    <w:rsid w:val="00725492"/>
    <w:rsid w:val="00726043"/>
    <w:rsid w:val="0072704A"/>
    <w:rsid w:val="00730AE8"/>
    <w:rsid w:val="007315DA"/>
    <w:rsid w:val="00731963"/>
    <w:rsid w:val="00734321"/>
    <w:rsid w:val="0073532E"/>
    <w:rsid w:val="00740310"/>
    <w:rsid w:val="00740652"/>
    <w:rsid w:val="00740F02"/>
    <w:rsid w:val="00740FEC"/>
    <w:rsid w:val="0074132E"/>
    <w:rsid w:val="00741493"/>
    <w:rsid w:val="007426B3"/>
    <w:rsid w:val="007426FD"/>
    <w:rsid w:val="0074329D"/>
    <w:rsid w:val="00744376"/>
    <w:rsid w:val="007449EA"/>
    <w:rsid w:val="00744D00"/>
    <w:rsid w:val="00745273"/>
    <w:rsid w:val="00746DD9"/>
    <w:rsid w:val="0075057A"/>
    <w:rsid w:val="00751771"/>
    <w:rsid w:val="00751C1C"/>
    <w:rsid w:val="00752180"/>
    <w:rsid w:val="007521A1"/>
    <w:rsid w:val="00752BC3"/>
    <w:rsid w:val="0075315D"/>
    <w:rsid w:val="007538F9"/>
    <w:rsid w:val="00754253"/>
    <w:rsid w:val="007552BB"/>
    <w:rsid w:val="007558D3"/>
    <w:rsid w:val="007559D7"/>
    <w:rsid w:val="00755D3A"/>
    <w:rsid w:val="00760141"/>
    <w:rsid w:val="007609C6"/>
    <w:rsid w:val="007610A0"/>
    <w:rsid w:val="00762036"/>
    <w:rsid w:val="007620F2"/>
    <w:rsid w:val="00762EBA"/>
    <w:rsid w:val="0076359D"/>
    <w:rsid w:val="0077058D"/>
    <w:rsid w:val="00772536"/>
    <w:rsid w:val="00773613"/>
    <w:rsid w:val="00774782"/>
    <w:rsid w:val="00776476"/>
    <w:rsid w:val="00776527"/>
    <w:rsid w:val="007805E1"/>
    <w:rsid w:val="0078113E"/>
    <w:rsid w:val="00781834"/>
    <w:rsid w:val="007821DB"/>
    <w:rsid w:val="00782818"/>
    <w:rsid w:val="007838F1"/>
    <w:rsid w:val="00784C4A"/>
    <w:rsid w:val="00787432"/>
    <w:rsid w:val="00787507"/>
    <w:rsid w:val="007879F2"/>
    <w:rsid w:val="00791CF8"/>
    <w:rsid w:val="00791EF9"/>
    <w:rsid w:val="00792262"/>
    <w:rsid w:val="00793387"/>
    <w:rsid w:val="00793BAE"/>
    <w:rsid w:val="00794E0A"/>
    <w:rsid w:val="00796642"/>
    <w:rsid w:val="007A11D9"/>
    <w:rsid w:val="007A327B"/>
    <w:rsid w:val="007A4048"/>
    <w:rsid w:val="007A45B1"/>
    <w:rsid w:val="007A4606"/>
    <w:rsid w:val="007B0D67"/>
    <w:rsid w:val="007B1966"/>
    <w:rsid w:val="007B2779"/>
    <w:rsid w:val="007B3DCC"/>
    <w:rsid w:val="007B4518"/>
    <w:rsid w:val="007B5031"/>
    <w:rsid w:val="007B573F"/>
    <w:rsid w:val="007B78F8"/>
    <w:rsid w:val="007C0065"/>
    <w:rsid w:val="007C010B"/>
    <w:rsid w:val="007C3AE3"/>
    <w:rsid w:val="007C605B"/>
    <w:rsid w:val="007D2A5A"/>
    <w:rsid w:val="007D2AD8"/>
    <w:rsid w:val="007D2C47"/>
    <w:rsid w:val="007D2F81"/>
    <w:rsid w:val="007D3167"/>
    <w:rsid w:val="007D4128"/>
    <w:rsid w:val="007D4281"/>
    <w:rsid w:val="007D42F5"/>
    <w:rsid w:val="007D44C3"/>
    <w:rsid w:val="007D5947"/>
    <w:rsid w:val="007D65C1"/>
    <w:rsid w:val="007E030F"/>
    <w:rsid w:val="007E0E59"/>
    <w:rsid w:val="007E0F4B"/>
    <w:rsid w:val="007E3715"/>
    <w:rsid w:val="007E7E61"/>
    <w:rsid w:val="007F0845"/>
    <w:rsid w:val="007F16F9"/>
    <w:rsid w:val="007F3E3E"/>
    <w:rsid w:val="007F42E0"/>
    <w:rsid w:val="007F500D"/>
    <w:rsid w:val="007F5F14"/>
    <w:rsid w:val="007F7B54"/>
    <w:rsid w:val="00800073"/>
    <w:rsid w:val="008005D7"/>
    <w:rsid w:val="00801FDD"/>
    <w:rsid w:val="008020C2"/>
    <w:rsid w:val="0080255C"/>
    <w:rsid w:val="00806D07"/>
    <w:rsid w:val="0081187C"/>
    <w:rsid w:val="00811E24"/>
    <w:rsid w:val="00812386"/>
    <w:rsid w:val="00812E2B"/>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6ED1"/>
    <w:rsid w:val="00827181"/>
    <w:rsid w:val="0082733C"/>
    <w:rsid w:val="00827746"/>
    <w:rsid w:val="0083102D"/>
    <w:rsid w:val="0083143E"/>
    <w:rsid w:val="0083159D"/>
    <w:rsid w:val="008318FF"/>
    <w:rsid w:val="00832187"/>
    <w:rsid w:val="00832493"/>
    <w:rsid w:val="008329BD"/>
    <w:rsid w:val="008336D8"/>
    <w:rsid w:val="008339C4"/>
    <w:rsid w:val="00834F0A"/>
    <w:rsid w:val="00834FAA"/>
    <w:rsid w:val="00835181"/>
    <w:rsid w:val="00835991"/>
    <w:rsid w:val="00836086"/>
    <w:rsid w:val="00840699"/>
    <w:rsid w:val="00841D9F"/>
    <w:rsid w:val="00842604"/>
    <w:rsid w:val="00843ECF"/>
    <w:rsid w:val="00845AB1"/>
    <w:rsid w:val="00846673"/>
    <w:rsid w:val="0085281A"/>
    <w:rsid w:val="008559FE"/>
    <w:rsid w:val="00857339"/>
    <w:rsid w:val="00860706"/>
    <w:rsid w:val="00862A7A"/>
    <w:rsid w:val="00863104"/>
    <w:rsid w:val="008636CD"/>
    <w:rsid w:val="00863D9E"/>
    <w:rsid w:val="00863FDC"/>
    <w:rsid w:val="008642AF"/>
    <w:rsid w:val="00865729"/>
    <w:rsid w:val="00865ED4"/>
    <w:rsid w:val="008669A7"/>
    <w:rsid w:val="00867E29"/>
    <w:rsid w:val="00870F2B"/>
    <w:rsid w:val="008746E6"/>
    <w:rsid w:val="0087594C"/>
    <w:rsid w:val="00876086"/>
    <w:rsid w:val="008765FA"/>
    <w:rsid w:val="008768D6"/>
    <w:rsid w:val="008775D1"/>
    <w:rsid w:val="008777BB"/>
    <w:rsid w:val="00877D68"/>
    <w:rsid w:val="00877E5D"/>
    <w:rsid w:val="00880150"/>
    <w:rsid w:val="00880ABA"/>
    <w:rsid w:val="00883A67"/>
    <w:rsid w:val="00883D45"/>
    <w:rsid w:val="00884D69"/>
    <w:rsid w:val="0088503D"/>
    <w:rsid w:val="00886A8F"/>
    <w:rsid w:val="0088733A"/>
    <w:rsid w:val="00891BE0"/>
    <w:rsid w:val="00893302"/>
    <w:rsid w:val="00893648"/>
    <w:rsid w:val="00893F3C"/>
    <w:rsid w:val="008945A1"/>
    <w:rsid w:val="00894A63"/>
    <w:rsid w:val="00895A54"/>
    <w:rsid w:val="00896916"/>
    <w:rsid w:val="00896BDE"/>
    <w:rsid w:val="008A0861"/>
    <w:rsid w:val="008A0BB2"/>
    <w:rsid w:val="008A1AB3"/>
    <w:rsid w:val="008A1D5C"/>
    <w:rsid w:val="008A3292"/>
    <w:rsid w:val="008A3A85"/>
    <w:rsid w:val="008A43E9"/>
    <w:rsid w:val="008A4CB1"/>
    <w:rsid w:val="008A615E"/>
    <w:rsid w:val="008A632B"/>
    <w:rsid w:val="008A6BFE"/>
    <w:rsid w:val="008B00C2"/>
    <w:rsid w:val="008B07EF"/>
    <w:rsid w:val="008B16DE"/>
    <w:rsid w:val="008B190E"/>
    <w:rsid w:val="008B1A8A"/>
    <w:rsid w:val="008B1FC9"/>
    <w:rsid w:val="008B531F"/>
    <w:rsid w:val="008B6B67"/>
    <w:rsid w:val="008B7306"/>
    <w:rsid w:val="008B775F"/>
    <w:rsid w:val="008B7C02"/>
    <w:rsid w:val="008B7D13"/>
    <w:rsid w:val="008B7F9E"/>
    <w:rsid w:val="008C034E"/>
    <w:rsid w:val="008C0E88"/>
    <w:rsid w:val="008C1399"/>
    <w:rsid w:val="008C1AA8"/>
    <w:rsid w:val="008C22A8"/>
    <w:rsid w:val="008C5B43"/>
    <w:rsid w:val="008C63FD"/>
    <w:rsid w:val="008C6CB8"/>
    <w:rsid w:val="008C7815"/>
    <w:rsid w:val="008C7A07"/>
    <w:rsid w:val="008D0171"/>
    <w:rsid w:val="008D13EA"/>
    <w:rsid w:val="008D2671"/>
    <w:rsid w:val="008D2A16"/>
    <w:rsid w:val="008D2ECF"/>
    <w:rsid w:val="008D347D"/>
    <w:rsid w:val="008D3F3D"/>
    <w:rsid w:val="008E0367"/>
    <w:rsid w:val="008E308D"/>
    <w:rsid w:val="008E31FF"/>
    <w:rsid w:val="008E46A3"/>
    <w:rsid w:val="008E5DE6"/>
    <w:rsid w:val="008E6113"/>
    <w:rsid w:val="008E6AB3"/>
    <w:rsid w:val="008E6AD3"/>
    <w:rsid w:val="008E71A6"/>
    <w:rsid w:val="008E77B6"/>
    <w:rsid w:val="008E7C55"/>
    <w:rsid w:val="008F032E"/>
    <w:rsid w:val="008F0F14"/>
    <w:rsid w:val="008F4FCE"/>
    <w:rsid w:val="008F5301"/>
    <w:rsid w:val="008F6967"/>
    <w:rsid w:val="008F6A0C"/>
    <w:rsid w:val="008F6F38"/>
    <w:rsid w:val="008F7721"/>
    <w:rsid w:val="008F7D28"/>
    <w:rsid w:val="009003A8"/>
    <w:rsid w:val="009010A7"/>
    <w:rsid w:val="00901AF3"/>
    <w:rsid w:val="00902CBE"/>
    <w:rsid w:val="00902D74"/>
    <w:rsid w:val="00902EFF"/>
    <w:rsid w:val="00903E06"/>
    <w:rsid w:val="00904B9D"/>
    <w:rsid w:val="00905A11"/>
    <w:rsid w:val="009066E1"/>
    <w:rsid w:val="00907A41"/>
    <w:rsid w:val="009102BD"/>
    <w:rsid w:val="00910F93"/>
    <w:rsid w:val="0091255A"/>
    <w:rsid w:val="00914426"/>
    <w:rsid w:val="0091675F"/>
    <w:rsid w:val="00917709"/>
    <w:rsid w:val="00917918"/>
    <w:rsid w:val="00920874"/>
    <w:rsid w:val="00921F14"/>
    <w:rsid w:val="00923750"/>
    <w:rsid w:val="009243A5"/>
    <w:rsid w:val="0092500F"/>
    <w:rsid w:val="009250D2"/>
    <w:rsid w:val="0092540B"/>
    <w:rsid w:val="009256C5"/>
    <w:rsid w:val="00926283"/>
    <w:rsid w:val="009306BE"/>
    <w:rsid w:val="00937B11"/>
    <w:rsid w:val="00940F1F"/>
    <w:rsid w:val="00941250"/>
    <w:rsid w:val="0094427A"/>
    <w:rsid w:val="00944380"/>
    <w:rsid w:val="009459C5"/>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700DB"/>
    <w:rsid w:val="00971DC6"/>
    <w:rsid w:val="00972263"/>
    <w:rsid w:val="00972502"/>
    <w:rsid w:val="00972D8D"/>
    <w:rsid w:val="00973AAE"/>
    <w:rsid w:val="0097476C"/>
    <w:rsid w:val="00974923"/>
    <w:rsid w:val="00974D48"/>
    <w:rsid w:val="00974D5F"/>
    <w:rsid w:val="00975017"/>
    <w:rsid w:val="009759DF"/>
    <w:rsid w:val="00980373"/>
    <w:rsid w:val="00980621"/>
    <w:rsid w:val="0098095B"/>
    <w:rsid w:val="00982072"/>
    <w:rsid w:val="009833FA"/>
    <w:rsid w:val="00983DBB"/>
    <w:rsid w:val="00983ECF"/>
    <w:rsid w:val="00986745"/>
    <w:rsid w:val="009867BC"/>
    <w:rsid w:val="00987109"/>
    <w:rsid w:val="00987309"/>
    <w:rsid w:val="0099012D"/>
    <w:rsid w:val="00990363"/>
    <w:rsid w:val="009954FF"/>
    <w:rsid w:val="00995E2F"/>
    <w:rsid w:val="009961BC"/>
    <w:rsid w:val="00996355"/>
    <w:rsid w:val="009A2014"/>
    <w:rsid w:val="009A3A87"/>
    <w:rsid w:val="009A4E12"/>
    <w:rsid w:val="009A5C68"/>
    <w:rsid w:val="009A6EF7"/>
    <w:rsid w:val="009B04D0"/>
    <w:rsid w:val="009B052C"/>
    <w:rsid w:val="009B0EF2"/>
    <w:rsid w:val="009B23A3"/>
    <w:rsid w:val="009B4925"/>
    <w:rsid w:val="009B4B4B"/>
    <w:rsid w:val="009B6FD3"/>
    <w:rsid w:val="009B70BD"/>
    <w:rsid w:val="009C07A5"/>
    <w:rsid w:val="009C3705"/>
    <w:rsid w:val="009C7388"/>
    <w:rsid w:val="009D0CFF"/>
    <w:rsid w:val="009D1551"/>
    <w:rsid w:val="009D2859"/>
    <w:rsid w:val="009D36EC"/>
    <w:rsid w:val="009D4173"/>
    <w:rsid w:val="009D6095"/>
    <w:rsid w:val="009D6306"/>
    <w:rsid w:val="009E048A"/>
    <w:rsid w:val="009E1FBA"/>
    <w:rsid w:val="009E2C54"/>
    <w:rsid w:val="009E3710"/>
    <w:rsid w:val="009E6F65"/>
    <w:rsid w:val="009E7340"/>
    <w:rsid w:val="009E7B1F"/>
    <w:rsid w:val="009F3FC3"/>
    <w:rsid w:val="009F41C4"/>
    <w:rsid w:val="009F5846"/>
    <w:rsid w:val="009F7B52"/>
    <w:rsid w:val="009F7D77"/>
    <w:rsid w:val="00A004D2"/>
    <w:rsid w:val="00A015EA"/>
    <w:rsid w:val="00A10D66"/>
    <w:rsid w:val="00A12BA8"/>
    <w:rsid w:val="00A1420C"/>
    <w:rsid w:val="00A1456C"/>
    <w:rsid w:val="00A14821"/>
    <w:rsid w:val="00A17754"/>
    <w:rsid w:val="00A2055B"/>
    <w:rsid w:val="00A2253C"/>
    <w:rsid w:val="00A23545"/>
    <w:rsid w:val="00A23A55"/>
    <w:rsid w:val="00A23E43"/>
    <w:rsid w:val="00A24F8C"/>
    <w:rsid w:val="00A262BF"/>
    <w:rsid w:val="00A271AD"/>
    <w:rsid w:val="00A276D5"/>
    <w:rsid w:val="00A30336"/>
    <w:rsid w:val="00A30BB5"/>
    <w:rsid w:val="00A3128F"/>
    <w:rsid w:val="00A326D0"/>
    <w:rsid w:val="00A35287"/>
    <w:rsid w:val="00A378F8"/>
    <w:rsid w:val="00A40B19"/>
    <w:rsid w:val="00A41D07"/>
    <w:rsid w:val="00A424F8"/>
    <w:rsid w:val="00A42883"/>
    <w:rsid w:val="00A437B7"/>
    <w:rsid w:val="00A46D48"/>
    <w:rsid w:val="00A46DE0"/>
    <w:rsid w:val="00A4778A"/>
    <w:rsid w:val="00A47C94"/>
    <w:rsid w:val="00A504C0"/>
    <w:rsid w:val="00A5067F"/>
    <w:rsid w:val="00A517C1"/>
    <w:rsid w:val="00A55301"/>
    <w:rsid w:val="00A572FB"/>
    <w:rsid w:val="00A57B3C"/>
    <w:rsid w:val="00A57F1B"/>
    <w:rsid w:val="00A6128E"/>
    <w:rsid w:val="00A62CE1"/>
    <w:rsid w:val="00A631FA"/>
    <w:rsid w:val="00A64203"/>
    <w:rsid w:val="00A64348"/>
    <w:rsid w:val="00A644E1"/>
    <w:rsid w:val="00A711B0"/>
    <w:rsid w:val="00A721FB"/>
    <w:rsid w:val="00A727BA"/>
    <w:rsid w:val="00A72D4B"/>
    <w:rsid w:val="00A732AE"/>
    <w:rsid w:val="00A75E40"/>
    <w:rsid w:val="00A77EB2"/>
    <w:rsid w:val="00A81094"/>
    <w:rsid w:val="00A82B66"/>
    <w:rsid w:val="00A83B58"/>
    <w:rsid w:val="00A84FAF"/>
    <w:rsid w:val="00A851B6"/>
    <w:rsid w:val="00A85729"/>
    <w:rsid w:val="00A8574B"/>
    <w:rsid w:val="00A857C0"/>
    <w:rsid w:val="00A90343"/>
    <w:rsid w:val="00A91336"/>
    <w:rsid w:val="00A9221C"/>
    <w:rsid w:val="00A94628"/>
    <w:rsid w:val="00A94954"/>
    <w:rsid w:val="00A96463"/>
    <w:rsid w:val="00A97E3F"/>
    <w:rsid w:val="00AA09D3"/>
    <w:rsid w:val="00AA23FB"/>
    <w:rsid w:val="00AA42AB"/>
    <w:rsid w:val="00AA559A"/>
    <w:rsid w:val="00AA5F10"/>
    <w:rsid w:val="00AB104D"/>
    <w:rsid w:val="00AB1441"/>
    <w:rsid w:val="00AB2AF1"/>
    <w:rsid w:val="00AB440B"/>
    <w:rsid w:val="00AB47E3"/>
    <w:rsid w:val="00AB74C5"/>
    <w:rsid w:val="00AB7BEE"/>
    <w:rsid w:val="00AB7DF2"/>
    <w:rsid w:val="00AC1E3F"/>
    <w:rsid w:val="00AC219A"/>
    <w:rsid w:val="00AC4F18"/>
    <w:rsid w:val="00AD0B46"/>
    <w:rsid w:val="00AD1094"/>
    <w:rsid w:val="00AD2565"/>
    <w:rsid w:val="00AD306C"/>
    <w:rsid w:val="00AD3424"/>
    <w:rsid w:val="00AD50D1"/>
    <w:rsid w:val="00AD59BB"/>
    <w:rsid w:val="00AD5D68"/>
    <w:rsid w:val="00AD6C73"/>
    <w:rsid w:val="00AD7D49"/>
    <w:rsid w:val="00AE06D0"/>
    <w:rsid w:val="00AE1B8A"/>
    <w:rsid w:val="00AE39DC"/>
    <w:rsid w:val="00AE3CDA"/>
    <w:rsid w:val="00AE7968"/>
    <w:rsid w:val="00AE7DFF"/>
    <w:rsid w:val="00AF128B"/>
    <w:rsid w:val="00AF1AEA"/>
    <w:rsid w:val="00AF2852"/>
    <w:rsid w:val="00AF3225"/>
    <w:rsid w:val="00AF4983"/>
    <w:rsid w:val="00AF518B"/>
    <w:rsid w:val="00AF5275"/>
    <w:rsid w:val="00AF6367"/>
    <w:rsid w:val="00AF6A79"/>
    <w:rsid w:val="00AF724E"/>
    <w:rsid w:val="00AF73A9"/>
    <w:rsid w:val="00B01436"/>
    <w:rsid w:val="00B01C2C"/>
    <w:rsid w:val="00B0231C"/>
    <w:rsid w:val="00B07C2A"/>
    <w:rsid w:val="00B13681"/>
    <w:rsid w:val="00B15DCD"/>
    <w:rsid w:val="00B17E71"/>
    <w:rsid w:val="00B17FDE"/>
    <w:rsid w:val="00B208FC"/>
    <w:rsid w:val="00B20C65"/>
    <w:rsid w:val="00B22E17"/>
    <w:rsid w:val="00B25567"/>
    <w:rsid w:val="00B266C5"/>
    <w:rsid w:val="00B27293"/>
    <w:rsid w:val="00B301BB"/>
    <w:rsid w:val="00B3229E"/>
    <w:rsid w:val="00B32DDB"/>
    <w:rsid w:val="00B34931"/>
    <w:rsid w:val="00B35174"/>
    <w:rsid w:val="00B35BEA"/>
    <w:rsid w:val="00B37915"/>
    <w:rsid w:val="00B3793D"/>
    <w:rsid w:val="00B41BE6"/>
    <w:rsid w:val="00B428A4"/>
    <w:rsid w:val="00B457E7"/>
    <w:rsid w:val="00B45D1B"/>
    <w:rsid w:val="00B46D25"/>
    <w:rsid w:val="00B47430"/>
    <w:rsid w:val="00B52D2D"/>
    <w:rsid w:val="00B534EF"/>
    <w:rsid w:val="00B55BA8"/>
    <w:rsid w:val="00B55F15"/>
    <w:rsid w:val="00B561A6"/>
    <w:rsid w:val="00B60062"/>
    <w:rsid w:val="00B62960"/>
    <w:rsid w:val="00B63A11"/>
    <w:rsid w:val="00B63FD0"/>
    <w:rsid w:val="00B65C84"/>
    <w:rsid w:val="00B6608F"/>
    <w:rsid w:val="00B74317"/>
    <w:rsid w:val="00B76D1E"/>
    <w:rsid w:val="00B77BC8"/>
    <w:rsid w:val="00B800EB"/>
    <w:rsid w:val="00B822D2"/>
    <w:rsid w:val="00B83D46"/>
    <w:rsid w:val="00B848B8"/>
    <w:rsid w:val="00B84A41"/>
    <w:rsid w:val="00B84D57"/>
    <w:rsid w:val="00B8504B"/>
    <w:rsid w:val="00B85689"/>
    <w:rsid w:val="00B86748"/>
    <w:rsid w:val="00B907EA"/>
    <w:rsid w:val="00B91EC9"/>
    <w:rsid w:val="00B924CA"/>
    <w:rsid w:val="00B92A4B"/>
    <w:rsid w:val="00B93384"/>
    <w:rsid w:val="00B94417"/>
    <w:rsid w:val="00B95566"/>
    <w:rsid w:val="00B95940"/>
    <w:rsid w:val="00B95EF8"/>
    <w:rsid w:val="00B95F50"/>
    <w:rsid w:val="00B96BD9"/>
    <w:rsid w:val="00BB0274"/>
    <w:rsid w:val="00BB1CFD"/>
    <w:rsid w:val="00BB2C53"/>
    <w:rsid w:val="00BB32DA"/>
    <w:rsid w:val="00BB3A54"/>
    <w:rsid w:val="00BB4D26"/>
    <w:rsid w:val="00BB4E21"/>
    <w:rsid w:val="00BB7746"/>
    <w:rsid w:val="00BC22EB"/>
    <w:rsid w:val="00BC682B"/>
    <w:rsid w:val="00BC6B04"/>
    <w:rsid w:val="00BC6D27"/>
    <w:rsid w:val="00BD186B"/>
    <w:rsid w:val="00BD1EAC"/>
    <w:rsid w:val="00BD254C"/>
    <w:rsid w:val="00BD3428"/>
    <w:rsid w:val="00BD366B"/>
    <w:rsid w:val="00BD534C"/>
    <w:rsid w:val="00BD55A9"/>
    <w:rsid w:val="00BD56BC"/>
    <w:rsid w:val="00BD5D91"/>
    <w:rsid w:val="00BD6445"/>
    <w:rsid w:val="00BD6615"/>
    <w:rsid w:val="00BD6D50"/>
    <w:rsid w:val="00BE0D79"/>
    <w:rsid w:val="00BE0DB0"/>
    <w:rsid w:val="00BE3381"/>
    <w:rsid w:val="00BE3F09"/>
    <w:rsid w:val="00BE670A"/>
    <w:rsid w:val="00BE6906"/>
    <w:rsid w:val="00BF18F4"/>
    <w:rsid w:val="00BF1A69"/>
    <w:rsid w:val="00BF3BC8"/>
    <w:rsid w:val="00BF3DF1"/>
    <w:rsid w:val="00BF4C31"/>
    <w:rsid w:val="00BF4E57"/>
    <w:rsid w:val="00BF53B8"/>
    <w:rsid w:val="00BF786A"/>
    <w:rsid w:val="00BF7CB8"/>
    <w:rsid w:val="00C00F20"/>
    <w:rsid w:val="00C01700"/>
    <w:rsid w:val="00C034E6"/>
    <w:rsid w:val="00C05715"/>
    <w:rsid w:val="00C05926"/>
    <w:rsid w:val="00C0784A"/>
    <w:rsid w:val="00C10B28"/>
    <w:rsid w:val="00C10D62"/>
    <w:rsid w:val="00C10FAE"/>
    <w:rsid w:val="00C11DAF"/>
    <w:rsid w:val="00C123B4"/>
    <w:rsid w:val="00C12A69"/>
    <w:rsid w:val="00C13737"/>
    <w:rsid w:val="00C150BE"/>
    <w:rsid w:val="00C158B0"/>
    <w:rsid w:val="00C15A0C"/>
    <w:rsid w:val="00C15DCB"/>
    <w:rsid w:val="00C16208"/>
    <w:rsid w:val="00C1711F"/>
    <w:rsid w:val="00C17E38"/>
    <w:rsid w:val="00C20744"/>
    <w:rsid w:val="00C20C4D"/>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40F81"/>
    <w:rsid w:val="00C41463"/>
    <w:rsid w:val="00C41A72"/>
    <w:rsid w:val="00C42D45"/>
    <w:rsid w:val="00C4422D"/>
    <w:rsid w:val="00C476C5"/>
    <w:rsid w:val="00C503B0"/>
    <w:rsid w:val="00C511C2"/>
    <w:rsid w:val="00C53CDB"/>
    <w:rsid w:val="00C53D82"/>
    <w:rsid w:val="00C54748"/>
    <w:rsid w:val="00C575FB"/>
    <w:rsid w:val="00C60696"/>
    <w:rsid w:val="00C60943"/>
    <w:rsid w:val="00C60EEF"/>
    <w:rsid w:val="00C6121D"/>
    <w:rsid w:val="00C615F1"/>
    <w:rsid w:val="00C61627"/>
    <w:rsid w:val="00C64E60"/>
    <w:rsid w:val="00C657A4"/>
    <w:rsid w:val="00C6736C"/>
    <w:rsid w:val="00C71A1D"/>
    <w:rsid w:val="00C71EC4"/>
    <w:rsid w:val="00C7591E"/>
    <w:rsid w:val="00C75C7E"/>
    <w:rsid w:val="00C75C9B"/>
    <w:rsid w:val="00C76D8E"/>
    <w:rsid w:val="00C77833"/>
    <w:rsid w:val="00C80C9B"/>
    <w:rsid w:val="00C8335E"/>
    <w:rsid w:val="00C83F9C"/>
    <w:rsid w:val="00C84CE3"/>
    <w:rsid w:val="00C85614"/>
    <w:rsid w:val="00C86127"/>
    <w:rsid w:val="00C90CF4"/>
    <w:rsid w:val="00C91C19"/>
    <w:rsid w:val="00C929A0"/>
    <w:rsid w:val="00C93389"/>
    <w:rsid w:val="00C937DB"/>
    <w:rsid w:val="00C94519"/>
    <w:rsid w:val="00C94E83"/>
    <w:rsid w:val="00C97038"/>
    <w:rsid w:val="00CA02B2"/>
    <w:rsid w:val="00CA0883"/>
    <w:rsid w:val="00CA1085"/>
    <w:rsid w:val="00CA140F"/>
    <w:rsid w:val="00CA25C2"/>
    <w:rsid w:val="00CA37BB"/>
    <w:rsid w:val="00CA37CA"/>
    <w:rsid w:val="00CA5724"/>
    <w:rsid w:val="00CA6508"/>
    <w:rsid w:val="00CA6BA1"/>
    <w:rsid w:val="00CA6CD5"/>
    <w:rsid w:val="00CB1910"/>
    <w:rsid w:val="00CB2150"/>
    <w:rsid w:val="00CB28EE"/>
    <w:rsid w:val="00CB43A7"/>
    <w:rsid w:val="00CB4DF1"/>
    <w:rsid w:val="00CB5996"/>
    <w:rsid w:val="00CB6809"/>
    <w:rsid w:val="00CB7452"/>
    <w:rsid w:val="00CC0E10"/>
    <w:rsid w:val="00CC1DAF"/>
    <w:rsid w:val="00CC2642"/>
    <w:rsid w:val="00CC2967"/>
    <w:rsid w:val="00CC2A36"/>
    <w:rsid w:val="00CC2E15"/>
    <w:rsid w:val="00CC3440"/>
    <w:rsid w:val="00CC3908"/>
    <w:rsid w:val="00CC62AD"/>
    <w:rsid w:val="00CC6CA2"/>
    <w:rsid w:val="00CC7B80"/>
    <w:rsid w:val="00CD2B3C"/>
    <w:rsid w:val="00CD30F6"/>
    <w:rsid w:val="00CD4B29"/>
    <w:rsid w:val="00CD6954"/>
    <w:rsid w:val="00CD6DA3"/>
    <w:rsid w:val="00CD6EF1"/>
    <w:rsid w:val="00CD7E35"/>
    <w:rsid w:val="00CE21C7"/>
    <w:rsid w:val="00CE2682"/>
    <w:rsid w:val="00CE2756"/>
    <w:rsid w:val="00CE442A"/>
    <w:rsid w:val="00CE57D8"/>
    <w:rsid w:val="00CE617A"/>
    <w:rsid w:val="00CE6E3C"/>
    <w:rsid w:val="00CF25D2"/>
    <w:rsid w:val="00CF28C2"/>
    <w:rsid w:val="00CF42BD"/>
    <w:rsid w:val="00CF51EC"/>
    <w:rsid w:val="00CF6A9D"/>
    <w:rsid w:val="00CF6CD7"/>
    <w:rsid w:val="00CF75EC"/>
    <w:rsid w:val="00D0037A"/>
    <w:rsid w:val="00D0061E"/>
    <w:rsid w:val="00D00DAF"/>
    <w:rsid w:val="00D017EC"/>
    <w:rsid w:val="00D01CDA"/>
    <w:rsid w:val="00D040DD"/>
    <w:rsid w:val="00D04E1B"/>
    <w:rsid w:val="00D0547B"/>
    <w:rsid w:val="00D076DB"/>
    <w:rsid w:val="00D07EFF"/>
    <w:rsid w:val="00D1067C"/>
    <w:rsid w:val="00D136D4"/>
    <w:rsid w:val="00D13830"/>
    <w:rsid w:val="00D13ECF"/>
    <w:rsid w:val="00D142E5"/>
    <w:rsid w:val="00D148CD"/>
    <w:rsid w:val="00D1611E"/>
    <w:rsid w:val="00D16E69"/>
    <w:rsid w:val="00D17F4A"/>
    <w:rsid w:val="00D205A9"/>
    <w:rsid w:val="00D217EE"/>
    <w:rsid w:val="00D245BA"/>
    <w:rsid w:val="00D26923"/>
    <w:rsid w:val="00D27856"/>
    <w:rsid w:val="00D27D34"/>
    <w:rsid w:val="00D3006B"/>
    <w:rsid w:val="00D301CA"/>
    <w:rsid w:val="00D30740"/>
    <w:rsid w:val="00D31075"/>
    <w:rsid w:val="00D31445"/>
    <w:rsid w:val="00D31932"/>
    <w:rsid w:val="00D32AE0"/>
    <w:rsid w:val="00D360DA"/>
    <w:rsid w:val="00D37689"/>
    <w:rsid w:val="00D378CC"/>
    <w:rsid w:val="00D4042C"/>
    <w:rsid w:val="00D40B9E"/>
    <w:rsid w:val="00D41281"/>
    <w:rsid w:val="00D42312"/>
    <w:rsid w:val="00D433F5"/>
    <w:rsid w:val="00D43998"/>
    <w:rsid w:val="00D451E0"/>
    <w:rsid w:val="00D45A1D"/>
    <w:rsid w:val="00D4615E"/>
    <w:rsid w:val="00D478E2"/>
    <w:rsid w:val="00D5264C"/>
    <w:rsid w:val="00D547BA"/>
    <w:rsid w:val="00D55626"/>
    <w:rsid w:val="00D556BC"/>
    <w:rsid w:val="00D5626D"/>
    <w:rsid w:val="00D56631"/>
    <w:rsid w:val="00D60277"/>
    <w:rsid w:val="00D60336"/>
    <w:rsid w:val="00D61F88"/>
    <w:rsid w:val="00D62901"/>
    <w:rsid w:val="00D6470C"/>
    <w:rsid w:val="00D64853"/>
    <w:rsid w:val="00D64CB5"/>
    <w:rsid w:val="00D66D48"/>
    <w:rsid w:val="00D7162F"/>
    <w:rsid w:val="00D72897"/>
    <w:rsid w:val="00D73256"/>
    <w:rsid w:val="00D73A30"/>
    <w:rsid w:val="00D74C65"/>
    <w:rsid w:val="00D75DC2"/>
    <w:rsid w:val="00D766EF"/>
    <w:rsid w:val="00D76C03"/>
    <w:rsid w:val="00D77F8D"/>
    <w:rsid w:val="00D8119B"/>
    <w:rsid w:val="00D82462"/>
    <w:rsid w:val="00D868CE"/>
    <w:rsid w:val="00D86DAE"/>
    <w:rsid w:val="00D90116"/>
    <w:rsid w:val="00D90C1E"/>
    <w:rsid w:val="00D91BDF"/>
    <w:rsid w:val="00D91F2C"/>
    <w:rsid w:val="00D93F09"/>
    <w:rsid w:val="00D954C2"/>
    <w:rsid w:val="00D97BB8"/>
    <w:rsid w:val="00DA1318"/>
    <w:rsid w:val="00DA1382"/>
    <w:rsid w:val="00DA28B7"/>
    <w:rsid w:val="00DA2FE8"/>
    <w:rsid w:val="00DA4AF6"/>
    <w:rsid w:val="00DB016E"/>
    <w:rsid w:val="00DB06E9"/>
    <w:rsid w:val="00DB19BD"/>
    <w:rsid w:val="00DB1D55"/>
    <w:rsid w:val="00DB378E"/>
    <w:rsid w:val="00DB3E9D"/>
    <w:rsid w:val="00DB47B9"/>
    <w:rsid w:val="00DB4FB8"/>
    <w:rsid w:val="00DB53CE"/>
    <w:rsid w:val="00DB549D"/>
    <w:rsid w:val="00DB5792"/>
    <w:rsid w:val="00DB6A88"/>
    <w:rsid w:val="00DB7BA4"/>
    <w:rsid w:val="00DC226A"/>
    <w:rsid w:val="00DC257F"/>
    <w:rsid w:val="00DC350B"/>
    <w:rsid w:val="00DC3790"/>
    <w:rsid w:val="00DC408A"/>
    <w:rsid w:val="00DC436D"/>
    <w:rsid w:val="00DC519B"/>
    <w:rsid w:val="00DC5B3B"/>
    <w:rsid w:val="00DC6796"/>
    <w:rsid w:val="00DC78DF"/>
    <w:rsid w:val="00DC7D4C"/>
    <w:rsid w:val="00DD0821"/>
    <w:rsid w:val="00DD0E32"/>
    <w:rsid w:val="00DD2872"/>
    <w:rsid w:val="00DD2BFE"/>
    <w:rsid w:val="00DD373E"/>
    <w:rsid w:val="00DD57AD"/>
    <w:rsid w:val="00DE009B"/>
    <w:rsid w:val="00DE0C31"/>
    <w:rsid w:val="00DE2ED9"/>
    <w:rsid w:val="00DE319A"/>
    <w:rsid w:val="00DF0615"/>
    <w:rsid w:val="00DF0DC3"/>
    <w:rsid w:val="00DF21FD"/>
    <w:rsid w:val="00DF2873"/>
    <w:rsid w:val="00DF293C"/>
    <w:rsid w:val="00DF4C74"/>
    <w:rsid w:val="00DF5578"/>
    <w:rsid w:val="00DF78DD"/>
    <w:rsid w:val="00DF7FEC"/>
    <w:rsid w:val="00E01C0E"/>
    <w:rsid w:val="00E02086"/>
    <w:rsid w:val="00E02740"/>
    <w:rsid w:val="00E03B27"/>
    <w:rsid w:val="00E04694"/>
    <w:rsid w:val="00E049F6"/>
    <w:rsid w:val="00E04CA9"/>
    <w:rsid w:val="00E05B2B"/>
    <w:rsid w:val="00E06A2A"/>
    <w:rsid w:val="00E07F05"/>
    <w:rsid w:val="00E127E1"/>
    <w:rsid w:val="00E144D2"/>
    <w:rsid w:val="00E144D6"/>
    <w:rsid w:val="00E15346"/>
    <w:rsid w:val="00E15B7D"/>
    <w:rsid w:val="00E2097E"/>
    <w:rsid w:val="00E215EA"/>
    <w:rsid w:val="00E21CAB"/>
    <w:rsid w:val="00E221FC"/>
    <w:rsid w:val="00E22E78"/>
    <w:rsid w:val="00E24619"/>
    <w:rsid w:val="00E25223"/>
    <w:rsid w:val="00E263A8"/>
    <w:rsid w:val="00E30BEA"/>
    <w:rsid w:val="00E31764"/>
    <w:rsid w:val="00E32BC2"/>
    <w:rsid w:val="00E34985"/>
    <w:rsid w:val="00E34E4A"/>
    <w:rsid w:val="00E365B3"/>
    <w:rsid w:val="00E366BB"/>
    <w:rsid w:val="00E37C45"/>
    <w:rsid w:val="00E40AAA"/>
    <w:rsid w:val="00E42444"/>
    <w:rsid w:val="00E438CF"/>
    <w:rsid w:val="00E43B06"/>
    <w:rsid w:val="00E43C41"/>
    <w:rsid w:val="00E4500E"/>
    <w:rsid w:val="00E450CE"/>
    <w:rsid w:val="00E45A00"/>
    <w:rsid w:val="00E45CE7"/>
    <w:rsid w:val="00E4631F"/>
    <w:rsid w:val="00E46A4A"/>
    <w:rsid w:val="00E47CB8"/>
    <w:rsid w:val="00E522BB"/>
    <w:rsid w:val="00E539E4"/>
    <w:rsid w:val="00E569C7"/>
    <w:rsid w:val="00E571F2"/>
    <w:rsid w:val="00E57429"/>
    <w:rsid w:val="00E61EA8"/>
    <w:rsid w:val="00E64EA1"/>
    <w:rsid w:val="00E669C7"/>
    <w:rsid w:val="00E70510"/>
    <w:rsid w:val="00E71262"/>
    <w:rsid w:val="00E71A58"/>
    <w:rsid w:val="00E737F6"/>
    <w:rsid w:val="00E7568F"/>
    <w:rsid w:val="00E764AE"/>
    <w:rsid w:val="00E7724B"/>
    <w:rsid w:val="00E84F21"/>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AF3"/>
    <w:rsid w:val="00EA0C68"/>
    <w:rsid w:val="00EA19E2"/>
    <w:rsid w:val="00EA3EBE"/>
    <w:rsid w:val="00EA3FAC"/>
    <w:rsid w:val="00EA4153"/>
    <w:rsid w:val="00EA5CD6"/>
    <w:rsid w:val="00EA76FD"/>
    <w:rsid w:val="00EB03D4"/>
    <w:rsid w:val="00EB0555"/>
    <w:rsid w:val="00EB20A0"/>
    <w:rsid w:val="00EB30B6"/>
    <w:rsid w:val="00EB4FA4"/>
    <w:rsid w:val="00EB5146"/>
    <w:rsid w:val="00EB522B"/>
    <w:rsid w:val="00EB55E9"/>
    <w:rsid w:val="00EB5641"/>
    <w:rsid w:val="00EB5CA9"/>
    <w:rsid w:val="00EB5ED4"/>
    <w:rsid w:val="00EB6537"/>
    <w:rsid w:val="00EB70E1"/>
    <w:rsid w:val="00EB7EB5"/>
    <w:rsid w:val="00EC0860"/>
    <w:rsid w:val="00EC424C"/>
    <w:rsid w:val="00EC454B"/>
    <w:rsid w:val="00EC6153"/>
    <w:rsid w:val="00EC7F92"/>
    <w:rsid w:val="00ED00A8"/>
    <w:rsid w:val="00ED0A79"/>
    <w:rsid w:val="00ED2989"/>
    <w:rsid w:val="00ED2CA5"/>
    <w:rsid w:val="00ED336F"/>
    <w:rsid w:val="00ED3A94"/>
    <w:rsid w:val="00ED40F0"/>
    <w:rsid w:val="00ED4AC0"/>
    <w:rsid w:val="00ED54D6"/>
    <w:rsid w:val="00ED5726"/>
    <w:rsid w:val="00EE0113"/>
    <w:rsid w:val="00EE0298"/>
    <w:rsid w:val="00EE0384"/>
    <w:rsid w:val="00EE10AA"/>
    <w:rsid w:val="00EE1637"/>
    <w:rsid w:val="00EE3B7A"/>
    <w:rsid w:val="00EE3E78"/>
    <w:rsid w:val="00EE495A"/>
    <w:rsid w:val="00EE5E02"/>
    <w:rsid w:val="00EE617D"/>
    <w:rsid w:val="00EE61BF"/>
    <w:rsid w:val="00EE6538"/>
    <w:rsid w:val="00EE6748"/>
    <w:rsid w:val="00EE6C6B"/>
    <w:rsid w:val="00EF0E75"/>
    <w:rsid w:val="00EF1F5A"/>
    <w:rsid w:val="00EF4685"/>
    <w:rsid w:val="00EF5397"/>
    <w:rsid w:val="00EF6BE3"/>
    <w:rsid w:val="00F00D0E"/>
    <w:rsid w:val="00F00D3C"/>
    <w:rsid w:val="00F04811"/>
    <w:rsid w:val="00F0488C"/>
    <w:rsid w:val="00F0496E"/>
    <w:rsid w:val="00F04D10"/>
    <w:rsid w:val="00F053EA"/>
    <w:rsid w:val="00F0625B"/>
    <w:rsid w:val="00F101FF"/>
    <w:rsid w:val="00F104DF"/>
    <w:rsid w:val="00F10A33"/>
    <w:rsid w:val="00F10B64"/>
    <w:rsid w:val="00F1186C"/>
    <w:rsid w:val="00F14ACD"/>
    <w:rsid w:val="00F15BEF"/>
    <w:rsid w:val="00F172BE"/>
    <w:rsid w:val="00F1776C"/>
    <w:rsid w:val="00F2037E"/>
    <w:rsid w:val="00F20D17"/>
    <w:rsid w:val="00F2103E"/>
    <w:rsid w:val="00F214FC"/>
    <w:rsid w:val="00F21C31"/>
    <w:rsid w:val="00F23825"/>
    <w:rsid w:val="00F23FFF"/>
    <w:rsid w:val="00F2441D"/>
    <w:rsid w:val="00F24FAA"/>
    <w:rsid w:val="00F26197"/>
    <w:rsid w:val="00F273D4"/>
    <w:rsid w:val="00F307DD"/>
    <w:rsid w:val="00F318FC"/>
    <w:rsid w:val="00F31F76"/>
    <w:rsid w:val="00F325A3"/>
    <w:rsid w:val="00F3364D"/>
    <w:rsid w:val="00F35ACD"/>
    <w:rsid w:val="00F365BF"/>
    <w:rsid w:val="00F36BF8"/>
    <w:rsid w:val="00F375BA"/>
    <w:rsid w:val="00F37760"/>
    <w:rsid w:val="00F403D1"/>
    <w:rsid w:val="00F43921"/>
    <w:rsid w:val="00F44E1B"/>
    <w:rsid w:val="00F4524F"/>
    <w:rsid w:val="00F45530"/>
    <w:rsid w:val="00F4591F"/>
    <w:rsid w:val="00F47321"/>
    <w:rsid w:val="00F4736B"/>
    <w:rsid w:val="00F47997"/>
    <w:rsid w:val="00F47D05"/>
    <w:rsid w:val="00F50030"/>
    <w:rsid w:val="00F502F5"/>
    <w:rsid w:val="00F50B9D"/>
    <w:rsid w:val="00F51FC9"/>
    <w:rsid w:val="00F53243"/>
    <w:rsid w:val="00F541ED"/>
    <w:rsid w:val="00F54B31"/>
    <w:rsid w:val="00F54FD3"/>
    <w:rsid w:val="00F55605"/>
    <w:rsid w:val="00F57CD7"/>
    <w:rsid w:val="00F62F02"/>
    <w:rsid w:val="00F6339F"/>
    <w:rsid w:val="00F63DDE"/>
    <w:rsid w:val="00F63FB7"/>
    <w:rsid w:val="00F64726"/>
    <w:rsid w:val="00F6561A"/>
    <w:rsid w:val="00F70309"/>
    <w:rsid w:val="00F7078A"/>
    <w:rsid w:val="00F70E45"/>
    <w:rsid w:val="00F727D5"/>
    <w:rsid w:val="00F72F44"/>
    <w:rsid w:val="00F73A0C"/>
    <w:rsid w:val="00F759DC"/>
    <w:rsid w:val="00F7717C"/>
    <w:rsid w:val="00F771A5"/>
    <w:rsid w:val="00F817A4"/>
    <w:rsid w:val="00F81C3A"/>
    <w:rsid w:val="00F835FC"/>
    <w:rsid w:val="00F8373A"/>
    <w:rsid w:val="00F83E21"/>
    <w:rsid w:val="00F83FA4"/>
    <w:rsid w:val="00F84E18"/>
    <w:rsid w:val="00F852E5"/>
    <w:rsid w:val="00F9310A"/>
    <w:rsid w:val="00F95117"/>
    <w:rsid w:val="00F97ED2"/>
    <w:rsid w:val="00FA05D7"/>
    <w:rsid w:val="00FA1C6C"/>
    <w:rsid w:val="00FA2447"/>
    <w:rsid w:val="00FA2C2A"/>
    <w:rsid w:val="00FA309A"/>
    <w:rsid w:val="00FA7644"/>
    <w:rsid w:val="00FB0A9A"/>
    <w:rsid w:val="00FB16AD"/>
    <w:rsid w:val="00FB483B"/>
    <w:rsid w:val="00FB56F1"/>
    <w:rsid w:val="00FB5FD4"/>
    <w:rsid w:val="00FB67F3"/>
    <w:rsid w:val="00FC0D8A"/>
    <w:rsid w:val="00FC0E5F"/>
    <w:rsid w:val="00FC135D"/>
    <w:rsid w:val="00FC3C84"/>
    <w:rsid w:val="00FC4660"/>
    <w:rsid w:val="00FC56DE"/>
    <w:rsid w:val="00FC5E01"/>
    <w:rsid w:val="00FD1261"/>
    <w:rsid w:val="00FD1627"/>
    <w:rsid w:val="00FD1BBD"/>
    <w:rsid w:val="00FD473D"/>
    <w:rsid w:val="00FD61C8"/>
    <w:rsid w:val="00FD63CE"/>
    <w:rsid w:val="00FD7D49"/>
    <w:rsid w:val="00FE1251"/>
    <w:rsid w:val="00FE16E6"/>
    <w:rsid w:val="00FE2F78"/>
    <w:rsid w:val="00FE3510"/>
    <w:rsid w:val="00FE371D"/>
    <w:rsid w:val="00FE375F"/>
    <w:rsid w:val="00FE3D8B"/>
    <w:rsid w:val="00FE4FCB"/>
    <w:rsid w:val="00FE688F"/>
    <w:rsid w:val="00FE705E"/>
    <w:rsid w:val="00FF02E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5F0CA-4C13-48F3-A68C-EC05478E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1049</TotalTime>
  <Pages>2</Pages>
  <Words>1348</Words>
  <Characters>7270</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403</cp:revision>
  <cp:lastPrinted>2015-06-19T06:21:00Z</cp:lastPrinted>
  <dcterms:created xsi:type="dcterms:W3CDTF">2015-12-16T13:30:00Z</dcterms:created>
  <dcterms:modified xsi:type="dcterms:W3CDTF">2016-06-20T10:59:00Z</dcterms:modified>
</cp:coreProperties>
</file>