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0" w:rsidRDefault="00D36BC0" w:rsidP="00D36BC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ČÁST II</w:t>
      </w:r>
    </w:p>
    <w:p w:rsidR="00D36BC0" w:rsidRDefault="00D36BC0" w:rsidP="00DC7B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E7003C" w:rsidRDefault="009F4246" w:rsidP="00DC7B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VOLBY DO EVROPSKÉHO PARLAMENTU</w:t>
      </w:r>
    </w:p>
    <w:p w:rsidR="008778C7" w:rsidRDefault="008778C7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rPr>
          <w:rFonts w:ascii="Arial" w:hAnsi="Arial"/>
          <w:b/>
          <w:color w:val="000000"/>
          <w:sz w:val="22"/>
          <w:szCs w:val="28"/>
        </w:rPr>
      </w:pPr>
    </w:p>
    <w:p w:rsidR="008778C7" w:rsidRDefault="00D36BC0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2.1. </w:t>
      </w:r>
      <w:r w:rsidR="009F4246" w:rsidRPr="00D36BC0">
        <w:rPr>
          <w:rFonts w:ascii="Arial" w:hAnsi="Arial"/>
          <w:b/>
          <w:color w:val="000000"/>
          <w:u w:val="single"/>
        </w:rPr>
        <w:t>Volební účast</w:t>
      </w:r>
      <w:r w:rsidR="008778C7">
        <w:rPr>
          <w:rFonts w:ascii="Arial" w:hAnsi="Arial"/>
          <w:b/>
          <w:color w:val="000000"/>
        </w:rPr>
        <w:t xml:space="preserve">  </w:t>
      </w:r>
    </w:p>
    <w:p w:rsidR="008778C7" w:rsidRDefault="008778C7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2B34F6" w:rsidRDefault="008778C7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 w:rsidR="00C03AC6">
        <w:rPr>
          <w:rFonts w:ascii="Arial" w:hAnsi="Arial"/>
          <w:color w:val="000000"/>
        </w:rPr>
        <w:t>Po vstupu České republiky do Evropské Unie se doposud uskutečnily troje volby do Evropského parlamentu. V prvních dvou volbách do EP v letech 2004 a 2009 byla volební účast v České republice stabilní, pohybovala se těsně nad 28 %. Výraznější pokles nastal při posledních volbách do Evropského Parlamentu</w:t>
      </w:r>
      <w:r w:rsidR="002C0BE3">
        <w:rPr>
          <w:rFonts w:ascii="Arial" w:hAnsi="Arial"/>
          <w:color w:val="000000"/>
        </w:rPr>
        <w:t xml:space="preserve"> (rok 2014)</w:t>
      </w:r>
      <w:r w:rsidR="00C03AC6">
        <w:rPr>
          <w:rFonts w:ascii="Arial" w:hAnsi="Arial"/>
          <w:color w:val="000000"/>
        </w:rPr>
        <w:t xml:space="preserve">, kdy přišlo volit pouze 18 % registrovaných voličů. Nižší volební účast v EU zaznamenalo v těchto volbách pouze </w:t>
      </w:r>
      <w:r w:rsidR="002C0BE3">
        <w:rPr>
          <w:rFonts w:ascii="Arial" w:hAnsi="Arial"/>
          <w:color w:val="000000"/>
        </w:rPr>
        <w:t xml:space="preserve">Slovensko se 13 %. I když odhlédneme od faktu, že v některých členských státech je </w:t>
      </w:r>
      <w:r w:rsidR="00F06E9B">
        <w:rPr>
          <w:rFonts w:ascii="Arial" w:hAnsi="Arial"/>
          <w:color w:val="000000"/>
        </w:rPr>
        <w:t xml:space="preserve">volební účast ze zákona povinná, je evidentní, že účast voličů v ČR patří k těm nejnižším. </w:t>
      </w:r>
      <w:r w:rsidR="002B34F6">
        <w:rPr>
          <w:rFonts w:ascii="Arial" w:hAnsi="Arial"/>
          <w:color w:val="000000"/>
        </w:rPr>
        <w:t>Vývoj volební účasti v ČR a její srovnání s průměrnou hodnotou EU nabízí</w:t>
      </w:r>
      <w:r w:rsidR="0087332F">
        <w:rPr>
          <w:rFonts w:ascii="Arial" w:hAnsi="Arial"/>
          <w:color w:val="000000"/>
        </w:rPr>
        <w:t xml:space="preserve"> graf G 4</w:t>
      </w:r>
      <w:r w:rsidR="000B6D40">
        <w:rPr>
          <w:rFonts w:ascii="Arial" w:hAnsi="Arial"/>
          <w:color w:val="000000"/>
        </w:rPr>
        <w:t>.</w:t>
      </w:r>
      <w:r w:rsidR="002B34F6">
        <w:rPr>
          <w:rFonts w:ascii="Arial" w:hAnsi="Arial"/>
          <w:color w:val="000000"/>
        </w:rPr>
        <w:t xml:space="preserve"> </w:t>
      </w:r>
    </w:p>
    <w:p w:rsidR="002B34F6" w:rsidRDefault="002B34F6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A60B07" w:rsidRPr="000B6D40" w:rsidRDefault="0087332F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 4</w:t>
      </w:r>
      <w:r w:rsidR="000B6D40" w:rsidRPr="000B6D40">
        <w:rPr>
          <w:rFonts w:ascii="Arial" w:hAnsi="Arial"/>
          <w:b/>
          <w:color w:val="000000"/>
        </w:rPr>
        <w:t xml:space="preserve"> Volební účast v České republice ve volbách do Evropského parlamentu.</w:t>
      </w:r>
    </w:p>
    <w:p w:rsidR="000B6D40" w:rsidRPr="009F4246" w:rsidRDefault="000B6D40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1" o:spid="_x0000_s1027" type="#_x0000_t75" style="position:absolute;left:0;text-align:left;margin-left:-15.3pt;margin-top:8.9pt;width:359.9pt;height:3in;z-index:1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">
            <v:imagedata r:id="rId7" o:title="" croptop="-2395f" cropbottom="-5077f" cropleft="-2886f" cropright="-6361f"/>
            <o:lock v:ext="edit" aspectratio="f"/>
          </v:shape>
        </w:pict>
      </w:r>
    </w:p>
    <w:p w:rsidR="00A60B07" w:rsidRDefault="00A60B07" w:rsidP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AF0FEF" w:rsidRDefault="008778C7" w:rsidP="009F424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B15B31">
        <w:rPr>
          <w:rFonts w:ascii="Arial" w:hAnsi="Arial"/>
          <w:color w:val="000000"/>
        </w:rPr>
        <w:t xml:space="preserve"> </w:t>
      </w:r>
    </w:p>
    <w:p w:rsidR="00647B74" w:rsidRDefault="00647B74" w:rsidP="00AF0FE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5332B2" w:rsidRDefault="005332B2" w:rsidP="00A95DE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A95DE2" w:rsidRDefault="005623EB" w:rsidP="00A95DE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CA782D">
        <w:rPr>
          <w:rFonts w:ascii="Arial" w:hAnsi="Arial" w:cs="Arial"/>
          <w:color w:val="000000"/>
        </w:rPr>
        <w:t xml:space="preserve">  </w:t>
      </w:r>
      <w:r w:rsidR="00C608DC">
        <w:rPr>
          <w:rFonts w:ascii="Arial" w:hAnsi="Arial" w:cs="Arial"/>
          <w:color w:val="000000"/>
        </w:rPr>
        <w:t xml:space="preserve"> </w:t>
      </w:r>
      <w:r w:rsidR="00DD2E51">
        <w:rPr>
          <w:rFonts w:ascii="Arial" w:hAnsi="Arial" w:cs="Arial"/>
          <w:color w:val="000000"/>
        </w:rPr>
        <w:t xml:space="preserve">  </w:t>
      </w:r>
      <w:r w:rsidR="00AA77AE">
        <w:rPr>
          <w:rFonts w:ascii="Arial" w:hAnsi="Arial" w:cs="Arial"/>
          <w:color w:val="000000"/>
        </w:rPr>
        <w:t xml:space="preserve"> </w:t>
      </w:r>
    </w:p>
    <w:p w:rsidR="00A95DE2" w:rsidRDefault="00A95DE2" w:rsidP="00A95DE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B03060" w:rsidRDefault="00A95DE2" w:rsidP="00A95DE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03060" w:rsidRDefault="00B03060" w:rsidP="00B0306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CC7D6E" w:rsidRPr="00D25BC8" w:rsidRDefault="00CC7D6E" w:rsidP="00CA7C4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8778C7" w:rsidRDefault="008778C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A138D" w:rsidRDefault="00BA138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6D7EDB" w:rsidRDefault="00682E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Z hlediska územní diferenciace volební účasti se jeví Česká republika jako poměrně různorodé území. Správní obvody obcí s rozšířenou působností s nejvyšší volební účastí </w:t>
      </w:r>
      <w:r w:rsidR="00E13390">
        <w:rPr>
          <w:rFonts w:ascii="Arial" w:hAnsi="Arial"/>
          <w:color w:val="000000"/>
        </w:rPr>
        <w:t xml:space="preserve">se </w:t>
      </w:r>
      <w:r>
        <w:rPr>
          <w:rFonts w:ascii="Arial" w:hAnsi="Arial"/>
          <w:color w:val="000000"/>
        </w:rPr>
        <w:t>opakovaně</w:t>
      </w:r>
      <w:r w:rsidR="00E13390">
        <w:rPr>
          <w:rFonts w:ascii="Arial" w:hAnsi="Arial"/>
          <w:color w:val="000000"/>
        </w:rPr>
        <w:t xml:space="preserve"> nacházejí v blízkém okolí Prahy (Černošice, Říčany, Brandýs nad Labem), v zázemí Brna (Šlapanice, Kuřim, Tišnov), v Královéhradeckém kraji (Hradec Králové, Nové Město nad Metují, Trutnov) a v Libereckém kraji (Turnov, Železný Brod). Naproti tomu SO ORP s nejmenším zájmem voličů o volby do Evropského parlamentu se opakovaně objevují </w:t>
      </w:r>
      <w:r w:rsidR="00BC6B5F">
        <w:rPr>
          <w:rFonts w:ascii="Arial" w:hAnsi="Arial"/>
          <w:color w:val="000000"/>
        </w:rPr>
        <w:t>v tradičních průmyslových regionech Ústeckého</w:t>
      </w:r>
      <w:r w:rsidR="006D7EDB">
        <w:rPr>
          <w:rFonts w:ascii="Arial" w:hAnsi="Arial"/>
          <w:color w:val="000000"/>
        </w:rPr>
        <w:t xml:space="preserve"> kraje</w:t>
      </w:r>
      <w:r w:rsidR="00BC6B5F">
        <w:rPr>
          <w:rFonts w:ascii="Arial" w:hAnsi="Arial"/>
          <w:color w:val="000000"/>
        </w:rPr>
        <w:t xml:space="preserve"> (Chomutov, Bílina, Most), Karlovarského</w:t>
      </w:r>
      <w:r w:rsidR="006D7EDB">
        <w:rPr>
          <w:rFonts w:ascii="Arial" w:hAnsi="Arial"/>
          <w:color w:val="000000"/>
        </w:rPr>
        <w:t xml:space="preserve"> kraje</w:t>
      </w:r>
      <w:r w:rsidR="00BC6B5F">
        <w:rPr>
          <w:rFonts w:ascii="Arial" w:hAnsi="Arial"/>
          <w:color w:val="000000"/>
        </w:rPr>
        <w:t xml:space="preserve"> (Sokolov) a Moravskosl</w:t>
      </w:r>
      <w:r w:rsidR="006D7EDB">
        <w:rPr>
          <w:rFonts w:ascii="Arial" w:hAnsi="Arial"/>
          <w:color w:val="000000"/>
        </w:rPr>
        <w:t>ezského kraje (Karviná, Orlová), kde bývá volební účastí zpravidla nejnižší. Kupříkladu při posledních volbách do EP v roce 2014 se v SO ORP Orlová</w:t>
      </w:r>
      <w:r w:rsidR="00666E7B">
        <w:rPr>
          <w:rFonts w:ascii="Arial" w:hAnsi="Arial"/>
          <w:color w:val="000000"/>
        </w:rPr>
        <w:t xml:space="preserve"> a Karviná</w:t>
      </w:r>
      <w:r w:rsidR="006D7EDB">
        <w:rPr>
          <w:rFonts w:ascii="Arial" w:hAnsi="Arial"/>
          <w:color w:val="000000"/>
        </w:rPr>
        <w:t xml:space="preserve"> voleb zúčastnil pouze</w:t>
      </w:r>
      <w:r w:rsidR="00E607BA">
        <w:rPr>
          <w:rFonts w:ascii="Arial" w:hAnsi="Arial"/>
          <w:color w:val="000000"/>
        </w:rPr>
        <w:t xml:space="preserve"> cca</w:t>
      </w:r>
      <w:r w:rsidR="006D7EDB">
        <w:rPr>
          <w:rFonts w:ascii="Arial" w:hAnsi="Arial"/>
          <w:color w:val="000000"/>
        </w:rPr>
        <w:t xml:space="preserve"> každý desátý oprávněný volič.</w:t>
      </w:r>
      <w:r w:rsidR="00BC6B5F">
        <w:rPr>
          <w:rFonts w:ascii="Arial" w:hAnsi="Arial"/>
          <w:color w:val="000000"/>
        </w:rPr>
        <w:t xml:space="preserve"> Rozdíl mezi SO ORP s nejvyšší a nejnižší volební účastí se</w:t>
      </w:r>
      <w:r w:rsidR="00B92F5A">
        <w:rPr>
          <w:rFonts w:ascii="Arial" w:hAnsi="Arial"/>
          <w:color w:val="000000"/>
        </w:rPr>
        <w:t xml:space="preserve"> v prvních volbách do EP v roce 2004 pohyboval okolo 18 procentních bodů, při v</w:t>
      </w:r>
      <w:r w:rsidR="00D36BC0">
        <w:rPr>
          <w:rFonts w:ascii="Arial" w:hAnsi="Arial"/>
          <w:color w:val="000000"/>
        </w:rPr>
        <w:t>olbách v roce 2009 a 2014 kles</w:t>
      </w:r>
      <w:r w:rsidR="00B92F5A">
        <w:rPr>
          <w:rFonts w:ascii="Arial" w:hAnsi="Arial"/>
          <w:color w:val="000000"/>
        </w:rPr>
        <w:t>l rozdíl na přibližně</w:t>
      </w:r>
      <w:r w:rsidR="00BC6B5F">
        <w:rPr>
          <w:rFonts w:ascii="Arial" w:hAnsi="Arial"/>
          <w:color w:val="000000"/>
        </w:rPr>
        <w:t xml:space="preserve"> 16 procentních bodů. </w:t>
      </w:r>
    </w:p>
    <w:p w:rsidR="006D7EDB" w:rsidRDefault="006D7ED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6D7ED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BC6B5F">
        <w:rPr>
          <w:rFonts w:ascii="Arial" w:hAnsi="Arial"/>
          <w:color w:val="000000"/>
        </w:rPr>
        <w:t xml:space="preserve">Nicméně nepříznivá klesající tendence volební </w:t>
      </w:r>
      <w:r w:rsidR="00B92F5A">
        <w:rPr>
          <w:rFonts w:ascii="Arial" w:hAnsi="Arial"/>
          <w:color w:val="000000"/>
        </w:rPr>
        <w:t>účasti je typická jak pro SO ORP s relativně vyšším zájmem voličů o volby do EP, tak pro SO ORP s tradičně nízkou volební účastí.</w:t>
      </w:r>
      <w:r w:rsidR="00E607BA">
        <w:rPr>
          <w:rFonts w:ascii="Arial" w:hAnsi="Arial"/>
          <w:color w:val="000000"/>
        </w:rPr>
        <w:t xml:space="preserve"> </w:t>
      </w:r>
      <w:r w:rsidR="00796958">
        <w:rPr>
          <w:rFonts w:ascii="Arial" w:hAnsi="Arial"/>
          <w:color w:val="000000"/>
        </w:rPr>
        <w:t xml:space="preserve">Mezi roky </w:t>
      </w:r>
      <w:r w:rsidR="00796958">
        <w:rPr>
          <w:rFonts w:ascii="Arial" w:hAnsi="Arial"/>
          <w:color w:val="000000"/>
        </w:rPr>
        <w:lastRenderedPageBreak/>
        <w:t>2009 a 2014 se snížila volební úča</w:t>
      </w:r>
      <w:r w:rsidR="00666E7B">
        <w:rPr>
          <w:rFonts w:ascii="Arial" w:hAnsi="Arial"/>
          <w:color w:val="000000"/>
        </w:rPr>
        <w:t>st ve všech 205 správních obvodech</w:t>
      </w:r>
      <w:r w:rsidR="00796958">
        <w:rPr>
          <w:rFonts w:ascii="Arial" w:hAnsi="Arial"/>
          <w:color w:val="000000"/>
        </w:rPr>
        <w:t xml:space="preserve"> obcí s rozšířenou působností, přičemž nejmenší pokles byl zaz</w:t>
      </w:r>
      <w:r w:rsidR="00D36BC0">
        <w:rPr>
          <w:rFonts w:ascii="Arial" w:hAnsi="Arial"/>
          <w:color w:val="000000"/>
        </w:rPr>
        <w:t>namenán v SO ORP Vodňany (o 2,5</w:t>
      </w:r>
      <w:r w:rsidR="00796958">
        <w:rPr>
          <w:rFonts w:ascii="Arial" w:hAnsi="Arial"/>
          <w:color w:val="000000"/>
        </w:rPr>
        <w:t xml:space="preserve"> procentního bodu). Naopak nejvýraznější snížení zájmu voličů o volby do Evropského parlamentu byl</w:t>
      </w:r>
      <w:r w:rsidR="004770E2">
        <w:rPr>
          <w:rFonts w:ascii="Arial" w:hAnsi="Arial"/>
          <w:color w:val="000000"/>
        </w:rPr>
        <w:t>o</w:t>
      </w:r>
      <w:r w:rsidR="00796958">
        <w:rPr>
          <w:rFonts w:ascii="Arial" w:hAnsi="Arial"/>
          <w:color w:val="000000"/>
        </w:rPr>
        <w:t xml:space="preserve"> zaznamenán</w:t>
      </w:r>
      <w:r w:rsidR="004770E2">
        <w:rPr>
          <w:rFonts w:ascii="Arial" w:hAnsi="Arial"/>
          <w:color w:val="000000"/>
        </w:rPr>
        <w:t>o</w:t>
      </w:r>
      <w:r w:rsidR="00796958">
        <w:rPr>
          <w:rFonts w:ascii="Arial" w:hAnsi="Arial"/>
          <w:color w:val="000000"/>
        </w:rPr>
        <w:t xml:space="preserve"> v SO ORP Bílovec, kde se volební účast snížila o více než 13 procentních bodů.</w:t>
      </w:r>
      <w:r w:rsidR="00117DD1">
        <w:rPr>
          <w:rFonts w:ascii="Arial" w:hAnsi="Arial"/>
          <w:color w:val="000000"/>
        </w:rPr>
        <w:t xml:space="preserve"> </w:t>
      </w:r>
      <w:r w:rsidR="00B92F5A">
        <w:rPr>
          <w:rFonts w:ascii="Arial" w:hAnsi="Arial"/>
          <w:color w:val="000000"/>
        </w:rPr>
        <w:t xml:space="preserve"> </w:t>
      </w:r>
      <w:r w:rsidR="00682EEC">
        <w:rPr>
          <w:rFonts w:ascii="Arial" w:hAnsi="Arial"/>
          <w:color w:val="000000"/>
        </w:rPr>
        <w:t xml:space="preserve">  </w:t>
      </w:r>
    </w:p>
    <w:p w:rsidR="00EA1038" w:rsidRDefault="00EA10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A1038" w:rsidRDefault="00D36BC0" w:rsidP="00EA10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2.2. </w:t>
      </w:r>
      <w:r w:rsidR="00ED1756" w:rsidRPr="00D36BC0">
        <w:rPr>
          <w:rFonts w:ascii="Arial" w:hAnsi="Arial"/>
          <w:b/>
          <w:color w:val="000000"/>
          <w:u w:val="single"/>
        </w:rPr>
        <w:t>Výsledky hlasování</w:t>
      </w:r>
      <w:r w:rsidRPr="00D36BC0">
        <w:rPr>
          <w:rFonts w:ascii="Arial" w:hAnsi="Arial"/>
          <w:b/>
          <w:color w:val="000000"/>
          <w:u w:val="single"/>
        </w:rPr>
        <w:t xml:space="preserve"> v územním pohledu</w:t>
      </w:r>
      <w:r w:rsidR="00EA1038">
        <w:rPr>
          <w:rFonts w:ascii="Arial" w:hAnsi="Arial"/>
          <w:b/>
          <w:color w:val="000000"/>
        </w:rPr>
        <w:t xml:space="preserve">  </w:t>
      </w:r>
    </w:p>
    <w:p w:rsidR="00EA1038" w:rsidRDefault="00EA1038" w:rsidP="00EA10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9162F0" w:rsidRDefault="00EA1038" w:rsidP="009162F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 w:rsidR="00DC541A">
        <w:rPr>
          <w:rFonts w:ascii="Arial" w:hAnsi="Arial"/>
          <w:color w:val="000000"/>
        </w:rPr>
        <w:t xml:space="preserve">Absolutní počet odevzdaných platných hlasů ve volbách úzce souvisí s volební účastí. Zatímco v roce 2004 a 2009 byl počet odevzdaných platných hlasů takřka totožný, v roce 2014 činil počet hlasů necelé dvě třetiny z hodnoty předchozích voleb. </w:t>
      </w:r>
    </w:p>
    <w:p w:rsidR="009162F0" w:rsidRDefault="009162F0" w:rsidP="009162F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C000C4" w:rsidRDefault="009162F0" w:rsidP="00C00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Vítězem prvních voleb do Evropského par</w:t>
      </w:r>
      <w:r w:rsidR="00235B3B">
        <w:rPr>
          <w:rFonts w:ascii="Arial" w:hAnsi="Arial"/>
          <w:color w:val="000000"/>
        </w:rPr>
        <w:t>lamentu se stala se ziskem 30</w:t>
      </w:r>
      <w:r>
        <w:rPr>
          <w:rFonts w:ascii="Arial" w:hAnsi="Arial"/>
          <w:color w:val="000000"/>
        </w:rPr>
        <w:t xml:space="preserve"> % hlasů ODS. Strana zvítězila ve většině SO ORP v </w:t>
      </w:r>
      <w:r w:rsidR="00C000C4">
        <w:rPr>
          <w:rFonts w:ascii="Arial" w:hAnsi="Arial"/>
          <w:color w:val="000000"/>
        </w:rPr>
        <w:t>Č</w:t>
      </w:r>
      <w:r>
        <w:rPr>
          <w:rFonts w:ascii="Arial" w:hAnsi="Arial"/>
          <w:color w:val="000000"/>
        </w:rPr>
        <w:t>echách, zároveň ODS dosáhla značného volebního úspěchu i na Moravě a ve Slezsku. Překvapivým výsledkem voleb byl značný pokles získaných hlasů ČSSD. Při volbách do Poslanecké sněmovny v roce 2002 strana získala</w:t>
      </w:r>
      <w:r w:rsidR="00585DCF">
        <w:rPr>
          <w:rFonts w:ascii="Arial" w:hAnsi="Arial"/>
          <w:color w:val="000000"/>
        </w:rPr>
        <w:t xml:space="preserve"> 30,</w:t>
      </w:r>
      <w:r>
        <w:rPr>
          <w:rFonts w:ascii="Arial" w:hAnsi="Arial"/>
          <w:color w:val="000000"/>
        </w:rPr>
        <w:t xml:space="preserve">2 % hlasů, při prvních volbách do </w:t>
      </w:r>
      <w:r w:rsidR="00235B3B">
        <w:rPr>
          <w:rFonts w:ascii="Arial" w:hAnsi="Arial"/>
          <w:color w:val="000000"/>
        </w:rPr>
        <w:t>EP o dva roky později pouze 8,8</w:t>
      </w:r>
      <w:r>
        <w:rPr>
          <w:rFonts w:ascii="Arial" w:hAnsi="Arial"/>
          <w:color w:val="000000"/>
        </w:rPr>
        <w:t xml:space="preserve"> % </w:t>
      </w:r>
      <w:r w:rsidR="00FA00E7">
        <w:rPr>
          <w:rFonts w:ascii="Arial" w:hAnsi="Arial"/>
          <w:color w:val="000000"/>
        </w:rPr>
        <w:t xml:space="preserve">z celkového počtu </w:t>
      </w:r>
      <w:r>
        <w:rPr>
          <w:rFonts w:ascii="Arial" w:hAnsi="Arial"/>
          <w:color w:val="000000"/>
        </w:rPr>
        <w:t>hlasů. Strana zároveň nezvítězila v žádné</w:t>
      </w:r>
      <w:r w:rsidR="00585DCF">
        <w:rPr>
          <w:rFonts w:ascii="Arial" w:hAnsi="Arial"/>
          <w:color w:val="000000"/>
        </w:rPr>
        <w:t>m</w:t>
      </w:r>
      <w:r>
        <w:rPr>
          <w:rFonts w:ascii="Arial" w:hAnsi="Arial"/>
          <w:color w:val="000000"/>
        </w:rPr>
        <w:t xml:space="preserve"> SO ORP.</w:t>
      </w:r>
      <w:r w:rsidR="00585DCF">
        <w:rPr>
          <w:rFonts w:ascii="Arial" w:hAnsi="Arial"/>
          <w:color w:val="000000"/>
        </w:rPr>
        <w:t xml:space="preserve"> Tradiční území volební podpory ČSSD obsadila v těchto volbách KSČM.</w:t>
      </w:r>
      <w:r w:rsidR="00FA00E7">
        <w:rPr>
          <w:rFonts w:ascii="Arial" w:hAnsi="Arial"/>
          <w:color w:val="000000"/>
        </w:rPr>
        <w:t xml:space="preserve"> Komunistické straně</w:t>
      </w:r>
      <w:r w:rsidR="00585DCF">
        <w:rPr>
          <w:rFonts w:ascii="Arial" w:hAnsi="Arial"/>
          <w:color w:val="000000"/>
        </w:rPr>
        <w:t xml:space="preserve"> se dařilo</w:t>
      </w:r>
      <w:r w:rsidR="00FA00E7">
        <w:rPr>
          <w:rFonts w:ascii="Arial" w:hAnsi="Arial"/>
          <w:color w:val="000000"/>
        </w:rPr>
        <w:t xml:space="preserve"> především v Moravskoslezském kraji, kde vyhrála volby v 10 SO ORP (např. Orlová, Karviná), v Jihomoravském kraji</w:t>
      </w:r>
      <w:r w:rsidR="00C000C4">
        <w:rPr>
          <w:rFonts w:ascii="Arial" w:hAnsi="Arial"/>
          <w:color w:val="000000"/>
        </w:rPr>
        <w:t xml:space="preserve"> získala strana absolutně nejvyšší počet</w:t>
      </w:r>
      <w:r w:rsidR="00E22D93">
        <w:rPr>
          <w:rFonts w:ascii="Arial" w:hAnsi="Arial"/>
          <w:color w:val="000000"/>
        </w:rPr>
        <w:t xml:space="preserve"> hlasů v 8 SO ORP. KSČM nezaznamenala žádné dílčí vítězství v SO ORP pouze na územích</w:t>
      </w:r>
      <w:r w:rsidR="00B752CE">
        <w:rPr>
          <w:rFonts w:ascii="Arial" w:hAnsi="Arial"/>
          <w:color w:val="000000"/>
        </w:rPr>
        <w:t xml:space="preserve"> krajů </w:t>
      </w:r>
      <w:r w:rsidR="00E22D93">
        <w:rPr>
          <w:rFonts w:ascii="Arial" w:hAnsi="Arial"/>
          <w:color w:val="000000"/>
        </w:rPr>
        <w:t>Středočeského, Jihočeské</w:t>
      </w:r>
      <w:r w:rsidR="00B752CE">
        <w:rPr>
          <w:rFonts w:ascii="Arial" w:hAnsi="Arial"/>
          <w:color w:val="000000"/>
        </w:rPr>
        <w:t>ho, Libereckého a Královéhradeckého a v</w:t>
      </w:r>
      <w:r w:rsidR="008804DA">
        <w:rPr>
          <w:rFonts w:ascii="Arial" w:hAnsi="Arial"/>
          <w:color w:val="000000"/>
        </w:rPr>
        <w:t> Hlavním městě</w:t>
      </w:r>
      <w:r w:rsidR="00B752CE">
        <w:rPr>
          <w:rFonts w:ascii="Arial" w:hAnsi="Arial"/>
          <w:color w:val="000000"/>
        </w:rPr>
        <w:t> </w:t>
      </w:r>
      <w:r w:rsidR="008804DA">
        <w:rPr>
          <w:rFonts w:ascii="Arial" w:hAnsi="Arial"/>
          <w:color w:val="000000"/>
        </w:rPr>
        <w:t>Praha</w:t>
      </w:r>
      <w:r w:rsidR="00B752CE">
        <w:rPr>
          <w:rFonts w:ascii="Arial" w:hAnsi="Arial"/>
          <w:color w:val="000000"/>
        </w:rPr>
        <w:t>.</w:t>
      </w:r>
      <w:r w:rsidR="0087332F">
        <w:rPr>
          <w:rFonts w:ascii="Arial" w:hAnsi="Arial"/>
          <w:color w:val="000000"/>
        </w:rPr>
        <w:t xml:space="preserve"> Se ziskem 20</w:t>
      </w:r>
      <w:r w:rsidR="00585DCF">
        <w:rPr>
          <w:rFonts w:ascii="Arial" w:hAnsi="Arial"/>
          <w:color w:val="000000"/>
        </w:rPr>
        <w:t xml:space="preserve"> procent hlasů obsadila strana v těchto volbách celkové druhé místo</w:t>
      </w:r>
      <w:r w:rsidR="0032343C">
        <w:rPr>
          <w:rFonts w:ascii="Arial" w:hAnsi="Arial"/>
          <w:color w:val="000000"/>
        </w:rPr>
        <w:t>. Na čtvrtém</w:t>
      </w:r>
      <w:r w:rsidR="00B752CE">
        <w:rPr>
          <w:rFonts w:ascii="Arial" w:hAnsi="Arial"/>
          <w:color w:val="000000"/>
        </w:rPr>
        <w:t xml:space="preserve"> místě se ve volbách do EP v roce 2004 umístila</w:t>
      </w:r>
      <w:r w:rsidR="00E15C3C">
        <w:rPr>
          <w:rFonts w:ascii="Arial" w:hAnsi="Arial"/>
          <w:color w:val="000000"/>
        </w:rPr>
        <w:t xml:space="preserve"> se ziskem 9,5</w:t>
      </w:r>
      <w:r w:rsidR="008804DA">
        <w:rPr>
          <w:rFonts w:ascii="Arial" w:hAnsi="Arial"/>
          <w:color w:val="000000"/>
        </w:rPr>
        <w:t xml:space="preserve"> % obdržených hlasů</w:t>
      </w:r>
      <w:r w:rsidR="00B752CE">
        <w:rPr>
          <w:rFonts w:ascii="Arial" w:hAnsi="Arial"/>
          <w:color w:val="000000"/>
        </w:rPr>
        <w:t xml:space="preserve"> KDU-ČSL. </w:t>
      </w:r>
      <w:r w:rsidR="008804DA">
        <w:rPr>
          <w:rFonts w:ascii="Arial" w:hAnsi="Arial"/>
          <w:color w:val="000000"/>
        </w:rPr>
        <w:t>Strana byla úspěšná především v tradičních oblastech své volební podpory, tj. na území Zlínského a Jihomoravské kraje a ve východní části</w:t>
      </w:r>
      <w:r w:rsidR="00C000C4">
        <w:rPr>
          <w:rFonts w:ascii="Arial" w:hAnsi="Arial"/>
          <w:color w:val="000000"/>
        </w:rPr>
        <w:t xml:space="preserve"> kraje Vysočina</w:t>
      </w:r>
      <w:r w:rsidR="008804DA">
        <w:rPr>
          <w:rFonts w:ascii="Arial" w:hAnsi="Arial"/>
          <w:color w:val="000000"/>
        </w:rPr>
        <w:t>. Celkem KDU-ČSL dosáhla na vítězství ve 12 správních obvodech obcí s rozšířenou působností. Kromě výše zmíněných dlouhodobě úspěšných politických stran</w:t>
      </w:r>
      <w:r w:rsidR="0032343C">
        <w:rPr>
          <w:rFonts w:ascii="Arial" w:hAnsi="Arial"/>
          <w:color w:val="000000"/>
        </w:rPr>
        <w:t xml:space="preserve"> překročili stanovené 5% kvórum v té době dva noví političtí aktéři - Nezávislí a koalice SNK-ED. Nezávislí obdrželi srovnatelné množství hlasů jako ČSSD, přičemž dokázali vyhrát volby v SO ORP Znojmo.</w:t>
      </w:r>
      <w:r w:rsidR="002F4308">
        <w:rPr>
          <w:rFonts w:ascii="Arial" w:hAnsi="Arial"/>
          <w:color w:val="000000"/>
        </w:rPr>
        <w:t xml:space="preserve"> Ještě úspěšnější byla koalice SNK-ED, jenž se dokázala stát třetí nejúspěšnější </w:t>
      </w:r>
      <w:r w:rsidR="00DB7FCA">
        <w:rPr>
          <w:rFonts w:ascii="Arial" w:hAnsi="Arial"/>
          <w:color w:val="000000"/>
        </w:rPr>
        <w:t xml:space="preserve">volební </w:t>
      </w:r>
      <w:r w:rsidR="002F4308">
        <w:rPr>
          <w:rFonts w:ascii="Arial" w:hAnsi="Arial"/>
          <w:color w:val="000000"/>
        </w:rPr>
        <w:t>stranou voleb, přestože nezvítězila v žádném SO ORP.</w:t>
      </w:r>
      <w:r w:rsidR="008804DA">
        <w:rPr>
          <w:rFonts w:ascii="Arial" w:hAnsi="Arial"/>
          <w:color w:val="000000"/>
        </w:rPr>
        <w:t xml:space="preserve">  </w:t>
      </w:r>
    </w:p>
    <w:p w:rsidR="00C000C4" w:rsidRDefault="00C000C4" w:rsidP="00C00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AE3572" w:rsidRDefault="00C000C4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931085">
        <w:rPr>
          <w:rFonts w:ascii="Arial" w:hAnsi="Arial"/>
          <w:color w:val="000000"/>
        </w:rPr>
        <w:t xml:space="preserve">Při volbách do Evropského parlamentu v roce 2009 obhájila své </w:t>
      </w:r>
      <w:r w:rsidR="000F2413">
        <w:rPr>
          <w:rFonts w:ascii="Arial" w:hAnsi="Arial"/>
          <w:color w:val="000000"/>
        </w:rPr>
        <w:t xml:space="preserve">celkové </w:t>
      </w:r>
      <w:r w:rsidR="00931085">
        <w:rPr>
          <w:rFonts w:ascii="Arial" w:hAnsi="Arial"/>
          <w:color w:val="000000"/>
        </w:rPr>
        <w:t>vítězství</w:t>
      </w:r>
      <w:r w:rsidR="000F2413">
        <w:rPr>
          <w:rFonts w:ascii="Arial" w:hAnsi="Arial"/>
          <w:color w:val="000000"/>
        </w:rPr>
        <w:t xml:space="preserve"> v České republice</w:t>
      </w:r>
      <w:r w:rsidR="00931085">
        <w:rPr>
          <w:rFonts w:ascii="Arial" w:hAnsi="Arial"/>
          <w:color w:val="000000"/>
        </w:rPr>
        <w:t xml:space="preserve"> ODS. Straně bylo odevzdáno přes 740 000 platných hlasů, čímž o 1,4</w:t>
      </w:r>
      <w:r w:rsidR="00AA6CDC">
        <w:rPr>
          <w:rFonts w:ascii="Arial" w:hAnsi="Arial"/>
          <w:color w:val="000000"/>
        </w:rPr>
        <w:t xml:space="preserve"> procentního bodu</w:t>
      </w:r>
      <w:r w:rsidR="00931085">
        <w:rPr>
          <w:rFonts w:ascii="Arial" w:hAnsi="Arial"/>
          <w:color w:val="000000"/>
        </w:rPr>
        <w:t xml:space="preserve"> vylepšila svůj volební výsledek z</w:t>
      </w:r>
      <w:r w:rsidR="00AA6CDC">
        <w:rPr>
          <w:rFonts w:ascii="Arial" w:hAnsi="Arial"/>
          <w:color w:val="000000"/>
        </w:rPr>
        <w:t xml:space="preserve"> roku 2004. Ve volbách druhá ČSSD si jednoznačně oproti roku 2004 polepšila. </w:t>
      </w:r>
      <w:r w:rsidR="000F2413">
        <w:rPr>
          <w:rFonts w:ascii="Arial" w:hAnsi="Arial"/>
          <w:color w:val="000000"/>
        </w:rPr>
        <w:t>Strana z</w:t>
      </w:r>
      <w:r w:rsidR="00AA6CDC">
        <w:rPr>
          <w:rFonts w:ascii="Arial" w:hAnsi="Arial"/>
          <w:color w:val="000000"/>
        </w:rPr>
        <w:t>ískala přes 22 % hlas</w:t>
      </w:r>
      <w:r w:rsidR="00A33885">
        <w:rPr>
          <w:rFonts w:ascii="Arial" w:hAnsi="Arial"/>
          <w:color w:val="000000"/>
        </w:rPr>
        <w:t>ů</w:t>
      </w:r>
      <w:r w:rsidR="00384A72">
        <w:rPr>
          <w:rFonts w:ascii="Arial" w:hAnsi="Arial"/>
          <w:color w:val="000000"/>
        </w:rPr>
        <w:t xml:space="preserve"> (v absolutních číslech došlo k nárůstu volební podpory o více než </w:t>
      </w:r>
      <w:r w:rsidR="00A33885">
        <w:rPr>
          <w:rFonts w:ascii="Arial" w:hAnsi="Arial"/>
          <w:color w:val="000000"/>
        </w:rPr>
        <w:t>320 000 hlasů).</w:t>
      </w:r>
      <w:r w:rsidR="00384A72">
        <w:rPr>
          <w:rFonts w:ascii="Arial" w:hAnsi="Arial"/>
          <w:color w:val="000000"/>
        </w:rPr>
        <w:t xml:space="preserve"> Dvě zmiňované strany si mezi sebou rozdělily vítězství ve 200 správních obvodech obcí s rozšířenou působností. Pouze v pěti případech měly volby v roce 2009 jiného vítěze. V SO ORP Uničov, Veselí nad Moravou, Uherský Brod a Valašské Klobouky</w:t>
      </w:r>
      <w:r w:rsidR="000F2413">
        <w:rPr>
          <w:rFonts w:ascii="Arial" w:hAnsi="Arial"/>
          <w:color w:val="000000"/>
        </w:rPr>
        <w:t xml:space="preserve"> byla nejúspěšnějším politickým subjektem KDU-ČSL. Komunistická strana Čech a Moravy sice obsadila ve volbách celkové třetí místo s více než 14 %</w:t>
      </w:r>
      <w:r w:rsidR="00E15C3C">
        <w:rPr>
          <w:rFonts w:ascii="Arial" w:hAnsi="Arial"/>
          <w:color w:val="000000"/>
        </w:rPr>
        <w:t xml:space="preserve"> platných hlasů, zvítězila však</w:t>
      </w:r>
      <w:r w:rsidR="000F2413">
        <w:rPr>
          <w:rFonts w:ascii="Arial" w:hAnsi="Arial"/>
          <w:color w:val="000000"/>
        </w:rPr>
        <w:t xml:space="preserve"> pouze v SO ORP Ivančice.</w:t>
      </w:r>
      <w:r w:rsidR="00384A72">
        <w:rPr>
          <w:rFonts w:ascii="Arial" w:hAnsi="Arial"/>
          <w:color w:val="000000"/>
        </w:rPr>
        <w:t xml:space="preserve"> </w:t>
      </w:r>
      <w:r w:rsidR="000F2413">
        <w:rPr>
          <w:rFonts w:ascii="Arial" w:hAnsi="Arial"/>
          <w:color w:val="000000"/>
        </w:rPr>
        <w:t>Ostatní politické strany a hnutí sice obdržely dohromady přes 570 000 hlasů, nicméně 5% kvórum nesplnila žádná z nich. Mandáty v Evropském parlamentu tak pro následující pětileté období náležely pouz</w:t>
      </w:r>
      <w:r w:rsidR="00B51AA7">
        <w:rPr>
          <w:rFonts w:ascii="Arial" w:hAnsi="Arial"/>
          <w:color w:val="000000"/>
        </w:rPr>
        <w:t>e čtyřem „tradičním“ politickým</w:t>
      </w:r>
      <w:r w:rsidR="000F2413">
        <w:rPr>
          <w:rFonts w:ascii="Arial" w:hAnsi="Arial"/>
          <w:color w:val="000000"/>
        </w:rPr>
        <w:t xml:space="preserve"> stranám. </w:t>
      </w:r>
      <w:r w:rsidR="00384A72">
        <w:rPr>
          <w:rFonts w:ascii="Arial" w:hAnsi="Arial"/>
          <w:color w:val="000000"/>
        </w:rPr>
        <w:t xml:space="preserve"> </w:t>
      </w:r>
      <w:r w:rsidR="00931085">
        <w:rPr>
          <w:rFonts w:ascii="Arial" w:hAnsi="Arial"/>
          <w:color w:val="000000"/>
        </w:rPr>
        <w:t xml:space="preserve"> </w:t>
      </w:r>
    </w:p>
    <w:p w:rsidR="00AE3572" w:rsidRDefault="00AE3572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831706" w:rsidRDefault="00AE3572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Nejvyrovnanější výsledky mezi volebními stranami byly při volbách v roce 2014, kdy více než 5 % hlasů získalo celkem 7 volebních stran, přičemž úspěšnější než „tradiční“ strany byla relativně </w:t>
      </w:r>
      <w:r>
        <w:rPr>
          <w:rFonts w:ascii="Arial" w:hAnsi="Arial"/>
          <w:color w:val="000000"/>
        </w:rPr>
        <w:lastRenderedPageBreak/>
        <w:t xml:space="preserve">novější politická uskupení – především strana ANO 2011 a koalice TOP 09 a Starostové. </w:t>
      </w:r>
      <w:r w:rsidR="00602D81">
        <w:rPr>
          <w:rFonts w:ascii="Arial" w:hAnsi="Arial"/>
          <w:color w:val="000000"/>
        </w:rPr>
        <w:t>Celkovým vítězem voleb se stalo ANO 2011</w:t>
      </w:r>
      <w:r w:rsidR="00F2063B">
        <w:rPr>
          <w:rFonts w:ascii="Arial" w:hAnsi="Arial"/>
          <w:color w:val="000000"/>
        </w:rPr>
        <w:t xml:space="preserve"> se ziskem více než 16 % hlasů, zároveň strana vyhrála volební soutěž v 79 správních obvodech ORP. Straně se současně podařilo oslovovat voliče rovnoměrně po celém území ČR, neboť s výjimkou krajů Plzeňského, Zlínského a</w:t>
      </w:r>
      <w:r w:rsidR="00AC5D18">
        <w:rPr>
          <w:rFonts w:ascii="Arial" w:hAnsi="Arial"/>
          <w:color w:val="000000"/>
        </w:rPr>
        <w:t xml:space="preserve"> Prahy dokázala zvítězit v alespoň </w:t>
      </w:r>
      <w:r w:rsidR="00B91A04">
        <w:rPr>
          <w:rFonts w:ascii="Arial" w:hAnsi="Arial"/>
          <w:color w:val="000000"/>
        </w:rPr>
        <w:t>některém</w:t>
      </w:r>
      <w:r w:rsidR="00AC5D18">
        <w:rPr>
          <w:rFonts w:ascii="Arial" w:hAnsi="Arial"/>
          <w:color w:val="000000"/>
        </w:rPr>
        <w:t xml:space="preserve"> </w:t>
      </w:r>
      <w:r w:rsidR="00B91A04">
        <w:rPr>
          <w:rFonts w:ascii="Arial" w:hAnsi="Arial"/>
          <w:color w:val="000000"/>
        </w:rPr>
        <w:t>správním obvodě</w:t>
      </w:r>
      <w:r w:rsidR="00AC5D18">
        <w:rPr>
          <w:rFonts w:ascii="Arial" w:hAnsi="Arial"/>
          <w:color w:val="000000"/>
        </w:rPr>
        <w:t xml:space="preserve"> ORP</w:t>
      </w:r>
      <w:r w:rsidR="00F2063B">
        <w:rPr>
          <w:rFonts w:ascii="Arial" w:hAnsi="Arial"/>
          <w:color w:val="000000"/>
        </w:rPr>
        <w:t xml:space="preserve"> </w:t>
      </w:r>
      <w:r w:rsidR="00B94D55">
        <w:rPr>
          <w:rFonts w:ascii="Arial" w:hAnsi="Arial"/>
          <w:color w:val="000000"/>
        </w:rPr>
        <w:t xml:space="preserve">v ostatních </w:t>
      </w:r>
      <w:r w:rsidR="00AC5D18">
        <w:rPr>
          <w:rFonts w:ascii="Arial" w:hAnsi="Arial"/>
          <w:color w:val="000000"/>
        </w:rPr>
        <w:t xml:space="preserve">zbývajících krajích. ODS, vítěz minulých dvou voleb do EP, zaznamenala v roce </w:t>
      </w:r>
      <w:r w:rsidR="00B91A04">
        <w:rPr>
          <w:rFonts w:ascii="Arial" w:hAnsi="Arial"/>
          <w:color w:val="000000"/>
        </w:rPr>
        <w:t>2014 prudký pokles počtu hlasů na necelých osm procent (o takřka 24 procentních bodů). Tradiční území volební podpory ODS, tj. Prahu a její blízké zázemí, jižní Čechy a severovýchod Čech, obsadila v těchto volbách koalice TOP 09 a Starostové. Nejúspěšnější z „tradičních“ politických stran byla ČSSD. Strana získala přes 14 % platných hlasů a zvítězila ve 33 správních o</w:t>
      </w:r>
      <w:r w:rsidR="00ED1756">
        <w:rPr>
          <w:rFonts w:ascii="Arial" w:hAnsi="Arial"/>
          <w:color w:val="000000"/>
        </w:rPr>
        <w:t xml:space="preserve">bvodech ORP. Jádrem volební podpory ČSSD byl i v těchto volbách sever Moravy (19 z 33 „vítězných“ správních obvodů ORP je lokalizováno v Moravskoslezském kraji). </w:t>
      </w:r>
      <w:r w:rsidR="009C01B3">
        <w:rPr>
          <w:rFonts w:ascii="Arial" w:hAnsi="Arial"/>
          <w:color w:val="000000"/>
        </w:rPr>
        <w:t>Komunistická strana Čech a Moravy dosáhla zisku téměř 11 % hlasů a v 11 správních obvodech ORP volby dokonce ovládla. O zhrub</w:t>
      </w:r>
      <w:r w:rsidR="003D1152">
        <w:rPr>
          <w:rFonts w:ascii="Arial" w:hAnsi="Arial"/>
          <w:color w:val="000000"/>
        </w:rPr>
        <w:t>a jeden procentní bod méně</w:t>
      </w:r>
      <w:r w:rsidR="009C01B3">
        <w:rPr>
          <w:rFonts w:ascii="Arial" w:hAnsi="Arial"/>
          <w:color w:val="000000"/>
        </w:rPr>
        <w:t xml:space="preserve"> obdržela KDU-ČSL, strana však </w:t>
      </w:r>
      <w:r w:rsidR="004770E2">
        <w:rPr>
          <w:rFonts w:ascii="Arial" w:hAnsi="Arial"/>
          <w:color w:val="000000"/>
        </w:rPr>
        <w:t>zvítězila ve více než 40</w:t>
      </w:r>
      <w:r w:rsidR="003D1152">
        <w:rPr>
          <w:rFonts w:ascii="Arial" w:hAnsi="Arial"/>
          <w:color w:val="000000"/>
        </w:rPr>
        <w:t xml:space="preserve"> správních obvodech ORP, což svědčí o </w:t>
      </w:r>
      <w:r w:rsidR="004770E2">
        <w:rPr>
          <w:rFonts w:ascii="Arial" w:hAnsi="Arial"/>
          <w:color w:val="000000"/>
        </w:rPr>
        <w:t xml:space="preserve">vysoké </w:t>
      </w:r>
      <w:r w:rsidR="003D1152">
        <w:rPr>
          <w:rFonts w:ascii="Arial" w:hAnsi="Arial"/>
          <w:color w:val="000000"/>
        </w:rPr>
        <w:t>koncentraci je</w:t>
      </w:r>
      <w:r w:rsidR="004770E2">
        <w:rPr>
          <w:rFonts w:ascii="Arial" w:hAnsi="Arial"/>
          <w:color w:val="000000"/>
        </w:rPr>
        <w:t>jího elektorátu do několika</w:t>
      </w:r>
      <w:r w:rsidR="003D1152">
        <w:rPr>
          <w:rFonts w:ascii="Arial" w:hAnsi="Arial"/>
          <w:color w:val="000000"/>
        </w:rPr>
        <w:t xml:space="preserve"> územních jednotek. Posledním sedmou stranou, které přesáhla zákonem stanovenou 5% hranici pro udělení mandátu, byli Svobodní. Vývoj relativního zisku hlasů v jednotlivých letech nabízí</w:t>
      </w:r>
      <w:r w:rsidR="00E15C3C">
        <w:rPr>
          <w:rFonts w:ascii="Arial" w:hAnsi="Arial"/>
          <w:color w:val="000000"/>
        </w:rPr>
        <w:t xml:space="preserve"> graf G 5</w:t>
      </w:r>
      <w:r w:rsidR="00E149EB">
        <w:rPr>
          <w:rFonts w:ascii="Arial" w:hAnsi="Arial"/>
          <w:color w:val="000000"/>
        </w:rPr>
        <w:t>.</w:t>
      </w:r>
    </w:p>
    <w:p w:rsidR="00670E71" w:rsidRDefault="00670E71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670E71" w:rsidRDefault="00E15C3C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 5</w:t>
      </w:r>
      <w:r w:rsidR="00670E71" w:rsidRPr="00670E71">
        <w:rPr>
          <w:rFonts w:ascii="Arial" w:hAnsi="Arial"/>
          <w:b/>
          <w:color w:val="000000"/>
        </w:rPr>
        <w:t xml:space="preserve"> Zisk hlasů za vybrané strany a skupiny stran v %</w:t>
      </w:r>
    </w:p>
    <w:p w:rsidR="00670E71" w:rsidRPr="00670E71" w:rsidRDefault="00670E71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(individuálně zobrazeny ty strany, které v příslušném roce získaly </w:t>
      </w:r>
      <w:r w:rsidR="004D1BE0">
        <w:rPr>
          <w:rFonts w:ascii="Arial" w:hAnsi="Arial"/>
          <w:color w:val="000000"/>
        </w:rPr>
        <w:t xml:space="preserve">alespoň jeden </w:t>
      </w:r>
      <w:r>
        <w:rPr>
          <w:rFonts w:ascii="Arial" w:hAnsi="Arial"/>
          <w:color w:val="000000"/>
        </w:rPr>
        <w:t>mandát. Kandidující strany bez mandátu byly agregovány do kategorie „Ostatní“)</w:t>
      </w:r>
    </w:p>
    <w:p w:rsidR="00831706" w:rsidRDefault="00670E71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noProof/>
        </w:rPr>
        <w:pict>
          <v:shape id="_x0000_s1029" type="#_x0000_t75" style="position:absolute;left:0;text-align:left;margin-left:-16.8pt;margin-top:10.4pt;width:454.5pt;height:252pt;z-index:2">
            <v:imagedata r:id="rId8" o:title=""/>
          </v:shape>
        </w:pict>
      </w:r>
    </w:p>
    <w:p w:rsidR="00831706" w:rsidRDefault="00831706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A1038" w:rsidRDefault="003D1152" w:rsidP="00AE357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ED1756">
        <w:rPr>
          <w:rFonts w:ascii="Arial" w:hAnsi="Arial"/>
          <w:color w:val="000000"/>
        </w:rPr>
        <w:t xml:space="preserve"> </w:t>
      </w:r>
      <w:r w:rsidR="00B91A04">
        <w:rPr>
          <w:rFonts w:ascii="Arial" w:hAnsi="Arial"/>
          <w:color w:val="000000"/>
        </w:rPr>
        <w:t xml:space="preserve"> </w:t>
      </w:r>
      <w:r w:rsidR="00AC5D18">
        <w:rPr>
          <w:rFonts w:ascii="Arial" w:hAnsi="Arial"/>
          <w:color w:val="000000"/>
        </w:rPr>
        <w:t xml:space="preserve"> </w:t>
      </w:r>
      <w:r w:rsidR="00F2063B">
        <w:rPr>
          <w:rFonts w:ascii="Arial" w:hAnsi="Arial"/>
          <w:color w:val="000000"/>
        </w:rPr>
        <w:t xml:space="preserve"> </w:t>
      </w:r>
      <w:r w:rsidR="008804DA">
        <w:rPr>
          <w:rFonts w:ascii="Arial" w:hAnsi="Arial"/>
          <w:color w:val="000000"/>
        </w:rPr>
        <w:t xml:space="preserve"> </w:t>
      </w:r>
      <w:r w:rsidR="00B752CE">
        <w:rPr>
          <w:rFonts w:ascii="Arial" w:hAnsi="Arial"/>
          <w:color w:val="000000"/>
        </w:rPr>
        <w:t xml:space="preserve"> </w:t>
      </w:r>
      <w:r w:rsidR="00585DCF">
        <w:rPr>
          <w:rFonts w:ascii="Arial" w:hAnsi="Arial"/>
          <w:color w:val="000000"/>
        </w:rPr>
        <w:t xml:space="preserve"> </w:t>
      </w:r>
      <w:r w:rsidR="009162F0">
        <w:rPr>
          <w:rFonts w:ascii="Arial" w:hAnsi="Arial"/>
          <w:color w:val="000000"/>
        </w:rPr>
        <w:t xml:space="preserve"> </w:t>
      </w:r>
      <w:r w:rsidR="00DC541A">
        <w:rPr>
          <w:rFonts w:ascii="Arial" w:hAnsi="Arial"/>
          <w:color w:val="000000"/>
        </w:rPr>
        <w:t xml:space="preserve"> </w:t>
      </w:r>
    </w:p>
    <w:p w:rsidR="004A6040" w:rsidRDefault="004A6040" w:rsidP="000B6D40">
      <w:pPr>
        <w:spacing w:line="300" w:lineRule="exact"/>
        <w:jc w:val="both"/>
      </w:pPr>
    </w:p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Pr="004A6040" w:rsidRDefault="004A6040" w:rsidP="004A6040"/>
    <w:p w:rsidR="004A6040" w:rsidRDefault="004A6040" w:rsidP="004A6040"/>
    <w:p w:rsidR="004A6040" w:rsidRDefault="00D36BC0" w:rsidP="004A604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2.3. </w:t>
      </w:r>
      <w:r w:rsidR="004A6040" w:rsidRPr="00D36BC0">
        <w:rPr>
          <w:rFonts w:ascii="Arial" w:hAnsi="Arial"/>
          <w:b/>
          <w:color w:val="000000"/>
          <w:u w:val="single"/>
        </w:rPr>
        <w:t>Mandáty</w:t>
      </w:r>
      <w:r w:rsidR="004A6040">
        <w:rPr>
          <w:rFonts w:ascii="Arial" w:hAnsi="Arial"/>
          <w:b/>
          <w:color w:val="000000"/>
        </w:rPr>
        <w:t xml:space="preserve">  </w:t>
      </w:r>
    </w:p>
    <w:p w:rsidR="004A6040" w:rsidRDefault="004A6040" w:rsidP="004A604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170F21" w:rsidRDefault="004A6040" w:rsidP="000142B2">
      <w:pPr>
        <w:spacing w:line="300" w:lineRule="exact"/>
        <w:jc w:val="both"/>
        <w:rPr>
          <w:color w:val="000000"/>
        </w:rPr>
      </w:pPr>
      <w:r>
        <w:rPr>
          <w:b/>
          <w:color w:val="000000"/>
        </w:rPr>
        <w:tab/>
      </w:r>
      <w:r w:rsidR="000142B2">
        <w:rPr>
          <w:color w:val="000000"/>
        </w:rPr>
        <w:t xml:space="preserve">Každá volební strana, která získala v některých volbách do EP alespoň 5 % platných hlasů, postoupila do skrutinia - tj. mezi strany, mezi které se rozdělovaly mandáty. Strany ODS, KSČM, ČSSD a KDU-ČSL získaly mandát ve všech </w:t>
      </w:r>
      <w:r w:rsidR="007A59A4">
        <w:rPr>
          <w:color w:val="000000"/>
        </w:rPr>
        <w:t>doposud konaných volbách. Nejúspěšnější z nich je ODS, která získala souhrnně 20 mandátů, byť v roce 2014 ODS ztratila 7 z 9 obhajovaných mandátů.</w:t>
      </w:r>
      <w:r w:rsidR="000142B2">
        <w:rPr>
          <w:color w:val="000000"/>
        </w:rPr>
        <w:t xml:space="preserve"> </w:t>
      </w:r>
      <w:r w:rsidR="004D1BE0">
        <w:rPr>
          <w:color w:val="000000"/>
        </w:rPr>
        <w:t>Za ODS následovaly ČSSD a KSČM se shodným počtem 13 mandátů a KDU-ČSL s</w:t>
      </w:r>
      <w:r w:rsidR="00B51AA7">
        <w:rPr>
          <w:color w:val="000000"/>
        </w:rPr>
        <w:t>e</w:t>
      </w:r>
      <w:r w:rsidR="004D1BE0">
        <w:rPr>
          <w:color w:val="000000"/>
        </w:rPr>
        <w:t> 7 mandáty.</w:t>
      </w:r>
      <w:r w:rsidR="00817667">
        <w:rPr>
          <w:color w:val="000000"/>
        </w:rPr>
        <w:t xml:space="preserve"> Zisk mandátů KSČM má mírně klesající tendenci, u KDU-ČSL vidíme poměrně rovnoměrné rozdělení </w:t>
      </w:r>
      <w:r w:rsidR="00817667">
        <w:rPr>
          <w:color w:val="000000"/>
        </w:rPr>
        <w:lastRenderedPageBreak/>
        <w:t>mandátů v čase.</w:t>
      </w:r>
      <w:r w:rsidR="004D1BE0">
        <w:rPr>
          <w:color w:val="000000"/>
        </w:rPr>
        <w:t xml:space="preserve"> Další volební strany byly úspěšné vždy jen v jednom roce voleb.</w:t>
      </w:r>
      <w:r w:rsidR="00E329C8">
        <w:rPr>
          <w:color w:val="000000"/>
        </w:rPr>
        <w:t xml:space="preserve"> Vývoj počtu získaných mandátů ve volbách do Evropskéh</w:t>
      </w:r>
      <w:r w:rsidR="00E15C3C">
        <w:rPr>
          <w:color w:val="000000"/>
        </w:rPr>
        <w:t>o parlamentu prezentuje graf G 6</w:t>
      </w:r>
      <w:r w:rsidR="00E329C8">
        <w:rPr>
          <w:color w:val="000000"/>
        </w:rPr>
        <w:t>.</w:t>
      </w:r>
    </w:p>
    <w:p w:rsidR="00170F21" w:rsidRDefault="00170F21" w:rsidP="000142B2">
      <w:pPr>
        <w:spacing w:line="300" w:lineRule="exact"/>
        <w:jc w:val="both"/>
        <w:rPr>
          <w:color w:val="000000"/>
        </w:rPr>
      </w:pPr>
    </w:p>
    <w:p w:rsidR="00170F21" w:rsidRDefault="00E15C3C" w:rsidP="000142B2">
      <w:pPr>
        <w:spacing w:line="300" w:lineRule="exact"/>
        <w:jc w:val="both"/>
        <w:rPr>
          <w:b/>
          <w:color w:val="000000"/>
        </w:rPr>
      </w:pPr>
      <w:r>
        <w:rPr>
          <w:b/>
          <w:color w:val="000000"/>
        </w:rPr>
        <w:t>G 6</w:t>
      </w:r>
      <w:r w:rsidR="00170F21" w:rsidRPr="00170F21">
        <w:rPr>
          <w:b/>
          <w:color w:val="000000"/>
        </w:rPr>
        <w:t xml:space="preserve"> Rozdělení mandátů mezi jednotlivé strany a skupiny stran</w:t>
      </w:r>
    </w:p>
    <w:p w:rsidR="00170F21" w:rsidRDefault="00170F21" w:rsidP="000142B2">
      <w:pPr>
        <w:spacing w:line="300" w:lineRule="exact"/>
        <w:jc w:val="both"/>
        <w:rPr>
          <w:b/>
          <w:color w:val="000000"/>
        </w:rPr>
      </w:pPr>
    </w:p>
    <w:p w:rsidR="00E7003C" w:rsidRPr="00170F21" w:rsidRDefault="00170F21" w:rsidP="000142B2">
      <w:pPr>
        <w:spacing w:line="300" w:lineRule="exact"/>
        <w:jc w:val="both"/>
        <w:rPr>
          <w:b/>
        </w:rPr>
      </w:pPr>
      <w:r>
        <w:rPr>
          <w:noProof/>
        </w:rPr>
        <w:pict>
          <v:shape id="_x0000_s1030" type="#_x0000_t75" style="position:absolute;left:0;text-align:left;margin-left:-25.8pt;margin-top:.6pt;width:453.75pt;height:243.75pt;z-index:3">
            <v:imagedata r:id="rId9" o:title=""/>
          </v:shape>
        </w:pict>
      </w:r>
    </w:p>
    <w:sectPr w:rsidR="00E7003C" w:rsidRPr="00170F21">
      <w:footerReference w:type="even" r:id="rId10"/>
      <w:footerReference w:type="default" r:id="rId11"/>
      <w:pgSz w:w="11905" w:h="16837" w:code="9"/>
      <w:pgMar w:top="1416" w:right="1416" w:bottom="1416" w:left="1416" w:header="708" w:footer="708" w:gutter="0"/>
      <w:pgNumType w:start="5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38" w:rsidRDefault="00FA2438">
      <w:r>
        <w:separator/>
      </w:r>
    </w:p>
  </w:endnote>
  <w:endnote w:type="continuationSeparator" w:id="0">
    <w:p w:rsidR="00FA2438" w:rsidRDefault="00FA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3C" w:rsidRDefault="00E70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03C" w:rsidRDefault="00E700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3C" w:rsidRDefault="00E7003C">
    <w:pPr>
      <w:pStyle w:val="Zpat"/>
      <w:framePr w:wrap="around" w:vAnchor="text" w:hAnchor="margin" w:xAlign="center" w:y="1"/>
      <w:rPr>
        <w:rStyle w:val="slostrnky"/>
      </w:rPr>
    </w:pPr>
  </w:p>
  <w:p w:rsidR="00E7003C" w:rsidRDefault="00E7003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38" w:rsidRDefault="00FA2438">
      <w:r>
        <w:separator/>
      </w:r>
    </w:p>
  </w:footnote>
  <w:footnote w:type="continuationSeparator" w:id="0">
    <w:p w:rsidR="00FA2438" w:rsidRDefault="00FA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71"/>
    <w:multiLevelType w:val="hybridMultilevel"/>
    <w:tmpl w:val="F7E6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6158"/>
    <w:multiLevelType w:val="hybridMultilevel"/>
    <w:tmpl w:val="FDEE2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3978"/>
    <w:multiLevelType w:val="hybridMultilevel"/>
    <w:tmpl w:val="D078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2BDD"/>
    <w:multiLevelType w:val="hybridMultilevel"/>
    <w:tmpl w:val="F848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B00"/>
    <w:multiLevelType w:val="hybridMultilevel"/>
    <w:tmpl w:val="1430E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0FAB"/>
    <w:multiLevelType w:val="hybridMultilevel"/>
    <w:tmpl w:val="91445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A8D0313"/>
    <w:multiLevelType w:val="hybridMultilevel"/>
    <w:tmpl w:val="3BB63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89A"/>
    <w:multiLevelType w:val="hybridMultilevel"/>
    <w:tmpl w:val="74542FC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B75DF1"/>
    <w:multiLevelType w:val="hybridMultilevel"/>
    <w:tmpl w:val="7BB657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956CF"/>
    <w:multiLevelType w:val="hybridMultilevel"/>
    <w:tmpl w:val="2670E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83720"/>
    <w:multiLevelType w:val="hybridMultilevel"/>
    <w:tmpl w:val="020E1D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26D50"/>
    <w:multiLevelType w:val="hybridMultilevel"/>
    <w:tmpl w:val="B26A28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8F"/>
    <w:rsid w:val="000142B2"/>
    <w:rsid w:val="00015DE4"/>
    <w:rsid w:val="00070386"/>
    <w:rsid w:val="00073D58"/>
    <w:rsid w:val="00075DE4"/>
    <w:rsid w:val="00094F8F"/>
    <w:rsid w:val="00096613"/>
    <w:rsid w:val="000B44F5"/>
    <w:rsid w:val="000B5239"/>
    <w:rsid w:val="000B6D40"/>
    <w:rsid w:val="000F2413"/>
    <w:rsid w:val="00117DD1"/>
    <w:rsid w:val="0014016D"/>
    <w:rsid w:val="00170F21"/>
    <w:rsid w:val="001A003C"/>
    <w:rsid w:val="001E78D2"/>
    <w:rsid w:val="001F65B4"/>
    <w:rsid w:val="00235B3B"/>
    <w:rsid w:val="002B34F6"/>
    <w:rsid w:val="002C0BE3"/>
    <w:rsid w:val="002C4544"/>
    <w:rsid w:val="002C6230"/>
    <w:rsid w:val="002D3288"/>
    <w:rsid w:val="002D4D1D"/>
    <w:rsid w:val="002F4308"/>
    <w:rsid w:val="002F4927"/>
    <w:rsid w:val="003145D3"/>
    <w:rsid w:val="00321344"/>
    <w:rsid w:val="0032343C"/>
    <w:rsid w:val="00351349"/>
    <w:rsid w:val="003759EF"/>
    <w:rsid w:val="00383D14"/>
    <w:rsid w:val="00384A72"/>
    <w:rsid w:val="003979CD"/>
    <w:rsid w:val="003D070F"/>
    <w:rsid w:val="003D1152"/>
    <w:rsid w:val="003D76DE"/>
    <w:rsid w:val="003E7487"/>
    <w:rsid w:val="0041425A"/>
    <w:rsid w:val="00432EB6"/>
    <w:rsid w:val="004770E2"/>
    <w:rsid w:val="004A6040"/>
    <w:rsid w:val="004A7455"/>
    <w:rsid w:val="004C4C1A"/>
    <w:rsid w:val="004D1BE0"/>
    <w:rsid w:val="004F7D96"/>
    <w:rsid w:val="005332B2"/>
    <w:rsid w:val="005623EB"/>
    <w:rsid w:val="00564226"/>
    <w:rsid w:val="00585DCF"/>
    <w:rsid w:val="005B308F"/>
    <w:rsid w:val="005E26B0"/>
    <w:rsid w:val="00602D81"/>
    <w:rsid w:val="0060368C"/>
    <w:rsid w:val="00645210"/>
    <w:rsid w:val="00647B74"/>
    <w:rsid w:val="006644EC"/>
    <w:rsid w:val="00666E7B"/>
    <w:rsid w:val="00670E71"/>
    <w:rsid w:val="00682EEC"/>
    <w:rsid w:val="00693B4B"/>
    <w:rsid w:val="006B59F8"/>
    <w:rsid w:val="006B7FCD"/>
    <w:rsid w:val="006D7EDB"/>
    <w:rsid w:val="006F1817"/>
    <w:rsid w:val="00783AE0"/>
    <w:rsid w:val="007919DC"/>
    <w:rsid w:val="00796958"/>
    <w:rsid w:val="007A59A4"/>
    <w:rsid w:val="00817667"/>
    <w:rsid w:val="00831706"/>
    <w:rsid w:val="00842095"/>
    <w:rsid w:val="0086246E"/>
    <w:rsid w:val="00870B47"/>
    <w:rsid w:val="0087332F"/>
    <w:rsid w:val="008778C7"/>
    <w:rsid w:val="008804DA"/>
    <w:rsid w:val="00895E14"/>
    <w:rsid w:val="008C27FB"/>
    <w:rsid w:val="008F51AF"/>
    <w:rsid w:val="009162F0"/>
    <w:rsid w:val="00921518"/>
    <w:rsid w:val="00923BCB"/>
    <w:rsid w:val="00931085"/>
    <w:rsid w:val="009338BD"/>
    <w:rsid w:val="009533D9"/>
    <w:rsid w:val="009B7D5B"/>
    <w:rsid w:val="009C01B3"/>
    <w:rsid w:val="009D2FA8"/>
    <w:rsid w:val="009F4246"/>
    <w:rsid w:val="00A1586E"/>
    <w:rsid w:val="00A33885"/>
    <w:rsid w:val="00A426EE"/>
    <w:rsid w:val="00A56575"/>
    <w:rsid w:val="00A56AF3"/>
    <w:rsid w:val="00A576A1"/>
    <w:rsid w:val="00A6023C"/>
    <w:rsid w:val="00A60B07"/>
    <w:rsid w:val="00A6177C"/>
    <w:rsid w:val="00A85C35"/>
    <w:rsid w:val="00A95DE2"/>
    <w:rsid w:val="00AA6CDC"/>
    <w:rsid w:val="00AA77AE"/>
    <w:rsid w:val="00AB4181"/>
    <w:rsid w:val="00AC016C"/>
    <w:rsid w:val="00AC18B5"/>
    <w:rsid w:val="00AC5D18"/>
    <w:rsid w:val="00AE3572"/>
    <w:rsid w:val="00AF0FEF"/>
    <w:rsid w:val="00B03060"/>
    <w:rsid w:val="00B15B31"/>
    <w:rsid w:val="00B36F5A"/>
    <w:rsid w:val="00B51AA7"/>
    <w:rsid w:val="00B752CE"/>
    <w:rsid w:val="00B80E5F"/>
    <w:rsid w:val="00B91A04"/>
    <w:rsid w:val="00B92F5A"/>
    <w:rsid w:val="00B94D55"/>
    <w:rsid w:val="00BA0C6A"/>
    <w:rsid w:val="00BA138D"/>
    <w:rsid w:val="00BC4A15"/>
    <w:rsid w:val="00BC6B5F"/>
    <w:rsid w:val="00BE69F2"/>
    <w:rsid w:val="00C000C4"/>
    <w:rsid w:val="00C03AC6"/>
    <w:rsid w:val="00C331DC"/>
    <w:rsid w:val="00C41251"/>
    <w:rsid w:val="00C56584"/>
    <w:rsid w:val="00C608DC"/>
    <w:rsid w:val="00CA3272"/>
    <w:rsid w:val="00CA4BEE"/>
    <w:rsid w:val="00CA782D"/>
    <w:rsid w:val="00CA7C47"/>
    <w:rsid w:val="00CC603F"/>
    <w:rsid w:val="00CC7D6E"/>
    <w:rsid w:val="00D02E46"/>
    <w:rsid w:val="00D25BC8"/>
    <w:rsid w:val="00D36BC0"/>
    <w:rsid w:val="00D522CB"/>
    <w:rsid w:val="00D60413"/>
    <w:rsid w:val="00D8256E"/>
    <w:rsid w:val="00DA699E"/>
    <w:rsid w:val="00DB7FCA"/>
    <w:rsid w:val="00DC02C9"/>
    <w:rsid w:val="00DC541A"/>
    <w:rsid w:val="00DC7B68"/>
    <w:rsid w:val="00DD2E51"/>
    <w:rsid w:val="00DE2524"/>
    <w:rsid w:val="00E13390"/>
    <w:rsid w:val="00E149EB"/>
    <w:rsid w:val="00E15C3C"/>
    <w:rsid w:val="00E20E2A"/>
    <w:rsid w:val="00E22D93"/>
    <w:rsid w:val="00E23472"/>
    <w:rsid w:val="00E27668"/>
    <w:rsid w:val="00E329C8"/>
    <w:rsid w:val="00E607BA"/>
    <w:rsid w:val="00E7003C"/>
    <w:rsid w:val="00E86AFB"/>
    <w:rsid w:val="00E930DE"/>
    <w:rsid w:val="00EA1038"/>
    <w:rsid w:val="00EA185D"/>
    <w:rsid w:val="00EB09D7"/>
    <w:rsid w:val="00EC65BF"/>
    <w:rsid w:val="00ED1756"/>
    <w:rsid w:val="00ED403D"/>
    <w:rsid w:val="00EE113D"/>
    <w:rsid w:val="00F05380"/>
    <w:rsid w:val="00F06E9B"/>
    <w:rsid w:val="00F2051A"/>
    <w:rsid w:val="00F2063B"/>
    <w:rsid w:val="00F33449"/>
    <w:rsid w:val="00F47C4F"/>
    <w:rsid w:val="00F52050"/>
    <w:rsid w:val="00F53496"/>
    <w:rsid w:val="00F613E7"/>
    <w:rsid w:val="00FA00E7"/>
    <w:rsid w:val="00FA2438"/>
    <w:rsid w:val="00FB2D23"/>
    <w:rsid w:val="00FB7C82"/>
    <w:rsid w:val="00FC46BE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A426E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20E2A"/>
    <w:pPr>
      <w:jc w:val="both"/>
    </w:pPr>
    <w:rPr>
      <w:rFonts w:cs="Arial"/>
      <w:b/>
      <w:bCs/>
      <w:i/>
      <w:iCs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0E2A"/>
    <w:rPr>
      <w:rFonts w:ascii="Arial" w:hAnsi="Arial" w:cs="Arial"/>
      <w:b/>
      <w:bCs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prochazka6465</cp:lastModifiedBy>
  <cp:revision>2</cp:revision>
  <cp:lastPrinted>2016-03-07T13:57:00Z</cp:lastPrinted>
  <dcterms:created xsi:type="dcterms:W3CDTF">2016-03-09T07:23:00Z</dcterms:created>
  <dcterms:modified xsi:type="dcterms:W3CDTF">2016-03-09T07:23:00Z</dcterms:modified>
</cp:coreProperties>
</file>