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7569" w:rsidRDefault="0057359D" w:rsidP="00E42E00">
      <w:pPr>
        <w:pStyle w:val="Datum"/>
      </w:pPr>
      <w:r>
        <w:t>6. 11. 2015</w:t>
      </w:r>
    </w:p>
    <w:p w:rsidR="00867569" w:rsidRPr="00A56C80" w:rsidRDefault="00F5012F" w:rsidP="00A56C80">
      <w:pPr>
        <w:pStyle w:val="Nzev"/>
      </w:pPr>
      <w:r>
        <w:t>Analýza bytové výstavby v roce 2014</w:t>
      </w:r>
    </w:p>
    <w:p w:rsidR="00F5012F" w:rsidRDefault="00F5012F" w:rsidP="00F5012F">
      <w:pPr>
        <w:pStyle w:val="Nadpis3"/>
        <w:spacing w:before="0"/>
        <w:jc w:val="both"/>
      </w:pPr>
      <w:r>
        <w:t>V roce 2014 byla zahájena výstavba 24 351 bytů. Oproti roku 2013 došlo k nárůstu zahájené výstavby o 10,1 % a největší podíl na tomto růstu měly zahájené byty v bytových domech. Dokončeno bylo 23 954 nových bytů</w:t>
      </w:r>
      <w:r w:rsidR="0057359D">
        <w:t>,</w:t>
      </w:r>
      <w:r>
        <w:t xml:space="preserve"> n</w:t>
      </w:r>
      <w:r w:rsidR="0057359D">
        <w:t>ejvíce</w:t>
      </w:r>
      <w:r>
        <w:t xml:space="preserve"> v rodinných </w:t>
      </w:r>
      <w:r w:rsidR="0057359D">
        <w:t xml:space="preserve">a bytových </w:t>
      </w:r>
      <w:r>
        <w:t>domech</w:t>
      </w:r>
      <w:r w:rsidR="0057359D">
        <w:t>.</w:t>
      </w:r>
    </w:p>
    <w:p w:rsidR="0057359D" w:rsidRPr="0057359D" w:rsidRDefault="0057359D" w:rsidP="0057359D"/>
    <w:p w:rsidR="00F5012F" w:rsidRDefault="00F5012F" w:rsidP="00F5012F">
      <w:pPr>
        <w:pStyle w:val="Nadpis3"/>
        <w:spacing w:before="0"/>
      </w:pPr>
      <w:r>
        <w:t>Zahájené byty</w:t>
      </w:r>
    </w:p>
    <w:p w:rsidR="00F5012F" w:rsidRDefault="00F5012F" w:rsidP="00F5012F">
      <w:pPr>
        <w:rPr>
          <w:rFonts w:cs="Arial"/>
        </w:rPr>
      </w:pPr>
      <w:r>
        <w:t xml:space="preserve">V roce 2014 byla </w:t>
      </w:r>
      <w:r>
        <w:rPr>
          <w:b/>
          <w:bCs/>
        </w:rPr>
        <w:t>zahájena</w:t>
      </w:r>
      <w:r>
        <w:t xml:space="preserve"> výstavba 24 351 bytů. Tradičně nejvíce bytů bylo zahájeno v rodinných domech, a to 12 440, což je více jak polovina všech nově zahájených bytů.</w:t>
      </w:r>
      <w:r>
        <w:rPr>
          <w:color w:val="FF0000"/>
        </w:rPr>
        <w:t xml:space="preserve"> </w:t>
      </w:r>
      <w:r>
        <w:t>Následují byty v domech bytových, kde bylo zahájeno 6 657 bytů. Naopak nejméně bylo zahájeno bytů formou úprav stávajících nebytových prostor (371 bytů) a také v domovech-penzionech a domovech pro seniory, kde byla zahájena výstavba 726 nových bytů.</w:t>
      </w:r>
    </w:p>
    <w:p w:rsidR="00F5012F" w:rsidRDefault="00F5012F" w:rsidP="00F5012F"/>
    <w:p w:rsidR="00F5012F" w:rsidRDefault="00F5012F" w:rsidP="00F5012F">
      <w:r>
        <w:t>Oproti roku 2013 došlo k nárůstu zahájené výstavby o 10,1 % (2 243 bytů). Největší podíl na tomto růstu měly zahájené byty v bytových domech,  kde byl nárůst téměř 40%. U domů v rodinných domech byl mírný pokles o 0,4 %. Pokles nastal také u nových bytů získaných stavebními úpravami nebytových prostor a u nástaveb, přístaveb a vestaveb k rodinným domům. Ve všech ostatních kategoriích došlo k meziročnímu růstu.</w:t>
      </w:r>
    </w:p>
    <w:p w:rsidR="00F5012F" w:rsidRDefault="005A7433" w:rsidP="00F5012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25pt;height:300.75pt">
            <v:imagedata r:id="rId7" o:title="mapa zahájené_kraje"/>
          </v:shape>
        </w:pict>
      </w:r>
    </w:p>
    <w:p w:rsidR="00F5012F" w:rsidRDefault="00F5012F" w:rsidP="00F5012F">
      <w:r>
        <w:lastRenderedPageBreak/>
        <w:t>Z regionálního hlediska bylo nejvíce nových bytů zahájeno v Hlavním městě Praze (4 481), následuje Středočeský kraj (4 239) a kraj Jihomoravský (3 650). Naopak nejméně bytů bylo zahájeno v Karlovarském kraji (638), Libereckém kraji (749) a Kraji Vysočina (859). Ve většině krajů představují nové byty zahájené v rodinných domech více jak 50 % všech bytů. Výjimkou je Praha, kde již tradičně převažují byty zahájené v bytových domech (80,9 %)</w:t>
      </w:r>
      <w:r w:rsidR="000E6080">
        <w:t>,</w:t>
      </w:r>
      <w:r>
        <w:t xml:space="preserve"> a také Jihomoravský a Karlovarský kraj, kde v roce 2014 představovaly nové byty v rodinných domech 44,0 %, respektive 46,1 %.</w:t>
      </w:r>
    </w:p>
    <w:p w:rsidR="00F5012F" w:rsidRDefault="00F5012F" w:rsidP="00F5012F"/>
    <w:p w:rsidR="00F5012F" w:rsidRDefault="00F5012F" w:rsidP="00F5012F">
      <w:pPr>
        <w:pStyle w:val="Zkladntext"/>
        <w:spacing w:line="276" w:lineRule="auto"/>
        <w:jc w:val="both"/>
        <w:rPr>
          <w:b/>
          <w:bCs/>
          <w:sz w:val="20"/>
        </w:rPr>
      </w:pPr>
      <w:r>
        <w:rPr>
          <w:b/>
          <w:bCs/>
          <w:sz w:val="20"/>
        </w:rPr>
        <w:t>Dokončené byty</w:t>
      </w:r>
    </w:p>
    <w:p w:rsidR="00F5012F" w:rsidRDefault="00F5012F" w:rsidP="00F5012F">
      <w:pPr>
        <w:pStyle w:val="Zkladntext"/>
        <w:spacing w:line="276" w:lineRule="auto"/>
        <w:jc w:val="both"/>
        <w:rPr>
          <w:sz w:val="20"/>
        </w:rPr>
      </w:pPr>
      <w:r>
        <w:rPr>
          <w:sz w:val="20"/>
        </w:rPr>
        <w:t xml:space="preserve">V roce 2014 bylo </w:t>
      </w:r>
      <w:r>
        <w:rPr>
          <w:b/>
          <w:bCs/>
          <w:sz w:val="20"/>
        </w:rPr>
        <w:t>dokončeno</w:t>
      </w:r>
      <w:r>
        <w:rPr>
          <w:sz w:val="20"/>
        </w:rPr>
        <w:t xml:space="preserve"> 23 954 nových bytů. Nejvíce bytů bylo dokončeno v rodinných domech (13 992 bytů) a v bytových domech (6 422 bytů). Nejméně nových bytů bylo dokončeno v domovech-penzionech a domovech pro seniory (273 bytů). V porovnání s rokem 2013 počet dokončených bytů klesl o 5,1 % (-1 284 bytů). K poklesu došlo u dokončených bytů v rodinných domech o 9,5 %, u bytů v domech bytových byl naopak nárůst o 6,2 %. Též se zvýšil počet dokončených bytů v nebytových budovách a bytů získaných stavebními úpravami nebytových prostor. Ostatní kategorie hlásí meziroční pokles.</w:t>
      </w:r>
    </w:p>
    <w:p w:rsidR="00A14328" w:rsidRDefault="00A14328" w:rsidP="00A14328"/>
    <w:p w:rsidR="00F5012F" w:rsidRDefault="00F5012F" w:rsidP="00A14328">
      <w:r>
        <w:t xml:space="preserve">Bylo dokončeno 13 510 rodinných domů a 209 domů bytových. Nové byty vznikly také v 17 nově dokončených budovách domovů-penzionů a domovů pro seniory, 1 484 stávajících bytových budovách a v 240 nebytových budovách. Na jeden nově dokončený bytový dům připadlo v průměru 30,7 nových bytů, u rodinných domů to byl 1 byt. Nové rodinné domy měly v průměru 1,8 podlaží, domy bytové 5,0. </w:t>
      </w:r>
    </w:p>
    <w:p w:rsidR="00F5012F" w:rsidRDefault="000E6080" w:rsidP="00F5012F">
      <w:r>
        <w:pict>
          <v:shape id="_x0000_i1026" type="#_x0000_t75" style="width:425.25pt;height:300.75pt">
            <v:imagedata r:id="rId8" o:title="mapa dokončené_kraje"/>
          </v:shape>
        </w:pict>
      </w:r>
    </w:p>
    <w:p w:rsidR="00F5012F" w:rsidRDefault="00F5012F" w:rsidP="00F5012F">
      <w:r>
        <w:lastRenderedPageBreak/>
        <w:t>Při regionálním porovnání se nejvíce bytů dokončilo Praze (4 848), dále pak ve Středočeském (4 226) a v Jihomoravském kraji (3 242). Nejméně bytů bylo dokončeno v Karlovarském kraji (326), Libereckém kraji (681) a Ústeckém kraji (743). Obdobně jako u zahájené výstavby i u dokončených bytů převažovaly ve všech krajích s výjimkou Prahy byty dokončené v rodinných domech. Ve všech těchto krajích představoval podíl bytů v rodinných domech více jak 50 % ze všech dokončených bytů, v jedenácti krajích dokonce více jak 60 %. Nejvyšší byl tento podíl ve Středočeském a Ústeckém kraji, kde byty v rodinných domech představovaly 81,9 %, respektive 81,6 % všech dokončených bytů. Naopak v Praze již tradičně převládala výstavba bytových domů, kde bylo dokončeno 80,3 % všech nových bytů dokončených v hlavním městě.</w:t>
      </w:r>
    </w:p>
    <w:p w:rsidR="00F5012F" w:rsidRDefault="00F5012F" w:rsidP="00F5012F"/>
    <w:p w:rsidR="00F5012F" w:rsidRDefault="00F5012F" w:rsidP="00F5012F">
      <w:r>
        <w:t>Pokud se zaměříme na nižší územní celky, okresy a v Praze na městské části, tak nejvíce bytů bylo dokončeno v okresech Praha-východ, Brno-město a Brno-venkov. Více jak 600 nových bytů se dokončilo ještě v okresech Olomouc, České Budějovice, Praha-západ a v hlavním městě to bylo v Praze 15. Nejméně bytů bylo dokončeno v okresech Sokolov, Písek a Most. Ve většině ze 77 okresů měly byty dokončené v rodinných domech více jak 50% podíl na celkovém počtu dokončených bytů. Jinak to bylo pouze ve čtyřech okresech a Praze. Nejmenší podíl rodinných domů byl, stejně jako v předešlých letech, v okrese Brno-město a také v okrese Jeseník. Žádný rodinný dům nebyl hlášen ve čtyřech městských částech Prahy. V 29 okresech a pěti pražských městských částech nebyl dokončen žádný byt v bytovém domě. Nadpoloviční většinu měly tyto byty jen v Praze (ve 14 městských částech z 22) ve dvou okresech, a to v okresech Brno-město a Plzeň-město.</w:t>
      </w:r>
    </w:p>
    <w:p w:rsidR="00F5012F" w:rsidRDefault="000E6080" w:rsidP="00F5012F">
      <w:pPr>
        <w:pStyle w:val="Zkladntextodsazen3"/>
        <w:spacing w:before="0" w:line="276" w:lineRule="auto"/>
        <w:ind w:firstLine="0"/>
        <w:rPr>
          <w:b/>
          <w:bCs/>
        </w:rPr>
      </w:pPr>
      <w:r w:rsidRPr="005A7433">
        <w:rPr>
          <w:b/>
          <w:bCs/>
        </w:rPr>
        <w:pict>
          <v:shape id="_x0000_i1027" type="#_x0000_t75" style="width:424.5pt;height:290.25pt">
            <v:imagedata r:id="rId9" o:title="dokončené RD_ORP_2014"/>
          </v:shape>
        </w:pict>
      </w:r>
    </w:p>
    <w:p w:rsidR="00A14328" w:rsidRDefault="000E6080" w:rsidP="00F5012F">
      <w:pPr>
        <w:pStyle w:val="Zkladntextodsazen3"/>
        <w:spacing w:before="0" w:line="276" w:lineRule="auto"/>
        <w:ind w:firstLine="0"/>
        <w:rPr>
          <w:b/>
          <w:bCs/>
        </w:rPr>
      </w:pPr>
      <w:r w:rsidRPr="005A7433">
        <w:rPr>
          <w:b/>
          <w:bCs/>
        </w:rPr>
        <w:lastRenderedPageBreak/>
        <w:pict>
          <v:shape id="_x0000_i1028" type="#_x0000_t75" style="width:426pt;height:283.5pt">
            <v:imagedata r:id="rId10" o:title="dokončené BD_ORP_2014"/>
          </v:shape>
        </w:pict>
      </w:r>
    </w:p>
    <w:p w:rsidR="00A14328" w:rsidRDefault="00A14328" w:rsidP="00F5012F">
      <w:pPr>
        <w:pStyle w:val="Zkladntextodsazen3"/>
        <w:spacing w:before="0" w:line="276" w:lineRule="auto"/>
        <w:ind w:firstLine="0"/>
        <w:rPr>
          <w:b/>
          <w:bCs/>
        </w:rPr>
      </w:pPr>
    </w:p>
    <w:p w:rsidR="00F5012F" w:rsidRDefault="00F5012F" w:rsidP="00F5012F">
      <w:pPr>
        <w:pStyle w:val="Zkladntextodsazen3"/>
        <w:spacing w:before="0" w:line="276" w:lineRule="auto"/>
        <w:ind w:firstLine="0"/>
        <w:rPr>
          <w:b/>
          <w:bCs/>
        </w:rPr>
      </w:pPr>
      <w:r>
        <w:rPr>
          <w:b/>
          <w:bCs/>
        </w:rPr>
        <w:t>Typy bytů (velikost obytné plochy a počet pokojů)</w:t>
      </w:r>
    </w:p>
    <w:p w:rsidR="00F5012F" w:rsidRDefault="00F5012F" w:rsidP="00F5012F">
      <w:r>
        <w:t xml:space="preserve">Z prostorových ukazatelů, které zjišťujeme, jsou pro porovnání velikosti bytů nejvýznamnější </w:t>
      </w:r>
      <w:r>
        <w:rPr>
          <w:b/>
          <w:bCs/>
        </w:rPr>
        <w:t>obytná a užitková plocha bytu</w:t>
      </w:r>
      <w:r>
        <w:t>. V roce 2014 byla průměrná obytná plocha jednoho dokončeného bytu 75,3 m</w:t>
      </w:r>
      <w:r>
        <w:rPr>
          <w:vertAlign w:val="superscript"/>
        </w:rPr>
        <w:t>2</w:t>
      </w:r>
      <w:r>
        <w:t>, v porovnání s rokem 2013 klesla o 2,6 %, průměrná užitková plocha byla 109,4 m</w:t>
      </w:r>
      <w:r>
        <w:rPr>
          <w:vertAlign w:val="superscript"/>
        </w:rPr>
        <w:t xml:space="preserve">2 </w:t>
      </w:r>
      <w:r>
        <w:t>a v meziročním srovnání poklesla o 2,0 %. Značné rozdíly jsou i u jednotlivých typů staveb.</w:t>
      </w:r>
      <w:r>
        <w:rPr>
          <w:color w:val="FF0000"/>
        </w:rPr>
        <w:t xml:space="preserve"> </w:t>
      </w:r>
      <w:r>
        <w:t>Zatímco nové byty v rodinných domech měly průměrnou obytnou plochu 92,8 m</w:t>
      </w:r>
      <w:r>
        <w:rPr>
          <w:vertAlign w:val="superscript"/>
        </w:rPr>
        <w:t>2</w:t>
      </w:r>
      <w:r>
        <w:t xml:space="preserve"> a průměrnou užitkovou plochu 138,3 m</w:t>
      </w:r>
      <w:r>
        <w:rPr>
          <w:vertAlign w:val="superscript"/>
        </w:rPr>
        <w:t>2</w:t>
      </w:r>
      <w:r>
        <w:t>, nové byty v bytových domech byly o necelou polovinu menší a průměrná obytná plocha jednoho bytu byla 49,3 m</w:t>
      </w:r>
      <w:r>
        <w:rPr>
          <w:vertAlign w:val="superscript"/>
        </w:rPr>
        <w:t>2</w:t>
      </w:r>
      <w:r>
        <w:t>, užitková plocha 64,2 m</w:t>
      </w:r>
      <w:r>
        <w:rPr>
          <w:vertAlign w:val="superscript"/>
        </w:rPr>
        <w:t>2</w:t>
      </w:r>
      <w:r>
        <w:t>. Nejmenší byty se již tradičně stavěly v domovech-penzionech a domovech pro seniory, kde obytná plocha jednoho bytu v roce 2014 byla 26,2</w:t>
      </w:r>
      <w:r>
        <w:rPr>
          <w:vertAlign w:val="superscript"/>
        </w:rPr>
        <w:t> </w:t>
      </w:r>
      <w:r>
        <w:t>m</w:t>
      </w:r>
      <w:r>
        <w:rPr>
          <w:vertAlign w:val="superscript"/>
        </w:rPr>
        <w:t xml:space="preserve">2 </w:t>
      </w:r>
      <w:r>
        <w:t>a užitková plocha 43,5 m</w:t>
      </w:r>
      <w:r>
        <w:rPr>
          <w:vertAlign w:val="superscript"/>
        </w:rPr>
        <w:t>2</w:t>
      </w:r>
      <w:r>
        <w:t>.</w:t>
      </w:r>
    </w:p>
    <w:p w:rsidR="00F5012F" w:rsidRDefault="00F5012F" w:rsidP="00F5012F"/>
    <w:p w:rsidR="00F5012F" w:rsidRDefault="00F5012F" w:rsidP="00F5012F">
      <w:r>
        <w:t xml:space="preserve">Dalším ze sledovaných ukazatelů je </w:t>
      </w:r>
      <w:r>
        <w:rPr>
          <w:b/>
          <w:bCs/>
        </w:rPr>
        <w:t>typ bytu</w:t>
      </w:r>
      <w:r>
        <w:t>. Celkově nejvíce se v roce 2014 dokončilo čtyřpokojových (28,1 %) a pětipokojových bytů (23,2 %). Naopak nejmenší byty</w:t>
      </w:r>
      <w:r w:rsidR="000E6080">
        <w:t xml:space="preserve"> (</w:t>
      </w:r>
      <w:r>
        <w:t>garsoniéry a jednopokojové</w:t>
      </w:r>
      <w:r w:rsidR="000E6080">
        <w:t>)</w:t>
      </w:r>
      <w:r>
        <w:t xml:space="preserve"> nepředstavují ani 15 % z celkového počtu dokončených bytů.</w:t>
      </w:r>
      <w:r>
        <w:rPr>
          <w:color w:val="FF0000"/>
        </w:rPr>
        <w:t xml:space="preserve"> </w:t>
      </w:r>
      <w:r>
        <w:t xml:space="preserve">Typ bytu se však liší v závislosti na charakteru stavby. U rodinných domů převládají byty se </w:t>
      </w:r>
      <w:r w:rsidR="000E6080">
        <w:t>čtyřmi</w:t>
      </w:r>
      <w:r>
        <w:t xml:space="preserve"> a více pokoji. Ty představují více jak 80 % všech nových bytů dokončených v rodinných domech. U bytových domů je poměr opačný a převládají spíše menší byty. Nejvíce dvoupokojové (33,6 %) a třípokojové (22,9 %).</w:t>
      </w:r>
      <w:r>
        <w:rPr>
          <w:color w:val="FF0000"/>
        </w:rPr>
        <w:t xml:space="preserve"> </w:t>
      </w:r>
      <w:r>
        <w:t xml:space="preserve">Obdobné to je i u nástaveb, přístaveb a vestaveb, kde </w:t>
      </w:r>
      <w:proofErr w:type="spellStart"/>
      <w:r>
        <w:t>pokojovost</w:t>
      </w:r>
      <w:proofErr w:type="spellEnd"/>
      <w:r>
        <w:t xml:space="preserve"> souvisí s druhem domu. U takovýchto bytů v rodinných domech byla však dávána přednost třípokojovým a čtyřpokojovým bytům, pětipokojový byl jen každý desátý. Výrazně odlišné jsou nové byty v  domovech-penzionech a domovech pro seniory, kde téměř 80 % bytů tvoří garsoniéry a jednopokojové byty</w:t>
      </w:r>
      <w:r w:rsidRPr="00CB72F5">
        <w:t>.</w:t>
      </w:r>
      <w:r>
        <w:t xml:space="preserve"> Tří</w:t>
      </w:r>
      <w:r w:rsidR="000E6080">
        <w:t>-</w:t>
      </w:r>
      <w:r>
        <w:t xml:space="preserve"> a </w:t>
      </w:r>
      <w:r w:rsidRPr="00CB72F5">
        <w:t>vícepokojové</w:t>
      </w:r>
      <w:r>
        <w:t xml:space="preserve"> byty v této kategorii nepředstavují ani </w:t>
      </w:r>
      <w:r>
        <w:lastRenderedPageBreak/>
        <w:t>2,5 %. U nových bytů získaných stavebními úpravami nebytových prostor převládly dvou</w:t>
      </w:r>
      <w:r w:rsidR="000E6080">
        <w:t>-</w:t>
      </w:r>
      <w:r>
        <w:t xml:space="preserve"> a třípokojové byty, stejně tak i u bytů získaných stavebními úpravami nebytových prostor. </w:t>
      </w:r>
    </w:p>
    <w:p w:rsidR="00F5012F" w:rsidRDefault="00F5012F" w:rsidP="00F5012F"/>
    <w:p w:rsidR="00F5012F" w:rsidRDefault="00F5012F" w:rsidP="00F5012F">
      <w:pPr>
        <w:rPr>
          <w:b/>
        </w:rPr>
      </w:pPr>
      <w:r w:rsidRPr="00F5012F">
        <w:rPr>
          <w:b/>
        </w:rPr>
        <w:t>Dokončené byty v roce 2014 podle velikosti</w:t>
      </w:r>
    </w:p>
    <w:p w:rsidR="00F5012F" w:rsidRPr="00F5012F" w:rsidRDefault="005A7433" w:rsidP="00F5012F">
      <w:pPr>
        <w:rPr>
          <w:b/>
        </w:rPr>
      </w:pPr>
      <w:r>
        <w:pict>
          <v:shape id="_x0000_i1029" type="#_x0000_t75" style="width:424.5pt;height:261.75pt">
            <v:imagedata r:id="rId11" o:title=""/>
          </v:shape>
        </w:pict>
      </w:r>
    </w:p>
    <w:p w:rsidR="00F5012F" w:rsidRDefault="00F5012F" w:rsidP="00F5012F"/>
    <w:p w:rsidR="00F5012F" w:rsidRDefault="00F5012F" w:rsidP="00F5012F">
      <w:pPr>
        <w:rPr>
          <w:szCs w:val="15"/>
        </w:rPr>
      </w:pPr>
      <w:r>
        <w:rPr>
          <w:b/>
          <w:bCs/>
        </w:rPr>
        <w:t>Technická vybavenost</w:t>
      </w:r>
      <w:r>
        <w:rPr>
          <w:bCs/>
          <w:vertAlign w:val="superscript"/>
        </w:rPr>
        <w:t xml:space="preserve"> </w:t>
      </w:r>
      <w:r>
        <w:rPr>
          <w:bCs/>
        </w:rPr>
        <w:t>nově dokončených</w:t>
      </w:r>
      <w:r>
        <w:rPr>
          <w:bCs/>
          <w:vertAlign w:val="superscript"/>
        </w:rPr>
        <w:t xml:space="preserve"> </w:t>
      </w:r>
      <w:r>
        <w:t xml:space="preserve">bytů se stále zlepšuje. </w:t>
      </w:r>
      <w:r>
        <w:rPr>
          <w:szCs w:val="15"/>
        </w:rPr>
        <w:t xml:space="preserve">Vybavenost elektřinou a dodávkou vody se považuje za 100% a nesleduje se. Ze všech bytů dokončených v roce 2014 jich byla na </w:t>
      </w:r>
      <w:r>
        <w:rPr>
          <w:b/>
          <w:bCs/>
          <w:szCs w:val="15"/>
        </w:rPr>
        <w:t>plynovodní síť</w:t>
      </w:r>
      <w:r>
        <w:rPr>
          <w:szCs w:val="15"/>
        </w:rPr>
        <w:t xml:space="preserve"> zemního plynu připojena polovina, na lokální zásobník plynu pro dokončenou budovu nebo pro obec bylo připojeno 43 bytů, zbývajících 49,5 % dokončených bytů bylo bez přívodu plynu. U rodinných domů nemělo připojení na plyn 52,8 % bytů, u bytů v bytových domech nebylo připojeno 53,9 % bytů. Na </w:t>
      </w:r>
      <w:r>
        <w:rPr>
          <w:b/>
          <w:bCs/>
          <w:szCs w:val="15"/>
        </w:rPr>
        <w:t>kanalizační síť</w:t>
      </w:r>
      <w:r>
        <w:rPr>
          <w:szCs w:val="15"/>
        </w:rPr>
        <w:t xml:space="preserve"> byly napojeny více jak 3/4 všech nových bytů, v rodinných domech to bylo 66,4 %, v domech bytových naprostá většina nově dokončených bytů. Ze všech dokončených bytů byl u 13,4 % odpad napojen na žumpu a vlastní čističku odpadních vod mělo 9,3 % bytů, převážně v rodinných domech. Centrální domovní </w:t>
      </w:r>
      <w:r>
        <w:rPr>
          <w:b/>
          <w:bCs/>
          <w:szCs w:val="15"/>
        </w:rPr>
        <w:t>vytápění</w:t>
      </w:r>
      <w:r>
        <w:rPr>
          <w:szCs w:val="15"/>
        </w:rPr>
        <w:t xml:space="preserve"> mělo 74,3 % všech nových bytů, na centrální dálkové vytápění bylo připojeno 16,4 % bytů, lokální topení mělo 9,3 % bytů a jiným způsobem bude vytápěno pouze šest bytů. Centrální domovní vytápění bylo zvoleno převážně u rodinných domů (v 93,7 %), ale více jak 35 % je též zastoupeno u bytů v bytových domech. V těch je ale převážně využíváno připojení na centrální dálkové vytápění (56,0 %). Lokální vytápění, kdy je kotel nebo jiné topidlo v</w:t>
      </w:r>
      <w:r w:rsidR="000E6080">
        <w:rPr>
          <w:szCs w:val="15"/>
        </w:rPr>
        <w:t> </w:t>
      </w:r>
      <w:r>
        <w:rPr>
          <w:szCs w:val="15"/>
        </w:rPr>
        <w:t>bytě</w:t>
      </w:r>
      <w:r w:rsidR="000E6080">
        <w:rPr>
          <w:szCs w:val="15"/>
        </w:rPr>
        <w:t>,</w:t>
      </w:r>
      <w:r>
        <w:rPr>
          <w:szCs w:val="15"/>
        </w:rPr>
        <w:t xml:space="preserve"> bylo použito pouze u 5,8 % bytů v rodinných domech a u 7,9 % bytů v domech bytových.</w:t>
      </w:r>
    </w:p>
    <w:p w:rsidR="00F5012F" w:rsidRDefault="00F5012F" w:rsidP="00F5012F">
      <w:pPr>
        <w:rPr>
          <w:szCs w:val="15"/>
        </w:rPr>
      </w:pPr>
    </w:p>
    <w:p w:rsidR="00F5012F" w:rsidRDefault="00F5012F" w:rsidP="00F5012F">
      <w:pPr>
        <w:rPr>
          <w:szCs w:val="15"/>
        </w:rPr>
      </w:pPr>
      <w:r>
        <w:t xml:space="preserve">Dalším ze zjišťovaných ukazatelů je </w:t>
      </w:r>
      <w:r>
        <w:rPr>
          <w:b/>
          <w:bCs/>
        </w:rPr>
        <w:t>druh nosné konstrukce</w:t>
      </w:r>
      <w:r>
        <w:t>. U nově dokončených bytů byla nejčastěji využita zděná nosná konstrukce, a to v 75,1 %</w:t>
      </w:r>
      <w:r>
        <w:rPr>
          <w:szCs w:val="15"/>
        </w:rPr>
        <w:t xml:space="preserve">. </w:t>
      </w:r>
      <w:r w:rsidRPr="00762CF6">
        <w:rPr>
          <w:szCs w:val="15"/>
        </w:rPr>
        <w:t>Tento typ konstrukce byl zastoupen nejčastěji u všech forem výstavby</w:t>
      </w:r>
      <w:r>
        <w:rPr>
          <w:szCs w:val="15"/>
        </w:rPr>
        <w:t xml:space="preserve"> s výjimkou bytů v nových bytových domech</w:t>
      </w:r>
      <w:r w:rsidRPr="00762CF6">
        <w:rPr>
          <w:szCs w:val="15"/>
        </w:rPr>
        <w:t>. Byla</w:t>
      </w:r>
      <w:r>
        <w:rPr>
          <w:szCs w:val="15"/>
        </w:rPr>
        <w:t xml:space="preserve"> použita na </w:t>
      </w:r>
      <w:r>
        <w:rPr>
          <w:szCs w:val="15"/>
        </w:rPr>
        <w:lastRenderedPageBreak/>
        <w:t>výstavbu 85,5 % rodinných domů a 44,9 % bytových domů. U těch převládá jiný materiál nosných konstrukcí nebo kombinace. Podíl počtu bytů s montovanou konstrukcí byl 2,7 % a podíl dřevěných nosných konstrukcí 5,8 %. Takovéto konstrukce se využívaly převážně v rodinných domech, byla použita u 9,3 % nově dokončených rodinných domů. Jiné materiály nebo kombinace materiálů byly použity na nosnou konstrukci při stavbě 16,4 % dokončených bytů, na nárůstu se nejvíce podílely již zmiňované byty v bytových domech.</w:t>
      </w:r>
    </w:p>
    <w:p w:rsidR="00F5012F" w:rsidRDefault="00F5012F" w:rsidP="00F5012F">
      <w:pPr>
        <w:rPr>
          <w:szCs w:val="15"/>
        </w:rPr>
      </w:pPr>
    </w:p>
    <w:p w:rsidR="00F5012F" w:rsidRPr="00E975DE" w:rsidRDefault="00F5012F" w:rsidP="00F5012F">
      <w:pPr>
        <w:rPr>
          <w:bCs/>
        </w:rPr>
      </w:pPr>
      <w:r w:rsidRPr="00190B7B">
        <w:t xml:space="preserve">U nových rodinných a bytových domů máme k dispozici též údaje o </w:t>
      </w:r>
      <w:r w:rsidRPr="00E975DE">
        <w:rPr>
          <w:b/>
        </w:rPr>
        <w:t>zastavěné ploše</w:t>
      </w:r>
      <w:r>
        <w:t xml:space="preserve"> a </w:t>
      </w:r>
      <w:r w:rsidRPr="00E975DE">
        <w:rPr>
          <w:b/>
        </w:rPr>
        <w:t>obestavěném prostoru</w:t>
      </w:r>
      <w:r w:rsidRPr="00190B7B">
        <w:t xml:space="preserve">. V porovnání s rokem 2013 </w:t>
      </w:r>
      <w:r>
        <w:t>vzrostla</w:t>
      </w:r>
      <w:r w:rsidRPr="00190B7B">
        <w:t xml:space="preserve"> průměrná </w:t>
      </w:r>
      <w:r w:rsidRPr="00190B7B">
        <w:rPr>
          <w:bCs/>
        </w:rPr>
        <w:t>zastavěná plocha</w:t>
      </w:r>
      <w:r>
        <w:rPr>
          <w:bCs/>
        </w:rPr>
        <w:t xml:space="preserve"> i průměrný obestavěný prostor</w:t>
      </w:r>
      <w:r w:rsidRPr="00190B7B">
        <w:rPr>
          <w:bCs/>
        </w:rPr>
        <w:t>, a to jak u r</w:t>
      </w:r>
      <w:r>
        <w:rPr>
          <w:bCs/>
        </w:rPr>
        <w:t>odinných, tak i bytových domů. U rodinných domů byla v roce 2014 zastavěná plocha jednoho domu v </w:t>
      </w:r>
      <w:r w:rsidRPr="00E975DE">
        <w:rPr>
          <w:bCs/>
        </w:rPr>
        <w:t xml:space="preserve">průměru 140,1 </w:t>
      </w:r>
      <w:r w:rsidRPr="00E975DE">
        <w:t>m</w:t>
      </w:r>
      <w:r w:rsidRPr="00E975DE">
        <w:rPr>
          <w:vertAlign w:val="superscript"/>
        </w:rPr>
        <w:t xml:space="preserve">2 </w:t>
      </w:r>
      <w:r w:rsidRPr="00E975DE">
        <w:t xml:space="preserve">a oproti roku 2013 vzrostla o 0,8 </w:t>
      </w:r>
      <w:r w:rsidRPr="00E975DE">
        <w:rPr>
          <w:bCs/>
        </w:rPr>
        <w:t xml:space="preserve">%. </w:t>
      </w:r>
      <w:r w:rsidRPr="00E975DE">
        <w:t xml:space="preserve">Průměrná </w:t>
      </w:r>
      <w:r w:rsidRPr="00E975DE">
        <w:rPr>
          <w:bCs/>
        </w:rPr>
        <w:t>kubatura</w:t>
      </w:r>
      <w:r w:rsidRPr="00E975DE">
        <w:t xml:space="preserve"> rodinného domu byla 757 m</w:t>
      </w:r>
      <w:r w:rsidRPr="00E975DE">
        <w:rPr>
          <w:vertAlign w:val="superscript"/>
        </w:rPr>
        <w:t>3</w:t>
      </w:r>
      <w:r w:rsidRPr="00E975DE">
        <w:t>, v meziroční</w:t>
      </w:r>
      <w:r>
        <w:t>m</w:t>
      </w:r>
      <w:r w:rsidRPr="00E975DE">
        <w:t xml:space="preserve"> srovnání o 0,1 % vyšší. U nově dokončených bytových domů došlo u průměrné zastavěné plochy jednoho domu k nárůstu o 14,4 % na hodnotu 738,7 m</w:t>
      </w:r>
      <w:r w:rsidRPr="00E975DE">
        <w:rPr>
          <w:vertAlign w:val="superscript"/>
        </w:rPr>
        <w:t>2</w:t>
      </w:r>
      <w:r>
        <w:t>, u průměrné kuba</w:t>
      </w:r>
      <w:r w:rsidRPr="00E975DE">
        <w:t>tury byl nárůst 18,1 % a jeden dům měl v průměru 10 883 m</w:t>
      </w:r>
      <w:r w:rsidRPr="00E975DE">
        <w:rPr>
          <w:vertAlign w:val="superscript"/>
        </w:rPr>
        <w:t>3</w:t>
      </w:r>
      <w:r w:rsidRPr="00E975DE">
        <w:t>.</w:t>
      </w:r>
    </w:p>
    <w:p w:rsidR="00F5012F" w:rsidRDefault="00F5012F" w:rsidP="00F5012F">
      <w:pPr>
        <w:rPr>
          <w:bCs/>
        </w:rPr>
      </w:pPr>
    </w:p>
    <w:p w:rsidR="00F5012F" w:rsidRDefault="00F5012F" w:rsidP="00F5012F">
      <w:r>
        <w:t>Průměrná</w:t>
      </w:r>
      <w:r>
        <w:rPr>
          <w:b/>
          <w:bCs/>
        </w:rPr>
        <w:t xml:space="preserve"> doba výstavby</w:t>
      </w:r>
      <w:r>
        <w:t xml:space="preserve"> jedné dokončené budovy v roce 2014 byla 44 měsíců. Jeden rodinný dům se stavěl v průměru 42,8 měsíců, výstavba jednoho bytového domu trvala průměrně o rok méně, a to 29,9 měsíců. Nejdéle trvala výstavba nástaveb, přístaveb a vestaveb k rodinným domům, v průměru téměř 5,5 let.</w:t>
      </w:r>
    </w:p>
    <w:p w:rsidR="00F5012F" w:rsidRDefault="00F5012F" w:rsidP="00F5012F"/>
    <w:p w:rsidR="00F5012F" w:rsidRDefault="00F5012F" w:rsidP="00F5012F">
      <w:r>
        <w:t xml:space="preserve">Dalším z ukazatelů, který charakterizuje dokončenou výstavbu, je </w:t>
      </w:r>
      <w:r>
        <w:rPr>
          <w:b/>
        </w:rPr>
        <w:t xml:space="preserve">hodnota </w:t>
      </w:r>
      <w:r>
        <w:rPr>
          <w:b/>
          <w:bCs/>
        </w:rPr>
        <w:t xml:space="preserve">investičních nákladů na výstavbu </w:t>
      </w:r>
      <w:r>
        <w:rPr>
          <w:bCs/>
        </w:rPr>
        <w:t>(dále jen hodnota)</w:t>
      </w:r>
      <w:r>
        <w:t>. Celková hodnota všech nově dokončených bytů v České republice dosáhla v roce 2014 hodnoty 62,5 mld. Kč. Tato suma byla ve srovnání s rokem 2013 o 7,9 % nižší. Průměrné náklady připadající na jeden byt v roce 2014 byly 2,6 mil. Kč a v porovnání s rokem 2013 se snížily o 3,0 %. K poklesu došlo u bytů ve všech kategoriích s výjimkou bytů v nástavbách, přístavbách a vestavbách k bytovým domům, kde došlo k meziročnímu nárůstu o 9,8 %. U bytů v novém rodinném domě byla průměrná hodnota bytu 3,3 mil. Kč a meziročně poklesla o 1,1 %. U bytů v bytových domech byla průměrná hodnota jednoho bytu 1,9 mil. Kč a v porovnání s rokem 2013 se snížila o 3,8 %. Tyto údaje však zastírají rozdíly v objemové i plošné velikosti jednotlivých domů a </w:t>
      </w:r>
      <w:bookmarkStart w:id="0" w:name="_GoBack"/>
      <w:bookmarkEnd w:id="0"/>
      <w:r>
        <w:t>bytů, proto je při posuzování vývoje cen vhodnější přepočítání na plošné nebo objemové ukazatele. Průměrná hodnota 1 m</w:t>
      </w:r>
      <w:r>
        <w:rPr>
          <w:vertAlign w:val="superscript"/>
        </w:rPr>
        <w:t>3</w:t>
      </w:r>
      <w:r>
        <w:t xml:space="preserve"> kubatury nových rodinných domů byla v roce 2014 oproti roku 2013 o 0,7 % nižší a činila 4 447 Kč. U bytových domů byla průměrná hodnota 1 m</w:t>
      </w:r>
      <w:r>
        <w:rPr>
          <w:vertAlign w:val="superscript"/>
        </w:rPr>
        <w:t xml:space="preserve">3 </w:t>
      </w:r>
      <w:r>
        <w:t>obestavěného</w:t>
      </w:r>
      <w:r>
        <w:rPr>
          <w:vertAlign w:val="superscript"/>
        </w:rPr>
        <w:t xml:space="preserve"> </w:t>
      </w:r>
      <w:r>
        <w:t>prostoru 5 372 Kč a meziročně vzrostla o 1,0 %. U průměrných hodnot 1 m</w:t>
      </w:r>
      <w:r>
        <w:rPr>
          <w:vertAlign w:val="superscript"/>
        </w:rPr>
        <w:t>2</w:t>
      </w:r>
      <w:r>
        <w:t xml:space="preserve"> obytné i užitkové plochy došlo k celkovému poklesu. V roce 2014 byla průměrná hodnota 1 m</w:t>
      </w:r>
      <w:r>
        <w:rPr>
          <w:vertAlign w:val="superscript"/>
        </w:rPr>
        <w:t>2</w:t>
      </w:r>
      <w:r>
        <w:t xml:space="preserve"> obytné plochy 34 626 Kč a klesla o 0,4 %, hodnota 1 m</w:t>
      </w:r>
      <w:r>
        <w:rPr>
          <w:vertAlign w:val="superscript"/>
        </w:rPr>
        <w:t>2</w:t>
      </w:r>
      <w:r>
        <w:t xml:space="preserve"> užitkové plochy bytů činila 23 838 Kč a poklesla o 1,0 %. U rodinných domů vzrostla hodnota 1 m</w:t>
      </w:r>
      <w:r>
        <w:rPr>
          <w:vertAlign w:val="superscript"/>
        </w:rPr>
        <w:t>2</w:t>
      </w:r>
      <w:r>
        <w:t xml:space="preserve"> obytné plochy o 0,1 %, průměrná hodnota užitkové plochy zde byla o 1,4 % nižší. U bytů v bytových domech byl pokles o 4,6 %, respektive 2,8 %. </w:t>
      </w:r>
    </w:p>
    <w:p w:rsidR="00F5012F" w:rsidRDefault="000E6080" w:rsidP="00F5012F">
      <w:r>
        <w:lastRenderedPageBreak/>
        <w:pict>
          <v:shape id="_x0000_i1030" type="#_x0000_t75" style="width:424.5pt;height:284.25pt">
            <v:imagedata r:id="rId12" o:title="náklady RD_ORP_2014"/>
          </v:shape>
        </w:pict>
      </w:r>
    </w:p>
    <w:p w:rsidR="00A14328" w:rsidRDefault="000E6080" w:rsidP="00F5012F">
      <w:r>
        <w:pict>
          <v:shape id="_x0000_i1031" type="#_x0000_t75" style="width:424.5pt;height:284.25pt">
            <v:imagedata r:id="rId13" o:title="náklady BD_ORP_2014"/>
          </v:shape>
        </w:pict>
      </w:r>
    </w:p>
    <w:p w:rsidR="00F5012F" w:rsidRDefault="00F5012F" w:rsidP="00F5012F">
      <w:r>
        <w:lastRenderedPageBreak/>
        <w:t xml:space="preserve">Dalším zajímavým ukazatelem, který v posledních letech rovněž sledujeme, je </w:t>
      </w:r>
      <w:r>
        <w:rPr>
          <w:b/>
          <w:bCs/>
        </w:rPr>
        <w:t xml:space="preserve">energetická třída náročnosti </w:t>
      </w:r>
      <w:r>
        <w:t>u nových budov. Z celkového počtu 13 510 dokončených rodinných domů jich nejvíce, a to 59,4 %, připadlo do energetické třídy C (úsporná). Označení B (velmi úsporná) získalo 35,7 % rodinných domů a nejlepší třídu A (mimořádně úsporná) mělo 4,9 % domů. Podobné to bylo i u domů bytových, kde bylo ve třídě C dokončeno 61,7 % domů, ve třídě B 35,9 % domů a třídu A získalo 2,4 % domů.</w:t>
      </w:r>
    </w:p>
    <w:p w:rsidR="00D27D69" w:rsidRDefault="00D27D69" w:rsidP="00E42E00"/>
    <w:p w:rsidR="005F699D" w:rsidRDefault="005A7433" w:rsidP="00E42E00">
      <w:r>
        <w:pict>
          <v:shape id="_x0000_i1032" type="#_x0000_t75" style="width:424.5pt;height:222pt">
            <v:imagedata r:id="rId14" o:title=""/>
          </v:shape>
        </w:pict>
      </w:r>
    </w:p>
    <w:p w:rsidR="00D27D69" w:rsidRDefault="00D27D69" w:rsidP="00E42E00"/>
    <w:p w:rsidR="00017F2C" w:rsidRDefault="00017F2C" w:rsidP="00E42E00">
      <w:pPr>
        <w:rPr>
          <w:b/>
        </w:rPr>
      </w:pPr>
    </w:p>
    <w:p w:rsidR="00017F2C" w:rsidRDefault="00017F2C" w:rsidP="00E42E00">
      <w:pPr>
        <w:rPr>
          <w:b/>
        </w:rPr>
      </w:pPr>
    </w:p>
    <w:p w:rsidR="00017F2C" w:rsidRDefault="00017F2C" w:rsidP="00E42E00">
      <w:pPr>
        <w:rPr>
          <w:b/>
        </w:rPr>
      </w:pPr>
    </w:p>
    <w:p w:rsidR="00017F2C" w:rsidRDefault="00017F2C" w:rsidP="00E42E00">
      <w:pPr>
        <w:rPr>
          <w:b/>
        </w:rPr>
      </w:pPr>
    </w:p>
    <w:p w:rsidR="00017F2C" w:rsidRDefault="00017F2C" w:rsidP="00E42E00">
      <w:pPr>
        <w:rPr>
          <w:b/>
        </w:rPr>
      </w:pPr>
    </w:p>
    <w:p w:rsidR="00017F2C" w:rsidRDefault="00017F2C" w:rsidP="00E42E00">
      <w:pPr>
        <w:rPr>
          <w:b/>
        </w:rPr>
      </w:pPr>
    </w:p>
    <w:p w:rsidR="00017F2C" w:rsidRDefault="00017F2C" w:rsidP="00E42E00">
      <w:pPr>
        <w:rPr>
          <w:b/>
        </w:rPr>
      </w:pPr>
    </w:p>
    <w:p w:rsidR="00017F2C" w:rsidRDefault="00017F2C" w:rsidP="00E42E00">
      <w:pPr>
        <w:rPr>
          <w:b/>
        </w:rPr>
      </w:pPr>
    </w:p>
    <w:p w:rsidR="00017F2C" w:rsidRDefault="00017F2C" w:rsidP="00E42E00">
      <w:pPr>
        <w:rPr>
          <w:b/>
        </w:rPr>
      </w:pPr>
    </w:p>
    <w:p w:rsidR="00017F2C" w:rsidRDefault="00017F2C" w:rsidP="00E42E00">
      <w:pPr>
        <w:rPr>
          <w:b/>
        </w:rPr>
      </w:pPr>
    </w:p>
    <w:p w:rsidR="00017F2C" w:rsidRDefault="00017F2C" w:rsidP="00E42E00">
      <w:pPr>
        <w:rPr>
          <w:b/>
        </w:rPr>
      </w:pPr>
    </w:p>
    <w:p w:rsidR="00017F2C" w:rsidRDefault="00017F2C" w:rsidP="00E42E00">
      <w:pPr>
        <w:rPr>
          <w:b/>
        </w:rPr>
      </w:pPr>
    </w:p>
    <w:p w:rsidR="00017F2C" w:rsidRDefault="00017F2C" w:rsidP="00E42E00">
      <w:pPr>
        <w:rPr>
          <w:b/>
        </w:rPr>
      </w:pPr>
    </w:p>
    <w:p w:rsidR="00017F2C" w:rsidRDefault="00017F2C" w:rsidP="00E42E00">
      <w:pPr>
        <w:rPr>
          <w:b/>
        </w:rPr>
      </w:pPr>
    </w:p>
    <w:p w:rsidR="007B1333" w:rsidRDefault="007B1333" w:rsidP="00E42E00">
      <w:pPr>
        <w:rPr>
          <w:b/>
        </w:rPr>
      </w:pPr>
      <w:r>
        <w:rPr>
          <w:b/>
        </w:rPr>
        <w:t>Zpracoval</w:t>
      </w:r>
      <w:r w:rsidR="0057359D">
        <w:rPr>
          <w:b/>
        </w:rPr>
        <w:t>a</w:t>
      </w:r>
    </w:p>
    <w:p w:rsidR="007B1333" w:rsidRDefault="0057359D" w:rsidP="00E42E00">
      <w:r>
        <w:t xml:space="preserve">Silvie </w:t>
      </w:r>
      <w:proofErr w:type="spellStart"/>
      <w:r>
        <w:t>Lukavcová</w:t>
      </w:r>
      <w:proofErr w:type="spellEnd"/>
    </w:p>
    <w:p w:rsidR="007B1333" w:rsidRDefault="0057359D" w:rsidP="00E42E00">
      <w:r>
        <w:t>Oddělení statistiky stavebnictví a bytové výstavby</w:t>
      </w:r>
    </w:p>
    <w:p w:rsidR="007B1333" w:rsidRDefault="007B1333" w:rsidP="00E42E00">
      <w:r>
        <w:t>Tel.:</w:t>
      </w:r>
      <w:r w:rsidR="0057359D">
        <w:t xml:space="preserve"> 274054155</w:t>
      </w:r>
    </w:p>
    <w:p w:rsidR="00A14328" w:rsidRDefault="007B1333" w:rsidP="00E42E00">
      <w:r>
        <w:t>E-mail:</w:t>
      </w:r>
      <w:r w:rsidR="0057359D">
        <w:t xml:space="preserve"> </w:t>
      </w:r>
      <w:hyperlink r:id="rId15" w:history="1">
        <w:r w:rsidR="00A14328" w:rsidRPr="00735849">
          <w:rPr>
            <w:rStyle w:val="Hypertextovodkaz"/>
          </w:rPr>
          <w:t>silvie.lukavcova@czso.cz</w:t>
        </w:r>
      </w:hyperlink>
    </w:p>
    <w:p w:rsidR="00A14328" w:rsidRPr="004920AD" w:rsidRDefault="00A14328" w:rsidP="00E42E00"/>
    <w:sectPr w:rsidR="00A14328" w:rsidRPr="004920AD" w:rsidSect="00405244">
      <w:headerReference w:type="default" r:id="rId16"/>
      <w:footerReference w:type="default" r:id="rId17"/>
      <w:pgSz w:w="11907" w:h="16839" w:code="9"/>
      <w:pgMar w:top="2948" w:right="1418" w:bottom="1985" w:left="1985" w:header="720" w:footer="168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1F62" w:rsidRDefault="00C91F62" w:rsidP="00BA6370">
      <w:r>
        <w:separator/>
      </w:r>
    </w:p>
  </w:endnote>
  <w:endnote w:type="continuationSeparator" w:id="0">
    <w:p w:rsidR="00C91F62" w:rsidRDefault="00C91F62" w:rsidP="00BA637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0499" w:rsidRDefault="005A7433">
    <w:pPr>
      <w:pStyle w:val="Zpat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ové pole 2" o:spid="_x0000_s2051" type="#_x0000_t202" style="position:absolute;left:0;text-align:left;margin-left:99.2pt;margin-top:773.95pt;width:426.5pt;height:39pt;z-index:2;visibility:visible;mso-position-horizontal-relative:pag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" filled="f" stroked="f">
          <v:textbox style="mso-next-textbox:#Textové pole 2" inset="0,0,0,0">
            <w:txbxContent>
              <w:p w:rsidR="003D0499" w:rsidRPr="001404AB" w:rsidRDefault="003D0499" w:rsidP="0045547F">
                <w:pPr>
                  <w:spacing w:line="220" w:lineRule="atLeast"/>
                  <w:jc w:val="left"/>
                  <w:rPr>
                    <w:rFonts w:cs="Arial"/>
                    <w:b/>
                    <w:bCs/>
                    <w:sz w:val="15"/>
                    <w:szCs w:val="15"/>
                  </w:rPr>
                </w:pPr>
                <w:r w:rsidRPr="001404AB">
                  <w:rPr>
                    <w:rFonts w:cs="Arial"/>
                    <w:b/>
                    <w:bCs/>
                    <w:sz w:val="15"/>
                    <w:szCs w:val="15"/>
                  </w:rPr>
                  <w:t>Oddělení informačních služeb – ústředí</w:t>
                </w:r>
              </w:p>
              <w:p w:rsidR="003D0499" w:rsidRPr="00A81EB3" w:rsidRDefault="003D0499" w:rsidP="00175ABA">
                <w:pPr>
                  <w:tabs>
                    <w:tab w:val="right" w:pos="8505"/>
                  </w:tabs>
                  <w:spacing w:before="60" w:line="220" w:lineRule="atLeast"/>
                  <w:jc w:val="left"/>
                  <w:rPr>
                    <w:rFonts w:cs="Arial"/>
                  </w:rPr>
                </w:pPr>
                <w:r w:rsidRPr="001404AB">
                  <w:rPr>
                    <w:rFonts w:cs="Arial"/>
                    <w:sz w:val="15"/>
                    <w:szCs w:val="15"/>
                  </w:rPr>
                  <w:t xml:space="preserve">Informace o inflaci, HDP, obyvatelstvu, průměrných mzdách a mnohé další najdete na stránkách </w:t>
                </w:r>
                <w:r w:rsidRPr="001404AB">
                  <w:rPr>
                    <w:rFonts w:cs="Arial"/>
                    <w:sz w:val="15"/>
                    <w:szCs w:val="15"/>
                  </w:rPr>
                  <w:br/>
                  <w:t xml:space="preserve">Českého statistického úřadu: </w:t>
                </w:r>
                <w:r w:rsidRPr="00E93830">
                  <w:rPr>
                    <w:rFonts w:cs="Arial"/>
                    <w:b/>
                    <w:bCs/>
                    <w:color w:val="BD1B21"/>
                    <w:sz w:val="15"/>
                    <w:szCs w:val="15"/>
                  </w:rPr>
                  <w:t>www.czso.</w:t>
                </w:r>
                <w:proofErr w:type="gramStart"/>
                <w:r w:rsidRPr="00E93830">
                  <w:rPr>
                    <w:rFonts w:cs="Arial"/>
                    <w:b/>
                    <w:bCs/>
                    <w:color w:val="BD1B21"/>
                    <w:sz w:val="15"/>
                    <w:szCs w:val="15"/>
                  </w:rPr>
                  <w:t>cz</w:t>
                </w:r>
                <w:r w:rsidRPr="001404AB">
                  <w:rPr>
                    <w:rFonts w:cs="Arial"/>
                    <w:b/>
                    <w:bCs/>
                    <w:sz w:val="15"/>
                    <w:szCs w:val="15"/>
                  </w:rPr>
                  <w:t xml:space="preserve">  |  </w:t>
                </w:r>
                <w:r w:rsidRPr="001404AB">
                  <w:rPr>
                    <w:rFonts w:cs="Arial"/>
                    <w:sz w:val="15"/>
                    <w:szCs w:val="15"/>
                  </w:rPr>
                  <w:t>tel.</w:t>
                </w:r>
                <w:proofErr w:type="gramEnd"/>
                <w:r w:rsidRPr="001404AB">
                  <w:rPr>
                    <w:rFonts w:cs="Arial"/>
                    <w:sz w:val="15"/>
                    <w:szCs w:val="15"/>
                  </w:rPr>
                  <w:t>: 274 052 304, e-mail</w:t>
                </w:r>
                <w:hyperlink r:id="rId1" w:history="1">
                  <w:r w:rsidRPr="001404AB">
                    <w:rPr>
                      <w:rStyle w:val="Hypertextovodkaz"/>
                      <w:rFonts w:cs="Arial"/>
                      <w:color w:val="auto"/>
                      <w:sz w:val="15"/>
                      <w:szCs w:val="15"/>
                      <w:u w:val="none"/>
                    </w:rPr>
                    <w:t xml:space="preserve">: </w:t>
                  </w:r>
                  <w:r w:rsidR="004E479E" w:rsidRPr="00175ABA">
                    <w:rPr>
                      <w:rStyle w:val="Hypertextovodkaz"/>
                      <w:rFonts w:cs="Arial"/>
                      <w:color w:val="0071BC"/>
                      <w:sz w:val="15"/>
                      <w:szCs w:val="15"/>
                    </w:rPr>
                    <w:t>infoservis@czso.cz</w:t>
                  </w:r>
                </w:hyperlink>
                <w:r w:rsidR="004E479E">
                  <w:rPr>
                    <w:rFonts w:cs="Arial"/>
                    <w:sz w:val="15"/>
                    <w:szCs w:val="15"/>
                  </w:rPr>
                  <w:tab/>
                </w:r>
                <w:r w:rsidR="005A7433" w:rsidRPr="004E479E">
                  <w:rPr>
                    <w:rFonts w:cs="Arial"/>
                    <w:szCs w:val="15"/>
                  </w:rPr>
                  <w:fldChar w:fldCharType="begin"/>
                </w:r>
                <w:r w:rsidR="004E479E" w:rsidRPr="004E479E">
                  <w:rPr>
                    <w:rFonts w:cs="Arial"/>
                    <w:szCs w:val="15"/>
                  </w:rPr>
                  <w:instrText xml:space="preserve"> PAGE   \* MERGEFORMAT </w:instrText>
                </w:r>
                <w:r w:rsidR="005A7433" w:rsidRPr="004E479E">
                  <w:rPr>
                    <w:rFonts w:cs="Arial"/>
                    <w:szCs w:val="15"/>
                  </w:rPr>
                  <w:fldChar w:fldCharType="separate"/>
                </w:r>
                <w:r w:rsidR="00007430">
                  <w:rPr>
                    <w:rFonts w:cs="Arial"/>
                    <w:noProof/>
                    <w:szCs w:val="15"/>
                  </w:rPr>
                  <w:t>7</w:t>
                </w:r>
                <w:r w:rsidR="005A7433" w:rsidRPr="004E479E">
                  <w:rPr>
                    <w:rFonts w:cs="Arial"/>
                    <w:szCs w:val="15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line id="Přímá spojnice 2" o:spid="_x0000_s2049" style="position:absolute;left:0;text-align:left;flip:y;z-index:1;visibility:visible;mso-wrap-distance-top:-3e-5mm;mso-wrap-distance-bottom:-3e-5mm;mso-position-horizontal-relative:page;mso-position-vertical-relative:page;mso-width-relative:margin;mso-height-relative:margin" from="97.8pt,756.95pt" to="525.85pt,75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" strokecolor="#0071bc" strokeweight="1.5pt">
          <o:lock v:ext="edit" shapetype="f"/>
          <w10:wrap anchorx="page" anchory="page"/>
        </v:lin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1F62" w:rsidRDefault="00C91F62" w:rsidP="00BA6370">
      <w:r>
        <w:separator/>
      </w:r>
    </w:p>
  </w:footnote>
  <w:footnote w:type="continuationSeparator" w:id="0">
    <w:p w:rsidR="00C91F62" w:rsidRDefault="00C91F62" w:rsidP="00BA637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0499" w:rsidRDefault="005A7433">
    <w:pPr>
      <w:pStyle w:val="Zhlav"/>
    </w:pPr>
    <w:r>
      <w:rPr>
        <w:noProof/>
        <w:lang w:eastAsia="cs-CZ"/>
      </w:rPr>
      <w:pict>
        <v:group id="_x0000_s2054" style="position:absolute;left:0;text-align:left;margin-left:28.35pt;margin-top:42.55pt;width:498.35pt;height:82.35pt;z-index:3;mso-position-horizontal-relative:page;mso-position-vertical-relative:page" coordorigin="571,846" coordsize="9967,1647">
          <v:rect id="_x0000_s2055" style="position:absolute;left:1219;top:896;width:676;height:154" fillcolor="#0071bc" stroked="f"/>
          <v:rect id="_x0000_s2056" style="position:absolute;left:571;top:1126;width:1324;height:154" fillcolor="#0071bc" stroked="f"/>
          <v:rect id="_x0000_s2057" style="position:absolute;left:1292;top:1356;width:603;height:153" fillcolor="#0071bc" stroked="f"/>
          <v:shape id="_x0000_s2058" style="position:absolute;left:1973;top:1306;width:600;height:207" coordsize="1200,415" path="m1011,341r,-174l1030,167r10,2l1049,170r10,1l1067,174r7,3l1082,182r6,5l1094,194r5,6l1104,206r4,7l1112,221r2,7l1116,237r1,8l1117,253r,9l1116,271r-2,7l1112,287r-4,7l1104,301r-5,7l1094,314r-6,7l1082,326r-8,5l1067,334r-8,3l1049,338r-9,1l1030,341r-19,xm931,408r118,l1064,407r15,-3l1093,400r14,-5l1121,389r12,-9l1144,372r11,-10l1165,351r9,-12l1182,326r6,-13l1194,298r4,-14l1200,270r,-17l1200,238r-2,-15l1194,208r-6,-13l1182,181r-8,-12l1165,157r-10,-11l1144,136r-11,-10l1121,119r-14,-6l1093,108r-14,-5l1064,101r-15,-1l931,100r,308xm775,293r-67,l742,195r33,98xm797,354r20,54l901,408,785,100r-87,l581,408r84,l686,354r111,xm347,37r83,46l513,37,491,3,430,34,369,3,347,37xm407,238r,-77l422,161r10,1l442,164r7,2l455,170r6,6l466,182r3,9l470,200r-1,8l466,216r-5,7l455,230r-6,3l442,236r-10,1l422,238r-15,xm485,282r13,-4l508,275r8,-5l525,263r6,-6l536,250r5,-8l545,233r4,-8l551,215r1,-10l552,195r,-9l551,176r-2,-9l546,159r-4,-9l537,141r-5,-7l526,128r-7,-8l511,115r-7,-5l495,106r-10,-2l475,101r-12,-1l450,100r-123,l327,408r80,l407,289r76,119l582,408,485,282xm210,35l171,,105,56r28,29l210,35xm80,100l,100,,278r,15l2,308r1,13l5,333r4,10l13,353r4,9l23,369r9,10l43,389r11,8l68,403r15,6l99,413r16,2l133,415r16,l165,413r14,-4l192,404r14,-5l217,392r11,-9l238,372r8,-9l253,353r5,-10l262,333r3,-12l267,308r1,-15l268,278r,-178l189,100r,167l189,287r-2,14l185,311r-4,10l177,326r-5,5l167,334r-6,4l155,341r-6,2l141,344r-7,2l126,344r-6,-1l114,342r-6,-3l103,336r-5,-4l93,327r-4,-5l84,312,81,302,80,288r,-21l80,100xe" fillcolor="#bd1b21" stroked="f">
            <v:path arrowok="t"/>
            <o:lock v:ext="edit" verticies="t"/>
          </v:shape>
          <v:shape id="_x0000_s2059" style="position:absolute;left:1966;top:1076;width:1319;height:208" coordsize="2637,416" path="m2561,35l2524,r-66,56l2485,84r76,-49xm2442,260r,147l2521,407r,-147l2637,99r-97,l2484,183,2427,99r-96,l2442,260xm2143,226r,-127l2063,99r,308l2143,407r,-133l2247,407r104,l2217,245,2340,99r-100,l2143,226xm2008,108r-21,-6l1969,97r-17,-4l1936,93r-18,l1902,96r-16,5l1871,106r-14,6l1844,121r-13,8l1820,140r-11,12l1800,164r-9,14l1785,192r-5,15l1775,223r-2,16l1773,256r,15l1775,286r3,14l1783,314r6,13l1795,340r9,11l1813,362r12,11l1839,385r15,8l1869,401r16,6l1902,412r16,3l1936,416r15,-1l1966,413r17,-5l2008,401r,-95l1999,314r-7,6l1983,326r-7,4l1967,334r-10,2l1948,337r-10,l1931,337r-8,-1l1916,335r-8,-3l1902,330r-6,-4l1889,322r-5,-5l1876,311r-5,-6l1866,299r-4,-8l1860,283r-3,-9l1856,265r,-10l1856,246r1,-8l1860,229r2,-8l1865,214r5,-7l1874,200r5,-6l1885,189r6,-5l1898,180r7,-3l1913,174r8,-2l1930,170r8,l1948,170r10,3l1967,175r10,4l1984,184r9,5l2001,197r7,7l2008,108xm1727,99r-80,l1647,407r80,l1727,99xm1538,167r66,l1604,99r-210,l1394,167r65,l1459,407r79,l1538,167xm1360,117r-11,-6l1337,106r-13,-4l1313,98r-13,-2l1288,93r-12,-1l1263,92r-11,l1241,94r-10,2l1221,99r-10,4l1203,108r-8,6l1187,121r-6,7l1175,136r-5,8l1166,153r-4,10l1161,174r-3,10l1158,195r,10l1160,215r2,9l1165,231r3,8l1172,245r5,6l1183,256r9,7l1203,269r16,6l1242,281r12,5l1264,290r9,4l1279,297r5,4l1287,306r2,5l1289,317r,7l1287,330r-4,5l1279,339r-6,3l1267,345r-8,1l1251,347r-9,l1233,345r-9,-1l1216,340r-9,-5l1198,330r-8,-6l1180,316r-34,65l1158,388r13,8l1185,401r13,5l1212,410r14,3l1239,415r14,l1266,415r12,-2l1290,411r12,-4l1313,403r10,-5l1333,392r9,-6l1349,378r6,-7l1360,362r5,-10l1369,342r2,-11l1373,319r,-13l1371,290r-2,-15l1366,269r-3,-6l1359,258r-4,-7l1350,246r-5,-5l1339,238r-7,-4l1315,226r-17,-6l1276,213r-13,-4l1256,205r-7,-5l1247,198r-3,-4l1242,189r,-4l1243,179r1,-5l1248,170r4,-3l1257,163r6,-3l1269,159r8,-1l1283,159r6,l1297,162r6,1l1315,170r14,9l1360,117xm1091,99r-80,l1011,407r80,l1091,99xm904,167r66,l970,99r-212,l758,167r67,l825,407r79,l904,167xm644,292r-66,l611,194r33,98xm666,354r20,53l771,407,655,99r-87,l450,407r84,l555,354r111,xm395,167r66,l461,99r-212,l249,167r66,l315,407r80,l395,167xm214,117r-11,-6l190,106r-12,-4l167,98,154,96,142,93,129,92r-12,l106,92,94,94,84,96r-9,3l65,103r-9,5l48,114r-7,7l35,128r-7,8l23,144r-3,9l16,163r-1,11l12,184r,11l12,205r1,10l16,224r2,7l22,239r4,6l31,251r6,5l46,263r11,6l73,275r23,6l108,286r10,4l127,294r6,3l138,301r3,5l143,311r,6l143,324r-2,6l137,335r-4,4l127,342r-6,3l113,346r-9,1l96,347r-9,-2l78,344r-8,-4l61,335r-9,-5l43,324,33,316,,381r12,7l25,396r13,5l52,406r14,4l79,413r14,2l107,415r12,l132,413r12,-2l155,407r12,-4l177,398r10,-6l195,386r8,-8l209,371r5,-9l219,352r4,-10l225,331r2,-12l227,306r-2,-16l223,275r-3,-6l217,263r-4,-5l209,251r-5,-5l199,241r-6,-3l185,234r-16,-8l151,220r-22,-7l117,209r-8,-4l103,200r-4,-2l98,194r-2,-5l96,185r1,-6l98,174r4,-4l106,167r5,-4l117,160r6,-1l129,158r8,1l143,159r8,3l157,163r12,7l183,179r31,-62xe" fillcolor="#bd1b21" stroked="f">
            <v:path arrowok="t"/>
            <o:lock v:ext="edit" verticies="t"/>
          </v:shape>
          <v:shape id="_x0000_s2060" style="position:absolute;left:1966;top:846;width:679;height:208" coordsize="1358,416" path="m1282,36l1243,r-65,56l1205,85r77,-49xm1162,260r,147l1242,407r,-147l1358,100r-97,l1205,183r-59,-83l1051,100r111,160xm863,227r,-127l783,100r,307l863,407r,-133l967,407r104,l938,245,1059,100r-99,l863,227xm721,117r-12,-5l697,107r-12,-5l673,98,660,96,648,93,635,92r-11,l611,92r-9,3l590,97r-10,3l572,103r-9,5l555,115r-7,6l542,128r-7,8l531,145r-4,8l523,163r-2,11l519,184r,12l519,206r2,10l522,224r2,8l528,239r5,6l538,252r5,5l552,263r12,6l580,275r22,7l614,287r11,3l634,294r6,4l644,301r4,5l649,311r1,7l649,324r-1,6l644,335r-5,4l634,343r-8,2l619,348r-8,l603,348r-9,-3l585,344r-8,-4l568,335r-9,-5l549,324r-9,-8l507,381r12,8l532,396r12,5l558,406r14,4l585,414r14,1l613,415r13,l639,414r12,-3l663,407r11,-3l684,399r10,-7l702,386r7,-7l716,371r5,-8l725,353r4,-10l731,331r1,-12l734,306r-2,-16l729,275r-3,-6l724,263r-4,-5l716,252r-5,-5l705,243r-6,-5l692,234r-16,-7l658,221r-22,-7l624,209r-9,-3l610,201r-3,-3l604,194r-1,-5l603,186r,-5l605,174r3,-3l611,167r7,-4l623,161r6,-2l636,158r7,1l650,159r6,3l663,163r13,8l689,179r32,-62xm463,167r,-67l289,100r,307l463,407r,-67l369,340r,-53l458,287r,-68l369,219r,-52l463,167xm66,36r82,46l231,36,210,2,148,34,87,2,66,36xm235,108r-20,-6l197,97,180,95,163,93r-17,2l129,96r-15,5l99,106r-15,6l71,121r-13,9l47,141,37,152,27,164r-7,14l12,192,7,207,3,223,1,239,,257r,15l2,287r4,13l10,314r6,14l22,340r9,11l41,363r12,11l66,385r15,9l97,401r16,6l129,412r18,3l163,416r16,-1l193,414r19,-5l235,401r,-95l228,314r-9,6l212,326r-9,4l194,334r-9,2l175,338r-10,1l158,338r-7,-2l143,335r-6,-2l129,330r-6,-4l117,323r-6,-5l104,311r-6,-6l93,299r-4,-7l87,283r-3,-9l83,265r,-10l83,247r1,-9l87,229r2,-7l93,214r4,-7l102,201r5,-7l112,189r6,-5l126,181r7,-4l141,174r7,-2l157,171r8,l175,171r10,2l195,176r9,3l213,184r7,5l228,197r7,7l235,108xe" fillcolor="#bd1b21" stroked="f">
            <v:path arrowok="t"/>
            <o:lock v:ext="edit" verticies="t"/>
          </v:shape>
          <v:rect id="_x0000_s2061" style="position:absolute;left:1963;top:1925;width:8575;height:568" fillcolor="#0071bc" stroked="f"/>
          <v:shape id="_x0000_s2062" style="position:absolute;left:2178;top:2129;width:195;height:186" coordsize="391,374" path="m197,116l156,236r81,l197,116xm128,309r-24,65l,374,143,,251,,391,374r-104,l263,309r-135,xe" stroked="f">
            <v:path arrowok="t"/>
            <o:lock v:ext="edit" verticies="t"/>
          </v:shape>
          <v:shape id="_x0000_s2063" style="position:absolute;left:2394;top:2129;width:187;height:186" coordsize="373,374" path="m,l97,,276,229,276,r97,l373,374r-97,l97,146r,228l,374,,xe" stroked="f">
            <v:path arrowok="t"/>
          </v:shape>
          <v:shape id="_x0000_s2064" style="position:absolute;left:2603;top:2129;width:195;height:186" coordsize="390,374" path="m196,116l155,236r81,l196,116xm128,309r-26,65l,374,143,,249,,390,374r-103,l263,309r-135,xe" stroked="f">
            <v:path arrowok="t"/>
            <o:lock v:ext="edit" verticies="t"/>
          </v:shape>
          <v:shape id="_x0000_s2065" style="position:absolute;left:2820;top:2129;width:106;height:186" coordsize="213,374" path="m97,292r116,l213,374,,374,,,97,r,292xe" stroked="f">
            <v:path arrowok="t"/>
          </v:shape>
          <v:shape id="_x0000_s2066" style="position:absolute;left:2909;top:2068;width:187;height:247" coordsize="374,495" path="m188,102l154,69,234,r47,43l188,102xm,121r117,l187,223,255,121r119,l233,316r,179l136,495r,-179l,121xe" stroked="f">
            <v:path arrowok="t"/>
            <o:lock v:ext="edit" verticies="t"/>
          </v:shape>
          <v:shape id="_x0000_s2067" style="position:absolute;left:3099;top:2129;width:170;height:186" coordsize="340,374" path="m320,292r,82l,374,177,82,30,82,30,,340,,163,292r157,xe" stroked="f">
            <v:path arrowok="t"/>
          </v:shape>
          <v:shape id="_x0000_s2068" style="position:absolute;left:3278;top:2129;width:195;height:186" coordsize="392,374" path="m197,116l156,236r81,l197,116xm129,309r-27,65l,374,144,,251,,392,374r-105,l263,309r-134,xe" stroked="f">
            <v:path arrowok="t"/>
            <o:lock v:ext="edit" verticies="t"/>
          </v:shape>
          <v:shape id="_x0000_s2069" style="position:absolute;left:6643;top:1371;width:3880;height:179" coordsize="7760,358" path="m174,86l159,77,144,70r-9,-1l128,66r-8,l112,65,99,66,89,68,78,70,68,74,58,79,48,85r-7,6l32,99r-8,7l18,115r-5,9l8,134,5,144,2,155,,165r,12l,188r2,10l5,210r3,10l13,228r5,10l24,247r8,7l39,262r9,6l57,273r10,5l77,282r11,2l99,286r11,1l118,287r9,-1l135,284r8,-2l152,278r7,-2l166,271r8,-5l174,236r-8,7l159,248r-7,5l143,257r-8,4l127,263r-8,1l110,264r-8,-1l93,262r-9,-1l77,257r-8,-4l62,249r-8,-5l49,238r-6,-6l38,226r-4,-8l31,211r-4,-8l26,195r-3,-9l23,177r,-9l26,158r1,-7l31,142r3,-7l38,127r5,-7l49,114r5,-5l62,104r6,-5l77,95r7,-3l92,90r8,-1l109,87r9,2l127,90r8,1l143,95r9,4l159,104r7,5l174,116r,-30xm155,14l138,,110,24,82,,64,14r46,37l155,14xm327,221r,-4l326,202r-4,-14l320,182r-3,-6l314,171r-4,-5l306,162r-5,-4l296,155r-6,-3l284,150r-7,-2l271,147r-7,l256,147r-6,1l244,150r-6,2l231,155r-5,3l221,162r-3,4l213,171r-3,5l206,182r-2,6l200,202r-1,15l200,224r,8l203,238r1,8l206,252r4,5l214,262r4,5l223,272r5,4l233,279r6,3l245,283r6,3l257,287r8,l275,286r9,-2l292,282r8,-5l307,272r7,-6l320,258r6,-9l307,238r-5,6l297,251r-5,5l289,259r-5,3l277,264r-5,2l266,266r-9,-2l249,263r-7,-5l236,253r-5,-6l228,239r-3,-8l224,221r103,xm225,202r1,-7l230,188r4,-6l239,177r5,-4l250,170r7,-2l264,167r7,1l277,170r7,2l290,177r4,5l299,187r2,8l304,202r-79,xm431,171r-3,-6l424,160r-3,-4l416,152r-5,-2l406,148r-5,-1l394,147r-7,l380,150r-8,3l367,157r-5,6l358,170r-1,6l356,183r,7l357,196r3,5l363,205r5,5l376,213r7,5l394,223r10,5l411,233r2,3l414,238r2,4l416,244r,5l414,253r-2,4l409,259r-3,3l403,264r-5,2l394,266r-4,l386,264r-4,-1l378,261r-5,-7l367,244r-20,9l351,261r4,6l360,273r6,5l371,282r7,2l386,286r7,1l403,286r9,-3l419,279r7,-5l432,268r4,-7l438,252r1,-9l438,234r-2,-7l431,220r-7,-5l416,208r-17,-7l388,196r-6,-4l380,190r-2,-3l378,185r-1,-3l378,177r4,-5l387,168r6,-1l399,168r5,3l408,175r4,6l431,171xm493,49r-23,l470,283r23,l493,228r5,-6l551,283r32,l514,206r57,-56l540,150r-47,48l493,49xm644,271r-44,87l626,358,725,150r-27,l655,244,609,150r-26,l644,271xm693,82l670,73r-34,46l650,126,693,82xm899,171r-4,-6l892,160r-4,-4l884,152r-5,-2l874,148r-6,-1l862,147r-8,l847,150r-6,3l834,157r-5,6l827,170r-3,6l823,183r1,7l826,196r2,5l831,205r6,5l843,213r9,5l862,223r11,5l879,233r3,3l883,238r,4l883,244r,5l882,253r-2,4l877,259r-3,3l870,264r-3,2l862,266r-5,l853,264r-4,-1l847,261r-6,-7l836,244r-22,9l818,261r5,6l828,273r5,5l839,282r6,2l853,286r9,1l870,286r9,-3l887,279r7,-5l899,268r4,-7l905,252r2,-9l905,234r-2,-7l898,220r-6,-5l883,208r-16,-7l857,196r-8,-4l848,190r-1,-3l845,185r,-3l847,177r3,-5l855,168r7,-1l867,168r5,3l877,175r3,6l899,171xm961,171r24,l985,150r-24,l961,101r-22,l939,150r-14,l925,171r14,l939,283r22,l961,171xm1108,150r,18l1103,163r-6,-5l1092,155r-5,-3l1081,150r-6,-3l1069,147r-8,-1l1055,147r-6,l1042,150r-6,2l1030,155r-5,3l1020,162r-4,4l1012,171r-3,5l1005,182r-3,6l999,201r-2,15l999,223r,8l1000,237r2,7l1005,251r4,5l1012,262r4,5l1020,271r5,5l1031,278r5,4l1042,283r7,3l1055,287r7,l1069,287r6,-1l1081,283r6,-2l1092,278r6,-4l1103,269r5,-5l1108,283r23,l1131,150r-23,xm1065,167r10,1l1083,171r8,4l1097,181r5,7l1106,196r2,10l1110,216r-2,11l1106,236r-4,8l1097,252r-6,6l1083,262r-8,2l1065,266r-9,-2l1047,262r-7,-4l1034,252r-5,-8l1025,236r-3,-10l1021,216r1,-10l1025,196r4,-8l1034,181r6,-5l1047,171r9,-3l1065,167r,xm1197,171r24,l1221,150r-24,l1197,101r-23,l1174,150r-15,l1159,171r15,l1174,283r23,l1197,171xm1264,150r-22,l1242,283r22,l1264,150xm1253,82r-6,3l1242,87r-4,5l1237,99r1,3l1238,106r1,3l1242,111r2,1l1247,115r3,l1253,116r6,-1l1265,111r3,-5l1269,100r-1,-8l1265,87r-6,-2l1253,82r,xm1379,171r-3,-6l1372,160r-4,-4l1364,152r-5,-2l1354,148r-5,-1l1343,147r-9,l1328,150r-8,3l1315,157r-5,6l1306,170r-2,6l1304,183r,7l1305,196r3,5l1311,205r5,5l1323,213r8,5l1343,223r10,5l1359,233r2,3l1363,238r1,4l1364,244r,5l1363,253r-3,4l1358,259r-4,3l1350,264r-4,2l1341,266r-3,l1334,264r-4,-1l1326,261r-5,-7l1315,244r-20,9l1299,261r4,6l1308,273r5,5l1319,282r7,2l1334,286r7,1l1351,286r9,-3l1368,279r6,-5l1380,268r4,-7l1386,252r1,-9l1386,234r-2,-7l1379,220r-7,-5l1363,208r-17,-7l1336,196r-6,-4l1328,190r-2,-3l1325,185r,-3l1326,177r4,-5l1335,168r6,-1l1348,168r5,3l1356,175r4,6l1379,171xm1442,171r24,l1466,150r-24,l1442,101r-22,l1420,150r-14,l1406,171r14,l1420,283r22,l1442,171xm1510,150r-23,l1487,283r23,l1510,150xm1498,82r-6,3l1487,87r-4,5l1482,99r1,3l1483,106r3,3l1487,111r3,1l1492,115r4,l1498,116r7,-1l1511,111r2,-5l1516,100r-3,-8l1511,87r-6,-2l1498,82xm1654,160r-10,-7l1634,150r-10,-3l1613,147r-8,l1598,148r-6,2l1586,152r-7,3l1573,158r-6,4l1562,167r-4,5l1554,177r-3,6l1548,190r-2,6l1543,202r-1,8l1542,217r,7l1543,231r3,7l1548,244r3,7l1554,256r4,6l1562,267r5,4l1573,274r5,4l1584,282r8,1l1598,286r7,1l1613,287r10,-1l1634,283r10,-4l1655,273r,-30l1644,253r-10,8l1629,263r-5,1l1618,266r-6,l1603,264r-10,-2l1586,258r-7,-6l1573,244r-4,-8l1567,227r-1,-10l1567,207r2,-10l1573,188r6,-6l1586,176r8,-5l1603,168r10,-1l1618,168r6,l1629,171r5,1l1644,180r10,10l1654,160xm1710,49r-22,l1688,283r22,l1710,228r6,-6l1770,283r30,l1733,206r57,-56l1759,150r-49,48l1710,49xm1861,271r-42,87l1845,358r98,-208l1917,150r-44,94l1826,150r-26,l1861,271xm1912,82r-24,-9l1855,119r13,7l1912,82xm2066,150r-22,l2044,229r,14l2047,253r3,9l2055,269r4,5l2064,277r5,4l2074,282r10,4l2096,287r13,-1l2119,282r10,-5l2136,269r6,-7l2146,253r3,-10l2149,229r,-79l2126,150r,77l2126,236r-1,6l2124,248r-1,4l2118,258r-7,4l2105,264r-9,2l2088,264r-8,-2l2075,258r-5,-6l2069,248r-1,-6l2066,236r,-9l2066,150xm2136,82r-23,-9l2079,119r15,7l2136,82xm2190,150r,133l2212,283r,-71l2212,202r1,-9l2215,186r2,-5l2221,176r5,-4l2232,170r6,-2l2245,170r7,2l2262,152r-5,-2l2252,147r-5,l2242,146r-9,1l2227,150r-7,6l2212,165r,-15l2190,150xm2265,85l2248,73r-27,26l2192,73r-16,12l2221,126r44,-41xm2379,150r,18l2374,163r-5,-5l2363,155r-5,-3l2352,150r-6,-3l2339,147r-7,-1l2326,147r-7,l2313,150r-6,2l2302,155r-6,3l2291,162r-4,4l2283,171r-4,5l2276,182r-3,6l2270,201r-2,15l2270,223r,8l2272,237r1,7l2276,251r3,5l2283,262r4,5l2292,271r4,5l2302,278r5,4l2313,283r6,3l2326,287r7,l2339,287r8,-1l2352,283r6,-2l2364,278r5,-4l2374,269r5,-5l2379,283r23,l2402,150r-23,xm2336,167r10,1l2354,171r8,4l2368,181r5,7l2377,196r2,10l2380,216r-1,11l2377,236r-4,8l2368,252r-6,6l2354,262r-8,2l2336,266r-9,-2l2318,262r-7,-4l2304,252r-5,-8l2296,236r-3,-10l2292,216r1,-10l2296,196r3,-8l2304,181r7,-5l2318,171r9,-3l2336,167xm2544,49r,119l2539,163r-5,-5l2527,155r-5,-3l2516,150r-6,-2l2504,147r-8,l2490,147r-6,1l2478,150r-7,2l2466,155r-6,3l2455,162r-4,4l2448,171r-4,6l2440,182r-2,6l2434,202r-1,14l2434,223r,8l2436,238r2,6l2440,251r4,6l2448,262r3,5l2456,271r5,5l2466,278r5,4l2478,283r6,3l2490,287r8,l2504,287r7,-1l2517,283r7,-2l2529,278r5,-4l2539,269r3,-5l2542,283r24,l2566,49r-22,xm2500,167r9,1l2516,171r8,4l2531,180r6,7l2541,195r3,10l2545,216r-1,11l2541,237r-4,7l2532,252r-6,6l2519,262r-9,2l2500,266r-9,-2l2483,262r-8,-4l2469,252r-5,-8l2460,236r-2,-10l2456,216r2,-10l2460,197r4,-9l2469,181r6,-5l2483,171r8,-3l2500,167r,xm2734,337r25,l2759,69r-25,l2734,337xm2932,283r24,l2956,117r167,175l3123,69r-24,l3099,234,2932,60r,223xm3271,150r,18l3266,163r-5,-5l3256,155r-6,-3l3244,150r-5,-3l3231,147r-6,-1l3218,147r-7,l3205,150r-6,2l3194,155r-5,3l3184,162r-5,4l3175,171r-3,5l3169,182r-2,6l3163,201r-1,15l3162,223r1,8l3164,237r3,7l3169,251r3,5l3175,262r4,5l3184,271r5,5l3194,278r6,4l3205,283r6,3l3219,287r6,l3233,287r6,-1l3245,283r5,-2l3256,278r5,-4l3266,269r5,-5l3271,283r23,l3294,150r-23,xm3229,167r9,1l3246,171r8,4l3260,181r6,7l3270,196r2,10l3272,216r,11l3270,236r-4,8l3260,252r-6,6l3246,262r-8,2l3229,266r-10,-2l3210,262r-6,-4l3196,252r-5,-8l3188,236r-3,-10l3185,216r,-10l3188,196r3,-8l3198,181r6,-5l3211,171r8,-3l3229,167xm3438,358r,-94l3443,269r5,5l3453,278r5,4l3464,283r7,3l3477,287r7,l3490,287r7,-1l3503,283r6,-1l3515,278r5,-2l3525,272r4,-5l3537,257r6,-13l3547,232r1,-15l3548,210r-1,-8l3545,196r-2,-8l3540,182r-3,-5l3533,171r-4,-5l3525,162r-5,-4l3514,155r-5,-3l3503,150r-6,-2l3490,147r-7,-1l3477,147r-6,l3464,150r-6,2l3453,155r-5,3l3442,163r-4,5l3438,150r-24,l3414,358r24,xm3481,167r8,1l3498,171r7,5l3512,182r5,6l3520,197r3,10l3524,218r-1,9l3520,237r-3,7l3512,252r-7,6l3498,262r-9,2l3481,266r-10,-2l3463,262r-7,-4l3448,252r-5,-8l3439,237r-2,-10l3436,217r1,-10l3439,197r4,-9l3448,181r8,-5l3463,171r8,-3l3481,167r,xm3680,150r,18l3675,163r-5,-5l3665,155r-6,-3l3654,150r-7,-3l3641,147r-7,-1l3628,147r-8,l3614,150r-5,2l3603,155r-5,3l3593,162r-4,4l3584,171r-4,5l3578,182r-3,6l3571,201r-1,15l3570,223r1,8l3573,237r2,7l3578,251r2,5l3584,262r5,5l3593,271r5,5l3603,278r6,4l3615,283r6,3l3628,287r7,l3641,287r6,-1l3654,283r6,-2l3665,278r5,-4l3675,269r5,-5l3680,283r24,l3704,150r-24,xm3637,167r10,1l3655,171r7,4l3670,181r5,7l3679,196r2,10l3682,216r-1,11l3679,236r-4,8l3670,252r-8,6l3655,262r-9,2l3637,266r-9,-2l3620,262r-7,-4l3606,252r-5,-8l3596,236r-2,-10l3594,216r1,-10l3598,196r3,-8l3606,181r7,-5l3620,171r9,-3l3637,167r,xm3844,49r,119l3839,163r-5,-5l3829,155r-6,-3l3818,150r-6,-2l3806,147r-8,l3792,147r-7,1l3778,150r-5,2l3767,155r-5,3l3757,162r-4,4l3748,171r-3,6l3742,182r-2,6l3737,195r-1,7l3735,208r,8l3735,223r1,8l3737,238r3,6l3742,251r4,6l3748,262r5,5l3757,271r5,5l3767,278r6,4l3780,283r6,3l3792,287r6,l3806,287r6,-1l3818,283r6,-2l3831,278r5,-4l3841,269r3,-5l3844,283r24,l3868,49r-24,xm3802,167r9,1l3818,171r8,4l3833,180r5,7l3843,195r3,10l3846,216r,11l3843,237r-4,7l3834,252r-7,6l3819,262r-8,2l3802,266r-10,-2l3785,262r-8,-4l3771,252r-5,-8l3761,236r-3,-10l3758,216r2,-10l3762,197r4,-9l3771,181r6,-5l3785,171r8,-3l3802,167r,xm4026,221r,-4l4026,202r-4,-14l4020,182r-4,-6l4014,171r-4,-5l4005,162r-5,-4l3995,155r-6,-3l3984,150r-6,-2l3970,147r-7,l3956,147r-7,1l3943,150r-6,2l3932,155r-5,3l3922,162r-5,4l3913,171r-4,5l3907,182r-3,6l3900,202r-1,15l3899,224r1,8l3902,238r2,8l3907,252r2,5l3913,262r4,5l3922,272r5,4l3932,279r6,3l3944,283r6,3l3958,287r6,l3974,286r9,-2l3991,282r8,-5l4006,272r8,-6l4020,258r5,-9l4006,238r-5,6l3996,251r-3,5l3988,259r-5,3l3978,264r-7,2l3965,266r-9,-2l3949,263r-8,-5l3935,253r-5,-6l3927,239r-3,-8l3923,221r103,xm3924,202r3,-7l3929,188r4,-6l3938,177r6,-4l3950,170r6,-2l3964,167r6,1l3978,170r6,2l3989,177r5,5l3998,187r2,8l4003,202r-79,xm4131,171r-4,-6l4123,160r-3,-4l4116,152r-5,-2l4106,148r-6,-1l4093,147r-7,l4079,150r-7,3l4066,157r-5,6l4059,170r-3,6l4055,183r1,7l4057,196r3,5l4064,205r5,5l4075,213r9,5l4093,223r12,5l4111,233r2,3l4115,238r,4l4115,244r,5l4113,253r-1,4l4108,259r-2,3l4102,264r-4,2l4093,266r-4,l4085,264r-4,-1l4079,261r-7,-7l4067,244r-21,9l4050,261r5,6l4060,273r5,5l4071,282r6,2l4085,286r8,1l4102,286r9,-3l4118,279r8,-5l4131,268r4,-7l4137,252r1,-9l4137,234r-2,-7l4130,220r-7,-5l4115,208r-17,-7l4089,196r-8,-4l4080,190r-1,-3l4077,185r,-3l4079,177r3,-5l4087,168r6,-1l4098,168r5,3l4108,175r4,6l4131,171xm4270,150r,18l4265,163r-5,-5l4255,155r-5,-3l4244,150r-6,-3l4232,147r-8,-1l4218,147r-6,l4206,150r-7,2l4193,155r-5,3l4183,162r-4,4l4174,171r-2,5l4168,182r-2,6l4162,201r-1,15l4161,223r1,8l4163,237r3,7l4168,251r4,5l4176,262r3,5l4183,271r5,5l4194,278r5,4l4206,283r6,3l4218,287r8,l4232,287r6,-1l4244,283r6,-2l4255,278r7,-4l4267,269r3,-5l4270,283r24,l4294,150r-24,xm4228,167r10,1l4247,171r7,4l4260,181r5,7l4269,196r3,10l4273,216r-1,11l4269,236r-4,8l4260,252r-6,6l4245,262r-7,2l4228,266r-9,-2l4211,262r-8,-4l4197,252r-5,-8l4188,236r-2,-10l4184,216r2,-10l4188,196r4,-8l4197,181r6,-5l4211,171r8,-3l4228,167r,xm4273,82r-24,-9l4216,119r15,7l4273,82xm4359,171r24,l4383,150r-24,l4359,101r-23,l4336,150r-13,l4323,171r13,l4336,283r23,l4359,171xm4523,221r,-4l4522,202r-4,-14l4516,182r-3,-6l4510,171r-4,-5l4501,162r-5,-4l4491,155r-5,-3l4480,150r-7,-2l4466,147r-6,l4452,147r-6,1l4440,150r-6,2l4427,155r-5,3l4417,162r-5,4l4409,171r-4,5l4402,182r-2,6l4396,202r-1,15l4395,224r1,8l4397,238r3,8l4402,252r4,5l4409,262r5,5l4417,272r5,4l4429,279r5,3l4440,283r6,3l4454,287r7,l4470,286r10,-2l4487,282r9,-5l4503,272r7,-6l4516,258r6,-9l4502,238r-5,6l4493,251r-5,5l4483,259r-5,3l4473,264r-6,2l4461,266r-9,-2l4445,263r-8,-5l4431,253r-5,-6l4422,239r-2,-8l4419,221r104,xm4421,202r1,-7l4425,188r5,-6l4435,177r5,-4l4446,170r6,-2l4460,167r7,1l4473,170r7,2l4485,177r5,5l4493,187r4,8l4498,202r-77,xm4503,82r-25,-9l4445,119r15,7l4503,82xm4554,150r,133l4577,283r,-72l4578,201r,-8l4581,187r1,-5l4587,176r5,-5l4599,168r8,-1l4612,168r5,2l4622,172r2,4l4628,182r1,6l4630,196r,7l4630,283r24,l4654,210r,-10l4655,191r3,-8l4660,177r5,-4l4669,170r6,-2l4683,167r5,l4693,170r5,2l4700,176r3,5l4705,186r1,7l4706,202r,81l4729,283r,-85l4729,187r-1,-9l4725,171r-4,-6l4719,161r-4,-4l4711,153r-5,-2l4701,150r-5,-3l4692,147r-7,-1l4679,147r-5,1l4668,150r-5,2l4658,155r-4,3l4650,163r-3,5l4644,163r-4,-5l4637,155r-5,-3l4627,150r-5,-2l4617,147r-6,-1l4601,147r-9,4l4584,156r-7,9l4577,150r-23,xm4887,171r-7,5l4873,181r-6,5l4863,192r-3,8l4857,207r-1,8l4855,223r1,8l4856,237r2,6l4860,248r6,11l4873,268r10,8l4895,282r12,4l4921,287r12,-1l4946,282r11,-6l4967,268r7,-9l4979,248r3,-6l4983,236r1,-7l4984,223r,-8l4983,207r-4,-7l4977,192r-5,-6l4967,181r-6,-5l4953,171r6,-4l4964,163r5,-6l4973,152r3,-7l4978,139r1,-8l4981,125r-2,-13l4976,101r-5,-10l4963,82r-9,-7l4944,70r-11,-4l4921,66r-13,l4897,70r-10,5l4877,82r-6,9l4865,101r-3,11l4861,125r,7l4862,139r3,7l4867,152r4,5l4876,162r5,5l4887,171xm4921,87r7,2l4934,90r7,4l4947,99r5,5l4954,110r3,7l4958,125r-1,7l4954,140r-2,6l4947,151r-6,5l4934,158r-6,3l4921,162r-8,-1l4906,158r-6,-2l4895,151r-5,-6l4886,139r-3,-7l4883,124r2,-7l4886,110r4,-6l4895,99r5,-5l4906,90r7,-1l4921,87xm4920,182r8,1l4936,186r7,4l4949,195r5,5l4958,207r3,8l4961,223r,9l4958,239r-4,7l4949,252r-6,5l4936,261r-8,2l4920,264r-9,-1l4903,261r-6,-4l4891,252r-5,-6l4882,239r-2,-8l4878,222r2,-7l4882,207r4,-7l4891,195r6,-5l4903,186r9,-3l4920,182r,xm5090,91r,192l5114,283r,-214l5067,69r-13,22l5090,91xm5333,337r24,l5357,69r-24,l5333,337xm5587,91r,192l5611,283r,-214l5565,69r-13,22l5587,91xm5770,66r-7,l5755,68r-7,2l5741,74r-7,5l5728,84r-6,6l5717,97r-5,8l5707,114r-4,8l5701,132r-3,10l5696,152r-2,11l5694,175r,11l5696,197r1,10l5699,217r3,10l5706,236r3,8l5714,252r5,7l5726,267r7,5l5739,277r8,4l5755,284r8,2l5770,287r8,-1l5787,284r7,-3l5802,277r6,-4l5814,267r6,-6l5827,253r4,-7l5835,237r4,-9l5841,218r3,-10l5845,197r1,-10l5848,176r-2,-13l5845,152r-1,-10l5841,132r-3,-10l5834,114r-4,-9l5825,97r-5,-7l5814,84r-6,-5l5802,74r-8,-4l5787,68r-8,-2l5770,66r,xm5770,87r7,l5782,89r5,2l5792,94r5,3l5800,102r5,5l5809,112r6,14l5820,141r3,16l5824,176r-1,17l5820,211r-5,15l5808,238r-4,6l5800,249r-3,4l5792,257r-5,4l5782,262r-5,1l5770,264r-5,l5759,262r-5,-1l5749,258r-5,-4l5741,249r-4,-5l5733,239r-6,-13l5722,211r-4,-18l5718,176r,-19l5722,141r5,-15l5733,112r4,-5l5741,102r5,-5l5749,94r5,-3l5759,89r6,-2l5770,87xm5949,66r-9,l5932,68r-7,2l5917,74r-6,5l5905,84r-6,6l5894,97r-5,8l5885,114r-5,8l5878,132r-3,10l5873,152r-2,11l5871,175r,11l5873,197r1,10l5876,217r3,10l5883,236r5,8l5891,252r7,7l5904,267r6,5l5917,277r8,4l5932,284r8,2l5949,287r7,-1l5964,284r7,-3l5978,277r7,-4l5992,267r6,-6l6003,253r5,-7l6012,237r4,-9l6020,218r1,-10l6023,197r2,-10l6025,176r,-13l6023,152r-2,-10l6018,132r-2,-10l6012,114r-5,-9l6002,97r-5,-7l5991,84r-6,-5l5978,74r-7,-4l5964,68r-8,-2l5949,66r,xm5947,87r7,l5959,89r5,2l5969,94r5,3l5978,102r4,5l5986,112r6,14l5997,141r3,16l6001,176r-1,17l5997,211r-5,15l5986,238r-4,6l5977,249r-3,4l5969,257r-5,4l5959,262r-5,1l5949,264r-7,l5937,262r-5,-1l5927,258r-5,-4l5917,249r-3,-5l5910,239r-6,-13l5899,211r-3,-18l5895,176r1,-19l5899,141r5,-15l5910,112r4,-5l5917,102r5,-5l5927,94r5,-3l5937,89r5,-2l5947,87xm6174,171r-7,5l6160,181r-6,5l6150,192r-3,8l6144,207r-1,8l6142,223r1,8l6143,237r2,6l6147,248r6,11l6160,268r10,8l6182,282r12,4l6208,287r12,-1l6233,282r11,-6l6254,268r7,-9l6266,248r3,-6l6270,236r1,-7l6271,223r,-8l6270,207r-4,-7l6264,192r-5,-6l6254,181r-6,-5l6240,171r6,-4l6251,163r5,-6l6260,152r4,-7l6265,139r3,-8l6268,125r-2,-13l6263,101r-5,-10l6250,82r-9,-7l6231,70r-11,-4l6208,66r-13,l6184,70r-10,5l6165,82r-7,9l6152,101r-3,11l6148,125r,7l6149,139r3,7l6154,152r4,5l6163,162r5,5l6174,171xm6208,87r7,2l6221,90r7,4l6234,99r5,5l6241,110r3,7l6245,125r-1,7l6241,140r-2,6l6234,151r-6,5l6221,158r-6,3l6208,162r-8,-1l6193,158r-6,-2l6182,151r-5,-6l6173,139r-1,-7l6170,124r2,-7l6173,110r4,-6l6182,99r5,-5l6193,90r7,-1l6208,87xm6206,182r9,1l6223,186r7,4l6236,195r5,5l6245,207r3,8l6249,223r-1,9l6245,239r-4,7l6236,252r-6,5l6223,261r-8,2l6206,264r-7,-1l6190,261r-6,-4l6178,252r-5,-6l6169,239r-2,-8l6165,222r2,-7l6169,207r4,-7l6178,195r6,-5l6190,186r9,-3l6206,182r,xm6356,261r44,-50l6413,196r10,-13l6431,172r6,-10l6442,153r2,-7l6446,137r,-8l6446,122r-2,-6l6443,110r-2,-6l6434,94r-7,-10l6417,76r-11,-5l6400,69r-7,-1l6387,66r-7,l6371,66r-8,2l6355,70r-8,4l6341,77r-6,5l6329,89r-5,6l6320,102r-3,8l6315,120r-1,11l6337,131r2,-7l6340,116r1,-5l6345,106r2,-4l6351,99r4,-4l6360,92r3,-2l6370,89r5,-2l6380,87r8,2l6397,91r8,4l6411,100r5,5l6420,112r2,8l6423,129r-1,6l6421,141r-3,6l6415,155r-12,16l6386,192r-77,91l6446,283r,-22l6356,261xm6681,190r21,l6717,188r14,-3l6736,182r6,-2l6747,177r5,-4l6756,168r4,-3l6762,160r3,-5l6767,148r1,-6l6770,136r,-7l6770,122r-2,-6l6767,110r-2,-6l6762,99r-4,-7l6755,89r-5,-5l6745,80r-5,-3l6735,75r-6,-2l6714,70r-18,-1l6657,69r,214l6681,283r,-93xm6681,167r,-76l6699,91r12,l6720,94r9,2l6735,101r5,5l6743,112r3,9l6746,129r,8l6743,145r-3,7l6735,157r-8,5l6720,165r-9,2l6700,167r-19,xm6795,150r,133l6817,283r,-71l6817,202r1,-9l6819,186r3,-5l6826,176r5,-4l6837,170r6,-2l6849,170r8,2l6868,152r-6,-2l6857,147r-5,l6847,146r-8,1l6832,150r-6,6l6817,165r,-15l6795,150xm6983,150r,18l6978,163r-5,-5l6968,155r-7,-3l6955,150r-6,-3l6943,147r-6,-1l6929,147r-6,l6917,150r-7,2l6905,155r-5,3l6895,162r-5,4l6887,171r-4,5l6881,182r-3,6l6874,201r-1,15l6873,223r1,8l6876,237r2,7l6881,251r2,5l6887,262r3,5l6895,271r5,5l6905,278r7,4l6917,283r6,3l6930,287r7,l6944,287r6,-1l6957,283r4,-2l6968,278r5,-4l6978,269r5,-5l6983,283r22,l7005,150r-22,xm6940,167r9,1l6958,171r7,4l6971,181r5,7l6981,196r3,10l6984,216r,11l6981,236r-5,8l6971,252r-6,6l6958,262r-9,2l6939,266r-9,-2l6922,262r-8,-4l6908,252r-5,-8l6899,236r-2,-10l6895,216r2,-10l6899,196r4,-8l6909,181r6,-5l6923,171r7,-3l6940,167xm7046,49r,234l7069,283r,-67l7069,206r1,-9l7071,190r3,-7l7079,177r6,-5l7094,168r8,-1l7110,168r5,2l7120,172r3,4l7126,181r2,5l7130,193r,9l7130,283r23,l7153,201r-1,-13l7151,180r-3,-8l7145,165r-3,-4l7138,157r-5,-2l7130,152r-5,-2l7118,148r-5,-1l7107,147r-11,l7086,151r-9,6l7069,166r,-117l7046,49xm7295,150r,18l7290,163r-6,-5l7279,155r-5,-3l7268,150r-6,-3l7256,147r-8,-1l7242,147r-6,l7229,150r-6,2l7217,155r-5,3l7207,162r-4,4l7199,171r-3,5l7192,182r-3,6l7186,201r-1,15l7186,223r,8l7187,237r2,7l7192,251r4,5l7199,262r4,5l7207,271r5,5l7218,278r5,4l7229,283r7,3l7242,287r7,l7256,287r6,-1l7268,283r6,-2l7279,278r6,-4l7290,269r5,-5l7295,283r23,l7318,150r-23,xm7252,167r10,1l7270,171r8,4l7284,181r5,7l7293,196r2,10l7297,216r-2,11l7293,236r-4,8l7284,252r-6,6l7270,262r-8,2l7252,266r-9,-2l7234,262r-7,-4l7221,252r-5,-8l7212,236r-3,-10l7208,216r1,-10l7212,196r4,-8l7221,181r6,-5l7234,171r9,-3l7252,167r,xm7501,91r,192l7525,283r,-214l7477,69r-12,22l7501,91xm7684,66r-7,l7668,68r-8,2l7654,74r-7,5l7640,84r-4,6l7629,97r-5,8l7621,114r-4,8l7613,132r-2,10l7609,152r-1,11l7607,175r1,11l7608,197r3,10l7612,217r4,10l7619,236r4,8l7628,252r5,7l7639,267r6,5l7653,277r7,4l7668,284r9,2l7684,287r8,-1l7699,284r8,-3l7714,277r7,-4l7728,267r6,-6l7739,253r5,-7l7748,237r3,-9l7755,218r3,-10l7759,197r1,-10l7760,176r,-13l7759,152r-3,-10l7754,132r-3,-10l7748,114r-5,-9l7739,97r-6,-7l7728,84r-7,-5l7714,74r-6,-4l7700,68r-8,-2l7684,66r,xm7684,87r5,l7694,89r6,2l7705,94r4,3l7714,102r4,5l7721,112r7,14l7733,141r3,16l7736,176r,17l7733,211r-5,15l7721,238r-3,6l7714,249r-5,4l7705,257r-5,4l7695,262r-6,1l7684,264r-6,l7673,262r-5,-1l7663,258r-5,-4l7653,249r-4,-5l7645,239r-6,-13l7634,211r-2,-18l7631,176r1,-19l7634,141r5,-15l7645,112r4,-5l7654,102r4,-5l7663,94r5,-3l7673,89r5,-2l7684,87xe" fillcolor="#0071bc" stroked="f">
            <v:path arrowok="t"/>
            <o:lock v:ext="edit" verticies="t"/>
          </v:shape>
          <w10:wrap anchorx="page" anchory="page"/>
        </v:group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oNotTrackMoves/>
  <w:defaultTabStop w:val="720"/>
  <w:hyphenationZone w:val="425"/>
  <w:characterSpacingControl w:val="doNotCompress"/>
  <w:hdrShapeDefaults>
    <o:shapedefaults v:ext="edit" spidmax="15362">
      <o:colormru v:ext="edit" colors="#0071bc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7359D"/>
    <w:rsid w:val="00007430"/>
    <w:rsid w:val="00017F2C"/>
    <w:rsid w:val="00043BF4"/>
    <w:rsid w:val="000843A5"/>
    <w:rsid w:val="00090D98"/>
    <w:rsid w:val="000B6F63"/>
    <w:rsid w:val="000E6080"/>
    <w:rsid w:val="000F5B28"/>
    <w:rsid w:val="0012117B"/>
    <w:rsid w:val="00127216"/>
    <w:rsid w:val="001404AB"/>
    <w:rsid w:val="00163918"/>
    <w:rsid w:val="001658A9"/>
    <w:rsid w:val="0017231D"/>
    <w:rsid w:val="00175ABA"/>
    <w:rsid w:val="001810DC"/>
    <w:rsid w:val="001A59BF"/>
    <w:rsid w:val="001B607F"/>
    <w:rsid w:val="001D2496"/>
    <w:rsid w:val="001D369A"/>
    <w:rsid w:val="001F6C45"/>
    <w:rsid w:val="002070FB"/>
    <w:rsid w:val="00213729"/>
    <w:rsid w:val="002406FA"/>
    <w:rsid w:val="002B2E47"/>
    <w:rsid w:val="002D6A6C"/>
    <w:rsid w:val="003301A3"/>
    <w:rsid w:val="0036777B"/>
    <w:rsid w:val="0038282A"/>
    <w:rsid w:val="00397580"/>
    <w:rsid w:val="003A1794"/>
    <w:rsid w:val="003A45C8"/>
    <w:rsid w:val="003C2DCF"/>
    <w:rsid w:val="003C7FE7"/>
    <w:rsid w:val="003D0499"/>
    <w:rsid w:val="003F526A"/>
    <w:rsid w:val="00405244"/>
    <w:rsid w:val="004436EE"/>
    <w:rsid w:val="0045547F"/>
    <w:rsid w:val="00461AA0"/>
    <w:rsid w:val="004920AD"/>
    <w:rsid w:val="004D05B3"/>
    <w:rsid w:val="004E479E"/>
    <w:rsid w:val="004F78E6"/>
    <w:rsid w:val="00512D99"/>
    <w:rsid w:val="00531DBB"/>
    <w:rsid w:val="005320B3"/>
    <w:rsid w:val="00544B6D"/>
    <w:rsid w:val="00553DAA"/>
    <w:rsid w:val="005646B3"/>
    <w:rsid w:val="0057359D"/>
    <w:rsid w:val="00576430"/>
    <w:rsid w:val="005A7433"/>
    <w:rsid w:val="005F699D"/>
    <w:rsid w:val="005F79FB"/>
    <w:rsid w:val="00604406"/>
    <w:rsid w:val="00605F4A"/>
    <w:rsid w:val="00607822"/>
    <w:rsid w:val="006103AA"/>
    <w:rsid w:val="00613BBF"/>
    <w:rsid w:val="00622B80"/>
    <w:rsid w:val="0064139A"/>
    <w:rsid w:val="006C09DD"/>
    <w:rsid w:val="006E024F"/>
    <w:rsid w:val="006E4E81"/>
    <w:rsid w:val="00707F7D"/>
    <w:rsid w:val="00717EC5"/>
    <w:rsid w:val="00737B80"/>
    <w:rsid w:val="007A57F2"/>
    <w:rsid w:val="007B1333"/>
    <w:rsid w:val="007E23A3"/>
    <w:rsid w:val="007F4AEB"/>
    <w:rsid w:val="007F75B2"/>
    <w:rsid w:val="008043C4"/>
    <w:rsid w:val="00815588"/>
    <w:rsid w:val="00830309"/>
    <w:rsid w:val="00831B1B"/>
    <w:rsid w:val="00861D0E"/>
    <w:rsid w:val="00867569"/>
    <w:rsid w:val="008A18A9"/>
    <w:rsid w:val="008A750A"/>
    <w:rsid w:val="008C384C"/>
    <w:rsid w:val="008D0F11"/>
    <w:rsid w:val="008F73B4"/>
    <w:rsid w:val="0090741A"/>
    <w:rsid w:val="00931A52"/>
    <w:rsid w:val="009B55B1"/>
    <w:rsid w:val="00A14328"/>
    <w:rsid w:val="00A4343D"/>
    <w:rsid w:val="00A47149"/>
    <w:rsid w:val="00A502F1"/>
    <w:rsid w:val="00A56C80"/>
    <w:rsid w:val="00A70A83"/>
    <w:rsid w:val="00A81EB3"/>
    <w:rsid w:val="00AC590A"/>
    <w:rsid w:val="00B00C1D"/>
    <w:rsid w:val="00B33194"/>
    <w:rsid w:val="00BA439F"/>
    <w:rsid w:val="00BA6370"/>
    <w:rsid w:val="00BC748B"/>
    <w:rsid w:val="00C269D4"/>
    <w:rsid w:val="00C4160D"/>
    <w:rsid w:val="00C8406E"/>
    <w:rsid w:val="00C91F62"/>
    <w:rsid w:val="00CB2709"/>
    <w:rsid w:val="00CB6F89"/>
    <w:rsid w:val="00CE228C"/>
    <w:rsid w:val="00CF545B"/>
    <w:rsid w:val="00D27D69"/>
    <w:rsid w:val="00D448C2"/>
    <w:rsid w:val="00D666C3"/>
    <w:rsid w:val="00DD1EAE"/>
    <w:rsid w:val="00DF47FE"/>
    <w:rsid w:val="00E26704"/>
    <w:rsid w:val="00E31980"/>
    <w:rsid w:val="00E42E00"/>
    <w:rsid w:val="00E6423C"/>
    <w:rsid w:val="00E80375"/>
    <w:rsid w:val="00E80F65"/>
    <w:rsid w:val="00E93830"/>
    <w:rsid w:val="00E93E0E"/>
    <w:rsid w:val="00EA7B94"/>
    <w:rsid w:val="00EB1ED3"/>
    <w:rsid w:val="00EB4B5C"/>
    <w:rsid w:val="00EC2D51"/>
    <w:rsid w:val="00ED7B69"/>
    <w:rsid w:val="00F13564"/>
    <w:rsid w:val="00F26395"/>
    <w:rsid w:val="00F32DA4"/>
    <w:rsid w:val="00F5012F"/>
    <w:rsid w:val="00F6244A"/>
    <w:rsid w:val="00FB687C"/>
    <w:rsid w:val="00FF79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ru v:ext="edit" colors="#0071b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0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/>
    <w:lsdException w:name="Body Text Indent 3" w:uiPriority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n">
    <w:name w:val="Normal"/>
    <w:aliases w:val="Text_"/>
    <w:qFormat/>
    <w:rsid w:val="00D27D69"/>
    <w:pPr>
      <w:spacing w:line="276" w:lineRule="auto"/>
      <w:jc w:val="both"/>
    </w:pPr>
    <w:rPr>
      <w:rFonts w:ascii="Arial" w:hAnsi="Arial"/>
      <w:szCs w:val="22"/>
      <w:lang w:eastAsia="en-US"/>
    </w:rPr>
  </w:style>
  <w:style w:type="paragraph" w:styleId="Nadpis1">
    <w:name w:val="heading 1"/>
    <w:aliases w:val="Mezititulek_"/>
    <w:next w:val="Normln"/>
    <w:link w:val="Nadpis1Char"/>
    <w:uiPriority w:val="9"/>
    <w:qFormat/>
    <w:rsid w:val="00E6423C"/>
    <w:pPr>
      <w:keepNext/>
      <w:keepLines/>
      <w:spacing w:line="276" w:lineRule="auto"/>
      <w:outlineLvl w:val="0"/>
    </w:pPr>
    <w:rPr>
      <w:rFonts w:ascii="Arial" w:eastAsia="Times New Roman" w:hAnsi="Arial"/>
      <w:b/>
      <w:bCs/>
      <w:szCs w:val="28"/>
      <w:lang w:eastAsia="en-US"/>
    </w:rPr>
  </w:style>
  <w:style w:type="paragraph" w:styleId="Nadpis2">
    <w:name w:val="heading 2"/>
    <w:next w:val="Normln"/>
    <w:link w:val="Nadpis2Char"/>
    <w:uiPriority w:val="9"/>
    <w:unhideWhenUsed/>
    <w:rsid w:val="00A4343D"/>
    <w:pPr>
      <w:keepNext/>
      <w:keepLines/>
      <w:spacing w:line="480" w:lineRule="exact"/>
      <w:outlineLvl w:val="1"/>
    </w:pPr>
    <w:rPr>
      <w:rFonts w:ascii="Arial" w:eastAsia="Times New Roman" w:hAnsi="Arial"/>
      <w:b/>
      <w:bCs/>
      <w:sz w:val="28"/>
      <w:szCs w:val="26"/>
      <w:lang w:eastAsia="en-US"/>
    </w:rPr>
  </w:style>
  <w:style w:type="paragraph" w:styleId="Nadpis3">
    <w:name w:val="heading 3"/>
    <w:aliases w:val="Mezititulek"/>
    <w:basedOn w:val="Normln"/>
    <w:next w:val="Normln"/>
    <w:link w:val="Nadpis3Char"/>
    <w:unhideWhenUsed/>
    <w:qFormat/>
    <w:rsid w:val="001810DC"/>
    <w:pPr>
      <w:keepNext/>
      <w:keepLines/>
      <w:spacing w:before="200"/>
      <w:jc w:val="left"/>
      <w:outlineLvl w:val="2"/>
    </w:pPr>
    <w:rPr>
      <w:rFonts w:eastAsia="Times New Roman"/>
      <w:b/>
      <w:bCs/>
      <w:szCs w:val="20"/>
      <w:lang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A6370"/>
    <w:pPr>
      <w:tabs>
        <w:tab w:val="center" w:pos="4703"/>
        <w:tab w:val="right" w:pos="9406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A6370"/>
  </w:style>
  <w:style w:type="paragraph" w:styleId="Zpat">
    <w:name w:val="footer"/>
    <w:basedOn w:val="Normln"/>
    <w:link w:val="ZpatChar"/>
    <w:uiPriority w:val="99"/>
    <w:unhideWhenUsed/>
    <w:rsid w:val="00BA6370"/>
    <w:pPr>
      <w:tabs>
        <w:tab w:val="center" w:pos="4703"/>
        <w:tab w:val="right" w:pos="9406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A6370"/>
  </w:style>
  <w:style w:type="paragraph" w:styleId="Textbubliny">
    <w:name w:val="Balloon Text"/>
    <w:basedOn w:val="Normln"/>
    <w:link w:val="TextbublinyChar"/>
    <w:uiPriority w:val="99"/>
    <w:semiHidden/>
    <w:unhideWhenUsed/>
    <w:rsid w:val="00BA6370"/>
    <w:pPr>
      <w:spacing w:line="240" w:lineRule="auto"/>
    </w:pPr>
    <w:rPr>
      <w:rFonts w:ascii="Tahoma" w:hAnsi="Tahoma"/>
      <w:sz w:val="16"/>
      <w:szCs w:val="16"/>
      <w:lang/>
    </w:rPr>
  </w:style>
  <w:style w:type="character" w:customStyle="1" w:styleId="TextbublinyChar">
    <w:name w:val="Text bubliny Char"/>
    <w:link w:val="Textbubliny"/>
    <w:uiPriority w:val="99"/>
    <w:semiHidden/>
    <w:rsid w:val="00BA6370"/>
    <w:rPr>
      <w:rFonts w:ascii="Tahoma" w:hAnsi="Tahoma" w:cs="Tahoma"/>
      <w:sz w:val="16"/>
      <w:szCs w:val="16"/>
    </w:rPr>
  </w:style>
  <w:style w:type="paragraph" w:customStyle="1" w:styleId="Zkladnodstavec">
    <w:name w:val="[Základní odstavec]"/>
    <w:basedOn w:val="Normln"/>
    <w:uiPriority w:val="99"/>
    <w:rsid w:val="00BA6370"/>
    <w:pPr>
      <w:autoSpaceDE w:val="0"/>
      <w:autoSpaceDN w:val="0"/>
      <w:adjustRightInd w:val="0"/>
      <w:spacing w:line="288" w:lineRule="auto"/>
      <w:textAlignment w:val="center"/>
    </w:pPr>
    <w:rPr>
      <w:rFonts w:ascii="TimesNewRomanPSMT" w:hAnsi="TimesNewRomanPSMT" w:cs="TimesNewRomanPSMT"/>
      <w:color w:val="000000"/>
      <w:sz w:val="24"/>
      <w:szCs w:val="24"/>
    </w:rPr>
  </w:style>
  <w:style w:type="paragraph" w:customStyle="1" w:styleId="Datum">
    <w:name w:val="Datum_"/>
    <w:qFormat/>
    <w:rsid w:val="00622B80"/>
    <w:pPr>
      <w:spacing w:line="276" w:lineRule="auto"/>
    </w:pPr>
    <w:rPr>
      <w:rFonts w:ascii="Arial" w:hAnsi="Arial" w:cs="Arial"/>
      <w:b/>
      <w:sz w:val="18"/>
      <w:szCs w:val="22"/>
      <w:lang w:eastAsia="en-US"/>
    </w:rPr>
  </w:style>
  <w:style w:type="character" w:customStyle="1" w:styleId="Nadpis1Char">
    <w:name w:val="Nadpis 1 Char"/>
    <w:aliases w:val="Mezititulek_ Char"/>
    <w:link w:val="Nadpis1"/>
    <w:uiPriority w:val="9"/>
    <w:rsid w:val="00E6423C"/>
    <w:rPr>
      <w:rFonts w:ascii="Arial" w:eastAsia="Times New Roman" w:hAnsi="Arial"/>
      <w:b/>
      <w:bCs/>
      <w:szCs w:val="28"/>
      <w:lang w:eastAsia="en-US" w:bidi="ar-SA"/>
    </w:rPr>
  </w:style>
  <w:style w:type="character" w:customStyle="1" w:styleId="Nadpis2Char">
    <w:name w:val="Nadpis 2 Char"/>
    <w:link w:val="Nadpis2"/>
    <w:uiPriority w:val="9"/>
    <w:rsid w:val="00A4343D"/>
    <w:rPr>
      <w:rFonts w:ascii="Arial" w:eastAsia="Times New Roman" w:hAnsi="Arial"/>
      <w:b/>
      <w:bCs/>
      <w:sz w:val="28"/>
      <w:szCs w:val="26"/>
      <w:lang w:eastAsia="en-US" w:bidi="ar-SA"/>
    </w:rPr>
  </w:style>
  <w:style w:type="paragraph" w:customStyle="1" w:styleId="Poznmky">
    <w:name w:val="Poznámky"/>
    <w:next w:val="Poznmky0"/>
    <w:rsid w:val="008C384C"/>
    <w:pPr>
      <w:pBdr>
        <w:top w:val="single" w:sz="4" w:space="9" w:color="auto"/>
      </w:pBdr>
      <w:spacing w:before="624" w:line="240" w:lineRule="exact"/>
    </w:pPr>
    <w:rPr>
      <w:rFonts w:ascii="Arial" w:hAnsi="Arial" w:cs="ArialMT"/>
      <w:color w:val="000000"/>
      <w:sz w:val="18"/>
      <w:szCs w:val="18"/>
      <w:lang w:eastAsia="en-US"/>
    </w:rPr>
  </w:style>
  <w:style w:type="paragraph" w:customStyle="1" w:styleId="Poznmky0">
    <w:name w:val="Poznámky_"/>
    <w:next w:val="Normln"/>
    <w:qFormat/>
    <w:rsid w:val="002D6A6C"/>
    <w:pPr>
      <w:pBdr>
        <w:top w:val="single" w:sz="4" w:space="9" w:color="auto"/>
      </w:pBdr>
      <w:spacing w:before="280" w:line="276" w:lineRule="auto"/>
      <w:jc w:val="both"/>
    </w:pPr>
    <w:rPr>
      <w:rFonts w:ascii="Arial" w:hAnsi="Arial" w:cs="ArialMT"/>
      <w:i/>
      <w:sz w:val="18"/>
      <w:szCs w:val="18"/>
      <w:lang w:eastAsia="en-US"/>
    </w:rPr>
  </w:style>
  <w:style w:type="character" w:customStyle="1" w:styleId="Nadpis3Char">
    <w:name w:val="Nadpis 3 Char"/>
    <w:aliases w:val="Mezititulek Char"/>
    <w:link w:val="Nadpis3"/>
    <w:rsid w:val="001810DC"/>
    <w:rPr>
      <w:rFonts w:ascii="Arial" w:eastAsia="Times New Roman" w:hAnsi="Arial" w:cs="Times New Roman"/>
      <w:b/>
      <w:bCs/>
      <w:sz w:val="20"/>
      <w:lang w:val="cs-CZ"/>
    </w:rPr>
  </w:style>
  <w:style w:type="character" w:styleId="Hypertextovodkaz">
    <w:name w:val="Hyperlink"/>
    <w:uiPriority w:val="99"/>
    <w:unhideWhenUsed/>
    <w:rsid w:val="004E479E"/>
    <w:rPr>
      <w:color w:val="0000FF"/>
      <w:u w:val="single"/>
    </w:rPr>
  </w:style>
  <w:style w:type="paragraph" w:customStyle="1" w:styleId="Perex">
    <w:name w:val="Perex_"/>
    <w:next w:val="Normln"/>
    <w:qFormat/>
    <w:rsid w:val="00D27D69"/>
    <w:pPr>
      <w:autoSpaceDE w:val="0"/>
      <w:autoSpaceDN w:val="0"/>
      <w:adjustRightInd w:val="0"/>
      <w:spacing w:after="280" w:line="276" w:lineRule="auto"/>
      <w:jc w:val="both"/>
    </w:pPr>
    <w:rPr>
      <w:rFonts w:ascii="Arial" w:hAnsi="Arial" w:cs="Arial"/>
      <w:b/>
      <w:szCs w:val="18"/>
      <w:lang w:eastAsia="en-US"/>
    </w:rPr>
  </w:style>
  <w:style w:type="paragraph" w:styleId="Nzev">
    <w:name w:val="Title"/>
    <w:aliases w:val="Titulek_"/>
    <w:next w:val="Normln"/>
    <w:link w:val="NzevChar"/>
    <w:uiPriority w:val="10"/>
    <w:qFormat/>
    <w:rsid w:val="003C2DCF"/>
    <w:pPr>
      <w:spacing w:before="280" w:after="280" w:line="360" w:lineRule="exact"/>
      <w:outlineLvl w:val="0"/>
    </w:pPr>
    <w:rPr>
      <w:rFonts w:ascii="Arial" w:eastAsia="Times New Roman" w:hAnsi="Arial"/>
      <w:b/>
      <w:bCs/>
      <w:color w:val="BD1B21"/>
      <w:sz w:val="32"/>
      <w:szCs w:val="32"/>
      <w:lang w:eastAsia="en-US"/>
    </w:rPr>
  </w:style>
  <w:style w:type="character" w:customStyle="1" w:styleId="NzevChar">
    <w:name w:val="Název Char"/>
    <w:aliases w:val="Titulek_ Char"/>
    <w:link w:val="Nzev"/>
    <w:uiPriority w:val="10"/>
    <w:rsid w:val="003C2DCF"/>
    <w:rPr>
      <w:rFonts w:ascii="Arial" w:eastAsia="Times New Roman" w:hAnsi="Arial"/>
      <w:b/>
      <w:bCs/>
      <w:color w:val="BD1B21"/>
      <w:sz w:val="32"/>
      <w:szCs w:val="32"/>
      <w:lang w:eastAsia="en-US" w:bidi="ar-SA"/>
    </w:rPr>
  </w:style>
  <w:style w:type="character" w:styleId="Odkazjemn">
    <w:name w:val="Subtle Reference"/>
    <w:uiPriority w:val="31"/>
    <w:rsid w:val="003A45C8"/>
    <w:rPr>
      <w:smallCaps/>
      <w:color w:val="C0504D"/>
      <w:u w:val="single"/>
    </w:rPr>
  </w:style>
  <w:style w:type="paragraph" w:customStyle="1" w:styleId="TabulkaGraf">
    <w:name w:val="Tabulka/Graf_"/>
    <w:next w:val="Normln"/>
    <w:link w:val="TabulkaGrafChar"/>
    <w:qFormat/>
    <w:rsid w:val="007A57F2"/>
    <w:pPr>
      <w:spacing w:line="276" w:lineRule="auto"/>
    </w:pPr>
    <w:rPr>
      <w:rFonts w:ascii="Arial" w:eastAsia="Times New Roman" w:hAnsi="Arial"/>
      <w:b/>
      <w:bCs/>
      <w:szCs w:val="28"/>
      <w:lang w:eastAsia="en-US"/>
    </w:rPr>
  </w:style>
  <w:style w:type="character" w:customStyle="1" w:styleId="TabulkaGrafChar">
    <w:name w:val="Tabulka/Graf_ Char"/>
    <w:link w:val="TabulkaGraf"/>
    <w:rsid w:val="007A57F2"/>
    <w:rPr>
      <w:rFonts w:ascii="Arial" w:eastAsia="Times New Roman" w:hAnsi="Arial"/>
      <w:b/>
      <w:bCs/>
      <w:szCs w:val="28"/>
      <w:lang w:eastAsia="en-US" w:bidi="ar-SA"/>
    </w:rPr>
  </w:style>
  <w:style w:type="paragraph" w:styleId="Zkladntext">
    <w:name w:val="Body Text"/>
    <w:basedOn w:val="Normln"/>
    <w:link w:val="ZkladntextChar"/>
    <w:semiHidden/>
    <w:rsid w:val="00F5012F"/>
    <w:pPr>
      <w:spacing w:line="240" w:lineRule="auto"/>
      <w:jc w:val="left"/>
    </w:pPr>
    <w:rPr>
      <w:rFonts w:eastAsia="Times New Roman" w:cs="Arial"/>
      <w:sz w:val="22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semiHidden/>
    <w:rsid w:val="00F5012F"/>
    <w:rPr>
      <w:rFonts w:ascii="Arial" w:eastAsia="Times New Roman" w:hAnsi="Arial" w:cs="Arial"/>
      <w:sz w:val="22"/>
      <w:szCs w:val="24"/>
    </w:rPr>
  </w:style>
  <w:style w:type="paragraph" w:styleId="Zkladntextodsazen3">
    <w:name w:val="Body Text Indent 3"/>
    <w:basedOn w:val="Normln"/>
    <w:link w:val="Zkladntextodsazen3Char"/>
    <w:semiHidden/>
    <w:rsid w:val="00F5012F"/>
    <w:pPr>
      <w:spacing w:before="120" w:line="288" w:lineRule="auto"/>
      <w:ind w:firstLine="360"/>
    </w:pPr>
    <w:rPr>
      <w:rFonts w:eastAsia="Times New Roman" w:cs="Arial"/>
      <w:szCs w:val="19"/>
      <w:lang w:eastAsia="cs-CZ"/>
    </w:rPr>
  </w:style>
  <w:style w:type="character" w:customStyle="1" w:styleId="Zkladntextodsazen3Char">
    <w:name w:val="Základní text odsazený 3 Char"/>
    <w:basedOn w:val="Standardnpsmoodstavce"/>
    <w:link w:val="Zkladntextodsazen3"/>
    <w:semiHidden/>
    <w:rsid w:val="00F5012F"/>
    <w:rPr>
      <w:rFonts w:ascii="Arial" w:eastAsia="Times New Roman" w:hAnsi="Arial" w:cs="Arial"/>
      <w:szCs w:val="19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963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2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5" Type="http://schemas.openxmlformats.org/officeDocument/2006/relationships/footnotes" Target="footnotes.xml"/><Relationship Id="rId15" Type="http://schemas.openxmlformats.org/officeDocument/2006/relationships/hyperlink" Target="mailto:silvie.lukavcova@czso.cz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w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servis@czso.cz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URINO~1\AppData\Local\Temp\Anal&#253;za%20CZ.dotx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E236BF-ED72-463A-AC8D-7DD826D780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Analýza CZ.dotx</Template>
  <TotalTime>0</TotalTime>
  <Pages>8</Pages>
  <Words>1716</Words>
  <Characters>10129</Characters>
  <Application>Microsoft Office Word</Application>
  <DocSecurity>0</DocSecurity>
  <Lines>84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ČSÚ</Company>
  <LinksUpToDate>false</LinksUpToDate>
  <CharactersWithSpaces>11822</CharactersWithSpaces>
  <SharedDoc>false</SharedDoc>
  <HLinks>
    <vt:vector size="6" baseType="variant">
      <vt:variant>
        <vt:i4>3342357</vt:i4>
      </vt:variant>
      <vt:variant>
        <vt:i4>0</vt:i4>
      </vt:variant>
      <vt:variant>
        <vt:i4>0</vt:i4>
      </vt:variant>
      <vt:variant>
        <vt:i4>5</vt:i4>
      </vt:variant>
      <vt:variant>
        <vt:lpwstr>mailto:infoservis@czso.cz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curinova3481</dc:creator>
  <cp:lastModifiedBy>curinova3481</cp:lastModifiedBy>
  <cp:revision>2</cp:revision>
  <cp:lastPrinted>2015-11-04T09:59:00Z</cp:lastPrinted>
  <dcterms:created xsi:type="dcterms:W3CDTF">2015-11-05T09:35:00Z</dcterms:created>
  <dcterms:modified xsi:type="dcterms:W3CDTF">2015-11-05T09:35:00Z</dcterms:modified>
</cp:coreProperties>
</file>