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D9" w:rsidRDefault="001B3BD9" w:rsidP="001B3BD9">
      <w:pPr>
        <w:pStyle w:val="Nadpis1"/>
      </w:pPr>
      <w:bookmarkStart w:id="0" w:name="_Toc499711606"/>
      <w:bookmarkStart w:id="1" w:name="_GoBack"/>
      <w:bookmarkEnd w:id="1"/>
      <w:r>
        <w:t>3. Zemřelí podle příčin smrti</w:t>
      </w:r>
      <w:bookmarkEnd w:id="0"/>
    </w:p>
    <w:p w:rsidR="004633E1" w:rsidRDefault="004633E1" w:rsidP="004633E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Nejvíce obyvatel ČR umíralo ve zkoumaném období na nemoci oběhové soustavy (téměř jedna polovina) a dále na novotvary (jedna čtvrtina zemřelých). S větším odstupem byly třetí nejčastější příčinou úmrtí (s 6% zastoupením) nemoci dýchací soustavy, které od roku 2012 početně překonaly vnější příčiny úmrtí. Páté nejčetnější (4 % zemřelých) byly z pohledu posledního desetiletí nemoci trávicí soustavy, které pouze v posledním roce početně převýšily úmrtí na n</w:t>
      </w:r>
      <w:r w:rsidRPr="00773379">
        <w:rPr>
          <w:rFonts w:cs="Arial"/>
          <w:szCs w:val="20"/>
        </w:rPr>
        <w:t>emoci endokrinní, výživy a přeměny látek</w:t>
      </w:r>
      <w:r>
        <w:rPr>
          <w:rFonts w:cs="Arial"/>
          <w:szCs w:val="20"/>
        </w:rPr>
        <w:t>. Vzhledem k odlišnému charakteru úmrtnosti podle pohlaví je vhodnější podrobněji analyzovat příčiny smrti v rozlišení na muže a ženy.</w:t>
      </w:r>
    </w:p>
    <w:p w:rsidR="00773379" w:rsidRDefault="00773379" w:rsidP="00773379">
      <w:pPr>
        <w:spacing w:after="0"/>
        <w:rPr>
          <w:rFonts w:cs="Arial"/>
          <w:szCs w:val="20"/>
        </w:rPr>
      </w:pPr>
    </w:p>
    <w:p w:rsidR="002974FF" w:rsidRDefault="006D13B3" w:rsidP="006666EE">
      <w:pPr>
        <w:spacing w:after="0"/>
      </w:pPr>
      <w:r>
        <w:t>Dlouhodobě jsou nejčastější příčinou úmrtí</w:t>
      </w:r>
      <w:r w:rsidR="00E73FC4">
        <w:t xml:space="preserve"> u mužů nemoci oběhové soustavy. Jejich podíl na všech </w:t>
      </w:r>
      <w:r w:rsidR="001E1DD5">
        <w:t>úmrtí mužů</w:t>
      </w:r>
      <w:r w:rsidR="00E73FC4">
        <w:t xml:space="preserve"> ovšem mezi roky 2006 a </w:t>
      </w:r>
      <w:r w:rsidR="005926DB">
        <w:t>2016 poklesl z 45,2 % na 40,6 %, v</w:t>
      </w:r>
      <w:r w:rsidR="00B7353E">
        <w:t> absolutním vyjádření z 23 810 na 22 257 zemřelých (viz příloh</w:t>
      </w:r>
      <w:r w:rsidR="001E1DD5">
        <w:t>ov</w:t>
      </w:r>
      <w:r w:rsidR="00B41620">
        <w:t>á tabulka 12</w:t>
      </w:r>
      <w:r w:rsidR="00B7353E">
        <w:t xml:space="preserve">), i když </w:t>
      </w:r>
      <w:r w:rsidR="004B15A2">
        <w:t>počty zemřelých kolísaly</w:t>
      </w:r>
      <w:r w:rsidR="002E6A2F">
        <w:rPr>
          <w:rStyle w:val="Znakapoznpodarou"/>
        </w:rPr>
        <w:footnoteReference w:id="1"/>
      </w:r>
      <w:r w:rsidR="00B7353E">
        <w:t>. Nejvíce se na tomto vývoji</w:t>
      </w:r>
      <w:r w:rsidR="006658C3">
        <w:t xml:space="preserve"> při srovnání let 2006 a 2016 </w:t>
      </w:r>
      <w:r w:rsidR="00B7353E">
        <w:t xml:space="preserve">podílel pokles </w:t>
      </w:r>
      <w:r w:rsidR="00646F09">
        <w:t>počtu úmrtí na cé</w:t>
      </w:r>
      <w:r w:rsidR="00B7353E">
        <w:t>vní nemoci mozku z 5 538 na 3 707, akutní infarkt myokardu z 3 781 na 2</w:t>
      </w:r>
      <w:r w:rsidR="00027325">
        <w:t xml:space="preserve"> 608 a </w:t>
      </w:r>
      <w:r w:rsidR="005926DB">
        <w:t xml:space="preserve">na </w:t>
      </w:r>
      <w:r w:rsidR="00027325">
        <w:t xml:space="preserve">aterosklerózu z 2 700 na 705. </w:t>
      </w:r>
      <w:r w:rsidR="00290E11">
        <w:t>V opačném směru se zvýšil počet úmrtí na selhání srdce z 1 292 na 2 095.</w:t>
      </w:r>
      <w:r w:rsidR="000C2060">
        <w:t xml:space="preserve"> V případě aterosklerózy a selhání srdce byl ovšem vývoj značně ovlivněn metodologickými změnami v </w:t>
      </w:r>
      <w:r w:rsidR="00FF4D2C">
        <w:t>letech</w:t>
      </w:r>
      <w:r w:rsidR="000C2060">
        <w:t xml:space="preserve"> </w:t>
      </w:r>
      <w:r w:rsidR="00CA445F">
        <w:t>2011</w:t>
      </w:r>
      <w:r w:rsidR="00FF4D2C">
        <w:t xml:space="preserve"> a 2013</w:t>
      </w:r>
      <w:r w:rsidR="00CA445F">
        <w:t xml:space="preserve"> (viz úvodní kapitola), které u ateros</w:t>
      </w:r>
      <w:r w:rsidR="006F7905">
        <w:t>k</w:t>
      </w:r>
      <w:r w:rsidR="00CA445F">
        <w:t>lerózy vedly ke snižování počtu úmrtí, zatímco u selhání srdce ke zv</w:t>
      </w:r>
      <w:r w:rsidR="00646F09">
        <w:t>ýšení</w:t>
      </w:r>
      <w:r w:rsidR="006F7905">
        <w:t xml:space="preserve"> v roce 2011 a snižování o dva roky později</w:t>
      </w:r>
      <w:r w:rsidR="00CA445F">
        <w:t xml:space="preserve">. </w:t>
      </w:r>
    </w:p>
    <w:p w:rsidR="006666EE" w:rsidRDefault="006666EE" w:rsidP="006666EE">
      <w:pPr>
        <w:spacing w:after="0"/>
        <w:rPr>
          <w:rFonts w:cs="Arial"/>
          <w:szCs w:val="20"/>
        </w:rPr>
      </w:pPr>
    </w:p>
    <w:p w:rsidR="00815403" w:rsidRDefault="00624621" w:rsidP="005167DE">
      <w:pPr>
        <w:rPr>
          <w:rFonts w:cs="Arial"/>
          <w:szCs w:val="20"/>
        </w:rPr>
      </w:pPr>
      <w:r>
        <w:rPr>
          <w:rFonts w:cs="Arial"/>
          <w:szCs w:val="20"/>
        </w:rPr>
        <w:t xml:space="preserve">Druhou nejčastější příčinou úmrtí u mužů byly </w:t>
      </w:r>
      <w:r w:rsidR="00203BB2">
        <w:rPr>
          <w:rFonts w:cs="Arial"/>
          <w:szCs w:val="20"/>
        </w:rPr>
        <w:t xml:space="preserve">v celém období </w:t>
      </w:r>
      <w:r>
        <w:rPr>
          <w:rFonts w:cs="Arial"/>
          <w:szCs w:val="20"/>
        </w:rPr>
        <w:t>novotvary. V letech 2006–2010 se jejich zastoupení pohybovalo mírně nad 29 %, v dalších letech potom v rozmezí 27,0–28,4 %.</w:t>
      </w:r>
      <w:r w:rsidR="001A04FC">
        <w:rPr>
          <w:rFonts w:cs="Arial"/>
          <w:szCs w:val="20"/>
        </w:rPr>
        <w:t xml:space="preserve"> Počty úmrtí na novotvary stagnovaly mezi roky 2006 a 2016 v rozmezí hodnot</w:t>
      </w:r>
      <w:r>
        <w:rPr>
          <w:rFonts w:cs="Arial"/>
          <w:szCs w:val="20"/>
        </w:rPr>
        <w:t xml:space="preserve"> </w:t>
      </w:r>
      <w:r w:rsidR="001A04FC">
        <w:rPr>
          <w:rFonts w:cs="Arial"/>
          <w:szCs w:val="20"/>
        </w:rPr>
        <w:t>15 105–15 865.</w:t>
      </w:r>
      <w:r w:rsidR="006E0015">
        <w:rPr>
          <w:rFonts w:cs="Arial"/>
          <w:szCs w:val="20"/>
        </w:rPr>
        <w:t xml:space="preserve"> Snižoval se počet úmr</w:t>
      </w:r>
      <w:r w:rsidR="00577EFA">
        <w:rPr>
          <w:rFonts w:cs="Arial"/>
          <w:szCs w:val="20"/>
        </w:rPr>
        <w:t xml:space="preserve">tí na novotvary průdušek a plic </w:t>
      </w:r>
      <w:r w:rsidR="006E0015">
        <w:rPr>
          <w:rFonts w:cs="Arial"/>
          <w:szCs w:val="20"/>
        </w:rPr>
        <w:t>(z 4 065 na 3 604) a novotvary tlustého střeva (z 1 397 na 1 183).</w:t>
      </w:r>
      <w:r w:rsidR="005926DB">
        <w:rPr>
          <w:rFonts w:cs="Arial"/>
          <w:szCs w:val="20"/>
        </w:rPr>
        <w:t xml:space="preserve"> Počet </w:t>
      </w:r>
      <w:r w:rsidR="00203F13">
        <w:rPr>
          <w:rFonts w:cs="Arial"/>
          <w:szCs w:val="20"/>
        </w:rPr>
        <w:t>zesnulých na novotvary prostaty</w:t>
      </w:r>
      <w:r w:rsidR="005926DB">
        <w:rPr>
          <w:rFonts w:cs="Arial"/>
          <w:szCs w:val="20"/>
        </w:rPr>
        <w:t xml:space="preserve"> stagnoval</w:t>
      </w:r>
      <w:r w:rsidR="00203F13">
        <w:rPr>
          <w:rFonts w:cs="Arial"/>
          <w:szCs w:val="20"/>
        </w:rPr>
        <w:t xml:space="preserve"> (1 275 až 1 509).</w:t>
      </w:r>
      <w:r w:rsidR="00276FDC">
        <w:rPr>
          <w:rFonts w:cs="Arial"/>
          <w:szCs w:val="20"/>
        </w:rPr>
        <w:t xml:space="preserve"> Naopak rostl počet zemřelých na novotvar slinivky břišní (z 860 na 1 058). </w:t>
      </w:r>
      <w:r w:rsidR="00203F13">
        <w:rPr>
          <w:rFonts w:cs="Arial"/>
          <w:szCs w:val="20"/>
        </w:rPr>
        <w:t xml:space="preserve"> </w:t>
      </w:r>
    </w:p>
    <w:p w:rsidR="005167DE" w:rsidRDefault="005167DE" w:rsidP="005167DE">
      <w:pPr>
        <w:spacing w:after="60"/>
        <w:rPr>
          <w:rFonts w:cs="Arial"/>
          <w:b/>
          <w:szCs w:val="20"/>
        </w:rPr>
      </w:pPr>
      <w:r w:rsidRPr="00E94E42">
        <w:rPr>
          <w:rFonts w:cs="Arial"/>
          <w:b/>
          <w:szCs w:val="20"/>
        </w:rPr>
        <w:t>Graf 6 Zemře</w:t>
      </w:r>
      <w:r>
        <w:rPr>
          <w:rFonts w:cs="Arial"/>
          <w:b/>
          <w:szCs w:val="20"/>
        </w:rPr>
        <w:t>lí muži podle vybraných kapitol</w:t>
      </w:r>
      <w:r w:rsidRPr="00E94E42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</w:rPr>
        <w:t xml:space="preserve"> </w:t>
      </w:r>
      <w:r w:rsidRPr="00E94E42">
        <w:rPr>
          <w:rFonts w:cs="Arial"/>
          <w:b/>
          <w:szCs w:val="20"/>
        </w:rPr>
        <w:t>příčin smrti v letech 2006–2016 (v %)</w:t>
      </w:r>
    </w:p>
    <w:p w:rsidR="005167DE" w:rsidRPr="001B3BD9" w:rsidRDefault="005167DE" w:rsidP="005167DE">
      <w:pPr>
        <w:spacing w:after="60"/>
      </w:pPr>
      <w:r w:rsidRPr="001E4123">
        <w:rPr>
          <w:noProof/>
        </w:rPr>
        <w:drawing>
          <wp:anchor distT="0" distB="0" distL="114300" distR="114300" simplePos="0" relativeHeight="251676160" behindDoc="1" locked="0" layoutInCell="1" allowOverlap="1" wp14:anchorId="57CA1B70" wp14:editId="7F8B79E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5429250" cy="2886075"/>
            <wp:effectExtent l="0" t="0" r="0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DE" w:rsidRDefault="005167DE" w:rsidP="005167DE">
      <w:pPr>
        <w:pStyle w:val="Nadpis2"/>
      </w:pPr>
    </w:p>
    <w:p w:rsidR="005167DE" w:rsidRDefault="005167DE" w:rsidP="005167DE">
      <w:pPr>
        <w:pStyle w:val="Nadpis2"/>
      </w:pPr>
    </w:p>
    <w:p w:rsidR="005167DE" w:rsidRDefault="005167DE" w:rsidP="005167DE">
      <w:pPr>
        <w:pStyle w:val="Nadpis2"/>
      </w:pPr>
    </w:p>
    <w:p w:rsidR="005167DE" w:rsidRDefault="005167DE" w:rsidP="005167DE">
      <w:pPr>
        <w:pStyle w:val="Nadpis2"/>
      </w:pPr>
    </w:p>
    <w:p w:rsidR="005167DE" w:rsidRDefault="005167DE" w:rsidP="005167DE">
      <w:pPr>
        <w:pStyle w:val="Nadpis2"/>
      </w:pPr>
    </w:p>
    <w:p w:rsidR="005167DE" w:rsidRDefault="005167DE" w:rsidP="005167DE">
      <w:pPr>
        <w:pStyle w:val="Nadpis2"/>
      </w:pPr>
    </w:p>
    <w:p w:rsidR="005167DE" w:rsidRDefault="005167DE" w:rsidP="005167DE">
      <w:pPr>
        <w:pStyle w:val="Nadpis2"/>
      </w:pPr>
    </w:p>
    <w:p w:rsidR="005167DE" w:rsidRDefault="005167DE" w:rsidP="005167DE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5167DE" w:rsidRDefault="005167DE" w:rsidP="005167DE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5167DE" w:rsidRDefault="005167DE" w:rsidP="005167DE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5167DE" w:rsidRDefault="005167DE" w:rsidP="005167DE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5167DE" w:rsidRDefault="005167DE" w:rsidP="005167DE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5167DE" w:rsidRPr="00530A00" w:rsidRDefault="005167DE" w:rsidP="005167DE">
      <w:pPr>
        <w:spacing w:before="120" w:after="60"/>
        <w:rPr>
          <w:rFonts w:ascii="Arial CE" w:hAnsi="Arial CE" w:cs="Arial CE"/>
          <w:i/>
          <w:iCs/>
          <w:sz w:val="16"/>
          <w:szCs w:val="16"/>
        </w:rPr>
      </w:pPr>
      <w:r w:rsidRPr="00530A00">
        <w:rPr>
          <w:rFonts w:ascii="Arial CE" w:hAnsi="Arial CE" w:cs="Arial CE"/>
          <w:i/>
          <w:iCs/>
          <w:sz w:val="16"/>
          <w:szCs w:val="16"/>
        </w:rPr>
        <w:t xml:space="preserve">1) II - Novotvary (C00 - D48); IV - Nemoci endokrinní, výživy a přeměny látek (E00 - E90); IX - Nemoci oběhové soustavy (I00 - I99); </w:t>
      </w:r>
      <w:r>
        <w:rPr>
          <w:rFonts w:ascii="Arial CE" w:hAnsi="Arial CE" w:cs="Arial CE"/>
          <w:i/>
          <w:iCs/>
          <w:sz w:val="16"/>
          <w:szCs w:val="16"/>
        </w:rPr>
        <w:t xml:space="preserve">    </w:t>
      </w:r>
      <w:r w:rsidRPr="00530A00">
        <w:rPr>
          <w:rFonts w:ascii="Arial CE" w:hAnsi="Arial CE" w:cs="Arial CE"/>
          <w:i/>
          <w:iCs/>
          <w:sz w:val="16"/>
          <w:szCs w:val="16"/>
        </w:rPr>
        <w:t xml:space="preserve">X - Nemoci dýchací soustavy (J00 - J99); XI - Nemoci trávicí soustavy (K00 - K93); XX - Vnější příčiny nemocnosti a úmrtnosti (V01 - Y98)   </w:t>
      </w:r>
    </w:p>
    <w:p w:rsidR="005167DE" w:rsidRDefault="005167DE" w:rsidP="005167DE">
      <w:pPr>
        <w:spacing w:after="0"/>
        <w:rPr>
          <w:rFonts w:cs="Arial"/>
          <w:szCs w:val="20"/>
        </w:rPr>
      </w:pPr>
    </w:p>
    <w:p w:rsidR="004633E1" w:rsidRDefault="002C034B" w:rsidP="004633E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Podíl úmrtí mužů na nemoci dýchací soustavy vzrostl z 5,7 %</w:t>
      </w:r>
      <w:r w:rsidR="00BE0554">
        <w:rPr>
          <w:rFonts w:cs="Arial"/>
          <w:szCs w:val="20"/>
        </w:rPr>
        <w:t xml:space="preserve"> na 7,3 % </w:t>
      </w:r>
      <w:r w:rsidR="002760AB">
        <w:rPr>
          <w:rFonts w:cs="Arial"/>
          <w:szCs w:val="20"/>
        </w:rPr>
        <w:t>při srovnání let</w:t>
      </w:r>
      <w:r w:rsidR="00BE0554">
        <w:rPr>
          <w:rFonts w:cs="Arial"/>
          <w:szCs w:val="20"/>
        </w:rPr>
        <w:t xml:space="preserve"> 2006 a 2016</w:t>
      </w:r>
      <w:r w:rsidR="002760AB">
        <w:rPr>
          <w:rFonts w:cs="Arial"/>
          <w:szCs w:val="20"/>
        </w:rPr>
        <w:t xml:space="preserve"> (trend nebyl plynulý</w:t>
      </w:r>
      <w:r w:rsidR="00B96687">
        <w:rPr>
          <w:rStyle w:val="Znakapoznpodarou"/>
          <w:rFonts w:cs="Arial"/>
          <w:szCs w:val="20"/>
        </w:rPr>
        <w:footnoteReference w:id="2"/>
      </w:r>
      <w:r w:rsidR="002760AB">
        <w:rPr>
          <w:rFonts w:cs="Arial"/>
          <w:szCs w:val="20"/>
        </w:rPr>
        <w:t>)</w:t>
      </w:r>
      <w:r w:rsidR="00BE0554">
        <w:rPr>
          <w:rFonts w:cs="Arial"/>
          <w:szCs w:val="20"/>
        </w:rPr>
        <w:t xml:space="preserve"> a absolutní růst byl z 3 013 na 3 984</w:t>
      </w:r>
      <w:r>
        <w:rPr>
          <w:rFonts w:cs="Arial"/>
          <w:szCs w:val="20"/>
        </w:rPr>
        <w:t xml:space="preserve"> </w:t>
      </w:r>
      <w:r w:rsidR="00BE0554">
        <w:rPr>
          <w:rFonts w:cs="Arial"/>
          <w:szCs w:val="20"/>
        </w:rPr>
        <w:t>zemřelých.</w:t>
      </w:r>
      <w:r w:rsidR="00F62CED">
        <w:rPr>
          <w:rFonts w:cs="Arial"/>
          <w:szCs w:val="20"/>
        </w:rPr>
        <w:t xml:space="preserve"> </w:t>
      </w:r>
      <w:r w:rsidR="005F062B">
        <w:rPr>
          <w:rFonts w:cs="Arial"/>
          <w:szCs w:val="20"/>
        </w:rPr>
        <w:t>Čtvrtou nejčastější příčinou smrti pro muže byly v letech 2013, 2015 a 2016 vnější příčiny nemocnosti a úmrtnosti , jejichž podíl na počtu úmrtí</w:t>
      </w:r>
      <w:r w:rsidR="000B7A13">
        <w:rPr>
          <w:rFonts w:cs="Arial"/>
          <w:szCs w:val="20"/>
        </w:rPr>
        <w:t xml:space="preserve"> </w:t>
      </w:r>
      <w:r w:rsidR="005F062B">
        <w:rPr>
          <w:rFonts w:cs="Arial"/>
          <w:szCs w:val="20"/>
        </w:rPr>
        <w:t xml:space="preserve">ale </w:t>
      </w:r>
      <w:r w:rsidR="000B7A13">
        <w:rPr>
          <w:rFonts w:cs="Arial"/>
          <w:szCs w:val="20"/>
        </w:rPr>
        <w:t>spíše klesal (byť s výkyvy) z 7,7 % v roce 2006 na 6,7 % o deset let později (z 4 802 na 3 667 zemřelých).</w:t>
      </w:r>
      <w:r w:rsidR="00257684">
        <w:rPr>
          <w:rFonts w:cs="Arial"/>
          <w:szCs w:val="20"/>
        </w:rPr>
        <w:t xml:space="preserve"> </w:t>
      </w:r>
      <w:r w:rsidR="004633E1">
        <w:rPr>
          <w:rFonts w:cs="Arial"/>
          <w:szCs w:val="20"/>
        </w:rPr>
        <w:t>V období 2006–2012 a v roce 2014 byly vnější příčiny dokonce třetí nejčastější příčinou úmrtí pro muže.</w:t>
      </w:r>
    </w:p>
    <w:p w:rsidR="005167DE" w:rsidRDefault="005167DE" w:rsidP="004633E1">
      <w:pPr>
        <w:spacing w:after="60"/>
        <w:rPr>
          <w:rFonts w:cs="Arial"/>
          <w:szCs w:val="20"/>
        </w:rPr>
      </w:pPr>
    </w:p>
    <w:p w:rsidR="00167F47" w:rsidRDefault="001D6209" w:rsidP="0081540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Zastoupení úmrtí mužů na nemoci trávicí soustavy mírně pokleslo z 5,1 % v roce 2006 na 4,7 % v posledním sledovaném roce (absolutní hodnoty kolísaly mezi 2 487 a 2 727). Naopak narostlo relativní zastoupení nemocí </w:t>
      </w:r>
      <w:r w:rsidRPr="00167F47">
        <w:rPr>
          <w:rFonts w:cs="Arial"/>
          <w:szCs w:val="20"/>
        </w:rPr>
        <w:t>endokrinní</w:t>
      </w:r>
      <w:r>
        <w:rPr>
          <w:rFonts w:cs="Arial"/>
          <w:szCs w:val="20"/>
        </w:rPr>
        <w:t>ch</w:t>
      </w:r>
      <w:r w:rsidRPr="00167F47">
        <w:rPr>
          <w:rFonts w:cs="Arial"/>
          <w:szCs w:val="20"/>
        </w:rPr>
        <w:t>, výživy a přeměn</w:t>
      </w:r>
      <w:r>
        <w:rPr>
          <w:rFonts w:cs="Arial"/>
          <w:szCs w:val="20"/>
        </w:rPr>
        <w:t xml:space="preserve"> látek z 1,3 % na začátku sledovaného období až na 3,6 % v roce 2016 (z 691 na 1 995 zemřelých). </w:t>
      </w:r>
      <w:r w:rsidR="00AE7D84">
        <w:rPr>
          <w:rFonts w:cs="Arial"/>
          <w:szCs w:val="20"/>
        </w:rPr>
        <w:t>Nejvíce se na tom podílel diabetes mellitus (z 656 na 1 701 zemřelých).</w:t>
      </w:r>
      <w:r w:rsidR="00651DA4">
        <w:rPr>
          <w:rFonts w:cs="Arial"/>
          <w:szCs w:val="20"/>
        </w:rPr>
        <w:t xml:space="preserve"> </w:t>
      </w:r>
      <w:r w:rsidR="0019067C">
        <w:rPr>
          <w:rFonts w:cs="Arial"/>
          <w:szCs w:val="20"/>
        </w:rPr>
        <w:t>Tento vývoj byl kromě zvýšené úmrtnosti ovlivněn i metodologickými změnami od roku 2007 (zlepšování kódovací praxe, zavedení IRISu v roce 2011 a rozšíření možného počtu uváděných příčin v roce 2013).</w:t>
      </w:r>
    </w:p>
    <w:p w:rsidR="005932CF" w:rsidRDefault="005932CF" w:rsidP="00815403">
      <w:pPr>
        <w:spacing w:after="0"/>
        <w:rPr>
          <w:rFonts w:cs="Arial"/>
          <w:szCs w:val="20"/>
        </w:rPr>
      </w:pPr>
    </w:p>
    <w:p w:rsidR="0019067C" w:rsidRDefault="0019067C" w:rsidP="0019067C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Další příčiny smrti zařazené mezi ostatní v grafu 6 rostly a to z 5,5 % na 9,2 % mezi roky 2006 a 2016 (z 2 923 na 5 040). Jedním z důvodů byl vývoj u podílu úmrtí na nemoci nervové soustavy – mezi roky 2006 a 2010 sice došlo k poklesu z 1,7 % na 0,9 % (absolutně z 913 na 498), ten však byl následován nárůstem až na 2,6 % (abs. 1 342) v roce 2016. Částečně byl tento vývoj ovlivněn metodologickými úpravami v roce 2011, které vedly ke zvýšení počtu úmrtí na Alzheimerovu nemoc. Dále rostlo zastoupení úmrtí mužů na infekční a parazitární nemoci (z 0,4 % a 232 úmrtí v roce 2006 na 1,8 % a 980 úmrtí v roce 2016) a nemoci duševních a poruch chování (z 0,3 % a 167 úmrtí v roce 2006 na 1,1 % a 591 úmrtí o deset let později), kde došlo k výraznému nárůstu počtu úmrtí na demenci </w:t>
      </w:r>
      <w:r w:rsidR="005926DB">
        <w:rPr>
          <w:rFonts w:cs="Arial"/>
          <w:szCs w:val="20"/>
        </w:rPr>
        <w:t>kvůli</w:t>
      </w:r>
      <w:r>
        <w:rPr>
          <w:rFonts w:cs="Arial"/>
          <w:szCs w:val="20"/>
        </w:rPr>
        <w:t xml:space="preserve"> metodologickým změnám v roce 2011.</w:t>
      </w:r>
    </w:p>
    <w:p w:rsidR="0019067C" w:rsidRPr="006666EE" w:rsidRDefault="0019067C" w:rsidP="0019067C">
      <w:pPr>
        <w:spacing w:after="0"/>
        <w:rPr>
          <w:rFonts w:cs="Arial"/>
          <w:szCs w:val="20"/>
        </w:rPr>
      </w:pPr>
    </w:p>
    <w:p w:rsidR="0019067C" w:rsidRDefault="0019067C" w:rsidP="0019067C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I u žen jsou dlouhodobě nejčastější příčinou úmrtí nemoci oběhové soustavy a i u nich došlo ve sledovaném období k poklesu podílu této kapitoly příčin smrti na všech úmrtí žen a to z 55,6 % na 48,0 % (z 28 750 na 25 354 úmrtí). Pokles ovšem nebyl postupný, protože ještě mezi roky 2006 a 2009 podíl naopak mírně vzrostl z 55,6 % na 56,3 %. Ve srovnání s muži je podíl úmrtí na nemoci oběhové soustavy u žen dlouhodobě vyšší. Obdobně jako u mužů byl pokles počtu úmrtí na tuto příčinu způsoben hlavně snížením počtu úmrtí mezi roky 2006 a 2016 u cévních nemocí mozku (z 8 379 na 5 088), aterosklerózu (z 3 670 na 909) a </w:t>
      </w:r>
      <w:r w:rsidR="005926DB">
        <w:rPr>
          <w:rFonts w:cs="Arial"/>
          <w:szCs w:val="20"/>
        </w:rPr>
        <w:t>akutní infarkt myokardu (z 3 030 na 1 923</w:t>
      </w:r>
      <w:r>
        <w:rPr>
          <w:rFonts w:cs="Arial"/>
          <w:szCs w:val="20"/>
        </w:rPr>
        <w:t>). Naopak vzrostl počet zemřel</w:t>
      </w:r>
      <w:r w:rsidR="005926DB">
        <w:rPr>
          <w:rFonts w:cs="Arial"/>
          <w:szCs w:val="20"/>
        </w:rPr>
        <w:t>ých žen na selhání srdce z 1 350 na 2 462</w:t>
      </w:r>
      <w:r>
        <w:rPr>
          <w:rFonts w:cs="Arial"/>
          <w:szCs w:val="20"/>
        </w:rPr>
        <w:t>. Vliv metodologických změn byl stejný jako u mužů</w:t>
      </w:r>
    </w:p>
    <w:p w:rsidR="0019067C" w:rsidRDefault="0019067C" w:rsidP="0019067C">
      <w:pPr>
        <w:spacing w:after="0"/>
        <w:rPr>
          <w:rFonts w:cs="Arial"/>
          <w:szCs w:val="20"/>
        </w:rPr>
      </w:pPr>
    </w:p>
    <w:p w:rsidR="00356BA0" w:rsidRDefault="00792EB2" w:rsidP="00E1120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Podíl zemřelých na novotvary je u žen nižší než u mužů. V poslední dekádě spíše stagnoval a pohyboval se v rozmezí 22,3 % (2015) a</w:t>
      </w:r>
      <w:r w:rsidR="006234A1">
        <w:rPr>
          <w:rFonts w:cs="Arial"/>
          <w:szCs w:val="20"/>
        </w:rPr>
        <w:t>ž</w:t>
      </w:r>
      <w:r>
        <w:rPr>
          <w:rFonts w:cs="Arial"/>
          <w:szCs w:val="20"/>
        </w:rPr>
        <w:t xml:space="preserve"> 24,5 % (2006).</w:t>
      </w:r>
      <w:r w:rsidR="00A6284F">
        <w:rPr>
          <w:rFonts w:cs="Arial"/>
          <w:szCs w:val="20"/>
        </w:rPr>
        <w:t xml:space="preserve"> Obdobně tomu bylo i u absolutních počtů s rozmezím 12 241 (2013) až 12 688 (2006).</w:t>
      </w:r>
      <w:r w:rsidR="009F5C7F">
        <w:rPr>
          <w:rFonts w:cs="Arial"/>
          <w:szCs w:val="20"/>
        </w:rPr>
        <w:t xml:space="preserve"> Mezi roky 2006 a 2016 klesl počet úmrtí na novotvary prsu (z 1 909 na 1 685)</w:t>
      </w:r>
      <w:r w:rsidR="00B95334">
        <w:rPr>
          <w:rFonts w:cs="Arial"/>
          <w:szCs w:val="20"/>
        </w:rPr>
        <w:t xml:space="preserve"> a </w:t>
      </w:r>
      <w:r w:rsidR="00A004E5">
        <w:rPr>
          <w:rFonts w:cs="Arial"/>
          <w:szCs w:val="20"/>
        </w:rPr>
        <w:t xml:space="preserve">novotvary tlustého střeva (z 1 082 </w:t>
      </w:r>
      <w:r w:rsidR="00664A70">
        <w:rPr>
          <w:rFonts w:cs="Arial"/>
          <w:szCs w:val="20"/>
        </w:rPr>
        <w:t xml:space="preserve">na 880), naopak nárůst byl zaznamenán u </w:t>
      </w:r>
      <w:r w:rsidR="00B95334">
        <w:rPr>
          <w:rFonts w:cs="Arial"/>
          <w:szCs w:val="20"/>
        </w:rPr>
        <w:t>novotvaru průdušek a plic (z </w:t>
      </w:r>
      <w:r w:rsidR="00664A70">
        <w:rPr>
          <w:rFonts w:cs="Arial"/>
          <w:szCs w:val="20"/>
        </w:rPr>
        <w:t>1 45</w:t>
      </w:r>
      <w:r w:rsidR="005D26A0">
        <w:rPr>
          <w:rFonts w:cs="Arial"/>
          <w:szCs w:val="20"/>
        </w:rPr>
        <w:t>1 na 1 712)</w:t>
      </w:r>
      <w:r w:rsidR="0019067C">
        <w:rPr>
          <w:rFonts w:cs="Arial"/>
          <w:szCs w:val="20"/>
        </w:rPr>
        <w:t xml:space="preserve">. Jedním z nečastějších byl i novotvar slinivky břišní, kde </w:t>
      </w:r>
      <w:r w:rsidR="00720D36">
        <w:rPr>
          <w:rFonts w:cs="Arial"/>
          <w:szCs w:val="20"/>
        </w:rPr>
        <w:t>počet</w:t>
      </w:r>
      <w:r w:rsidR="0019067C">
        <w:rPr>
          <w:rFonts w:cs="Arial"/>
          <w:szCs w:val="20"/>
        </w:rPr>
        <w:t xml:space="preserve"> úmrtí</w:t>
      </w:r>
      <w:r w:rsidR="00720D36">
        <w:rPr>
          <w:rFonts w:cs="Arial"/>
          <w:szCs w:val="20"/>
        </w:rPr>
        <w:t xml:space="preserve"> kolísal</w:t>
      </w:r>
      <w:r w:rsidR="005D26A0">
        <w:rPr>
          <w:rFonts w:cs="Arial"/>
          <w:szCs w:val="20"/>
        </w:rPr>
        <w:t xml:space="preserve"> </w:t>
      </w:r>
      <w:r w:rsidR="0019067C">
        <w:rPr>
          <w:rFonts w:cs="Arial"/>
          <w:szCs w:val="20"/>
        </w:rPr>
        <w:t>(</w:t>
      </w:r>
      <w:r w:rsidR="004F6BEF">
        <w:rPr>
          <w:rFonts w:cs="Arial"/>
          <w:szCs w:val="20"/>
        </w:rPr>
        <w:t>mezi 884 a </w:t>
      </w:r>
      <w:r w:rsidR="005D26A0">
        <w:rPr>
          <w:rFonts w:cs="Arial"/>
          <w:szCs w:val="20"/>
        </w:rPr>
        <w:t xml:space="preserve">1 020). </w:t>
      </w:r>
    </w:p>
    <w:p w:rsidR="006234A1" w:rsidRDefault="006234A1" w:rsidP="00E11205">
      <w:pPr>
        <w:spacing w:after="0"/>
        <w:rPr>
          <w:rFonts w:cs="Arial"/>
          <w:szCs w:val="20"/>
        </w:rPr>
      </w:pPr>
    </w:p>
    <w:p w:rsidR="009C2FCC" w:rsidRDefault="009C2FCC" w:rsidP="009C2FCC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Nemoci dýchací soustavy se na úmrtích žen podílely v roce 2006 z 5,1 % (2 657 zemřelých) a o deset let později z 5,9 % (3 144 zemřelých). Nešlo ovšem o postupný růst, v letech 2011 a 2012 byl podíl nejnižší – 4,6 % a 4,9 %. Čtvrtou nejčastější příčinou úmrtí od roku 2013 (do roku 2012 šlo o nemoci trávicí soustavy) byly u žen nemoci </w:t>
      </w:r>
      <w:r w:rsidRPr="00167F47">
        <w:rPr>
          <w:rFonts w:cs="Arial"/>
          <w:szCs w:val="20"/>
        </w:rPr>
        <w:t>endokrinní, výživy a přeměn</w:t>
      </w:r>
      <w:r>
        <w:rPr>
          <w:rFonts w:cs="Arial"/>
          <w:szCs w:val="20"/>
        </w:rPr>
        <w:t>y látek, jejichž zastoupení se zvýšilo v poslední dekádě z 1,7 % na 4,8 % (z 870 na 2 526), což ovlivnil zejména diabetes mellitus (růst z 831 na 2 065). Uvedený růstový trend byl způsoben zejména metodologickými změnami v letech 2011 a 2013. Tato příčina smrti je dlouhodobě častější u žen než u mužů. Podíl úmrtí na pátou nejčetnější skupinu příčin smrti, nemoci trávicí soustavy, ve sledovaném období stagnoval mezi 3,7 % až 3,9 % (abs. mezi 1 937 až 2 099).</w:t>
      </w:r>
    </w:p>
    <w:p w:rsidR="0056308C" w:rsidRDefault="0056308C" w:rsidP="00E11205">
      <w:pPr>
        <w:spacing w:after="0"/>
        <w:rPr>
          <w:rFonts w:cs="Arial"/>
          <w:szCs w:val="20"/>
        </w:rPr>
      </w:pPr>
    </w:p>
    <w:p w:rsidR="00D13C4B" w:rsidRDefault="000023DC" w:rsidP="00170831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Úmrtí na v</w:t>
      </w:r>
      <w:r w:rsidR="0056308C">
        <w:rPr>
          <w:rFonts w:cs="Arial"/>
          <w:szCs w:val="20"/>
        </w:rPr>
        <w:t>nější příčiny</w:t>
      </w:r>
      <w:r w:rsidR="00EF17BF">
        <w:rPr>
          <w:rFonts w:cs="Arial"/>
          <w:szCs w:val="20"/>
        </w:rPr>
        <w:t xml:space="preserve"> nemocnosti a úmrtnosti jsou dlouhodobě u žen zhruba dvakrát méně častá než u mužů.</w:t>
      </w:r>
      <w:r w:rsidR="00F10620">
        <w:rPr>
          <w:rFonts w:cs="Arial"/>
          <w:szCs w:val="20"/>
        </w:rPr>
        <w:t xml:space="preserve"> Mezi roky 2006 a 2016 se jejich podíl poh</w:t>
      </w:r>
      <w:r w:rsidR="00362295">
        <w:rPr>
          <w:rFonts w:cs="Arial"/>
          <w:szCs w:val="20"/>
        </w:rPr>
        <w:t>yb</w:t>
      </w:r>
      <w:r w:rsidR="00F10620">
        <w:rPr>
          <w:rFonts w:cs="Arial"/>
          <w:szCs w:val="20"/>
        </w:rPr>
        <w:t xml:space="preserve">oval mezi </w:t>
      </w:r>
      <w:r w:rsidR="00362295">
        <w:rPr>
          <w:rFonts w:cs="Arial"/>
          <w:szCs w:val="20"/>
        </w:rPr>
        <w:t>3,2 % až 3,6 % (abs. mezi 1 750 až 1 909) a na rozdíl od mužů neměl klesající trend.</w:t>
      </w:r>
      <w:r w:rsidR="009556DE">
        <w:rPr>
          <w:rFonts w:cs="Arial"/>
          <w:szCs w:val="20"/>
        </w:rPr>
        <w:t xml:space="preserve"> </w:t>
      </w:r>
    </w:p>
    <w:p w:rsidR="0019067C" w:rsidRDefault="0019067C" w:rsidP="0019067C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7</w:t>
      </w:r>
      <w:r w:rsidRPr="00E94E42">
        <w:rPr>
          <w:rFonts w:cs="Arial"/>
          <w:b/>
          <w:szCs w:val="20"/>
        </w:rPr>
        <w:t xml:space="preserve"> Zemře</w:t>
      </w:r>
      <w:r>
        <w:rPr>
          <w:rFonts w:cs="Arial"/>
          <w:b/>
          <w:szCs w:val="20"/>
        </w:rPr>
        <w:t>lé ženy podle vybraných kapitol</w:t>
      </w:r>
      <w:r w:rsidRPr="00E94E42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</w:rPr>
        <w:t xml:space="preserve"> </w:t>
      </w:r>
      <w:r w:rsidRPr="00E94E42">
        <w:rPr>
          <w:rFonts w:cs="Arial"/>
          <w:b/>
          <w:szCs w:val="20"/>
        </w:rPr>
        <w:t>příčin smrti v letech 2006–2016 (v %)</w:t>
      </w:r>
    </w:p>
    <w:p w:rsidR="0019067C" w:rsidRDefault="0019067C" w:rsidP="0019067C">
      <w:bookmarkStart w:id="2" w:name="_Toc498000555"/>
      <w:r w:rsidRPr="00356BA0">
        <w:rPr>
          <w:noProof/>
        </w:rPr>
        <w:drawing>
          <wp:anchor distT="0" distB="0" distL="114300" distR="114300" simplePos="0" relativeHeight="251713024" behindDoc="1" locked="0" layoutInCell="1" allowOverlap="1" wp14:anchorId="4D186F8F" wp14:editId="3D7CAB4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29250" cy="2886075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19067C" w:rsidRDefault="0019067C" w:rsidP="0019067C"/>
    <w:p w:rsidR="0019067C" w:rsidRDefault="0019067C" w:rsidP="0019067C"/>
    <w:p w:rsidR="0019067C" w:rsidRDefault="0019067C" w:rsidP="0019067C"/>
    <w:p w:rsidR="0019067C" w:rsidRDefault="0019067C" w:rsidP="0019067C"/>
    <w:p w:rsidR="0019067C" w:rsidRDefault="0019067C" w:rsidP="0019067C"/>
    <w:p w:rsidR="0019067C" w:rsidRDefault="0019067C" w:rsidP="0019067C"/>
    <w:p w:rsidR="0019067C" w:rsidRDefault="0019067C" w:rsidP="0019067C"/>
    <w:p w:rsidR="0019067C" w:rsidRDefault="0019067C" w:rsidP="0019067C"/>
    <w:p w:rsidR="0019067C" w:rsidRPr="00530A00" w:rsidRDefault="0019067C" w:rsidP="0019067C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530A00">
        <w:rPr>
          <w:rFonts w:ascii="Arial CE" w:hAnsi="Arial CE" w:cs="Arial CE"/>
          <w:i/>
          <w:iCs/>
          <w:sz w:val="16"/>
          <w:szCs w:val="16"/>
        </w:rPr>
        <w:t xml:space="preserve">1) II - Novotvary (C00 - D48); IV - Nemoci endokrinní, výživy a přeměny látek (E00 - E90); IX - Nemoci oběhové soustavy (I00 - I99); </w:t>
      </w:r>
      <w:r>
        <w:rPr>
          <w:rFonts w:ascii="Arial CE" w:hAnsi="Arial CE" w:cs="Arial CE"/>
          <w:i/>
          <w:iCs/>
          <w:sz w:val="16"/>
          <w:szCs w:val="16"/>
        </w:rPr>
        <w:t xml:space="preserve">    </w:t>
      </w:r>
      <w:r w:rsidRPr="00530A00">
        <w:rPr>
          <w:rFonts w:ascii="Arial CE" w:hAnsi="Arial CE" w:cs="Arial CE"/>
          <w:i/>
          <w:iCs/>
          <w:sz w:val="16"/>
          <w:szCs w:val="16"/>
        </w:rPr>
        <w:t xml:space="preserve">X - Nemoci dýchací soustavy (J00 - J99); XI - Nemoci trávicí soustavy (K00 - K93); XX - Vnější příčiny nemocnosti a úmrtnosti (V01 - Y98)   </w:t>
      </w:r>
    </w:p>
    <w:p w:rsidR="0019067C" w:rsidRDefault="0019067C" w:rsidP="00E11205">
      <w:pPr>
        <w:spacing w:after="0"/>
        <w:rPr>
          <w:rFonts w:cs="Arial"/>
          <w:szCs w:val="20"/>
        </w:rPr>
      </w:pPr>
    </w:p>
    <w:p w:rsidR="004F6BEF" w:rsidRPr="001D5D5C" w:rsidRDefault="005926DB" w:rsidP="00170831">
      <w:pPr>
        <w:rPr>
          <w:rFonts w:cs="Arial"/>
          <w:szCs w:val="20"/>
        </w:rPr>
      </w:pPr>
      <w:r>
        <w:rPr>
          <w:rFonts w:cs="Arial"/>
          <w:szCs w:val="20"/>
        </w:rPr>
        <w:t>Obdobně jako u mužů,</w:t>
      </w:r>
      <w:r w:rsidR="004F6BEF">
        <w:rPr>
          <w:rFonts w:cs="Arial"/>
          <w:szCs w:val="20"/>
        </w:rPr>
        <w:t xml:space="preserve"> i u opačného pohlaví byl patrný nárůst podílu ostatních příčin smrti z 5,7 % v roce 2006 na 10,6 % v roce 2016 (abs. z 2 962 na 5 621) a důvody byly podobné. Nárůst zastoupení při srovnání let 2006 a 2016 u nemocí nervové soustavy (z 2,2 % a 1 132 úmrtí na 3,3 % a 1 724 úmrtí, i když mezi roky 2006 a 2010 došlo k poklesu), růst podílu úmrtí na infekční </w:t>
      </w:r>
      <w:r w:rsidR="0043110C">
        <w:rPr>
          <w:rFonts w:cs="Arial"/>
          <w:szCs w:val="20"/>
        </w:rPr>
        <w:t>a parazitár</w:t>
      </w:r>
      <w:r w:rsidR="004F6BEF">
        <w:rPr>
          <w:rFonts w:cs="Arial"/>
          <w:szCs w:val="20"/>
        </w:rPr>
        <w:t>ní nemoci (z 0,4 % a 225 zemřelých na 2,0 % a 1 054 zemřelých) a nemoci duševní a poruchy chování (z 0,1 % a 58 úmrtí na 1,5 % a 819 úmrtí). Důvodem je kromě metodologických změn komentovaných u mužů a v úvodní kapitole i růst úmrtnosti zejména na Alzheimerovu nemoc a demenci.</w:t>
      </w:r>
    </w:p>
    <w:p w:rsidR="00B96D9F" w:rsidRDefault="00B96D9F" w:rsidP="00B96D9F">
      <w:pPr>
        <w:pStyle w:val="Nadpis2"/>
      </w:pPr>
      <w:bookmarkStart w:id="3" w:name="_Toc499711607"/>
      <w:r>
        <w:t xml:space="preserve">3.1 </w:t>
      </w:r>
      <w:r w:rsidRPr="001B3BD9">
        <w:t>Úmrtnost podle příčin smrti a pohlaví</w:t>
      </w:r>
      <w:bookmarkEnd w:id="3"/>
    </w:p>
    <w:p w:rsidR="00343544" w:rsidRPr="0084142F" w:rsidRDefault="006364D7" w:rsidP="006A3C5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Vypočítané s</w:t>
      </w:r>
      <w:r w:rsidR="0084142F">
        <w:rPr>
          <w:rFonts w:cs="Arial"/>
          <w:szCs w:val="20"/>
        </w:rPr>
        <w:t>tandardizované</w:t>
      </w:r>
      <w:r w:rsidR="0084142F">
        <w:rPr>
          <w:rStyle w:val="Znakapoznpodarou"/>
          <w:rFonts w:cs="Arial"/>
          <w:szCs w:val="20"/>
        </w:rPr>
        <w:footnoteReference w:id="3"/>
      </w:r>
      <w:r w:rsidR="0084142F">
        <w:rPr>
          <w:rFonts w:cs="Arial"/>
          <w:szCs w:val="20"/>
        </w:rPr>
        <w:t xml:space="preserve"> míry úmrtnosti</w:t>
      </w:r>
      <w:r w:rsidR="008A2A8C">
        <w:rPr>
          <w:rFonts w:cs="Arial"/>
          <w:szCs w:val="20"/>
        </w:rPr>
        <w:t xml:space="preserve"> </w:t>
      </w:r>
      <w:r w:rsidR="00F45EFF">
        <w:rPr>
          <w:rFonts w:cs="Arial"/>
          <w:szCs w:val="20"/>
        </w:rPr>
        <w:t>v úhrnném pohledu</w:t>
      </w:r>
      <w:r w:rsidR="008A2A8C">
        <w:rPr>
          <w:rFonts w:cs="Arial"/>
          <w:szCs w:val="20"/>
        </w:rPr>
        <w:t xml:space="preserve"> klesly mezi roky 20</w:t>
      </w:r>
      <w:r w:rsidR="001779CE">
        <w:rPr>
          <w:rFonts w:cs="Arial"/>
          <w:szCs w:val="20"/>
        </w:rPr>
        <w:t>06 a 2016 u mužů o 16,9 </w:t>
      </w:r>
      <w:r w:rsidR="008A2A8C">
        <w:rPr>
          <w:rFonts w:cs="Arial"/>
          <w:szCs w:val="20"/>
        </w:rPr>
        <w:t xml:space="preserve">% a v případě žen o </w:t>
      </w:r>
      <w:r w:rsidR="005F3EF0">
        <w:rPr>
          <w:rFonts w:cs="Arial"/>
          <w:szCs w:val="20"/>
        </w:rPr>
        <w:t>18,1 %.</w:t>
      </w:r>
      <w:r w:rsidR="001779CE">
        <w:rPr>
          <w:rFonts w:cs="Arial"/>
          <w:szCs w:val="20"/>
        </w:rPr>
        <w:t xml:space="preserve"> </w:t>
      </w:r>
      <w:r w:rsidR="000F02F0">
        <w:rPr>
          <w:rFonts w:cs="Arial"/>
          <w:szCs w:val="20"/>
        </w:rPr>
        <w:t>Z hlediska příčin smrti byl pokles intenzity úmrtnosti zaznamenán u pěti z šesti nejčastější</w:t>
      </w:r>
      <w:r w:rsidR="005A3C74">
        <w:rPr>
          <w:rFonts w:cs="Arial"/>
          <w:szCs w:val="20"/>
        </w:rPr>
        <w:t>ch příči</w:t>
      </w:r>
      <w:r w:rsidR="000F02F0">
        <w:rPr>
          <w:rFonts w:cs="Arial"/>
          <w:szCs w:val="20"/>
        </w:rPr>
        <w:t xml:space="preserve">n smrti a to u obou pohlaví (grafy 8 a 9). Pouze u nemocí </w:t>
      </w:r>
      <w:r w:rsidR="000F02F0" w:rsidRPr="00167F47">
        <w:rPr>
          <w:rFonts w:cs="Arial"/>
          <w:szCs w:val="20"/>
        </w:rPr>
        <w:t>endokrinní</w:t>
      </w:r>
      <w:r w:rsidR="000F02F0">
        <w:rPr>
          <w:rFonts w:cs="Arial"/>
          <w:szCs w:val="20"/>
        </w:rPr>
        <w:t>ch</w:t>
      </w:r>
      <w:r w:rsidR="000F02F0" w:rsidRPr="00167F47">
        <w:rPr>
          <w:rFonts w:cs="Arial"/>
          <w:szCs w:val="20"/>
        </w:rPr>
        <w:t>, výživy a přeměn</w:t>
      </w:r>
      <w:r w:rsidR="000F02F0">
        <w:rPr>
          <w:rFonts w:cs="Arial"/>
          <w:szCs w:val="20"/>
        </w:rPr>
        <w:t xml:space="preserve"> látek</w:t>
      </w:r>
      <w:r w:rsidR="00F9190C">
        <w:rPr>
          <w:rFonts w:cs="Arial"/>
          <w:szCs w:val="20"/>
        </w:rPr>
        <w:t xml:space="preserve"> došlo k nárůstu na </w:t>
      </w:r>
      <w:r w:rsidR="00C55E1D">
        <w:rPr>
          <w:rFonts w:cs="Arial"/>
          <w:szCs w:val="20"/>
        </w:rPr>
        <w:t xml:space="preserve">hodnoty </w:t>
      </w:r>
      <w:r w:rsidR="00F9190C">
        <w:rPr>
          <w:rFonts w:cs="Arial"/>
          <w:szCs w:val="20"/>
        </w:rPr>
        <w:t>2,64x vyšší u mužů a 2,45x vyšší u žen.</w:t>
      </w:r>
      <w:r w:rsidR="00C55E1D">
        <w:rPr>
          <w:rFonts w:cs="Arial"/>
          <w:szCs w:val="20"/>
        </w:rPr>
        <w:t xml:space="preserve"> </w:t>
      </w:r>
    </w:p>
    <w:p w:rsidR="00343544" w:rsidRDefault="00343544" w:rsidP="006A3C5F">
      <w:pPr>
        <w:spacing w:after="0"/>
        <w:rPr>
          <w:rFonts w:cs="Arial"/>
          <w:b/>
          <w:szCs w:val="20"/>
        </w:rPr>
      </w:pPr>
    </w:p>
    <w:p w:rsidR="00017347" w:rsidRDefault="00017347" w:rsidP="00017347">
      <w:pPr>
        <w:spacing w:before="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 případě mužů klesla standardizovaná míra úmrtnosti mezi roky 2006 a 2016 nejvíce u nemocí oběhové soustavy (o 28,4 %), dále pak u novotvarů (o 19,2 %), nemocí trávicí soustavy (o 18,1 %) a vnějších příčin (o 16,5 %). Nejmenší pokles byl sledován u nemocí dýchací soustavy (o 3,3 %)</w:t>
      </w:r>
      <w:r>
        <w:rPr>
          <w:rStyle w:val="Znakapoznpodarou"/>
          <w:rFonts w:cs="Arial"/>
          <w:bCs/>
          <w:szCs w:val="20"/>
        </w:rPr>
        <w:footnoteReference w:id="4"/>
      </w:r>
      <w:r>
        <w:rPr>
          <w:rFonts w:cs="Arial"/>
          <w:bCs/>
          <w:szCs w:val="20"/>
        </w:rPr>
        <w:t>. U žen klesla intenzita úmrtnosti ve stejném období u nemocí oběhové soustavy ještě více než u mužů (o 31,3 %), další významné snížení úrovně úmrtnosti bylo identifikováno u nemocí trávicí soustavy (o 19,1 %), novotvarů (o 17,1 %), vnějších příčin (o 12,1 %) a nemocí dýchací soustavy (o 8,3 %).</w:t>
      </w:r>
    </w:p>
    <w:p w:rsidR="00FD779A" w:rsidRPr="006A3C5F" w:rsidRDefault="00FD779A" w:rsidP="006A3C5F">
      <w:pPr>
        <w:spacing w:after="0"/>
        <w:rPr>
          <w:rFonts w:cs="Arial"/>
          <w:b/>
          <w:szCs w:val="20"/>
        </w:rPr>
      </w:pPr>
      <w:r w:rsidRPr="006A3C5F">
        <w:rPr>
          <w:rFonts w:cs="Arial"/>
          <w:b/>
          <w:szCs w:val="20"/>
        </w:rPr>
        <w:lastRenderedPageBreak/>
        <w:t>Graf 8 Standardizované</w:t>
      </w:r>
      <w:r w:rsidRPr="006A3C5F">
        <w:rPr>
          <w:rFonts w:cs="Arial"/>
          <w:b/>
          <w:szCs w:val="20"/>
          <w:vertAlign w:val="superscript"/>
        </w:rPr>
        <w:t>1)</w:t>
      </w:r>
      <w:r w:rsidRPr="006A3C5F">
        <w:rPr>
          <w:rFonts w:cs="Arial"/>
          <w:b/>
          <w:szCs w:val="20"/>
        </w:rPr>
        <w:t xml:space="preserve"> míry úmr</w:t>
      </w:r>
      <w:r w:rsidR="00D57D09" w:rsidRPr="006A3C5F">
        <w:rPr>
          <w:rFonts w:cs="Arial"/>
          <w:b/>
          <w:szCs w:val="20"/>
        </w:rPr>
        <w:t>tnosti mužů podle vybraných kapitol</w:t>
      </w:r>
      <w:r w:rsidRPr="006A3C5F">
        <w:rPr>
          <w:rFonts w:cs="Arial"/>
          <w:b/>
          <w:szCs w:val="20"/>
          <w:vertAlign w:val="superscript"/>
        </w:rPr>
        <w:t>2)</w:t>
      </w:r>
      <w:r w:rsidRPr="006A3C5F">
        <w:rPr>
          <w:rFonts w:cs="Arial"/>
          <w:b/>
          <w:szCs w:val="20"/>
        </w:rPr>
        <w:t xml:space="preserve"> příčin smrti </w:t>
      </w:r>
    </w:p>
    <w:p w:rsidR="00356BA0" w:rsidRPr="006A3C5F" w:rsidRDefault="00FD779A" w:rsidP="006A3C5F">
      <w:pPr>
        <w:spacing w:after="60"/>
        <w:rPr>
          <w:rFonts w:cs="Arial"/>
          <w:b/>
          <w:szCs w:val="20"/>
        </w:rPr>
      </w:pPr>
      <w:r w:rsidRPr="006A3C5F">
        <w:rPr>
          <w:rFonts w:cs="Arial"/>
          <w:b/>
          <w:szCs w:val="20"/>
        </w:rPr>
        <w:t>v letech 2006–2016 (na 100 000 obyvatel)</w:t>
      </w:r>
    </w:p>
    <w:p w:rsidR="00AA693E" w:rsidRDefault="001E238C" w:rsidP="00AA693E">
      <w:r w:rsidRPr="001E238C">
        <w:rPr>
          <w:noProof/>
        </w:rPr>
        <w:drawing>
          <wp:anchor distT="0" distB="0" distL="114300" distR="114300" simplePos="0" relativeHeight="251670016" behindDoc="1" locked="0" layoutInCell="1" allowOverlap="1" wp14:anchorId="5CFF31F1" wp14:editId="452BD16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5429250" cy="2886075"/>
            <wp:effectExtent l="0" t="0" r="0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93E" w:rsidRDefault="00AA693E" w:rsidP="00AA693E"/>
    <w:p w:rsidR="00AA693E" w:rsidRPr="00AA693E" w:rsidRDefault="00AA693E" w:rsidP="00AA693E"/>
    <w:p w:rsidR="00356BA0" w:rsidRDefault="00356BA0" w:rsidP="001B3BD9">
      <w:pPr>
        <w:pStyle w:val="Nadpis2"/>
      </w:pPr>
    </w:p>
    <w:p w:rsidR="00356BA0" w:rsidRDefault="00356BA0" w:rsidP="001B3BD9">
      <w:pPr>
        <w:pStyle w:val="Nadpis2"/>
      </w:pPr>
    </w:p>
    <w:p w:rsidR="00AA693E" w:rsidRDefault="00AA693E" w:rsidP="001B3BD9">
      <w:pPr>
        <w:pStyle w:val="Nadpis2"/>
      </w:pPr>
    </w:p>
    <w:p w:rsidR="00AA693E" w:rsidRDefault="00AA693E" w:rsidP="001B3BD9">
      <w:pPr>
        <w:pStyle w:val="Nadpis2"/>
      </w:pPr>
    </w:p>
    <w:p w:rsidR="00AA693E" w:rsidRDefault="00AA693E" w:rsidP="001B3BD9">
      <w:pPr>
        <w:pStyle w:val="Nadpis2"/>
      </w:pPr>
    </w:p>
    <w:p w:rsidR="00AA693E" w:rsidRDefault="00AA693E" w:rsidP="001B3BD9">
      <w:pPr>
        <w:pStyle w:val="Nadpis2"/>
      </w:pPr>
    </w:p>
    <w:p w:rsidR="00AA693E" w:rsidRDefault="00AA693E" w:rsidP="001B3BD9">
      <w:pPr>
        <w:pStyle w:val="Nadpis2"/>
      </w:pPr>
    </w:p>
    <w:p w:rsidR="00AA693E" w:rsidRDefault="00AA693E" w:rsidP="001B3BD9">
      <w:pPr>
        <w:pStyle w:val="Nadpis2"/>
      </w:pPr>
    </w:p>
    <w:p w:rsidR="00AA693E" w:rsidRPr="00AA693E" w:rsidRDefault="00AA693E" w:rsidP="008C549D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1) Pro standardizaci byl použit nový standard evropské populace, vydaný Eurostatem v roce 2013 </w:t>
      </w:r>
    </w:p>
    <w:p w:rsidR="00AA693E" w:rsidRDefault="00AA693E" w:rsidP="008C549D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(zdroj: </w:t>
      </w:r>
      <w:hyperlink r:id="rId12" w:history="1">
        <w:r w:rsidRPr="007A25C8">
          <w:rPr>
            <w:rStyle w:val="Hypertextovodkaz"/>
            <w:rFonts w:ascii="Arial CE" w:hAnsi="Arial CE" w:cs="Arial CE"/>
            <w:i/>
            <w:iCs/>
            <w:sz w:val="16"/>
            <w:szCs w:val="16"/>
          </w:rPr>
          <w:t>http://ec.europa.eu/eurostat/en/web/products-manuals-and-guidelines/-/KS-RA-13-028</w:t>
        </w:r>
      </w:hyperlink>
      <w:r w:rsidRPr="00AA693E">
        <w:rPr>
          <w:rFonts w:ascii="Arial CE" w:hAnsi="Arial CE" w:cs="Arial CE"/>
          <w:i/>
          <w:iCs/>
          <w:sz w:val="16"/>
          <w:szCs w:val="16"/>
        </w:rPr>
        <w:t>).</w:t>
      </w:r>
    </w:p>
    <w:p w:rsidR="004C714D" w:rsidRDefault="00AA693E" w:rsidP="004C714D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2) II - Novotvary (C00 - D48); IV - Nemoci endokrinní, výživy a přeměny látek (E00 - E90); IX - Nemoci oběhové soustavy (I00 - I99); </w:t>
      </w:r>
      <w:r>
        <w:rPr>
          <w:rFonts w:ascii="Arial CE" w:hAnsi="Arial CE" w:cs="Arial CE"/>
          <w:i/>
          <w:iCs/>
          <w:sz w:val="16"/>
          <w:szCs w:val="16"/>
        </w:rPr>
        <w:t xml:space="preserve">    </w:t>
      </w:r>
      <w:r w:rsidRPr="00AA693E">
        <w:rPr>
          <w:rFonts w:ascii="Arial CE" w:hAnsi="Arial CE" w:cs="Arial CE"/>
          <w:i/>
          <w:iCs/>
          <w:sz w:val="16"/>
          <w:szCs w:val="16"/>
        </w:rPr>
        <w:t>X - Nemoci dýchací soustavy (J00 - J99); XI - Nemoci trávicí soustavy (K00 - K93); XX - Vnější příčiny nemocnosti a úmrtnosti (V01 - Y98</w:t>
      </w:r>
    </w:p>
    <w:p w:rsidR="00692BD9" w:rsidRDefault="00692BD9" w:rsidP="006A3C5F">
      <w:pPr>
        <w:spacing w:after="0"/>
        <w:rPr>
          <w:rFonts w:cs="Arial"/>
          <w:b/>
          <w:szCs w:val="20"/>
        </w:rPr>
      </w:pPr>
    </w:p>
    <w:p w:rsidR="00F34DF4" w:rsidRPr="006A3C5F" w:rsidRDefault="00F34DF4" w:rsidP="006A3C5F">
      <w:pPr>
        <w:spacing w:after="0"/>
        <w:rPr>
          <w:rFonts w:cs="Arial"/>
          <w:b/>
          <w:szCs w:val="20"/>
        </w:rPr>
      </w:pPr>
      <w:r w:rsidRPr="006A3C5F">
        <w:rPr>
          <w:rFonts w:cs="Arial"/>
          <w:b/>
          <w:szCs w:val="20"/>
        </w:rPr>
        <w:t>Graf 9 Standardizované</w:t>
      </w:r>
      <w:r w:rsidRPr="006A3C5F">
        <w:rPr>
          <w:rFonts w:cs="Arial"/>
          <w:b/>
          <w:szCs w:val="20"/>
          <w:vertAlign w:val="superscript"/>
        </w:rPr>
        <w:t>1)</w:t>
      </w:r>
      <w:r w:rsidRPr="006A3C5F">
        <w:rPr>
          <w:rFonts w:cs="Arial"/>
          <w:b/>
          <w:szCs w:val="20"/>
        </w:rPr>
        <w:t xml:space="preserve"> míry úmrtnosti žen podle vybraných </w:t>
      </w:r>
      <w:r w:rsidR="00D57D09" w:rsidRPr="006A3C5F">
        <w:rPr>
          <w:rFonts w:cs="Arial"/>
          <w:b/>
          <w:szCs w:val="20"/>
        </w:rPr>
        <w:t>kapitol</w:t>
      </w:r>
      <w:r w:rsidRPr="00E54F8E">
        <w:rPr>
          <w:rFonts w:cs="Arial"/>
          <w:b/>
          <w:szCs w:val="20"/>
          <w:vertAlign w:val="superscript"/>
        </w:rPr>
        <w:t>2)</w:t>
      </w:r>
      <w:r w:rsidRPr="006A3C5F">
        <w:rPr>
          <w:rFonts w:cs="Arial"/>
          <w:b/>
          <w:szCs w:val="20"/>
        </w:rPr>
        <w:t xml:space="preserve"> příčin smrti </w:t>
      </w:r>
    </w:p>
    <w:p w:rsidR="00F34DF4" w:rsidRPr="006A3C5F" w:rsidRDefault="00327D45" w:rsidP="006A3C5F">
      <w:pPr>
        <w:spacing w:after="60"/>
        <w:rPr>
          <w:rFonts w:cs="Arial"/>
          <w:b/>
          <w:szCs w:val="20"/>
        </w:rPr>
      </w:pPr>
      <w:r w:rsidRPr="00E15A9E">
        <w:rPr>
          <w:noProof/>
        </w:rPr>
        <w:drawing>
          <wp:anchor distT="0" distB="0" distL="114300" distR="114300" simplePos="0" relativeHeight="251671040" behindDoc="1" locked="0" layoutInCell="1" allowOverlap="1" wp14:anchorId="70BC01C4" wp14:editId="779CA207">
            <wp:simplePos x="0" y="0"/>
            <wp:positionH relativeFrom="column">
              <wp:posOffset>3810</wp:posOffset>
            </wp:positionH>
            <wp:positionV relativeFrom="paragraph">
              <wp:posOffset>179070</wp:posOffset>
            </wp:positionV>
            <wp:extent cx="5429250" cy="2886075"/>
            <wp:effectExtent l="0" t="0" r="0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F4" w:rsidRPr="006A3C5F">
        <w:rPr>
          <w:rFonts w:cs="Arial"/>
          <w:b/>
          <w:szCs w:val="20"/>
        </w:rPr>
        <w:t>v letech 2006–2016 (na 100 000 obyvatel)</w:t>
      </w: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E15A9E" w:rsidRDefault="00E15A9E" w:rsidP="00F34DF4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F34DF4" w:rsidRPr="00AA693E" w:rsidRDefault="00F34DF4" w:rsidP="008C549D">
      <w:pPr>
        <w:spacing w:before="120" w:after="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1) Pro standardizaci byl použit nový standard evropské populace, vydaný Eurostatem v roce 2013 </w:t>
      </w:r>
    </w:p>
    <w:p w:rsidR="00F34DF4" w:rsidRDefault="00F34DF4" w:rsidP="008C549D">
      <w:pPr>
        <w:spacing w:after="6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(zdroj: </w:t>
      </w:r>
      <w:hyperlink r:id="rId14" w:history="1">
        <w:r w:rsidRPr="007A25C8">
          <w:rPr>
            <w:rStyle w:val="Hypertextovodkaz"/>
            <w:rFonts w:ascii="Arial CE" w:hAnsi="Arial CE" w:cs="Arial CE"/>
            <w:i/>
            <w:iCs/>
            <w:sz w:val="16"/>
            <w:szCs w:val="16"/>
          </w:rPr>
          <w:t>http://ec.europa.eu/eurostat/en/web/products-manuals-and-guidelines/-/KS-RA-13-028</w:t>
        </w:r>
      </w:hyperlink>
      <w:r w:rsidRPr="00AA693E">
        <w:rPr>
          <w:rFonts w:ascii="Arial CE" w:hAnsi="Arial CE" w:cs="Arial CE"/>
          <w:i/>
          <w:iCs/>
          <w:sz w:val="16"/>
          <w:szCs w:val="16"/>
        </w:rPr>
        <w:t>).</w:t>
      </w:r>
    </w:p>
    <w:p w:rsidR="006F4367" w:rsidRDefault="00F34DF4" w:rsidP="001167E0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2) II - Novotvary (C00 - D48); IV - Nemoci endokrinní, výživy a přeměny látek (E00 - E90); IX - Nemoci oběhové soustavy (I00 - I99); </w:t>
      </w:r>
      <w:r>
        <w:rPr>
          <w:rFonts w:ascii="Arial CE" w:hAnsi="Arial CE" w:cs="Arial CE"/>
          <w:i/>
          <w:iCs/>
          <w:sz w:val="16"/>
          <w:szCs w:val="16"/>
        </w:rPr>
        <w:t xml:space="preserve">    </w:t>
      </w:r>
      <w:r w:rsidRPr="00AA693E">
        <w:rPr>
          <w:rFonts w:ascii="Arial CE" w:hAnsi="Arial CE" w:cs="Arial CE"/>
          <w:i/>
          <w:iCs/>
          <w:sz w:val="16"/>
          <w:szCs w:val="16"/>
        </w:rPr>
        <w:t>X - Nemoci dýchací soustavy (J00 - J99); XI - Nemoci trávicí soustavy (K00 - K93); XX - Vnější příčiny nemocnosti a úmrtnosti (V01 - Y98)</w:t>
      </w:r>
    </w:p>
    <w:p w:rsidR="00692BD9" w:rsidRPr="00692BD9" w:rsidRDefault="00692BD9" w:rsidP="00692BD9">
      <w:pPr>
        <w:spacing w:after="0"/>
        <w:rPr>
          <w:rFonts w:cs="Arial"/>
          <w:b/>
          <w:szCs w:val="20"/>
        </w:rPr>
      </w:pPr>
    </w:p>
    <w:p w:rsidR="00692BD9" w:rsidRDefault="00692BD9" w:rsidP="00170831">
      <w:r>
        <w:t xml:space="preserve">Index mužské nadúmrtnosti vypočítaný jako poměr standardizovaných měr úmrtnosti mužů vůči standardizovaným mírám úmrtnosti žen se mezi roky 2006 a 2016 pohyboval mezi hodnotami 1,52 až 1,56 (graf 10). Nadprůměrnou mužskou nadúmrtnost měly vnější příčiny (2,44 až 2,79), nemoci dýchací soustavy </w:t>
      </w:r>
      <w:r>
        <w:lastRenderedPageBreak/>
        <w:t>(1,89 až 2,14), novotvary (1,71 až 1,82) a nemoci trávicí soustavy (1,55 až 1,70). Naopak podprůměrnou mužskou nadúmrtnost vykazovaly nemoci oběhové soustavy (1,31 až 1,43) a n</w:t>
      </w:r>
      <w:r w:rsidRPr="008E12DF">
        <w:t>emoci endokrinní, výživy a přeměny látek</w:t>
      </w:r>
      <w:r>
        <w:t xml:space="preserve"> (1,15 až 1,29).   </w:t>
      </w:r>
    </w:p>
    <w:p w:rsidR="00F34DF4" w:rsidRPr="006A3C5F" w:rsidRDefault="00145EA6" w:rsidP="006A3C5F">
      <w:pPr>
        <w:spacing w:after="60"/>
        <w:rPr>
          <w:rFonts w:cs="Arial"/>
          <w:b/>
          <w:szCs w:val="20"/>
        </w:rPr>
      </w:pPr>
      <w:r w:rsidRPr="006A3C5F">
        <w:rPr>
          <w:rFonts w:cs="Arial"/>
          <w:b/>
          <w:szCs w:val="20"/>
        </w:rPr>
        <w:t>Graf 10 Index mužské nadúmrtnosti</w:t>
      </w:r>
      <w:r w:rsidRPr="006A3C5F">
        <w:rPr>
          <w:rFonts w:cs="Arial"/>
          <w:b/>
          <w:szCs w:val="20"/>
          <w:vertAlign w:val="superscript"/>
        </w:rPr>
        <w:t>1)</w:t>
      </w:r>
      <w:r w:rsidRPr="006A3C5F">
        <w:rPr>
          <w:rFonts w:cs="Arial"/>
          <w:b/>
          <w:szCs w:val="20"/>
        </w:rPr>
        <w:t xml:space="preserve"> podle vybraných </w:t>
      </w:r>
      <w:r w:rsidR="00D57D09" w:rsidRPr="006A3C5F">
        <w:rPr>
          <w:rFonts w:cs="Arial"/>
          <w:b/>
          <w:szCs w:val="20"/>
        </w:rPr>
        <w:t>kapitol</w:t>
      </w:r>
      <w:r w:rsidRPr="006A3C5F">
        <w:rPr>
          <w:rFonts w:cs="Arial"/>
          <w:b/>
          <w:szCs w:val="20"/>
          <w:vertAlign w:val="superscript"/>
        </w:rPr>
        <w:t>2)</w:t>
      </w:r>
      <w:r w:rsidRPr="006A3C5F">
        <w:rPr>
          <w:rFonts w:cs="Arial"/>
          <w:b/>
          <w:szCs w:val="20"/>
        </w:rPr>
        <w:t xml:space="preserve"> příčin smrti v letech 2006–2016</w:t>
      </w:r>
    </w:p>
    <w:p w:rsidR="001167E0" w:rsidRDefault="00A3441E" w:rsidP="00145EA6">
      <w:r w:rsidRPr="00A3441E">
        <w:rPr>
          <w:noProof/>
        </w:rPr>
        <w:drawing>
          <wp:anchor distT="0" distB="0" distL="114300" distR="114300" simplePos="0" relativeHeight="251672064" behindDoc="1" locked="0" layoutInCell="1" allowOverlap="1" wp14:anchorId="2DC0B4D6" wp14:editId="54E6428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29250" cy="2886075"/>
            <wp:effectExtent l="0" t="0" r="0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E0" w:rsidRPr="001167E0" w:rsidRDefault="001167E0" w:rsidP="001167E0"/>
    <w:p w:rsidR="001167E0" w:rsidRPr="001167E0" w:rsidRDefault="001167E0" w:rsidP="001167E0"/>
    <w:p w:rsidR="001167E0" w:rsidRPr="001167E0" w:rsidRDefault="001167E0" w:rsidP="001167E0"/>
    <w:p w:rsidR="001167E0" w:rsidRPr="001167E0" w:rsidRDefault="001167E0" w:rsidP="001167E0"/>
    <w:p w:rsidR="001167E0" w:rsidRPr="001167E0" w:rsidRDefault="001167E0" w:rsidP="001167E0"/>
    <w:p w:rsidR="001167E0" w:rsidRPr="001167E0" w:rsidRDefault="001167E0" w:rsidP="001167E0"/>
    <w:p w:rsidR="001167E0" w:rsidRPr="001167E0" w:rsidRDefault="001167E0" w:rsidP="001167E0"/>
    <w:p w:rsidR="001167E0" w:rsidRDefault="001167E0" w:rsidP="001167E0"/>
    <w:p w:rsidR="00145EA6" w:rsidRDefault="001167E0" w:rsidP="001167E0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1167E0">
        <w:rPr>
          <w:rFonts w:ascii="Arial CE" w:hAnsi="Arial CE" w:cs="Arial CE"/>
          <w:i/>
          <w:iCs/>
          <w:sz w:val="16"/>
          <w:szCs w:val="16"/>
        </w:rPr>
        <w:t>1) Index mužské nadúmrtnosti = standardizovaná míra úmrtnosti mužů / standardizovaná míra úmrtnosti žen</w:t>
      </w:r>
    </w:p>
    <w:p w:rsidR="0091466D" w:rsidRDefault="001167E0" w:rsidP="0091466D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AA693E">
        <w:rPr>
          <w:rFonts w:ascii="Arial CE" w:hAnsi="Arial CE" w:cs="Arial CE"/>
          <w:i/>
          <w:iCs/>
          <w:sz w:val="16"/>
          <w:szCs w:val="16"/>
        </w:rPr>
        <w:t xml:space="preserve">2) II - Novotvary (C00 - D48); IV - Nemoci endokrinní, výživy a přeměny látek (E00 - E90); IX - Nemoci oběhové soustavy (I00 - I99); </w:t>
      </w:r>
      <w:r>
        <w:rPr>
          <w:rFonts w:ascii="Arial CE" w:hAnsi="Arial CE" w:cs="Arial CE"/>
          <w:i/>
          <w:iCs/>
          <w:sz w:val="16"/>
          <w:szCs w:val="16"/>
        </w:rPr>
        <w:t xml:space="preserve">    </w:t>
      </w:r>
      <w:r w:rsidRPr="00AA693E">
        <w:rPr>
          <w:rFonts w:ascii="Arial CE" w:hAnsi="Arial CE" w:cs="Arial CE"/>
          <w:i/>
          <w:iCs/>
          <w:sz w:val="16"/>
          <w:szCs w:val="16"/>
        </w:rPr>
        <w:t>X - Nemoci dýchací soustavy (J00 - J99); XI - Nemoci trávicí soustavy (K00 - K93); XX - Vnější příčiny nemocnosti a úmrtnosti (V01 - Y98</w:t>
      </w:r>
    </w:p>
    <w:p w:rsidR="005F6395" w:rsidRDefault="005F6395" w:rsidP="00D33FAD">
      <w:pPr>
        <w:pStyle w:val="Nadpis2"/>
      </w:pPr>
    </w:p>
    <w:p w:rsidR="00D33FAD" w:rsidRDefault="00D33FAD" w:rsidP="00D33FAD">
      <w:pPr>
        <w:pStyle w:val="Nadpis2"/>
      </w:pPr>
      <w:bookmarkStart w:id="4" w:name="_Toc499711608"/>
      <w:r>
        <w:t xml:space="preserve">3.2 </w:t>
      </w:r>
      <w:r w:rsidR="000F2F65">
        <w:t>Zemřelí kojenci podle věku a pří</w:t>
      </w:r>
      <w:r w:rsidRPr="001B3BD9">
        <w:t>čin smrti</w:t>
      </w:r>
      <w:bookmarkEnd w:id="4"/>
    </w:p>
    <w:p w:rsidR="003712DF" w:rsidRDefault="003712DF" w:rsidP="003712DF">
      <w:r w:rsidRPr="0064336E">
        <w:t xml:space="preserve">Nejčastější </w:t>
      </w:r>
      <w:r>
        <w:t>příčinou úmrtí kojenců do 1 roku jsou dlouhodobě „n</w:t>
      </w:r>
      <w:r w:rsidRPr="0064336E">
        <w:t>ěkteré stavy vzniklé v perinatálním období</w:t>
      </w:r>
      <w:r>
        <w:t>“ (XVI. kapitola MKN-10), které se v roce 2016 podílely na všech úmrtí kojenců z 60,3 %. „V</w:t>
      </w:r>
      <w:r w:rsidRPr="00E64504">
        <w:t>rozené vady, deformace a chromozomální abnormality</w:t>
      </w:r>
      <w:r>
        <w:t>“ (XVII. kapitola) tvořily v posledním sledovaném roce 16,1 % úmrtí kojenců a „p</w:t>
      </w:r>
      <w:r w:rsidRPr="003254E4">
        <w:t xml:space="preserve">říznaky, znaky a abnormální klinické </w:t>
      </w:r>
      <w:r>
        <w:t xml:space="preserve">a laboratorní nálezy nezařazené </w:t>
      </w:r>
      <w:r w:rsidRPr="003254E4">
        <w:t>jinde</w:t>
      </w:r>
      <w:r>
        <w:t xml:space="preserve">“ (XVIII. kapitola) 7,3 %. </w:t>
      </w:r>
    </w:p>
    <w:p w:rsidR="000F2F65" w:rsidRDefault="000F2F65" w:rsidP="000F2F65">
      <w:pPr>
        <w:spacing w:after="0"/>
      </w:pPr>
      <w:r>
        <w:t>V rámci novorozeneckého období (0–27 dokončených dnů) „n</w:t>
      </w:r>
      <w:r w:rsidRPr="0064336E">
        <w:t>ěkteré stavy vzniklé v perinatálním období</w:t>
      </w:r>
      <w:r>
        <w:t>“ mezi příčinami úmrtí ještě více dominovaly. V roce 2016 bylo jejich zastoupení na úmrtí novorozenců 77,1%. „V</w:t>
      </w:r>
      <w:r w:rsidRPr="00E64504">
        <w:t>rozené vady, deformace a chromozomální abnormality</w:t>
      </w:r>
      <w:r>
        <w:t>“ se podílely na dalších 15,6 % úmrtí. U novorozeneckého období tak byly ostatní příčiny úmrtí už pouze marginální.</w:t>
      </w:r>
    </w:p>
    <w:p w:rsidR="008C549D" w:rsidRDefault="008C549D" w:rsidP="008C549D">
      <w:pPr>
        <w:spacing w:after="0"/>
        <w:rPr>
          <w:rFonts w:cs="Arial"/>
          <w:szCs w:val="20"/>
        </w:rPr>
      </w:pPr>
    </w:p>
    <w:p w:rsidR="002D1C35" w:rsidRDefault="002D1C35" w:rsidP="002D1C35">
      <w:r>
        <w:t>V případě ponovorozenckého období (28–364 dokončených dní) byla struktura úmrtí podle příčin smrti více diferencovaná. „N</w:t>
      </w:r>
      <w:r w:rsidRPr="0064336E">
        <w:t>ěkteré stavy vzniklé v perinatálním období</w:t>
      </w:r>
      <w:r>
        <w:t>“ tvořily pouze 34,4 % z těchto úmrtí v roce 2016, „v</w:t>
      </w:r>
      <w:r w:rsidRPr="00E64504">
        <w:t>rozené vady, deformace a chromozomální abnormality</w:t>
      </w:r>
      <w:r>
        <w:t>“ 16,8 % a „p</w:t>
      </w:r>
      <w:r w:rsidRPr="003254E4">
        <w:t xml:space="preserve">říznaky, znaky a abnormální klinické </w:t>
      </w:r>
      <w:r>
        <w:t xml:space="preserve">a laboratorní nálezy nezařazené </w:t>
      </w:r>
      <w:r w:rsidRPr="003254E4">
        <w:t>jinde</w:t>
      </w:r>
      <w:r>
        <w:t xml:space="preserve">“ 14,4 %. Četnější zastoupení zde měly i vnější příčiny (8,8 % v roce 2016) a nemoci nervové soustavy (7,2 %).         </w:t>
      </w:r>
    </w:p>
    <w:p w:rsidR="00692BD9" w:rsidRDefault="00692BD9" w:rsidP="002D1C35"/>
    <w:p w:rsidR="00692BD9" w:rsidRDefault="00692BD9" w:rsidP="002D1C35"/>
    <w:p w:rsidR="00692BD9" w:rsidRDefault="00692BD9" w:rsidP="002D1C35"/>
    <w:p w:rsidR="00692BD9" w:rsidRDefault="00692BD9" w:rsidP="002D1C35"/>
    <w:p w:rsidR="00AB4358" w:rsidRPr="006A3C5F" w:rsidRDefault="00AB4358" w:rsidP="00AB4358">
      <w:pPr>
        <w:spacing w:after="60"/>
        <w:rPr>
          <w:rFonts w:cs="Arial"/>
          <w:b/>
          <w:szCs w:val="20"/>
        </w:rPr>
      </w:pPr>
      <w:r w:rsidRPr="006A3C5F">
        <w:rPr>
          <w:rFonts w:cs="Arial"/>
          <w:b/>
          <w:szCs w:val="20"/>
        </w:rPr>
        <w:lastRenderedPageBreak/>
        <w:t>Graf 11 Zemřelí kojenci podle věku a vybraných kapitol</w:t>
      </w:r>
      <w:r w:rsidRPr="003809CC">
        <w:rPr>
          <w:rFonts w:cs="Arial"/>
          <w:b/>
          <w:szCs w:val="20"/>
          <w:vertAlign w:val="superscript"/>
        </w:rPr>
        <w:t>1)</w:t>
      </w:r>
      <w:r w:rsidRPr="006A3C5F">
        <w:rPr>
          <w:rFonts w:cs="Arial"/>
          <w:b/>
          <w:szCs w:val="20"/>
        </w:rPr>
        <w:t xml:space="preserve"> příčin smrti v letech 2006, 2011 a 2016 (v %)</w:t>
      </w:r>
    </w:p>
    <w:p w:rsidR="00AB4358" w:rsidRPr="0091466D" w:rsidRDefault="00AB4358" w:rsidP="00AB4358">
      <w:r w:rsidRPr="0091466D">
        <w:rPr>
          <w:noProof/>
        </w:rPr>
        <w:drawing>
          <wp:anchor distT="0" distB="0" distL="114300" distR="114300" simplePos="0" relativeHeight="251717120" behindDoc="1" locked="0" layoutInCell="1" allowOverlap="1" wp14:anchorId="1D3BDFE4" wp14:editId="1D09000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400675" cy="2876550"/>
            <wp:effectExtent l="0" t="0" r="9525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pStyle w:val="Nadpis2"/>
      </w:pPr>
    </w:p>
    <w:p w:rsidR="00AB4358" w:rsidRDefault="00AB4358" w:rsidP="00AB4358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AB4358" w:rsidRDefault="00AB4358" w:rsidP="00AB4358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6A3C5F">
        <w:rPr>
          <w:rFonts w:ascii="Arial CE" w:hAnsi="Arial CE" w:cs="Arial CE"/>
          <w:i/>
          <w:iCs/>
          <w:sz w:val="16"/>
          <w:szCs w:val="16"/>
        </w:rPr>
        <w:t xml:space="preserve">1) VI - Nemoci nervové soustavy (G00 - G99); X - Nemoci dýchací soustavy (J00 - J99); XVI - Některé stavy vzniklé v perinatálním období (P00-P96); XVII - Vrozené vady, deformace a chromozomální abnormality (Q00 - Q99); XVIII - Příznaky, znaky a abnormální klinické a laboratorní nálezy nezařazené jinde (R00 - R99); XX - Vnější příčiny nemocnosti a úmrtnosti (V01 - Y98)  </w:t>
      </w:r>
    </w:p>
    <w:p w:rsidR="00692BD9" w:rsidRPr="0064336E" w:rsidRDefault="00692BD9" w:rsidP="002D1C35"/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7D3B04" w:rsidRDefault="007D3B04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585F09" w:rsidRDefault="00585F09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p w:rsidR="003712DF" w:rsidRDefault="003712DF" w:rsidP="00495B68">
      <w:pPr>
        <w:pStyle w:val="Nadpis1"/>
      </w:pPr>
    </w:p>
    <w:sectPr w:rsidR="003712DF" w:rsidSect="00005BCD">
      <w:headerReference w:type="even" r:id="rId17"/>
      <w:headerReference w:type="default" r:id="rId18"/>
      <w:footerReference w:type="even" r:id="rId19"/>
      <w:footerReference w:type="default" r:id="rId20"/>
      <w:footnotePr>
        <w:numStart w:val="8"/>
      </w:footnotePr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E3" w:rsidRDefault="005470E3" w:rsidP="00E71A58">
      <w:r>
        <w:separator/>
      </w:r>
    </w:p>
  </w:endnote>
  <w:endnote w:type="continuationSeparator" w:id="0">
    <w:p w:rsidR="005470E3" w:rsidRDefault="005470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313A52B" wp14:editId="23B4061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05BCD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2006–2016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C596A6E" wp14:editId="1D54EDE8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2006–2016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05BCD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E3" w:rsidRDefault="005470E3" w:rsidP="00E71A58">
      <w:r>
        <w:separator/>
      </w:r>
    </w:p>
  </w:footnote>
  <w:footnote w:type="continuationSeparator" w:id="0">
    <w:p w:rsidR="005470E3" w:rsidRDefault="005470E3" w:rsidP="00E71A58">
      <w:r>
        <w:continuationSeparator/>
      </w:r>
    </w:p>
  </w:footnote>
  <w:footnote w:id="1">
    <w:p w:rsidR="005926DB" w:rsidRPr="002E6A2F" w:rsidRDefault="005926DB">
      <w:pPr>
        <w:pStyle w:val="Textpoznpodarou"/>
        <w:rPr>
          <w:i/>
          <w:sz w:val="18"/>
          <w:szCs w:val="18"/>
        </w:rPr>
      </w:pPr>
      <w:r w:rsidRPr="002E6A2F">
        <w:rPr>
          <w:rStyle w:val="Znakapoznpodarou"/>
          <w:i/>
          <w:sz w:val="18"/>
          <w:szCs w:val="18"/>
        </w:rPr>
        <w:footnoteRef/>
      </w:r>
      <w:r w:rsidRPr="002E6A2F">
        <w:rPr>
          <w:i/>
          <w:sz w:val="18"/>
          <w:szCs w:val="18"/>
        </w:rPr>
        <w:t xml:space="preserve"> Vlivem změn ve věkové struktuře a meziročním výkyvům</w:t>
      </w:r>
      <w:r>
        <w:rPr>
          <w:i/>
          <w:sz w:val="18"/>
          <w:szCs w:val="18"/>
        </w:rPr>
        <w:t xml:space="preserve"> v úrovni úmrtnosti.</w:t>
      </w:r>
      <w:r w:rsidRPr="002E6A2F">
        <w:rPr>
          <w:i/>
          <w:sz w:val="18"/>
          <w:szCs w:val="18"/>
        </w:rPr>
        <w:t xml:space="preserve"> </w:t>
      </w:r>
    </w:p>
  </w:footnote>
  <w:footnote w:id="2">
    <w:p w:rsidR="005926DB" w:rsidRPr="00B96687" w:rsidRDefault="005926DB">
      <w:pPr>
        <w:pStyle w:val="Textpoznpodarou"/>
        <w:rPr>
          <w:i/>
          <w:sz w:val="18"/>
          <w:szCs w:val="18"/>
        </w:rPr>
      </w:pPr>
      <w:r w:rsidRPr="00B96687">
        <w:rPr>
          <w:rStyle w:val="Znakapoznpodarou"/>
          <w:i/>
          <w:sz w:val="18"/>
          <w:szCs w:val="18"/>
        </w:rPr>
        <w:footnoteRef/>
      </w:r>
      <w:r w:rsidRPr="00B96687">
        <w:rPr>
          <w:i/>
          <w:sz w:val="18"/>
          <w:szCs w:val="18"/>
        </w:rPr>
        <w:t xml:space="preserve"> </w:t>
      </w:r>
      <w:r w:rsidRPr="0019067C">
        <w:rPr>
          <w:i/>
          <w:sz w:val="18"/>
          <w:szCs w:val="18"/>
        </w:rPr>
        <w:t xml:space="preserve">Počet úmrtí na nemoci dýchací soustavy je značně ovlivněn epidemiologickou situací (např. incidencí </w:t>
      </w:r>
      <w:r>
        <w:rPr>
          <w:i/>
          <w:sz w:val="18"/>
          <w:szCs w:val="18"/>
        </w:rPr>
        <w:t>a prevalencí chřipky</w:t>
      </w:r>
      <w:r w:rsidRPr="0019067C">
        <w:rPr>
          <w:i/>
          <w:sz w:val="18"/>
          <w:szCs w:val="18"/>
        </w:rPr>
        <w:t>).</w:t>
      </w:r>
    </w:p>
  </w:footnote>
  <w:footnote w:id="3">
    <w:p w:rsidR="005926DB" w:rsidRDefault="005926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4142F">
        <w:rPr>
          <w:i/>
          <w:sz w:val="18"/>
          <w:szCs w:val="18"/>
        </w:rPr>
        <w:t xml:space="preserve">Účelem </w:t>
      </w:r>
      <w:r>
        <w:rPr>
          <w:i/>
          <w:sz w:val="18"/>
          <w:szCs w:val="18"/>
        </w:rPr>
        <w:t>standardizace je vyloučení vlivu věkové struktury daného roku, čímž je umožněno porovnání úmrtnosti z různých let.</w:t>
      </w:r>
    </w:p>
  </w:footnote>
  <w:footnote w:id="4">
    <w:p w:rsidR="005926DB" w:rsidRPr="00017347" w:rsidRDefault="005926DB" w:rsidP="00017347">
      <w:pPr>
        <w:pStyle w:val="Textpoznpodarou"/>
        <w:rPr>
          <w:i/>
          <w:sz w:val="18"/>
          <w:szCs w:val="18"/>
        </w:rPr>
      </w:pPr>
      <w:r w:rsidRPr="00017347">
        <w:rPr>
          <w:rStyle w:val="Znakapoznpodarou"/>
          <w:i/>
          <w:sz w:val="18"/>
          <w:szCs w:val="18"/>
        </w:rPr>
        <w:footnoteRef/>
      </w:r>
      <w:r w:rsidRPr="00017347">
        <w:rPr>
          <w:i/>
          <w:sz w:val="18"/>
          <w:szCs w:val="18"/>
        </w:rPr>
        <w:t xml:space="preserve"> Platí při srovnání let 2006 a 2016. Intenzita úmrtnosti ovšem ve sledovaném období fluktuovala v závislosti na epidemiologické situaci.</w:t>
      </w:r>
      <w:r>
        <w:rPr>
          <w:i/>
          <w:sz w:val="18"/>
          <w:szCs w:val="18"/>
        </w:rPr>
        <w:t xml:space="preserve"> Viz přílohová tabulka 14.</w:t>
      </w:r>
      <w:r w:rsidRPr="00017347">
        <w:rPr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7A54FF" w:rsidRDefault="005926DB" w:rsidP="007A54FF">
    <w:pPr>
      <w:pStyle w:val="Zhlav"/>
    </w:pPr>
    <w:r>
      <w:t>Vývoj úmrtnosti v České republice 2006–2016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6F5416" w:rsidRDefault="005926DB" w:rsidP="00937AE2">
    <w:pPr>
      <w:pStyle w:val="Zhlav"/>
    </w:pPr>
    <w:r>
      <w:t>Vývoj úmrtnosti v České republice 2006–2016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5CB"/>
    <w:rsid w:val="00004D5A"/>
    <w:rsid w:val="000056D5"/>
    <w:rsid w:val="00005BCD"/>
    <w:rsid w:val="00005DDC"/>
    <w:rsid w:val="0000767A"/>
    <w:rsid w:val="00010702"/>
    <w:rsid w:val="00010DD8"/>
    <w:rsid w:val="000119F9"/>
    <w:rsid w:val="0001365E"/>
    <w:rsid w:val="000153A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3FCD"/>
    <w:rsid w:val="00035FEE"/>
    <w:rsid w:val="00036A91"/>
    <w:rsid w:val="000402D0"/>
    <w:rsid w:val="000402D2"/>
    <w:rsid w:val="000419F3"/>
    <w:rsid w:val="00041CEC"/>
    <w:rsid w:val="00043274"/>
    <w:rsid w:val="00045131"/>
    <w:rsid w:val="0004694F"/>
    <w:rsid w:val="000469B3"/>
    <w:rsid w:val="000473E5"/>
    <w:rsid w:val="00050751"/>
    <w:rsid w:val="00050A0A"/>
    <w:rsid w:val="000522E4"/>
    <w:rsid w:val="0005470D"/>
    <w:rsid w:val="00054A4E"/>
    <w:rsid w:val="00054F7C"/>
    <w:rsid w:val="00057D39"/>
    <w:rsid w:val="000610E1"/>
    <w:rsid w:val="00062176"/>
    <w:rsid w:val="00062907"/>
    <w:rsid w:val="00062EC5"/>
    <w:rsid w:val="00062F22"/>
    <w:rsid w:val="00064369"/>
    <w:rsid w:val="00067A09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33B5"/>
    <w:rsid w:val="000974D1"/>
    <w:rsid w:val="0009799E"/>
    <w:rsid w:val="000A1183"/>
    <w:rsid w:val="000A16E1"/>
    <w:rsid w:val="000A256D"/>
    <w:rsid w:val="000A3A2C"/>
    <w:rsid w:val="000A41DC"/>
    <w:rsid w:val="000A53C4"/>
    <w:rsid w:val="000B0BB6"/>
    <w:rsid w:val="000B11A5"/>
    <w:rsid w:val="000B30FA"/>
    <w:rsid w:val="000B40F1"/>
    <w:rsid w:val="000B4E56"/>
    <w:rsid w:val="000B6C64"/>
    <w:rsid w:val="000B7A13"/>
    <w:rsid w:val="000C029F"/>
    <w:rsid w:val="000C0C6D"/>
    <w:rsid w:val="000C2060"/>
    <w:rsid w:val="000C3408"/>
    <w:rsid w:val="000C5535"/>
    <w:rsid w:val="000C58C7"/>
    <w:rsid w:val="000C5FFA"/>
    <w:rsid w:val="000C6AFD"/>
    <w:rsid w:val="000C7EDF"/>
    <w:rsid w:val="000D06FE"/>
    <w:rsid w:val="000D182C"/>
    <w:rsid w:val="000D5637"/>
    <w:rsid w:val="000D583A"/>
    <w:rsid w:val="000D6EB5"/>
    <w:rsid w:val="000D6FD3"/>
    <w:rsid w:val="000D7F83"/>
    <w:rsid w:val="000E1193"/>
    <w:rsid w:val="000E156B"/>
    <w:rsid w:val="000E1B49"/>
    <w:rsid w:val="000E1BDD"/>
    <w:rsid w:val="000E269A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2DFC"/>
    <w:rsid w:val="0010437D"/>
    <w:rsid w:val="00104C4C"/>
    <w:rsid w:val="00107089"/>
    <w:rsid w:val="00111FCC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31836"/>
    <w:rsid w:val="00133A83"/>
    <w:rsid w:val="001405FA"/>
    <w:rsid w:val="001425C3"/>
    <w:rsid w:val="00142701"/>
    <w:rsid w:val="00145EA6"/>
    <w:rsid w:val="001462B0"/>
    <w:rsid w:val="001514A8"/>
    <w:rsid w:val="00152B67"/>
    <w:rsid w:val="001566B6"/>
    <w:rsid w:val="0016134C"/>
    <w:rsid w:val="0016256B"/>
    <w:rsid w:val="0016352B"/>
    <w:rsid w:val="00163793"/>
    <w:rsid w:val="001670D2"/>
    <w:rsid w:val="001678EC"/>
    <w:rsid w:val="00167F47"/>
    <w:rsid w:val="001706D6"/>
    <w:rsid w:val="00170831"/>
    <w:rsid w:val="001714F2"/>
    <w:rsid w:val="00172D31"/>
    <w:rsid w:val="00175F52"/>
    <w:rsid w:val="001779CE"/>
    <w:rsid w:val="001811DD"/>
    <w:rsid w:val="00182959"/>
    <w:rsid w:val="0018474A"/>
    <w:rsid w:val="00184B08"/>
    <w:rsid w:val="00185010"/>
    <w:rsid w:val="00185614"/>
    <w:rsid w:val="00185DE9"/>
    <w:rsid w:val="00187AD0"/>
    <w:rsid w:val="0019067C"/>
    <w:rsid w:val="001A04FC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C05CD"/>
    <w:rsid w:val="001C07E8"/>
    <w:rsid w:val="001C6049"/>
    <w:rsid w:val="001C63DE"/>
    <w:rsid w:val="001C7409"/>
    <w:rsid w:val="001D0FEE"/>
    <w:rsid w:val="001D5D5C"/>
    <w:rsid w:val="001D6209"/>
    <w:rsid w:val="001D62EB"/>
    <w:rsid w:val="001D68B2"/>
    <w:rsid w:val="001D7A0D"/>
    <w:rsid w:val="001D7DA1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4597"/>
    <w:rsid w:val="001F461A"/>
    <w:rsid w:val="00201642"/>
    <w:rsid w:val="00203BB2"/>
    <w:rsid w:val="00203F13"/>
    <w:rsid w:val="002118B9"/>
    <w:rsid w:val="00214045"/>
    <w:rsid w:val="002174E0"/>
    <w:rsid w:val="00217C5B"/>
    <w:rsid w:val="00220391"/>
    <w:rsid w:val="00220CAE"/>
    <w:rsid w:val="0022139E"/>
    <w:rsid w:val="0022195A"/>
    <w:rsid w:val="0022486F"/>
    <w:rsid w:val="002252E0"/>
    <w:rsid w:val="002255F6"/>
    <w:rsid w:val="00227850"/>
    <w:rsid w:val="00227A53"/>
    <w:rsid w:val="00230C6E"/>
    <w:rsid w:val="002332AC"/>
    <w:rsid w:val="00236443"/>
    <w:rsid w:val="00237BEB"/>
    <w:rsid w:val="002419A4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8A4"/>
    <w:rsid w:val="00252106"/>
    <w:rsid w:val="00252B6C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60AB"/>
    <w:rsid w:val="00276FDC"/>
    <w:rsid w:val="00283B35"/>
    <w:rsid w:val="00284DE4"/>
    <w:rsid w:val="00285412"/>
    <w:rsid w:val="00290E11"/>
    <w:rsid w:val="002930BF"/>
    <w:rsid w:val="00293B0F"/>
    <w:rsid w:val="00293ECA"/>
    <w:rsid w:val="0029467D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C034B"/>
    <w:rsid w:val="002C1249"/>
    <w:rsid w:val="002C1D2A"/>
    <w:rsid w:val="002C43BD"/>
    <w:rsid w:val="002C6E3A"/>
    <w:rsid w:val="002C774A"/>
    <w:rsid w:val="002C7B4E"/>
    <w:rsid w:val="002D0E59"/>
    <w:rsid w:val="002D10D2"/>
    <w:rsid w:val="002D1C35"/>
    <w:rsid w:val="002D79AD"/>
    <w:rsid w:val="002E02A1"/>
    <w:rsid w:val="002E4E4C"/>
    <w:rsid w:val="002E5641"/>
    <w:rsid w:val="002E60EE"/>
    <w:rsid w:val="002E6A2F"/>
    <w:rsid w:val="002F26F5"/>
    <w:rsid w:val="002F2803"/>
    <w:rsid w:val="002F37F1"/>
    <w:rsid w:val="00304771"/>
    <w:rsid w:val="003052D4"/>
    <w:rsid w:val="00306C5B"/>
    <w:rsid w:val="00312241"/>
    <w:rsid w:val="00312FD4"/>
    <w:rsid w:val="00313C82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5A9"/>
    <w:rsid w:val="00343544"/>
    <w:rsid w:val="00344668"/>
    <w:rsid w:val="003462D9"/>
    <w:rsid w:val="00350712"/>
    <w:rsid w:val="0035145A"/>
    <w:rsid w:val="00351FD4"/>
    <w:rsid w:val="00352D1C"/>
    <w:rsid w:val="00354632"/>
    <w:rsid w:val="00356BA0"/>
    <w:rsid w:val="00360C86"/>
    <w:rsid w:val="0036174E"/>
    <w:rsid w:val="00362295"/>
    <w:rsid w:val="00364E9E"/>
    <w:rsid w:val="003657F3"/>
    <w:rsid w:val="00366058"/>
    <w:rsid w:val="00367E8A"/>
    <w:rsid w:val="003712DF"/>
    <w:rsid w:val="003719F6"/>
    <w:rsid w:val="003730B7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9267A"/>
    <w:rsid w:val="00394E37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B4C02"/>
    <w:rsid w:val="003B5A32"/>
    <w:rsid w:val="003C24A4"/>
    <w:rsid w:val="003C3390"/>
    <w:rsid w:val="003C3490"/>
    <w:rsid w:val="003C3B69"/>
    <w:rsid w:val="003C592E"/>
    <w:rsid w:val="003C59EE"/>
    <w:rsid w:val="003C7966"/>
    <w:rsid w:val="003C7F25"/>
    <w:rsid w:val="003D09AA"/>
    <w:rsid w:val="003D3708"/>
    <w:rsid w:val="003D6920"/>
    <w:rsid w:val="003D699F"/>
    <w:rsid w:val="003D7B16"/>
    <w:rsid w:val="003E02BA"/>
    <w:rsid w:val="003E0E3A"/>
    <w:rsid w:val="003E3B90"/>
    <w:rsid w:val="003E4C91"/>
    <w:rsid w:val="003E7B37"/>
    <w:rsid w:val="003F313C"/>
    <w:rsid w:val="003F4B2C"/>
    <w:rsid w:val="003F551C"/>
    <w:rsid w:val="003F7445"/>
    <w:rsid w:val="003F7D23"/>
    <w:rsid w:val="00402C39"/>
    <w:rsid w:val="004031AC"/>
    <w:rsid w:val="0040463D"/>
    <w:rsid w:val="00405EBE"/>
    <w:rsid w:val="00406F16"/>
    <w:rsid w:val="00407C13"/>
    <w:rsid w:val="00410638"/>
    <w:rsid w:val="0041108E"/>
    <w:rsid w:val="0041187E"/>
    <w:rsid w:val="004168A2"/>
    <w:rsid w:val="00416CCB"/>
    <w:rsid w:val="00420B40"/>
    <w:rsid w:val="0043110C"/>
    <w:rsid w:val="00432A58"/>
    <w:rsid w:val="004333FA"/>
    <w:rsid w:val="00434617"/>
    <w:rsid w:val="00440535"/>
    <w:rsid w:val="00440900"/>
    <w:rsid w:val="00442727"/>
    <w:rsid w:val="004441A0"/>
    <w:rsid w:val="00445923"/>
    <w:rsid w:val="0044729A"/>
    <w:rsid w:val="004531E0"/>
    <w:rsid w:val="0045498A"/>
    <w:rsid w:val="0045617F"/>
    <w:rsid w:val="00460FB3"/>
    <w:rsid w:val="004633E1"/>
    <w:rsid w:val="004662BB"/>
    <w:rsid w:val="004703BD"/>
    <w:rsid w:val="00476240"/>
    <w:rsid w:val="00476439"/>
    <w:rsid w:val="0047735C"/>
    <w:rsid w:val="004776BC"/>
    <w:rsid w:val="0048139F"/>
    <w:rsid w:val="0048162D"/>
    <w:rsid w:val="00481E40"/>
    <w:rsid w:val="00483994"/>
    <w:rsid w:val="00484ECE"/>
    <w:rsid w:val="00485AF7"/>
    <w:rsid w:val="00486AF0"/>
    <w:rsid w:val="004900FF"/>
    <w:rsid w:val="004915CB"/>
    <w:rsid w:val="004924DC"/>
    <w:rsid w:val="00492CA7"/>
    <w:rsid w:val="00495B68"/>
    <w:rsid w:val="004A021E"/>
    <w:rsid w:val="004A0DF8"/>
    <w:rsid w:val="004A14E4"/>
    <w:rsid w:val="004A2A54"/>
    <w:rsid w:val="004A3212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334"/>
    <w:rsid w:val="004B55B7"/>
    <w:rsid w:val="004B5D6E"/>
    <w:rsid w:val="004B5E29"/>
    <w:rsid w:val="004B6468"/>
    <w:rsid w:val="004C1E70"/>
    <w:rsid w:val="004C384C"/>
    <w:rsid w:val="004C3867"/>
    <w:rsid w:val="004C3968"/>
    <w:rsid w:val="004C4CD0"/>
    <w:rsid w:val="004C514B"/>
    <w:rsid w:val="004C70DC"/>
    <w:rsid w:val="004C714D"/>
    <w:rsid w:val="004C78A6"/>
    <w:rsid w:val="004D0211"/>
    <w:rsid w:val="004D0794"/>
    <w:rsid w:val="004D4523"/>
    <w:rsid w:val="004D6C61"/>
    <w:rsid w:val="004D71F8"/>
    <w:rsid w:val="004D7AC6"/>
    <w:rsid w:val="004E2DE3"/>
    <w:rsid w:val="004E46CF"/>
    <w:rsid w:val="004E4A71"/>
    <w:rsid w:val="004E68A9"/>
    <w:rsid w:val="004F06F5"/>
    <w:rsid w:val="004F33A0"/>
    <w:rsid w:val="004F4D3E"/>
    <w:rsid w:val="004F526C"/>
    <w:rsid w:val="004F6BEF"/>
    <w:rsid w:val="00500A8A"/>
    <w:rsid w:val="00500E0E"/>
    <w:rsid w:val="005015F6"/>
    <w:rsid w:val="00505225"/>
    <w:rsid w:val="00505A03"/>
    <w:rsid w:val="00506052"/>
    <w:rsid w:val="00507DEE"/>
    <w:rsid w:val="005108C0"/>
    <w:rsid w:val="00511873"/>
    <w:rsid w:val="00511C34"/>
    <w:rsid w:val="005125B8"/>
    <w:rsid w:val="00512A2F"/>
    <w:rsid w:val="00513B7E"/>
    <w:rsid w:val="00515C74"/>
    <w:rsid w:val="00515CC3"/>
    <w:rsid w:val="005167DE"/>
    <w:rsid w:val="0052007E"/>
    <w:rsid w:val="005219C5"/>
    <w:rsid w:val="0052337A"/>
    <w:rsid w:val="00524E7C"/>
    <w:rsid w:val="00525137"/>
    <w:rsid w:val="005251DD"/>
    <w:rsid w:val="00530875"/>
    <w:rsid w:val="00530A00"/>
    <w:rsid w:val="00532280"/>
    <w:rsid w:val="00532371"/>
    <w:rsid w:val="00532CE7"/>
    <w:rsid w:val="0053324C"/>
    <w:rsid w:val="00534A28"/>
    <w:rsid w:val="00537A98"/>
    <w:rsid w:val="00540478"/>
    <w:rsid w:val="00541508"/>
    <w:rsid w:val="00545C4C"/>
    <w:rsid w:val="005470E3"/>
    <w:rsid w:val="00551ECE"/>
    <w:rsid w:val="00553864"/>
    <w:rsid w:val="00554CEE"/>
    <w:rsid w:val="0055599F"/>
    <w:rsid w:val="00556D68"/>
    <w:rsid w:val="0056308C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27EA"/>
    <w:rsid w:val="00583FFD"/>
    <w:rsid w:val="00584E79"/>
    <w:rsid w:val="00585C80"/>
    <w:rsid w:val="00585F09"/>
    <w:rsid w:val="00590F4F"/>
    <w:rsid w:val="005911BE"/>
    <w:rsid w:val="005926DB"/>
    <w:rsid w:val="00593152"/>
    <w:rsid w:val="005932CF"/>
    <w:rsid w:val="00594124"/>
    <w:rsid w:val="00594A4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D78"/>
    <w:rsid w:val="005B5D92"/>
    <w:rsid w:val="005B7B34"/>
    <w:rsid w:val="005C05F5"/>
    <w:rsid w:val="005C06B9"/>
    <w:rsid w:val="005C06ED"/>
    <w:rsid w:val="005C3100"/>
    <w:rsid w:val="005C4919"/>
    <w:rsid w:val="005C75D7"/>
    <w:rsid w:val="005D069F"/>
    <w:rsid w:val="005D176B"/>
    <w:rsid w:val="005D26A0"/>
    <w:rsid w:val="005D5802"/>
    <w:rsid w:val="005D606B"/>
    <w:rsid w:val="005D7890"/>
    <w:rsid w:val="005E0344"/>
    <w:rsid w:val="005E08A9"/>
    <w:rsid w:val="005E3857"/>
    <w:rsid w:val="005E4DA5"/>
    <w:rsid w:val="005E533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FF8"/>
    <w:rsid w:val="00612A2F"/>
    <w:rsid w:val="00614990"/>
    <w:rsid w:val="006167B8"/>
    <w:rsid w:val="00616E05"/>
    <w:rsid w:val="006234A1"/>
    <w:rsid w:val="00624093"/>
    <w:rsid w:val="00624621"/>
    <w:rsid w:val="0062641F"/>
    <w:rsid w:val="006268DB"/>
    <w:rsid w:val="0063164C"/>
    <w:rsid w:val="00632ED0"/>
    <w:rsid w:val="00633FC5"/>
    <w:rsid w:val="00634060"/>
    <w:rsid w:val="0063504A"/>
    <w:rsid w:val="00635B85"/>
    <w:rsid w:val="006364D7"/>
    <w:rsid w:val="0063677B"/>
    <w:rsid w:val="006404A7"/>
    <w:rsid w:val="006407C4"/>
    <w:rsid w:val="0064336E"/>
    <w:rsid w:val="00643DF7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6EE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807E2"/>
    <w:rsid w:val="0068174E"/>
    <w:rsid w:val="00681DCE"/>
    <w:rsid w:val="0068260E"/>
    <w:rsid w:val="00684182"/>
    <w:rsid w:val="006860B7"/>
    <w:rsid w:val="006923C8"/>
    <w:rsid w:val="00692BD9"/>
    <w:rsid w:val="0069379F"/>
    <w:rsid w:val="00695BEF"/>
    <w:rsid w:val="00695F6F"/>
    <w:rsid w:val="006977F6"/>
    <w:rsid w:val="00697A13"/>
    <w:rsid w:val="006A109C"/>
    <w:rsid w:val="006A34A6"/>
    <w:rsid w:val="006A3A94"/>
    <w:rsid w:val="006A3B27"/>
    <w:rsid w:val="006A3C5F"/>
    <w:rsid w:val="006A5C9F"/>
    <w:rsid w:val="006A6CAF"/>
    <w:rsid w:val="006A6E68"/>
    <w:rsid w:val="006B344A"/>
    <w:rsid w:val="006B3E2B"/>
    <w:rsid w:val="006B3F74"/>
    <w:rsid w:val="006B4638"/>
    <w:rsid w:val="006B5824"/>
    <w:rsid w:val="006B5E3E"/>
    <w:rsid w:val="006B62C7"/>
    <w:rsid w:val="006B6814"/>
    <w:rsid w:val="006B7191"/>
    <w:rsid w:val="006B76D8"/>
    <w:rsid w:val="006B78D8"/>
    <w:rsid w:val="006C0FD2"/>
    <w:rsid w:val="006C113F"/>
    <w:rsid w:val="006C123E"/>
    <w:rsid w:val="006C4EB1"/>
    <w:rsid w:val="006C56D4"/>
    <w:rsid w:val="006C6924"/>
    <w:rsid w:val="006C7CA6"/>
    <w:rsid w:val="006D13B3"/>
    <w:rsid w:val="006D239F"/>
    <w:rsid w:val="006D3E8A"/>
    <w:rsid w:val="006D61F6"/>
    <w:rsid w:val="006D62A4"/>
    <w:rsid w:val="006D6949"/>
    <w:rsid w:val="006D7729"/>
    <w:rsid w:val="006D7BE4"/>
    <w:rsid w:val="006E0015"/>
    <w:rsid w:val="006E279A"/>
    <w:rsid w:val="006E30E8"/>
    <w:rsid w:val="006E313B"/>
    <w:rsid w:val="006E373D"/>
    <w:rsid w:val="006E3A47"/>
    <w:rsid w:val="006E54D9"/>
    <w:rsid w:val="006F1785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6AD4"/>
    <w:rsid w:val="00713F05"/>
    <w:rsid w:val="007140BE"/>
    <w:rsid w:val="007154FE"/>
    <w:rsid w:val="00715E9E"/>
    <w:rsid w:val="00720D36"/>
    <w:rsid w:val="007211F5"/>
    <w:rsid w:val="007222D7"/>
    <w:rsid w:val="00722415"/>
    <w:rsid w:val="00725BB5"/>
    <w:rsid w:val="0073087E"/>
    <w:rsid w:val="00730AE8"/>
    <w:rsid w:val="00731340"/>
    <w:rsid w:val="00731A06"/>
    <w:rsid w:val="00731B32"/>
    <w:rsid w:val="0073395D"/>
    <w:rsid w:val="0073433F"/>
    <w:rsid w:val="00735379"/>
    <w:rsid w:val="00735AB8"/>
    <w:rsid w:val="0074004B"/>
    <w:rsid w:val="007405F4"/>
    <w:rsid w:val="00741493"/>
    <w:rsid w:val="00742447"/>
    <w:rsid w:val="00742BD7"/>
    <w:rsid w:val="007501EE"/>
    <w:rsid w:val="00751E0A"/>
    <w:rsid w:val="00752180"/>
    <w:rsid w:val="00753751"/>
    <w:rsid w:val="00755202"/>
    <w:rsid w:val="00755D3A"/>
    <w:rsid w:val="007578D3"/>
    <w:rsid w:val="007609C6"/>
    <w:rsid w:val="0076175D"/>
    <w:rsid w:val="0076310A"/>
    <w:rsid w:val="007633CC"/>
    <w:rsid w:val="0076521E"/>
    <w:rsid w:val="00765B47"/>
    <w:rsid w:val="00765BA7"/>
    <w:rsid w:val="00765F04"/>
    <w:rsid w:val="007661E9"/>
    <w:rsid w:val="00767B3C"/>
    <w:rsid w:val="00773379"/>
    <w:rsid w:val="00776169"/>
    <w:rsid w:val="00776527"/>
    <w:rsid w:val="00780EF1"/>
    <w:rsid w:val="00781745"/>
    <w:rsid w:val="007841B6"/>
    <w:rsid w:val="007903A3"/>
    <w:rsid w:val="00790764"/>
    <w:rsid w:val="00792EB2"/>
    <w:rsid w:val="00793419"/>
    <w:rsid w:val="007938D3"/>
    <w:rsid w:val="0079453C"/>
    <w:rsid w:val="00794677"/>
    <w:rsid w:val="007956EF"/>
    <w:rsid w:val="007A16C8"/>
    <w:rsid w:val="007A30FB"/>
    <w:rsid w:val="007A34B4"/>
    <w:rsid w:val="007A54FF"/>
    <w:rsid w:val="007B01D8"/>
    <w:rsid w:val="007B2668"/>
    <w:rsid w:val="007B604A"/>
    <w:rsid w:val="007B6689"/>
    <w:rsid w:val="007B733B"/>
    <w:rsid w:val="007B74A0"/>
    <w:rsid w:val="007D1B7E"/>
    <w:rsid w:val="007D3B04"/>
    <w:rsid w:val="007D40DF"/>
    <w:rsid w:val="007D612B"/>
    <w:rsid w:val="007E23ED"/>
    <w:rsid w:val="007E7243"/>
    <w:rsid w:val="007E7E61"/>
    <w:rsid w:val="007F0845"/>
    <w:rsid w:val="007F194B"/>
    <w:rsid w:val="007F4C97"/>
    <w:rsid w:val="007F6A83"/>
    <w:rsid w:val="00800DB2"/>
    <w:rsid w:val="00802B6D"/>
    <w:rsid w:val="00804B19"/>
    <w:rsid w:val="00807654"/>
    <w:rsid w:val="00807C82"/>
    <w:rsid w:val="00812684"/>
    <w:rsid w:val="00813938"/>
    <w:rsid w:val="00815403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F4F"/>
    <w:rsid w:val="00834FAA"/>
    <w:rsid w:val="00836086"/>
    <w:rsid w:val="008366E2"/>
    <w:rsid w:val="00836895"/>
    <w:rsid w:val="0084142F"/>
    <w:rsid w:val="00843064"/>
    <w:rsid w:val="0084708F"/>
    <w:rsid w:val="008477C8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434"/>
    <w:rsid w:val="00864C0B"/>
    <w:rsid w:val="00864F46"/>
    <w:rsid w:val="00865E4C"/>
    <w:rsid w:val="008701E4"/>
    <w:rsid w:val="00871103"/>
    <w:rsid w:val="00873935"/>
    <w:rsid w:val="00875A32"/>
    <w:rsid w:val="00876086"/>
    <w:rsid w:val="008807E3"/>
    <w:rsid w:val="00880A35"/>
    <w:rsid w:val="00882BF5"/>
    <w:rsid w:val="008852CE"/>
    <w:rsid w:val="00885CEB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A25CE"/>
    <w:rsid w:val="008A2A8C"/>
    <w:rsid w:val="008A5644"/>
    <w:rsid w:val="008A6526"/>
    <w:rsid w:val="008A6EE5"/>
    <w:rsid w:val="008B0A24"/>
    <w:rsid w:val="008B365B"/>
    <w:rsid w:val="008B7C02"/>
    <w:rsid w:val="008B7D2B"/>
    <w:rsid w:val="008C0049"/>
    <w:rsid w:val="008C0E88"/>
    <w:rsid w:val="008C549D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6F06"/>
    <w:rsid w:val="008E705E"/>
    <w:rsid w:val="008F029B"/>
    <w:rsid w:val="008F3FC9"/>
    <w:rsid w:val="008F47E2"/>
    <w:rsid w:val="008F585B"/>
    <w:rsid w:val="008F6367"/>
    <w:rsid w:val="009003A8"/>
    <w:rsid w:val="00902500"/>
    <w:rsid w:val="00902EFF"/>
    <w:rsid w:val="00904E72"/>
    <w:rsid w:val="00906401"/>
    <w:rsid w:val="009074E8"/>
    <w:rsid w:val="009075C8"/>
    <w:rsid w:val="0091155E"/>
    <w:rsid w:val="00912A92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C1C"/>
    <w:rsid w:val="0092600D"/>
    <w:rsid w:val="00930BC3"/>
    <w:rsid w:val="00931C19"/>
    <w:rsid w:val="00932443"/>
    <w:rsid w:val="0093382F"/>
    <w:rsid w:val="00937AE2"/>
    <w:rsid w:val="0094189C"/>
    <w:rsid w:val="00941CE5"/>
    <w:rsid w:val="0094280E"/>
    <w:rsid w:val="0094410E"/>
    <w:rsid w:val="0094427A"/>
    <w:rsid w:val="00951581"/>
    <w:rsid w:val="009556DE"/>
    <w:rsid w:val="00960808"/>
    <w:rsid w:val="00963892"/>
    <w:rsid w:val="009645CE"/>
    <w:rsid w:val="0096493A"/>
    <w:rsid w:val="009711BA"/>
    <w:rsid w:val="009733DC"/>
    <w:rsid w:val="00974923"/>
    <w:rsid w:val="00977C97"/>
    <w:rsid w:val="00980D3D"/>
    <w:rsid w:val="0098262F"/>
    <w:rsid w:val="0098750E"/>
    <w:rsid w:val="00987A30"/>
    <w:rsid w:val="009917A8"/>
    <w:rsid w:val="00992CC8"/>
    <w:rsid w:val="00992CF3"/>
    <w:rsid w:val="00994FCD"/>
    <w:rsid w:val="009968D6"/>
    <w:rsid w:val="009974DB"/>
    <w:rsid w:val="009A1CAB"/>
    <w:rsid w:val="009A53E6"/>
    <w:rsid w:val="009A599D"/>
    <w:rsid w:val="009A60D1"/>
    <w:rsid w:val="009A621A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E13D0"/>
    <w:rsid w:val="009E31A6"/>
    <w:rsid w:val="009E48A6"/>
    <w:rsid w:val="009E5273"/>
    <w:rsid w:val="009E5DDB"/>
    <w:rsid w:val="009F30F9"/>
    <w:rsid w:val="009F37AD"/>
    <w:rsid w:val="009F4CA7"/>
    <w:rsid w:val="009F588A"/>
    <w:rsid w:val="009F5C7F"/>
    <w:rsid w:val="009F7847"/>
    <w:rsid w:val="00A004E5"/>
    <w:rsid w:val="00A00CF7"/>
    <w:rsid w:val="00A06181"/>
    <w:rsid w:val="00A10D66"/>
    <w:rsid w:val="00A112A7"/>
    <w:rsid w:val="00A14114"/>
    <w:rsid w:val="00A1585F"/>
    <w:rsid w:val="00A16413"/>
    <w:rsid w:val="00A16C53"/>
    <w:rsid w:val="00A2193F"/>
    <w:rsid w:val="00A23E43"/>
    <w:rsid w:val="00A30E5C"/>
    <w:rsid w:val="00A30F65"/>
    <w:rsid w:val="00A33F18"/>
    <w:rsid w:val="00A3441E"/>
    <w:rsid w:val="00A3710B"/>
    <w:rsid w:val="00A37FEA"/>
    <w:rsid w:val="00A40B86"/>
    <w:rsid w:val="00A414C4"/>
    <w:rsid w:val="00A41848"/>
    <w:rsid w:val="00A418BC"/>
    <w:rsid w:val="00A4294E"/>
    <w:rsid w:val="00A4423A"/>
    <w:rsid w:val="00A44369"/>
    <w:rsid w:val="00A4652F"/>
    <w:rsid w:val="00A46DE0"/>
    <w:rsid w:val="00A50C94"/>
    <w:rsid w:val="00A50D73"/>
    <w:rsid w:val="00A52712"/>
    <w:rsid w:val="00A52CAD"/>
    <w:rsid w:val="00A53FC7"/>
    <w:rsid w:val="00A548CB"/>
    <w:rsid w:val="00A550B2"/>
    <w:rsid w:val="00A55EC9"/>
    <w:rsid w:val="00A561D9"/>
    <w:rsid w:val="00A60720"/>
    <w:rsid w:val="00A61485"/>
    <w:rsid w:val="00A6284F"/>
    <w:rsid w:val="00A62CE1"/>
    <w:rsid w:val="00A6741E"/>
    <w:rsid w:val="00A73293"/>
    <w:rsid w:val="00A75E40"/>
    <w:rsid w:val="00A77D1D"/>
    <w:rsid w:val="00A8020D"/>
    <w:rsid w:val="00A805BF"/>
    <w:rsid w:val="00A839FC"/>
    <w:rsid w:val="00A83A03"/>
    <w:rsid w:val="00A857C0"/>
    <w:rsid w:val="00A861EB"/>
    <w:rsid w:val="00A90356"/>
    <w:rsid w:val="00A93898"/>
    <w:rsid w:val="00A93D98"/>
    <w:rsid w:val="00A950DD"/>
    <w:rsid w:val="00A971C9"/>
    <w:rsid w:val="00AA1911"/>
    <w:rsid w:val="00AA2996"/>
    <w:rsid w:val="00AA3E75"/>
    <w:rsid w:val="00AA4630"/>
    <w:rsid w:val="00AA52BF"/>
    <w:rsid w:val="00AA559A"/>
    <w:rsid w:val="00AA6579"/>
    <w:rsid w:val="00AA693E"/>
    <w:rsid w:val="00AB0A00"/>
    <w:rsid w:val="00AB1F3F"/>
    <w:rsid w:val="00AB2AF1"/>
    <w:rsid w:val="00AB4358"/>
    <w:rsid w:val="00AB51F2"/>
    <w:rsid w:val="00AB62D3"/>
    <w:rsid w:val="00AB7B84"/>
    <w:rsid w:val="00AC0616"/>
    <w:rsid w:val="00AC294B"/>
    <w:rsid w:val="00AC4C86"/>
    <w:rsid w:val="00AD1C15"/>
    <w:rsid w:val="00AD209E"/>
    <w:rsid w:val="00AD306C"/>
    <w:rsid w:val="00AD6DBB"/>
    <w:rsid w:val="00AD768A"/>
    <w:rsid w:val="00AE09B3"/>
    <w:rsid w:val="00AE1A83"/>
    <w:rsid w:val="00AE5B3C"/>
    <w:rsid w:val="00AE7D84"/>
    <w:rsid w:val="00AF0950"/>
    <w:rsid w:val="00AF1DF8"/>
    <w:rsid w:val="00AF39B8"/>
    <w:rsid w:val="00AF6965"/>
    <w:rsid w:val="00AF7A0F"/>
    <w:rsid w:val="00B0058E"/>
    <w:rsid w:val="00B00913"/>
    <w:rsid w:val="00B01593"/>
    <w:rsid w:val="00B01C79"/>
    <w:rsid w:val="00B037DA"/>
    <w:rsid w:val="00B038AF"/>
    <w:rsid w:val="00B052AA"/>
    <w:rsid w:val="00B0562E"/>
    <w:rsid w:val="00B056AD"/>
    <w:rsid w:val="00B108BA"/>
    <w:rsid w:val="00B10A4D"/>
    <w:rsid w:val="00B17E71"/>
    <w:rsid w:val="00B17FDE"/>
    <w:rsid w:val="00B203DF"/>
    <w:rsid w:val="00B20D47"/>
    <w:rsid w:val="00B21F69"/>
    <w:rsid w:val="00B2379C"/>
    <w:rsid w:val="00B2687D"/>
    <w:rsid w:val="00B32DDB"/>
    <w:rsid w:val="00B34272"/>
    <w:rsid w:val="00B34528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50DE2"/>
    <w:rsid w:val="00B530CD"/>
    <w:rsid w:val="00B55E92"/>
    <w:rsid w:val="00B55F5E"/>
    <w:rsid w:val="00B56086"/>
    <w:rsid w:val="00B56FAD"/>
    <w:rsid w:val="00B5752D"/>
    <w:rsid w:val="00B5752E"/>
    <w:rsid w:val="00B57558"/>
    <w:rsid w:val="00B63A11"/>
    <w:rsid w:val="00B64C24"/>
    <w:rsid w:val="00B6547C"/>
    <w:rsid w:val="00B6608F"/>
    <w:rsid w:val="00B679FB"/>
    <w:rsid w:val="00B718A3"/>
    <w:rsid w:val="00B71E9B"/>
    <w:rsid w:val="00B7353E"/>
    <w:rsid w:val="00B75DBF"/>
    <w:rsid w:val="00B76476"/>
    <w:rsid w:val="00B76D1E"/>
    <w:rsid w:val="00B76D76"/>
    <w:rsid w:val="00B80EC6"/>
    <w:rsid w:val="00B83E01"/>
    <w:rsid w:val="00B860E7"/>
    <w:rsid w:val="00B86F2B"/>
    <w:rsid w:val="00B87F80"/>
    <w:rsid w:val="00B90C1A"/>
    <w:rsid w:val="00B91EFB"/>
    <w:rsid w:val="00B92D1D"/>
    <w:rsid w:val="00B938C5"/>
    <w:rsid w:val="00B95334"/>
    <w:rsid w:val="00B956EF"/>
    <w:rsid w:val="00B95940"/>
    <w:rsid w:val="00B96687"/>
    <w:rsid w:val="00B96D9F"/>
    <w:rsid w:val="00B96F73"/>
    <w:rsid w:val="00BA336D"/>
    <w:rsid w:val="00BA425D"/>
    <w:rsid w:val="00BA6A30"/>
    <w:rsid w:val="00BA7826"/>
    <w:rsid w:val="00BA7A5D"/>
    <w:rsid w:val="00BB39CA"/>
    <w:rsid w:val="00BB3AC4"/>
    <w:rsid w:val="00BB46F3"/>
    <w:rsid w:val="00BB4CB1"/>
    <w:rsid w:val="00BB4F98"/>
    <w:rsid w:val="00BC17A1"/>
    <w:rsid w:val="00BC2A0F"/>
    <w:rsid w:val="00BC3A81"/>
    <w:rsid w:val="00BC7154"/>
    <w:rsid w:val="00BD0958"/>
    <w:rsid w:val="00BD14F7"/>
    <w:rsid w:val="00BD366B"/>
    <w:rsid w:val="00BD3D11"/>
    <w:rsid w:val="00BD3F9D"/>
    <w:rsid w:val="00BD5301"/>
    <w:rsid w:val="00BD6D50"/>
    <w:rsid w:val="00BD78B2"/>
    <w:rsid w:val="00BE0554"/>
    <w:rsid w:val="00BE18B9"/>
    <w:rsid w:val="00BE1F6D"/>
    <w:rsid w:val="00BE2495"/>
    <w:rsid w:val="00BE3CF1"/>
    <w:rsid w:val="00BF1578"/>
    <w:rsid w:val="00BF24D8"/>
    <w:rsid w:val="00BF65FD"/>
    <w:rsid w:val="00BF72ED"/>
    <w:rsid w:val="00C00E4B"/>
    <w:rsid w:val="00C0393B"/>
    <w:rsid w:val="00C1028C"/>
    <w:rsid w:val="00C1067B"/>
    <w:rsid w:val="00C1290C"/>
    <w:rsid w:val="00C12B2C"/>
    <w:rsid w:val="00C1308B"/>
    <w:rsid w:val="00C141A2"/>
    <w:rsid w:val="00C14A11"/>
    <w:rsid w:val="00C16185"/>
    <w:rsid w:val="00C1637D"/>
    <w:rsid w:val="00C1743E"/>
    <w:rsid w:val="00C21F94"/>
    <w:rsid w:val="00C24EDC"/>
    <w:rsid w:val="00C25A7D"/>
    <w:rsid w:val="00C26006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52E8D"/>
    <w:rsid w:val="00C54118"/>
    <w:rsid w:val="00C54697"/>
    <w:rsid w:val="00C555EF"/>
    <w:rsid w:val="00C55875"/>
    <w:rsid w:val="00C55E1D"/>
    <w:rsid w:val="00C60A2C"/>
    <w:rsid w:val="00C6193F"/>
    <w:rsid w:val="00C63857"/>
    <w:rsid w:val="00C6626E"/>
    <w:rsid w:val="00C66410"/>
    <w:rsid w:val="00C67120"/>
    <w:rsid w:val="00C701FD"/>
    <w:rsid w:val="00C73885"/>
    <w:rsid w:val="00C747B1"/>
    <w:rsid w:val="00C81D34"/>
    <w:rsid w:val="00C82191"/>
    <w:rsid w:val="00C8365E"/>
    <w:rsid w:val="00C8621D"/>
    <w:rsid w:val="00C86C17"/>
    <w:rsid w:val="00C87668"/>
    <w:rsid w:val="00C90CF4"/>
    <w:rsid w:val="00C9146E"/>
    <w:rsid w:val="00C92EB6"/>
    <w:rsid w:val="00C93389"/>
    <w:rsid w:val="00CA3288"/>
    <w:rsid w:val="00CA39BB"/>
    <w:rsid w:val="00CA445F"/>
    <w:rsid w:val="00CA6A30"/>
    <w:rsid w:val="00CB30FE"/>
    <w:rsid w:val="00CB4223"/>
    <w:rsid w:val="00CB4930"/>
    <w:rsid w:val="00CB4EE3"/>
    <w:rsid w:val="00CB7286"/>
    <w:rsid w:val="00CB7AE5"/>
    <w:rsid w:val="00CC010E"/>
    <w:rsid w:val="00CC19EA"/>
    <w:rsid w:val="00CC274B"/>
    <w:rsid w:val="00CC2E7D"/>
    <w:rsid w:val="00CD10A5"/>
    <w:rsid w:val="00CD2076"/>
    <w:rsid w:val="00CD4296"/>
    <w:rsid w:val="00CD72E6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10F2"/>
    <w:rsid w:val="00D01D45"/>
    <w:rsid w:val="00D040DD"/>
    <w:rsid w:val="00D1124E"/>
    <w:rsid w:val="00D112F4"/>
    <w:rsid w:val="00D13986"/>
    <w:rsid w:val="00D13C4B"/>
    <w:rsid w:val="00D1542B"/>
    <w:rsid w:val="00D168DC"/>
    <w:rsid w:val="00D1757E"/>
    <w:rsid w:val="00D17E09"/>
    <w:rsid w:val="00D22DF5"/>
    <w:rsid w:val="00D235B7"/>
    <w:rsid w:val="00D25F28"/>
    <w:rsid w:val="00D260E0"/>
    <w:rsid w:val="00D27973"/>
    <w:rsid w:val="00D33D44"/>
    <w:rsid w:val="00D33FAD"/>
    <w:rsid w:val="00D36B85"/>
    <w:rsid w:val="00D41AEB"/>
    <w:rsid w:val="00D44E70"/>
    <w:rsid w:val="00D46B17"/>
    <w:rsid w:val="00D47C38"/>
    <w:rsid w:val="00D50A15"/>
    <w:rsid w:val="00D50F46"/>
    <w:rsid w:val="00D52644"/>
    <w:rsid w:val="00D56612"/>
    <w:rsid w:val="00D57D09"/>
    <w:rsid w:val="00D6180C"/>
    <w:rsid w:val="00D61A66"/>
    <w:rsid w:val="00D62193"/>
    <w:rsid w:val="00D637CE"/>
    <w:rsid w:val="00D63D46"/>
    <w:rsid w:val="00D63E61"/>
    <w:rsid w:val="00D64C05"/>
    <w:rsid w:val="00D66223"/>
    <w:rsid w:val="00D71877"/>
    <w:rsid w:val="00D724DA"/>
    <w:rsid w:val="00D73EA2"/>
    <w:rsid w:val="00D771F6"/>
    <w:rsid w:val="00D8084C"/>
    <w:rsid w:val="00D834AE"/>
    <w:rsid w:val="00D83CE7"/>
    <w:rsid w:val="00D86A4E"/>
    <w:rsid w:val="00D92055"/>
    <w:rsid w:val="00D969B7"/>
    <w:rsid w:val="00D976F7"/>
    <w:rsid w:val="00DA2E0F"/>
    <w:rsid w:val="00DA40D8"/>
    <w:rsid w:val="00DA7C0C"/>
    <w:rsid w:val="00DB16C8"/>
    <w:rsid w:val="00DB22D1"/>
    <w:rsid w:val="00DB2EC8"/>
    <w:rsid w:val="00DB704C"/>
    <w:rsid w:val="00DC000D"/>
    <w:rsid w:val="00DC022B"/>
    <w:rsid w:val="00DC05DD"/>
    <w:rsid w:val="00DC3A0E"/>
    <w:rsid w:val="00DC5B3B"/>
    <w:rsid w:val="00DC6E5A"/>
    <w:rsid w:val="00DD11ED"/>
    <w:rsid w:val="00DD129F"/>
    <w:rsid w:val="00DD488F"/>
    <w:rsid w:val="00DD6BF7"/>
    <w:rsid w:val="00DE4E5C"/>
    <w:rsid w:val="00DF3E4D"/>
    <w:rsid w:val="00DF42FF"/>
    <w:rsid w:val="00DF58C0"/>
    <w:rsid w:val="00E00351"/>
    <w:rsid w:val="00E00A33"/>
    <w:rsid w:val="00E01C0E"/>
    <w:rsid w:val="00E03F9A"/>
    <w:rsid w:val="00E04694"/>
    <w:rsid w:val="00E04D7F"/>
    <w:rsid w:val="00E06123"/>
    <w:rsid w:val="00E11205"/>
    <w:rsid w:val="00E12B1E"/>
    <w:rsid w:val="00E12B86"/>
    <w:rsid w:val="00E15A9E"/>
    <w:rsid w:val="00E16A91"/>
    <w:rsid w:val="00E17262"/>
    <w:rsid w:val="00E17962"/>
    <w:rsid w:val="00E17F0C"/>
    <w:rsid w:val="00E20872"/>
    <w:rsid w:val="00E21EC7"/>
    <w:rsid w:val="00E253A2"/>
    <w:rsid w:val="00E3309D"/>
    <w:rsid w:val="00E332A1"/>
    <w:rsid w:val="00E336D8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402C"/>
    <w:rsid w:val="00E64504"/>
    <w:rsid w:val="00E6519D"/>
    <w:rsid w:val="00E661F7"/>
    <w:rsid w:val="00E67696"/>
    <w:rsid w:val="00E71A58"/>
    <w:rsid w:val="00E72A7A"/>
    <w:rsid w:val="00E73FC4"/>
    <w:rsid w:val="00E74D2B"/>
    <w:rsid w:val="00E757DE"/>
    <w:rsid w:val="00E75C94"/>
    <w:rsid w:val="00E76931"/>
    <w:rsid w:val="00E80347"/>
    <w:rsid w:val="00E81FCE"/>
    <w:rsid w:val="00E838EA"/>
    <w:rsid w:val="00E865AD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B4511"/>
    <w:rsid w:val="00EC03D7"/>
    <w:rsid w:val="00EC36B3"/>
    <w:rsid w:val="00EC6BC9"/>
    <w:rsid w:val="00ED2A87"/>
    <w:rsid w:val="00ED3B8D"/>
    <w:rsid w:val="00ED62C6"/>
    <w:rsid w:val="00ED64C1"/>
    <w:rsid w:val="00EE31C4"/>
    <w:rsid w:val="00EE3446"/>
    <w:rsid w:val="00EE3E78"/>
    <w:rsid w:val="00EE4B1B"/>
    <w:rsid w:val="00EE656A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4811"/>
    <w:rsid w:val="00F0488C"/>
    <w:rsid w:val="00F04AD5"/>
    <w:rsid w:val="00F04E3A"/>
    <w:rsid w:val="00F05332"/>
    <w:rsid w:val="00F05F5E"/>
    <w:rsid w:val="00F10620"/>
    <w:rsid w:val="00F10F11"/>
    <w:rsid w:val="00F1444D"/>
    <w:rsid w:val="00F14E8C"/>
    <w:rsid w:val="00F15AAA"/>
    <w:rsid w:val="00F15BEF"/>
    <w:rsid w:val="00F164BE"/>
    <w:rsid w:val="00F17974"/>
    <w:rsid w:val="00F24407"/>
    <w:rsid w:val="00F24FAA"/>
    <w:rsid w:val="00F26541"/>
    <w:rsid w:val="00F27411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525EB"/>
    <w:rsid w:val="00F54375"/>
    <w:rsid w:val="00F6043F"/>
    <w:rsid w:val="00F62215"/>
    <w:rsid w:val="00F62A5E"/>
    <w:rsid w:val="00F62CED"/>
    <w:rsid w:val="00F63DDE"/>
    <w:rsid w:val="00F63FB7"/>
    <w:rsid w:val="00F649D2"/>
    <w:rsid w:val="00F6563E"/>
    <w:rsid w:val="00F6602B"/>
    <w:rsid w:val="00F70816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6911"/>
    <w:rsid w:val="00FA08E5"/>
    <w:rsid w:val="00FA2558"/>
    <w:rsid w:val="00FA2684"/>
    <w:rsid w:val="00FA3CE7"/>
    <w:rsid w:val="00FA5CA6"/>
    <w:rsid w:val="00FA5D4D"/>
    <w:rsid w:val="00FA777B"/>
    <w:rsid w:val="00FB0EE2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6DE"/>
    <w:rsid w:val="00FC684B"/>
    <w:rsid w:val="00FD20A6"/>
    <w:rsid w:val="00FD3265"/>
    <w:rsid w:val="00FD3E18"/>
    <w:rsid w:val="00FD528A"/>
    <w:rsid w:val="00FD62B2"/>
    <w:rsid w:val="00FD779A"/>
    <w:rsid w:val="00FD7986"/>
    <w:rsid w:val="00FE2F78"/>
    <w:rsid w:val="00FE45EF"/>
    <w:rsid w:val="00FF1A0F"/>
    <w:rsid w:val="00FF4791"/>
    <w:rsid w:val="00FF4D2C"/>
    <w:rsid w:val="00FF718E"/>
    <w:rsid w:val="00FF78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c.europa.eu/eurostat/en/web/products-manuals-and-guidelines/-/KS-RA-13-02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ec.europa.eu/eurostat/en/web/products-manuals-and-guidelines/-/KS-RA-13-02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D2F5-FB32-4359-9AE9-4448931D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245</TotalTime>
  <Pages>6</Pages>
  <Words>1893</Words>
  <Characters>11173</Characters>
  <Application>Microsoft Office Word</Application>
  <DocSecurity>0</DocSecurity>
  <Lines>93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13040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62</cp:revision>
  <cp:lastPrinted>2014-07-17T14:07:00Z</cp:lastPrinted>
  <dcterms:created xsi:type="dcterms:W3CDTF">2017-11-28T09:52:00Z</dcterms:created>
  <dcterms:modified xsi:type="dcterms:W3CDTF">2017-11-29T10:22:00Z</dcterms:modified>
</cp:coreProperties>
</file>