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AD" w:rsidRDefault="00B056AD" w:rsidP="00B056AD">
      <w:pPr>
        <w:pStyle w:val="Nadpis1"/>
      </w:pPr>
      <w:bookmarkStart w:id="0" w:name="_Toc499711614"/>
      <w:bookmarkStart w:id="1" w:name="_GoBack"/>
      <w:bookmarkEnd w:id="1"/>
      <w:r>
        <w:t>5. Regionální rozdíly</w:t>
      </w:r>
      <w:bookmarkEnd w:id="0"/>
    </w:p>
    <w:p w:rsidR="00B056AD" w:rsidRDefault="00B056AD" w:rsidP="00B056AD">
      <w:pPr>
        <w:pStyle w:val="Nadpis2"/>
      </w:pPr>
      <w:bookmarkStart w:id="2" w:name="_Toc499711615"/>
      <w:r>
        <w:t>5.1 Naděje dožití podle pohlaví a krajů</w:t>
      </w:r>
      <w:bookmarkEnd w:id="2"/>
    </w:p>
    <w:p w:rsidR="00A861EB" w:rsidRPr="008E023A" w:rsidRDefault="00A414C4" w:rsidP="00A861EB">
      <w:pPr>
        <w:spacing w:after="0"/>
        <w:rPr>
          <w:rFonts w:cs="Arial"/>
          <w:szCs w:val="20"/>
        </w:rPr>
      </w:pPr>
      <w:r>
        <w:t xml:space="preserve">V případě mužů mají dlouhodobě nejvyšší naději dožití při narození muži s bydlištěm v Hlavním městě Praze (78,0 let v období 2015–2016). S odstupem následovaly Kraj Vysočina (77,2 let v období 2015–2016) a Královéhradecký kraj (77,0 let) Naopak nejnižší hodnoty naděje dožití při narození měli každoročně muži v Ústeckém (74,0 let v letech 2015–2016), Moravskoslezském (74,4 let) a Karlovarském </w:t>
      </w:r>
      <w:r w:rsidRPr="008E023A">
        <w:rPr>
          <w:rFonts w:cs="Arial"/>
          <w:szCs w:val="20"/>
        </w:rPr>
        <w:t>kraji (74,4</w:t>
      </w:r>
      <w:r>
        <w:rPr>
          <w:rFonts w:cs="Arial"/>
          <w:szCs w:val="20"/>
        </w:rPr>
        <w:t> </w:t>
      </w:r>
      <w:r w:rsidRPr="008E023A">
        <w:rPr>
          <w:rFonts w:cs="Arial"/>
          <w:szCs w:val="20"/>
        </w:rPr>
        <w:t>let</w:t>
      </w:r>
      <w:r>
        <w:rPr>
          <w:rFonts w:cs="Arial"/>
          <w:szCs w:val="20"/>
        </w:rPr>
        <w:t>)</w:t>
      </w:r>
      <w:r w:rsidRPr="008E023A">
        <w:rPr>
          <w:rFonts w:cs="Arial"/>
          <w:szCs w:val="20"/>
        </w:rPr>
        <w:t xml:space="preserve">. </w:t>
      </w:r>
      <w:r>
        <w:rPr>
          <w:rFonts w:cs="Arial"/>
          <w:szCs w:val="20"/>
        </w:rPr>
        <w:t xml:space="preserve">Ústecký kraj měl ve </w:t>
      </w:r>
      <w:r w:rsidRPr="008E023A">
        <w:rPr>
          <w:rFonts w:cs="Arial"/>
          <w:szCs w:val="20"/>
        </w:rPr>
        <w:t xml:space="preserve">sledovaném období </w:t>
      </w:r>
      <w:r>
        <w:rPr>
          <w:rFonts w:cs="Arial"/>
          <w:szCs w:val="20"/>
        </w:rPr>
        <w:t xml:space="preserve">vždy nejhorší </w:t>
      </w:r>
      <w:r w:rsidR="00A861EB" w:rsidRPr="008E023A">
        <w:rPr>
          <w:rFonts w:cs="Arial"/>
          <w:szCs w:val="20"/>
        </w:rPr>
        <w:t>úmrtnost</w:t>
      </w:r>
      <w:r w:rsidR="00A861EB">
        <w:rPr>
          <w:rFonts w:cs="Arial"/>
          <w:szCs w:val="20"/>
        </w:rPr>
        <w:t>n</w:t>
      </w:r>
      <w:r>
        <w:rPr>
          <w:rFonts w:cs="Arial"/>
          <w:szCs w:val="20"/>
        </w:rPr>
        <w:t>ími poměry.</w:t>
      </w:r>
    </w:p>
    <w:p w:rsidR="00B056AD" w:rsidRPr="008E023A" w:rsidRDefault="00B056AD" w:rsidP="008E023A">
      <w:pPr>
        <w:spacing w:after="0"/>
        <w:rPr>
          <w:rFonts w:cs="Arial"/>
          <w:szCs w:val="20"/>
        </w:rPr>
      </w:pPr>
    </w:p>
    <w:p w:rsidR="00062176" w:rsidRDefault="00062176" w:rsidP="00062176">
      <w:pPr>
        <w:spacing w:after="60"/>
        <w:rPr>
          <w:rFonts w:cs="Arial"/>
          <w:b/>
          <w:szCs w:val="20"/>
        </w:rPr>
      </w:pPr>
      <w:r>
        <w:rPr>
          <w:rFonts w:cs="Arial"/>
          <w:b/>
          <w:szCs w:val="20"/>
        </w:rPr>
        <w:t>Tab. 6 Naděje dožití</w:t>
      </w:r>
      <w:r w:rsidRPr="004C514B">
        <w:rPr>
          <w:rFonts w:cs="Arial"/>
          <w:b/>
          <w:szCs w:val="20"/>
        </w:rPr>
        <w:t xml:space="preserve"> </w:t>
      </w:r>
      <w:r>
        <w:rPr>
          <w:rFonts w:cs="Arial"/>
          <w:b/>
          <w:szCs w:val="20"/>
        </w:rPr>
        <w:t>mužů při narození</w:t>
      </w:r>
      <w:r w:rsidR="00C63857" w:rsidRPr="004C514B">
        <w:rPr>
          <w:rFonts w:cs="Arial"/>
          <w:b/>
          <w:szCs w:val="20"/>
          <w:vertAlign w:val="superscript"/>
        </w:rPr>
        <w:t>1</w:t>
      </w:r>
      <w:r w:rsidR="00C63857">
        <w:rPr>
          <w:rFonts w:cs="Arial"/>
          <w:b/>
          <w:szCs w:val="20"/>
          <w:vertAlign w:val="superscript"/>
        </w:rPr>
        <w:t>)</w:t>
      </w:r>
      <w:r>
        <w:rPr>
          <w:rFonts w:cs="Arial"/>
          <w:b/>
          <w:szCs w:val="20"/>
        </w:rPr>
        <w:t xml:space="preserve"> podle krajů </w:t>
      </w:r>
      <w:r w:rsidR="001D7DA1">
        <w:rPr>
          <w:rFonts w:cs="Arial"/>
          <w:b/>
          <w:szCs w:val="20"/>
        </w:rPr>
        <w:t>v letech 2005</w:t>
      </w:r>
      <w:r w:rsidRPr="004C514B">
        <w:rPr>
          <w:rFonts w:cs="Arial"/>
          <w:b/>
          <w:szCs w:val="20"/>
        </w:rPr>
        <w:t>–2016</w:t>
      </w:r>
    </w:p>
    <w:tbl>
      <w:tblPr>
        <w:tblW w:w="9639" w:type="dxa"/>
        <w:tblCellMar>
          <w:left w:w="70" w:type="dxa"/>
          <w:right w:w="70" w:type="dxa"/>
        </w:tblCellMar>
        <w:tblLook w:val="04A0" w:firstRow="1" w:lastRow="0" w:firstColumn="1" w:lastColumn="0" w:noHBand="0" w:noVBand="1"/>
      </w:tblPr>
      <w:tblGrid>
        <w:gridCol w:w="1653"/>
        <w:gridCol w:w="1331"/>
        <w:gridCol w:w="1331"/>
        <w:gridCol w:w="1331"/>
        <w:gridCol w:w="1331"/>
        <w:gridCol w:w="1331"/>
        <w:gridCol w:w="1331"/>
      </w:tblGrid>
      <w:tr w:rsidR="000A41DC" w:rsidRPr="000A41DC" w:rsidTr="001D7DA1">
        <w:trPr>
          <w:trHeight w:val="263"/>
        </w:trPr>
        <w:tc>
          <w:tcPr>
            <w:tcW w:w="1540" w:type="dxa"/>
            <w:tcBorders>
              <w:top w:val="single" w:sz="4" w:space="0" w:color="auto"/>
              <w:left w:val="nil"/>
              <w:bottom w:val="nil"/>
              <w:right w:val="single" w:sz="4" w:space="0" w:color="auto"/>
            </w:tcBorders>
            <w:shd w:val="clear" w:color="FFFFFF" w:fill="F5DADD"/>
            <w:vAlign w:val="center"/>
            <w:hideMark/>
          </w:tcPr>
          <w:p w:rsidR="000A41DC" w:rsidRPr="000A41DC" w:rsidRDefault="000A41DC" w:rsidP="000A41DC">
            <w:pPr>
              <w:spacing w:after="0" w:line="240" w:lineRule="auto"/>
              <w:jc w:val="center"/>
              <w:rPr>
                <w:rFonts w:cs="Arial"/>
                <w:b/>
                <w:bCs/>
                <w:sz w:val="16"/>
                <w:szCs w:val="16"/>
              </w:rPr>
            </w:pPr>
            <w:r w:rsidRPr="000A41DC">
              <w:rPr>
                <w:rFonts w:cs="Arial"/>
                <w:b/>
                <w:bCs/>
                <w:sz w:val="16"/>
                <w:szCs w:val="16"/>
              </w:rPr>
              <w:t>Kraj</w:t>
            </w:r>
          </w:p>
        </w:tc>
        <w:tc>
          <w:tcPr>
            <w:tcW w:w="1240" w:type="dxa"/>
            <w:tcBorders>
              <w:top w:val="single" w:sz="4" w:space="0" w:color="auto"/>
              <w:left w:val="nil"/>
              <w:bottom w:val="nil"/>
              <w:right w:val="single" w:sz="4" w:space="0" w:color="auto"/>
            </w:tcBorders>
            <w:shd w:val="clear" w:color="FFFFFF" w:fill="F5DADD"/>
            <w:vAlign w:val="center"/>
            <w:hideMark/>
          </w:tcPr>
          <w:p w:rsidR="000A41DC" w:rsidRPr="000A41DC" w:rsidRDefault="000A41DC" w:rsidP="000A41DC">
            <w:pPr>
              <w:spacing w:after="0" w:line="240" w:lineRule="auto"/>
              <w:jc w:val="center"/>
              <w:rPr>
                <w:rFonts w:cs="Arial"/>
                <w:b/>
                <w:bCs/>
                <w:sz w:val="16"/>
                <w:szCs w:val="16"/>
              </w:rPr>
            </w:pPr>
            <w:r w:rsidRPr="000A41DC">
              <w:rPr>
                <w:rFonts w:cs="Arial"/>
                <w:b/>
                <w:bCs/>
                <w:sz w:val="16"/>
                <w:szCs w:val="16"/>
              </w:rPr>
              <w:t>2005–2006</w:t>
            </w:r>
          </w:p>
        </w:tc>
        <w:tc>
          <w:tcPr>
            <w:tcW w:w="1240" w:type="dxa"/>
            <w:tcBorders>
              <w:top w:val="single" w:sz="4" w:space="0" w:color="auto"/>
              <w:left w:val="nil"/>
              <w:bottom w:val="nil"/>
              <w:right w:val="single" w:sz="4" w:space="0" w:color="auto"/>
            </w:tcBorders>
            <w:shd w:val="clear" w:color="FFFFFF" w:fill="F5DADD"/>
            <w:vAlign w:val="center"/>
            <w:hideMark/>
          </w:tcPr>
          <w:p w:rsidR="000A41DC" w:rsidRPr="000A41DC" w:rsidRDefault="000A41DC" w:rsidP="000A41DC">
            <w:pPr>
              <w:spacing w:after="0" w:line="240" w:lineRule="auto"/>
              <w:jc w:val="center"/>
              <w:rPr>
                <w:rFonts w:cs="Arial"/>
                <w:b/>
                <w:bCs/>
                <w:sz w:val="16"/>
                <w:szCs w:val="16"/>
              </w:rPr>
            </w:pPr>
            <w:r w:rsidRPr="000A41DC">
              <w:rPr>
                <w:rFonts w:cs="Arial"/>
                <w:b/>
                <w:bCs/>
                <w:sz w:val="16"/>
                <w:szCs w:val="16"/>
              </w:rPr>
              <w:t>2007–2008</w:t>
            </w:r>
          </w:p>
        </w:tc>
        <w:tc>
          <w:tcPr>
            <w:tcW w:w="1240" w:type="dxa"/>
            <w:tcBorders>
              <w:top w:val="single" w:sz="4" w:space="0" w:color="auto"/>
              <w:left w:val="nil"/>
              <w:bottom w:val="nil"/>
              <w:right w:val="single" w:sz="4" w:space="0" w:color="auto"/>
            </w:tcBorders>
            <w:shd w:val="clear" w:color="FFFFFF" w:fill="F5DADD"/>
            <w:vAlign w:val="center"/>
            <w:hideMark/>
          </w:tcPr>
          <w:p w:rsidR="000A41DC" w:rsidRPr="000A41DC" w:rsidRDefault="000A41DC" w:rsidP="000A41DC">
            <w:pPr>
              <w:spacing w:after="0" w:line="240" w:lineRule="auto"/>
              <w:jc w:val="center"/>
              <w:rPr>
                <w:rFonts w:cs="Arial"/>
                <w:b/>
                <w:bCs/>
                <w:sz w:val="16"/>
                <w:szCs w:val="16"/>
              </w:rPr>
            </w:pPr>
            <w:r w:rsidRPr="000A41DC">
              <w:rPr>
                <w:rFonts w:cs="Arial"/>
                <w:b/>
                <w:bCs/>
                <w:sz w:val="16"/>
                <w:szCs w:val="16"/>
              </w:rPr>
              <w:t>2009–2010</w:t>
            </w:r>
          </w:p>
        </w:tc>
        <w:tc>
          <w:tcPr>
            <w:tcW w:w="1240" w:type="dxa"/>
            <w:tcBorders>
              <w:top w:val="single" w:sz="4" w:space="0" w:color="auto"/>
              <w:left w:val="nil"/>
              <w:bottom w:val="nil"/>
              <w:right w:val="single" w:sz="4" w:space="0" w:color="auto"/>
            </w:tcBorders>
            <w:shd w:val="clear" w:color="FFFFFF" w:fill="F5DADD"/>
            <w:vAlign w:val="center"/>
            <w:hideMark/>
          </w:tcPr>
          <w:p w:rsidR="000A41DC" w:rsidRPr="000A41DC" w:rsidRDefault="000A41DC" w:rsidP="000A41DC">
            <w:pPr>
              <w:spacing w:after="0" w:line="240" w:lineRule="auto"/>
              <w:jc w:val="center"/>
              <w:rPr>
                <w:rFonts w:cs="Arial"/>
                <w:b/>
                <w:bCs/>
                <w:sz w:val="16"/>
                <w:szCs w:val="16"/>
              </w:rPr>
            </w:pPr>
            <w:r w:rsidRPr="000A41DC">
              <w:rPr>
                <w:rFonts w:cs="Arial"/>
                <w:b/>
                <w:bCs/>
                <w:sz w:val="16"/>
                <w:szCs w:val="16"/>
              </w:rPr>
              <w:t>2011–2012</w:t>
            </w:r>
          </w:p>
        </w:tc>
        <w:tc>
          <w:tcPr>
            <w:tcW w:w="1240" w:type="dxa"/>
            <w:tcBorders>
              <w:top w:val="single" w:sz="4" w:space="0" w:color="auto"/>
              <w:left w:val="nil"/>
              <w:bottom w:val="nil"/>
              <w:right w:val="single" w:sz="4" w:space="0" w:color="auto"/>
            </w:tcBorders>
            <w:shd w:val="clear" w:color="FFFFFF" w:fill="F5DADD"/>
            <w:vAlign w:val="center"/>
            <w:hideMark/>
          </w:tcPr>
          <w:p w:rsidR="000A41DC" w:rsidRPr="000A41DC" w:rsidRDefault="000A41DC" w:rsidP="000A41DC">
            <w:pPr>
              <w:spacing w:after="0" w:line="240" w:lineRule="auto"/>
              <w:jc w:val="center"/>
              <w:rPr>
                <w:rFonts w:cs="Arial"/>
                <w:b/>
                <w:bCs/>
                <w:sz w:val="16"/>
                <w:szCs w:val="16"/>
              </w:rPr>
            </w:pPr>
            <w:r w:rsidRPr="000A41DC">
              <w:rPr>
                <w:rFonts w:cs="Arial"/>
                <w:b/>
                <w:bCs/>
                <w:sz w:val="16"/>
                <w:szCs w:val="16"/>
              </w:rPr>
              <w:t>2013–2014</w:t>
            </w:r>
          </w:p>
        </w:tc>
        <w:tc>
          <w:tcPr>
            <w:tcW w:w="1240" w:type="dxa"/>
            <w:tcBorders>
              <w:top w:val="single" w:sz="4" w:space="0" w:color="auto"/>
              <w:left w:val="nil"/>
              <w:bottom w:val="nil"/>
              <w:right w:val="nil"/>
            </w:tcBorders>
            <w:shd w:val="clear" w:color="FFFFFF" w:fill="F5DADD"/>
            <w:vAlign w:val="center"/>
            <w:hideMark/>
          </w:tcPr>
          <w:p w:rsidR="000A41DC" w:rsidRPr="000A41DC" w:rsidRDefault="000A41DC" w:rsidP="000A41DC">
            <w:pPr>
              <w:spacing w:after="0" w:line="240" w:lineRule="auto"/>
              <w:jc w:val="center"/>
              <w:rPr>
                <w:rFonts w:cs="Arial"/>
                <w:b/>
                <w:bCs/>
                <w:sz w:val="16"/>
                <w:szCs w:val="16"/>
              </w:rPr>
            </w:pPr>
            <w:r w:rsidRPr="000A41DC">
              <w:rPr>
                <w:rFonts w:cs="Arial"/>
                <w:b/>
                <w:bCs/>
                <w:sz w:val="16"/>
                <w:szCs w:val="16"/>
              </w:rPr>
              <w:t>2015–2016</w:t>
            </w:r>
          </w:p>
        </w:tc>
      </w:tr>
      <w:tr w:rsidR="000A41DC" w:rsidRPr="000A41DC" w:rsidTr="001D7DA1">
        <w:trPr>
          <w:trHeight w:val="255"/>
        </w:trPr>
        <w:tc>
          <w:tcPr>
            <w:tcW w:w="1540" w:type="dxa"/>
            <w:tcBorders>
              <w:top w:val="single" w:sz="4" w:space="0" w:color="auto"/>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ČR</w:t>
            </w:r>
          </w:p>
        </w:tc>
        <w:tc>
          <w:tcPr>
            <w:tcW w:w="1240" w:type="dxa"/>
            <w:tcBorders>
              <w:top w:val="single" w:sz="4" w:space="0" w:color="auto"/>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73,2</w:t>
            </w:r>
          </w:p>
        </w:tc>
        <w:tc>
          <w:tcPr>
            <w:tcW w:w="1240" w:type="dxa"/>
            <w:tcBorders>
              <w:top w:val="single" w:sz="4" w:space="0" w:color="auto"/>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74,0</w:t>
            </w:r>
          </w:p>
        </w:tc>
        <w:tc>
          <w:tcPr>
            <w:tcW w:w="1240" w:type="dxa"/>
            <w:tcBorders>
              <w:top w:val="single" w:sz="4" w:space="0" w:color="auto"/>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74,4</w:t>
            </w:r>
          </w:p>
        </w:tc>
        <w:tc>
          <w:tcPr>
            <w:tcW w:w="1240" w:type="dxa"/>
            <w:tcBorders>
              <w:top w:val="single" w:sz="4" w:space="0" w:color="auto"/>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75,0</w:t>
            </w:r>
          </w:p>
        </w:tc>
        <w:tc>
          <w:tcPr>
            <w:tcW w:w="1240" w:type="dxa"/>
            <w:tcBorders>
              <w:top w:val="single" w:sz="4" w:space="0" w:color="auto"/>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75,5</w:t>
            </w:r>
          </w:p>
        </w:tc>
        <w:tc>
          <w:tcPr>
            <w:tcW w:w="1240" w:type="dxa"/>
            <w:tcBorders>
              <w:top w:val="single" w:sz="4" w:space="0" w:color="auto"/>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76,0</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Hl. město Praha</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75,2</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75,9</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77,0</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77,5</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78,0</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Středočeský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73,0</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73,8</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74,9</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75,7</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76,5</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Jihočeský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73,7</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74,8</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75,1</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75,8</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76,0</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Plzeňský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73,4</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74,4</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74,9</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75,2</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76,0</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76,3</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Karlovarský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72,3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72,8</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72,7</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74,0</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74,1</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74,4</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Ústecký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71,2</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71,7</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72,3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73,0</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73,6</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74,0</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Liberecký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73,0</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74,4</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75,1</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76,1</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Královéhradecký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74,4</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75,0</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75,2</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75,6</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76,2</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77,0</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Pardubický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73,4</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74,2</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74,8</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74,9</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76,1</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76,4</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Vysočina</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73,9</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74,5</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75,1</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75,6</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76,2</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77,2</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Jihomoravský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73,2</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74,1</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74,7</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75,2</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76,0</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76,5</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Olomoucký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73,2</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73,5</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74,0</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74,9</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75,5</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Zlínský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72,6</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73,4</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73,5</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74,4</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75,1</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75,5</w:t>
            </w:r>
          </w:p>
        </w:tc>
      </w:tr>
      <w:tr w:rsidR="000A41DC" w:rsidRPr="000A41DC" w:rsidTr="001D7DA1">
        <w:trPr>
          <w:trHeight w:val="255"/>
        </w:trPr>
        <w:tc>
          <w:tcPr>
            <w:tcW w:w="15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rPr>
                <w:rFonts w:cs="Arial"/>
                <w:sz w:val="16"/>
                <w:szCs w:val="16"/>
              </w:rPr>
            </w:pPr>
            <w:r w:rsidRPr="000A41DC">
              <w:rPr>
                <w:rFonts w:cs="Arial"/>
                <w:sz w:val="16"/>
                <w:szCs w:val="16"/>
              </w:rPr>
              <w:t>Moravskoslezský</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71,9</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72,3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72,6</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73,3</w:t>
            </w:r>
          </w:p>
        </w:tc>
        <w:tc>
          <w:tcPr>
            <w:tcW w:w="1240" w:type="dxa"/>
            <w:tcBorders>
              <w:top w:val="nil"/>
              <w:left w:val="nil"/>
              <w:bottom w:val="nil"/>
              <w:right w:val="single" w:sz="4" w:space="0" w:color="auto"/>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74,1</w:t>
            </w:r>
          </w:p>
        </w:tc>
        <w:tc>
          <w:tcPr>
            <w:tcW w:w="1240" w:type="dxa"/>
            <w:tcBorders>
              <w:top w:val="nil"/>
              <w:left w:val="nil"/>
              <w:bottom w:val="nil"/>
              <w:right w:val="nil"/>
            </w:tcBorders>
            <w:shd w:val="clear" w:color="FFFFFF" w:fill="FFFFFF"/>
            <w:noWrap/>
            <w:vAlign w:val="bottom"/>
            <w:hideMark/>
          </w:tcPr>
          <w:p w:rsidR="000A41DC" w:rsidRPr="000A41DC" w:rsidRDefault="000A41DC" w:rsidP="000A41DC">
            <w:pPr>
              <w:spacing w:after="0" w:line="240" w:lineRule="auto"/>
              <w:jc w:val="center"/>
              <w:rPr>
                <w:rFonts w:cs="Arial"/>
                <w:sz w:val="16"/>
                <w:szCs w:val="16"/>
              </w:rPr>
            </w:pPr>
            <w:r w:rsidRPr="000A41DC">
              <w:rPr>
                <w:rFonts w:cs="Arial"/>
                <w:sz w:val="16"/>
                <w:szCs w:val="16"/>
              </w:rPr>
              <w:t>74,4</w:t>
            </w:r>
          </w:p>
        </w:tc>
      </w:tr>
    </w:tbl>
    <w:p w:rsidR="00B056AD" w:rsidRPr="000A41DC" w:rsidRDefault="000A41DC" w:rsidP="000A41DC">
      <w:pPr>
        <w:spacing w:before="60" w:after="0"/>
        <w:rPr>
          <w:rFonts w:ascii="Arial CE" w:hAnsi="Arial CE" w:cs="Arial CE"/>
          <w:i/>
          <w:iCs/>
          <w:sz w:val="16"/>
          <w:szCs w:val="16"/>
        </w:rPr>
      </w:pPr>
      <w:r w:rsidRPr="000A41DC">
        <w:rPr>
          <w:rFonts w:ascii="Arial CE" w:hAnsi="Arial CE" w:cs="Arial CE"/>
          <w:i/>
          <w:iCs/>
          <w:sz w:val="16"/>
          <w:szCs w:val="16"/>
        </w:rPr>
        <w:t xml:space="preserve">1) Hodnoty jsou vypočítány za dvouletá období z důvodu </w:t>
      </w:r>
      <w:r w:rsidR="007956EF">
        <w:rPr>
          <w:rFonts w:ascii="Arial CE" w:hAnsi="Arial CE" w:cs="Arial CE"/>
          <w:i/>
          <w:iCs/>
          <w:sz w:val="16"/>
          <w:szCs w:val="16"/>
        </w:rPr>
        <w:t>ošetření</w:t>
      </w:r>
      <w:r w:rsidRPr="000A41DC">
        <w:rPr>
          <w:rFonts w:ascii="Arial CE" w:hAnsi="Arial CE" w:cs="Arial CE"/>
          <w:i/>
          <w:iCs/>
          <w:sz w:val="16"/>
          <w:szCs w:val="16"/>
        </w:rPr>
        <w:t xml:space="preserve"> vlivu náhodných výkyvů.</w:t>
      </w:r>
    </w:p>
    <w:p w:rsidR="00B056AD" w:rsidRPr="005726CA" w:rsidRDefault="00B056AD" w:rsidP="005726CA">
      <w:pPr>
        <w:spacing w:after="0"/>
        <w:rPr>
          <w:rFonts w:cs="Arial"/>
          <w:szCs w:val="20"/>
        </w:rPr>
      </w:pPr>
    </w:p>
    <w:p w:rsidR="00A861EB" w:rsidRDefault="00A861EB" w:rsidP="00A861EB">
      <w:pPr>
        <w:spacing w:after="60"/>
        <w:rPr>
          <w:rFonts w:cs="Arial"/>
          <w:b/>
          <w:szCs w:val="20"/>
        </w:rPr>
      </w:pPr>
      <w:r>
        <w:rPr>
          <w:rFonts w:cs="Arial"/>
          <w:b/>
          <w:szCs w:val="20"/>
        </w:rPr>
        <w:t xml:space="preserve">Tab. 7 </w:t>
      </w:r>
      <w:r w:rsidRPr="00A861EB">
        <w:rPr>
          <w:rFonts w:cs="Arial"/>
          <w:b/>
          <w:szCs w:val="20"/>
        </w:rPr>
        <w:t>Pořadí krajů</w:t>
      </w:r>
      <w:r w:rsidRPr="00A861EB">
        <w:rPr>
          <w:rFonts w:cs="Arial"/>
          <w:b/>
          <w:szCs w:val="20"/>
          <w:vertAlign w:val="superscript"/>
        </w:rPr>
        <w:t>1)</w:t>
      </w:r>
      <w:r w:rsidRPr="00A861EB">
        <w:rPr>
          <w:rFonts w:cs="Arial"/>
          <w:b/>
          <w:szCs w:val="20"/>
        </w:rPr>
        <w:t xml:space="preserve"> podle naděje dožití mužů při narození v letech 2005–2016</w:t>
      </w:r>
    </w:p>
    <w:tbl>
      <w:tblPr>
        <w:tblW w:w="9639" w:type="dxa"/>
        <w:tblCellMar>
          <w:left w:w="70" w:type="dxa"/>
          <w:right w:w="70" w:type="dxa"/>
        </w:tblCellMar>
        <w:tblLook w:val="04A0" w:firstRow="1" w:lastRow="0" w:firstColumn="1" w:lastColumn="0" w:noHBand="0" w:noVBand="1"/>
      </w:tblPr>
      <w:tblGrid>
        <w:gridCol w:w="1653"/>
        <w:gridCol w:w="1331"/>
        <w:gridCol w:w="1331"/>
        <w:gridCol w:w="1331"/>
        <w:gridCol w:w="1331"/>
        <w:gridCol w:w="1331"/>
        <w:gridCol w:w="1331"/>
      </w:tblGrid>
      <w:tr w:rsidR="00A861EB" w:rsidRPr="00A861EB" w:rsidTr="00A861EB">
        <w:trPr>
          <w:trHeight w:val="263"/>
        </w:trPr>
        <w:tc>
          <w:tcPr>
            <w:tcW w:w="1653" w:type="dxa"/>
            <w:tcBorders>
              <w:top w:val="single" w:sz="4" w:space="0" w:color="auto"/>
              <w:left w:val="nil"/>
              <w:bottom w:val="nil"/>
              <w:right w:val="single" w:sz="4" w:space="0" w:color="auto"/>
            </w:tcBorders>
            <w:shd w:val="clear" w:color="FFFFFF" w:fill="F5DADD"/>
            <w:vAlign w:val="center"/>
            <w:hideMark/>
          </w:tcPr>
          <w:p w:rsidR="00A861EB" w:rsidRPr="00A861EB" w:rsidRDefault="00A861EB" w:rsidP="00A861EB">
            <w:pPr>
              <w:spacing w:after="0" w:line="240" w:lineRule="auto"/>
              <w:jc w:val="center"/>
              <w:rPr>
                <w:rFonts w:cs="Arial"/>
                <w:b/>
                <w:bCs/>
                <w:sz w:val="16"/>
                <w:szCs w:val="16"/>
              </w:rPr>
            </w:pPr>
            <w:r w:rsidRPr="00A861EB">
              <w:rPr>
                <w:rFonts w:cs="Arial"/>
                <w:b/>
                <w:bCs/>
                <w:sz w:val="16"/>
                <w:szCs w:val="16"/>
              </w:rPr>
              <w:t>Kraj</w:t>
            </w:r>
          </w:p>
        </w:tc>
        <w:tc>
          <w:tcPr>
            <w:tcW w:w="1331" w:type="dxa"/>
            <w:tcBorders>
              <w:top w:val="single" w:sz="4" w:space="0" w:color="auto"/>
              <w:left w:val="nil"/>
              <w:bottom w:val="nil"/>
              <w:right w:val="single" w:sz="4" w:space="0" w:color="auto"/>
            </w:tcBorders>
            <w:shd w:val="clear" w:color="FFFFFF" w:fill="F5DADD"/>
            <w:vAlign w:val="center"/>
            <w:hideMark/>
          </w:tcPr>
          <w:p w:rsidR="00A861EB" w:rsidRPr="00A861EB" w:rsidRDefault="00A861EB" w:rsidP="00A861EB">
            <w:pPr>
              <w:spacing w:after="0" w:line="240" w:lineRule="auto"/>
              <w:jc w:val="center"/>
              <w:rPr>
                <w:rFonts w:cs="Arial"/>
                <w:b/>
                <w:bCs/>
                <w:sz w:val="16"/>
                <w:szCs w:val="16"/>
              </w:rPr>
            </w:pPr>
            <w:r w:rsidRPr="00A861EB">
              <w:rPr>
                <w:rFonts w:cs="Arial"/>
                <w:b/>
                <w:bCs/>
                <w:sz w:val="16"/>
                <w:szCs w:val="16"/>
              </w:rPr>
              <w:t>2005–2006</w:t>
            </w:r>
          </w:p>
        </w:tc>
        <w:tc>
          <w:tcPr>
            <w:tcW w:w="1331" w:type="dxa"/>
            <w:tcBorders>
              <w:top w:val="single" w:sz="4" w:space="0" w:color="auto"/>
              <w:left w:val="nil"/>
              <w:bottom w:val="nil"/>
              <w:right w:val="single" w:sz="4" w:space="0" w:color="auto"/>
            </w:tcBorders>
            <w:shd w:val="clear" w:color="FFFFFF" w:fill="F5DADD"/>
            <w:vAlign w:val="center"/>
            <w:hideMark/>
          </w:tcPr>
          <w:p w:rsidR="00A861EB" w:rsidRPr="00A861EB" w:rsidRDefault="00A861EB" w:rsidP="00A861EB">
            <w:pPr>
              <w:spacing w:after="0" w:line="240" w:lineRule="auto"/>
              <w:jc w:val="center"/>
              <w:rPr>
                <w:rFonts w:cs="Arial"/>
                <w:b/>
                <w:bCs/>
                <w:sz w:val="16"/>
                <w:szCs w:val="16"/>
              </w:rPr>
            </w:pPr>
            <w:r w:rsidRPr="00A861EB">
              <w:rPr>
                <w:rFonts w:cs="Arial"/>
                <w:b/>
                <w:bCs/>
                <w:sz w:val="16"/>
                <w:szCs w:val="16"/>
              </w:rPr>
              <w:t>2007–2008</w:t>
            </w:r>
          </w:p>
        </w:tc>
        <w:tc>
          <w:tcPr>
            <w:tcW w:w="1331" w:type="dxa"/>
            <w:tcBorders>
              <w:top w:val="single" w:sz="4" w:space="0" w:color="auto"/>
              <w:left w:val="nil"/>
              <w:bottom w:val="nil"/>
              <w:right w:val="single" w:sz="4" w:space="0" w:color="auto"/>
            </w:tcBorders>
            <w:shd w:val="clear" w:color="FFFFFF" w:fill="F5DADD"/>
            <w:vAlign w:val="center"/>
            <w:hideMark/>
          </w:tcPr>
          <w:p w:rsidR="00A861EB" w:rsidRPr="00A861EB" w:rsidRDefault="00A861EB" w:rsidP="00A861EB">
            <w:pPr>
              <w:spacing w:after="0" w:line="240" w:lineRule="auto"/>
              <w:jc w:val="center"/>
              <w:rPr>
                <w:rFonts w:cs="Arial"/>
                <w:b/>
                <w:bCs/>
                <w:sz w:val="16"/>
                <w:szCs w:val="16"/>
              </w:rPr>
            </w:pPr>
            <w:r w:rsidRPr="00A861EB">
              <w:rPr>
                <w:rFonts w:cs="Arial"/>
                <w:b/>
                <w:bCs/>
                <w:sz w:val="16"/>
                <w:szCs w:val="16"/>
              </w:rPr>
              <w:t>2009–2010</w:t>
            </w:r>
          </w:p>
        </w:tc>
        <w:tc>
          <w:tcPr>
            <w:tcW w:w="1331" w:type="dxa"/>
            <w:tcBorders>
              <w:top w:val="single" w:sz="4" w:space="0" w:color="auto"/>
              <w:left w:val="nil"/>
              <w:bottom w:val="nil"/>
              <w:right w:val="single" w:sz="4" w:space="0" w:color="auto"/>
            </w:tcBorders>
            <w:shd w:val="clear" w:color="FFFFFF" w:fill="F5DADD"/>
            <w:vAlign w:val="center"/>
            <w:hideMark/>
          </w:tcPr>
          <w:p w:rsidR="00A861EB" w:rsidRPr="00A861EB" w:rsidRDefault="00A861EB" w:rsidP="00A861EB">
            <w:pPr>
              <w:spacing w:after="0" w:line="240" w:lineRule="auto"/>
              <w:jc w:val="center"/>
              <w:rPr>
                <w:rFonts w:cs="Arial"/>
                <w:b/>
                <w:bCs/>
                <w:sz w:val="16"/>
                <w:szCs w:val="16"/>
              </w:rPr>
            </w:pPr>
            <w:r w:rsidRPr="00A861EB">
              <w:rPr>
                <w:rFonts w:cs="Arial"/>
                <w:b/>
                <w:bCs/>
                <w:sz w:val="16"/>
                <w:szCs w:val="16"/>
              </w:rPr>
              <w:t>2011–2012</w:t>
            </w:r>
          </w:p>
        </w:tc>
        <w:tc>
          <w:tcPr>
            <w:tcW w:w="1331" w:type="dxa"/>
            <w:tcBorders>
              <w:top w:val="single" w:sz="4" w:space="0" w:color="auto"/>
              <w:left w:val="nil"/>
              <w:bottom w:val="nil"/>
              <w:right w:val="single" w:sz="4" w:space="0" w:color="auto"/>
            </w:tcBorders>
            <w:shd w:val="clear" w:color="FFFFFF" w:fill="F5DADD"/>
            <w:vAlign w:val="center"/>
            <w:hideMark/>
          </w:tcPr>
          <w:p w:rsidR="00A861EB" w:rsidRPr="00A861EB" w:rsidRDefault="00A861EB" w:rsidP="00A861EB">
            <w:pPr>
              <w:spacing w:after="0" w:line="240" w:lineRule="auto"/>
              <w:jc w:val="center"/>
              <w:rPr>
                <w:rFonts w:cs="Arial"/>
                <w:b/>
                <w:bCs/>
                <w:sz w:val="16"/>
                <w:szCs w:val="16"/>
              </w:rPr>
            </w:pPr>
            <w:r w:rsidRPr="00A861EB">
              <w:rPr>
                <w:rFonts w:cs="Arial"/>
                <w:b/>
                <w:bCs/>
                <w:sz w:val="16"/>
                <w:szCs w:val="16"/>
              </w:rPr>
              <w:t>2013–2014</w:t>
            </w:r>
          </w:p>
        </w:tc>
        <w:tc>
          <w:tcPr>
            <w:tcW w:w="1331" w:type="dxa"/>
            <w:tcBorders>
              <w:top w:val="single" w:sz="4" w:space="0" w:color="auto"/>
              <w:left w:val="nil"/>
              <w:bottom w:val="nil"/>
              <w:right w:val="nil"/>
            </w:tcBorders>
            <w:shd w:val="clear" w:color="FFFFFF" w:fill="F5DADD"/>
            <w:vAlign w:val="center"/>
            <w:hideMark/>
          </w:tcPr>
          <w:p w:rsidR="00A861EB" w:rsidRPr="00A861EB" w:rsidRDefault="00A861EB" w:rsidP="00A861EB">
            <w:pPr>
              <w:spacing w:after="0" w:line="240" w:lineRule="auto"/>
              <w:jc w:val="center"/>
              <w:rPr>
                <w:rFonts w:cs="Arial"/>
                <w:b/>
                <w:bCs/>
                <w:sz w:val="16"/>
                <w:szCs w:val="16"/>
              </w:rPr>
            </w:pPr>
            <w:r w:rsidRPr="00A861EB">
              <w:rPr>
                <w:rFonts w:cs="Arial"/>
                <w:b/>
                <w:bCs/>
                <w:sz w:val="16"/>
                <w:szCs w:val="16"/>
              </w:rPr>
              <w:t>2015–2016</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Hl. město Praha</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Středočeský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9</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8</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9</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9</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8</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4</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Jihočeský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5</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6</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7</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7</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9</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Plzeňský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6</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6</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6</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7</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Karlovarský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12</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12</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Ústecký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14</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14</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Liberecký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10</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8</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10</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8</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Královéhradecký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3</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3</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Pardubický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5</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6</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5</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8</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4</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6</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Vysočina</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2</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2</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Jihomoravský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8</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7</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7</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5</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5</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5</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Olomoucký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7</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9</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10</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11</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10</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Zlínský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10</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10</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9</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11</w:t>
            </w:r>
          </w:p>
        </w:tc>
      </w:tr>
      <w:tr w:rsidR="00A861EB" w:rsidRPr="00A861EB" w:rsidTr="00A861EB">
        <w:trPr>
          <w:trHeight w:val="255"/>
        </w:trPr>
        <w:tc>
          <w:tcPr>
            <w:tcW w:w="1653" w:type="dxa"/>
            <w:tcBorders>
              <w:top w:val="nil"/>
              <w:left w:val="nil"/>
              <w:bottom w:val="nil"/>
              <w:right w:val="single" w:sz="4" w:space="0" w:color="auto"/>
            </w:tcBorders>
            <w:shd w:val="clear" w:color="FFFFFF" w:fill="FFFFFF"/>
            <w:noWrap/>
            <w:vAlign w:val="bottom"/>
            <w:hideMark/>
          </w:tcPr>
          <w:p w:rsidR="00A861EB" w:rsidRPr="00A861EB" w:rsidRDefault="00A861EB" w:rsidP="00A861EB">
            <w:pPr>
              <w:spacing w:after="0" w:line="240" w:lineRule="auto"/>
              <w:rPr>
                <w:rFonts w:cs="Arial"/>
                <w:sz w:val="16"/>
                <w:szCs w:val="16"/>
              </w:rPr>
            </w:pPr>
            <w:r w:rsidRPr="00A861EB">
              <w:rPr>
                <w:rFonts w:cs="Arial"/>
                <w:sz w:val="16"/>
                <w:szCs w:val="16"/>
              </w:rPr>
              <w:t>Moravskoslezský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13</w:t>
            </w:r>
          </w:p>
        </w:tc>
        <w:tc>
          <w:tcPr>
            <w:tcW w:w="1331" w:type="dxa"/>
            <w:tcBorders>
              <w:top w:val="nil"/>
              <w:left w:val="nil"/>
              <w:bottom w:val="nil"/>
              <w:right w:val="nil"/>
            </w:tcBorders>
            <w:shd w:val="clear" w:color="FFFFFF" w:fill="FFFFFF"/>
            <w:noWrap/>
            <w:tcMar>
              <w:right w:w="567" w:type="dxa"/>
            </w:tcMar>
            <w:vAlign w:val="bottom"/>
            <w:hideMark/>
          </w:tcPr>
          <w:p w:rsidR="00A861EB" w:rsidRPr="00A861EB" w:rsidRDefault="00A861EB" w:rsidP="00A861EB">
            <w:pPr>
              <w:spacing w:after="0" w:line="240" w:lineRule="auto"/>
              <w:jc w:val="right"/>
              <w:rPr>
                <w:rFonts w:cs="Arial"/>
                <w:sz w:val="16"/>
                <w:szCs w:val="16"/>
              </w:rPr>
            </w:pPr>
            <w:r w:rsidRPr="00A861EB">
              <w:rPr>
                <w:rFonts w:cs="Arial"/>
                <w:sz w:val="16"/>
                <w:szCs w:val="16"/>
              </w:rPr>
              <w:t>13</w:t>
            </w:r>
          </w:p>
        </w:tc>
      </w:tr>
    </w:tbl>
    <w:p w:rsidR="00A861EB" w:rsidRPr="000A41DC" w:rsidRDefault="00A861EB" w:rsidP="00A861EB">
      <w:pPr>
        <w:spacing w:before="60" w:after="0"/>
        <w:rPr>
          <w:rFonts w:ascii="Arial CE" w:hAnsi="Arial CE" w:cs="Arial CE"/>
          <w:i/>
          <w:iCs/>
          <w:sz w:val="16"/>
          <w:szCs w:val="16"/>
        </w:rPr>
      </w:pPr>
      <w:r w:rsidRPr="000A41DC">
        <w:rPr>
          <w:rFonts w:ascii="Arial CE" w:hAnsi="Arial CE" w:cs="Arial CE"/>
          <w:i/>
          <w:iCs/>
          <w:sz w:val="16"/>
          <w:szCs w:val="16"/>
        </w:rPr>
        <w:t xml:space="preserve">1) </w:t>
      </w:r>
      <w:r w:rsidRPr="00A861EB">
        <w:rPr>
          <w:rFonts w:ascii="Arial CE" w:hAnsi="Arial CE" w:cs="Arial CE"/>
          <w:i/>
          <w:iCs/>
          <w:sz w:val="16"/>
          <w:szCs w:val="16"/>
        </w:rPr>
        <w:t>Od nejvyšší po nejnižší hodnotu.</w:t>
      </w:r>
    </w:p>
    <w:p w:rsidR="00A861EB" w:rsidRDefault="00A861EB" w:rsidP="00A861EB">
      <w:pPr>
        <w:spacing w:after="0"/>
      </w:pPr>
    </w:p>
    <w:p w:rsidR="000B0BB6" w:rsidRDefault="000B0BB6" w:rsidP="000B0BB6">
      <w:pPr>
        <w:spacing w:after="0"/>
      </w:pPr>
      <w:r>
        <w:t xml:space="preserve">Naděje dožití mužů rostla ve všech krajích, mezi lety 2005–2006 a 2015–2016 se v jednotlivých krajích zvýšila o 2,2 (Karlovarský kraj) až 3,5 roku (Středočeský kraj). I z relativního pohledu byl nejvyšší nárůst střední délky života u obyvatel Středočeského kraje (o 4,8 %) a vedl k posunu kraje z devátého místa na čtvrté (pořadí od nejvyšší po nejnižší naději dožití). Vysokého růstu naděje dožití bylo dosaženo i u Jihomoravského kraje (o 4,5 %, posun z osmého na páté místo), Kraje Vysočina (o 4,4 %, posun z třetího na druhé místo) a Libereckého kraje (o 4,4 %, z desátého na osmé místo). Oproti tomu nejmenší růst byl sledován v případě Karlovarského (o 3,0 % a dvanáctá pozice po celé období), Jihočeského (o 3,2 %, </w:t>
      </w:r>
      <w:r>
        <w:lastRenderedPageBreak/>
        <w:t>propad ze čtvrtého na deváté místo) a Olomouckého kraje (o 3,2 %, pokles ze sedmého na desáté místo). Rozdíl mezi minimální a maximální hodnotou zůstal po celé období podobný a pohyboval se v rozmezí 4,0–4,2 let.</w:t>
      </w:r>
    </w:p>
    <w:p w:rsidR="00C63857" w:rsidRPr="00B056AD" w:rsidRDefault="00C63857" w:rsidP="00C63857">
      <w:pPr>
        <w:spacing w:after="0"/>
      </w:pPr>
    </w:p>
    <w:p w:rsidR="00C63857" w:rsidRDefault="00C63857" w:rsidP="00C63857">
      <w:pPr>
        <w:spacing w:after="0"/>
      </w:pPr>
      <w:r>
        <w:t>Obdobně jako u mužů, tak i u žen lze nalézt nejvyšší úroveň naděje dožití při narození v Hlavním městě Praze (tab. 8). Pouze v období 2007–2008 předběhl Prahu Kraj Vysočina, který dosáhl v období 2015–2016 třetí nejvyšší hodnoty ukazatele (82,4 let) za druhým Jihomoravským krajem (82,6 let). V celém období byly nejnižší hodnoty naděje dožití v Ústeckém kraji (79,5 let v letech 2015–2016), druhý nejhorší byl většinou kraj Karlovarský (80,7 let ve stejném období) a třetí Moravskoslezský kraj (81,2 let).</w:t>
      </w:r>
    </w:p>
    <w:p w:rsidR="00C63857" w:rsidRDefault="00C63857" w:rsidP="00C63857">
      <w:pPr>
        <w:spacing w:after="0"/>
      </w:pPr>
    </w:p>
    <w:p w:rsidR="00C63857" w:rsidRDefault="00C63857" w:rsidP="00C63857">
      <w:pPr>
        <w:spacing w:after="60"/>
        <w:rPr>
          <w:rFonts w:cs="Arial"/>
          <w:b/>
          <w:szCs w:val="20"/>
        </w:rPr>
      </w:pPr>
      <w:r>
        <w:rPr>
          <w:rFonts w:cs="Arial"/>
          <w:b/>
          <w:szCs w:val="20"/>
        </w:rPr>
        <w:t>Tab. 8 Naděje dožití</w:t>
      </w:r>
      <w:r w:rsidRPr="004C514B">
        <w:rPr>
          <w:rFonts w:cs="Arial"/>
          <w:b/>
          <w:szCs w:val="20"/>
        </w:rPr>
        <w:t xml:space="preserve"> </w:t>
      </w:r>
      <w:r>
        <w:rPr>
          <w:rFonts w:cs="Arial"/>
          <w:b/>
          <w:szCs w:val="20"/>
        </w:rPr>
        <w:t>žen při narození</w:t>
      </w:r>
      <w:r w:rsidRPr="004C514B">
        <w:rPr>
          <w:rFonts w:cs="Arial"/>
          <w:b/>
          <w:szCs w:val="20"/>
          <w:vertAlign w:val="superscript"/>
        </w:rPr>
        <w:t>1</w:t>
      </w:r>
      <w:r>
        <w:rPr>
          <w:rFonts w:cs="Arial"/>
          <w:b/>
          <w:szCs w:val="20"/>
          <w:vertAlign w:val="superscript"/>
        </w:rPr>
        <w:t>)</w:t>
      </w:r>
      <w:r>
        <w:rPr>
          <w:rFonts w:cs="Arial"/>
          <w:b/>
          <w:szCs w:val="20"/>
        </w:rPr>
        <w:t xml:space="preserve"> podle krajů v letech 2005</w:t>
      </w:r>
      <w:r w:rsidRPr="004C514B">
        <w:rPr>
          <w:rFonts w:cs="Arial"/>
          <w:b/>
          <w:szCs w:val="20"/>
        </w:rPr>
        <w:t>–2016</w:t>
      </w:r>
    </w:p>
    <w:tbl>
      <w:tblPr>
        <w:tblW w:w="9639" w:type="dxa"/>
        <w:tblCellMar>
          <w:left w:w="70" w:type="dxa"/>
          <w:right w:w="70" w:type="dxa"/>
        </w:tblCellMar>
        <w:tblLook w:val="04A0" w:firstRow="1" w:lastRow="0" w:firstColumn="1" w:lastColumn="0" w:noHBand="0" w:noVBand="1"/>
      </w:tblPr>
      <w:tblGrid>
        <w:gridCol w:w="1653"/>
        <w:gridCol w:w="1331"/>
        <w:gridCol w:w="1331"/>
        <w:gridCol w:w="1331"/>
        <w:gridCol w:w="1331"/>
        <w:gridCol w:w="1331"/>
        <w:gridCol w:w="1331"/>
      </w:tblGrid>
      <w:tr w:rsidR="00C63857" w:rsidRPr="001D7DA1" w:rsidTr="00584E79">
        <w:trPr>
          <w:trHeight w:val="263"/>
        </w:trPr>
        <w:tc>
          <w:tcPr>
            <w:tcW w:w="1540" w:type="dxa"/>
            <w:tcBorders>
              <w:top w:val="single" w:sz="4" w:space="0" w:color="auto"/>
              <w:left w:val="nil"/>
              <w:bottom w:val="nil"/>
              <w:right w:val="single" w:sz="4" w:space="0" w:color="auto"/>
            </w:tcBorders>
            <w:shd w:val="clear" w:color="FFFFFF" w:fill="F5DADD"/>
            <w:vAlign w:val="center"/>
            <w:hideMark/>
          </w:tcPr>
          <w:p w:rsidR="00C63857" w:rsidRPr="001D7DA1" w:rsidRDefault="00C63857" w:rsidP="00584E79">
            <w:pPr>
              <w:spacing w:after="0" w:line="240" w:lineRule="auto"/>
              <w:jc w:val="center"/>
              <w:rPr>
                <w:rFonts w:cs="Arial"/>
                <w:b/>
                <w:bCs/>
                <w:sz w:val="16"/>
                <w:szCs w:val="16"/>
              </w:rPr>
            </w:pPr>
            <w:r w:rsidRPr="001D7DA1">
              <w:rPr>
                <w:rFonts w:cs="Arial"/>
                <w:b/>
                <w:bCs/>
                <w:sz w:val="16"/>
                <w:szCs w:val="16"/>
              </w:rPr>
              <w:t>Kraj</w:t>
            </w:r>
          </w:p>
        </w:tc>
        <w:tc>
          <w:tcPr>
            <w:tcW w:w="1240" w:type="dxa"/>
            <w:tcBorders>
              <w:top w:val="single" w:sz="4" w:space="0" w:color="auto"/>
              <w:left w:val="nil"/>
              <w:bottom w:val="nil"/>
              <w:right w:val="single" w:sz="4" w:space="0" w:color="auto"/>
            </w:tcBorders>
            <w:shd w:val="clear" w:color="FFFFFF" w:fill="F5DADD"/>
            <w:vAlign w:val="center"/>
            <w:hideMark/>
          </w:tcPr>
          <w:p w:rsidR="00C63857" w:rsidRPr="001D7DA1" w:rsidRDefault="00C63857" w:rsidP="00584E79">
            <w:pPr>
              <w:spacing w:after="0" w:line="240" w:lineRule="auto"/>
              <w:jc w:val="center"/>
              <w:rPr>
                <w:rFonts w:cs="Arial"/>
                <w:b/>
                <w:bCs/>
                <w:sz w:val="16"/>
                <w:szCs w:val="16"/>
              </w:rPr>
            </w:pPr>
            <w:r w:rsidRPr="001D7DA1">
              <w:rPr>
                <w:rFonts w:cs="Arial"/>
                <w:b/>
                <w:bCs/>
                <w:sz w:val="16"/>
                <w:szCs w:val="16"/>
              </w:rPr>
              <w:t>2005–2006</w:t>
            </w:r>
          </w:p>
        </w:tc>
        <w:tc>
          <w:tcPr>
            <w:tcW w:w="1240" w:type="dxa"/>
            <w:tcBorders>
              <w:top w:val="single" w:sz="4" w:space="0" w:color="auto"/>
              <w:left w:val="nil"/>
              <w:bottom w:val="nil"/>
              <w:right w:val="single" w:sz="4" w:space="0" w:color="auto"/>
            </w:tcBorders>
            <w:shd w:val="clear" w:color="FFFFFF" w:fill="F5DADD"/>
            <w:vAlign w:val="center"/>
            <w:hideMark/>
          </w:tcPr>
          <w:p w:rsidR="00C63857" w:rsidRPr="001D7DA1" w:rsidRDefault="00C63857" w:rsidP="00584E79">
            <w:pPr>
              <w:spacing w:after="0" w:line="240" w:lineRule="auto"/>
              <w:jc w:val="center"/>
              <w:rPr>
                <w:rFonts w:cs="Arial"/>
                <w:b/>
                <w:bCs/>
                <w:sz w:val="16"/>
                <w:szCs w:val="16"/>
              </w:rPr>
            </w:pPr>
            <w:r w:rsidRPr="001D7DA1">
              <w:rPr>
                <w:rFonts w:cs="Arial"/>
                <w:b/>
                <w:bCs/>
                <w:sz w:val="16"/>
                <w:szCs w:val="16"/>
              </w:rPr>
              <w:t>2007–2008</w:t>
            </w:r>
          </w:p>
        </w:tc>
        <w:tc>
          <w:tcPr>
            <w:tcW w:w="1240" w:type="dxa"/>
            <w:tcBorders>
              <w:top w:val="single" w:sz="4" w:space="0" w:color="auto"/>
              <w:left w:val="nil"/>
              <w:bottom w:val="nil"/>
              <w:right w:val="single" w:sz="4" w:space="0" w:color="auto"/>
            </w:tcBorders>
            <w:shd w:val="clear" w:color="FFFFFF" w:fill="F5DADD"/>
            <w:vAlign w:val="center"/>
            <w:hideMark/>
          </w:tcPr>
          <w:p w:rsidR="00C63857" w:rsidRPr="001D7DA1" w:rsidRDefault="00C63857" w:rsidP="00584E79">
            <w:pPr>
              <w:spacing w:after="0" w:line="240" w:lineRule="auto"/>
              <w:jc w:val="center"/>
              <w:rPr>
                <w:rFonts w:cs="Arial"/>
                <w:b/>
                <w:bCs/>
                <w:sz w:val="16"/>
                <w:szCs w:val="16"/>
              </w:rPr>
            </w:pPr>
            <w:r w:rsidRPr="001D7DA1">
              <w:rPr>
                <w:rFonts w:cs="Arial"/>
                <w:b/>
                <w:bCs/>
                <w:sz w:val="16"/>
                <w:szCs w:val="16"/>
              </w:rPr>
              <w:t>2009–2010</w:t>
            </w:r>
          </w:p>
        </w:tc>
        <w:tc>
          <w:tcPr>
            <w:tcW w:w="1240" w:type="dxa"/>
            <w:tcBorders>
              <w:top w:val="single" w:sz="4" w:space="0" w:color="auto"/>
              <w:left w:val="nil"/>
              <w:bottom w:val="nil"/>
              <w:right w:val="single" w:sz="4" w:space="0" w:color="auto"/>
            </w:tcBorders>
            <w:shd w:val="clear" w:color="FFFFFF" w:fill="F5DADD"/>
            <w:vAlign w:val="center"/>
            <w:hideMark/>
          </w:tcPr>
          <w:p w:rsidR="00C63857" w:rsidRPr="001D7DA1" w:rsidRDefault="00C63857" w:rsidP="00584E79">
            <w:pPr>
              <w:spacing w:after="0" w:line="240" w:lineRule="auto"/>
              <w:jc w:val="center"/>
              <w:rPr>
                <w:rFonts w:cs="Arial"/>
                <w:b/>
                <w:bCs/>
                <w:sz w:val="16"/>
                <w:szCs w:val="16"/>
              </w:rPr>
            </w:pPr>
            <w:r w:rsidRPr="001D7DA1">
              <w:rPr>
                <w:rFonts w:cs="Arial"/>
                <w:b/>
                <w:bCs/>
                <w:sz w:val="16"/>
                <w:szCs w:val="16"/>
              </w:rPr>
              <w:t>2011–2012</w:t>
            </w:r>
          </w:p>
        </w:tc>
        <w:tc>
          <w:tcPr>
            <w:tcW w:w="1240" w:type="dxa"/>
            <w:tcBorders>
              <w:top w:val="single" w:sz="4" w:space="0" w:color="auto"/>
              <w:left w:val="nil"/>
              <w:bottom w:val="nil"/>
              <w:right w:val="single" w:sz="4" w:space="0" w:color="auto"/>
            </w:tcBorders>
            <w:shd w:val="clear" w:color="FFFFFF" w:fill="F5DADD"/>
            <w:vAlign w:val="center"/>
            <w:hideMark/>
          </w:tcPr>
          <w:p w:rsidR="00C63857" w:rsidRPr="001D7DA1" w:rsidRDefault="00C63857" w:rsidP="00584E79">
            <w:pPr>
              <w:spacing w:after="0" w:line="240" w:lineRule="auto"/>
              <w:jc w:val="center"/>
              <w:rPr>
                <w:rFonts w:cs="Arial"/>
                <w:b/>
                <w:bCs/>
                <w:sz w:val="16"/>
                <w:szCs w:val="16"/>
              </w:rPr>
            </w:pPr>
            <w:r w:rsidRPr="001D7DA1">
              <w:rPr>
                <w:rFonts w:cs="Arial"/>
                <w:b/>
                <w:bCs/>
                <w:sz w:val="16"/>
                <w:szCs w:val="16"/>
              </w:rPr>
              <w:t>2013–2014</w:t>
            </w:r>
          </w:p>
        </w:tc>
        <w:tc>
          <w:tcPr>
            <w:tcW w:w="1240" w:type="dxa"/>
            <w:tcBorders>
              <w:top w:val="single" w:sz="4" w:space="0" w:color="auto"/>
              <w:left w:val="nil"/>
              <w:bottom w:val="nil"/>
              <w:right w:val="nil"/>
            </w:tcBorders>
            <w:shd w:val="clear" w:color="FFFFFF" w:fill="F5DADD"/>
            <w:vAlign w:val="center"/>
            <w:hideMark/>
          </w:tcPr>
          <w:p w:rsidR="00C63857" w:rsidRPr="001D7DA1" w:rsidRDefault="00C63857" w:rsidP="00584E79">
            <w:pPr>
              <w:spacing w:after="0" w:line="240" w:lineRule="auto"/>
              <w:jc w:val="center"/>
              <w:rPr>
                <w:rFonts w:cs="Arial"/>
                <w:b/>
                <w:bCs/>
                <w:sz w:val="16"/>
                <w:szCs w:val="16"/>
              </w:rPr>
            </w:pPr>
            <w:r w:rsidRPr="001D7DA1">
              <w:rPr>
                <w:rFonts w:cs="Arial"/>
                <w:b/>
                <w:bCs/>
                <w:sz w:val="16"/>
                <w:szCs w:val="16"/>
              </w:rPr>
              <w:t>2015–2016</w:t>
            </w:r>
          </w:p>
        </w:tc>
      </w:tr>
      <w:tr w:rsidR="00C63857" w:rsidRPr="001D7DA1" w:rsidTr="00584E79">
        <w:trPr>
          <w:trHeight w:val="255"/>
        </w:trPr>
        <w:tc>
          <w:tcPr>
            <w:tcW w:w="1540" w:type="dxa"/>
            <w:tcBorders>
              <w:top w:val="single" w:sz="4" w:space="0" w:color="auto"/>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ČR</w:t>
            </w:r>
          </w:p>
        </w:tc>
        <w:tc>
          <w:tcPr>
            <w:tcW w:w="1240" w:type="dxa"/>
            <w:tcBorders>
              <w:top w:val="single" w:sz="4" w:space="0" w:color="auto"/>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79,4</w:t>
            </w:r>
          </w:p>
        </w:tc>
        <w:tc>
          <w:tcPr>
            <w:tcW w:w="1240" w:type="dxa"/>
            <w:tcBorders>
              <w:top w:val="single" w:sz="4" w:space="0" w:color="auto"/>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80,1</w:t>
            </w:r>
          </w:p>
        </w:tc>
        <w:tc>
          <w:tcPr>
            <w:tcW w:w="1240" w:type="dxa"/>
            <w:tcBorders>
              <w:top w:val="single" w:sz="4" w:space="0" w:color="auto"/>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80,6</w:t>
            </w:r>
          </w:p>
        </w:tc>
        <w:tc>
          <w:tcPr>
            <w:tcW w:w="1240" w:type="dxa"/>
            <w:tcBorders>
              <w:top w:val="single" w:sz="4" w:space="0" w:color="auto"/>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80,9</w:t>
            </w:r>
          </w:p>
        </w:tc>
        <w:tc>
          <w:tcPr>
            <w:tcW w:w="1240" w:type="dxa"/>
            <w:tcBorders>
              <w:top w:val="single" w:sz="4" w:space="0" w:color="auto"/>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81,4</w:t>
            </w:r>
          </w:p>
        </w:tc>
        <w:tc>
          <w:tcPr>
            <w:tcW w:w="1240" w:type="dxa"/>
            <w:tcBorders>
              <w:top w:val="single" w:sz="4" w:space="0" w:color="auto"/>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81,7</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Hl. město Praha</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80,4</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80,8</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81,2</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81,8</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82,5</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82,7</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Středočeský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79,0</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79,8</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80,2</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80,6</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81,3</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81,6</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Jihočeský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79,5</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80,0</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80,4</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81,0</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81,2</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81,6</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Plzeňský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79,1</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80,2</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80,1</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80,8</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81,3</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81,4</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Karlovarský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78,4</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79,0</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79,3</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79,7</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80,3</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80,7</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Ústecký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77,5</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78,5</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78,6</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79,0</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79,3</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79,5</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Liberecký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79,5</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79,8</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80,1</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80,8</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81,5</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81,8</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Královéhradecký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80,1</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80,4</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80,8</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81,5</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81,8</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82,2</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Pardubický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79,7</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80,0</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80,5</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80,7</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81,6</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82,4</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Vysočina</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80,0</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81,1</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81,1</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81,2</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82,4</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82,4</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Jihomoravský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79,9</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80,6</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81,1</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81,7</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82,0</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82,6</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Olomoucký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79,7</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79,9</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80,3</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81,0</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81,9</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81,6</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Zlínský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79,7</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80,4</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80,9</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81,4</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81,5</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82,2</w:t>
            </w:r>
          </w:p>
        </w:tc>
      </w:tr>
      <w:tr w:rsidR="00C63857" w:rsidRPr="001D7DA1" w:rsidTr="00584E79">
        <w:trPr>
          <w:trHeight w:val="255"/>
        </w:trPr>
        <w:tc>
          <w:tcPr>
            <w:tcW w:w="15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rPr>
                <w:rFonts w:cs="Arial"/>
                <w:sz w:val="16"/>
                <w:szCs w:val="16"/>
              </w:rPr>
            </w:pPr>
            <w:r w:rsidRPr="001D7DA1">
              <w:rPr>
                <w:rFonts w:cs="Arial"/>
                <w:sz w:val="16"/>
                <w:szCs w:val="16"/>
              </w:rPr>
              <w:t>Moravskoslezský</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78,8</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79,4</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79,7</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79,7</w:t>
            </w:r>
          </w:p>
        </w:tc>
        <w:tc>
          <w:tcPr>
            <w:tcW w:w="1240" w:type="dxa"/>
            <w:tcBorders>
              <w:top w:val="nil"/>
              <w:left w:val="nil"/>
              <w:bottom w:val="nil"/>
              <w:right w:val="single" w:sz="4" w:space="0" w:color="auto"/>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80,6</w:t>
            </w:r>
          </w:p>
        </w:tc>
        <w:tc>
          <w:tcPr>
            <w:tcW w:w="1240" w:type="dxa"/>
            <w:tcBorders>
              <w:top w:val="nil"/>
              <w:left w:val="nil"/>
              <w:bottom w:val="nil"/>
              <w:right w:val="nil"/>
            </w:tcBorders>
            <w:shd w:val="clear" w:color="FFFFFF" w:fill="FFFFFF"/>
            <w:noWrap/>
            <w:vAlign w:val="bottom"/>
            <w:hideMark/>
          </w:tcPr>
          <w:p w:rsidR="00C63857" w:rsidRPr="001D7DA1" w:rsidRDefault="00C63857" w:rsidP="00584E79">
            <w:pPr>
              <w:spacing w:after="0" w:line="240" w:lineRule="auto"/>
              <w:jc w:val="center"/>
              <w:rPr>
                <w:rFonts w:cs="Arial"/>
                <w:sz w:val="16"/>
                <w:szCs w:val="16"/>
              </w:rPr>
            </w:pPr>
            <w:r w:rsidRPr="001D7DA1">
              <w:rPr>
                <w:rFonts w:cs="Arial"/>
                <w:sz w:val="16"/>
                <w:szCs w:val="16"/>
              </w:rPr>
              <w:t>81,2</w:t>
            </w:r>
          </w:p>
        </w:tc>
      </w:tr>
    </w:tbl>
    <w:p w:rsidR="00C63857" w:rsidRPr="000A41DC" w:rsidRDefault="00C63857" w:rsidP="00C63857">
      <w:pPr>
        <w:spacing w:before="60" w:after="0"/>
        <w:rPr>
          <w:rFonts w:ascii="Arial CE" w:hAnsi="Arial CE" w:cs="Arial CE"/>
          <w:i/>
          <w:iCs/>
          <w:sz w:val="16"/>
          <w:szCs w:val="16"/>
        </w:rPr>
      </w:pPr>
      <w:r w:rsidRPr="000A41DC">
        <w:rPr>
          <w:rFonts w:ascii="Arial CE" w:hAnsi="Arial CE" w:cs="Arial CE"/>
          <w:i/>
          <w:iCs/>
          <w:sz w:val="16"/>
          <w:szCs w:val="16"/>
        </w:rPr>
        <w:t xml:space="preserve">1) Hodnoty jsou vypočítány za dvouletá období z důvodu </w:t>
      </w:r>
      <w:r>
        <w:rPr>
          <w:rFonts w:ascii="Arial CE" w:hAnsi="Arial CE" w:cs="Arial CE"/>
          <w:i/>
          <w:iCs/>
          <w:sz w:val="16"/>
          <w:szCs w:val="16"/>
        </w:rPr>
        <w:t>ošetření</w:t>
      </w:r>
      <w:r w:rsidRPr="000A41DC">
        <w:rPr>
          <w:rFonts w:ascii="Arial CE" w:hAnsi="Arial CE" w:cs="Arial CE"/>
          <w:i/>
          <w:iCs/>
          <w:sz w:val="16"/>
          <w:szCs w:val="16"/>
        </w:rPr>
        <w:t xml:space="preserve"> vlivu náhodných výkyvů.</w:t>
      </w:r>
    </w:p>
    <w:p w:rsidR="00C63857" w:rsidRDefault="00C63857" w:rsidP="00C63857">
      <w:pPr>
        <w:spacing w:after="0"/>
      </w:pPr>
    </w:p>
    <w:p w:rsidR="00677BF0" w:rsidRDefault="00677BF0" w:rsidP="00677BF0">
      <w:pPr>
        <w:spacing w:after="60"/>
        <w:rPr>
          <w:rFonts w:cs="Arial"/>
          <w:b/>
          <w:szCs w:val="20"/>
        </w:rPr>
      </w:pPr>
      <w:r>
        <w:rPr>
          <w:rFonts w:cs="Arial"/>
          <w:b/>
          <w:szCs w:val="20"/>
        </w:rPr>
        <w:t xml:space="preserve">Tab. 9 </w:t>
      </w:r>
      <w:r w:rsidRPr="00A861EB">
        <w:rPr>
          <w:rFonts w:cs="Arial"/>
          <w:b/>
          <w:szCs w:val="20"/>
        </w:rPr>
        <w:t>Pořadí krajů</w:t>
      </w:r>
      <w:r w:rsidRPr="00A861EB">
        <w:rPr>
          <w:rFonts w:cs="Arial"/>
          <w:b/>
          <w:szCs w:val="20"/>
          <w:vertAlign w:val="superscript"/>
        </w:rPr>
        <w:t>1)</w:t>
      </w:r>
      <w:r w:rsidRPr="00A861EB">
        <w:rPr>
          <w:rFonts w:cs="Arial"/>
          <w:b/>
          <w:szCs w:val="20"/>
        </w:rPr>
        <w:t xml:space="preserve"> podle naděje dožití </w:t>
      </w:r>
      <w:r>
        <w:rPr>
          <w:rFonts w:cs="Arial"/>
          <w:b/>
          <w:szCs w:val="20"/>
        </w:rPr>
        <w:t>žen</w:t>
      </w:r>
      <w:r w:rsidRPr="00A861EB">
        <w:rPr>
          <w:rFonts w:cs="Arial"/>
          <w:b/>
          <w:szCs w:val="20"/>
        </w:rPr>
        <w:t xml:space="preserve"> při narození v letech 2005–2016</w:t>
      </w:r>
    </w:p>
    <w:tbl>
      <w:tblPr>
        <w:tblW w:w="9639" w:type="dxa"/>
        <w:tblCellMar>
          <w:left w:w="70" w:type="dxa"/>
          <w:right w:w="70" w:type="dxa"/>
        </w:tblCellMar>
        <w:tblLook w:val="04A0" w:firstRow="1" w:lastRow="0" w:firstColumn="1" w:lastColumn="0" w:noHBand="0" w:noVBand="1"/>
      </w:tblPr>
      <w:tblGrid>
        <w:gridCol w:w="1653"/>
        <w:gridCol w:w="1331"/>
        <w:gridCol w:w="1331"/>
        <w:gridCol w:w="1331"/>
        <w:gridCol w:w="1331"/>
        <w:gridCol w:w="1331"/>
        <w:gridCol w:w="1331"/>
      </w:tblGrid>
      <w:tr w:rsidR="00107089" w:rsidRPr="00107089" w:rsidTr="005D069F">
        <w:trPr>
          <w:trHeight w:val="263"/>
        </w:trPr>
        <w:tc>
          <w:tcPr>
            <w:tcW w:w="1653" w:type="dxa"/>
            <w:tcBorders>
              <w:top w:val="single" w:sz="4" w:space="0" w:color="auto"/>
              <w:left w:val="nil"/>
              <w:bottom w:val="nil"/>
              <w:right w:val="single" w:sz="4" w:space="0" w:color="auto"/>
            </w:tcBorders>
            <w:shd w:val="clear" w:color="FFFFFF" w:fill="F5DADD"/>
            <w:vAlign w:val="center"/>
            <w:hideMark/>
          </w:tcPr>
          <w:p w:rsidR="00107089" w:rsidRPr="00107089" w:rsidRDefault="00107089" w:rsidP="00107089">
            <w:pPr>
              <w:spacing w:after="0" w:line="240" w:lineRule="auto"/>
              <w:jc w:val="center"/>
              <w:rPr>
                <w:rFonts w:cs="Arial"/>
                <w:b/>
                <w:bCs/>
                <w:sz w:val="16"/>
                <w:szCs w:val="16"/>
              </w:rPr>
            </w:pPr>
            <w:r w:rsidRPr="00107089">
              <w:rPr>
                <w:rFonts w:cs="Arial"/>
                <w:b/>
                <w:bCs/>
                <w:sz w:val="16"/>
                <w:szCs w:val="16"/>
              </w:rPr>
              <w:t>Kraj</w:t>
            </w:r>
          </w:p>
        </w:tc>
        <w:tc>
          <w:tcPr>
            <w:tcW w:w="1331" w:type="dxa"/>
            <w:tcBorders>
              <w:top w:val="single" w:sz="4" w:space="0" w:color="auto"/>
              <w:left w:val="nil"/>
              <w:bottom w:val="nil"/>
              <w:right w:val="single" w:sz="4" w:space="0" w:color="auto"/>
            </w:tcBorders>
            <w:shd w:val="clear" w:color="FFFFFF" w:fill="F5DADD"/>
            <w:vAlign w:val="center"/>
            <w:hideMark/>
          </w:tcPr>
          <w:p w:rsidR="00107089" w:rsidRPr="00107089" w:rsidRDefault="00107089" w:rsidP="00107089">
            <w:pPr>
              <w:spacing w:after="0" w:line="240" w:lineRule="auto"/>
              <w:jc w:val="center"/>
              <w:rPr>
                <w:rFonts w:cs="Arial"/>
                <w:b/>
                <w:bCs/>
                <w:sz w:val="16"/>
                <w:szCs w:val="16"/>
              </w:rPr>
            </w:pPr>
            <w:r w:rsidRPr="00107089">
              <w:rPr>
                <w:rFonts w:cs="Arial"/>
                <w:b/>
                <w:bCs/>
                <w:sz w:val="16"/>
                <w:szCs w:val="16"/>
              </w:rPr>
              <w:t>2005–2006</w:t>
            </w:r>
          </w:p>
        </w:tc>
        <w:tc>
          <w:tcPr>
            <w:tcW w:w="1331" w:type="dxa"/>
            <w:tcBorders>
              <w:top w:val="single" w:sz="4" w:space="0" w:color="auto"/>
              <w:left w:val="nil"/>
              <w:bottom w:val="nil"/>
              <w:right w:val="single" w:sz="4" w:space="0" w:color="auto"/>
            </w:tcBorders>
            <w:shd w:val="clear" w:color="FFFFFF" w:fill="F5DADD"/>
            <w:vAlign w:val="center"/>
            <w:hideMark/>
          </w:tcPr>
          <w:p w:rsidR="00107089" w:rsidRPr="00107089" w:rsidRDefault="00107089" w:rsidP="00107089">
            <w:pPr>
              <w:spacing w:after="0" w:line="240" w:lineRule="auto"/>
              <w:jc w:val="center"/>
              <w:rPr>
                <w:rFonts w:cs="Arial"/>
                <w:b/>
                <w:bCs/>
                <w:sz w:val="16"/>
                <w:szCs w:val="16"/>
              </w:rPr>
            </w:pPr>
            <w:r w:rsidRPr="00107089">
              <w:rPr>
                <w:rFonts w:cs="Arial"/>
                <w:b/>
                <w:bCs/>
                <w:sz w:val="16"/>
                <w:szCs w:val="16"/>
              </w:rPr>
              <w:t>2007–2008</w:t>
            </w:r>
          </w:p>
        </w:tc>
        <w:tc>
          <w:tcPr>
            <w:tcW w:w="1331" w:type="dxa"/>
            <w:tcBorders>
              <w:top w:val="single" w:sz="4" w:space="0" w:color="auto"/>
              <w:left w:val="nil"/>
              <w:bottom w:val="nil"/>
              <w:right w:val="single" w:sz="4" w:space="0" w:color="auto"/>
            </w:tcBorders>
            <w:shd w:val="clear" w:color="FFFFFF" w:fill="F5DADD"/>
            <w:vAlign w:val="center"/>
            <w:hideMark/>
          </w:tcPr>
          <w:p w:rsidR="00107089" w:rsidRPr="00107089" w:rsidRDefault="00107089" w:rsidP="00107089">
            <w:pPr>
              <w:spacing w:after="0" w:line="240" w:lineRule="auto"/>
              <w:jc w:val="center"/>
              <w:rPr>
                <w:rFonts w:cs="Arial"/>
                <w:b/>
                <w:bCs/>
                <w:sz w:val="16"/>
                <w:szCs w:val="16"/>
              </w:rPr>
            </w:pPr>
            <w:r w:rsidRPr="00107089">
              <w:rPr>
                <w:rFonts w:cs="Arial"/>
                <w:b/>
                <w:bCs/>
                <w:sz w:val="16"/>
                <w:szCs w:val="16"/>
              </w:rPr>
              <w:t>2009–2010</w:t>
            </w:r>
          </w:p>
        </w:tc>
        <w:tc>
          <w:tcPr>
            <w:tcW w:w="1331" w:type="dxa"/>
            <w:tcBorders>
              <w:top w:val="single" w:sz="4" w:space="0" w:color="auto"/>
              <w:left w:val="nil"/>
              <w:bottom w:val="nil"/>
              <w:right w:val="single" w:sz="4" w:space="0" w:color="auto"/>
            </w:tcBorders>
            <w:shd w:val="clear" w:color="FFFFFF" w:fill="F5DADD"/>
            <w:vAlign w:val="center"/>
            <w:hideMark/>
          </w:tcPr>
          <w:p w:rsidR="00107089" w:rsidRPr="00107089" w:rsidRDefault="00107089" w:rsidP="00107089">
            <w:pPr>
              <w:spacing w:after="0" w:line="240" w:lineRule="auto"/>
              <w:jc w:val="center"/>
              <w:rPr>
                <w:rFonts w:cs="Arial"/>
                <w:b/>
                <w:bCs/>
                <w:sz w:val="16"/>
                <w:szCs w:val="16"/>
              </w:rPr>
            </w:pPr>
            <w:r w:rsidRPr="00107089">
              <w:rPr>
                <w:rFonts w:cs="Arial"/>
                <w:b/>
                <w:bCs/>
                <w:sz w:val="16"/>
                <w:szCs w:val="16"/>
              </w:rPr>
              <w:t>2011–2012</w:t>
            </w:r>
          </w:p>
        </w:tc>
        <w:tc>
          <w:tcPr>
            <w:tcW w:w="1331" w:type="dxa"/>
            <w:tcBorders>
              <w:top w:val="single" w:sz="4" w:space="0" w:color="auto"/>
              <w:left w:val="nil"/>
              <w:bottom w:val="nil"/>
              <w:right w:val="single" w:sz="4" w:space="0" w:color="auto"/>
            </w:tcBorders>
            <w:shd w:val="clear" w:color="FFFFFF" w:fill="F5DADD"/>
            <w:vAlign w:val="center"/>
            <w:hideMark/>
          </w:tcPr>
          <w:p w:rsidR="00107089" w:rsidRPr="00107089" w:rsidRDefault="00107089" w:rsidP="00107089">
            <w:pPr>
              <w:spacing w:after="0" w:line="240" w:lineRule="auto"/>
              <w:jc w:val="center"/>
              <w:rPr>
                <w:rFonts w:cs="Arial"/>
                <w:b/>
                <w:bCs/>
                <w:sz w:val="16"/>
                <w:szCs w:val="16"/>
              </w:rPr>
            </w:pPr>
            <w:r w:rsidRPr="00107089">
              <w:rPr>
                <w:rFonts w:cs="Arial"/>
                <w:b/>
                <w:bCs/>
                <w:sz w:val="16"/>
                <w:szCs w:val="16"/>
              </w:rPr>
              <w:t>2013–2014</w:t>
            </w:r>
          </w:p>
        </w:tc>
        <w:tc>
          <w:tcPr>
            <w:tcW w:w="1331" w:type="dxa"/>
            <w:tcBorders>
              <w:top w:val="single" w:sz="4" w:space="0" w:color="auto"/>
              <w:left w:val="nil"/>
              <w:bottom w:val="nil"/>
              <w:right w:val="nil"/>
            </w:tcBorders>
            <w:shd w:val="clear" w:color="FFFFFF" w:fill="F5DADD"/>
            <w:vAlign w:val="center"/>
            <w:hideMark/>
          </w:tcPr>
          <w:p w:rsidR="00107089" w:rsidRPr="00107089" w:rsidRDefault="00107089" w:rsidP="00107089">
            <w:pPr>
              <w:spacing w:after="0" w:line="240" w:lineRule="auto"/>
              <w:jc w:val="center"/>
              <w:rPr>
                <w:rFonts w:cs="Arial"/>
                <w:b/>
                <w:bCs/>
                <w:sz w:val="16"/>
                <w:szCs w:val="16"/>
              </w:rPr>
            </w:pPr>
            <w:r w:rsidRPr="00107089">
              <w:rPr>
                <w:rFonts w:cs="Arial"/>
                <w:b/>
                <w:bCs/>
                <w:sz w:val="16"/>
                <w:szCs w:val="16"/>
              </w:rPr>
              <w:t>2015–2016</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Hl. město Praha</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Středočeský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10</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9</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9</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8</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Jihočeský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8</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7</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7</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7</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11</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10</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Plzeňský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10</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6</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9</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10</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11</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Karlovarský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13</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13</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Ústecký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14</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14</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Liberecký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9</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10</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8</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8</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7</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Královéhradecký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5</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5</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5</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Pardubický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6</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8</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6</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10</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6</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4</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Vysočina</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5</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2</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3</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Jihomoravský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3</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2</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Olomoucký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7</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9</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8</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6</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4</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9</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Zlínský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5</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5</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4</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7</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6</w:t>
            </w:r>
          </w:p>
        </w:tc>
      </w:tr>
      <w:tr w:rsidR="00107089" w:rsidRPr="00107089" w:rsidTr="005D069F">
        <w:trPr>
          <w:trHeight w:val="255"/>
        </w:trPr>
        <w:tc>
          <w:tcPr>
            <w:tcW w:w="1653" w:type="dxa"/>
            <w:tcBorders>
              <w:top w:val="nil"/>
              <w:left w:val="nil"/>
              <w:bottom w:val="nil"/>
              <w:right w:val="single" w:sz="4" w:space="0" w:color="auto"/>
            </w:tcBorders>
            <w:shd w:val="clear" w:color="FFFFFF" w:fill="FFFFFF"/>
            <w:noWrap/>
            <w:vAlign w:val="bottom"/>
            <w:hideMark/>
          </w:tcPr>
          <w:p w:rsidR="00107089" w:rsidRPr="00107089" w:rsidRDefault="00107089" w:rsidP="00107089">
            <w:pPr>
              <w:spacing w:after="0" w:line="240" w:lineRule="auto"/>
              <w:rPr>
                <w:rFonts w:cs="Arial"/>
                <w:sz w:val="16"/>
                <w:szCs w:val="16"/>
              </w:rPr>
            </w:pPr>
            <w:r w:rsidRPr="00107089">
              <w:rPr>
                <w:rFonts w:cs="Arial"/>
                <w:sz w:val="16"/>
                <w:szCs w:val="16"/>
              </w:rPr>
              <w:t>Moravskoslezský</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12</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13</w:t>
            </w:r>
          </w:p>
        </w:tc>
        <w:tc>
          <w:tcPr>
            <w:tcW w:w="1331" w:type="dxa"/>
            <w:tcBorders>
              <w:top w:val="nil"/>
              <w:left w:val="nil"/>
              <w:bottom w:val="nil"/>
              <w:right w:val="single" w:sz="4" w:space="0" w:color="auto"/>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12</w:t>
            </w:r>
          </w:p>
        </w:tc>
        <w:tc>
          <w:tcPr>
            <w:tcW w:w="1331" w:type="dxa"/>
            <w:tcBorders>
              <w:top w:val="nil"/>
              <w:left w:val="nil"/>
              <w:bottom w:val="nil"/>
              <w:right w:val="nil"/>
            </w:tcBorders>
            <w:shd w:val="clear" w:color="FFFFFF" w:fill="FFFFFF"/>
            <w:noWrap/>
            <w:tcMar>
              <w:right w:w="567" w:type="dxa"/>
            </w:tcMar>
            <w:vAlign w:val="bottom"/>
            <w:hideMark/>
          </w:tcPr>
          <w:p w:rsidR="00107089" w:rsidRPr="00107089" w:rsidRDefault="00107089" w:rsidP="00107089">
            <w:pPr>
              <w:spacing w:after="0" w:line="240" w:lineRule="auto"/>
              <w:jc w:val="right"/>
              <w:rPr>
                <w:rFonts w:cs="Arial"/>
                <w:sz w:val="16"/>
                <w:szCs w:val="16"/>
              </w:rPr>
            </w:pPr>
            <w:r w:rsidRPr="00107089">
              <w:rPr>
                <w:rFonts w:cs="Arial"/>
                <w:sz w:val="16"/>
                <w:szCs w:val="16"/>
              </w:rPr>
              <w:t>12</w:t>
            </w:r>
          </w:p>
        </w:tc>
      </w:tr>
    </w:tbl>
    <w:p w:rsidR="005D069F" w:rsidRPr="000A41DC" w:rsidRDefault="005D069F" w:rsidP="005D069F">
      <w:pPr>
        <w:spacing w:before="60" w:after="0"/>
        <w:rPr>
          <w:rFonts w:ascii="Arial CE" w:hAnsi="Arial CE" w:cs="Arial CE"/>
          <w:i/>
          <w:iCs/>
          <w:sz w:val="16"/>
          <w:szCs w:val="16"/>
        </w:rPr>
      </w:pPr>
      <w:r w:rsidRPr="000A41DC">
        <w:rPr>
          <w:rFonts w:ascii="Arial CE" w:hAnsi="Arial CE" w:cs="Arial CE"/>
          <w:i/>
          <w:iCs/>
          <w:sz w:val="16"/>
          <w:szCs w:val="16"/>
        </w:rPr>
        <w:t xml:space="preserve">1) </w:t>
      </w:r>
      <w:r w:rsidRPr="00A861EB">
        <w:rPr>
          <w:rFonts w:ascii="Arial CE" w:hAnsi="Arial CE" w:cs="Arial CE"/>
          <w:i/>
          <w:iCs/>
          <w:sz w:val="16"/>
          <w:szCs w:val="16"/>
        </w:rPr>
        <w:t>Od nejvyšší po nejnižší hodnotu.</w:t>
      </w:r>
    </w:p>
    <w:p w:rsidR="005D069F" w:rsidRDefault="005D069F" w:rsidP="005D069F">
      <w:pPr>
        <w:spacing w:after="0"/>
      </w:pPr>
    </w:p>
    <w:p w:rsidR="000B0BB6" w:rsidRDefault="000B0BB6" w:rsidP="000B0BB6">
      <w:r>
        <w:t xml:space="preserve">Střední délka života (naděje dožití) žen se mezi lety 2005–2006 a 2015–2016 v jednotlivých krajích zvýšila o 1,9 (Olomoucký kraj) až 2,7 roku (Jihomoravský kraj). Nejintenzivnější byl růst kromě v kraji Jihomoravském (o 3,4 %, posun ze čtvrtého na druhé místo) také v kraji Pardubickém (o 3,4 %, z šestého na čtvrté) a Středočeském (o 3,3 %, z jedenáctého na osmé). Nejmenší relativní nárůst ukazatele se ukázal v kraji Olomouckém (o 2,4 %, pokles ze sedmé na devátou pozici), Ústeckém (o 2,6 %, poslední místo po celé období), Jihočeském (o 2,6 %, z osmého na desáté místo) a Královéhradeckém kraji (o 2,7 %, z druhé na </w:t>
      </w:r>
      <w:r>
        <w:lastRenderedPageBreak/>
        <w:t>pátou pozici). Rozdíl mezi nejnižší a nejvyšší hodnotou ukazatele v jednotlivých krajích neměl v čase jasný trend a pohyboval se mezi 2,6–3,2 roky. Relativně vyšší hodnoty naděje dožití při narození měly ženy oproti mužům zejména v Moravskoslezském (o 9,1 % více v období 2015–2016) a Zlínském kraji (o 8,9 %v témže období). Naopak nejnižší rozdíl z tohoto pohledu panoval dlouhodobě v Hlavním městě Praze (o 6,0 % v období 2015–2016).</w:t>
      </w:r>
    </w:p>
    <w:p w:rsidR="00F6563E" w:rsidRDefault="00F6563E" w:rsidP="00F6563E">
      <w:pPr>
        <w:pStyle w:val="Nadpis2"/>
      </w:pPr>
      <w:bookmarkStart w:id="3" w:name="_Toc499711616"/>
      <w:r>
        <w:t xml:space="preserve">5.2 Úmrtnost podle příčin smrti, </w:t>
      </w:r>
      <w:r w:rsidRPr="00F6563E">
        <w:t>pohlaví</w:t>
      </w:r>
      <w:r>
        <w:t xml:space="preserve"> a krajů</w:t>
      </w:r>
      <w:bookmarkEnd w:id="3"/>
    </w:p>
    <w:p w:rsidR="000419F3" w:rsidRDefault="000419F3" w:rsidP="000419F3">
      <w:pPr>
        <w:spacing w:after="0"/>
      </w:pPr>
      <w:r>
        <w:t>Standardizovaná míra úmrtnosti mužů byla na celorepublikové úrovni nejvyšší v roce 2016 u nemocí oběhové soustavy (562 zemřelých na 100 tis. obyvatel) a novotvarů (349 zemřelých na 100 tis. obyvatel). S výrazným odstupem následovaly nemoci dýchací soustavy (97 zemřelých na 100 tis. obyvatel) a vnější příčiny nemocnosti a úmrtnosti (78 zemřelých na 100 tis. obyvatel). Stejné pořadí se většinou vyskytovalo i na krajské úrovni (graf 16). Pouze u Zlínského kraje překonala míra úmrtnosti na vnější příčiny intenzitu úmrtnos</w:t>
      </w:r>
      <w:r w:rsidR="005926DB">
        <w:t>ti na nemoci dýchací soustavy. U</w:t>
      </w:r>
      <w:r>
        <w:t> pořadí dalších dvou příčin smrti s pátou (56 zemřelých na nemoci trávicí soustavy na 100 tis. obyvatel na úrovni ČR) a šestou (49 zemřelých na nemoci endokrinní, výživy a přeměny látek na 100 tis. obyvatel) nejvyšší mírou úmrtnosti se řazení krajů v jednotlivých letech často střídalo.</w:t>
      </w:r>
    </w:p>
    <w:p w:rsidR="00F6563E" w:rsidRPr="004D6C61" w:rsidRDefault="006A3B27" w:rsidP="004D6C61">
      <w:pPr>
        <w:spacing w:after="0"/>
        <w:rPr>
          <w:rFonts w:cs="Arial"/>
          <w:szCs w:val="20"/>
        </w:rPr>
      </w:pPr>
      <w:r w:rsidRPr="004D6C61">
        <w:rPr>
          <w:rFonts w:cs="Arial"/>
          <w:szCs w:val="20"/>
        </w:rPr>
        <w:t xml:space="preserve">   </w:t>
      </w:r>
    </w:p>
    <w:p w:rsidR="006D6949" w:rsidRDefault="006D6949" w:rsidP="0016134C">
      <w:pPr>
        <w:spacing w:after="0"/>
        <w:rPr>
          <w:rFonts w:cs="Arial"/>
          <w:szCs w:val="20"/>
        </w:rPr>
      </w:pPr>
      <w:r w:rsidRPr="00C341B5">
        <w:rPr>
          <w:rFonts w:cs="Arial"/>
          <w:szCs w:val="20"/>
        </w:rPr>
        <w:t>Úmrtnost</w:t>
      </w:r>
      <w:r>
        <w:rPr>
          <w:rFonts w:cs="Arial"/>
          <w:szCs w:val="20"/>
        </w:rPr>
        <w:t xml:space="preserve"> mužů na nemoci oběhové soustavy byla v roce 2016 nejnižší v Hlavním městě Praze (464 zemřelých na 100 tis. obyvatel) a v Jihočeském kraji (482 zemřelých na 100 tis.) a naopak výrazně nejvyšší v kraji Ústeckém (687 zemřelých na 100 tis.), a dále pak ve Zlínském a Moravskoslezském kraji (629 zemřelých na 100 tis.). Jihočeský kraj měl u nemocí oběhové soustavy podstatně lepší postavení mezi kraji než</w:t>
      </w:r>
      <w:r w:rsidRPr="00FF568A">
        <w:rPr>
          <w:rFonts w:cs="Arial"/>
          <w:szCs w:val="20"/>
        </w:rPr>
        <w:t xml:space="preserve"> </w:t>
      </w:r>
      <w:r>
        <w:rPr>
          <w:rFonts w:cs="Arial"/>
          <w:szCs w:val="20"/>
        </w:rPr>
        <w:t>při srovnání celkové úrovně úmrtnosti (kdy skončil na pátém místě). Naopak hůře na tom byl při hodnocení úmrtnosti pouze na nemoci oběhové soustavy celkově druhý nejlepší Kraj Vysočina, kde byla úmrtnost na nemoci oběhové soustavy šestá nejnižší, ale stále pod průměrem ČR</w:t>
      </w:r>
      <w:r w:rsidR="00B41620">
        <w:rPr>
          <w:rFonts w:cs="Arial"/>
          <w:szCs w:val="20"/>
        </w:rPr>
        <w:t xml:space="preserve"> (viz přílohová tabulka 20</w:t>
      </w:r>
      <w:r w:rsidR="00394E37">
        <w:rPr>
          <w:rFonts w:cs="Arial"/>
          <w:szCs w:val="20"/>
        </w:rPr>
        <w:t>)</w:t>
      </w:r>
      <w:r w:rsidR="00C0393B">
        <w:rPr>
          <w:rFonts w:cs="Arial"/>
          <w:szCs w:val="20"/>
        </w:rPr>
        <w:t>.</w:t>
      </w:r>
      <w:r w:rsidR="00BC17A1">
        <w:rPr>
          <w:rFonts w:cs="Arial"/>
          <w:szCs w:val="20"/>
        </w:rPr>
        <w:t xml:space="preserve"> </w:t>
      </w:r>
    </w:p>
    <w:p w:rsidR="006D6949" w:rsidRDefault="006D6949" w:rsidP="0016134C">
      <w:pPr>
        <w:spacing w:after="0"/>
        <w:rPr>
          <w:rFonts w:cs="Arial"/>
          <w:szCs w:val="20"/>
        </w:rPr>
      </w:pPr>
    </w:p>
    <w:p w:rsidR="008B365B" w:rsidRDefault="008B365B" w:rsidP="008B365B">
      <w:pPr>
        <w:spacing w:after="0"/>
        <w:rPr>
          <w:rFonts w:cs="Arial"/>
          <w:b/>
          <w:szCs w:val="20"/>
        </w:rPr>
      </w:pPr>
      <w:r w:rsidRPr="0016134C">
        <w:rPr>
          <w:rFonts w:cs="Arial"/>
          <w:b/>
          <w:szCs w:val="20"/>
        </w:rPr>
        <w:t>Graf 16 Standardizované</w:t>
      </w:r>
      <w:r>
        <w:rPr>
          <w:rFonts w:cs="Arial"/>
          <w:b/>
          <w:szCs w:val="20"/>
        </w:rPr>
        <w:t xml:space="preserve"> </w:t>
      </w:r>
      <w:r w:rsidRPr="0016134C">
        <w:rPr>
          <w:rFonts w:cs="Arial"/>
          <w:b/>
          <w:szCs w:val="20"/>
        </w:rPr>
        <w:t>míry úmrtnosti</w:t>
      </w:r>
      <w:r w:rsidRPr="0016134C">
        <w:rPr>
          <w:rFonts w:cs="Arial"/>
          <w:b/>
          <w:szCs w:val="20"/>
          <w:vertAlign w:val="superscript"/>
        </w:rPr>
        <w:t>1)</w:t>
      </w:r>
      <w:r w:rsidRPr="0016134C">
        <w:rPr>
          <w:rFonts w:cs="Arial"/>
          <w:b/>
          <w:szCs w:val="20"/>
        </w:rPr>
        <w:t xml:space="preserve"> mužů podle krajů a vybraných</w:t>
      </w:r>
      <w:r w:rsidRPr="0016134C">
        <w:rPr>
          <w:rFonts w:cs="Arial"/>
          <w:b/>
          <w:szCs w:val="20"/>
          <w:vertAlign w:val="superscript"/>
        </w:rPr>
        <w:t>2)</w:t>
      </w:r>
      <w:r w:rsidRPr="0016134C">
        <w:rPr>
          <w:rFonts w:cs="Arial"/>
          <w:b/>
          <w:szCs w:val="20"/>
        </w:rPr>
        <w:t xml:space="preserve"> kapitol příčin smrti </w:t>
      </w:r>
    </w:p>
    <w:p w:rsidR="008B365B" w:rsidRDefault="008B365B" w:rsidP="008B365B">
      <w:pPr>
        <w:spacing w:after="60"/>
        <w:rPr>
          <w:rFonts w:cs="Arial"/>
          <w:b/>
          <w:szCs w:val="20"/>
        </w:rPr>
      </w:pPr>
      <w:r w:rsidRPr="0016134C">
        <w:rPr>
          <w:rFonts w:cs="Arial"/>
          <w:b/>
          <w:szCs w:val="20"/>
        </w:rPr>
        <w:t>v roce 2016 (na 100 000 obyvatel)</w:t>
      </w:r>
    </w:p>
    <w:p w:rsidR="008B365B" w:rsidRPr="0016134C" w:rsidRDefault="008B365B" w:rsidP="008B365B">
      <w:pPr>
        <w:spacing w:after="60"/>
        <w:rPr>
          <w:rFonts w:cs="Arial"/>
          <w:b/>
          <w:szCs w:val="20"/>
        </w:rPr>
      </w:pPr>
      <w:r w:rsidRPr="0016134C">
        <w:rPr>
          <w:noProof/>
        </w:rPr>
        <w:drawing>
          <wp:anchor distT="0" distB="0" distL="114300" distR="114300" simplePos="0" relativeHeight="251719168" behindDoc="1" locked="0" layoutInCell="1" allowOverlap="1" wp14:anchorId="2DBA20B8" wp14:editId="588600EB">
            <wp:simplePos x="0" y="0"/>
            <wp:positionH relativeFrom="column">
              <wp:posOffset>3810</wp:posOffset>
            </wp:positionH>
            <wp:positionV relativeFrom="paragraph">
              <wp:posOffset>-1270</wp:posOffset>
            </wp:positionV>
            <wp:extent cx="5429250" cy="360045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Pr>
        <w:spacing w:before="60" w:after="0"/>
        <w:rPr>
          <w:rFonts w:ascii="Arial CE" w:hAnsi="Arial CE" w:cs="Arial CE"/>
          <w:i/>
          <w:iCs/>
          <w:sz w:val="16"/>
          <w:szCs w:val="16"/>
        </w:rPr>
      </w:pPr>
    </w:p>
    <w:p w:rsidR="008B365B" w:rsidRPr="0016134C" w:rsidRDefault="008B365B" w:rsidP="008B365B">
      <w:pPr>
        <w:spacing w:before="60" w:after="0"/>
        <w:rPr>
          <w:rFonts w:ascii="Arial CE" w:hAnsi="Arial CE" w:cs="Arial CE"/>
          <w:i/>
          <w:iCs/>
          <w:sz w:val="16"/>
          <w:szCs w:val="16"/>
        </w:rPr>
      </w:pPr>
      <w:r w:rsidRPr="0016134C">
        <w:rPr>
          <w:rFonts w:ascii="Arial CE" w:hAnsi="Arial CE" w:cs="Arial CE"/>
          <w:i/>
          <w:iCs/>
          <w:sz w:val="16"/>
          <w:szCs w:val="16"/>
        </w:rPr>
        <w:t>1) Pro standardizaci byla použita věková struktura populace celé ČR k 1. 7. 2016.</w:t>
      </w:r>
    </w:p>
    <w:p w:rsidR="008B365B" w:rsidRPr="0016134C" w:rsidRDefault="008B365B" w:rsidP="008B365B">
      <w:pPr>
        <w:spacing w:before="60" w:after="0"/>
        <w:rPr>
          <w:rFonts w:ascii="Arial CE" w:hAnsi="Arial CE" w:cs="Arial CE"/>
          <w:i/>
          <w:iCs/>
          <w:sz w:val="16"/>
          <w:szCs w:val="16"/>
        </w:rPr>
      </w:pPr>
      <w:r w:rsidRPr="0016134C">
        <w:rPr>
          <w:rFonts w:ascii="Arial CE" w:hAnsi="Arial CE" w:cs="Arial CE"/>
          <w:i/>
          <w:iCs/>
          <w:sz w:val="16"/>
          <w:szCs w:val="16"/>
        </w:rPr>
        <w:t>2) II - Novotvary (C00 - D48); IV - Nemoci endokrinní, výživy a přeměny látek (E00 - E90); IX - Nemoci oběhové soustavy (I00 - I99); X - Nemoci dýchací soustavy (J00 - J99); XI - Nemoci trávicí soustavy (K00 - K93); XX - Vnější příčiny nemocnosti a úmrtnosti (V01 - Y9</w:t>
      </w:r>
      <w:r>
        <w:rPr>
          <w:rFonts w:ascii="Arial CE" w:hAnsi="Arial CE" w:cs="Arial CE"/>
          <w:i/>
          <w:iCs/>
          <w:sz w:val="16"/>
          <w:szCs w:val="16"/>
        </w:rPr>
        <w:t>8</w:t>
      </w:r>
      <w:r w:rsidRPr="0016134C">
        <w:rPr>
          <w:rFonts w:ascii="Arial CE" w:hAnsi="Arial CE" w:cs="Arial CE"/>
          <w:i/>
          <w:iCs/>
          <w:sz w:val="16"/>
          <w:szCs w:val="16"/>
        </w:rPr>
        <w:t>)</w:t>
      </w:r>
    </w:p>
    <w:p w:rsidR="006D6949" w:rsidRPr="0045498A" w:rsidRDefault="006D6949" w:rsidP="006D6949">
      <w:pPr>
        <w:spacing w:after="0"/>
        <w:rPr>
          <w:rFonts w:cs="Arial"/>
          <w:szCs w:val="20"/>
        </w:rPr>
      </w:pPr>
      <w:r>
        <w:rPr>
          <w:rFonts w:cs="Arial"/>
          <w:szCs w:val="20"/>
        </w:rPr>
        <w:lastRenderedPageBreak/>
        <w:t>Druhá nejnižší úmrtnost mužů v Kraji Vysočina tak byla významně podpořena vůbec nejnižší (z krajů) intenzitou úmrtnosti na novotvary (316 zemřelých na 100 tis. obyvatel). Nejvyšší úmrtnost na novotvary opět připadla na Ústecký kraj (396 zemřelých na 100 tis.), společně s Karlovarským krajem (392 zemřelých na 100 tis.). Olomoucký, Zlínský a Liberecký kraj dosahovaly ve srovnání s celkovou úmrtností jejich obyvatelstva nižší úrovně úmrtno</w:t>
      </w:r>
      <w:r w:rsidR="00086604">
        <w:rPr>
          <w:rFonts w:cs="Arial"/>
          <w:szCs w:val="20"/>
        </w:rPr>
        <w:t>sti na tuto příčinu. Naopak horší pozici při mezikrajském srovnání u novotvarů měly kraje</w:t>
      </w:r>
      <w:r>
        <w:rPr>
          <w:rFonts w:cs="Arial"/>
          <w:szCs w:val="20"/>
        </w:rPr>
        <w:t xml:space="preserve"> Jihočeský, Středočeský kraj a Praha.</w:t>
      </w:r>
    </w:p>
    <w:p w:rsidR="005015F6" w:rsidRPr="0063677B" w:rsidRDefault="005015F6" w:rsidP="0016134C">
      <w:pPr>
        <w:spacing w:after="0"/>
        <w:rPr>
          <w:rFonts w:cs="Arial"/>
          <w:szCs w:val="20"/>
        </w:rPr>
      </w:pPr>
    </w:p>
    <w:p w:rsidR="004662BB" w:rsidRDefault="004662BB" w:rsidP="004662BB">
      <w:pPr>
        <w:spacing w:after="0"/>
        <w:rPr>
          <w:rFonts w:cs="Arial"/>
          <w:szCs w:val="20"/>
        </w:rPr>
      </w:pPr>
      <w:r w:rsidRPr="0063164C">
        <w:rPr>
          <w:rFonts w:cs="Arial"/>
          <w:szCs w:val="20"/>
        </w:rPr>
        <w:t>Stejně</w:t>
      </w:r>
      <w:r>
        <w:rPr>
          <w:rFonts w:cs="Arial"/>
          <w:szCs w:val="20"/>
        </w:rPr>
        <w:t xml:space="preserve"> jako u celkové intenzity úmrtnosti byla nejnižší míra úmrtnosti na nemoci dýchací soustavy v roce 2016 v Hlavním městě Praze (77 zemřelých na 100 tis. obyvatel). Nejvíce z pohledu úmrtnosti trápily nemoci dýchací soustavy obyvatele Jihočeského, Moravskoslezského a Olomouckého kraje. Právě u Jihočeského kraje bylo jeho postavení u nemocí dýchací soustavy (vůbec nejhorší úmrtnost 128 zemřelých na 100 tis. obyvatel) s ohledem na pátou nejnižší celkovou úmrtnost u mužů velmi špatné. Oproti tomu Zlínský kraj měl jednu z nejnižších intenzit úmrtnosti na tuto příčinu smrti (třetí nejnižší v roce 2016) v kontrastu s horším postavením (10. příčka) v celkové úmrtnosti. </w:t>
      </w:r>
    </w:p>
    <w:p w:rsidR="004662BB" w:rsidRDefault="004662BB" w:rsidP="004662BB">
      <w:pPr>
        <w:spacing w:after="0"/>
        <w:rPr>
          <w:rFonts w:cs="Arial"/>
          <w:szCs w:val="20"/>
        </w:rPr>
      </w:pPr>
    </w:p>
    <w:p w:rsidR="004662BB" w:rsidRPr="0063164C" w:rsidRDefault="004662BB" w:rsidP="004662BB">
      <w:pPr>
        <w:spacing w:after="0"/>
        <w:rPr>
          <w:rFonts w:cs="Arial"/>
          <w:szCs w:val="20"/>
        </w:rPr>
      </w:pPr>
      <w:r>
        <w:rPr>
          <w:rFonts w:cs="Arial"/>
          <w:szCs w:val="20"/>
        </w:rPr>
        <w:t>Úmrtnost na vnější příčiny byla v roce 2016 nejnižší v Praze (58 zemřelých na 100 tis. obyvatel) a Středočeském kraji (68 zemřelých na 100 tis.) a nejvyšší ve Zlínském (99 zemřelých na 100 tis.) a Karlovarském kraji (97 zemřelých na 100 tis.). Ve srovnání s celkovou úmrtností v daném kraji na to byl dobře Středočeský kraj, zatímco Zlínský hůře.</w:t>
      </w:r>
    </w:p>
    <w:p w:rsidR="004662BB" w:rsidRPr="003A44A7" w:rsidRDefault="004662BB" w:rsidP="004662BB">
      <w:pPr>
        <w:spacing w:after="0"/>
        <w:rPr>
          <w:rFonts w:cs="Arial"/>
          <w:szCs w:val="20"/>
        </w:rPr>
      </w:pPr>
    </w:p>
    <w:p w:rsidR="004662BB" w:rsidRDefault="004662BB" w:rsidP="004662BB">
      <w:pPr>
        <w:spacing w:after="0"/>
        <w:rPr>
          <w:rFonts w:cs="Arial"/>
          <w:szCs w:val="20"/>
        </w:rPr>
      </w:pPr>
      <w:r>
        <w:rPr>
          <w:rFonts w:cs="Arial"/>
          <w:szCs w:val="20"/>
        </w:rPr>
        <w:t xml:space="preserve">U nemocí trávicí soustavy měl nejnižší úroveň úmrtnosti Kraj Vysočina (37 zemřelých na 100 tis. obyvatel v roce 2016) a naopak nejvyšší Moravskoslezský kraj (78 zemřelých na 100 tis. obyvatel). Pořadí konkrétních krajů podle intenzity úmrtnosti na tuto skupinu onemocnění bylo výrazně příznivější než podle intenzity celkové úmrtnosti v Plzeňském, Karlovarském a Ústeckém kraji. Naopak podstatně horší postavení měl Jihomoravský kraj. </w:t>
      </w:r>
    </w:p>
    <w:p w:rsidR="004662BB" w:rsidRDefault="004662BB" w:rsidP="00F70816">
      <w:pPr>
        <w:spacing w:after="0"/>
        <w:rPr>
          <w:rFonts w:cs="Arial"/>
          <w:szCs w:val="20"/>
        </w:rPr>
      </w:pPr>
    </w:p>
    <w:p w:rsidR="004662BB" w:rsidRPr="00E757DE" w:rsidRDefault="004662BB" w:rsidP="004662BB">
      <w:pPr>
        <w:spacing w:after="0"/>
        <w:rPr>
          <w:rFonts w:cs="Arial"/>
          <w:szCs w:val="20"/>
        </w:rPr>
      </w:pPr>
      <w:r w:rsidRPr="000B11A5">
        <w:rPr>
          <w:rFonts w:cs="Arial"/>
          <w:szCs w:val="20"/>
        </w:rPr>
        <w:t>Nemoci endokrinní, výživy a přeměny látek</w:t>
      </w:r>
      <w:r>
        <w:rPr>
          <w:rFonts w:cs="Arial"/>
          <w:szCs w:val="20"/>
        </w:rPr>
        <w:t xml:space="preserve"> vedly k nejnižší míře úmrtnosti v Královéhradeckém kraji (30 zemřelých na 100 tis. obyvatel v roce 2016), zatímco k </w:t>
      </w:r>
      <w:r w:rsidRPr="000B11A5">
        <w:t xml:space="preserve">nejvyšší </w:t>
      </w:r>
      <w:r>
        <w:t>v krajích</w:t>
      </w:r>
      <w:r w:rsidRPr="000B11A5">
        <w:t xml:space="preserve"> Ústecký </w:t>
      </w:r>
      <w:r>
        <w:t xml:space="preserve">(71 zemřelých na 100 tis.) </w:t>
      </w:r>
      <w:r w:rsidRPr="000B11A5">
        <w:t xml:space="preserve">a Moravskoslezský </w:t>
      </w:r>
      <w:r>
        <w:t>(70 zemřelých na 100 tis.)</w:t>
      </w:r>
      <w:r w:rsidRPr="000B11A5">
        <w:t>. Kraj Vysočina u této příčiny smrti dosahoval výrazně</w:t>
      </w:r>
      <w:r>
        <w:t xml:space="preserve"> horší</w:t>
      </w:r>
      <w:r w:rsidRPr="000B11A5">
        <w:t xml:space="preserve"> </w:t>
      </w:r>
      <w:r>
        <w:t>pozice v intenzitě</w:t>
      </w:r>
      <w:r w:rsidRPr="000B11A5">
        <w:t xml:space="preserve"> úmrtnosti, než </w:t>
      </w:r>
      <w:r>
        <w:t>jaká byla</w:t>
      </w:r>
      <w:r w:rsidRPr="000B11A5">
        <w:t xml:space="preserve"> </w:t>
      </w:r>
      <w:r>
        <w:t>v celkovém pohledu.</w:t>
      </w:r>
    </w:p>
    <w:p w:rsidR="00F70816" w:rsidRPr="00F70816" w:rsidRDefault="00F70816" w:rsidP="00F70816">
      <w:pPr>
        <w:spacing w:after="0"/>
        <w:rPr>
          <w:rFonts w:cs="Arial"/>
          <w:szCs w:val="20"/>
        </w:rPr>
      </w:pPr>
    </w:p>
    <w:p w:rsidR="004662BB" w:rsidRDefault="004662BB" w:rsidP="004662BB">
      <w:pPr>
        <w:spacing w:after="0"/>
      </w:pPr>
      <w:r>
        <w:t>Standardizovaná míra úmrtnosti u žen byla v ČR nejvyšší v roce 2016 u nemocí oběhové soustavy (368 zemřelých na 100 tis. obyvatel) a novotvarů (203 zemřelých na 100 tis. obyvatel). Poté následovaly s odstupem nemoci dýchací soustavy (48 zemřelých na 100 tis. obyvatel) a nemoci</w:t>
      </w:r>
      <w:r w:rsidRPr="00BA7826">
        <w:t xml:space="preserve"> endokrinní, výživy a přeměny látek</w:t>
      </w:r>
      <w:r>
        <w:t xml:space="preserve"> (38 zemřelých na 100 tis. obyvatel). U jednotlivých krajů bylo toto pořadí dodrženo, pouze v případě Kraje Vysočina se na třetí místo dostaly nemoci </w:t>
      </w:r>
      <w:r w:rsidRPr="00BA7826">
        <w:t>endokrinní, výživy a přeměny látek</w:t>
      </w:r>
      <w:r>
        <w:t xml:space="preserve"> (graf 17). Na celorepublikové úrovni potom následovaly na pátém místě nemoci trávicí soustavy (32 zemřelých na 100 tis. obyvatel) a na šestém místě vnější příčiny nemocnosti a úmrtnosti (30 zemřelých na 100 tis. obyvatel), na krajské úrovni se však pořadí na pátém a šestém místě měnilo.</w:t>
      </w:r>
    </w:p>
    <w:p w:rsidR="00BB3AC4" w:rsidRDefault="00BB3AC4" w:rsidP="00BB3AC4">
      <w:pPr>
        <w:spacing w:after="0"/>
        <w:rPr>
          <w:rFonts w:cs="Arial"/>
          <w:szCs w:val="20"/>
        </w:rPr>
      </w:pPr>
    </w:p>
    <w:p w:rsidR="001F461A" w:rsidRDefault="00AA4630" w:rsidP="00AA4630">
      <w:pPr>
        <w:spacing w:after="0"/>
        <w:rPr>
          <w:rFonts w:cs="Arial"/>
          <w:szCs w:val="20"/>
        </w:rPr>
      </w:pPr>
      <w:r>
        <w:rPr>
          <w:rFonts w:cs="Arial"/>
          <w:szCs w:val="20"/>
        </w:rPr>
        <w:t>Úmrtnost žen na nemoci oběhové soustavy byla v roce 2016 nejnižší v Hlavním městě Praze</w:t>
      </w:r>
      <w:r w:rsidR="001F461A">
        <w:rPr>
          <w:rFonts w:cs="Arial"/>
          <w:szCs w:val="20"/>
        </w:rPr>
        <w:t xml:space="preserve"> (309 zemřelých na 100 tis. obyvatel</w:t>
      </w:r>
      <w:r>
        <w:rPr>
          <w:rFonts w:cs="Arial"/>
          <w:szCs w:val="20"/>
        </w:rPr>
        <w:t>), zatímco nejvyšší míru úmrtnosti měly ženy v Ústeckém kraji</w:t>
      </w:r>
      <w:r w:rsidR="001F461A">
        <w:rPr>
          <w:rFonts w:cs="Arial"/>
          <w:szCs w:val="20"/>
        </w:rPr>
        <w:t xml:space="preserve"> (450 zemřelých na 100 tis. obyvatel). </w:t>
      </w:r>
      <w:r>
        <w:rPr>
          <w:rFonts w:cs="Arial"/>
          <w:szCs w:val="20"/>
        </w:rPr>
        <w:t xml:space="preserve">Výrazně lepší úmrtnostní poměry na nemoci oběhové soustavy než v případě celkové úmrtnosti měl Jihočeský kraj, naopak hůře na tom byl Zlínský kraj (viz přílohová tabulka 21). </w:t>
      </w:r>
    </w:p>
    <w:p w:rsidR="001F461A" w:rsidRDefault="001F461A" w:rsidP="00AA4630">
      <w:pPr>
        <w:spacing w:after="0"/>
        <w:rPr>
          <w:rFonts w:cs="Arial"/>
          <w:szCs w:val="20"/>
        </w:rPr>
      </w:pPr>
    </w:p>
    <w:p w:rsidR="00AA4630" w:rsidRDefault="00AA4630" w:rsidP="00AA4630">
      <w:pPr>
        <w:spacing w:after="0"/>
        <w:rPr>
          <w:rFonts w:cs="Arial"/>
          <w:szCs w:val="20"/>
        </w:rPr>
      </w:pPr>
      <w:r>
        <w:rPr>
          <w:rFonts w:cs="Arial"/>
          <w:szCs w:val="20"/>
        </w:rPr>
        <w:t xml:space="preserve">Intenzita úmrtnosti žen na novotvary byla nejnižší v Kraji Vysočina </w:t>
      </w:r>
      <w:r w:rsidR="001F461A">
        <w:rPr>
          <w:rFonts w:cs="Arial"/>
          <w:szCs w:val="20"/>
        </w:rPr>
        <w:t>(181 zemřelých na 100 tis. obyvatel) a </w:t>
      </w:r>
      <w:r>
        <w:rPr>
          <w:rFonts w:cs="Arial"/>
          <w:szCs w:val="20"/>
        </w:rPr>
        <w:t>nejvyšší opět v Ústeckém kraji (</w:t>
      </w:r>
      <w:r w:rsidR="001F461A">
        <w:rPr>
          <w:rFonts w:cs="Arial"/>
          <w:szCs w:val="20"/>
        </w:rPr>
        <w:t>237 zemřelých na 100 tis. obyvatel</w:t>
      </w:r>
      <w:r>
        <w:rPr>
          <w:rFonts w:cs="Arial"/>
          <w:szCs w:val="20"/>
        </w:rPr>
        <w:t>). Výrazně lepší pozici v pohledu na úmrtnost na novotvary ve srovnání s pozicí v případě celkové úmrtnosti měl Moravskoslezský a Olomoucký kraj, naopak podstatně hůře na tom byly, co se týče novotvarů, ženy v Praze a Jihomoravském kraji.</w:t>
      </w:r>
    </w:p>
    <w:p w:rsidR="00AA4630" w:rsidRDefault="00AA4630" w:rsidP="00AA4630">
      <w:pPr>
        <w:spacing w:after="0"/>
        <w:rPr>
          <w:rFonts w:cs="Arial"/>
          <w:szCs w:val="20"/>
        </w:rPr>
      </w:pPr>
    </w:p>
    <w:p w:rsidR="001F461A" w:rsidRDefault="00AA4630" w:rsidP="00AA4630">
      <w:pPr>
        <w:spacing w:after="0"/>
        <w:rPr>
          <w:rFonts w:cs="Arial"/>
          <w:szCs w:val="20"/>
        </w:rPr>
      </w:pPr>
      <w:r>
        <w:rPr>
          <w:rFonts w:cs="Arial"/>
          <w:szCs w:val="20"/>
        </w:rPr>
        <w:lastRenderedPageBreak/>
        <w:t xml:space="preserve">Nejnižší míru úmrtnosti na nemoci dýchací soustavy měly v roce 2016 ženy ve Zlínském kraji </w:t>
      </w:r>
      <w:r w:rsidR="001F461A">
        <w:rPr>
          <w:rFonts w:cs="Arial"/>
          <w:szCs w:val="20"/>
        </w:rPr>
        <w:t xml:space="preserve">(36 zemřelých na 100 tis. obyvatel), </w:t>
      </w:r>
      <w:r>
        <w:rPr>
          <w:rFonts w:cs="Arial"/>
          <w:szCs w:val="20"/>
        </w:rPr>
        <w:t>zatímco nejhorší, stejně jako muži, v Jihočeském kraji (</w:t>
      </w:r>
      <w:r w:rsidR="001F461A">
        <w:rPr>
          <w:rFonts w:cs="Arial"/>
          <w:szCs w:val="20"/>
        </w:rPr>
        <w:t>67 zemřelých na 100 tis. obyvatel</w:t>
      </w:r>
      <w:r>
        <w:rPr>
          <w:rFonts w:cs="Arial"/>
          <w:szCs w:val="20"/>
        </w:rPr>
        <w:t xml:space="preserve">). Postavení žen v Plzeňském kraji z hlediska úmrtnosti na tuto příčinu bylo lepší než u celkové úmrtnosti, oproti tomu u žen z Jihočeského kraje bylo horší. </w:t>
      </w:r>
    </w:p>
    <w:p w:rsidR="001F461A" w:rsidRDefault="001F461A" w:rsidP="00AA4630">
      <w:pPr>
        <w:spacing w:after="0"/>
        <w:rPr>
          <w:rFonts w:cs="Arial"/>
          <w:szCs w:val="20"/>
        </w:rPr>
      </w:pPr>
    </w:p>
    <w:p w:rsidR="00AA4630" w:rsidRDefault="00AA4630" w:rsidP="00F6043F">
      <w:pPr>
        <w:rPr>
          <w:rFonts w:cs="Arial"/>
          <w:szCs w:val="20"/>
        </w:rPr>
      </w:pPr>
      <w:r>
        <w:rPr>
          <w:rFonts w:cs="Arial"/>
          <w:szCs w:val="20"/>
        </w:rPr>
        <w:t>Nemoci endokrinní</w:t>
      </w:r>
      <w:r w:rsidRPr="009D4DBD">
        <w:rPr>
          <w:rFonts w:cs="Arial"/>
          <w:szCs w:val="20"/>
        </w:rPr>
        <w:t>, výživy a přeměny látek</w:t>
      </w:r>
      <w:r>
        <w:rPr>
          <w:rFonts w:cs="Arial"/>
          <w:szCs w:val="20"/>
        </w:rPr>
        <w:t xml:space="preserve"> dosahovaly nejnižší úrovně úmrtnosti u žen v Jihomoravském kraji</w:t>
      </w:r>
      <w:r w:rsidR="001F461A">
        <w:rPr>
          <w:rFonts w:cs="Arial"/>
          <w:szCs w:val="20"/>
        </w:rPr>
        <w:t xml:space="preserve"> (27 zemřelých na 100 tis. obyvatel), </w:t>
      </w:r>
      <w:r>
        <w:rPr>
          <w:rFonts w:cs="Arial"/>
          <w:szCs w:val="20"/>
        </w:rPr>
        <w:t>naopak nejvyšší u žen z Moravskoslezského kraje (</w:t>
      </w:r>
      <w:r w:rsidR="001F461A">
        <w:rPr>
          <w:rFonts w:cs="Arial"/>
          <w:szCs w:val="20"/>
        </w:rPr>
        <w:t>52 zemřelých na 100 tis. obyvatel</w:t>
      </w:r>
      <w:r>
        <w:rPr>
          <w:rFonts w:cs="Arial"/>
          <w:szCs w:val="20"/>
        </w:rPr>
        <w:t>). V Plzeňském kraji byla úmrtnost na tuto příčinu smrti ve srovnání s ostatními kraji výrazně lepší, než při srovnání celkové úmrtnost. Naopak tomu bylo u kraje Vysočina.</w:t>
      </w:r>
    </w:p>
    <w:p w:rsidR="008B365B" w:rsidRDefault="008B365B" w:rsidP="008B365B">
      <w:pPr>
        <w:spacing w:after="0"/>
        <w:rPr>
          <w:rFonts w:cs="Arial"/>
          <w:b/>
          <w:szCs w:val="20"/>
        </w:rPr>
      </w:pPr>
      <w:r w:rsidRPr="0016134C">
        <w:rPr>
          <w:rFonts w:cs="Arial"/>
          <w:b/>
          <w:szCs w:val="20"/>
        </w:rPr>
        <w:t>G</w:t>
      </w:r>
      <w:r>
        <w:rPr>
          <w:rFonts w:cs="Arial"/>
          <w:b/>
          <w:szCs w:val="20"/>
        </w:rPr>
        <w:t>raf 17</w:t>
      </w:r>
      <w:r w:rsidRPr="0016134C">
        <w:rPr>
          <w:rFonts w:cs="Arial"/>
          <w:b/>
          <w:szCs w:val="20"/>
        </w:rPr>
        <w:t xml:space="preserve"> Standardizované</w:t>
      </w:r>
      <w:r>
        <w:rPr>
          <w:rFonts w:cs="Arial"/>
          <w:b/>
          <w:szCs w:val="20"/>
        </w:rPr>
        <w:t xml:space="preserve"> </w:t>
      </w:r>
      <w:r w:rsidRPr="0016134C">
        <w:rPr>
          <w:rFonts w:cs="Arial"/>
          <w:b/>
          <w:szCs w:val="20"/>
        </w:rPr>
        <w:t>míry úmrtnosti</w:t>
      </w:r>
      <w:r w:rsidRPr="0016134C">
        <w:rPr>
          <w:rFonts w:cs="Arial"/>
          <w:b/>
          <w:szCs w:val="20"/>
          <w:vertAlign w:val="superscript"/>
        </w:rPr>
        <w:t>1)</w:t>
      </w:r>
      <w:r w:rsidRPr="0016134C">
        <w:rPr>
          <w:rFonts w:cs="Arial"/>
          <w:b/>
          <w:szCs w:val="20"/>
        </w:rPr>
        <w:t xml:space="preserve"> </w:t>
      </w:r>
      <w:r>
        <w:rPr>
          <w:rFonts w:cs="Arial"/>
          <w:b/>
          <w:szCs w:val="20"/>
        </w:rPr>
        <w:t>žen</w:t>
      </w:r>
      <w:r w:rsidRPr="0016134C">
        <w:rPr>
          <w:rFonts w:cs="Arial"/>
          <w:b/>
          <w:szCs w:val="20"/>
        </w:rPr>
        <w:t xml:space="preserve"> podle krajů a vybraných</w:t>
      </w:r>
      <w:r w:rsidRPr="0016134C">
        <w:rPr>
          <w:rFonts w:cs="Arial"/>
          <w:b/>
          <w:szCs w:val="20"/>
          <w:vertAlign w:val="superscript"/>
        </w:rPr>
        <w:t>2)</w:t>
      </w:r>
      <w:r w:rsidRPr="0016134C">
        <w:rPr>
          <w:rFonts w:cs="Arial"/>
          <w:b/>
          <w:szCs w:val="20"/>
        </w:rPr>
        <w:t xml:space="preserve"> kapitol příčin smrti </w:t>
      </w:r>
    </w:p>
    <w:p w:rsidR="008B365B" w:rsidRDefault="008B365B" w:rsidP="008B365B">
      <w:pPr>
        <w:spacing w:after="60"/>
        <w:rPr>
          <w:rFonts w:cs="Arial"/>
          <w:b/>
          <w:szCs w:val="20"/>
        </w:rPr>
      </w:pPr>
      <w:r w:rsidRPr="0016134C">
        <w:rPr>
          <w:rFonts w:cs="Arial"/>
          <w:b/>
          <w:szCs w:val="20"/>
        </w:rPr>
        <w:t>v roce 2016 (na 100 000 obyvatel)</w:t>
      </w:r>
    </w:p>
    <w:p w:rsidR="008B365B" w:rsidRDefault="008B365B" w:rsidP="008B365B">
      <w:r w:rsidRPr="00367E8A">
        <w:rPr>
          <w:noProof/>
        </w:rPr>
        <w:drawing>
          <wp:anchor distT="0" distB="0" distL="114300" distR="114300" simplePos="0" relativeHeight="251721216" behindDoc="1" locked="0" layoutInCell="1" allowOverlap="1" wp14:anchorId="2320D4E1" wp14:editId="3D9390C8">
            <wp:simplePos x="0" y="0"/>
            <wp:positionH relativeFrom="column">
              <wp:posOffset>3810</wp:posOffset>
            </wp:positionH>
            <wp:positionV relativeFrom="paragraph">
              <wp:posOffset>-4445</wp:posOffset>
            </wp:positionV>
            <wp:extent cx="5429250" cy="3600450"/>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Default="008B365B" w:rsidP="008B365B"/>
    <w:p w:rsidR="008B365B" w:rsidRPr="0016134C" w:rsidRDefault="008B365B" w:rsidP="008B365B">
      <w:pPr>
        <w:spacing w:before="60" w:after="0"/>
        <w:rPr>
          <w:rFonts w:ascii="Arial CE" w:hAnsi="Arial CE" w:cs="Arial CE"/>
          <w:i/>
          <w:iCs/>
          <w:sz w:val="16"/>
          <w:szCs w:val="16"/>
        </w:rPr>
      </w:pPr>
      <w:r w:rsidRPr="0016134C">
        <w:rPr>
          <w:rFonts w:ascii="Arial CE" w:hAnsi="Arial CE" w:cs="Arial CE"/>
          <w:i/>
          <w:iCs/>
          <w:sz w:val="16"/>
          <w:szCs w:val="16"/>
        </w:rPr>
        <w:t>1) Pro standardizaci byla použita věková struktura populace celé ČR k 1. 7. 2016.</w:t>
      </w:r>
    </w:p>
    <w:p w:rsidR="008B365B" w:rsidRPr="0016134C" w:rsidRDefault="008B365B" w:rsidP="008B365B">
      <w:pPr>
        <w:spacing w:before="60" w:after="0"/>
        <w:rPr>
          <w:rFonts w:ascii="Arial CE" w:hAnsi="Arial CE" w:cs="Arial CE"/>
          <w:i/>
          <w:iCs/>
          <w:sz w:val="16"/>
          <w:szCs w:val="16"/>
        </w:rPr>
      </w:pPr>
      <w:r w:rsidRPr="0016134C">
        <w:rPr>
          <w:rFonts w:ascii="Arial CE" w:hAnsi="Arial CE" w:cs="Arial CE"/>
          <w:i/>
          <w:iCs/>
          <w:sz w:val="16"/>
          <w:szCs w:val="16"/>
        </w:rPr>
        <w:t>2) II - Novotvary (C00 - D48); IV - Nemoci endokrinní, výživy a přeměny látek (E00 - E90); IX - Nemoci oběhové soustavy (I00 - I99); X - Nemoci dýchací soustavy (J00 - J99); XI - Nemoci trávicí soustavy (K00 - K93); XX - Vnější příčiny nemocnosti a úmrtnosti (V01 - Y9</w:t>
      </w:r>
      <w:r>
        <w:rPr>
          <w:rFonts w:ascii="Arial CE" w:hAnsi="Arial CE" w:cs="Arial CE"/>
          <w:i/>
          <w:iCs/>
          <w:sz w:val="16"/>
          <w:szCs w:val="16"/>
        </w:rPr>
        <w:t>8</w:t>
      </w:r>
      <w:r w:rsidRPr="0016134C">
        <w:rPr>
          <w:rFonts w:ascii="Arial CE" w:hAnsi="Arial CE" w:cs="Arial CE"/>
          <w:i/>
          <w:iCs/>
          <w:sz w:val="16"/>
          <w:szCs w:val="16"/>
        </w:rPr>
        <w:t>)</w:t>
      </w:r>
    </w:p>
    <w:p w:rsidR="008B365B" w:rsidRDefault="008B365B" w:rsidP="00AA4630">
      <w:pPr>
        <w:spacing w:after="0"/>
        <w:rPr>
          <w:rFonts w:cs="Arial"/>
          <w:szCs w:val="20"/>
        </w:rPr>
      </w:pPr>
    </w:p>
    <w:p w:rsidR="00C555EF" w:rsidRDefault="00AA4630" w:rsidP="00AA4630">
      <w:pPr>
        <w:spacing w:after="0"/>
        <w:rPr>
          <w:rFonts w:cs="Arial"/>
          <w:szCs w:val="20"/>
        </w:rPr>
      </w:pPr>
      <w:r>
        <w:rPr>
          <w:rFonts w:cs="Arial"/>
          <w:szCs w:val="20"/>
        </w:rPr>
        <w:t>Míra úmrtnosti žen na nemoci trávicí soustavy byla v roce 2016 nejnižší v Kraji Vysočina (</w:t>
      </w:r>
      <w:r w:rsidR="00D44E70">
        <w:rPr>
          <w:rFonts w:cs="Arial"/>
          <w:szCs w:val="20"/>
        </w:rPr>
        <w:t>21 zemřelých na 100 tis. obyvatel</w:t>
      </w:r>
      <w:r>
        <w:rPr>
          <w:rFonts w:cs="Arial"/>
          <w:szCs w:val="20"/>
        </w:rPr>
        <w:t>). Na opačné straně spektra stál Moravskoslezský kraj</w:t>
      </w:r>
      <w:r w:rsidR="00D44E70">
        <w:rPr>
          <w:rFonts w:cs="Arial"/>
          <w:szCs w:val="20"/>
        </w:rPr>
        <w:t xml:space="preserve"> (42 zemřelých na 100 tis. obyvatel). </w:t>
      </w:r>
      <w:r>
        <w:rPr>
          <w:rFonts w:cs="Arial"/>
          <w:szCs w:val="20"/>
        </w:rPr>
        <w:t xml:space="preserve">Při srovnání pozice kraje z hlediska úmrtnosti na nemoci trávicí soustavy vůči celkové úmrtnosti na tom byl lépe Liberecký kraj, zatímco hůře Jihomoravský a Zlínský. </w:t>
      </w:r>
    </w:p>
    <w:p w:rsidR="00C555EF" w:rsidRDefault="00C555EF" w:rsidP="00AA4630">
      <w:pPr>
        <w:spacing w:after="0"/>
        <w:rPr>
          <w:rFonts w:cs="Arial"/>
          <w:szCs w:val="20"/>
        </w:rPr>
      </w:pPr>
    </w:p>
    <w:p w:rsidR="00AA4630" w:rsidRPr="003A44A7" w:rsidRDefault="00AA4630" w:rsidP="00AA4630">
      <w:pPr>
        <w:spacing w:after="0"/>
        <w:rPr>
          <w:rFonts w:cs="Arial"/>
          <w:szCs w:val="20"/>
        </w:rPr>
      </w:pPr>
      <w:r>
        <w:rPr>
          <w:rFonts w:cs="Arial"/>
          <w:szCs w:val="20"/>
        </w:rPr>
        <w:t>U vnějších příčin byla nejnižší intenzita úmrtnosti zaznamenána v Karlovarském kraji (</w:t>
      </w:r>
      <w:r w:rsidR="00C555EF">
        <w:rPr>
          <w:rFonts w:cs="Arial"/>
          <w:szCs w:val="20"/>
        </w:rPr>
        <w:t>24 zemřelých na 100 tis. obyvatel</w:t>
      </w:r>
      <w:r>
        <w:rPr>
          <w:rFonts w:cs="Arial"/>
          <w:szCs w:val="20"/>
        </w:rPr>
        <w:t>), oproti tomu nejvyšší v Plzeňském</w:t>
      </w:r>
      <w:r w:rsidR="00C555EF">
        <w:rPr>
          <w:rFonts w:cs="Arial"/>
          <w:szCs w:val="20"/>
        </w:rPr>
        <w:t xml:space="preserve"> (38 zemřelých na 100 tis. obyvate</w:t>
      </w:r>
      <w:r w:rsidR="003719F6">
        <w:rPr>
          <w:rFonts w:cs="Arial"/>
          <w:szCs w:val="20"/>
        </w:rPr>
        <w:t>l</w:t>
      </w:r>
      <w:r>
        <w:rPr>
          <w:rFonts w:cs="Arial"/>
          <w:szCs w:val="20"/>
        </w:rPr>
        <w:t xml:space="preserve">). Právě </w:t>
      </w:r>
      <w:r w:rsidR="00C555EF">
        <w:rPr>
          <w:rFonts w:cs="Arial"/>
          <w:szCs w:val="20"/>
        </w:rPr>
        <w:t>Karlovarský a </w:t>
      </w:r>
      <w:r>
        <w:rPr>
          <w:rFonts w:cs="Arial"/>
          <w:szCs w:val="20"/>
        </w:rPr>
        <w:t>Moravskoslezský kraj měly ve srovnání s celkovou úmrtností lepší pozici v úmrtnosti na vnější příčiny, zatímco horší dosáhly kraje Jihomoravský a Zlínský.</w:t>
      </w:r>
    </w:p>
    <w:p w:rsidR="00AA4630" w:rsidRPr="00D112F4" w:rsidRDefault="00AA4630" w:rsidP="00AA4630">
      <w:pPr>
        <w:spacing w:after="0"/>
        <w:rPr>
          <w:rFonts w:cs="Arial"/>
          <w:szCs w:val="20"/>
        </w:rPr>
      </w:pPr>
    </w:p>
    <w:p w:rsidR="00AA4630" w:rsidRDefault="00AA4630" w:rsidP="00AA4630">
      <w:r>
        <w:t>Nejvyšší mužská nadúmrtnost byla v roce 2016 zaznamenaná u vnějších příčin nemocnosti a úmrtnosti v případě Karlovarského (4,09x vyšší hodnota standardizované míry úmrtnosti) a Zlínského kraje (3,29x). Naopak nejmenší rozdíly byly u nemocí</w:t>
      </w:r>
      <w:r w:rsidRPr="008366E2">
        <w:t xml:space="preserve"> endokrinní</w:t>
      </w:r>
      <w:r>
        <w:t>ch</w:t>
      </w:r>
      <w:r w:rsidRPr="008366E2">
        <w:t>, výživy a přeměny látek</w:t>
      </w:r>
      <w:r>
        <w:t xml:space="preserve"> v Libereckém (1,02x) a Královéhradeckém kraji (1,05x).</w:t>
      </w:r>
    </w:p>
    <w:sectPr w:rsidR="00AA4630" w:rsidSect="003B2DF4">
      <w:headerReference w:type="even" r:id="rId11"/>
      <w:headerReference w:type="default" r:id="rId12"/>
      <w:footerReference w:type="even" r:id="rId13"/>
      <w:footerReference w:type="default" r:id="rId14"/>
      <w:pgSz w:w="11906" w:h="16838" w:code="9"/>
      <w:pgMar w:top="1134" w:right="1134" w:bottom="1418" w:left="1134" w:header="680" w:footer="680"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0E" w:rsidRDefault="006F400E" w:rsidP="00E71A58">
      <w:r>
        <w:separator/>
      </w:r>
    </w:p>
  </w:endnote>
  <w:endnote w:type="continuationSeparator" w:id="0">
    <w:p w:rsidR="006F400E" w:rsidRDefault="006F400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DB" w:rsidRPr="00932443" w:rsidRDefault="005926DB" w:rsidP="00A418BC">
    <w:pPr>
      <w:pStyle w:val="Zpat"/>
      <w:rPr>
        <w:szCs w:val="16"/>
      </w:rPr>
    </w:pPr>
    <w:r>
      <w:rPr>
        <w:szCs w:val="16"/>
        <w:lang w:eastAsia="cs-CZ"/>
      </w:rPr>
      <w:drawing>
        <wp:anchor distT="0" distB="0" distL="114300" distR="114300" simplePos="0" relativeHeight="251658240" behindDoc="0" locked="0" layoutInCell="1" allowOverlap="1" wp14:anchorId="50E5F57E" wp14:editId="2107BEDD">
          <wp:simplePos x="0" y="0"/>
          <wp:positionH relativeFrom="column">
            <wp:align>right</wp:align>
          </wp:positionH>
          <wp:positionV relativeFrom="paragraph">
            <wp:posOffset>-64770</wp:posOffset>
          </wp:positionV>
          <wp:extent cx="428625" cy="201295"/>
          <wp:effectExtent l="0" t="0" r="3175" b="1905"/>
          <wp:wrapNone/>
          <wp:docPr id="1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3B2DF4">
      <w:rPr>
        <w:szCs w:val="16"/>
      </w:rPr>
      <w:t>22</w:t>
    </w:r>
    <w:r w:rsidRPr="00932443">
      <w:rPr>
        <w:szCs w:val="16"/>
      </w:rPr>
      <w:fldChar w:fldCharType="end"/>
    </w:r>
    <w:r w:rsidRPr="00932443">
      <w:rPr>
        <w:szCs w:val="16"/>
      </w:rPr>
      <w:tab/>
    </w:r>
    <w:r>
      <w:rPr>
        <w:rStyle w:val="ZpatChar"/>
        <w:szCs w:val="16"/>
      </w:rPr>
      <w:t>2006–2016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DB" w:rsidRPr="00932443" w:rsidRDefault="005926DB" w:rsidP="00A418BC">
    <w:pPr>
      <w:pStyle w:val="Zpat"/>
      <w:rPr>
        <w:szCs w:val="16"/>
      </w:rPr>
    </w:pPr>
    <w:r>
      <w:rPr>
        <w:szCs w:val="16"/>
        <w:lang w:eastAsia="cs-CZ"/>
      </w:rPr>
      <w:drawing>
        <wp:anchor distT="0" distB="0" distL="114300" distR="114300" simplePos="0" relativeHeight="251657216" behindDoc="0" locked="0" layoutInCell="1" allowOverlap="1" wp14:anchorId="4131EF37" wp14:editId="33B2DD09">
          <wp:simplePos x="0" y="0"/>
          <wp:positionH relativeFrom="column">
            <wp:align>left</wp:align>
          </wp:positionH>
          <wp:positionV relativeFrom="paragraph">
            <wp:posOffset>-122555</wp:posOffset>
          </wp:positionV>
          <wp:extent cx="510540" cy="272415"/>
          <wp:effectExtent l="0" t="0" r="0" b="6985"/>
          <wp:wrapNone/>
          <wp:docPr id="1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2006–2016</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B2DF4">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0E" w:rsidRDefault="006F400E" w:rsidP="00E71A58">
      <w:r>
        <w:separator/>
      </w:r>
    </w:p>
  </w:footnote>
  <w:footnote w:type="continuationSeparator" w:id="0">
    <w:p w:rsidR="006F400E" w:rsidRDefault="006F400E"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DB" w:rsidRPr="007A54FF" w:rsidRDefault="005926DB" w:rsidP="007A54FF">
    <w:pPr>
      <w:pStyle w:val="Zhlav"/>
    </w:pPr>
    <w:r>
      <w:t>Vývoj úmrtnosti v České republice 2006–2016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DB" w:rsidRPr="006F5416" w:rsidRDefault="005926DB" w:rsidP="00937AE2">
    <w:pPr>
      <w:pStyle w:val="Zhlav"/>
    </w:pPr>
    <w:r>
      <w:t>Vývoj úmrtnosti v České republice 2006–2016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D0"/>
    <w:rsid w:val="00001AEF"/>
    <w:rsid w:val="0000209D"/>
    <w:rsid w:val="000023DC"/>
    <w:rsid w:val="000035CB"/>
    <w:rsid w:val="00004D5A"/>
    <w:rsid w:val="000056D5"/>
    <w:rsid w:val="00005DDC"/>
    <w:rsid w:val="0000767A"/>
    <w:rsid w:val="00010702"/>
    <w:rsid w:val="00010DD8"/>
    <w:rsid w:val="000119F9"/>
    <w:rsid w:val="0001365E"/>
    <w:rsid w:val="000153A0"/>
    <w:rsid w:val="00016992"/>
    <w:rsid w:val="00017347"/>
    <w:rsid w:val="00021BA9"/>
    <w:rsid w:val="000234D6"/>
    <w:rsid w:val="00023D29"/>
    <w:rsid w:val="00026389"/>
    <w:rsid w:val="00027325"/>
    <w:rsid w:val="00030D3C"/>
    <w:rsid w:val="0003153B"/>
    <w:rsid w:val="00031AE0"/>
    <w:rsid w:val="000322EF"/>
    <w:rsid w:val="00033FCD"/>
    <w:rsid w:val="00035FEE"/>
    <w:rsid w:val="00036A91"/>
    <w:rsid w:val="000402D0"/>
    <w:rsid w:val="000402D2"/>
    <w:rsid w:val="000419F3"/>
    <w:rsid w:val="00041CEC"/>
    <w:rsid w:val="00043274"/>
    <w:rsid w:val="00045131"/>
    <w:rsid w:val="0004694F"/>
    <w:rsid w:val="000469B3"/>
    <w:rsid w:val="000473E5"/>
    <w:rsid w:val="00050751"/>
    <w:rsid w:val="00050A0A"/>
    <w:rsid w:val="000522E4"/>
    <w:rsid w:val="0005470D"/>
    <w:rsid w:val="00054A4E"/>
    <w:rsid w:val="00054F7C"/>
    <w:rsid w:val="00057D39"/>
    <w:rsid w:val="000610E1"/>
    <w:rsid w:val="00062176"/>
    <w:rsid w:val="00062907"/>
    <w:rsid w:val="00062EC5"/>
    <w:rsid w:val="00062F22"/>
    <w:rsid w:val="00064369"/>
    <w:rsid w:val="00067A09"/>
    <w:rsid w:val="0007121D"/>
    <w:rsid w:val="000712B3"/>
    <w:rsid w:val="000745E7"/>
    <w:rsid w:val="00077EC8"/>
    <w:rsid w:val="00080569"/>
    <w:rsid w:val="0008263E"/>
    <w:rsid w:val="00082C19"/>
    <w:rsid w:val="00083E73"/>
    <w:rsid w:val="00085395"/>
    <w:rsid w:val="00086604"/>
    <w:rsid w:val="00087634"/>
    <w:rsid w:val="00087F2B"/>
    <w:rsid w:val="000933B5"/>
    <w:rsid w:val="000974D1"/>
    <w:rsid w:val="0009799E"/>
    <w:rsid w:val="000A1183"/>
    <w:rsid w:val="000A16E1"/>
    <w:rsid w:val="000A256D"/>
    <w:rsid w:val="000A3A2C"/>
    <w:rsid w:val="000A41DC"/>
    <w:rsid w:val="000A53C4"/>
    <w:rsid w:val="000B0BB6"/>
    <w:rsid w:val="000B11A5"/>
    <w:rsid w:val="000B30FA"/>
    <w:rsid w:val="000B40F1"/>
    <w:rsid w:val="000B4E56"/>
    <w:rsid w:val="000B6C64"/>
    <w:rsid w:val="000B7A13"/>
    <w:rsid w:val="000C029F"/>
    <w:rsid w:val="000C0C6D"/>
    <w:rsid w:val="000C2060"/>
    <w:rsid w:val="000C3408"/>
    <w:rsid w:val="000C5535"/>
    <w:rsid w:val="000C58C7"/>
    <w:rsid w:val="000C5FFA"/>
    <w:rsid w:val="000C6AFD"/>
    <w:rsid w:val="000C7EDF"/>
    <w:rsid w:val="000D06FE"/>
    <w:rsid w:val="000D182C"/>
    <w:rsid w:val="000D5637"/>
    <w:rsid w:val="000D583A"/>
    <w:rsid w:val="000D6EB5"/>
    <w:rsid w:val="000D6FD3"/>
    <w:rsid w:val="000D7F83"/>
    <w:rsid w:val="000E1193"/>
    <w:rsid w:val="000E156B"/>
    <w:rsid w:val="000E1B49"/>
    <w:rsid w:val="000E1BDD"/>
    <w:rsid w:val="000E269A"/>
    <w:rsid w:val="000E5D21"/>
    <w:rsid w:val="000E6FBD"/>
    <w:rsid w:val="000F02F0"/>
    <w:rsid w:val="000F2EC6"/>
    <w:rsid w:val="000F2F65"/>
    <w:rsid w:val="000F4337"/>
    <w:rsid w:val="000F5EE7"/>
    <w:rsid w:val="000F6824"/>
    <w:rsid w:val="000F706B"/>
    <w:rsid w:val="000F797F"/>
    <w:rsid w:val="00100F5C"/>
    <w:rsid w:val="00102DFC"/>
    <w:rsid w:val="0010437D"/>
    <w:rsid w:val="00104C4C"/>
    <w:rsid w:val="00107089"/>
    <w:rsid w:val="00111FCC"/>
    <w:rsid w:val="00113522"/>
    <w:rsid w:val="001167E0"/>
    <w:rsid w:val="00117400"/>
    <w:rsid w:val="001179DA"/>
    <w:rsid w:val="0012103B"/>
    <w:rsid w:val="001211CE"/>
    <w:rsid w:val="0012192F"/>
    <w:rsid w:val="00122C48"/>
    <w:rsid w:val="00123381"/>
    <w:rsid w:val="00124BA1"/>
    <w:rsid w:val="001258DC"/>
    <w:rsid w:val="00125D69"/>
    <w:rsid w:val="00131836"/>
    <w:rsid w:val="00133A83"/>
    <w:rsid w:val="001405FA"/>
    <w:rsid w:val="001425C3"/>
    <w:rsid w:val="00142701"/>
    <w:rsid w:val="00145EA6"/>
    <w:rsid w:val="001462B0"/>
    <w:rsid w:val="001514A8"/>
    <w:rsid w:val="00152B67"/>
    <w:rsid w:val="001566B6"/>
    <w:rsid w:val="0016134C"/>
    <w:rsid w:val="0016256B"/>
    <w:rsid w:val="0016352B"/>
    <w:rsid w:val="00163793"/>
    <w:rsid w:val="001670D2"/>
    <w:rsid w:val="001678EC"/>
    <w:rsid w:val="00167F47"/>
    <w:rsid w:val="001706D6"/>
    <w:rsid w:val="00170831"/>
    <w:rsid w:val="001714F2"/>
    <w:rsid w:val="00172D31"/>
    <w:rsid w:val="00175F52"/>
    <w:rsid w:val="001779CE"/>
    <w:rsid w:val="001811DD"/>
    <w:rsid w:val="00182959"/>
    <w:rsid w:val="0018474A"/>
    <w:rsid w:val="00184B08"/>
    <w:rsid w:val="00185010"/>
    <w:rsid w:val="00185614"/>
    <w:rsid w:val="00185DE9"/>
    <w:rsid w:val="00187AD0"/>
    <w:rsid w:val="0019067C"/>
    <w:rsid w:val="001A04FC"/>
    <w:rsid w:val="001A552F"/>
    <w:rsid w:val="001A65C0"/>
    <w:rsid w:val="001A7029"/>
    <w:rsid w:val="001A7117"/>
    <w:rsid w:val="001B20A4"/>
    <w:rsid w:val="001B2CA9"/>
    <w:rsid w:val="001B2FD9"/>
    <w:rsid w:val="001B3110"/>
    <w:rsid w:val="001B3BD9"/>
    <w:rsid w:val="001B4729"/>
    <w:rsid w:val="001B6C09"/>
    <w:rsid w:val="001B72EF"/>
    <w:rsid w:val="001C05CD"/>
    <w:rsid w:val="001C07E8"/>
    <w:rsid w:val="001C6049"/>
    <w:rsid w:val="001C63DE"/>
    <w:rsid w:val="001C7409"/>
    <w:rsid w:val="001D0FEE"/>
    <w:rsid w:val="001D5D5C"/>
    <w:rsid w:val="001D6209"/>
    <w:rsid w:val="001D62EB"/>
    <w:rsid w:val="001D68B2"/>
    <w:rsid w:val="001D7A0D"/>
    <w:rsid w:val="001D7DA1"/>
    <w:rsid w:val="001E0717"/>
    <w:rsid w:val="001E0A38"/>
    <w:rsid w:val="001E1DD5"/>
    <w:rsid w:val="001E238C"/>
    <w:rsid w:val="001E4123"/>
    <w:rsid w:val="001E544C"/>
    <w:rsid w:val="001E5820"/>
    <w:rsid w:val="001E71E0"/>
    <w:rsid w:val="001E7E74"/>
    <w:rsid w:val="001F2346"/>
    <w:rsid w:val="001F4597"/>
    <w:rsid w:val="001F461A"/>
    <w:rsid w:val="00201642"/>
    <w:rsid w:val="00203BB2"/>
    <w:rsid w:val="00203F13"/>
    <w:rsid w:val="002118B9"/>
    <w:rsid w:val="00214045"/>
    <w:rsid w:val="002174E0"/>
    <w:rsid w:val="00217C5B"/>
    <w:rsid w:val="00220391"/>
    <w:rsid w:val="00220CAE"/>
    <w:rsid w:val="0022139E"/>
    <w:rsid w:val="0022195A"/>
    <w:rsid w:val="0022486F"/>
    <w:rsid w:val="002252E0"/>
    <w:rsid w:val="002255F6"/>
    <w:rsid w:val="00227850"/>
    <w:rsid w:val="00227A53"/>
    <w:rsid w:val="00230C6E"/>
    <w:rsid w:val="002332AC"/>
    <w:rsid w:val="00236443"/>
    <w:rsid w:val="00237BEB"/>
    <w:rsid w:val="002419A4"/>
    <w:rsid w:val="002436BA"/>
    <w:rsid w:val="0024443E"/>
    <w:rsid w:val="00244A15"/>
    <w:rsid w:val="00245AD7"/>
    <w:rsid w:val="00247319"/>
    <w:rsid w:val="00247859"/>
    <w:rsid w:val="0024799E"/>
    <w:rsid w:val="00250AB6"/>
    <w:rsid w:val="00250F55"/>
    <w:rsid w:val="002518A4"/>
    <w:rsid w:val="00252106"/>
    <w:rsid w:val="00252B6C"/>
    <w:rsid w:val="00253C0F"/>
    <w:rsid w:val="002571C4"/>
    <w:rsid w:val="00257684"/>
    <w:rsid w:val="0026019F"/>
    <w:rsid w:val="0026130C"/>
    <w:rsid w:val="0026666A"/>
    <w:rsid w:val="002667E3"/>
    <w:rsid w:val="00270419"/>
    <w:rsid w:val="00270E3A"/>
    <w:rsid w:val="00271465"/>
    <w:rsid w:val="0027207C"/>
    <w:rsid w:val="002760AB"/>
    <w:rsid w:val="00276FDC"/>
    <w:rsid w:val="00283B35"/>
    <w:rsid w:val="00284DE4"/>
    <w:rsid w:val="00285412"/>
    <w:rsid w:val="00290E11"/>
    <w:rsid w:val="002930BF"/>
    <w:rsid w:val="00293B0F"/>
    <w:rsid w:val="00293ECA"/>
    <w:rsid w:val="0029467D"/>
    <w:rsid w:val="002974FF"/>
    <w:rsid w:val="00297F1B"/>
    <w:rsid w:val="002A00BE"/>
    <w:rsid w:val="002A091C"/>
    <w:rsid w:val="002A09CF"/>
    <w:rsid w:val="002A16D4"/>
    <w:rsid w:val="002A1822"/>
    <w:rsid w:val="002A230C"/>
    <w:rsid w:val="002A2421"/>
    <w:rsid w:val="002A393C"/>
    <w:rsid w:val="002A3994"/>
    <w:rsid w:val="002A5EE7"/>
    <w:rsid w:val="002B0C83"/>
    <w:rsid w:val="002B1658"/>
    <w:rsid w:val="002C034B"/>
    <w:rsid w:val="002C1249"/>
    <w:rsid w:val="002C1D2A"/>
    <w:rsid w:val="002C43BD"/>
    <w:rsid w:val="002C6E3A"/>
    <w:rsid w:val="002C774A"/>
    <w:rsid w:val="002C7B4E"/>
    <w:rsid w:val="002D0E59"/>
    <w:rsid w:val="002D10D2"/>
    <w:rsid w:val="002D1C35"/>
    <w:rsid w:val="002D79AD"/>
    <w:rsid w:val="002E02A1"/>
    <w:rsid w:val="002E4E4C"/>
    <w:rsid w:val="002E5641"/>
    <w:rsid w:val="002E60EE"/>
    <w:rsid w:val="002E6A2F"/>
    <w:rsid w:val="002F26F5"/>
    <w:rsid w:val="002F2803"/>
    <w:rsid w:val="002F37F1"/>
    <w:rsid w:val="00304771"/>
    <w:rsid w:val="003052D4"/>
    <w:rsid w:val="00306C5B"/>
    <w:rsid w:val="00312241"/>
    <w:rsid w:val="00312FD4"/>
    <w:rsid w:val="00313C82"/>
    <w:rsid w:val="0032013E"/>
    <w:rsid w:val="003209D6"/>
    <w:rsid w:val="003213EC"/>
    <w:rsid w:val="00321924"/>
    <w:rsid w:val="00321C7E"/>
    <w:rsid w:val="003254E4"/>
    <w:rsid w:val="00325CB0"/>
    <w:rsid w:val="0032656E"/>
    <w:rsid w:val="00326B49"/>
    <w:rsid w:val="00327911"/>
    <w:rsid w:val="00327D45"/>
    <w:rsid w:val="003319A7"/>
    <w:rsid w:val="00332190"/>
    <w:rsid w:val="0033235D"/>
    <w:rsid w:val="00334BA2"/>
    <w:rsid w:val="003400E3"/>
    <w:rsid w:val="0034015C"/>
    <w:rsid w:val="0034021F"/>
    <w:rsid w:val="003415A9"/>
    <w:rsid w:val="00343544"/>
    <w:rsid w:val="00344668"/>
    <w:rsid w:val="003462D9"/>
    <w:rsid w:val="00350712"/>
    <w:rsid w:val="0035145A"/>
    <w:rsid w:val="00351FD4"/>
    <w:rsid w:val="00352D1C"/>
    <w:rsid w:val="00354632"/>
    <w:rsid w:val="00356BA0"/>
    <w:rsid w:val="00360C86"/>
    <w:rsid w:val="0036174E"/>
    <w:rsid w:val="00362295"/>
    <w:rsid w:val="00364E9E"/>
    <w:rsid w:val="003657F3"/>
    <w:rsid w:val="00366058"/>
    <w:rsid w:val="00367E8A"/>
    <w:rsid w:val="003712DF"/>
    <w:rsid w:val="003719F6"/>
    <w:rsid w:val="003730B7"/>
    <w:rsid w:val="00375E9F"/>
    <w:rsid w:val="0037676E"/>
    <w:rsid w:val="003809CC"/>
    <w:rsid w:val="003811FB"/>
    <w:rsid w:val="003818DC"/>
    <w:rsid w:val="00382770"/>
    <w:rsid w:val="003837AC"/>
    <w:rsid w:val="00383DA1"/>
    <w:rsid w:val="00384327"/>
    <w:rsid w:val="00385D98"/>
    <w:rsid w:val="00386284"/>
    <w:rsid w:val="0039267A"/>
    <w:rsid w:val="00394E37"/>
    <w:rsid w:val="003969F2"/>
    <w:rsid w:val="003A1179"/>
    <w:rsid w:val="003A199F"/>
    <w:rsid w:val="003A2B4D"/>
    <w:rsid w:val="003A3182"/>
    <w:rsid w:val="003A3A22"/>
    <w:rsid w:val="003A44A7"/>
    <w:rsid w:val="003A478C"/>
    <w:rsid w:val="003A5525"/>
    <w:rsid w:val="003A6B38"/>
    <w:rsid w:val="003B2DF4"/>
    <w:rsid w:val="003B4C02"/>
    <w:rsid w:val="003B5A32"/>
    <w:rsid w:val="003C24A4"/>
    <w:rsid w:val="003C3390"/>
    <w:rsid w:val="003C3490"/>
    <w:rsid w:val="003C3B69"/>
    <w:rsid w:val="003C592E"/>
    <w:rsid w:val="003C59EE"/>
    <w:rsid w:val="003C7966"/>
    <w:rsid w:val="003C7F25"/>
    <w:rsid w:val="003D09AA"/>
    <w:rsid w:val="003D3708"/>
    <w:rsid w:val="003D6920"/>
    <w:rsid w:val="003D699F"/>
    <w:rsid w:val="003D7B16"/>
    <w:rsid w:val="003E02BA"/>
    <w:rsid w:val="003E0E3A"/>
    <w:rsid w:val="003E3B90"/>
    <w:rsid w:val="003E4C91"/>
    <w:rsid w:val="003E7B37"/>
    <w:rsid w:val="003F313C"/>
    <w:rsid w:val="003F4B2C"/>
    <w:rsid w:val="003F551C"/>
    <w:rsid w:val="003F7445"/>
    <w:rsid w:val="003F7D23"/>
    <w:rsid w:val="00402C39"/>
    <w:rsid w:val="004031AC"/>
    <w:rsid w:val="0040463D"/>
    <w:rsid w:val="00405EBE"/>
    <w:rsid w:val="00406F16"/>
    <w:rsid w:val="00407C13"/>
    <w:rsid w:val="00410638"/>
    <w:rsid w:val="0041108E"/>
    <w:rsid w:val="0041187E"/>
    <w:rsid w:val="004168A2"/>
    <w:rsid w:val="00416CCB"/>
    <w:rsid w:val="00420B40"/>
    <w:rsid w:val="0043110C"/>
    <w:rsid w:val="00432A58"/>
    <w:rsid w:val="004333FA"/>
    <w:rsid w:val="00434617"/>
    <w:rsid w:val="00440535"/>
    <w:rsid w:val="00440900"/>
    <w:rsid w:val="00442727"/>
    <w:rsid w:val="004441A0"/>
    <w:rsid w:val="00445923"/>
    <w:rsid w:val="0044729A"/>
    <w:rsid w:val="004531E0"/>
    <w:rsid w:val="0045498A"/>
    <w:rsid w:val="0045617F"/>
    <w:rsid w:val="00460FB3"/>
    <w:rsid w:val="004633E1"/>
    <w:rsid w:val="004662BB"/>
    <w:rsid w:val="004703BD"/>
    <w:rsid w:val="00476240"/>
    <w:rsid w:val="00476439"/>
    <w:rsid w:val="0047735C"/>
    <w:rsid w:val="004776BC"/>
    <w:rsid w:val="0048139F"/>
    <w:rsid w:val="0048162D"/>
    <w:rsid w:val="00481E40"/>
    <w:rsid w:val="00483994"/>
    <w:rsid w:val="00484ECE"/>
    <w:rsid w:val="00485AF7"/>
    <w:rsid w:val="00486AF0"/>
    <w:rsid w:val="004900FF"/>
    <w:rsid w:val="004915CB"/>
    <w:rsid w:val="004924DC"/>
    <w:rsid w:val="00492CA7"/>
    <w:rsid w:val="00495B68"/>
    <w:rsid w:val="004A021E"/>
    <w:rsid w:val="004A0DF8"/>
    <w:rsid w:val="004A14E4"/>
    <w:rsid w:val="004A2A54"/>
    <w:rsid w:val="004A3212"/>
    <w:rsid w:val="004A4D1F"/>
    <w:rsid w:val="004A61C5"/>
    <w:rsid w:val="004A6347"/>
    <w:rsid w:val="004A77DF"/>
    <w:rsid w:val="004B05B7"/>
    <w:rsid w:val="004B0A4B"/>
    <w:rsid w:val="004B1417"/>
    <w:rsid w:val="004B15A2"/>
    <w:rsid w:val="004B2DAB"/>
    <w:rsid w:val="004B3334"/>
    <w:rsid w:val="004B55B7"/>
    <w:rsid w:val="004B5D6E"/>
    <w:rsid w:val="004B5E29"/>
    <w:rsid w:val="004B6468"/>
    <w:rsid w:val="004C1E70"/>
    <w:rsid w:val="004C384C"/>
    <w:rsid w:val="004C3867"/>
    <w:rsid w:val="004C3968"/>
    <w:rsid w:val="004C4CD0"/>
    <w:rsid w:val="004C514B"/>
    <w:rsid w:val="004C70DC"/>
    <w:rsid w:val="004C714D"/>
    <w:rsid w:val="004C78A6"/>
    <w:rsid w:val="004D0211"/>
    <w:rsid w:val="004D0794"/>
    <w:rsid w:val="004D4523"/>
    <w:rsid w:val="004D6C61"/>
    <w:rsid w:val="004D71F8"/>
    <w:rsid w:val="004D7AC6"/>
    <w:rsid w:val="004E2DE3"/>
    <w:rsid w:val="004E46CF"/>
    <w:rsid w:val="004E4A71"/>
    <w:rsid w:val="004E68A9"/>
    <w:rsid w:val="004F06F5"/>
    <w:rsid w:val="004F33A0"/>
    <w:rsid w:val="004F4D3E"/>
    <w:rsid w:val="004F526C"/>
    <w:rsid w:val="004F6BEF"/>
    <w:rsid w:val="00500A8A"/>
    <w:rsid w:val="00500E0E"/>
    <w:rsid w:val="005015F6"/>
    <w:rsid w:val="00505225"/>
    <w:rsid w:val="00505A03"/>
    <w:rsid w:val="00506052"/>
    <w:rsid w:val="00507DEE"/>
    <w:rsid w:val="005108C0"/>
    <w:rsid w:val="00511873"/>
    <w:rsid w:val="00511C34"/>
    <w:rsid w:val="005125B8"/>
    <w:rsid w:val="00512A2F"/>
    <w:rsid w:val="00513B7E"/>
    <w:rsid w:val="00515C74"/>
    <w:rsid w:val="00515CC3"/>
    <w:rsid w:val="005167DE"/>
    <w:rsid w:val="0052007E"/>
    <w:rsid w:val="005219C5"/>
    <w:rsid w:val="0052337A"/>
    <w:rsid w:val="00524E7C"/>
    <w:rsid w:val="00525137"/>
    <w:rsid w:val="005251DD"/>
    <w:rsid w:val="00530875"/>
    <w:rsid w:val="00530A00"/>
    <w:rsid w:val="00532280"/>
    <w:rsid w:val="00532371"/>
    <w:rsid w:val="00532CE7"/>
    <w:rsid w:val="0053324C"/>
    <w:rsid w:val="00534A28"/>
    <w:rsid w:val="00537A98"/>
    <w:rsid w:val="00540478"/>
    <w:rsid w:val="00541508"/>
    <w:rsid w:val="00545C4C"/>
    <w:rsid w:val="00551ECE"/>
    <w:rsid w:val="00553864"/>
    <w:rsid w:val="00554CEE"/>
    <w:rsid w:val="0055599F"/>
    <w:rsid w:val="00556D68"/>
    <w:rsid w:val="0056308C"/>
    <w:rsid w:val="005647BF"/>
    <w:rsid w:val="00566A8E"/>
    <w:rsid w:val="00566B9A"/>
    <w:rsid w:val="0056726D"/>
    <w:rsid w:val="005712C3"/>
    <w:rsid w:val="005726CA"/>
    <w:rsid w:val="005728E1"/>
    <w:rsid w:val="0057364B"/>
    <w:rsid w:val="00574773"/>
    <w:rsid w:val="00577EFA"/>
    <w:rsid w:val="005827EA"/>
    <w:rsid w:val="00583FFD"/>
    <w:rsid w:val="00584E79"/>
    <w:rsid w:val="00585C80"/>
    <w:rsid w:val="00585F09"/>
    <w:rsid w:val="00590F4F"/>
    <w:rsid w:val="005911BE"/>
    <w:rsid w:val="005926DB"/>
    <w:rsid w:val="00593152"/>
    <w:rsid w:val="005932CF"/>
    <w:rsid w:val="00594124"/>
    <w:rsid w:val="00594A48"/>
    <w:rsid w:val="005A10F2"/>
    <w:rsid w:val="005A2091"/>
    <w:rsid w:val="005A21E0"/>
    <w:rsid w:val="005A269D"/>
    <w:rsid w:val="005A28FF"/>
    <w:rsid w:val="005A3C74"/>
    <w:rsid w:val="005A3DF8"/>
    <w:rsid w:val="005A5549"/>
    <w:rsid w:val="005B040B"/>
    <w:rsid w:val="005B121D"/>
    <w:rsid w:val="005B2D78"/>
    <w:rsid w:val="005B5D92"/>
    <w:rsid w:val="005B7B34"/>
    <w:rsid w:val="005C05F5"/>
    <w:rsid w:val="005C06B9"/>
    <w:rsid w:val="005C06ED"/>
    <w:rsid w:val="005C3100"/>
    <w:rsid w:val="005C4919"/>
    <w:rsid w:val="005C75D7"/>
    <w:rsid w:val="005D069F"/>
    <w:rsid w:val="005D176B"/>
    <w:rsid w:val="005D26A0"/>
    <w:rsid w:val="005D5802"/>
    <w:rsid w:val="005D606B"/>
    <w:rsid w:val="005D7890"/>
    <w:rsid w:val="005E0344"/>
    <w:rsid w:val="005E08A9"/>
    <w:rsid w:val="005E3857"/>
    <w:rsid w:val="005E4DA5"/>
    <w:rsid w:val="005E5335"/>
    <w:rsid w:val="005E6C62"/>
    <w:rsid w:val="005E7A5A"/>
    <w:rsid w:val="005E7C78"/>
    <w:rsid w:val="005F062B"/>
    <w:rsid w:val="005F06B5"/>
    <w:rsid w:val="005F3EB1"/>
    <w:rsid w:val="005F3EF0"/>
    <w:rsid w:val="005F4D6C"/>
    <w:rsid w:val="005F5469"/>
    <w:rsid w:val="005F6395"/>
    <w:rsid w:val="00601252"/>
    <w:rsid w:val="00604307"/>
    <w:rsid w:val="0060487F"/>
    <w:rsid w:val="00604A2A"/>
    <w:rsid w:val="00604EAD"/>
    <w:rsid w:val="006053AA"/>
    <w:rsid w:val="00606566"/>
    <w:rsid w:val="0060771A"/>
    <w:rsid w:val="00610236"/>
    <w:rsid w:val="006104FB"/>
    <w:rsid w:val="00610799"/>
    <w:rsid w:val="00610BDC"/>
    <w:rsid w:val="00611FF8"/>
    <w:rsid w:val="00612A2F"/>
    <w:rsid w:val="00614990"/>
    <w:rsid w:val="006167B8"/>
    <w:rsid w:val="00616E05"/>
    <w:rsid w:val="006234A1"/>
    <w:rsid w:val="00624093"/>
    <w:rsid w:val="00624621"/>
    <w:rsid w:val="0062641F"/>
    <w:rsid w:val="006268DB"/>
    <w:rsid w:val="0063164C"/>
    <w:rsid w:val="00632ED0"/>
    <w:rsid w:val="00633FC5"/>
    <w:rsid w:val="00634060"/>
    <w:rsid w:val="0063504A"/>
    <w:rsid w:val="00635B85"/>
    <w:rsid w:val="006364D7"/>
    <w:rsid w:val="0063677B"/>
    <w:rsid w:val="006404A7"/>
    <w:rsid w:val="006407C4"/>
    <w:rsid w:val="0064336E"/>
    <w:rsid w:val="00643DF7"/>
    <w:rsid w:val="006451E4"/>
    <w:rsid w:val="0064527C"/>
    <w:rsid w:val="006454B0"/>
    <w:rsid w:val="00645B33"/>
    <w:rsid w:val="00646F09"/>
    <w:rsid w:val="006516CB"/>
    <w:rsid w:val="00651DA4"/>
    <w:rsid w:val="00652B1A"/>
    <w:rsid w:val="0065312D"/>
    <w:rsid w:val="00654CDD"/>
    <w:rsid w:val="00654FD7"/>
    <w:rsid w:val="006553A9"/>
    <w:rsid w:val="00655AD6"/>
    <w:rsid w:val="006570DB"/>
    <w:rsid w:val="00657E87"/>
    <w:rsid w:val="00661F18"/>
    <w:rsid w:val="00664803"/>
    <w:rsid w:val="00664A70"/>
    <w:rsid w:val="006658C3"/>
    <w:rsid w:val="00665BA4"/>
    <w:rsid w:val="006666EE"/>
    <w:rsid w:val="006673EA"/>
    <w:rsid w:val="00667AF2"/>
    <w:rsid w:val="00670F9F"/>
    <w:rsid w:val="006710C9"/>
    <w:rsid w:val="00672B6F"/>
    <w:rsid w:val="00674B82"/>
    <w:rsid w:val="00674D89"/>
    <w:rsid w:val="00675E37"/>
    <w:rsid w:val="00677BF0"/>
    <w:rsid w:val="006807E2"/>
    <w:rsid w:val="0068174E"/>
    <w:rsid w:val="00681DCE"/>
    <w:rsid w:val="0068260E"/>
    <w:rsid w:val="00684182"/>
    <w:rsid w:val="006860B7"/>
    <w:rsid w:val="006923C8"/>
    <w:rsid w:val="00692BD9"/>
    <w:rsid w:val="0069379F"/>
    <w:rsid w:val="00695BEF"/>
    <w:rsid w:val="00695F6F"/>
    <w:rsid w:val="006977F6"/>
    <w:rsid w:val="00697A13"/>
    <w:rsid w:val="006A109C"/>
    <w:rsid w:val="006A34A6"/>
    <w:rsid w:val="006A3A94"/>
    <w:rsid w:val="006A3B27"/>
    <w:rsid w:val="006A3C5F"/>
    <w:rsid w:val="006A5C9F"/>
    <w:rsid w:val="006A6CAF"/>
    <w:rsid w:val="006A6E68"/>
    <w:rsid w:val="006B344A"/>
    <w:rsid w:val="006B3E2B"/>
    <w:rsid w:val="006B3F74"/>
    <w:rsid w:val="006B4638"/>
    <w:rsid w:val="006B5824"/>
    <w:rsid w:val="006B5E3E"/>
    <w:rsid w:val="006B62C7"/>
    <w:rsid w:val="006B6814"/>
    <w:rsid w:val="006B7191"/>
    <w:rsid w:val="006B76D8"/>
    <w:rsid w:val="006B78D8"/>
    <w:rsid w:val="006C0FD2"/>
    <w:rsid w:val="006C113F"/>
    <w:rsid w:val="006C123E"/>
    <w:rsid w:val="006C4EB1"/>
    <w:rsid w:val="006C56D4"/>
    <w:rsid w:val="006C6924"/>
    <w:rsid w:val="006C7CA6"/>
    <w:rsid w:val="006D13B3"/>
    <w:rsid w:val="006D239F"/>
    <w:rsid w:val="006D3E8A"/>
    <w:rsid w:val="006D61F6"/>
    <w:rsid w:val="006D62A4"/>
    <w:rsid w:val="006D6949"/>
    <w:rsid w:val="006D7729"/>
    <w:rsid w:val="006D7BE4"/>
    <w:rsid w:val="006E0015"/>
    <w:rsid w:val="006E279A"/>
    <w:rsid w:val="006E30E8"/>
    <w:rsid w:val="006E313B"/>
    <w:rsid w:val="006E373D"/>
    <w:rsid w:val="006E3A47"/>
    <w:rsid w:val="006E54D9"/>
    <w:rsid w:val="006F1785"/>
    <w:rsid w:val="006F3AA7"/>
    <w:rsid w:val="006F400E"/>
    <w:rsid w:val="006F4367"/>
    <w:rsid w:val="006F5297"/>
    <w:rsid w:val="006F5416"/>
    <w:rsid w:val="006F552E"/>
    <w:rsid w:val="006F699B"/>
    <w:rsid w:val="006F7137"/>
    <w:rsid w:val="006F77D2"/>
    <w:rsid w:val="006F7905"/>
    <w:rsid w:val="0070026E"/>
    <w:rsid w:val="00700957"/>
    <w:rsid w:val="00701C4D"/>
    <w:rsid w:val="00701C87"/>
    <w:rsid w:val="00706AD4"/>
    <w:rsid w:val="00713F05"/>
    <w:rsid w:val="007140BE"/>
    <w:rsid w:val="007154FE"/>
    <w:rsid w:val="00715E9E"/>
    <w:rsid w:val="00720D36"/>
    <w:rsid w:val="007211F5"/>
    <w:rsid w:val="007222D7"/>
    <w:rsid w:val="00722415"/>
    <w:rsid w:val="00725BB5"/>
    <w:rsid w:val="0073087E"/>
    <w:rsid w:val="00730AE8"/>
    <w:rsid w:val="00731340"/>
    <w:rsid w:val="00731A06"/>
    <w:rsid w:val="00731B32"/>
    <w:rsid w:val="0073395D"/>
    <w:rsid w:val="0073433F"/>
    <w:rsid w:val="00735379"/>
    <w:rsid w:val="00735AB8"/>
    <w:rsid w:val="0074004B"/>
    <w:rsid w:val="007405F4"/>
    <w:rsid w:val="00741493"/>
    <w:rsid w:val="00742447"/>
    <w:rsid w:val="00742BD7"/>
    <w:rsid w:val="007501EE"/>
    <w:rsid w:val="00751E0A"/>
    <w:rsid w:val="00752180"/>
    <w:rsid w:val="00753751"/>
    <w:rsid w:val="00755202"/>
    <w:rsid w:val="00755D3A"/>
    <w:rsid w:val="007578D3"/>
    <w:rsid w:val="007609C6"/>
    <w:rsid w:val="0076175D"/>
    <w:rsid w:val="0076310A"/>
    <w:rsid w:val="007633CC"/>
    <w:rsid w:val="0076521E"/>
    <w:rsid w:val="00765B47"/>
    <w:rsid w:val="00765BA7"/>
    <w:rsid w:val="00765F04"/>
    <w:rsid w:val="007661E9"/>
    <w:rsid w:val="00767B3C"/>
    <w:rsid w:val="00773379"/>
    <w:rsid w:val="00776169"/>
    <w:rsid w:val="00776527"/>
    <w:rsid w:val="00780EF1"/>
    <w:rsid w:val="00781745"/>
    <w:rsid w:val="007841B6"/>
    <w:rsid w:val="007903A3"/>
    <w:rsid w:val="00790764"/>
    <w:rsid w:val="00792EB2"/>
    <w:rsid w:val="00793419"/>
    <w:rsid w:val="007938D3"/>
    <w:rsid w:val="0079453C"/>
    <w:rsid w:val="00794677"/>
    <w:rsid w:val="007956EF"/>
    <w:rsid w:val="007A16C8"/>
    <w:rsid w:val="007A30FB"/>
    <w:rsid w:val="007A34B4"/>
    <w:rsid w:val="007A54FF"/>
    <w:rsid w:val="007B01D8"/>
    <w:rsid w:val="007B2668"/>
    <w:rsid w:val="007B604A"/>
    <w:rsid w:val="007B6689"/>
    <w:rsid w:val="007B733B"/>
    <w:rsid w:val="007B74A0"/>
    <w:rsid w:val="007D1B7E"/>
    <w:rsid w:val="007D3B04"/>
    <w:rsid w:val="007D40DF"/>
    <w:rsid w:val="007D612B"/>
    <w:rsid w:val="007E23ED"/>
    <w:rsid w:val="007E7243"/>
    <w:rsid w:val="007E7E61"/>
    <w:rsid w:val="007F0845"/>
    <w:rsid w:val="007F194B"/>
    <w:rsid w:val="007F4C97"/>
    <w:rsid w:val="007F6A83"/>
    <w:rsid w:val="00800DB2"/>
    <w:rsid w:val="00802B6D"/>
    <w:rsid w:val="00804B19"/>
    <w:rsid w:val="00807654"/>
    <w:rsid w:val="00807C82"/>
    <w:rsid w:val="00812684"/>
    <w:rsid w:val="00813938"/>
    <w:rsid w:val="00815403"/>
    <w:rsid w:val="00816905"/>
    <w:rsid w:val="00817A1B"/>
    <w:rsid w:val="00821884"/>
    <w:rsid w:val="00821FF6"/>
    <w:rsid w:val="00824DB9"/>
    <w:rsid w:val="00825C4D"/>
    <w:rsid w:val="00827100"/>
    <w:rsid w:val="00830044"/>
    <w:rsid w:val="0083143E"/>
    <w:rsid w:val="00831CDE"/>
    <w:rsid w:val="00834304"/>
    <w:rsid w:val="00834F4F"/>
    <w:rsid w:val="00834FAA"/>
    <w:rsid w:val="00836086"/>
    <w:rsid w:val="008366E2"/>
    <w:rsid w:val="00836895"/>
    <w:rsid w:val="0084142F"/>
    <w:rsid w:val="00843064"/>
    <w:rsid w:val="0084708F"/>
    <w:rsid w:val="008477C8"/>
    <w:rsid w:val="0085114D"/>
    <w:rsid w:val="00852217"/>
    <w:rsid w:val="00854339"/>
    <w:rsid w:val="00855408"/>
    <w:rsid w:val="00856D65"/>
    <w:rsid w:val="00860C80"/>
    <w:rsid w:val="00861B41"/>
    <w:rsid w:val="00862220"/>
    <w:rsid w:val="0086313E"/>
    <w:rsid w:val="00863434"/>
    <w:rsid w:val="00864C0B"/>
    <w:rsid w:val="00864F46"/>
    <w:rsid w:val="00865E4C"/>
    <w:rsid w:val="008701E4"/>
    <w:rsid w:val="00871103"/>
    <w:rsid w:val="00873935"/>
    <w:rsid w:val="00875A32"/>
    <w:rsid w:val="00876086"/>
    <w:rsid w:val="008807E3"/>
    <w:rsid w:val="00880A35"/>
    <w:rsid w:val="00882BF5"/>
    <w:rsid w:val="008852CE"/>
    <w:rsid w:val="00885CEB"/>
    <w:rsid w:val="008873D4"/>
    <w:rsid w:val="0088772F"/>
    <w:rsid w:val="00887B74"/>
    <w:rsid w:val="00890D10"/>
    <w:rsid w:val="00892666"/>
    <w:rsid w:val="00893536"/>
    <w:rsid w:val="0089366C"/>
    <w:rsid w:val="00893B21"/>
    <w:rsid w:val="00893E85"/>
    <w:rsid w:val="00894031"/>
    <w:rsid w:val="00894870"/>
    <w:rsid w:val="008A25CE"/>
    <w:rsid w:val="008A2A8C"/>
    <w:rsid w:val="008A5644"/>
    <w:rsid w:val="008A6526"/>
    <w:rsid w:val="008A6EE5"/>
    <w:rsid w:val="008B0A24"/>
    <w:rsid w:val="008B365B"/>
    <w:rsid w:val="008B7C02"/>
    <w:rsid w:val="008B7D2B"/>
    <w:rsid w:val="008C0049"/>
    <w:rsid w:val="008C0E88"/>
    <w:rsid w:val="008C549D"/>
    <w:rsid w:val="008D1E6A"/>
    <w:rsid w:val="008D2A16"/>
    <w:rsid w:val="008D31F0"/>
    <w:rsid w:val="008D3516"/>
    <w:rsid w:val="008D6FD8"/>
    <w:rsid w:val="008E023A"/>
    <w:rsid w:val="008E05FD"/>
    <w:rsid w:val="008E12DF"/>
    <w:rsid w:val="008E2C57"/>
    <w:rsid w:val="008E31FF"/>
    <w:rsid w:val="008E3235"/>
    <w:rsid w:val="008E3CB1"/>
    <w:rsid w:val="008E6F06"/>
    <w:rsid w:val="008E705E"/>
    <w:rsid w:val="008F029B"/>
    <w:rsid w:val="008F3FC9"/>
    <w:rsid w:val="008F47E2"/>
    <w:rsid w:val="008F585B"/>
    <w:rsid w:val="008F6367"/>
    <w:rsid w:val="009003A8"/>
    <w:rsid w:val="00902500"/>
    <w:rsid w:val="00902EFF"/>
    <w:rsid w:val="00904E72"/>
    <w:rsid w:val="00906401"/>
    <w:rsid w:val="009074E8"/>
    <w:rsid w:val="009075C8"/>
    <w:rsid w:val="0091155E"/>
    <w:rsid w:val="00912A92"/>
    <w:rsid w:val="0091466D"/>
    <w:rsid w:val="00916EE4"/>
    <w:rsid w:val="0091728D"/>
    <w:rsid w:val="009174F7"/>
    <w:rsid w:val="0092180B"/>
    <w:rsid w:val="00921F14"/>
    <w:rsid w:val="00923EA3"/>
    <w:rsid w:val="00924AC8"/>
    <w:rsid w:val="0092597A"/>
    <w:rsid w:val="00925C1C"/>
    <w:rsid w:val="0092600D"/>
    <w:rsid w:val="00930BC3"/>
    <w:rsid w:val="00931C19"/>
    <w:rsid w:val="00932443"/>
    <w:rsid w:val="0093382F"/>
    <w:rsid w:val="00937AE2"/>
    <w:rsid w:val="0094189C"/>
    <w:rsid w:val="00941CE5"/>
    <w:rsid w:val="0094280E"/>
    <w:rsid w:val="0094410E"/>
    <w:rsid w:val="0094427A"/>
    <w:rsid w:val="00951581"/>
    <w:rsid w:val="009556DE"/>
    <w:rsid w:val="00960808"/>
    <w:rsid w:val="00963892"/>
    <w:rsid w:val="009645CE"/>
    <w:rsid w:val="0096493A"/>
    <w:rsid w:val="009711BA"/>
    <w:rsid w:val="009733DC"/>
    <w:rsid w:val="00974923"/>
    <w:rsid w:val="00977C97"/>
    <w:rsid w:val="00980D3D"/>
    <w:rsid w:val="0098262F"/>
    <w:rsid w:val="0098750E"/>
    <w:rsid w:val="00987A30"/>
    <w:rsid w:val="009917A8"/>
    <w:rsid w:val="00992CC8"/>
    <w:rsid w:val="00992CF3"/>
    <w:rsid w:val="00994FCD"/>
    <w:rsid w:val="009968D6"/>
    <w:rsid w:val="009974DB"/>
    <w:rsid w:val="009A1CAB"/>
    <w:rsid w:val="009A53E6"/>
    <w:rsid w:val="009A599D"/>
    <w:rsid w:val="009A60D1"/>
    <w:rsid w:val="009A621A"/>
    <w:rsid w:val="009B1533"/>
    <w:rsid w:val="009B4BBB"/>
    <w:rsid w:val="009B6FD3"/>
    <w:rsid w:val="009C0110"/>
    <w:rsid w:val="009C05F0"/>
    <w:rsid w:val="009C0823"/>
    <w:rsid w:val="009C12E0"/>
    <w:rsid w:val="009C146C"/>
    <w:rsid w:val="009C1750"/>
    <w:rsid w:val="009C2E29"/>
    <w:rsid w:val="009C2FCC"/>
    <w:rsid w:val="009C44E8"/>
    <w:rsid w:val="009C4D89"/>
    <w:rsid w:val="009C516F"/>
    <w:rsid w:val="009C554B"/>
    <w:rsid w:val="009C622B"/>
    <w:rsid w:val="009C719E"/>
    <w:rsid w:val="009D27B3"/>
    <w:rsid w:val="009D3ACD"/>
    <w:rsid w:val="009D4DBD"/>
    <w:rsid w:val="009E13D0"/>
    <w:rsid w:val="009E31A6"/>
    <w:rsid w:val="009E48A6"/>
    <w:rsid w:val="009E5273"/>
    <w:rsid w:val="009E5DDB"/>
    <w:rsid w:val="009F30F9"/>
    <w:rsid w:val="009F37AD"/>
    <w:rsid w:val="009F4CA7"/>
    <w:rsid w:val="009F588A"/>
    <w:rsid w:val="009F5C7F"/>
    <w:rsid w:val="009F7847"/>
    <w:rsid w:val="00A004E5"/>
    <w:rsid w:val="00A00CF7"/>
    <w:rsid w:val="00A06181"/>
    <w:rsid w:val="00A10D66"/>
    <w:rsid w:val="00A112A7"/>
    <w:rsid w:val="00A14114"/>
    <w:rsid w:val="00A1585F"/>
    <w:rsid w:val="00A16413"/>
    <w:rsid w:val="00A16C53"/>
    <w:rsid w:val="00A2193F"/>
    <w:rsid w:val="00A23E43"/>
    <w:rsid w:val="00A30E5C"/>
    <w:rsid w:val="00A30F65"/>
    <w:rsid w:val="00A33F18"/>
    <w:rsid w:val="00A3441E"/>
    <w:rsid w:val="00A3710B"/>
    <w:rsid w:val="00A37FEA"/>
    <w:rsid w:val="00A40B86"/>
    <w:rsid w:val="00A414C4"/>
    <w:rsid w:val="00A41848"/>
    <w:rsid w:val="00A418BC"/>
    <w:rsid w:val="00A4294E"/>
    <w:rsid w:val="00A4423A"/>
    <w:rsid w:val="00A44369"/>
    <w:rsid w:val="00A4652F"/>
    <w:rsid w:val="00A46DE0"/>
    <w:rsid w:val="00A50C94"/>
    <w:rsid w:val="00A50D73"/>
    <w:rsid w:val="00A52712"/>
    <w:rsid w:val="00A52CAD"/>
    <w:rsid w:val="00A53FC7"/>
    <w:rsid w:val="00A548CB"/>
    <w:rsid w:val="00A550B2"/>
    <w:rsid w:val="00A55EC9"/>
    <w:rsid w:val="00A561D9"/>
    <w:rsid w:val="00A60720"/>
    <w:rsid w:val="00A61485"/>
    <w:rsid w:val="00A6284F"/>
    <w:rsid w:val="00A62CE1"/>
    <w:rsid w:val="00A6741E"/>
    <w:rsid w:val="00A73293"/>
    <w:rsid w:val="00A75E40"/>
    <w:rsid w:val="00A77D1D"/>
    <w:rsid w:val="00A8020D"/>
    <w:rsid w:val="00A805BF"/>
    <w:rsid w:val="00A839FC"/>
    <w:rsid w:val="00A83A03"/>
    <w:rsid w:val="00A857C0"/>
    <w:rsid w:val="00A861EB"/>
    <w:rsid w:val="00A90356"/>
    <w:rsid w:val="00A93898"/>
    <w:rsid w:val="00A93D98"/>
    <w:rsid w:val="00A950DD"/>
    <w:rsid w:val="00A971C9"/>
    <w:rsid w:val="00AA1911"/>
    <w:rsid w:val="00AA2996"/>
    <w:rsid w:val="00AA3E75"/>
    <w:rsid w:val="00AA4630"/>
    <w:rsid w:val="00AA52BF"/>
    <w:rsid w:val="00AA559A"/>
    <w:rsid w:val="00AA6579"/>
    <w:rsid w:val="00AA693E"/>
    <w:rsid w:val="00AB0A00"/>
    <w:rsid w:val="00AB1F3F"/>
    <w:rsid w:val="00AB2AF1"/>
    <w:rsid w:val="00AB4358"/>
    <w:rsid w:val="00AB51F2"/>
    <w:rsid w:val="00AB62D3"/>
    <w:rsid w:val="00AB7B84"/>
    <w:rsid w:val="00AC0616"/>
    <w:rsid w:val="00AC294B"/>
    <w:rsid w:val="00AC4C86"/>
    <w:rsid w:val="00AD1C15"/>
    <w:rsid w:val="00AD209E"/>
    <w:rsid w:val="00AD306C"/>
    <w:rsid w:val="00AD6DBB"/>
    <w:rsid w:val="00AD768A"/>
    <w:rsid w:val="00AE09B3"/>
    <w:rsid w:val="00AE1A83"/>
    <w:rsid w:val="00AE5B3C"/>
    <w:rsid w:val="00AE7D84"/>
    <w:rsid w:val="00AF0950"/>
    <w:rsid w:val="00AF1DF8"/>
    <w:rsid w:val="00AF39B8"/>
    <w:rsid w:val="00AF6965"/>
    <w:rsid w:val="00AF7A0F"/>
    <w:rsid w:val="00B0058E"/>
    <w:rsid w:val="00B00913"/>
    <w:rsid w:val="00B01593"/>
    <w:rsid w:val="00B01C79"/>
    <w:rsid w:val="00B037DA"/>
    <w:rsid w:val="00B038AF"/>
    <w:rsid w:val="00B052AA"/>
    <w:rsid w:val="00B0562E"/>
    <w:rsid w:val="00B056AD"/>
    <w:rsid w:val="00B108BA"/>
    <w:rsid w:val="00B10A4D"/>
    <w:rsid w:val="00B17E71"/>
    <w:rsid w:val="00B17FDE"/>
    <w:rsid w:val="00B203DF"/>
    <w:rsid w:val="00B20D47"/>
    <w:rsid w:val="00B21F69"/>
    <w:rsid w:val="00B2379C"/>
    <w:rsid w:val="00B2687D"/>
    <w:rsid w:val="00B32DDB"/>
    <w:rsid w:val="00B34272"/>
    <w:rsid w:val="00B34528"/>
    <w:rsid w:val="00B35F0D"/>
    <w:rsid w:val="00B3602C"/>
    <w:rsid w:val="00B362F8"/>
    <w:rsid w:val="00B36DE0"/>
    <w:rsid w:val="00B37B1B"/>
    <w:rsid w:val="00B402FC"/>
    <w:rsid w:val="00B41620"/>
    <w:rsid w:val="00B42173"/>
    <w:rsid w:val="00B42E53"/>
    <w:rsid w:val="00B4343C"/>
    <w:rsid w:val="00B449F2"/>
    <w:rsid w:val="00B44A02"/>
    <w:rsid w:val="00B45140"/>
    <w:rsid w:val="00B46604"/>
    <w:rsid w:val="00B50DE2"/>
    <w:rsid w:val="00B530CD"/>
    <w:rsid w:val="00B55E92"/>
    <w:rsid w:val="00B55F5E"/>
    <w:rsid w:val="00B56086"/>
    <w:rsid w:val="00B56FAD"/>
    <w:rsid w:val="00B5752D"/>
    <w:rsid w:val="00B5752E"/>
    <w:rsid w:val="00B57558"/>
    <w:rsid w:val="00B63A11"/>
    <w:rsid w:val="00B64C24"/>
    <w:rsid w:val="00B6547C"/>
    <w:rsid w:val="00B6608F"/>
    <w:rsid w:val="00B679FB"/>
    <w:rsid w:val="00B718A3"/>
    <w:rsid w:val="00B71E9B"/>
    <w:rsid w:val="00B7353E"/>
    <w:rsid w:val="00B75DBF"/>
    <w:rsid w:val="00B76476"/>
    <w:rsid w:val="00B76D1E"/>
    <w:rsid w:val="00B76D76"/>
    <w:rsid w:val="00B80EC6"/>
    <w:rsid w:val="00B83E01"/>
    <w:rsid w:val="00B860E7"/>
    <w:rsid w:val="00B86F2B"/>
    <w:rsid w:val="00B87F80"/>
    <w:rsid w:val="00B90C1A"/>
    <w:rsid w:val="00B91EFB"/>
    <w:rsid w:val="00B92D1D"/>
    <w:rsid w:val="00B938C5"/>
    <w:rsid w:val="00B95334"/>
    <w:rsid w:val="00B956EF"/>
    <w:rsid w:val="00B95940"/>
    <w:rsid w:val="00B96687"/>
    <w:rsid w:val="00B96D9F"/>
    <w:rsid w:val="00B96F73"/>
    <w:rsid w:val="00BA336D"/>
    <w:rsid w:val="00BA425D"/>
    <w:rsid w:val="00BA6A30"/>
    <w:rsid w:val="00BA7826"/>
    <w:rsid w:val="00BA7A5D"/>
    <w:rsid w:val="00BB39CA"/>
    <w:rsid w:val="00BB3AC4"/>
    <w:rsid w:val="00BB46F3"/>
    <w:rsid w:val="00BB4CB1"/>
    <w:rsid w:val="00BB4F98"/>
    <w:rsid w:val="00BC17A1"/>
    <w:rsid w:val="00BC2A0F"/>
    <w:rsid w:val="00BC3A81"/>
    <w:rsid w:val="00BC7154"/>
    <w:rsid w:val="00BD0958"/>
    <w:rsid w:val="00BD14F7"/>
    <w:rsid w:val="00BD366B"/>
    <w:rsid w:val="00BD3D11"/>
    <w:rsid w:val="00BD3F9D"/>
    <w:rsid w:val="00BD5301"/>
    <w:rsid w:val="00BD6D50"/>
    <w:rsid w:val="00BD78B2"/>
    <w:rsid w:val="00BE0554"/>
    <w:rsid w:val="00BE18B9"/>
    <w:rsid w:val="00BE1F6D"/>
    <w:rsid w:val="00BE2495"/>
    <w:rsid w:val="00BE3CF1"/>
    <w:rsid w:val="00BF1578"/>
    <w:rsid w:val="00BF24D8"/>
    <w:rsid w:val="00BF65FD"/>
    <w:rsid w:val="00BF72ED"/>
    <w:rsid w:val="00C00E4B"/>
    <w:rsid w:val="00C0393B"/>
    <w:rsid w:val="00C1028C"/>
    <w:rsid w:val="00C1067B"/>
    <w:rsid w:val="00C1290C"/>
    <w:rsid w:val="00C12B2C"/>
    <w:rsid w:val="00C1308B"/>
    <w:rsid w:val="00C141A2"/>
    <w:rsid w:val="00C14A11"/>
    <w:rsid w:val="00C16185"/>
    <w:rsid w:val="00C1637D"/>
    <w:rsid w:val="00C1743E"/>
    <w:rsid w:val="00C21F94"/>
    <w:rsid w:val="00C24EDC"/>
    <w:rsid w:val="00C25A7D"/>
    <w:rsid w:val="00C26006"/>
    <w:rsid w:val="00C27913"/>
    <w:rsid w:val="00C27ECC"/>
    <w:rsid w:val="00C27F43"/>
    <w:rsid w:val="00C30C9D"/>
    <w:rsid w:val="00C327E3"/>
    <w:rsid w:val="00C33B68"/>
    <w:rsid w:val="00C341B5"/>
    <w:rsid w:val="00C3437B"/>
    <w:rsid w:val="00C36A79"/>
    <w:rsid w:val="00C405D4"/>
    <w:rsid w:val="00C4513B"/>
    <w:rsid w:val="00C52E8D"/>
    <w:rsid w:val="00C54118"/>
    <w:rsid w:val="00C54697"/>
    <w:rsid w:val="00C555EF"/>
    <w:rsid w:val="00C55875"/>
    <w:rsid w:val="00C55E1D"/>
    <w:rsid w:val="00C60A2C"/>
    <w:rsid w:val="00C6193F"/>
    <w:rsid w:val="00C63857"/>
    <w:rsid w:val="00C6626E"/>
    <w:rsid w:val="00C66410"/>
    <w:rsid w:val="00C67120"/>
    <w:rsid w:val="00C701FD"/>
    <w:rsid w:val="00C73885"/>
    <w:rsid w:val="00C747B1"/>
    <w:rsid w:val="00C81D34"/>
    <w:rsid w:val="00C82191"/>
    <w:rsid w:val="00C8365E"/>
    <w:rsid w:val="00C8621D"/>
    <w:rsid w:val="00C86C17"/>
    <w:rsid w:val="00C87668"/>
    <w:rsid w:val="00C90CF4"/>
    <w:rsid w:val="00C9146E"/>
    <w:rsid w:val="00C92EB6"/>
    <w:rsid w:val="00C93389"/>
    <w:rsid w:val="00CA3288"/>
    <w:rsid w:val="00CA39BB"/>
    <w:rsid w:val="00CA445F"/>
    <w:rsid w:val="00CA6A30"/>
    <w:rsid w:val="00CB30FE"/>
    <w:rsid w:val="00CB4223"/>
    <w:rsid w:val="00CB4930"/>
    <w:rsid w:val="00CB4EE3"/>
    <w:rsid w:val="00CB7286"/>
    <w:rsid w:val="00CB7AE5"/>
    <w:rsid w:val="00CC010E"/>
    <w:rsid w:val="00CC19EA"/>
    <w:rsid w:val="00CC274B"/>
    <w:rsid w:val="00CC2E7D"/>
    <w:rsid w:val="00CD10A5"/>
    <w:rsid w:val="00CD2076"/>
    <w:rsid w:val="00CD4296"/>
    <w:rsid w:val="00CD72E6"/>
    <w:rsid w:val="00CE2B5A"/>
    <w:rsid w:val="00CE6417"/>
    <w:rsid w:val="00CE670B"/>
    <w:rsid w:val="00CE7911"/>
    <w:rsid w:val="00CF10C5"/>
    <w:rsid w:val="00CF173F"/>
    <w:rsid w:val="00CF325A"/>
    <w:rsid w:val="00CF51EC"/>
    <w:rsid w:val="00CF73AE"/>
    <w:rsid w:val="00CF7F05"/>
    <w:rsid w:val="00D010F2"/>
    <w:rsid w:val="00D01D45"/>
    <w:rsid w:val="00D040DD"/>
    <w:rsid w:val="00D1124E"/>
    <w:rsid w:val="00D112F4"/>
    <w:rsid w:val="00D13986"/>
    <w:rsid w:val="00D13C4B"/>
    <w:rsid w:val="00D1542B"/>
    <w:rsid w:val="00D168DC"/>
    <w:rsid w:val="00D1757E"/>
    <w:rsid w:val="00D17E09"/>
    <w:rsid w:val="00D22DF5"/>
    <w:rsid w:val="00D235B7"/>
    <w:rsid w:val="00D25F28"/>
    <w:rsid w:val="00D260E0"/>
    <w:rsid w:val="00D27973"/>
    <w:rsid w:val="00D33D44"/>
    <w:rsid w:val="00D33FAD"/>
    <w:rsid w:val="00D36B85"/>
    <w:rsid w:val="00D41AEB"/>
    <w:rsid w:val="00D44E70"/>
    <w:rsid w:val="00D46B17"/>
    <w:rsid w:val="00D47C38"/>
    <w:rsid w:val="00D50A15"/>
    <w:rsid w:val="00D50F46"/>
    <w:rsid w:val="00D52644"/>
    <w:rsid w:val="00D56612"/>
    <w:rsid w:val="00D57D09"/>
    <w:rsid w:val="00D6180C"/>
    <w:rsid w:val="00D61A66"/>
    <w:rsid w:val="00D62193"/>
    <w:rsid w:val="00D637CE"/>
    <w:rsid w:val="00D63D46"/>
    <w:rsid w:val="00D63E61"/>
    <w:rsid w:val="00D64C05"/>
    <w:rsid w:val="00D66223"/>
    <w:rsid w:val="00D71877"/>
    <w:rsid w:val="00D724DA"/>
    <w:rsid w:val="00D73EA2"/>
    <w:rsid w:val="00D771F6"/>
    <w:rsid w:val="00D8084C"/>
    <w:rsid w:val="00D834AE"/>
    <w:rsid w:val="00D83CE7"/>
    <w:rsid w:val="00D86A4E"/>
    <w:rsid w:val="00D92055"/>
    <w:rsid w:val="00D969B7"/>
    <w:rsid w:val="00D976F7"/>
    <w:rsid w:val="00DA2E0F"/>
    <w:rsid w:val="00DA40D8"/>
    <w:rsid w:val="00DA7C0C"/>
    <w:rsid w:val="00DB16C8"/>
    <w:rsid w:val="00DB22D1"/>
    <w:rsid w:val="00DB2EC8"/>
    <w:rsid w:val="00DB704C"/>
    <w:rsid w:val="00DC000D"/>
    <w:rsid w:val="00DC022B"/>
    <w:rsid w:val="00DC05DD"/>
    <w:rsid w:val="00DC3A0E"/>
    <w:rsid w:val="00DC5B3B"/>
    <w:rsid w:val="00DC6E5A"/>
    <w:rsid w:val="00DD11ED"/>
    <w:rsid w:val="00DD129F"/>
    <w:rsid w:val="00DD488F"/>
    <w:rsid w:val="00DD6BF7"/>
    <w:rsid w:val="00DE4E5C"/>
    <w:rsid w:val="00DF3E4D"/>
    <w:rsid w:val="00DF42FF"/>
    <w:rsid w:val="00DF58C0"/>
    <w:rsid w:val="00E00351"/>
    <w:rsid w:val="00E00A33"/>
    <w:rsid w:val="00E01C0E"/>
    <w:rsid w:val="00E03F9A"/>
    <w:rsid w:val="00E04694"/>
    <w:rsid w:val="00E04D7F"/>
    <w:rsid w:val="00E06123"/>
    <w:rsid w:val="00E11205"/>
    <w:rsid w:val="00E12B1E"/>
    <w:rsid w:val="00E12B86"/>
    <w:rsid w:val="00E15A9E"/>
    <w:rsid w:val="00E16A91"/>
    <w:rsid w:val="00E17262"/>
    <w:rsid w:val="00E17962"/>
    <w:rsid w:val="00E17F0C"/>
    <w:rsid w:val="00E20872"/>
    <w:rsid w:val="00E21EC7"/>
    <w:rsid w:val="00E253A2"/>
    <w:rsid w:val="00E3309D"/>
    <w:rsid w:val="00E332A1"/>
    <w:rsid w:val="00E336D8"/>
    <w:rsid w:val="00E430A1"/>
    <w:rsid w:val="00E44BD5"/>
    <w:rsid w:val="00E45E61"/>
    <w:rsid w:val="00E50156"/>
    <w:rsid w:val="00E5207B"/>
    <w:rsid w:val="00E53470"/>
    <w:rsid w:val="00E539F6"/>
    <w:rsid w:val="00E54F8E"/>
    <w:rsid w:val="00E5547C"/>
    <w:rsid w:val="00E56953"/>
    <w:rsid w:val="00E6402C"/>
    <w:rsid w:val="00E64504"/>
    <w:rsid w:val="00E6519D"/>
    <w:rsid w:val="00E661F7"/>
    <w:rsid w:val="00E67696"/>
    <w:rsid w:val="00E71A58"/>
    <w:rsid w:val="00E72A7A"/>
    <w:rsid w:val="00E73FC4"/>
    <w:rsid w:val="00E74D2B"/>
    <w:rsid w:val="00E757DE"/>
    <w:rsid w:val="00E75C94"/>
    <w:rsid w:val="00E76931"/>
    <w:rsid w:val="00E80347"/>
    <w:rsid w:val="00E81FCE"/>
    <w:rsid w:val="00E838EA"/>
    <w:rsid w:val="00E865AD"/>
    <w:rsid w:val="00E91941"/>
    <w:rsid w:val="00E9248D"/>
    <w:rsid w:val="00E93820"/>
    <w:rsid w:val="00E94E42"/>
    <w:rsid w:val="00E969CA"/>
    <w:rsid w:val="00EA0C68"/>
    <w:rsid w:val="00EA1CAF"/>
    <w:rsid w:val="00EA2D04"/>
    <w:rsid w:val="00EA2FBD"/>
    <w:rsid w:val="00EA32BC"/>
    <w:rsid w:val="00EA39E4"/>
    <w:rsid w:val="00EA7058"/>
    <w:rsid w:val="00EB4511"/>
    <w:rsid w:val="00EC03D7"/>
    <w:rsid w:val="00EC36B3"/>
    <w:rsid w:val="00EC6BC9"/>
    <w:rsid w:val="00ED2A87"/>
    <w:rsid w:val="00ED3B8D"/>
    <w:rsid w:val="00ED62C6"/>
    <w:rsid w:val="00ED64C1"/>
    <w:rsid w:val="00EE31C4"/>
    <w:rsid w:val="00EE3446"/>
    <w:rsid w:val="00EE3E78"/>
    <w:rsid w:val="00EE4B1B"/>
    <w:rsid w:val="00EE656A"/>
    <w:rsid w:val="00EF0956"/>
    <w:rsid w:val="00EF0984"/>
    <w:rsid w:val="00EF150D"/>
    <w:rsid w:val="00EF17BF"/>
    <w:rsid w:val="00EF1F5A"/>
    <w:rsid w:val="00EF4629"/>
    <w:rsid w:val="00EF47BF"/>
    <w:rsid w:val="00EF6EA3"/>
    <w:rsid w:val="00F01A2B"/>
    <w:rsid w:val="00F021D4"/>
    <w:rsid w:val="00F03F4E"/>
    <w:rsid w:val="00F04811"/>
    <w:rsid w:val="00F0488C"/>
    <w:rsid w:val="00F04AD5"/>
    <w:rsid w:val="00F04E3A"/>
    <w:rsid w:val="00F05332"/>
    <w:rsid w:val="00F05F5E"/>
    <w:rsid w:val="00F10620"/>
    <w:rsid w:val="00F10F11"/>
    <w:rsid w:val="00F1444D"/>
    <w:rsid w:val="00F14E8C"/>
    <w:rsid w:val="00F15AAA"/>
    <w:rsid w:val="00F15BEF"/>
    <w:rsid w:val="00F164BE"/>
    <w:rsid w:val="00F17974"/>
    <w:rsid w:val="00F24407"/>
    <w:rsid w:val="00F24FAA"/>
    <w:rsid w:val="00F26541"/>
    <w:rsid w:val="00F27411"/>
    <w:rsid w:val="00F3364D"/>
    <w:rsid w:val="00F3461A"/>
    <w:rsid w:val="00F34DF4"/>
    <w:rsid w:val="00F359D4"/>
    <w:rsid w:val="00F377AC"/>
    <w:rsid w:val="00F4050C"/>
    <w:rsid w:val="00F40DC7"/>
    <w:rsid w:val="00F42EFA"/>
    <w:rsid w:val="00F437CC"/>
    <w:rsid w:val="00F45BF4"/>
    <w:rsid w:val="00F45EFF"/>
    <w:rsid w:val="00F461F9"/>
    <w:rsid w:val="00F47067"/>
    <w:rsid w:val="00F525EB"/>
    <w:rsid w:val="00F54375"/>
    <w:rsid w:val="00F6043F"/>
    <w:rsid w:val="00F62215"/>
    <w:rsid w:val="00F62A5E"/>
    <w:rsid w:val="00F62CED"/>
    <w:rsid w:val="00F63DDE"/>
    <w:rsid w:val="00F63FB7"/>
    <w:rsid w:val="00F649D2"/>
    <w:rsid w:val="00F6563E"/>
    <w:rsid w:val="00F6602B"/>
    <w:rsid w:val="00F70816"/>
    <w:rsid w:val="00F7260E"/>
    <w:rsid w:val="00F73A0C"/>
    <w:rsid w:val="00F756DB"/>
    <w:rsid w:val="00F77390"/>
    <w:rsid w:val="00F821AB"/>
    <w:rsid w:val="00F8368E"/>
    <w:rsid w:val="00F85066"/>
    <w:rsid w:val="00F858E3"/>
    <w:rsid w:val="00F875FC"/>
    <w:rsid w:val="00F9190C"/>
    <w:rsid w:val="00F924EA"/>
    <w:rsid w:val="00F92944"/>
    <w:rsid w:val="00F92B12"/>
    <w:rsid w:val="00F943DB"/>
    <w:rsid w:val="00F96911"/>
    <w:rsid w:val="00FA08E5"/>
    <w:rsid w:val="00FA2558"/>
    <w:rsid w:val="00FA2684"/>
    <w:rsid w:val="00FA3CE7"/>
    <w:rsid w:val="00FA5CA6"/>
    <w:rsid w:val="00FA5D4D"/>
    <w:rsid w:val="00FA777B"/>
    <w:rsid w:val="00FB0EE2"/>
    <w:rsid w:val="00FB4F1F"/>
    <w:rsid w:val="00FB542E"/>
    <w:rsid w:val="00FB78B6"/>
    <w:rsid w:val="00FB78DC"/>
    <w:rsid w:val="00FB7D0A"/>
    <w:rsid w:val="00FC0650"/>
    <w:rsid w:val="00FC0E5F"/>
    <w:rsid w:val="00FC1A95"/>
    <w:rsid w:val="00FC3975"/>
    <w:rsid w:val="00FC4217"/>
    <w:rsid w:val="00FC56DE"/>
    <w:rsid w:val="00FC684B"/>
    <w:rsid w:val="00FD20A6"/>
    <w:rsid w:val="00FD3265"/>
    <w:rsid w:val="00FD3E18"/>
    <w:rsid w:val="00FD528A"/>
    <w:rsid w:val="00FD62B2"/>
    <w:rsid w:val="00FD779A"/>
    <w:rsid w:val="00FD7986"/>
    <w:rsid w:val="00FE2F78"/>
    <w:rsid w:val="00FE45EF"/>
    <w:rsid w:val="00FF1A0F"/>
    <w:rsid w:val="00FF4791"/>
    <w:rsid w:val="00FF4D2C"/>
    <w:rsid w:val="00FF718E"/>
    <w:rsid w:val="00FF7835"/>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FF1A0F"/>
    <w:pPr>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F62A5E"/>
    <w:pPr>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F1A0F"/>
    <w:rPr>
      <w:rFonts w:ascii="Arial" w:eastAsia="MS Gothic" w:hAnsi="Arial"/>
      <w:b/>
      <w:bCs/>
      <w:color w:val="C00000"/>
      <w:sz w:val="32"/>
      <w:szCs w:val="28"/>
      <w:lang w:eastAsia="cs-CZ"/>
    </w:rPr>
  </w:style>
  <w:style w:type="character" w:customStyle="1" w:styleId="Nadpis2Char">
    <w:name w:val="Nadpis 2 Char"/>
    <w:link w:val="Nadpis2"/>
    <w:uiPriority w:val="9"/>
    <w:rsid w:val="00F62A5E"/>
    <w:rPr>
      <w:rFonts w:ascii="Arial" w:eastAsia="MS Gothic" w:hAnsi="Arial"/>
      <w:b/>
      <w:bCs/>
      <w:color w:val="BC091B"/>
      <w:sz w:val="28"/>
      <w:szCs w:val="26"/>
      <w:lang w:eastAsia="cs-CZ"/>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Nadpisobsahu">
    <w:name w:val="TOC Heading"/>
    <w:basedOn w:val="Nadpis1"/>
    <w:next w:val="Normln"/>
    <w:uiPriority w:val="39"/>
    <w:semiHidden/>
    <w:unhideWhenUsed/>
    <w:qFormat/>
    <w:rsid w:val="00FA2558"/>
    <w:pPr>
      <w:keepLines w:val="0"/>
      <w:widowControl w:val="0"/>
      <w:spacing w:before="480" w:after="0" w:line="276" w:lineRule="auto"/>
      <w:contextualSpacing w:val="0"/>
      <w:outlineLvl w:val="9"/>
    </w:pPr>
    <w:rPr>
      <w:rFonts w:ascii="Cambria" w:eastAsia="Times New Roman" w:hAnsi="Cambria"/>
      <w:color w:val="365F91"/>
      <w:sz w:val="28"/>
    </w:rPr>
  </w:style>
  <w:style w:type="paragraph" w:styleId="Textpoznpodarou">
    <w:name w:val="footnote text"/>
    <w:basedOn w:val="Normln"/>
    <w:link w:val="TextpoznpodarouChar"/>
    <w:uiPriority w:val="99"/>
    <w:semiHidden/>
    <w:unhideWhenUsed/>
    <w:rsid w:val="00611FF8"/>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611FF8"/>
    <w:rPr>
      <w:rFonts w:ascii="Arial" w:eastAsia="Times New Roman" w:hAnsi="Arial"/>
      <w:lang w:eastAsia="cs-CZ"/>
    </w:rPr>
  </w:style>
  <w:style w:type="character" w:styleId="Znakapoznpodarou">
    <w:name w:val="footnote reference"/>
    <w:basedOn w:val="Standardnpsmoodstavce"/>
    <w:uiPriority w:val="99"/>
    <w:semiHidden/>
    <w:unhideWhenUsed/>
    <w:rsid w:val="00611FF8"/>
    <w:rPr>
      <w:vertAlign w:val="superscript"/>
    </w:rPr>
  </w:style>
  <w:style w:type="character" w:styleId="Odkaznakoment">
    <w:name w:val="annotation reference"/>
    <w:basedOn w:val="Standardnpsmoodstavce"/>
    <w:uiPriority w:val="99"/>
    <w:semiHidden/>
    <w:unhideWhenUsed/>
    <w:rsid w:val="00312FD4"/>
    <w:rPr>
      <w:sz w:val="16"/>
      <w:szCs w:val="16"/>
    </w:rPr>
  </w:style>
  <w:style w:type="paragraph" w:styleId="Textkomente">
    <w:name w:val="annotation text"/>
    <w:basedOn w:val="Normln"/>
    <w:link w:val="TextkomenteChar"/>
    <w:uiPriority w:val="99"/>
    <w:semiHidden/>
    <w:unhideWhenUsed/>
    <w:rsid w:val="00312FD4"/>
    <w:pPr>
      <w:spacing w:line="240" w:lineRule="auto"/>
    </w:pPr>
    <w:rPr>
      <w:szCs w:val="20"/>
    </w:rPr>
  </w:style>
  <w:style w:type="character" w:customStyle="1" w:styleId="TextkomenteChar">
    <w:name w:val="Text komentáře Char"/>
    <w:basedOn w:val="Standardnpsmoodstavce"/>
    <w:link w:val="Textkomente"/>
    <w:uiPriority w:val="99"/>
    <w:semiHidden/>
    <w:rsid w:val="00312FD4"/>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312FD4"/>
    <w:rPr>
      <w:b/>
      <w:bCs/>
    </w:rPr>
  </w:style>
  <w:style w:type="character" w:customStyle="1" w:styleId="PedmtkomenteChar">
    <w:name w:val="Předmět komentáře Char"/>
    <w:basedOn w:val="TextkomenteChar"/>
    <w:link w:val="Pedmtkomente"/>
    <w:uiPriority w:val="99"/>
    <w:semiHidden/>
    <w:rsid w:val="00312FD4"/>
    <w:rPr>
      <w:rFonts w:ascii="Arial" w:eastAsia="Times New Roman" w:hAnsi="Arial"/>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FF1A0F"/>
    <w:pPr>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F62A5E"/>
    <w:pPr>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F1A0F"/>
    <w:rPr>
      <w:rFonts w:ascii="Arial" w:eastAsia="MS Gothic" w:hAnsi="Arial"/>
      <w:b/>
      <w:bCs/>
      <w:color w:val="C00000"/>
      <w:sz w:val="32"/>
      <w:szCs w:val="28"/>
      <w:lang w:eastAsia="cs-CZ"/>
    </w:rPr>
  </w:style>
  <w:style w:type="character" w:customStyle="1" w:styleId="Nadpis2Char">
    <w:name w:val="Nadpis 2 Char"/>
    <w:link w:val="Nadpis2"/>
    <w:uiPriority w:val="9"/>
    <w:rsid w:val="00F62A5E"/>
    <w:rPr>
      <w:rFonts w:ascii="Arial" w:eastAsia="MS Gothic" w:hAnsi="Arial"/>
      <w:b/>
      <w:bCs/>
      <w:color w:val="BC091B"/>
      <w:sz w:val="28"/>
      <w:szCs w:val="26"/>
      <w:lang w:eastAsia="cs-CZ"/>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Nadpisobsahu">
    <w:name w:val="TOC Heading"/>
    <w:basedOn w:val="Nadpis1"/>
    <w:next w:val="Normln"/>
    <w:uiPriority w:val="39"/>
    <w:semiHidden/>
    <w:unhideWhenUsed/>
    <w:qFormat/>
    <w:rsid w:val="00FA2558"/>
    <w:pPr>
      <w:keepLines w:val="0"/>
      <w:widowControl w:val="0"/>
      <w:spacing w:before="480" w:after="0" w:line="276" w:lineRule="auto"/>
      <w:contextualSpacing w:val="0"/>
      <w:outlineLvl w:val="9"/>
    </w:pPr>
    <w:rPr>
      <w:rFonts w:ascii="Cambria" w:eastAsia="Times New Roman" w:hAnsi="Cambria"/>
      <w:color w:val="365F91"/>
      <w:sz w:val="28"/>
    </w:rPr>
  </w:style>
  <w:style w:type="paragraph" w:styleId="Textpoznpodarou">
    <w:name w:val="footnote text"/>
    <w:basedOn w:val="Normln"/>
    <w:link w:val="TextpoznpodarouChar"/>
    <w:uiPriority w:val="99"/>
    <w:semiHidden/>
    <w:unhideWhenUsed/>
    <w:rsid w:val="00611FF8"/>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611FF8"/>
    <w:rPr>
      <w:rFonts w:ascii="Arial" w:eastAsia="Times New Roman" w:hAnsi="Arial"/>
      <w:lang w:eastAsia="cs-CZ"/>
    </w:rPr>
  </w:style>
  <w:style w:type="character" w:styleId="Znakapoznpodarou">
    <w:name w:val="footnote reference"/>
    <w:basedOn w:val="Standardnpsmoodstavce"/>
    <w:uiPriority w:val="99"/>
    <w:semiHidden/>
    <w:unhideWhenUsed/>
    <w:rsid w:val="00611FF8"/>
    <w:rPr>
      <w:vertAlign w:val="superscript"/>
    </w:rPr>
  </w:style>
  <w:style w:type="character" w:styleId="Odkaznakoment">
    <w:name w:val="annotation reference"/>
    <w:basedOn w:val="Standardnpsmoodstavce"/>
    <w:uiPriority w:val="99"/>
    <w:semiHidden/>
    <w:unhideWhenUsed/>
    <w:rsid w:val="00312FD4"/>
    <w:rPr>
      <w:sz w:val="16"/>
      <w:szCs w:val="16"/>
    </w:rPr>
  </w:style>
  <w:style w:type="paragraph" w:styleId="Textkomente">
    <w:name w:val="annotation text"/>
    <w:basedOn w:val="Normln"/>
    <w:link w:val="TextkomenteChar"/>
    <w:uiPriority w:val="99"/>
    <w:semiHidden/>
    <w:unhideWhenUsed/>
    <w:rsid w:val="00312FD4"/>
    <w:pPr>
      <w:spacing w:line="240" w:lineRule="auto"/>
    </w:pPr>
    <w:rPr>
      <w:szCs w:val="20"/>
    </w:rPr>
  </w:style>
  <w:style w:type="character" w:customStyle="1" w:styleId="TextkomenteChar">
    <w:name w:val="Text komentáře Char"/>
    <w:basedOn w:val="Standardnpsmoodstavce"/>
    <w:link w:val="Textkomente"/>
    <w:uiPriority w:val="99"/>
    <w:semiHidden/>
    <w:rsid w:val="00312FD4"/>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312FD4"/>
    <w:rPr>
      <w:b/>
      <w:bCs/>
    </w:rPr>
  </w:style>
  <w:style w:type="character" w:customStyle="1" w:styleId="PedmtkomenteChar">
    <w:name w:val="Předmět komentáře Char"/>
    <w:basedOn w:val="TextkomenteChar"/>
    <w:link w:val="Pedmtkomente"/>
    <w:uiPriority w:val="99"/>
    <w:semiHidden/>
    <w:rsid w:val="00312FD4"/>
    <w:rPr>
      <w:rFonts w:ascii="Arial" w:eastAsia="Times New Roman" w:hAnsi="Arial"/>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2379862">
      <w:bodyDiv w:val="1"/>
      <w:marLeft w:val="0"/>
      <w:marRight w:val="0"/>
      <w:marTop w:val="0"/>
      <w:marBottom w:val="0"/>
      <w:divBdr>
        <w:top w:val="none" w:sz="0" w:space="0" w:color="auto"/>
        <w:left w:val="none" w:sz="0" w:space="0" w:color="auto"/>
        <w:bottom w:val="none" w:sz="0" w:space="0" w:color="auto"/>
        <w:right w:val="none" w:sz="0" w:space="0" w:color="auto"/>
      </w:divBdr>
    </w:div>
    <w:div w:id="207765888">
      <w:bodyDiv w:val="1"/>
      <w:marLeft w:val="0"/>
      <w:marRight w:val="0"/>
      <w:marTop w:val="0"/>
      <w:marBottom w:val="0"/>
      <w:divBdr>
        <w:top w:val="none" w:sz="0" w:space="0" w:color="auto"/>
        <w:left w:val="none" w:sz="0" w:space="0" w:color="auto"/>
        <w:bottom w:val="none" w:sz="0" w:space="0" w:color="auto"/>
        <w:right w:val="none" w:sz="0" w:space="0" w:color="auto"/>
      </w:divBdr>
    </w:div>
    <w:div w:id="25101063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84118981">
      <w:bodyDiv w:val="1"/>
      <w:marLeft w:val="0"/>
      <w:marRight w:val="0"/>
      <w:marTop w:val="0"/>
      <w:marBottom w:val="0"/>
      <w:divBdr>
        <w:top w:val="none" w:sz="0" w:space="0" w:color="auto"/>
        <w:left w:val="none" w:sz="0" w:space="0" w:color="auto"/>
        <w:bottom w:val="none" w:sz="0" w:space="0" w:color="auto"/>
        <w:right w:val="none" w:sz="0" w:space="0" w:color="auto"/>
      </w:divBdr>
    </w:div>
    <w:div w:id="311296699">
      <w:bodyDiv w:val="1"/>
      <w:marLeft w:val="0"/>
      <w:marRight w:val="0"/>
      <w:marTop w:val="0"/>
      <w:marBottom w:val="0"/>
      <w:divBdr>
        <w:top w:val="none" w:sz="0" w:space="0" w:color="auto"/>
        <w:left w:val="none" w:sz="0" w:space="0" w:color="auto"/>
        <w:bottom w:val="none" w:sz="0" w:space="0" w:color="auto"/>
        <w:right w:val="none" w:sz="0" w:space="0" w:color="auto"/>
      </w:divBdr>
    </w:div>
    <w:div w:id="43066640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4817568">
      <w:bodyDiv w:val="1"/>
      <w:marLeft w:val="0"/>
      <w:marRight w:val="0"/>
      <w:marTop w:val="0"/>
      <w:marBottom w:val="0"/>
      <w:divBdr>
        <w:top w:val="none" w:sz="0" w:space="0" w:color="auto"/>
        <w:left w:val="none" w:sz="0" w:space="0" w:color="auto"/>
        <w:bottom w:val="none" w:sz="0" w:space="0" w:color="auto"/>
        <w:right w:val="none" w:sz="0" w:space="0" w:color="auto"/>
      </w:divBdr>
    </w:div>
    <w:div w:id="10474898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5647382">
      <w:bodyDiv w:val="1"/>
      <w:marLeft w:val="0"/>
      <w:marRight w:val="0"/>
      <w:marTop w:val="0"/>
      <w:marBottom w:val="0"/>
      <w:divBdr>
        <w:top w:val="none" w:sz="0" w:space="0" w:color="auto"/>
        <w:left w:val="none" w:sz="0" w:space="0" w:color="auto"/>
        <w:bottom w:val="none" w:sz="0" w:space="0" w:color="auto"/>
        <w:right w:val="none" w:sz="0" w:space="0" w:color="auto"/>
      </w:divBdr>
    </w:div>
    <w:div w:id="131124789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342623">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17925110">
      <w:bodyDiv w:val="1"/>
      <w:marLeft w:val="0"/>
      <w:marRight w:val="0"/>
      <w:marTop w:val="0"/>
      <w:marBottom w:val="0"/>
      <w:divBdr>
        <w:top w:val="none" w:sz="0" w:space="0" w:color="auto"/>
        <w:left w:val="none" w:sz="0" w:space="0" w:color="auto"/>
        <w:bottom w:val="none" w:sz="0" w:space="0" w:color="auto"/>
        <w:right w:val="none" w:sz="0" w:space="0" w:color="auto"/>
      </w:divBdr>
    </w:div>
    <w:div w:id="202639751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Demografie\Anal&#253;za%20&#250;mrtnosti\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A3E7-3AB3-41C2-9A33-1049BE4D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245</TotalTime>
  <Pages>5</Pages>
  <Words>2076</Words>
  <Characters>12253</Characters>
  <Application>Microsoft Office Word</Application>
  <DocSecurity>0</DocSecurity>
  <Lines>102</Lines>
  <Paragraphs>28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14301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kurkin4488</dc:creator>
  <cp:lastModifiedBy>kurkin4488</cp:lastModifiedBy>
  <cp:revision>62</cp:revision>
  <cp:lastPrinted>2014-07-17T14:07:00Z</cp:lastPrinted>
  <dcterms:created xsi:type="dcterms:W3CDTF">2017-11-28T09:52:00Z</dcterms:created>
  <dcterms:modified xsi:type="dcterms:W3CDTF">2017-11-29T10:25:00Z</dcterms:modified>
</cp:coreProperties>
</file>