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68" w:rsidRPr="00CC0868" w:rsidRDefault="003A0365" w:rsidP="00CC0868">
      <w:pPr>
        <w:pStyle w:val="Nadpis2"/>
        <w:pageBreakBefore/>
        <w:tabs>
          <w:tab w:val="left" w:pos="360"/>
        </w:tabs>
        <w:spacing w:after="1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CC0868" w:rsidRPr="00CC0868">
        <w:rPr>
          <w:sz w:val="30"/>
          <w:szCs w:val="30"/>
        </w:rPr>
        <w:t>.</w:t>
      </w:r>
      <w:r w:rsidR="00CC0868" w:rsidRPr="00CC0868">
        <w:rPr>
          <w:sz w:val="30"/>
          <w:szCs w:val="30"/>
        </w:rPr>
        <w:tab/>
      </w:r>
      <w:r w:rsidR="00380231">
        <w:rPr>
          <w:sz w:val="30"/>
          <w:szCs w:val="30"/>
        </w:rPr>
        <w:t xml:space="preserve">Používání placených služeb </w:t>
      </w:r>
      <w:proofErr w:type="spellStart"/>
      <w:r w:rsidR="00380231">
        <w:rPr>
          <w:sz w:val="30"/>
          <w:szCs w:val="30"/>
        </w:rPr>
        <w:t>c</w:t>
      </w:r>
      <w:r w:rsidR="00F462E3">
        <w:rPr>
          <w:sz w:val="30"/>
          <w:szCs w:val="30"/>
        </w:rPr>
        <w:t>loud</w:t>
      </w:r>
      <w:proofErr w:type="spellEnd"/>
      <w:r w:rsidR="00F462E3">
        <w:rPr>
          <w:sz w:val="30"/>
          <w:szCs w:val="30"/>
        </w:rPr>
        <w:t xml:space="preserve"> </w:t>
      </w:r>
      <w:proofErr w:type="spellStart"/>
      <w:r w:rsidR="00F462E3">
        <w:rPr>
          <w:sz w:val="30"/>
          <w:szCs w:val="30"/>
        </w:rPr>
        <w:t>computing</w:t>
      </w:r>
      <w:r w:rsidR="00380231">
        <w:rPr>
          <w:sz w:val="30"/>
          <w:szCs w:val="30"/>
        </w:rPr>
        <w:t>u</w:t>
      </w:r>
      <w:proofErr w:type="spellEnd"/>
    </w:p>
    <w:p w:rsidR="00F462E3" w:rsidRDefault="00F462E3" w:rsidP="00F462E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Cloud</w:t>
      </w:r>
      <w:proofErr w:type="spellEnd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proofErr w:type="spellStart"/>
      <w:r w:rsidRPr="00D9145A">
        <w:rPr>
          <w:rFonts w:ascii="Arial" w:hAnsi="Arial" w:cs="Arial"/>
          <w:b/>
          <w:bCs/>
          <w:sz w:val="20"/>
          <w:szCs w:val="20"/>
          <w:lang w:eastAsia="cs-CZ"/>
        </w:rPr>
        <w:t>computing</w:t>
      </w:r>
      <w:proofErr w:type="spellEnd"/>
      <w:r w:rsidRPr="00F462E3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>je souhrnné označení placených služeb umožňujících sdílení a vzdálený přístup k</w:t>
      </w:r>
      <w:r w:rsidR="006228F1">
        <w:rPr>
          <w:rFonts w:ascii="Arial" w:hAnsi="Arial" w:cs="Arial"/>
          <w:bCs/>
          <w:sz w:val="20"/>
          <w:szCs w:val="20"/>
          <w:lang w:eastAsia="cs-CZ"/>
        </w:rPr>
        <w:t> 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výpočetním prostředkům a datovým úložištím prostřednictvím internetu. Poskytovatel služeb propůjčuje uživatelům výpočetní prostředky (hardware či software) podle jejich potřeb. Uživatelé služeb </w:t>
      </w:r>
      <w:r w:rsidR="00CE5378">
        <w:rPr>
          <w:rFonts w:ascii="Arial" w:hAnsi="Arial" w:cs="Arial"/>
          <w:bCs/>
          <w:sz w:val="20"/>
          <w:szCs w:val="20"/>
          <w:lang w:eastAsia="cs-CZ"/>
        </w:rPr>
        <w:t xml:space="preserve">tak 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nemusí nástroje vlastnit, udržovat </w:t>
      </w:r>
      <w:r>
        <w:rPr>
          <w:rFonts w:ascii="Arial" w:hAnsi="Arial" w:cs="Arial"/>
          <w:bCs/>
          <w:sz w:val="20"/>
          <w:szCs w:val="20"/>
          <w:lang w:eastAsia="cs-CZ"/>
        </w:rPr>
        <w:t>ani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 aktualizovat. Služby hradí úměrně své spotřebě či smluvenému rozsahu.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F462E3" w:rsidRPr="00F462E3" w:rsidRDefault="00F462E3" w:rsidP="00F462E3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Pro potřeby šetření nebyly zahrnuty neplacené služby </w:t>
      </w:r>
      <w:proofErr w:type="spellStart"/>
      <w:r w:rsidR="009D6385">
        <w:rPr>
          <w:rFonts w:ascii="Arial" w:hAnsi="Arial" w:cs="Arial"/>
          <w:bCs/>
          <w:sz w:val="20"/>
          <w:szCs w:val="20"/>
          <w:lang w:eastAsia="cs-CZ"/>
        </w:rPr>
        <w:t>c</w:t>
      </w:r>
      <w:r w:rsidRPr="00F462E3">
        <w:rPr>
          <w:rFonts w:ascii="Arial" w:hAnsi="Arial" w:cs="Arial"/>
          <w:bCs/>
          <w:sz w:val="20"/>
          <w:szCs w:val="20"/>
          <w:lang w:eastAsia="cs-CZ"/>
        </w:rPr>
        <w:t>loud</w:t>
      </w:r>
      <w:proofErr w:type="spellEnd"/>
      <w:r w:rsidRPr="00F462E3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proofErr w:type="spellStart"/>
      <w:r w:rsidRPr="00F462E3">
        <w:rPr>
          <w:rFonts w:ascii="Arial" w:hAnsi="Arial" w:cs="Arial"/>
          <w:bCs/>
          <w:sz w:val="20"/>
          <w:szCs w:val="20"/>
          <w:lang w:eastAsia="cs-CZ"/>
        </w:rPr>
        <w:t>computingu</w:t>
      </w:r>
      <w:proofErr w:type="spellEnd"/>
      <w:r w:rsidRPr="00F462E3">
        <w:rPr>
          <w:rFonts w:ascii="Arial" w:hAnsi="Arial" w:cs="Arial"/>
          <w:bCs/>
          <w:sz w:val="20"/>
          <w:szCs w:val="20"/>
          <w:lang w:eastAsia="cs-CZ"/>
        </w:rPr>
        <w:t>.</w:t>
      </w:r>
    </w:p>
    <w:p w:rsidR="00CC0868" w:rsidRPr="00CC0868" w:rsidRDefault="00CC0868" w:rsidP="00F462E3">
      <w:pPr>
        <w:pStyle w:val="Nadpis2"/>
        <w:spacing w:before="240" w:after="120" w:line="240" w:lineRule="auto"/>
        <w:rPr>
          <w:sz w:val="24"/>
          <w:szCs w:val="24"/>
        </w:rPr>
      </w:pPr>
      <w:r w:rsidRPr="00CC0868">
        <w:rPr>
          <w:sz w:val="24"/>
          <w:szCs w:val="24"/>
        </w:rPr>
        <w:t>Hlavní zjištění</w:t>
      </w:r>
    </w:p>
    <w:p w:rsidR="009F682E" w:rsidRDefault="008B7185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C343C">
        <w:rPr>
          <w:rFonts w:ascii="Arial" w:hAnsi="Arial" w:cs="Arial"/>
          <w:sz w:val="20"/>
        </w:rPr>
        <w:t>V lednu 201</w:t>
      </w:r>
      <w:r w:rsidR="00483583" w:rsidRPr="003C343C">
        <w:rPr>
          <w:rFonts w:ascii="Arial" w:hAnsi="Arial" w:cs="Arial"/>
          <w:sz w:val="20"/>
        </w:rPr>
        <w:t>7</w:t>
      </w:r>
      <w:r w:rsidRPr="003C343C">
        <w:rPr>
          <w:rFonts w:ascii="Arial" w:hAnsi="Arial" w:cs="Arial"/>
          <w:sz w:val="20"/>
        </w:rPr>
        <w:t xml:space="preserve"> využíval</w:t>
      </w:r>
      <w:r w:rsidR="009F682E">
        <w:rPr>
          <w:rFonts w:ascii="Arial" w:hAnsi="Arial" w:cs="Arial"/>
          <w:sz w:val="20"/>
        </w:rPr>
        <w:t>a</w:t>
      </w:r>
      <w:r w:rsidRPr="003C343C">
        <w:rPr>
          <w:rFonts w:ascii="Arial" w:hAnsi="Arial" w:cs="Arial"/>
          <w:sz w:val="20"/>
        </w:rPr>
        <w:t xml:space="preserve"> </w:t>
      </w:r>
      <w:r w:rsidR="003C343C" w:rsidRPr="003C343C">
        <w:rPr>
          <w:rFonts w:ascii="Arial" w:hAnsi="Arial" w:cs="Arial"/>
          <w:sz w:val="20"/>
        </w:rPr>
        <w:t xml:space="preserve">v Česku </w:t>
      </w:r>
      <w:r w:rsidRPr="003C343C">
        <w:rPr>
          <w:rFonts w:ascii="Arial" w:hAnsi="Arial" w:cs="Arial"/>
          <w:sz w:val="20"/>
        </w:rPr>
        <w:t xml:space="preserve">prostřednictvím internetu některou ze služeb </w:t>
      </w:r>
      <w:r w:rsidRPr="00D77008">
        <w:rPr>
          <w:rFonts w:ascii="Arial" w:hAnsi="Arial" w:cs="Arial"/>
          <w:b/>
          <w:sz w:val="20"/>
        </w:rPr>
        <w:t xml:space="preserve">placeného </w:t>
      </w:r>
      <w:proofErr w:type="spellStart"/>
      <w:r w:rsidRPr="00D77008">
        <w:rPr>
          <w:rFonts w:ascii="Arial" w:hAnsi="Arial" w:cs="Arial"/>
          <w:b/>
          <w:sz w:val="20"/>
        </w:rPr>
        <w:t>cloud</w:t>
      </w:r>
      <w:proofErr w:type="spellEnd"/>
      <w:r w:rsidRPr="00D77008">
        <w:rPr>
          <w:rFonts w:ascii="Arial" w:hAnsi="Arial" w:cs="Arial"/>
          <w:b/>
          <w:sz w:val="20"/>
        </w:rPr>
        <w:t xml:space="preserve"> </w:t>
      </w:r>
      <w:proofErr w:type="spellStart"/>
      <w:r w:rsidRPr="00D77008">
        <w:rPr>
          <w:rFonts w:ascii="Arial" w:hAnsi="Arial" w:cs="Arial"/>
          <w:b/>
          <w:sz w:val="20"/>
        </w:rPr>
        <w:t>computingu</w:t>
      </w:r>
      <w:proofErr w:type="spellEnd"/>
      <w:r w:rsidRPr="003C343C">
        <w:rPr>
          <w:rFonts w:ascii="Arial" w:hAnsi="Arial" w:cs="Arial"/>
          <w:sz w:val="20"/>
        </w:rPr>
        <w:t xml:space="preserve"> </w:t>
      </w:r>
      <w:r w:rsidR="009F682E">
        <w:rPr>
          <w:rFonts w:ascii="Arial" w:hAnsi="Arial" w:cs="Arial"/>
          <w:sz w:val="20"/>
        </w:rPr>
        <w:t>téměř čtvrtina firem</w:t>
      </w:r>
      <w:r w:rsidR="00380231">
        <w:rPr>
          <w:rFonts w:ascii="Arial" w:hAnsi="Arial" w:cs="Arial"/>
          <w:sz w:val="20"/>
        </w:rPr>
        <w:t xml:space="preserve"> (</w:t>
      </w:r>
      <w:r w:rsidR="00483583" w:rsidRPr="003C343C">
        <w:rPr>
          <w:rFonts w:ascii="Arial" w:hAnsi="Arial" w:cs="Arial"/>
          <w:sz w:val="20"/>
        </w:rPr>
        <w:t>22</w:t>
      </w:r>
      <w:r w:rsidRPr="003C343C">
        <w:rPr>
          <w:rFonts w:ascii="Arial" w:hAnsi="Arial" w:cs="Arial"/>
          <w:sz w:val="20"/>
        </w:rPr>
        <w:t xml:space="preserve"> %</w:t>
      </w:r>
      <w:r w:rsidR="00380231">
        <w:rPr>
          <w:rFonts w:ascii="Arial" w:hAnsi="Arial" w:cs="Arial"/>
          <w:sz w:val="20"/>
        </w:rPr>
        <w:t>)</w:t>
      </w:r>
      <w:r w:rsidRPr="003C343C">
        <w:rPr>
          <w:rFonts w:ascii="Arial" w:hAnsi="Arial" w:cs="Arial"/>
          <w:sz w:val="20"/>
        </w:rPr>
        <w:t xml:space="preserve"> </w:t>
      </w:r>
      <w:r w:rsidR="003C343C" w:rsidRPr="003C343C">
        <w:rPr>
          <w:rFonts w:ascii="Arial" w:hAnsi="Arial" w:cs="Arial"/>
          <w:sz w:val="20"/>
        </w:rPr>
        <w:t>s deseti a více zaměstnanci</w:t>
      </w:r>
      <w:r w:rsidR="009F682E">
        <w:rPr>
          <w:rFonts w:ascii="Arial" w:hAnsi="Arial" w:cs="Arial"/>
          <w:sz w:val="20"/>
        </w:rPr>
        <w:t>. V lednu předchozího roku jich byla necelá pětina</w:t>
      </w:r>
      <w:r w:rsidR="003C343C" w:rsidRPr="003C343C">
        <w:rPr>
          <w:rFonts w:ascii="Arial" w:hAnsi="Arial" w:cs="Arial"/>
          <w:sz w:val="20"/>
        </w:rPr>
        <w:t xml:space="preserve"> </w:t>
      </w:r>
      <w:r w:rsidR="009F682E">
        <w:rPr>
          <w:rFonts w:ascii="Arial" w:hAnsi="Arial" w:cs="Arial"/>
          <w:sz w:val="20"/>
        </w:rPr>
        <w:t>(</w:t>
      </w:r>
      <w:r w:rsidR="003C343C" w:rsidRPr="003C343C">
        <w:rPr>
          <w:rFonts w:ascii="Arial" w:hAnsi="Arial" w:cs="Arial"/>
          <w:sz w:val="20"/>
        </w:rPr>
        <w:t>18 %</w:t>
      </w:r>
      <w:r w:rsidR="009F682E">
        <w:rPr>
          <w:rFonts w:ascii="Arial" w:hAnsi="Arial" w:cs="Arial"/>
          <w:sz w:val="20"/>
        </w:rPr>
        <w:t xml:space="preserve">) a v roce 2014 dosahoval podíl firem využívajících placených </w:t>
      </w:r>
      <w:proofErr w:type="spellStart"/>
      <w:r w:rsidR="009F682E">
        <w:rPr>
          <w:rFonts w:ascii="Arial" w:hAnsi="Arial" w:cs="Arial"/>
          <w:sz w:val="20"/>
        </w:rPr>
        <w:t>cloudových</w:t>
      </w:r>
      <w:proofErr w:type="spellEnd"/>
      <w:r w:rsidR="009F682E">
        <w:rPr>
          <w:rFonts w:ascii="Arial" w:hAnsi="Arial" w:cs="Arial"/>
          <w:sz w:val="20"/>
        </w:rPr>
        <w:t xml:space="preserve"> služeb 15 %.</w:t>
      </w:r>
      <w:r w:rsidRPr="003C343C">
        <w:rPr>
          <w:rFonts w:ascii="Arial" w:hAnsi="Arial" w:cs="Arial"/>
          <w:sz w:val="20"/>
        </w:rPr>
        <w:t xml:space="preserve"> </w:t>
      </w:r>
      <w:proofErr w:type="spellStart"/>
      <w:r w:rsidRPr="003C343C">
        <w:rPr>
          <w:rFonts w:ascii="Arial" w:hAnsi="Arial" w:cs="Arial"/>
          <w:sz w:val="20"/>
        </w:rPr>
        <w:t>Cloud</w:t>
      </w:r>
      <w:proofErr w:type="spellEnd"/>
      <w:r w:rsidRPr="003C343C">
        <w:rPr>
          <w:rFonts w:ascii="Arial" w:hAnsi="Arial" w:cs="Arial"/>
          <w:sz w:val="20"/>
        </w:rPr>
        <w:t xml:space="preserve"> </w:t>
      </w:r>
      <w:proofErr w:type="spellStart"/>
      <w:r w:rsidR="00BE48A7" w:rsidRPr="003C343C">
        <w:rPr>
          <w:rFonts w:ascii="Arial" w:hAnsi="Arial" w:cs="Arial"/>
          <w:sz w:val="20"/>
        </w:rPr>
        <w:t>computing</w:t>
      </w:r>
      <w:proofErr w:type="spellEnd"/>
      <w:r w:rsidR="00BE48A7" w:rsidRPr="003C343C">
        <w:rPr>
          <w:rFonts w:ascii="Arial" w:hAnsi="Arial" w:cs="Arial"/>
          <w:sz w:val="20"/>
        </w:rPr>
        <w:t xml:space="preserve"> využíva</w:t>
      </w:r>
      <w:r w:rsidR="009F682E">
        <w:rPr>
          <w:rFonts w:ascii="Arial" w:hAnsi="Arial" w:cs="Arial"/>
          <w:sz w:val="20"/>
        </w:rPr>
        <w:t xml:space="preserve">jí přibližně </w:t>
      </w:r>
      <w:r w:rsidR="00483583" w:rsidRPr="00D77008">
        <w:rPr>
          <w:rFonts w:ascii="Arial" w:hAnsi="Arial" w:cs="Arial"/>
          <w:b/>
          <w:sz w:val="20"/>
        </w:rPr>
        <w:t>dvakrát</w:t>
      </w:r>
      <w:r w:rsidRPr="00D77008">
        <w:rPr>
          <w:rFonts w:ascii="Arial" w:hAnsi="Arial" w:cs="Arial"/>
          <w:b/>
          <w:sz w:val="20"/>
        </w:rPr>
        <w:t xml:space="preserve"> častěji velké subjekty</w:t>
      </w:r>
      <w:r w:rsidRPr="00BD768E">
        <w:rPr>
          <w:rFonts w:ascii="Arial" w:hAnsi="Arial" w:cs="Arial"/>
          <w:sz w:val="20"/>
        </w:rPr>
        <w:t xml:space="preserve"> než malé a z hlediska odvětví to </w:t>
      </w:r>
      <w:r w:rsidR="009F682E">
        <w:rPr>
          <w:rFonts w:ascii="Arial" w:hAnsi="Arial" w:cs="Arial"/>
          <w:sz w:val="20"/>
        </w:rPr>
        <w:t>jsou</w:t>
      </w:r>
      <w:r w:rsidR="00483583" w:rsidRPr="00BD768E">
        <w:rPr>
          <w:rFonts w:ascii="Arial" w:hAnsi="Arial" w:cs="Arial"/>
          <w:sz w:val="20"/>
        </w:rPr>
        <w:t xml:space="preserve"> výrazně</w:t>
      </w:r>
      <w:r w:rsidRPr="00BD768E">
        <w:rPr>
          <w:rFonts w:ascii="Arial" w:hAnsi="Arial" w:cs="Arial"/>
          <w:sz w:val="20"/>
        </w:rPr>
        <w:t xml:space="preserve"> </w:t>
      </w:r>
      <w:r w:rsidR="00483583" w:rsidRPr="00BD768E">
        <w:rPr>
          <w:rFonts w:ascii="Arial" w:hAnsi="Arial" w:cs="Arial"/>
          <w:sz w:val="20"/>
        </w:rPr>
        <w:t>nej</w:t>
      </w:r>
      <w:r w:rsidRPr="00BD768E">
        <w:rPr>
          <w:rFonts w:ascii="Arial" w:hAnsi="Arial" w:cs="Arial"/>
          <w:sz w:val="20"/>
        </w:rPr>
        <w:t xml:space="preserve">častěji </w:t>
      </w:r>
      <w:r w:rsidR="00B33BAA" w:rsidRPr="00BD768E">
        <w:rPr>
          <w:rFonts w:ascii="Arial" w:hAnsi="Arial" w:cs="Arial"/>
          <w:sz w:val="20"/>
        </w:rPr>
        <w:t xml:space="preserve">firmy </w:t>
      </w:r>
      <w:r w:rsidR="00483583" w:rsidRPr="00BD768E">
        <w:rPr>
          <w:rFonts w:ascii="Arial" w:hAnsi="Arial" w:cs="Arial"/>
          <w:sz w:val="20"/>
        </w:rPr>
        <w:t>působící v</w:t>
      </w:r>
      <w:r w:rsidR="009F682E">
        <w:rPr>
          <w:rFonts w:ascii="Arial" w:hAnsi="Arial" w:cs="Arial"/>
          <w:sz w:val="20"/>
        </w:rPr>
        <w:t> oblasti</w:t>
      </w:r>
      <w:r w:rsidR="00483583" w:rsidRPr="00BD768E">
        <w:rPr>
          <w:rFonts w:ascii="Arial" w:hAnsi="Arial" w:cs="Arial"/>
          <w:sz w:val="20"/>
        </w:rPr>
        <w:t> IT (56 %)</w:t>
      </w:r>
      <w:r w:rsidRPr="00380231">
        <w:rPr>
          <w:rFonts w:ascii="Arial" w:hAnsi="Arial" w:cs="Arial"/>
          <w:sz w:val="20"/>
        </w:rPr>
        <w:t>.</w:t>
      </w:r>
      <w:r w:rsidR="009C35CE" w:rsidRPr="00380231">
        <w:rPr>
          <w:rFonts w:ascii="Arial" w:hAnsi="Arial" w:cs="Arial"/>
          <w:sz w:val="20"/>
        </w:rPr>
        <w:t xml:space="preserve"> </w:t>
      </w:r>
    </w:p>
    <w:p w:rsidR="009F682E" w:rsidRPr="003C343C" w:rsidRDefault="009F682E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3C343C">
        <w:rPr>
          <w:rFonts w:ascii="Arial" w:hAnsi="Arial" w:cs="Arial"/>
          <w:sz w:val="20"/>
        </w:rPr>
        <w:t>V evropském srovnání za led</w:t>
      </w:r>
      <w:r w:rsidR="002D7D0D">
        <w:rPr>
          <w:rFonts w:ascii="Arial" w:hAnsi="Arial" w:cs="Arial"/>
          <w:sz w:val="20"/>
        </w:rPr>
        <w:t>en</w:t>
      </w:r>
      <w:r w:rsidRPr="003C343C">
        <w:rPr>
          <w:rFonts w:ascii="Arial" w:hAnsi="Arial" w:cs="Arial"/>
          <w:sz w:val="20"/>
        </w:rPr>
        <w:t xml:space="preserve"> 2016</w:t>
      </w:r>
      <w:r w:rsidR="002D7D0D">
        <w:rPr>
          <w:rStyle w:val="Znakapoznpodarou"/>
          <w:rFonts w:ascii="Arial" w:hAnsi="Arial" w:cs="Arial"/>
          <w:sz w:val="20"/>
        </w:rPr>
        <w:footnoteReference w:id="1"/>
      </w:r>
      <w:r w:rsidRPr="003C343C">
        <w:rPr>
          <w:rFonts w:ascii="Arial" w:hAnsi="Arial" w:cs="Arial"/>
          <w:sz w:val="20"/>
        </w:rPr>
        <w:t xml:space="preserve"> byly české firmy využívající </w:t>
      </w:r>
      <w:proofErr w:type="spellStart"/>
      <w:r w:rsidRPr="003C343C">
        <w:rPr>
          <w:rFonts w:ascii="Arial" w:hAnsi="Arial" w:cs="Arial"/>
          <w:sz w:val="20"/>
        </w:rPr>
        <w:t>cloud</w:t>
      </w:r>
      <w:proofErr w:type="spellEnd"/>
      <w:r w:rsidRPr="003C343C">
        <w:rPr>
          <w:rFonts w:ascii="Arial" w:hAnsi="Arial" w:cs="Arial"/>
          <w:sz w:val="20"/>
        </w:rPr>
        <w:t xml:space="preserve"> </w:t>
      </w:r>
      <w:proofErr w:type="spellStart"/>
      <w:r w:rsidRPr="003C343C">
        <w:rPr>
          <w:rFonts w:ascii="Arial" w:hAnsi="Arial" w:cs="Arial"/>
          <w:sz w:val="20"/>
        </w:rPr>
        <w:t>computing</w:t>
      </w:r>
      <w:proofErr w:type="spellEnd"/>
      <w:r w:rsidRPr="003C343C">
        <w:rPr>
          <w:rFonts w:ascii="Arial" w:hAnsi="Arial" w:cs="Arial"/>
          <w:sz w:val="20"/>
        </w:rPr>
        <w:t xml:space="preserve"> </w:t>
      </w:r>
      <w:r w:rsidR="002D7D0D">
        <w:rPr>
          <w:rFonts w:ascii="Arial" w:hAnsi="Arial" w:cs="Arial"/>
          <w:sz w:val="20"/>
        </w:rPr>
        <w:t>mírně</w:t>
      </w:r>
      <w:r w:rsidRPr="003C343C">
        <w:rPr>
          <w:rFonts w:ascii="Arial" w:hAnsi="Arial" w:cs="Arial"/>
          <w:sz w:val="20"/>
        </w:rPr>
        <w:t xml:space="preserve"> </w:t>
      </w:r>
      <w:r w:rsidRPr="00D77008">
        <w:rPr>
          <w:rFonts w:ascii="Arial" w:hAnsi="Arial" w:cs="Arial"/>
          <w:b/>
          <w:sz w:val="20"/>
        </w:rPr>
        <w:t>pod průměrem EU</w:t>
      </w:r>
      <w:r w:rsidRPr="003C343C">
        <w:rPr>
          <w:rFonts w:ascii="Arial" w:hAnsi="Arial" w:cs="Arial"/>
          <w:sz w:val="20"/>
        </w:rPr>
        <w:t xml:space="preserve">. Placených </w:t>
      </w:r>
      <w:proofErr w:type="spellStart"/>
      <w:r w:rsidRPr="003C343C">
        <w:rPr>
          <w:rFonts w:ascii="Arial" w:hAnsi="Arial" w:cs="Arial"/>
          <w:sz w:val="20"/>
        </w:rPr>
        <w:t>cloudových</w:t>
      </w:r>
      <w:proofErr w:type="spellEnd"/>
      <w:r w:rsidRPr="003C343C">
        <w:rPr>
          <w:rFonts w:ascii="Arial" w:hAnsi="Arial" w:cs="Arial"/>
          <w:sz w:val="20"/>
        </w:rPr>
        <w:t xml:space="preserve"> služeb využíva</w:t>
      </w:r>
      <w:r w:rsidR="002D7D0D">
        <w:rPr>
          <w:rFonts w:ascii="Arial" w:hAnsi="Arial" w:cs="Arial"/>
          <w:sz w:val="20"/>
        </w:rPr>
        <w:t>ly v roce 2016</w:t>
      </w:r>
      <w:r w:rsidRPr="003C343C">
        <w:rPr>
          <w:rFonts w:ascii="Arial" w:hAnsi="Arial" w:cs="Arial"/>
          <w:sz w:val="20"/>
        </w:rPr>
        <w:t xml:space="preserve"> nejvíce firmy </w:t>
      </w:r>
      <w:r w:rsidR="002D7D0D">
        <w:rPr>
          <w:rFonts w:ascii="Arial" w:hAnsi="Arial" w:cs="Arial"/>
          <w:sz w:val="20"/>
        </w:rPr>
        <w:t xml:space="preserve">ze severských států, především pak </w:t>
      </w:r>
      <w:r w:rsidRPr="003C343C">
        <w:rPr>
          <w:rFonts w:ascii="Arial" w:hAnsi="Arial" w:cs="Arial"/>
          <w:sz w:val="20"/>
        </w:rPr>
        <w:t>z</w:t>
      </w:r>
      <w:r w:rsidR="002D7D0D">
        <w:rPr>
          <w:rFonts w:ascii="Arial" w:hAnsi="Arial" w:cs="Arial"/>
          <w:sz w:val="20"/>
        </w:rPr>
        <w:t> </w:t>
      </w:r>
      <w:r w:rsidRPr="003C343C">
        <w:rPr>
          <w:rFonts w:ascii="Arial" w:hAnsi="Arial" w:cs="Arial"/>
          <w:sz w:val="20"/>
        </w:rPr>
        <w:t>Finska.</w:t>
      </w:r>
      <w:r>
        <w:rPr>
          <w:rFonts w:ascii="Arial" w:hAnsi="Arial" w:cs="Arial"/>
          <w:sz w:val="20"/>
        </w:rPr>
        <w:t xml:space="preserve"> </w:t>
      </w:r>
      <w:r w:rsidR="002D7D0D">
        <w:rPr>
          <w:rFonts w:ascii="Arial" w:hAnsi="Arial" w:cs="Arial"/>
          <w:sz w:val="20"/>
        </w:rPr>
        <w:t>Nejméně</w:t>
      </w:r>
      <w:r w:rsidR="00350B64">
        <w:rPr>
          <w:rFonts w:ascii="Arial" w:hAnsi="Arial" w:cs="Arial"/>
          <w:sz w:val="20"/>
        </w:rPr>
        <w:t xml:space="preserve"> je</w:t>
      </w:r>
      <w:r w:rsidR="002D7D0D">
        <w:rPr>
          <w:rFonts w:ascii="Arial" w:hAnsi="Arial" w:cs="Arial"/>
          <w:sz w:val="20"/>
        </w:rPr>
        <w:t xml:space="preserve"> </w:t>
      </w:r>
      <w:r w:rsidR="00087127">
        <w:rPr>
          <w:rFonts w:ascii="Arial" w:hAnsi="Arial" w:cs="Arial"/>
          <w:sz w:val="20"/>
        </w:rPr>
        <w:t xml:space="preserve">naproti tomu </w:t>
      </w:r>
      <w:r w:rsidR="002D7D0D">
        <w:rPr>
          <w:rFonts w:ascii="Arial" w:hAnsi="Arial" w:cs="Arial"/>
          <w:sz w:val="20"/>
        </w:rPr>
        <w:t xml:space="preserve">využívaly </w:t>
      </w:r>
      <w:r w:rsidR="00350B64">
        <w:rPr>
          <w:rFonts w:ascii="Arial" w:hAnsi="Arial" w:cs="Arial"/>
          <w:sz w:val="20"/>
        </w:rPr>
        <w:t>f</w:t>
      </w:r>
      <w:r w:rsidR="002D7D0D">
        <w:rPr>
          <w:rFonts w:ascii="Arial" w:hAnsi="Arial" w:cs="Arial"/>
          <w:sz w:val="20"/>
        </w:rPr>
        <w:t>irmy z Řecka, Lotyšska, Polska, Rumunska a Bulharska.</w:t>
      </w:r>
    </w:p>
    <w:p w:rsidR="00350B64" w:rsidRDefault="009F682E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350B64">
        <w:rPr>
          <w:rFonts w:ascii="Arial" w:hAnsi="Arial" w:cs="Arial"/>
          <w:sz w:val="20"/>
        </w:rPr>
        <w:t>V dotazníku bylo blíže zjišťováno využívání vybraných sedmi služeb, které se dají nakupovat od</w:t>
      </w:r>
      <w:r w:rsidR="002D7D0D" w:rsidRPr="00350B64">
        <w:rPr>
          <w:rFonts w:ascii="Arial" w:hAnsi="Arial" w:cs="Arial"/>
          <w:sz w:val="20"/>
        </w:rPr>
        <w:t> </w:t>
      </w:r>
      <w:r w:rsidRPr="00350B64">
        <w:rPr>
          <w:rFonts w:ascii="Arial" w:hAnsi="Arial" w:cs="Arial"/>
          <w:sz w:val="20"/>
        </w:rPr>
        <w:t xml:space="preserve">poskytovatelů ve formě </w:t>
      </w:r>
      <w:proofErr w:type="spellStart"/>
      <w:r w:rsidRPr="00350B64">
        <w:rPr>
          <w:rFonts w:ascii="Arial" w:hAnsi="Arial" w:cs="Arial"/>
          <w:sz w:val="20"/>
        </w:rPr>
        <w:t>cloud</w:t>
      </w:r>
      <w:proofErr w:type="spellEnd"/>
      <w:r w:rsidRPr="00350B64">
        <w:rPr>
          <w:rFonts w:ascii="Arial" w:hAnsi="Arial" w:cs="Arial"/>
          <w:sz w:val="20"/>
        </w:rPr>
        <w:t xml:space="preserve"> </w:t>
      </w:r>
      <w:proofErr w:type="spellStart"/>
      <w:r w:rsidRPr="00350B64">
        <w:rPr>
          <w:rFonts w:ascii="Arial" w:hAnsi="Arial" w:cs="Arial"/>
          <w:sz w:val="20"/>
        </w:rPr>
        <w:t>com</w:t>
      </w:r>
      <w:r w:rsidR="00CE5378">
        <w:rPr>
          <w:rFonts w:ascii="Arial" w:hAnsi="Arial" w:cs="Arial"/>
          <w:sz w:val="20"/>
        </w:rPr>
        <w:t>p</w:t>
      </w:r>
      <w:r w:rsidRPr="00350B64">
        <w:rPr>
          <w:rFonts w:ascii="Arial" w:hAnsi="Arial" w:cs="Arial"/>
          <w:sz w:val="20"/>
        </w:rPr>
        <w:t>utingu</w:t>
      </w:r>
      <w:proofErr w:type="spellEnd"/>
      <w:r w:rsidRPr="00350B64">
        <w:rPr>
          <w:rFonts w:ascii="Arial" w:hAnsi="Arial" w:cs="Arial"/>
          <w:sz w:val="20"/>
        </w:rPr>
        <w:t xml:space="preserve">. Firmy využívající některé z placených služeb </w:t>
      </w:r>
      <w:proofErr w:type="spellStart"/>
      <w:r w:rsidRPr="00350B64">
        <w:rPr>
          <w:rFonts w:ascii="Arial" w:hAnsi="Arial" w:cs="Arial"/>
          <w:sz w:val="20"/>
        </w:rPr>
        <w:t>cloud</w:t>
      </w:r>
      <w:proofErr w:type="spellEnd"/>
      <w:r w:rsidRPr="00350B64">
        <w:rPr>
          <w:rFonts w:ascii="Arial" w:hAnsi="Arial" w:cs="Arial"/>
          <w:sz w:val="20"/>
        </w:rPr>
        <w:t xml:space="preserve"> </w:t>
      </w:r>
      <w:proofErr w:type="spellStart"/>
      <w:r w:rsidRPr="00350B64">
        <w:rPr>
          <w:rFonts w:ascii="Arial" w:hAnsi="Arial" w:cs="Arial"/>
          <w:sz w:val="20"/>
        </w:rPr>
        <w:t>computingu</w:t>
      </w:r>
      <w:proofErr w:type="spellEnd"/>
      <w:r w:rsidRPr="00350B64">
        <w:rPr>
          <w:rFonts w:ascii="Arial" w:hAnsi="Arial" w:cs="Arial"/>
          <w:sz w:val="20"/>
        </w:rPr>
        <w:t xml:space="preserve"> se vyjadřovaly ke každé z nich. Nejčastěji využívanou službou je v</w:t>
      </w:r>
      <w:r w:rsidR="002D7D0D" w:rsidRPr="00350B64">
        <w:rPr>
          <w:rFonts w:ascii="Arial" w:hAnsi="Arial" w:cs="Arial"/>
          <w:sz w:val="20"/>
        </w:rPr>
        <w:t> </w:t>
      </w:r>
      <w:r w:rsidRPr="00350B64">
        <w:rPr>
          <w:rFonts w:ascii="Arial" w:hAnsi="Arial" w:cs="Arial"/>
          <w:sz w:val="20"/>
        </w:rPr>
        <w:t>Česku</w:t>
      </w:r>
      <w:r w:rsidR="002D7D0D" w:rsidRPr="00350B64">
        <w:rPr>
          <w:rFonts w:ascii="Arial" w:hAnsi="Arial" w:cs="Arial"/>
          <w:sz w:val="20"/>
        </w:rPr>
        <w:t xml:space="preserve"> od roku 2014</w:t>
      </w:r>
      <w:r w:rsidRPr="00350B64">
        <w:rPr>
          <w:rFonts w:ascii="Arial" w:hAnsi="Arial" w:cs="Arial"/>
          <w:sz w:val="20"/>
        </w:rPr>
        <w:t xml:space="preserve"> placený </w:t>
      </w:r>
      <w:proofErr w:type="spellStart"/>
      <w:r w:rsidRPr="00D77008">
        <w:rPr>
          <w:rFonts w:ascii="Arial" w:hAnsi="Arial" w:cs="Arial"/>
          <w:b/>
          <w:sz w:val="20"/>
        </w:rPr>
        <w:t>cloudový</w:t>
      </w:r>
      <w:proofErr w:type="spellEnd"/>
      <w:r w:rsidRPr="00D77008">
        <w:rPr>
          <w:rFonts w:ascii="Arial" w:hAnsi="Arial" w:cs="Arial"/>
          <w:b/>
          <w:sz w:val="20"/>
        </w:rPr>
        <w:t xml:space="preserve"> e-mail</w:t>
      </w:r>
      <w:r w:rsidRPr="00350B64">
        <w:rPr>
          <w:rFonts w:ascii="Arial" w:hAnsi="Arial" w:cs="Arial"/>
          <w:sz w:val="20"/>
        </w:rPr>
        <w:t xml:space="preserve">, </w:t>
      </w:r>
      <w:r w:rsidR="002D7D0D" w:rsidRPr="00350B64">
        <w:rPr>
          <w:rFonts w:ascii="Arial" w:hAnsi="Arial" w:cs="Arial"/>
          <w:sz w:val="20"/>
        </w:rPr>
        <w:t xml:space="preserve">v lednu 2017 jej </w:t>
      </w:r>
      <w:r w:rsidRPr="00350B64">
        <w:rPr>
          <w:rFonts w:ascii="Arial" w:hAnsi="Arial" w:cs="Arial"/>
          <w:sz w:val="20"/>
        </w:rPr>
        <w:t>využíva</w:t>
      </w:r>
      <w:r w:rsidR="002D7D0D" w:rsidRPr="00350B64">
        <w:rPr>
          <w:rFonts w:ascii="Arial" w:hAnsi="Arial" w:cs="Arial"/>
          <w:sz w:val="20"/>
        </w:rPr>
        <w:t>ly</w:t>
      </w:r>
      <w:r w:rsidRPr="00350B64">
        <w:rPr>
          <w:rFonts w:ascii="Arial" w:hAnsi="Arial" w:cs="Arial"/>
          <w:sz w:val="20"/>
        </w:rPr>
        <w:t xml:space="preserve"> více než tři čtvrtiny firem (77 %)</w:t>
      </w:r>
      <w:r w:rsidR="002D7D0D" w:rsidRPr="00350B64">
        <w:rPr>
          <w:rFonts w:ascii="Arial" w:hAnsi="Arial" w:cs="Arial"/>
          <w:sz w:val="20"/>
        </w:rPr>
        <w:t xml:space="preserve">. </w:t>
      </w:r>
      <w:r w:rsidRPr="00350B64">
        <w:rPr>
          <w:rFonts w:ascii="Arial" w:hAnsi="Arial" w:cs="Arial"/>
          <w:sz w:val="20"/>
        </w:rPr>
        <w:t xml:space="preserve">Druhým nejčastěji nakupovaným typem služby je </w:t>
      </w:r>
      <w:r w:rsidRPr="00D77008">
        <w:rPr>
          <w:rFonts w:ascii="Arial" w:hAnsi="Arial" w:cs="Arial"/>
          <w:b/>
          <w:sz w:val="20"/>
        </w:rPr>
        <w:t>ukládání dat v </w:t>
      </w:r>
      <w:proofErr w:type="spellStart"/>
      <w:r w:rsidRPr="00D77008">
        <w:rPr>
          <w:rFonts w:ascii="Arial" w:hAnsi="Arial" w:cs="Arial"/>
          <w:b/>
          <w:sz w:val="20"/>
        </w:rPr>
        <w:t>cloudu</w:t>
      </w:r>
      <w:proofErr w:type="spellEnd"/>
      <w:r w:rsidRPr="00350B64">
        <w:rPr>
          <w:rFonts w:ascii="Arial" w:hAnsi="Arial" w:cs="Arial"/>
          <w:sz w:val="20"/>
        </w:rPr>
        <w:t xml:space="preserve">, jež využívá téměř 60 % </w:t>
      </w:r>
      <w:r w:rsidR="00350B64" w:rsidRPr="00350B64">
        <w:rPr>
          <w:rFonts w:ascii="Arial" w:hAnsi="Arial" w:cs="Arial"/>
          <w:sz w:val="20"/>
        </w:rPr>
        <w:t xml:space="preserve">subjektů. </w:t>
      </w:r>
      <w:r w:rsidRPr="00350B64">
        <w:rPr>
          <w:rFonts w:ascii="Arial" w:hAnsi="Arial" w:cs="Arial"/>
          <w:sz w:val="20"/>
        </w:rPr>
        <w:t xml:space="preserve">Na třetím místě </w:t>
      </w:r>
      <w:r w:rsidR="002D7D0D" w:rsidRPr="00350B64">
        <w:rPr>
          <w:rFonts w:ascii="Arial" w:hAnsi="Arial" w:cs="Arial"/>
          <w:sz w:val="20"/>
        </w:rPr>
        <w:t xml:space="preserve">bylo v lednu 2017 </w:t>
      </w:r>
      <w:r w:rsidRPr="00350B64">
        <w:rPr>
          <w:rFonts w:ascii="Arial" w:hAnsi="Arial" w:cs="Arial"/>
          <w:sz w:val="20"/>
        </w:rPr>
        <w:t xml:space="preserve">využívání </w:t>
      </w:r>
      <w:r w:rsidRPr="00D77008">
        <w:rPr>
          <w:rFonts w:ascii="Arial" w:hAnsi="Arial" w:cs="Arial"/>
          <w:b/>
          <w:sz w:val="20"/>
        </w:rPr>
        <w:t xml:space="preserve">kancelářského </w:t>
      </w:r>
      <w:r w:rsidR="00D77008">
        <w:rPr>
          <w:rFonts w:ascii="Arial" w:hAnsi="Arial" w:cs="Arial"/>
          <w:b/>
          <w:sz w:val="20"/>
        </w:rPr>
        <w:t>SW</w:t>
      </w:r>
      <w:r w:rsidRPr="00350B64">
        <w:rPr>
          <w:rFonts w:ascii="Arial" w:hAnsi="Arial" w:cs="Arial"/>
          <w:sz w:val="20"/>
        </w:rPr>
        <w:t xml:space="preserve"> ve formě </w:t>
      </w:r>
      <w:proofErr w:type="spellStart"/>
      <w:r w:rsidRPr="00350B64">
        <w:rPr>
          <w:rFonts w:ascii="Arial" w:hAnsi="Arial" w:cs="Arial"/>
          <w:sz w:val="20"/>
        </w:rPr>
        <w:t>cloud</w:t>
      </w:r>
      <w:proofErr w:type="spellEnd"/>
      <w:r w:rsidRPr="00350B64">
        <w:rPr>
          <w:rFonts w:ascii="Arial" w:hAnsi="Arial" w:cs="Arial"/>
          <w:sz w:val="20"/>
        </w:rPr>
        <w:t xml:space="preserve"> </w:t>
      </w:r>
      <w:proofErr w:type="spellStart"/>
      <w:r w:rsidRPr="00350B64">
        <w:rPr>
          <w:rFonts w:ascii="Arial" w:hAnsi="Arial" w:cs="Arial"/>
          <w:sz w:val="20"/>
        </w:rPr>
        <w:t>computingu</w:t>
      </w:r>
      <w:proofErr w:type="spellEnd"/>
      <w:r w:rsidR="002D7D0D" w:rsidRPr="00350B64">
        <w:rPr>
          <w:rFonts w:ascii="Arial" w:hAnsi="Arial" w:cs="Arial"/>
          <w:sz w:val="20"/>
        </w:rPr>
        <w:t>.</w:t>
      </w:r>
      <w:r w:rsidRPr="00350B64">
        <w:rPr>
          <w:rFonts w:ascii="Arial" w:hAnsi="Arial" w:cs="Arial"/>
          <w:sz w:val="20"/>
        </w:rPr>
        <w:t xml:space="preserve"> </w:t>
      </w:r>
      <w:r w:rsidR="002D7D0D" w:rsidRPr="00350B64">
        <w:rPr>
          <w:rFonts w:ascii="Arial" w:hAnsi="Arial" w:cs="Arial"/>
          <w:sz w:val="20"/>
        </w:rPr>
        <w:t>Za tuto službu zaplatila</w:t>
      </w:r>
      <w:r w:rsidRPr="00350B64">
        <w:rPr>
          <w:rFonts w:ascii="Arial" w:hAnsi="Arial" w:cs="Arial"/>
          <w:sz w:val="20"/>
        </w:rPr>
        <w:t xml:space="preserve"> necelá polovina (48 %) z</w:t>
      </w:r>
      <w:r w:rsidR="002D7D0D" w:rsidRPr="00350B64">
        <w:rPr>
          <w:rFonts w:ascii="Arial" w:hAnsi="Arial" w:cs="Arial"/>
          <w:sz w:val="20"/>
        </w:rPr>
        <w:t> </w:t>
      </w:r>
      <w:r w:rsidRPr="00350B64">
        <w:rPr>
          <w:rFonts w:ascii="Arial" w:hAnsi="Arial" w:cs="Arial"/>
          <w:sz w:val="20"/>
        </w:rPr>
        <w:t>těch</w:t>
      </w:r>
      <w:r w:rsidR="002D7D0D" w:rsidRPr="00350B64">
        <w:rPr>
          <w:rFonts w:ascii="Arial" w:hAnsi="Arial" w:cs="Arial"/>
          <w:sz w:val="20"/>
        </w:rPr>
        <w:t>,</w:t>
      </w:r>
      <w:r w:rsidRPr="00350B64">
        <w:rPr>
          <w:rFonts w:ascii="Arial" w:hAnsi="Arial" w:cs="Arial"/>
          <w:sz w:val="20"/>
        </w:rPr>
        <w:t xml:space="preserve"> co používají placený </w:t>
      </w:r>
      <w:proofErr w:type="spellStart"/>
      <w:r w:rsidRPr="00350B64">
        <w:rPr>
          <w:rFonts w:ascii="Arial" w:hAnsi="Arial" w:cs="Arial"/>
          <w:sz w:val="20"/>
        </w:rPr>
        <w:t>cloud</w:t>
      </w:r>
      <w:proofErr w:type="spellEnd"/>
      <w:r w:rsidRPr="00350B64">
        <w:rPr>
          <w:rFonts w:ascii="Arial" w:hAnsi="Arial" w:cs="Arial"/>
          <w:sz w:val="20"/>
        </w:rPr>
        <w:t>.</w:t>
      </w:r>
      <w:r w:rsidR="00350B64">
        <w:rPr>
          <w:rFonts w:ascii="Arial" w:hAnsi="Arial" w:cs="Arial"/>
          <w:sz w:val="20"/>
        </w:rPr>
        <w:t xml:space="preserve"> </w:t>
      </w:r>
      <w:r w:rsidRPr="00350B64">
        <w:rPr>
          <w:rFonts w:ascii="Arial" w:hAnsi="Arial" w:cs="Arial"/>
          <w:sz w:val="20"/>
        </w:rPr>
        <w:t xml:space="preserve">Méně často jsou pak z placených </w:t>
      </w:r>
      <w:proofErr w:type="spellStart"/>
      <w:r w:rsidRPr="00350B64">
        <w:rPr>
          <w:rFonts w:ascii="Arial" w:hAnsi="Arial" w:cs="Arial"/>
          <w:sz w:val="20"/>
        </w:rPr>
        <w:t>cloudových</w:t>
      </w:r>
      <w:proofErr w:type="spellEnd"/>
      <w:r w:rsidRPr="00350B64">
        <w:rPr>
          <w:rFonts w:ascii="Arial" w:hAnsi="Arial" w:cs="Arial"/>
          <w:sz w:val="20"/>
        </w:rPr>
        <w:t xml:space="preserve"> služeb využívány </w:t>
      </w:r>
      <w:r w:rsidRPr="00D77008">
        <w:rPr>
          <w:rFonts w:ascii="Arial" w:hAnsi="Arial" w:cs="Arial"/>
          <w:b/>
          <w:sz w:val="20"/>
        </w:rPr>
        <w:t>databázové</w:t>
      </w:r>
      <w:r w:rsidR="00087127" w:rsidRPr="00350B64">
        <w:rPr>
          <w:rFonts w:ascii="Arial" w:hAnsi="Arial" w:cs="Arial"/>
          <w:sz w:val="20"/>
        </w:rPr>
        <w:t xml:space="preserve"> (42 % firem využívajících </w:t>
      </w:r>
      <w:proofErr w:type="spellStart"/>
      <w:r w:rsidR="00087127" w:rsidRPr="00350B64">
        <w:rPr>
          <w:rFonts w:ascii="Arial" w:hAnsi="Arial" w:cs="Arial"/>
          <w:sz w:val="20"/>
        </w:rPr>
        <w:t>cloud</w:t>
      </w:r>
      <w:proofErr w:type="spellEnd"/>
      <w:r w:rsidR="00087127" w:rsidRPr="00350B64">
        <w:rPr>
          <w:rFonts w:ascii="Arial" w:hAnsi="Arial" w:cs="Arial"/>
          <w:sz w:val="20"/>
        </w:rPr>
        <w:t>)</w:t>
      </w:r>
      <w:r w:rsidRPr="00350B64">
        <w:rPr>
          <w:rFonts w:ascii="Arial" w:hAnsi="Arial" w:cs="Arial"/>
          <w:sz w:val="20"/>
        </w:rPr>
        <w:t xml:space="preserve"> či </w:t>
      </w:r>
      <w:r w:rsidRPr="00D77008">
        <w:rPr>
          <w:rFonts w:ascii="Arial" w:hAnsi="Arial" w:cs="Arial"/>
          <w:b/>
          <w:sz w:val="20"/>
        </w:rPr>
        <w:t>účetní aplikace</w:t>
      </w:r>
      <w:r w:rsidR="00087127" w:rsidRPr="00350B64">
        <w:rPr>
          <w:rFonts w:ascii="Arial" w:hAnsi="Arial" w:cs="Arial"/>
          <w:sz w:val="20"/>
        </w:rPr>
        <w:t xml:space="preserve"> (37 % firem využívajících </w:t>
      </w:r>
      <w:proofErr w:type="spellStart"/>
      <w:r w:rsidR="00087127" w:rsidRPr="00350B64">
        <w:rPr>
          <w:rFonts w:ascii="Arial" w:hAnsi="Arial" w:cs="Arial"/>
          <w:sz w:val="20"/>
        </w:rPr>
        <w:t>cloud</w:t>
      </w:r>
      <w:proofErr w:type="spellEnd"/>
      <w:r w:rsidR="00087127" w:rsidRPr="00350B64">
        <w:rPr>
          <w:rFonts w:ascii="Arial" w:hAnsi="Arial" w:cs="Arial"/>
          <w:sz w:val="20"/>
        </w:rPr>
        <w:t>)</w:t>
      </w:r>
      <w:r w:rsidRPr="00350B64">
        <w:rPr>
          <w:rFonts w:ascii="Arial" w:hAnsi="Arial" w:cs="Arial"/>
          <w:sz w:val="20"/>
        </w:rPr>
        <w:t xml:space="preserve">. </w:t>
      </w:r>
    </w:p>
    <w:p w:rsidR="009F682E" w:rsidRPr="00350B64" w:rsidRDefault="009F682E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sz w:val="20"/>
        </w:rPr>
      </w:pPr>
      <w:r w:rsidRPr="00350B64">
        <w:rPr>
          <w:rFonts w:ascii="Arial" w:hAnsi="Arial" w:cs="Arial"/>
          <w:sz w:val="20"/>
        </w:rPr>
        <w:t xml:space="preserve">Relativně nejméně jsou prostřednictvím </w:t>
      </w:r>
      <w:proofErr w:type="spellStart"/>
      <w:r w:rsidRPr="00350B64">
        <w:rPr>
          <w:rFonts w:ascii="Arial" w:hAnsi="Arial" w:cs="Arial"/>
          <w:sz w:val="20"/>
        </w:rPr>
        <w:t>cloudu</w:t>
      </w:r>
      <w:proofErr w:type="spellEnd"/>
      <w:r w:rsidRPr="00350B64">
        <w:rPr>
          <w:rFonts w:ascii="Arial" w:hAnsi="Arial" w:cs="Arial"/>
          <w:sz w:val="20"/>
        </w:rPr>
        <w:t xml:space="preserve"> využívány </w:t>
      </w:r>
      <w:r w:rsidRPr="00D77008">
        <w:rPr>
          <w:rFonts w:ascii="Arial" w:hAnsi="Arial" w:cs="Arial"/>
          <w:b/>
          <w:sz w:val="20"/>
        </w:rPr>
        <w:t>aplikace analyzující informace o zákaznících</w:t>
      </w:r>
      <w:r w:rsidR="00350B64">
        <w:rPr>
          <w:rFonts w:ascii="Arial" w:hAnsi="Arial" w:cs="Arial"/>
          <w:sz w:val="20"/>
        </w:rPr>
        <w:t>, v lednu 2017 je používalo</w:t>
      </w:r>
      <w:r w:rsidRPr="00350B64">
        <w:rPr>
          <w:rFonts w:ascii="Arial" w:hAnsi="Arial" w:cs="Arial"/>
          <w:sz w:val="20"/>
        </w:rPr>
        <w:t xml:space="preserve"> 23 %</w:t>
      </w:r>
      <w:r w:rsidR="00350B64">
        <w:rPr>
          <w:rFonts w:ascii="Arial" w:hAnsi="Arial" w:cs="Arial"/>
          <w:sz w:val="20"/>
        </w:rPr>
        <w:t xml:space="preserve"> firem </w:t>
      </w:r>
      <w:r w:rsidR="00D77008">
        <w:rPr>
          <w:rFonts w:ascii="Arial" w:hAnsi="Arial" w:cs="Arial"/>
          <w:sz w:val="20"/>
        </w:rPr>
        <w:t>po</w:t>
      </w:r>
      <w:r w:rsidR="00350B64">
        <w:rPr>
          <w:rFonts w:ascii="Arial" w:hAnsi="Arial" w:cs="Arial"/>
          <w:sz w:val="20"/>
        </w:rPr>
        <w:t xml:space="preserve">užívajících </w:t>
      </w:r>
      <w:proofErr w:type="spellStart"/>
      <w:r w:rsidR="00350B64">
        <w:rPr>
          <w:rFonts w:ascii="Arial" w:hAnsi="Arial" w:cs="Arial"/>
          <w:sz w:val="20"/>
        </w:rPr>
        <w:t>cloud</w:t>
      </w:r>
      <w:proofErr w:type="spellEnd"/>
      <w:r w:rsidR="00350B64">
        <w:rPr>
          <w:rFonts w:ascii="Arial" w:hAnsi="Arial" w:cs="Arial"/>
          <w:sz w:val="20"/>
        </w:rPr>
        <w:t>. Nejméně často si firmy v roce 2017 platily za </w:t>
      </w:r>
      <w:r w:rsidRPr="00D77008">
        <w:rPr>
          <w:rFonts w:ascii="Arial" w:hAnsi="Arial" w:cs="Arial"/>
          <w:b/>
          <w:sz w:val="20"/>
        </w:rPr>
        <w:t>výpočetní výkon</w:t>
      </w:r>
      <w:r w:rsidRPr="00350B64">
        <w:rPr>
          <w:rFonts w:ascii="Arial" w:hAnsi="Arial" w:cs="Arial"/>
          <w:sz w:val="20"/>
        </w:rPr>
        <w:t xml:space="preserve"> využívaný pro fungování firemních aplikací (18 %</w:t>
      </w:r>
      <w:r w:rsidR="00350B64">
        <w:rPr>
          <w:rFonts w:ascii="Arial" w:hAnsi="Arial" w:cs="Arial"/>
          <w:sz w:val="20"/>
        </w:rPr>
        <w:t xml:space="preserve"> firem využívajících </w:t>
      </w:r>
      <w:proofErr w:type="spellStart"/>
      <w:r w:rsidR="00350B64">
        <w:rPr>
          <w:rFonts w:ascii="Arial" w:hAnsi="Arial" w:cs="Arial"/>
          <w:sz w:val="20"/>
        </w:rPr>
        <w:t>cloud</w:t>
      </w:r>
      <w:proofErr w:type="spellEnd"/>
      <w:r w:rsidR="00D77008">
        <w:rPr>
          <w:rFonts w:ascii="Arial" w:hAnsi="Arial" w:cs="Arial"/>
          <w:sz w:val="20"/>
        </w:rPr>
        <w:t>).</w:t>
      </w:r>
      <w:r w:rsidR="00350B64">
        <w:rPr>
          <w:rFonts w:ascii="Arial" w:hAnsi="Arial" w:cs="Arial"/>
          <w:sz w:val="20"/>
        </w:rPr>
        <w:t xml:space="preserve"> </w:t>
      </w:r>
    </w:p>
    <w:p w:rsidR="009F682E" w:rsidRDefault="009F682E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 w:rsidRPr="00BD768E">
        <w:rPr>
          <w:rFonts w:ascii="Arial" w:hAnsi="Arial" w:cs="Arial"/>
          <w:sz w:val="20"/>
        </w:rPr>
        <w:t xml:space="preserve">Využívání </w:t>
      </w:r>
      <w:r w:rsidR="00350B64">
        <w:rPr>
          <w:rFonts w:ascii="Arial" w:hAnsi="Arial" w:cs="Arial"/>
          <w:sz w:val="20"/>
        </w:rPr>
        <w:t>všech zmíněných</w:t>
      </w:r>
      <w:r w:rsidRPr="00BD768E">
        <w:rPr>
          <w:rFonts w:ascii="Arial" w:hAnsi="Arial" w:cs="Arial"/>
          <w:sz w:val="20"/>
        </w:rPr>
        <w:t xml:space="preserve"> služeb</w:t>
      </w:r>
      <w:r w:rsidR="00350B64">
        <w:rPr>
          <w:rFonts w:ascii="Arial" w:hAnsi="Arial" w:cs="Arial"/>
          <w:sz w:val="20"/>
        </w:rPr>
        <w:t xml:space="preserve"> </w:t>
      </w:r>
      <w:proofErr w:type="spellStart"/>
      <w:r w:rsidR="00350B64">
        <w:rPr>
          <w:rFonts w:ascii="Arial" w:hAnsi="Arial" w:cs="Arial"/>
          <w:sz w:val="20"/>
        </w:rPr>
        <w:t>cloud</w:t>
      </w:r>
      <w:proofErr w:type="spellEnd"/>
      <w:r w:rsidR="00350B64">
        <w:rPr>
          <w:rFonts w:ascii="Arial" w:hAnsi="Arial" w:cs="Arial"/>
          <w:sz w:val="20"/>
        </w:rPr>
        <w:t xml:space="preserve"> </w:t>
      </w:r>
      <w:proofErr w:type="spellStart"/>
      <w:r w:rsidR="00350B64">
        <w:rPr>
          <w:rFonts w:ascii="Arial" w:hAnsi="Arial" w:cs="Arial"/>
          <w:sz w:val="20"/>
        </w:rPr>
        <w:t>computingu</w:t>
      </w:r>
      <w:proofErr w:type="spellEnd"/>
      <w:r w:rsidRPr="00BD768E">
        <w:rPr>
          <w:rFonts w:ascii="Arial" w:hAnsi="Arial" w:cs="Arial"/>
          <w:sz w:val="20"/>
        </w:rPr>
        <w:t xml:space="preserve"> nabývá každým rokem na popularitě, nejvyšší</w:t>
      </w:r>
      <w:r w:rsidR="00350B64">
        <w:rPr>
          <w:rFonts w:ascii="Arial" w:hAnsi="Arial" w:cs="Arial"/>
          <w:sz w:val="20"/>
        </w:rPr>
        <w:t xml:space="preserve"> meziroční</w:t>
      </w:r>
      <w:r w:rsidRPr="00BD768E">
        <w:rPr>
          <w:rFonts w:ascii="Arial" w:hAnsi="Arial" w:cs="Arial"/>
          <w:sz w:val="20"/>
        </w:rPr>
        <w:t xml:space="preserve"> </w:t>
      </w:r>
      <w:r w:rsidR="00350B64">
        <w:rPr>
          <w:rFonts w:ascii="Arial" w:hAnsi="Arial" w:cs="Arial"/>
          <w:sz w:val="20"/>
        </w:rPr>
        <w:t>ná</w:t>
      </w:r>
      <w:r w:rsidRPr="00BD768E">
        <w:rPr>
          <w:rFonts w:ascii="Arial" w:hAnsi="Arial" w:cs="Arial"/>
          <w:sz w:val="20"/>
        </w:rPr>
        <w:t xml:space="preserve">růst </w:t>
      </w:r>
      <w:r w:rsidR="00350B64">
        <w:rPr>
          <w:rFonts w:ascii="Arial" w:hAnsi="Arial" w:cs="Arial"/>
          <w:sz w:val="20"/>
        </w:rPr>
        <w:t>jsme</w:t>
      </w:r>
      <w:r w:rsidRPr="00BD768E">
        <w:rPr>
          <w:rFonts w:ascii="Arial" w:hAnsi="Arial" w:cs="Arial"/>
          <w:sz w:val="20"/>
        </w:rPr>
        <w:t xml:space="preserve"> v lednu 2017</w:t>
      </w:r>
      <w:r w:rsidR="00350B64">
        <w:rPr>
          <w:rFonts w:ascii="Arial" w:hAnsi="Arial" w:cs="Arial"/>
          <w:sz w:val="20"/>
        </w:rPr>
        <w:t xml:space="preserve"> zaznamenali u</w:t>
      </w:r>
      <w:r w:rsidRPr="00BD768E">
        <w:rPr>
          <w:rFonts w:ascii="Arial" w:hAnsi="Arial" w:cs="Arial"/>
          <w:sz w:val="20"/>
        </w:rPr>
        <w:t xml:space="preserve"> ukládání dat</w:t>
      </w:r>
      <w:r w:rsidR="00350B64">
        <w:rPr>
          <w:rFonts w:ascii="Arial" w:hAnsi="Arial" w:cs="Arial"/>
          <w:sz w:val="20"/>
        </w:rPr>
        <w:t xml:space="preserve"> v </w:t>
      </w:r>
      <w:proofErr w:type="spellStart"/>
      <w:r w:rsidR="00350B64">
        <w:rPr>
          <w:rFonts w:ascii="Arial" w:hAnsi="Arial" w:cs="Arial"/>
          <w:sz w:val="20"/>
        </w:rPr>
        <w:t>cloudu</w:t>
      </w:r>
      <w:proofErr w:type="spellEnd"/>
      <w:r w:rsidRPr="00BD768E">
        <w:rPr>
          <w:rFonts w:ascii="Arial" w:hAnsi="Arial" w:cs="Arial"/>
          <w:sz w:val="20"/>
        </w:rPr>
        <w:t xml:space="preserve"> a </w:t>
      </w:r>
      <w:proofErr w:type="spellStart"/>
      <w:r w:rsidRPr="00BD768E">
        <w:rPr>
          <w:rFonts w:ascii="Arial" w:hAnsi="Arial" w:cs="Arial"/>
          <w:sz w:val="20"/>
        </w:rPr>
        <w:t>cloudov</w:t>
      </w:r>
      <w:r w:rsidR="00350B64">
        <w:rPr>
          <w:rFonts w:ascii="Arial" w:hAnsi="Arial" w:cs="Arial"/>
          <w:sz w:val="20"/>
        </w:rPr>
        <w:t>ého</w:t>
      </w:r>
      <w:proofErr w:type="spellEnd"/>
      <w:r w:rsidRPr="00BD768E">
        <w:rPr>
          <w:rFonts w:ascii="Arial" w:hAnsi="Arial" w:cs="Arial"/>
          <w:sz w:val="20"/>
        </w:rPr>
        <w:t xml:space="preserve"> kancelářs</w:t>
      </w:r>
      <w:r w:rsidR="00350B64">
        <w:rPr>
          <w:rFonts w:ascii="Arial" w:hAnsi="Arial" w:cs="Arial"/>
          <w:sz w:val="20"/>
        </w:rPr>
        <w:t>kého</w:t>
      </w:r>
      <w:r w:rsidRPr="00BD768E">
        <w:rPr>
          <w:rFonts w:ascii="Arial" w:hAnsi="Arial" w:cs="Arial"/>
          <w:sz w:val="20"/>
        </w:rPr>
        <w:t xml:space="preserve"> </w:t>
      </w:r>
      <w:r w:rsidR="00350B64">
        <w:rPr>
          <w:rFonts w:ascii="Arial" w:hAnsi="Arial" w:cs="Arial"/>
          <w:sz w:val="20"/>
        </w:rPr>
        <w:t>SW</w:t>
      </w:r>
      <w:r w:rsidRPr="00BD768E">
        <w:rPr>
          <w:rFonts w:ascii="Arial" w:hAnsi="Arial" w:cs="Arial"/>
          <w:sz w:val="20"/>
        </w:rPr>
        <w:t>.</w:t>
      </w:r>
    </w:p>
    <w:p w:rsidR="00BD768E" w:rsidRDefault="009F682E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Šetření</w:t>
      </w:r>
      <w:r w:rsidR="00350B64">
        <w:rPr>
          <w:rFonts w:ascii="Arial" w:hAnsi="Arial" w:cs="Arial"/>
          <w:sz w:val="20"/>
        </w:rPr>
        <w:t xml:space="preserve"> dále</w:t>
      </w:r>
      <w:r>
        <w:rPr>
          <w:rFonts w:ascii="Arial" w:hAnsi="Arial" w:cs="Arial"/>
          <w:sz w:val="20"/>
        </w:rPr>
        <w:t xml:space="preserve"> ukázalo, že</w:t>
      </w:r>
      <w:r w:rsidR="00D77008" w:rsidRPr="00D77008">
        <w:rPr>
          <w:rFonts w:ascii="Arial" w:hAnsi="Arial" w:cs="Arial"/>
          <w:sz w:val="20"/>
        </w:rPr>
        <w:t xml:space="preserve"> </w:t>
      </w:r>
      <w:r w:rsidR="00D77008">
        <w:rPr>
          <w:rFonts w:ascii="Arial" w:hAnsi="Arial" w:cs="Arial"/>
          <w:sz w:val="20"/>
        </w:rPr>
        <w:t>více než polovina</w:t>
      </w:r>
      <w:r>
        <w:rPr>
          <w:rFonts w:ascii="Arial" w:hAnsi="Arial" w:cs="Arial"/>
          <w:sz w:val="20"/>
        </w:rPr>
        <w:t xml:space="preserve"> fir</w:t>
      </w:r>
      <w:r w:rsidR="00D77008">
        <w:rPr>
          <w:rFonts w:ascii="Arial" w:hAnsi="Arial" w:cs="Arial"/>
          <w:sz w:val="20"/>
        </w:rPr>
        <w:t xml:space="preserve">em </w:t>
      </w:r>
      <w:r w:rsidR="00C33878">
        <w:rPr>
          <w:rFonts w:ascii="Arial" w:hAnsi="Arial" w:cs="Arial"/>
          <w:sz w:val="20"/>
        </w:rPr>
        <w:t>po</w:t>
      </w:r>
      <w:r w:rsidR="00BD768E">
        <w:rPr>
          <w:rFonts w:ascii="Arial" w:hAnsi="Arial" w:cs="Arial"/>
          <w:sz w:val="20"/>
        </w:rPr>
        <w:t>užíva</w:t>
      </w:r>
      <w:r w:rsidR="00D77008">
        <w:rPr>
          <w:rFonts w:ascii="Arial" w:hAnsi="Arial" w:cs="Arial"/>
          <w:sz w:val="20"/>
        </w:rPr>
        <w:t>jících</w:t>
      </w:r>
      <w:r w:rsidR="00BD768E">
        <w:rPr>
          <w:rFonts w:ascii="Arial" w:hAnsi="Arial" w:cs="Arial"/>
          <w:sz w:val="20"/>
        </w:rPr>
        <w:t xml:space="preserve"> placený </w:t>
      </w:r>
      <w:proofErr w:type="spellStart"/>
      <w:r w:rsidR="00BD768E"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computing</w:t>
      </w:r>
      <w:proofErr w:type="spellEnd"/>
      <w:r w:rsidR="00D77008">
        <w:rPr>
          <w:rFonts w:ascii="Arial" w:hAnsi="Arial" w:cs="Arial"/>
          <w:sz w:val="20"/>
        </w:rPr>
        <w:t xml:space="preserve"> jej</w:t>
      </w:r>
      <w:r w:rsidR="00BD76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</w:t>
      </w:r>
      <w:r w:rsidR="00BD768E">
        <w:rPr>
          <w:rFonts w:ascii="Arial" w:hAnsi="Arial" w:cs="Arial"/>
          <w:sz w:val="20"/>
        </w:rPr>
        <w:t>yužív</w:t>
      </w:r>
      <w:r w:rsidR="00C33878">
        <w:rPr>
          <w:rFonts w:ascii="Arial" w:hAnsi="Arial" w:cs="Arial"/>
          <w:sz w:val="20"/>
        </w:rPr>
        <w:t>á</w:t>
      </w:r>
      <w:r w:rsidR="00BD768E">
        <w:rPr>
          <w:rFonts w:ascii="Arial" w:hAnsi="Arial" w:cs="Arial"/>
          <w:sz w:val="20"/>
        </w:rPr>
        <w:t xml:space="preserve"> pro</w:t>
      </w:r>
      <w:r>
        <w:rPr>
          <w:rFonts w:ascii="Arial" w:hAnsi="Arial" w:cs="Arial"/>
          <w:sz w:val="20"/>
        </w:rPr>
        <w:t xml:space="preserve"> </w:t>
      </w:r>
      <w:r w:rsidRPr="00D77008">
        <w:rPr>
          <w:rFonts w:ascii="Arial" w:hAnsi="Arial" w:cs="Arial"/>
          <w:b/>
          <w:sz w:val="20"/>
        </w:rPr>
        <w:t>tři a</w:t>
      </w:r>
      <w:r w:rsidR="00CE5378">
        <w:rPr>
          <w:rFonts w:ascii="Arial" w:hAnsi="Arial" w:cs="Arial"/>
          <w:b/>
          <w:sz w:val="20"/>
        </w:rPr>
        <w:t> </w:t>
      </w:r>
      <w:r w:rsidRPr="00D77008">
        <w:rPr>
          <w:rFonts w:ascii="Arial" w:hAnsi="Arial" w:cs="Arial"/>
          <w:b/>
          <w:sz w:val="20"/>
        </w:rPr>
        <w:t>více</w:t>
      </w:r>
      <w:r w:rsidR="00BD768E" w:rsidRPr="00D77008">
        <w:rPr>
          <w:rFonts w:ascii="Arial" w:hAnsi="Arial" w:cs="Arial"/>
          <w:b/>
          <w:sz w:val="20"/>
        </w:rPr>
        <w:t xml:space="preserve"> účel</w:t>
      </w:r>
      <w:r w:rsidRPr="00D77008">
        <w:rPr>
          <w:rFonts w:ascii="Arial" w:hAnsi="Arial" w:cs="Arial"/>
          <w:b/>
          <w:sz w:val="20"/>
        </w:rPr>
        <w:t>ů</w:t>
      </w:r>
      <w:r w:rsidR="00BD768E">
        <w:rPr>
          <w:rFonts w:ascii="Arial" w:hAnsi="Arial" w:cs="Arial"/>
          <w:sz w:val="20"/>
        </w:rPr>
        <w:t>.</w:t>
      </w:r>
      <w:r w:rsidR="00D77008">
        <w:rPr>
          <w:rFonts w:ascii="Arial" w:hAnsi="Arial" w:cs="Arial"/>
          <w:sz w:val="20"/>
        </w:rPr>
        <w:t xml:space="preserve"> </w:t>
      </w:r>
      <w:r w:rsidR="00DE1847">
        <w:rPr>
          <w:rFonts w:ascii="Arial" w:hAnsi="Arial" w:cs="Arial"/>
          <w:sz w:val="20"/>
        </w:rPr>
        <w:t>Využívání více než dvou</w:t>
      </w:r>
      <w:r w:rsidR="00D77008">
        <w:rPr>
          <w:rFonts w:ascii="Arial" w:hAnsi="Arial" w:cs="Arial"/>
          <w:sz w:val="20"/>
        </w:rPr>
        <w:t xml:space="preserve"> placených </w:t>
      </w:r>
      <w:proofErr w:type="spellStart"/>
      <w:r w:rsidR="00D77008">
        <w:rPr>
          <w:rFonts w:ascii="Arial" w:hAnsi="Arial" w:cs="Arial"/>
          <w:sz w:val="20"/>
        </w:rPr>
        <w:t>cloudových</w:t>
      </w:r>
      <w:proofErr w:type="spellEnd"/>
      <w:r w:rsidR="00D77008">
        <w:rPr>
          <w:rFonts w:ascii="Arial" w:hAnsi="Arial" w:cs="Arial"/>
          <w:sz w:val="20"/>
        </w:rPr>
        <w:t xml:space="preserve"> služeb </w:t>
      </w:r>
      <w:r w:rsidR="00DE1847">
        <w:rPr>
          <w:rFonts w:ascii="Arial" w:hAnsi="Arial" w:cs="Arial"/>
          <w:sz w:val="20"/>
        </w:rPr>
        <w:t xml:space="preserve">je nejvíce typické pro </w:t>
      </w:r>
      <w:r w:rsidR="00D77008">
        <w:rPr>
          <w:rFonts w:ascii="Arial" w:hAnsi="Arial" w:cs="Arial"/>
          <w:sz w:val="20"/>
        </w:rPr>
        <w:t xml:space="preserve">firmy </w:t>
      </w:r>
      <w:proofErr w:type="spellStart"/>
      <w:r w:rsidR="00D77008">
        <w:rPr>
          <w:rFonts w:ascii="Arial" w:hAnsi="Arial" w:cs="Arial"/>
          <w:sz w:val="20"/>
        </w:rPr>
        <w:t>působící</w:t>
      </w:r>
      <w:r w:rsidR="00DE1847">
        <w:rPr>
          <w:rFonts w:ascii="Arial" w:hAnsi="Arial" w:cs="Arial"/>
          <w:sz w:val="20"/>
        </w:rPr>
        <w:t>v</w:t>
      </w:r>
      <w:proofErr w:type="spellEnd"/>
      <w:r w:rsidR="00DE1847">
        <w:rPr>
          <w:rFonts w:ascii="Arial" w:hAnsi="Arial" w:cs="Arial"/>
          <w:sz w:val="20"/>
        </w:rPr>
        <w:t xml:space="preserve"> </w:t>
      </w:r>
      <w:r w:rsidR="00D77008">
        <w:rPr>
          <w:rFonts w:ascii="Arial" w:hAnsi="Arial" w:cs="Arial"/>
          <w:sz w:val="20"/>
        </w:rPr>
        <w:t> IT</w:t>
      </w:r>
      <w:r w:rsidR="00DE1847">
        <w:rPr>
          <w:rFonts w:ascii="Arial" w:hAnsi="Arial" w:cs="Arial"/>
          <w:sz w:val="20"/>
        </w:rPr>
        <w:t xml:space="preserve"> případně v mediálním sektoru</w:t>
      </w:r>
      <w:r w:rsidR="00D77008">
        <w:rPr>
          <w:rFonts w:ascii="Arial" w:hAnsi="Arial" w:cs="Arial"/>
          <w:sz w:val="20"/>
        </w:rPr>
        <w:t xml:space="preserve">. Jeden typ </w:t>
      </w:r>
      <w:proofErr w:type="spellStart"/>
      <w:r w:rsidR="00D77008">
        <w:rPr>
          <w:rFonts w:ascii="Arial" w:hAnsi="Arial" w:cs="Arial"/>
          <w:sz w:val="20"/>
        </w:rPr>
        <w:t>cloudové</w:t>
      </w:r>
      <w:proofErr w:type="spellEnd"/>
      <w:r w:rsidR="00D77008">
        <w:rPr>
          <w:rFonts w:ascii="Arial" w:hAnsi="Arial" w:cs="Arial"/>
          <w:sz w:val="20"/>
        </w:rPr>
        <w:t xml:space="preserve"> služby si platí nejčastěji subjekty zabývající se výrobou a rozvody energií.</w:t>
      </w:r>
      <w:r w:rsidR="00350B6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BD768E">
        <w:rPr>
          <w:rFonts w:ascii="Arial" w:hAnsi="Arial" w:cs="Arial"/>
          <w:sz w:val="20"/>
        </w:rPr>
        <w:t xml:space="preserve"> </w:t>
      </w:r>
    </w:p>
    <w:p w:rsidR="008B7185" w:rsidRPr="009F682E" w:rsidRDefault="008B7185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9F682E">
        <w:rPr>
          <w:rFonts w:ascii="Arial" w:hAnsi="Arial" w:cs="Arial"/>
          <w:sz w:val="20"/>
        </w:rPr>
        <w:t xml:space="preserve">Placené služby </w:t>
      </w:r>
      <w:proofErr w:type="spellStart"/>
      <w:r w:rsidR="00BB4475" w:rsidRPr="009F682E">
        <w:rPr>
          <w:rFonts w:ascii="Arial" w:hAnsi="Arial" w:cs="Arial"/>
          <w:sz w:val="20"/>
        </w:rPr>
        <w:t>c</w:t>
      </w:r>
      <w:r w:rsidRPr="009F682E">
        <w:rPr>
          <w:rFonts w:ascii="Arial" w:hAnsi="Arial" w:cs="Arial"/>
          <w:sz w:val="20"/>
        </w:rPr>
        <w:t>loud</w:t>
      </w:r>
      <w:proofErr w:type="spellEnd"/>
      <w:r w:rsidRPr="009F682E">
        <w:rPr>
          <w:rFonts w:ascii="Arial" w:hAnsi="Arial" w:cs="Arial"/>
          <w:sz w:val="20"/>
        </w:rPr>
        <w:t xml:space="preserve"> </w:t>
      </w:r>
      <w:proofErr w:type="spellStart"/>
      <w:r w:rsidRPr="009F682E">
        <w:rPr>
          <w:rFonts w:ascii="Arial" w:hAnsi="Arial" w:cs="Arial"/>
          <w:sz w:val="20"/>
        </w:rPr>
        <w:t>computingu</w:t>
      </w:r>
      <w:proofErr w:type="spellEnd"/>
      <w:r w:rsidRPr="009F682E">
        <w:rPr>
          <w:rFonts w:ascii="Arial" w:hAnsi="Arial" w:cs="Arial"/>
          <w:sz w:val="20"/>
        </w:rPr>
        <w:t xml:space="preserve"> je možné využívat buď na </w:t>
      </w:r>
      <w:r w:rsidRPr="00D77008">
        <w:rPr>
          <w:rFonts w:ascii="Arial" w:hAnsi="Arial" w:cs="Arial"/>
          <w:b/>
          <w:sz w:val="20"/>
        </w:rPr>
        <w:t>sdílených serverech</w:t>
      </w:r>
      <w:r w:rsidRPr="009F682E">
        <w:rPr>
          <w:rFonts w:ascii="Arial" w:hAnsi="Arial" w:cs="Arial"/>
          <w:sz w:val="20"/>
        </w:rPr>
        <w:t xml:space="preserve"> poskytovatelů služeb, nebo na serverech poskytovatelů, které jsou </w:t>
      </w:r>
      <w:r w:rsidRPr="00B06790">
        <w:rPr>
          <w:rFonts w:ascii="Arial" w:hAnsi="Arial" w:cs="Arial"/>
          <w:b/>
          <w:sz w:val="20"/>
        </w:rPr>
        <w:t>vyhrazeny přímo pro konkrétní firmu</w:t>
      </w:r>
      <w:r w:rsidRPr="009F682E">
        <w:rPr>
          <w:rFonts w:ascii="Arial" w:hAnsi="Arial" w:cs="Arial"/>
          <w:sz w:val="20"/>
        </w:rPr>
        <w:t>. Častěji využívanou možností jsou</w:t>
      </w:r>
      <w:r w:rsidR="006228F1" w:rsidRPr="009F682E">
        <w:rPr>
          <w:rFonts w:ascii="Arial" w:hAnsi="Arial" w:cs="Arial"/>
          <w:sz w:val="20"/>
        </w:rPr>
        <w:t xml:space="preserve"> v českém prostředí</w:t>
      </w:r>
      <w:r w:rsidRPr="009F682E">
        <w:rPr>
          <w:rFonts w:ascii="Arial" w:hAnsi="Arial" w:cs="Arial"/>
          <w:sz w:val="20"/>
        </w:rPr>
        <w:t xml:space="preserve"> servery sdílené</w:t>
      </w:r>
      <w:r w:rsidR="00BB4475" w:rsidRPr="009F682E">
        <w:rPr>
          <w:rFonts w:ascii="Arial" w:hAnsi="Arial" w:cs="Arial"/>
          <w:sz w:val="20"/>
        </w:rPr>
        <w:t>,</w:t>
      </w:r>
      <w:r w:rsidRPr="009F682E">
        <w:rPr>
          <w:rFonts w:ascii="Arial" w:hAnsi="Arial" w:cs="Arial"/>
          <w:sz w:val="20"/>
        </w:rPr>
        <w:t xml:space="preserve"> na nichž využilo některou z </w:t>
      </w:r>
      <w:proofErr w:type="spellStart"/>
      <w:r w:rsidRPr="009F682E">
        <w:rPr>
          <w:rFonts w:ascii="Arial" w:hAnsi="Arial" w:cs="Arial"/>
          <w:sz w:val="20"/>
        </w:rPr>
        <w:t>cloudových</w:t>
      </w:r>
      <w:proofErr w:type="spellEnd"/>
      <w:r w:rsidRPr="009F682E">
        <w:rPr>
          <w:rFonts w:ascii="Arial" w:hAnsi="Arial" w:cs="Arial"/>
          <w:sz w:val="20"/>
        </w:rPr>
        <w:t xml:space="preserve"> služeb </w:t>
      </w:r>
      <w:r w:rsidR="00BB4475" w:rsidRPr="009F682E">
        <w:rPr>
          <w:rFonts w:ascii="Arial" w:hAnsi="Arial" w:cs="Arial"/>
          <w:sz w:val="20"/>
        </w:rPr>
        <w:t>1</w:t>
      </w:r>
      <w:r w:rsidR="006228F1" w:rsidRPr="009F682E">
        <w:rPr>
          <w:rFonts w:ascii="Arial" w:hAnsi="Arial" w:cs="Arial"/>
          <w:sz w:val="20"/>
        </w:rPr>
        <w:t>7</w:t>
      </w:r>
      <w:r w:rsidRPr="009F682E">
        <w:rPr>
          <w:rFonts w:ascii="Arial" w:hAnsi="Arial" w:cs="Arial"/>
          <w:sz w:val="20"/>
        </w:rPr>
        <w:t xml:space="preserve"> % </w:t>
      </w:r>
      <w:r w:rsidR="00BB4475" w:rsidRPr="009F682E">
        <w:rPr>
          <w:rFonts w:ascii="Arial" w:hAnsi="Arial" w:cs="Arial"/>
          <w:sz w:val="20"/>
        </w:rPr>
        <w:t>všech firem</w:t>
      </w:r>
      <w:r w:rsidRPr="009F682E">
        <w:rPr>
          <w:rFonts w:ascii="Arial" w:hAnsi="Arial" w:cs="Arial"/>
          <w:sz w:val="20"/>
        </w:rPr>
        <w:t xml:space="preserve"> </w:t>
      </w:r>
      <w:r w:rsidR="00BB4475" w:rsidRPr="009F682E">
        <w:rPr>
          <w:rFonts w:ascii="Arial" w:hAnsi="Arial" w:cs="Arial"/>
          <w:sz w:val="20"/>
        </w:rPr>
        <w:t xml:space="preserve">(tj. více než tři čtvrtiny subjektů využívajících </w:t>
      </w:r>
      <w:proofErr w:type="spellStart"/>
      <w:r w:rsidR="00BB4475" w:rsidRPr="009F682E">
        <w:rPr>
          <w:rFonts w:ascii="Arial" w:hAnsi="Arial" w:cs="Arial"/>
          <w:sz w:val="20"/>
        </w:rPr>
        <w:t>cloud</w:t>
      </w:r>
      <w:proofErr w:type="spellEnd"/>
      <w:r w:rsidR="00BB4475" w:rsidRPr="009F682E">
        <w:rPr>
          <w:rFonts w:ascii="Arial" w:hAnsi="Arial" w:cs="Arial"/>
          <w:sz w:val="20"/>
        </w:rPr>
        <w:t xml:space="preserve"> </w:t>
      </w:r>
      <w:proofErr w:type="spellStart"/>
      <w:r w:rsidR="00BB4475" w:rsidRPr="009F682E">
        <w:rPr>
          <w:rFonts w:ascii="Arial" w:hAnsi="Arial" w:cs="Arial"/>
          <w:sz w:val="20"/>
        </w:rPr>
        <w:t>computing</w:t>
      </w:r>
      <w:proofErr w:type="spellEnd"/>
      <w:r w:rsidR="00BB4475" w:rsidRPr="009F682E">
        <w:rPr>
          <w:rFonts w:ascii="Arial" w:hAnsi="Arial" w:cs="Arial"/>
          <w:sz w:val="20"/>
        </w:rPr>
        <w:t>). N</w:t>
      </w:r>
      <w:r w:rsidRPr="009F682E">
        <w:rPr>
          <w:rFonts w:ascii="Arial" w:hAnsi="Arial" w:cs="Arial"/>
          <w:sz w:val="20"/>
        </w:rPr>
        <w:t xml:space="preserve">a serverech vyhrazených výlučně pro konkrétní firmu pak využívá služeb </w:t>
      </w:r>
      <w:proofErr w:type="spellStart"/>
      <w:r w:rsidRPr="009F682E">
        <w:rPr>
          <w:rFonts w:ascii="Arial" w:hAnsi="Arial" w:cs="Arial"/>
          <w:sz w:val="20"/>
        </w:rPr>
        <w:t>Cloud</w:t>
      </w:r>
      <w:proofErr w:type="spellEnd"/>
      <w:r w:rsidRPr="009F682E">
        <w:rPr>
          <w:rFonts w:ascii="Arial" w:hAnsi="Arial" w:cs="Arial"/>
          <w:sz w:val="20"/>
        </w:rPr>
        <w:t xml:space="preserve"> </w:t>
      </w:r>
      <w:proofErr w:type="spellStart"/>
      <w:r w:rsidRPr="009F682E">
        <w:rPr>
          <w:rFonts w:ascii="Arial" w:hAnsi="Arial" w:cs="Arial"/>
          <w:sz w:val="20"/>
        </w:rPr>
        <w:t>computingu</w:t>
      </w:r>
      <w:proofErr w:type="spellEnd"/>
      <w:r w:rsidRPr="009F682E">
        <w:rPr>
          <w:rFonts w:ascii="Arial" w:hAnsi="Arial" w:cs="Arial"/>
          <w:sz w:val="20"/>
        </w:rPr>
        <w:t xml:space="preserve"> </w:t>
      </w:r>
      <w:r w:rsidR="006228F1" w:rsidRPr="009F682E">
        <w:rPr>
          <w:rFonts w:ascii="Arial" w:hAnsi="Arial" w:cs="Arial"/>
          <w:sz w:val="20"/>
        </w:rPr>
        <w:t>9</w:t>
      </w:r>
      <w:r w:rsidRPr="009F682E">
        <w:rPr>
          <w:rFonts w:ascii="Arial" w:hAnsi="Arial" w:cs="Arial"/>
          <w:sz w:val="20"/>
        </w:rPr>
        <w:t xml:space="preserve"> % </w:t>
      </w:r>
      <w:r w:rsidR="00BB4475" w:rsidRPr="009F682E">
        <w:rPr>
          <w:rFonts w:ascii="Arial" w:hAnsi="Arial" w:cs="Arial"/>
          <w:sz w:val="20"/>
        </w:rPr>
        <w:t xml:space="preserve">subjektů (tj. </w:t>
      </w:r>
      <w:r w:rsidR="006228F1" w:rsidRPr="009F682E">
        <w:rPr>
          <w:rFonts w:ascii="Arial" w:hAnsi="Arial" w:cs="Arial"/>
          <w:sz w:val="20"/>
        </w:rPr>
        <w:t>42 % z firem,</w:t>
      </w:r>
      <w:r w:rsidR="00BB4475" w:rsidRPr="009F682E">
        <w:rPr>
          <w:rFonts w:ascii="Arial" w:hAnsi="Arial" w:cs="Arial"/>
          <w:sz w:val="20"/>
        </w:rPr>
        <w:t xml:space="preserve"> které využívají </w:t>
      </w:r>
      <w:proofErr w:type="spellStart"/>
      <w:r w:rsidR="00BB4475" w:rsidRPr="009F682E">
        <w:rPr>
          <w:rFonts w:ascii="Arial" w:hAnsi="Arial" w:cs="Arial"/>
          <w:sz w:val="20"/>
        </w:rPr>
        <w:t>cloud</w:t>
      </w:r>
      <w:proofErr w:type="spellEnd"/>
      <w:r w:rsidR="00BB4475" w:rsidRPr="009F682E">
        <w:rPr>
          <w:rFonts w:ascii="Arial" w:hAnsi="Arial" w:cs="Arial"/>
          <w:sz w:val="20"/>
        </w:rPr>
        <w:t>)</w:t>
      </w:r>
      <w:r w:rsidRPr="009F682E">
        <w:rPr>
          <w:rFonts w:ascii="Arial" w:hAnsi="Arial" w:cs="Arial"/>
          <w:sz w:val="20"/>
        </w:rPr>
        <w:t xml:space="preserve">. </w:t>
      </w:r>
      <w:r w:rsidR="006228F1" w:rsidRPr="009F682E">
        <w:rPr>
          <w:rFonts w:ascii="Arial" w:hAnsi="Arial" w:cs="Arial"/>
          <w:sz w:val="20"/>
        </w:rPr>
        <w:t>Vyhrazené servery využívají především velké subjekty s více než 250 zaměstnanci.</w:t>
      </w:r>
    </w:p>
    <w:p w:rsidR="00386083" w:rsidRPr="003A0365" w:rsidRDefault="00386083" w:rsidP="00CC318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 w:line="288" w:lineRule="auto"/>
        <w:ind w:left="357" w:hanging="357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6228F1">
        <w:rPr>
          <w:rFonts w:ascii="Arial" w:hAnsi="Arial" w:cs="Arial"/>
          <w:sz w:val="20"/>
        </w:rPr>
        <w:t>Pouze sdílené servery poskytovatelů služeb využív</w:t>
      </w:r>
      <w:r w:rsidR="00D77008">
        <w:rPr>
          <w:rFonts w:ascii="Arial" w:hAnsi="Arial" w:cs="Arial"/>
          <w:sz w:val="20"/>
        </w:rPr>
        <w:t>alo v lednu 2017</w:t>
      </w:r>
      <w:r w:rsidRPr="006228F1">
        <w:rPr>
          <w:rFonts w:ascii="Arial" w:hAnsi="Arial" w:cs="Arial"/>
          <w:sz w:val="20"/>
        </w:rPr>
        <w:t xml:space="preserve"> </w:t>
      </w:r>
      <w:r w:rsidR="006228F1" w:rsidRPr="006228F1">
        <w:rPr>
          <w:rFonts w:ascii="Arial" w:hAnsi="Arial" w:cs="Arial"/>
          <w:sz w:val="20"/>
        </w:rPr>
        <w:t xml:space="preserve">téměř </w:t>
      </w:r>
      <w:r w:rsidRPr="006228F1">
        <w:rPr>
          <w:rFonts w:ascii="Arial" w:hAnsi="Arial" w:cs="Arial"/>
          <w:sz w:val="20"/>
        </w:rPr>
        <w:t>60 % firem. Čtvrtina subjektů naproti tomu využív</w:t>
      </w:r>
      <w:r w:rsidR="00D77008">
        <w:rPr>
          <w:rFonts w:ascii="Arial" w:hAnsi="Arial" w:cs="Arial"/>
          <w:sz w:val="20"/>
        </w:rPr>
        <w:t>ala</w:t>
      </w:r>
      <w:r w:rsidR="009C35CE">
        <w:rPr>
          <w:rFonts w:ascii="Arial" w:hAnsi="Arial" w:cs="Arial"/>
          <w:sz w:val="20"/>
        </w:rPr>
        <w:t xml:space="preserve"> jen</w:t>
      </w:r>
      <w:r w:rsidRPr="006228F1">
        <w:rPr>
          <w:rFonts w:ascii="Arial" w:hAnsi="Arial" w:cs="Arial"/>
          <w:sz w:val="20"/>
        </w:rPr>
        <w:t xml:space="preserve"> servery vyhrazené výlučně pro jejich firmu. Oba typy serverů využíval</w:t>
      </w:r>
      <w:r w:rsidR="00D77008">
        <w:rPr>
          <w:rFonts w:ascii="Arial" w:hAnsi="Arial" w:cs="Arial"/>
          <w:sz w:val="20"/>
        </w:rPr>
        <w:t>a</w:t>
      </w:r>
      <w:r w:rsidRPr="006228F1">
        <w:rPr>
          <w:rFonts w:ascii="Arial" w:hAnsi="Arial" w:cs="Arial"/>
          <w:sz w:val="20"/>
        </w:rPr>
        <w:t xml:space="preserve"> v lednu 201</w:t>
      </w:r>
      <w:r w:rsidR="006228F1" w:rsidRPr="006228F1">
        <w:rPr>
          <w:rFonts w:ascii="Arial" w:hAnsi="Arial" w:cs="Arial"/>
          <w:sz w:val="20"/>
        </w:rPr>
        <w:t>7</w:t>
      </w:r>
      <w:r w:rsidRPr="006228F1">
        <w:rPr>
          <w:rFonts w:ascii="Arial" w:hAnsi="Arial" w:cs="Arial"/>
          <w:sz w:val="20"/>
        </w:rPr>
        <w:t xml:space="preserve"> </w:t>
      </w:r>
      <w:r w:rsidR="00D77008">
        <w:rPr>
          <w:rFonts w:ascii="Arial" w:hAnsi="Arial" w:cs="Arial"/>
          <w:sz w:val="20"/>
        </w:rPr>
        <w:t>pětina</w:t>
      </w:r>
      <w:r w:rsidRPr="006228F1">
        <w:rPr>
          <w:rFonts w:ascii="Arial" w:hAnsi="Arial" w:cs="Arial"/>
          <w:sz w:val="20"/>
        </w:rPr>
        <w:t xml:space="preserve"> firem</w:t>
      </w:r>
      <w:r w:rsidR="006228F1" w:rsidRPr="006228F1">
        <w:rPr>
          <w:rFonts w:ascii="Arial" w:hAnsi="Arial" w:cs="Arial"/>
          <w:sz w:val="20"/>
        </w:rPr>
        <w:t>, nejčastěji firmy z IT sektoru či subjekty působící v odvětví souhrnně nazvaném Profesní, vědecké a</w:t>
      </w:r>
      <w:r w:rsidR="00F71CB0">
        <w:rPr>
          <w:rFonts w:ascii="Arial" w:hAnsi="Arial" w:cs="Arial"/>
          <w:sz w:val="20"/>
        </w:rPr>
        <w:t> </w:t>
      </w:r>
      <w:r w:rsidR="006228F1" w:rsidRPr="006228F1">
        <w:rPr>
          <w:rFonts w:ascii="Arial" w:hAnsi="Arial" w:cs="Arial"/>
          <w:sz w:val="20"/>
        </w:rPr>
        <w:t>technické činnosti, kam patří např. právní</w:t>
      </w:r>
      <w:r w:rsidR="00C33878">
        <w:rPr>
          <w:rFonts w:ascii="Arial" w:hAnsi="Arial" w:cs="Arial"/>
          <w:sz w:val="20"/>
        </w:rPr>
        <w:t>,</w:t>
      </w:r>
      <w:r w:rsidR="006228F1" w:rsidRPr="006228F1">
        <w:rPr>
          <w:rFonts w:ascii="Arial" w:hAnsi="Arial" w:cs="Arial"/>
          <w:sz w:val="20"/>
        </w:rPr>
        <w:t xml:space="preserve"> účetn</w:t>
      </w:r>
      <w:r w:rsidR="00D77008">
        <w:rPr>
          <w:rFonts w:ascii="Arial" w:hAnsi="Arial" w:cs="Arial"/>
          <w:sz w:val="20"/>
        </w:rPr>
        <w:t>í či</w:t>
      </w:r>
      <w:r w:rsidR="00D77008" w:rsidRPr="00D77008">
        <w:rPr>
          <w:rFonts w:ascii="Arial" w:hAnsi="Arial" w:cs="Arial"/>
          <w:sz w:val="20"/>
        </w:rPr>
        <w:t xml:space="preserve"> </w:t>
      </w:r>
      <w:r w:rsidR="00D77008" w:rsidRPr="006228F1">
        <w:rPr>
          <w:rFonts w:ascii="Arial" w:hAnsi="Arial" w:cs="Arial"/>
          <w:sz w:val="20"/>
        </w:rPr>
        <w:t>architektonické</w:t>
      </w:r>
      <w:r w:rsidR="006228F1" w:rsidRPr="006228F1">
        <w:rPr>
          <w:rFonts w:ascii="Arial" w:hAnsi="Arial" w:cs="Arial"/>
          <w:sz w:val="20"/>
        </w:rPr>
        <w:t xml:space="preserve"> činnosti</w:t>
      </w:r>
      <w:r w:rsidR="00D77008">
        <w:rPr>
          <w:rFonts w:ascii="Arial" w:hAnsi="Arial" w:cs="Arial"/>
          <w:sz w:val="20"/>
        </w:rPr>
        <w:t xml:space="preserve"> nebo</w:t>
      </w:r>
      <w:r w:rsidR="00F71CB0">
        <w:rPr>
          <w:rFonts w:ascii="Arial" w:hAnsi="Arial" w:cs="Arial"/>
          <w:sz w:val="20"/>
        </w:rPr>
        <w:t xml:space="preserve"> </w:t>
      </w:r>
      <w:r w:rsidR="006228F1" w:rsidRPr="006228F1">
        <w:rPr>
          <w:rFonts w:ascii="Arial" w:hAnsi="Arial" w:cs="Arial"/>
          <w:sz w:val="20"/>
        </w:rPr>
        <w:t>výzkum a vývoj</w:t>
      </w:r>
      <w:r w:rsidR="00F71CB0">
        <w:rPr>
          <w:rFonts w:ascii="Arial" w:hAnsi="Arial" w:cs="Arial"/>
          <w:sz w:val="20"/>
        </w:rPr>
        <w:t>.</w:t>
      </w:r>
      <w:r w:rsidR="006228F1" w:rsidRPr="006228F1">
        <w:rPr>
          <w:rFonts w:ascii="Arial" w:hAnsi="Arial" w:cs="Arial"/>
          <w:sz w:val="20"/>
        </w:rPr>
        <w:t xml:space="preserve"> </w:t>
      </w:r>
    </w:p>
    <w:p w:rsidR="009D6385" w:rsidRDefault="00D77008" w:rsidP="00350B64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D6385" w:rsidRPr="009D6385">
        <w:rPr>
          <w:rFonts w:ascii="Arial" w:hAnsi="Arial" w:cs="Arial"/>
          <w:b/>
          <w:sz w:val="20"/>
          <w:szCs w:val="20"/>
        </w:rPr>
        <w:lastRenderedPageBreak/>
        <w:t xml:space="preserve">Tab. </w:t>
      </w:r>
      <w:r w:rsidR="00534D7E">
        <w:rPr>
          <w:rFonts w:ascii="Arial" w:hAnsi="Arial" w:cs="Arial"/>
          <w:b/>
          <w:sz w:val="20"/>
          <w:szCs w:val="20"/>
        </w:rPr>
        <w:t>5</w:t>
      </w:r>
      <w:r w:rsidR="009D6385" w:rsidRPr="009D6385">
        <w:rPr>
          <w:rFonts w:ascii="Arial" w:hAnsi="Arial" w:cs="Arial"/>
          <w:b/>
          <w:sz w:val="20"/>
          <w:szCs w:val="20"/>
        </w:rPr>
        <w:t xml:space="preserve">.1: Firmy v ČR využívající placených služeb </w:t>
      </w:r>
      <w:proofErr w:type="spellStart"/>
      <w:r w:rsidR="009D6385"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="009D6385"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6385" w:rsidRPr="009D6385">
        <w:rPr>
          <w:rFonts w:ascii="Arial" w:hAnsi="Arial" w:cs="Arial"/>
          <w:b/>
          <w:sz w:val="20"/>
          <w:szCs w:val="20"/>
        </w:rPr>
        <w:t>computingu</w:t>
      </w:r>
      <w:proofErr w:type="spellEnd"/>
      <w:r w:rsidR="009D6385" w:rsidRPr="009D6385">
        <w:rPr>
          <w:rFonts w:ascii="Arial" w:hAnsi="Arial" w:cs="Arial"/>
          <w:b/>
          <w:sz w:val="20"/>
          <w:szCs w:val="20"/>
        </w:rPr>
        <w:t>, leden 201</w:t>
      </w:r>
      <w:r w:rsidR="0025584E">
        <w:rPr>
          <w:rFonts w:ascii="Arial" w:hAnsi="Arial" w:cs="Arial"/>
          <w:b/>
          <w:sz w:val="20"/>
          <w:szCs w:val="20"/>
        </w:rPr>
        <w:t>7</w:t>
      </w:r>
    </w:p>
    <w:tbl>
      <w:tblPr>
        <w:tblW w:w="94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611"/>
        <w:gridCol w:w="985"/>
        <w:gridCol w:w="745"/>
        <w:gridCol w:w="752"/>
        <w:gridCol w:w="622"/>
        <w:gridCol w:w="985"/>
        <w:gridCol w:w="745"/>
        <w:gridCol w:w="728"/>
      </w:tblGrid>
      <w:tr w:rsidR="00841163" w:rsidRPr="00841163" w:rsidTr="00841163">
        <w:trPr>
          <w:trHeight w:val="240"/>
        </w:trPr>
        <w:tc>
          <w:tcPr>
            <w:tcW w:w="3277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  <w:r w:rsidRPr="00841163">
              <w:rPr>
                <w:rFonts w:ascii="Calibri" w:eastAsia="Times New Roman" w:hAnsi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6173" w:type="dxa"/>
            <w:gridSpan w:val="8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163" w:rsidRPr="00841163" w:rsidRDefault="00841163" w:rsidP="00FC49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typy služeb</w:t>
            </w:r>
            <w:r w:rsidR="00FC4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využívaných ve formě placeného </w:t>
            </w:r>
            <w:proofErr w:type="spellStart"/>
            <w:r w:rsidR="00FC4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</w:t>
            </w:r>
            <w:proofErr w:type="spellEnd"/>
            <w:r w:rsidR="00FC4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FC49C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computingu</w:t>
            </w:r>
            <w:proofErr w:type="spellEnd"/>
          </w:p>
        </w:tc>
      </w:tr>
      <w:tr w:rsidR="00841163" w:rsidRPr="00841163" w:rsidTr="00841163">
        <w:trPr>
          <w:trHeight w:val="510"/>
        </w:trPr>
        <w:tc>
          <w:tcPr>
            <w:tcW w:w="3277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6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  <w:proofErr w:type="gramEnd"/>
          </w:p>
        </w:tc>
        <w:tc>
          <w:tcPr>
            <w:tcW w:w="7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9C7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</w:t>
            </w:r>
          </w:p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proofErr w:type="spellStart"/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752" w:type="dxa"/>
            <w:tcBorders>
              <w:top w:val="single" w:sz="4" w:space="0" w:color="969696"/>
              <w:left w:val="nil"/>
              <w:bottom w:val="single" w:sz="4" w:space="0" w:color="969696"/>
              <w:right w:val="dashSmallGap" w:sz="4" w:space="0" w:color="auto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  <w:tc>
          <w:tcPr>
            <w:tcW w:w="622" w:type="dxa"/>
            <w:tcBorders>
              <w:top w:val="single" w:sz="4" w:space="0" w:color="969696"/>
              <w:left w:val="dashSmallGap" w:sz="4" w:space="0" w:color="auto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e-mail</w:t>
            </w:r>
          </w:p>
        </w:tc>
        <w:tc>
          <w:tcPr>
            <w:tcW w:w="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kancelářský  software</w:t>
            </w:r>
            <w:proofErr w:type="gramEnd"/>
          </w:p>
        </w:tc>
        <w:tc>
          <w:tcPr>
            <w:tcW w:w="74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9C7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ukládání dat </w:t>
            </w:r>
          </w:p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 </w:t>
            </w:r>
            <w:proofErr w:type="spellStart"/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cloudu</w:t>
            </w:r>
            <w:proofErr w:type="spellEnd"/>
          </w:p>
        </w:tc>
        <w:tc>
          <w:tcPr>
            <w:tcW w:w="728" w:type="dxa"/>
            <w:tcBorders>
              <w:top w:val="single" w:sz="4" w:space="0" w:color="969696"/>
              <w:left w:val="nil"/>
              <w:bottom w:val="single" w:sz="4" w:space="0" w:color="969696"/>
            </w:tcBorders>
            <w:shd w:val="clear" w:color="000000" w:fill="FFFFFF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účetní aplikace</w:t>
            </w:r>
          </w:p>
        </w:tc>
      </w:tr>
      <w:tr w:rsidR="00841163" w:rsidRPr="00841163" w:rsidTr="00841163">
        <w:trPr>
          <w:trHeight w:val="630"/>
        </w:trPr>
        <w:tc>
          <w:tcPr>
            <w:tcW w:w="3277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969696"/>
              <w:left w:val="nil"/>
              <w:bottom w:val="single" w:sz="4" w:space="0" w:color="80808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podíl na celkovém počtu firem v dané velikostní a odvětvové skupině (v %)</w:t>
            </w:r>
          </w:p>
        </w:tc>
        <w:tc>
          <w:tcPr>
            <w:tcW w:w="3080" w:type="dxa"/>
            <w:gridSpan w:val="4"/>
            <w:tcBorders>
              <w:top w:val="nil"/>
              <w:left w:val="dashSmallGap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podíl na celkovém počtu firem </w:t>
            </w:r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eastAsia="cs-CZ"/>
              </w:rPr>
              <w:t xml:space="preserve">využívajících placených služeb </w:t>
            </w:r>
            <w:proofErr w:type="spellStart"/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eastAsia="cs-CZ"/>
              </w:rPr>
              <w:t>cloud</w:t>
            </w:r>
            <w:proofErr w:type="spellEnd"/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eastAsia="cs-CZ"/>
              </w:rPr>
              <w:t xml:space="preserve"> </w:t>
            </w:r>
            <w:proofErr w:type="spellStart"/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u w:val="single"/>
                <w:lang w:eastAsia="cs-CZ"/>
              </w:rPr>
              <w:t>computingu</w:t>
            </w:r>
            <w:proofErr w:type="spellEnd"/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v dané velikostní </w:t>
            </w:r>
          </w:p>
          <w:p w:rsidR="00841163" w:rsidRPr="00841163" w:rsidRDefault="00841163" w:rsidP="008411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a odvětvové skupině (v %)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48,1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59,4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36,8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34,1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7,1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37,3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78,0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38,4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56,9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8,8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9,4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41,1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72,3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9,8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42,6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50,3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24,9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11,4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67,7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56,6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38,2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13,8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54,4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78,6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24,4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9,9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80,6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23,4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14,1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11,5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75,9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841163" w:rsidRPr="00841163" w:rsidTr="00841163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19,7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80808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622" w:type="dxa"/>
            <w:tcBorders>
              <w:top w:val="nil"/>
              <w:left w:val="dashSmallGap" w:sz="4" w:space="0" w:color="auto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80,5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57,3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41163" w:rsidRPr="00841163" w:rsidRDefault="00841163" w:rsidP="008411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41163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38,1 </w:t>
            </w:r>
          </w:p>
        </w:tc>
      </w:tr>
    </w:tbl>
    <w:p w:rsidR="00841163" w:rsidRDefault="00841163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350B64" w:rsidRDefault="00350B64" w:rsidP="00350B64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sz w:val="20"/>
          <w:szCs w:val="20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 zemích EU využívající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>, leden 201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br/>
      </w:r>
    </w:p>
    <w:p w:rsidR="00350B64" w:rsidRDefault="00C33878" w:rsidP="00350B64">
      <w:pPr>
        <w:autoSpaceDE w:val="0"/>
        <w:autoSpaceDN w:val="0"/>
        <w:adjustRightInd w:val="0"/>
        <w:spacing w:before="60" w:after="0" w:line="264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A22D9D0" wp14:editId="260AF78D">
            <wp:extent cx="5972175" cy="3162300"/>
            <wp:effectExtent l="19050" t="0" r="952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64" w:rsidRDefault="00350B64" w:rsidP="00350B64">
      <w:pPr>
        <w:autoSpaceDE w:val="0"/>
        <w:autoSpaceDN w:val="0"/>
        <w:adjustRightInd w:val="0"/>
        <w:spacing w:before="60" w:after="0" w:line="264" w:lineRule="auto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DB697D">
        <w:rPr>
          <w:rFonts w:ascii="Arial" w:hAnsi="Arial" w:cs="Arial"/>
          <w:i/>
          <w:sz w:val="18"/>
          <w:szCs w:val="18"/>
        </w:rPr>
        <w:t>zemi</w:t>
      </w:r>
      <w:r w:rsidR="00377F0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       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  <w:r>
        <w:rPr>
          <w:rFonts w:ascii="Arial" w:hAnsi="Arial" w:cs="Arial"/>
          <w:b/>
          <w:sz w:val="20"/>
          <w:szCs w:val="20"/>
        </w:rPr>
        <w:br w:type="page"/>
      </w:r>
      <w:r w:rsidRPr="009D6385">
        <w:rPr>
          <w:rFonts w:ascii="Arial" w:hAnsi="Arial" w:cs="Arial"/>
          <w:b/>
          <w:sz w:val="20"/>
          <w:szCs w:val="20"/>
        </w:rPr>
        <w:lastRenderedPageBreak/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Firmy využívající placených služeb</w:t>
      </w:r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cloud</w:t>
      </w:r>
      <w:proofErr w:type="spellEnd"/>
      <w:r w:rsidRPr="009D63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6385">
        <w:rPr>
          <w:rFonts w:ascii="Arial" w:hAnsi="Arial" w:cs="Arial"/>
          <w:b/>
          <w:sz w:val="20"/>
          <w:szCs w:val="20"/>
        </w:rPr>
        <w:t>computing</w:t>
      </w:r>
      <w:r>
        <w:rPr>
          <w:rFonts w:ascii="Arial" w:hAnsi="Arial" w:cs="Arial"/>
          <w:b/>
          <w:sz w:val="20"/>
          <w:szCs w:val="20"/>
        </w:rPr>
        <w:t>u</w:t>
      </w:r>
      <w:proofErr w:type="spellEnd"/>
    </w:p>
    <w:p w:rsidR="00350B64" w:rsidRDefault="00C33878" w:rsidP="00350B64">
      <w:pPr>
        <w:autoSpaceDE w:val="0"/>
        <w:autoSpaceDN w:val="0"/>
        <w:adjustRightInd w:val="0"/>
        <w:spacing w:before="60"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DC7A0C9" wp14:editId="3E6FFA37">
            <wp:extent cx="5972175" cy="1552575"/>
            <wp:effectExtent l="19050" t="0" r="9525" b="0"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/>
                    <a:srcRect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B64" w:rsidRDefault="00350B64" w:rsidP="00350B64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9D6385">
        <w:rPr>
          <w:rFonts w:ascii="Arial" w:hAnsi="Arial" w:cs="Arial"/>
          <w:i/>
          <w:sz w:val="18"/>
          <w:szCs w:val="18"/>
        </w:rPr>
        <w:t xml:space="preserve">podíl na celkovém počtu firem v dané velikostní skupině </w:t>
      </w:r>
      <w:r>
        <w:rPr>
          <w:rFonts w:ascii="Arial" w:hAnsi="Arial" w:cs="Arial"/>
          <w:i/>
          <w:sz w:val="18"/>
          <w:szCs w:val="18"/>
        </w:rPr>
        <w:t>v daných letech</w:t>
      </w:r>
    </w:p>
    <w:p w:rsidR="00350B64" w:rsidRDefault="00350B64" w:rsidP="00B36931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b/>
          <w:sz w:val="20"/>
          <w:szCs w:val="20"/>
        </w:rPr>
      </w:pPr>
    </w:p>
    <w:p w:rsidR="00DE1847" w:rsidRDefault="00B52B14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9D6385">
        <w:rPr>
          <w:rFonts w:ascii="Arial" w:hAnsi="Arial" w:cs="Arial"/>
          <w:b/>
          <w:sz w:val="20"/>
          <w:szCs w:val="20"/>
        </w:rPr>
        <w:t xml:space="preserve">Graf </w:t>
      </w:r>
      <w:r>
        <w:rPr>
          <w:rFonts w:ascii="Arial" w:hAnsi="Arial" w:cs="Arial"/>
          <w:b/>
          <w:sz w:val="20"/>
          <w:szCs w:val="20"/>
        </w:rPr>
        <w:t>5</w:t>
      </w:r>
      <w:r w:rsidRPr="009D63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Pr="009D63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Počet firmami využívaných placených služeb </w:t>
      </w:r>
      <w:proofErr w:type="spellStart"/>
      <w:r>
        <w:rPr>
          <w:rFonts w:ascii="Arial" w:hAnsi="Arial" w:cs="Arial"/>
          <w:b/>
          <w:sz w:val="20"/>
          <w:szCs w:val="20"/>
        </w:rPr>
        <w:t>cloud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computingu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podle odvětví</w:t>
      </w:r>
      <w:r w:rsidRPr="009D6385">
        <w:rPr>
          <w:rFonts w:ascii="Arial" w:hAnsi="Arial" w:cs="Arial"/>
          <w:b/>
          <w:sz w:val="20"/>
          <w:szCs w:val="20"/>
        </w:rPr>
        <w:t>, leden 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br/>
      </w:r>
      <w:r w:rsidR="00DE1847">
        <w:rPr>
          <w:noProof/>
          <w:lang w:eastAsia="cs-CZ"/>
        </w:rPr>
        <w:drawing>
          <wp:inline distT="0" distB="0" distL="0" distR="0" wp14:anchorId="4F2FA9B7" wp14:editId="728EA2DA">
            <wp:extent cx="5629275" cy="594360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0" w:name="_GoBack"/>
      <w:bookmarkEnd w:id="0"/>
    </w:p>
    <w:p w:rsidR="000157BF" w:rsidRPr="00B06790" w:rsidRDefault="00FF0E9F" w:rsidP="00454953">
      <w:pPr>
        <w:autoSpaceDE w:val="0"/>
        <w:autoSpaceDN w:val="0"/>
        <w:adjustRightInd w:val="0"/>
        <w:spacing w:before="60" w:after="0" w:line="264" w:lineRule="auto"/>
        <w:rPr>
          <w:rFonts w:ascii="Arial" w:hAnsi="Arial" w:cs="Arial"/>
          <w:i/>
          <w:sz w:val="18"/>
          <w:szCs w:val="18"/>
        </w:rPr>
      </w:pPr>
      <w:r w:rsidRPr="00B06790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DE1847" w:rsidRPr="00DE1847">
        <w:rPr>
          <w:rFonts w:ascii="Arial" w:hAnsi="Arial" w:cs="Arial"/>
          <w:i/>
          <w:sz w:val="18"/>
          <w:szCs w:val="18"/>
        </w:rPr>
        <w:t>firem</w:t>
      </w:r>
      <w:r w:rsidRPr="00B06790">
        <w:rPr>
          <w:rFonts w:ascii="Arial" w:hAnsi="Arial" w:cs="Arial"/>
          <w:i/>
          <w:sz w:val="18"/>
          <w:szCs w:val="18"/>
        </w:rPr>
        <w:t xml:space="preserve"> v </w:t>
      </w:r>
      <w:r w:rsidR="009F682E" w:rsidRPr="00B06790">
        <w:rPr>
          <w:rFonts w:ascii="Arial" w:hAnsi="Arial" w:cs="Arial"/>
          <w:i/>
          <w:sz w:val="18"/>
          <w:szCs w:val="18"/>
        </w:rPr>
        <w:t>dané</w:t>
      </w:r>
      <w:r w:rsidRPr="00B06790">
        <w:rPr>
          <w:rFonts w:ascii="Arial" w:hAnsi="Arial" w:cs="Arial"/>
          <w:i/>
          <w:sz w:val="18"/>
          <w:szCs w:val="18"/>
        </w:rPr>
        <w:t xml:space="preserve"> odvětvové skupině </w:t>
      </w:r>
    </w:p>
    <w:p w:rsidR="00585475" w:rsidRPr="00445C13" w:rsidRDefault="009F682E" w:rsidP="00B36931">
      <w:pPr>
        <w:autoSpaceDE w:val="0"/>
        <w:autoSpaceDN w:val="0"/>
        <w:adjustRightInd w:val="0"/>
        <w:spacing w:before="240" w:after="0" w:line="264" w:lineRule="auto"/>
        <w:jc w:val="both"/>
      </w:pPr>
      <w:r>
        <w:rPr>
          <w:rFonts w:ascii="Arial" w:hAnsi="Arial" w:cs="Arial"/>
          <w:sz w:val="18"/>
          <w:szCs w:val="18"/>
        </w:rPr>
        <w:t>Z</w:t>
      </w:r>
      <w:r w:rsidR="00CC0868" w:rsidRPr="00445C13">
        <w:rPr>
          <w:rFonts w:ascii="Arial" w:hAnsi="Arial" w:cs="Arial"/>
          <w:sz w:val="18"/>
          <w:szCs w:val="18"/>
        </w:rPr>
        <w:t>droj: Český statistický úřad 201</w:t>
      </w:r>
      <w:r w:rsidR="00021D1D">
        <w:rPr>
          <w:rFonts w:ascii="Arial" w:hAnsi="Arial" w:cs="Arial"/>
          <w:sz w:val="18"/>
          <w:szCs w:val="18"/>
        </w:rPr>
        <w:t>7</w:t>
      </w:r>
    </w:p>
    <w:sectPr w:rsidR="00585475" w:rsidRPr="00445C13" w:rsidSect="00021D1D">
      <w:pgSz w:w="11906" w:h="16838" w:code="9"/>
      <w:pgMar w:top="1134" w:right="849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42" w:rsidRDefault="00B75242" w:rsidP="00E71A58">
      <w:r>
        <w:separator/>
      </w:r>
    </w:p>
  </w:endnote>
  <w:endnote w:type="continuationSeparator" w:id="0">
    <w:p w:rsidR="00B75242" w:rsidRDefault="00B75242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42" w:rsidRDefault="00B75242" w:rsidP="00E71A58">
      <w:r>
        <w:separator/>
      </w:r>
    </w:p>
  </w:footnote>
  <w:footnote w:type="continuationSeparator" w:id="0">
    <w:p w:rsidR="00B75242" w:rsidRDefault="00B75242" w:rsidP="00E71A58">
      <w:r>
        <w:continuationSeparator/>
      </w:r>
    </w:p>
  </w:footnote>
  <w:footnote w:id="1">
    <w:p w:rsidR="002D7D0D" w:rsidRPr="002D7D0D" w:rsidRDefault="002D7D0D">
      <w:pPr>
        <w:pStyle w:val="Textpoznpodarou"/>
        <w:rPr>
          <w:rFonts w:ascii="Arial" w:hAnsi="Arial" w:cs="Arial"/>
          <w:sz w:val="16"/>
          <w:szCs w:val="16"/>
        </w:rPr>
      </w:pPr>
      <w:r w:rsidRPr="002D7D0D">
        <w:rPr>
          <w:rStyle w:val="Znakapoznpodarou"/>
          <w:rFonts w:ascii="Arial" w:hAnsi="Arial" w:cs="Arial"/>
          <w:sz w:val="16"/>
          <w:szCs w:val="16"/>
        </w:rPr>
        <w:footnoteRef/>
      </w:r>
      <w:r w:rsidRPr="002D7D0D">
        <w:rPr>
          <w:rFonts w:ascii="Arial" w:hAnsi="Arial" w:cs="Arial"/>
          <w:sz w:val="16"/>
          <w:szCs w:val="16"/>
        </w:rPr>
        <w:t xml:space="preserve"> Poslední dostupná data s mezinárodním srovnáním výsledků za členské státy EU28 byla v době zpracování této publikace za leden roku 2016. Jejich zdrojem je databáze Eurostatu: </w:t>
      </w:r>
      <w:hyperlink r:id="rId1" w:history="1">
        <w:r w:rsidRPr="002D7D0D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57BF"/>
    <w:rsid w:val="00021D1D"/>
    <w:rsid w:val="00032B1B"/>
    <w:rsid w:val="0004694F"/>
    <w:rsid w:val="000520F4"/>
    <w:rsid w:val="00062EC5"/>
    <w:rsid w:val="00065688"/>
    <w:rsid w:val="00082D90"/>
    <w:rsid w:val="00087127"/>
    <w:rsid w:val="00087634"/>
    <w:rsid w:val="000A1183"/>
    <w:rsid w:val="000B453B"/>
    <w:rsid w:val="000C3408"/>
    <w:rsid w:val="000F4A96"/>
    <w:rsid w:val="001177A7"/>
    <w:rsid w:val="001405FA"/>
    <w:rsid w:val="001425C3"/>
    <w:rsid w:val="00143453"/>
    <w:rsid w:val="00155098"/>
    <w:rsid w:val="00163793"/>
    <w:rsid w:val="0016380A"/>
    <w:rsid w:val="001714F2"/>
    <w:rsid w:val="00176D7F"/>
    <w:rsid w:val="00185010"/>
    <w:rsid w:val="00194F66"/>
    <w:rsid w:val="001A552F"/>
    <w:rsid w:val="001A6A99"/>
    <w:rsid w:val="001B2719"/>
    <w:rsid w:val="001B3110"/>
    <w:rsid w:val="001E0078"/>
    <w:rsid w:val="001F3765"/>
    <w:rsid w:val="001F4597"/>
    <w:rsid w:val="0022139E"/>
    <w:rsid w:val="002252E0"/>
    <w:rsid w:val="002255F6"/>
    <w:rsid w:val="00236443"/>
    <w:rsid w:val="002364D1"/>
    <w:rsid w:val="002436BA"/>
    <w:rsid w:val="00244A15"/>
    <w:rsid w:val="0024799E"/>
    <w:rsid w:val="0025584E"/>
    <w:rsid w:val="0028698F"/>
    <w:rsid w:val="002C31D3"/>
    <w:rsid w:val="002C43BD"/>
    <w:rsid w:val="002D4DF8"/>
    <w:rsid w:val="002D7D0D"/>
    <w:rsid w:val="002E02A1"/>
    <w:rsid w:val="00302F34"/>
    <w:rsid w:val="00304771"/>
    <w:rsid w:val="00306C5B"/>
    <w:rsid w:val="003072EC"/>
    <w:rsid w:val="003209D6"/>
    <w:rsid w:val="0033194D"/>
    <w:rsid w:val="00343E00"/>
    <w:rsid w:val="00350B64"/>
    <w:rsid w:val="00356450"/>
    <w:rsid w:val="003657F3"/>
    <w:rsid w:val="00377F03"/>
    <w:rsid w:val="00380231"/>
    <w:rsid w:val="00381543"/>
    <w:rsid w:val="00385D98"/>
    <w:rsid w:val="00386083"/>
    <w:rsid w:val="003A0365"/>
    <w:rsid w:val="003A2B4D"/>
    <w:rsid w:val="003A327C"/>
    <w:rsid w:val="003A478C"/>
    <w:rsid w:val="003A5525"/>
    <w:rsid w:val="003A6B38"/>
    <w:rsid w:val="003B41A4"/>
    <w:rsid w:val="003B5A32"/>
    <w:rsid w:val="003C343C"/>
    <w:rsid w:val="003F21CD"/>
    <w:rsid w:val="003F313C"/>
    <w:rsid w:val="00413550"/>
    <w:rsid w:val="00414240"/>
    <w:rsid w:val="0043194A"/>
    <w:rsid w:val="004349CD"/>
    <w:rsid w:val="00440942"/>
    <w:rsid w:val="00445C13"/>
    <w:rsid w:val="00454953"/>
    <w:rsid w:val="0048139F"/>
    <w:rsid w:val="00483583"/>
    <w:rsid w:val="00497A61"/>
    <w:rsid w:val="004A77DF"/>
    <w:rsid w:val="004B55B7"/>
    <w:rsid w:val="004C3867"/>
    <w:rsid w:val="004C4CD0"/>
    <w:rsid w:val="004C70DC"/>
    <w:rsid w:val="004D0211"/>
    <w:rsid w:val="004F06F5"/>
    <w:rsid w:val="004F0DF9"/>
    <w:rsid w:val="004F33A0"/>
    <w:rsid w:val="004F4666"/>
    <w:rsid w:val="005068F4"/>
    <w:rsid w:val="005108C0"/>
    <w:rsid w:val="00511873"/>
    <w:rsid w:val="00513B7E"/>
    <w:rsid w:val="00525137"/>
    <w:rsid w:val="005251DD"/>
    <w:rsid w:val="00526B60"/>
    <w:rsid w:val="00534D7E"/>
    <w:rsid w:val="00553139"/>
    <w:rsid w:val="00583FFD"/>
    <w:rsid w:val="00585475"/>
    <w:rsid w:val="00593152"/>
    <w:rsid w:val="005A21E0"/>
    <w:rsid w:val="005B4204"/>
    <w:rsid w:val="005B5CCD"/>
    <w:rsid w:val="005D5802"/>
    <w:rsid w:val="005E3A81"/>
    <w:rsid w:val="005F419A"/>
    <w:rsid w:val="005F7FA5"/>
    <w:rsid w:val="00604307"/>
    <w:rsid w:val="0060487F"/>
    <w:rsid w:val="006123F0"/>
    <w:rsid w:val="006228F1"/>
    <w:rsid w:val="00624093"/>
    <w:rsid w:val="0064036A"/>
    <w:rsid w:val="006404A7"/>
    <w:rsid w:val="006451E4"/>
    <w:rsid w:val="00657968"/>
    <w:rsid w:val="00657E87"/>
    <w:rsid w:val="0066178B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2F3D"/>
    <w:rsid w:val="006D61F6"/>
    <w:rsid w:val="006E279A"/>
    <w:rsid w:val="006E313B"/>
    <w:rsid w:val="006E60FD"/>
    <w:rsid w:val="006E7DE3"/>
    <w:rsid w:val="007211F5"/>
    <w:rsid w:val="007212FE"/>
    <w:rsid w:val="00730AE8"/>
    <w:rsid w:val="00741493"/>
    <w:rsid w:val="00752180"/>
    <w:rsid w:val="00754C9E"/>
    <w:rsid w:val="00755D3A"/>
    <w:rsid w:val="007609C6"/>
    <w:rsid w:val="00761B3D"/>
    <w:rsid w:val="00764DDB"/>
    <w:rsid w:val="00776527"/>
    <w:rsid w:val="00776DA8"/>
    <w:rsid w:val="00785B2D"/>
    <w:rsid w:val="00792CD7"/>
    <w:rsid w:val="007A043B"/>
    <w:rsid w:val="007A5C36"/>
    <w:rsid w:val="007A68D4"/>
    <w:rsid w:val="007C3F6A"/>
    <w:rsid w:val="007D7174"/>
    <w:rsid w:val="007E3D24"/>
    <w:rsid w:val="007E7E61"/>
    <w:rsid w:val="007F0845"/>
    <w:rsid w:val="007F3F00"/>
    <w:rsid w:val="00821FF6"/>
    <w:rsid w:val="0083143E"/>
    <w:rsid w:val="00834FAA"/>
    <w:rsid w:val="00836086"/>
    <w:rsid w:val="00841163"/>
    <w:rsid w:val="00852B8E"/>
    <w:rsid w:val="008547E9"/>
    <w:rsid w:val="00872ED0"/>
    <w:rsid w:val="00875FCC"/>
    <w:rsid w:val="00876086"/>
    <w:rsid w:val="008A67AE"/>
    <w:rsid w:val="008B7185"/>
    <w:rsid w:val="008B7C02"/>
    <w:rsid w:val="008C0E88"/>
    <w:rsid w:val="008D2A16"/>
    <w:rsid w:val="008E31FF"/>
    <w:rsid w:val="008F41A9"/>
    <w:rsid w:val="009003A8"/>
    <w:rsid w:val="00902EFF"/>
    <w:rsid w:val="00912A22"/>
    <w:rsid w:val="00921F14"/>
    <w:rsid w:val="0094427A"/>
    <w:rsid w:val="009448F7"/>
    <w:rsid w:val="00946438"/>
    <w:rsid w:val="0095114B"/>
    <w:rsid w:val="00974923"/>
    <w:rsid w:val="0098620F"/>
    <w:rsid w:val="00987E97"/>
    <w:rsid w:val="009B6FD3"/>
    <w:rsid w:val="009C35CE"/>
    <w:rsid w:val="009D6385"/>
    <w:rsid w:val="009E56C4"/>
    <w:rsid w:val="009F0142"/>
    <w:rsid w:val="009F682E"/>
    <w:rsid w:val="00A10D66"/>
    <w:rsid w:val="00A23E43"/>
    <w:rsid w:val="00A27AB9"/>
    <w:rsid w:val="00A42547"/>
    <w:rsid w:val="00A46DE0"/>
    <w:rsid w:val="00A47758"/>
    <w:rsid w:val="00A57E04"/>
    <w:rsid w:val="00A62CE1"/>
    <w:rsid w:val="00A75E40"/>
    <w:rsid w:val="00A857C0"/>
    <w:rsid w:val="00AA559A"/>
    <w:rsid w:val="00AB2AF1"/>
    <w:rsid w:val="00AB76F3"/>
    <w:rsid w:val="00AC77ED"/>
    <w:rsid w:val="00AD306C"/>
    <w:rsid w:val="00AF2A1B"/>
    <w:rsid w:val="00B06790"/>
    <w:rsid w:val="00B112AC"/>
    <w:rsid w:val="00B13A45"/>
    <w:rsid w:val="00B14740"/>
    <w:rsid w:val="00B17E71"/>
    <w:rsid w:val="00B17FDE"/>
    <w:rsid w:val="00B21D75"/>
    <w:rsid w:val="00B32DDB"/>
    <w:rsid w:val="00B33BAA"/>
    <w:rsid w:val="00B35AB7"/>
    <w:rsid w:val="00B36931"/>
    <w:rsid w:val="00B52B14"/>
    <w:rsid w:val="00B6608F"/>
    <w:rsid w:val="00B75242"/>
    <w:rsid w:val="00B76D1E"/>
    <w:rsid w:val="00B95940"/>
    <w:rsid w:val="00BB4475"/>
    <w:rsid w:val="00BC7AAE"/>
    <w:rsid w:val="00BD258B"/>
    <w:rsid w:val="00BD366B"/>
    <w:rsid w:val="00BD3D9B"/>
    <w:rsid w:val="00BD6D50"/>
    <w:rsid w:val="00BD768E"/>
    <w:rsid w:val="00BE48A7"/>
    <w:rsid w:val="00C0475C"/>
    <w:rsid w:val="00C174B8"/>
    <w:rsid w:val="00C21F94"/>
    <w:rsid w:val="00C24A32"/>
    <w:rsid w:val="00C33878"/>
    <w:rsid w:val="00C346DB"/>
    <w:rsid w:val="00C74820"/>
    <w:rsid w:val="00C847A8"/>
    <w:rsid w:val="00C90CF4"/>
    <w:rsid w:val="00C93389"/>
    <w:rsid w:val="00CA0C7F"/>
    <w:rsid w:val="00CA1E73"/>
    <w:rsid w:val="00CB35AC"/>
    <w:rsid w:val="00CC0868"/>
    <w:rsid w:val="00CC318F"/>
    <w:rsid w:val="00CC3BEE"/>
    <w:rsid w:val="00CC61F7"/>
    <w:rsid w:val="00CD57C7"/>
    <w:rsid w:val="00CE5378"/>
    <w:rsid w:val="00CF1B69"/>
    <w:rsid w:val="00CF51EC"/>
    <w:rsid w:val="00CF7542"/>
    <w:rsid w:val="00D040DD"/>
    <w:rsid w:val="00D1416F"/>
    <w:rsid w:val="00D57B0B"/>
    <w:rsid w:val="00D6015A"/>
    <w:rsid w:val="00D77008"/>
    <w:rsid w:val="00DB6B38"/>
    <w:rsid w:val="00DC5B3B"/>
    <w:rsid w:val="00DD1CED"/>
    <w:rsid w:val="00DE1847"/>
    <w:rsid w:val="00E01C0E"/>
    <w:rsid w:val="00E03679"/>
    <w:rsid w:val="00E04694"/>
    <w:rsid w:val="00E16FB1"/>
    <w:rsid w:val="00E20E07"/>
    <w:rsid w:val="00E629FE"/>
    <w:rsid w:val="00E71A58"/>
    <w:rsid w:val="00E91727"/>
    <w:rsid w:val="00EA0C68"/>
    <w:rsid w:val="00EA6095"/>
    <w:rsid w:val="00EC2DA6"/>
    <w:rsid w:val="00EC7132"/>
    <w:rsid w:val="00ED047A"/>
    <w:rsid w:val="00EE01F9"/>
    <w:rsid w:val="00EE3E78"/>
    <w:rsid w:val="00EF1F5A"/>
    <w:rsid w:val="00EF31A3"/>
    <w:rsid w:val="00F02F41"/>
    <w:rsid w:val="00F04811"/>
    <w:rsid w:val="00F0488C"/>
    <w:rsid w:val="00F15BEF"/>
    <w:rsid w:val="00F226D7"/>
    <w:rsid w:val="00F24BE5"/>
    <w:rsid w:val="00F24FAA"/>
    <w:rsid w:val="00F3364D"/>
    <w:rsid w:val="00F4274E"/>
    <w:rsid w:val="00F42C99"/>
    <w:rsid w:val="00F462E3"/>
    <w:rsid w:val="00F57E0A"/>
    <w:rsid w:val="00F63DDE"/>
    <w:rsid w:val="00F63FB7"/>
    <w:rsid w:val="00F66522"/>
    <w:rsid w:val="00F71CB0"/>
    <w:rsid w:val="00F73A0C"/>
    <w:rsid w:val="00F81623"/>
    <w:rsid w:val="00FA6316"/>
    <w:rsid w:val="00FB23BB"/>
    <w:rsid w:val="00FC0444"/>
    <w:rsid w:val="00FC0E5F"/>
    <w:rsid w:val="00FC49C7"/>
    <w:rsid w:val="00FC56DE"/>
    <w:rsid w:val="00FE2F78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76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76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768E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76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768E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7D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7D0D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2D7D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39871919563354"/>
          <c:y val="6.529193284801664E-2"/>
          <c:w val="0.54302570046764465"/>
          <c:h val="0.90858964835491351"/>
        </c:manualLayout>
      </c:layout>
      <c:barChart>
        <c:barDir val="bar"/>
        <c:grouping val="percentStacked"/>
        <c:varyColors val="0"/>
        <c:ser>
          <c:idx val="2"/>
          <c:order val="0"/>
          <c:tx>
            <c:strRef>
              <c:f>K5_cloud!$L$51</c:f>
              <c:strCache>
                <c:ptCount val="1"/>
                <c:pt idx="0">
                  <c:v> dva a více typů služeb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31859C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31859C"/>
              </a:solidFill>
              <a:ln w="19050">
                <a:noFill/>
              </a:ln>
            </c:spPr>
          </c:dPt>
          <c:dLbls>
            <c:txPr>
              <a:bodyPr rot="0" vert="horz"/>
              <a:lstStyle/>
              <a:p>
                <a:pPr>
                  <a:defRPr sz="75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K5_cloud!$K$52:$K$68</c:f>
              <c:strCache>
                <c:ptCount val="17"/>
                <c:pt idx="0">
                  <c:v>  Stravování a pohostinství</c:v>
                </c:pt>
                <c:pt idx="1">
                  <c:v>  Doprava a skladování</c:v>
                </c:pt>
                <c:pt idx="2">
                  <c:v>  Činnosti v oblasti nemovitostí</c:v>
                </c:pt>
                <c:pt idx="3">
                  <c:v>  Zpracovatelský průmysl</c:v>
                </c:pt>
                <c:pt idx="4">
                  <c:v>  Výroba a rozvod energie, plynu, tepla</c:v>
                </c:pt>
                <c:pt idx="5">
                  <c:v>  Stavebnictví</c:v>
                </c:pt>
                <c:pt idx="6">
                  <c:v>  Obchod a opravy motorových vozidel</c:v>
                </c:pt>
                <c:pt idx="7">
                  <c:v>CELKEM</c:v>
                </c:pt>
                <c:pt idx="8">
                  <c:v>  Ubytování</c:v>
                </c:pt>
                <c:pt idx="9">
                  <c:v>  Ostatní administrativní a podpůrné činnosti</c:v>
                </c:pt>
                <c:pt idx="10">
                  <c:v>  Maloobchod</c:v>
                </c:pt>
                <c:pt idx="11">
                  <c:v>  Profesní, vědecké a technické činnosti</c:v>
                </c:pt>
                <c:pt idx="12">
                  <c:v>  Velkoobchod</c:v>
                </c:pt>
                <c:pt idx="13">
                  <c:v>  Telekomunikační činnosti</c:v>
                </c:pt>
                <c:pt idx="14">
                  <c:v>  Činnosti cestovních agentur a kanceláří</c:v>
                </c:pt>
                <c:pt idx="15">
                  <c:v>  Audiovizuální činnosti; vydavatelství</c:v>
                </c:pt>
                <c:pt idx="16">
                  <c:v>  Činnosti v oblasti IT</c:v>
                </c:pt>
              </c:strCache>
            </c:strRef>
          </c:cat>
          <c:val>
            <c:numRef>
              <c:f>K5_cloud!$L$52:$L$68</c:f>
              <c:numCache>
                <c:formatCode>0%</c:formatCode>
                <c:ptCount val="17"/>
                <c:pt idx="0">
                  <c:v>7.4999999999999997E-2</c:v>
                </c:pt>
                <c:pt idx="1">
                  <c:v>9.0999999999999998E-2</c:v>
                </c:pt>
                <c:pt idx="2">
                  <c:v>0.122</c:v>
                </c:pt>
                <c:pt idx="3">
                  <c:v>0.13500000000000001</c:v>
                </c:pt>
                <c:pt idx="4">
                  <c:v>0.14499999999999999</c:v>
                </c:pt>
                <c:pt idx="5">
                  <c:v>0.151</c:v>
                </c:pt>
                <c:pt idx="6">
                  <c:v>0.152</c:v>
                </c:pt>
                <c:pt idx="7">
                  <c:v>0.17</c:v>
                </c:pt>
                <c:pt idx="8">
                  <c:v>0.18</c:v>
                </c:pt>
                <c:pt idx="9">
                  <c:v>0.186</c:v>
                </c:pt>
                <c:pt idx="10">
                  <c:v>0.20899999999999999</c:v>
                </c:pt>
                <c:pt idx="11">
                  <c:v>0.218</c:v>
                </c:pt>
                <c:pt idx="12">
                  <c:v>0.23799999999999999</c:v>
                </c:pt>
                <c:pt idx="13">
                  <c:v>0.26900000000000002</c:v>
                </c:pt>
                <c:pt idx="14">
                  <c:v>0.27900000000000003</c:v>
                </c:pt>
                <c:pt idx="15">
                  <c:v>0.34100000000000003</c:v>
                </c:pt>
                <c:pt idx="16">
                  <c:v>0.47799999999999998</c:v>
                </c:pt>
              </c:numCache>
            </c:numRef>
          </c:val>
        </c:ser>
        <c:ser>
          <c:idx val="1"/>
          <c:order val="1"/>
          <c:tx>
            <c:strRef>
              <c:f>K5_cloud!$M$51</c:f>
              <c:strCache>
                <c:ptCount val="1"/>
                <c:pt idx="0">
                  <c:v> právě jeden typ služby</c:v>
                </c:pt>
              </c:strCache>
            </c:strRef>
          </c:tx>
          <c:spPr>
            <a:solidFill>
              <a:srgbClr val="1CABDE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1CABDE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1CABDE"/>
              </a:solidFill>
              <a:ln w="19050">
                <a:noFill/>
              </a:ln>
            </c:spPr>
          </c:dPt>
          <c:dLbls>
            <c:dLbl>
              <c:idx val="0"/>
              <c:layout>
                <c:manualLayout>
                  <c:x val="4.51212633953750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K5_cloud!$K$52:$K$68</c:f>
              <c:strCache>
                <c:ptCount val="17"/>
                <c:pt idx="0">
                  <c:v>  Stravování a pohostinství</c:v>
                </c:pt>
                <c:pt idx="1">
                  <c:v>  Doprava a skladování</c:v>
                </c:pt>
                <c:pt idx="2">
                  <c:v>  Činnosti v oblasti nemovitostí</c:v>
                </c:pt>
                <c:pt idx="3">
                  <c:v>  Zpracovatelský průmysl</c:v>
                </c:pt>
                <c:pt idx="4">
                  <c:v>  Výroba a rozvod energie, plynu, tepla</c:v>
                </c:pt>
                <c:pt idx="5">
                  <c:v>  Stavebnictví</c:v>
                </c:pt>
                <c:pt idx="6">
                  <c:v>  Obchod a opravy motorových vozidel</c:v>
                </c:pt>
                <c:pt idx="7">
                  <c:v>CELKEM</c:v>
                </c:pt>
                <c:pt idx="8">
                  <c:v>  Ubytování</c:v>
                </c:pt>
                <c:pt idx="9">
                  <c:v>  Ostatní administrativní a podpůrné činnosti</c:v>
                </c:pt>
                <c:pt idx="10">
                  <c:v>  Maloobchod</c:v>
                </c:pt>
                <c:pt idx="11">
                  <c:v>  Profesní, vědecké a technické činnosti</c:v>
                </c:pt>
                <c:pt idx="12">
                  <c:v>  Velkoobchod</c:v>
                </c:pt>
                <c:pt idx="13">
                  <c:v>  Telekomunikační činnosti</c:v>
                </c:pt>
                <c:pt idx="14">
                  <c:v>  Činnosti cestovních agentur a kanceláří</c:v>
                </c:pt>
                <c:pt idx="15">
                  <c:v>  Audiovizuální činnosti; vydavatelství</c:v>
                </c:pt>
                <c:pt idx="16">
                  <c:v>  Činnosti v oblasti IT</c:v>
                </c:pt>
              </c:strCache>
            </c:strRef>
          </c:cat>
          <c:val>
            <c:numRef>
              <c:f>K5_cloud!$M$52:$M$68</c:f>
              <c:numCache>
                <c:formatCode>0%</c:formatCode>
                <c:ptCount val="17"/>
                <c:pt idx="0">
                  <c:v>2.1000000000000001E-2</c:v>
                </c:pt>
                <c:pt idx="1">
                  <c:v>3.5000000000000003E-2</c:v>
                </c:pt>
                <c:pt idx="2">
                  <c:v>6.0999999999999999E-2</c:v>
                </c:pt>
                <c:pt idx="3">
                  <c:v>5.6000000000000001E-2</c:v>
                </c:pt>
                <c:pt idx="4">
                  <c:v>0.10100000000000001</c:v>
                </c:pt>
                <c:pt idx="5">
                  <c:v>1.9E-2</c:v>
                </c:pt>
                <c:pt idx="6">
                  <c:v>7.6999999999999999E-2</c:v>
                </c:pt>
                <c:pt idx="7">
                  <c:v>0.05</c:v>
                </c:pt>
                <c:pt idx="8">
                  <c:v>6.2E-2</c:v>
                </c:pt>
                <c:pt idx="9">
                  <c:v>5.8000000000000003E-2</c:v>
                </c:pt>
                <c:pt idx="10">
                  <c:v>2.1000000000000001E-2</c:v>
                </c:pt>
                <c:pt idx="11">
                  <c:v>9.0999999999999998E-2</c:v>
                </c:pt>
                <c:pt idx="12">
                  <c:v>4.5999999999999999E-2</c:v>
                </c:pt>
                <c:pt idx="13">
                  <c:v>3.5000000000000003E-2</c:v>
                </c:pt>
                <c:pt idx="14">
                  <c:v>5.7000000000000002E-2</c:v>
                </c:pt>
                <c:pt idx="15">
                  <c:v>0.1</c:v>
                </c:pt>
                <c:pt idx="16">
                  <c:v>8.5999999999999993E-2</c:v>
                </c:pt>
              </c:numCache>
            </c:numRef>
          </c:val>
        </c:ser>
        <c:ser>
          <c:idx val="0"/>
          <c:order val="2"/>
          <c:tx>
            <c:strRef>
              <c:f>K5_cloud!$N$51</c:f>
              <c:strCache>
                <c:ptCount val="1"/>
                <c:pt idx="0">
                  <c:v> nevyužívají žádný typ placené cloudové služby</c:v>
                </c:pt>
              </c:strCache>
            </c:strRef>
          </c:tx>
          <c:spPr>
            <a:solidFill>
              <a:srgbClr val="B7DEE8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B7DEE8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B7DEE8"/>
              </a:solidFill>
              <a:ln w="19050">
                <a:noFill/>
              </a:ln>
            </c:spPr>
          </c:dPt>
          <c:dLbls>
            <c:txPr>
              <a:bodyPr rot="0" vert="horz"/>
              <a:lstStyle/>
              <a:p>
                <a:pPr>
                  <a:defRPr sz="75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K5_cloud!$K$52:$K$68</c:f>
              <c:strCache>
                <c:ptCount val="17"/>
                <c:pt idx="0">
                  <c:v>  Stravování a pohostinství</c:v>
                </c:pt>
                <c:pt idx="1">
                  <c:v>  Doprava a skladování</c:v>
                </c:pt>
                <c:pt idx="2">
                  <c:v>  Činnosti v oblasti nemovitostí</c:v>
                </c:pt>
                <c:pt idx="3">
                  <c:v>  Zpracovatelský průmysl</c:v>
                </c:pt>
                <c:pt idx="4">
                  <c:v>  Výroba a rozvod energie, plynu, tepla</c:v>
                </c:pt>
                <c:pt idx="5">
                  <c:v>  Stavebnictví</c:v>
                </c:pt>
                <c:pt idx="6">
                  <c:v>  Obchod a opravy motorových vozidel</c:v>
                </c:pt>
                <c:pt idx="7">
                  <c:v>CELKEM</c:v>
                </c:pt>
                <c:pt idx="8">
                  <c:v>  Ubytování</c:v>
                </c:pt>
                <c:pt idx="9">
                  <c:v>  Ostatní administrativní a podpůrné činnosti</c:v>
                </c:pt>
                <c:pt idx="10">
                  <c:v>  Maloobchod</c:v>
                </c:pt>
                <c:pt idx="11">
                  <c:v>  Profesní, vědecké a technické činnosti</c:v>
                </c:pt>
                <c:pt idx="12">
                  <c:v>  Velkoobchod</c:v>
                </c:pt>
                <c:pt idx="13">
                  <c:v>  Telekomunikační činnosti</c:v>
                </c:pt>
                <c:pt idx="14">
                  <c:v>  Činnosti cestovních agentur a kanceláří</c:v>
                </c:pt>
                <c:pt idx="15">
                  <c:v>  Audiovizuální činnosti; vydavatelství</c:v>
                </c:pt>
                <c:pt idx="16">
                  <c:v>  Činnosti v oblasti IT</c:v>
                </c:pt>
              </c:strCache>
            </c:strRef>
          </c:cat>
          <c:val>
            <c:numRef>
              <c:f>K5_cloud!$N$52:$N$68</c:f>
              <c:numCache>
                <c:formatCode>0%</c:formatCode>
                <c:ptCount val="17"/>
                <c:pt idx="0">
                  <c:v>0.90400000000000003</c:v>
                </c:pt>
                <c:pt idx="1">
                  <c:v>0.874</c:v>
                </c:pt>
                <c:pt idx="2">
                  <c:v>0.81699999999999995</c:v>
                </c:pt>
                <c:pt idx="3">
                  <c:v>0.80900000000000005</c:v>
                </c:pt>
                <c:pt idx="4">
                  <c:v>0.754</c:v>
                </c:pt>
                <c:pt idx="5">
                  <c:v>0.83</c:v>
                </c:pt>
                <c:pt idx="6">
                  <c:v>0.77100000000000002</c:v>
                </c:pt>
                <c:pt idx="7">
                  <c:v>0.78</c:v>
                </c:pt>
                <c:pt idx="8">
                  <c:v>0.75700000000000001</c:v>
                </c:pt>
                <c:pt idx="9">
                  <c:v>0.75600000000000001</c:v>
                </c:pt>
                <c:pt idx="10">
                  <c:v>0.76900000000000002</c:v>
                </c:pt>
                <c:pt idx="11">
                  <c:v>0.69099999999999995</c:v>
                </c:pt>
                <c:pt idx="12">
                  <c:v>0.71599999999999997</c:v>
                </c:pt>
                <c:pt idx="13">
                  <c:v>0.69599999999999995</c:v>
                </c:pt>
                <c:pt idx="14">
                  <c:v>0.66400000000000003</c:v>
                </c:pt>
                <c:pt idx="15">
                  <c:v>0.56000000000000005</c:v>
                </c:pt>
                <c:pt idx="16">
                  <c:v>0.436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38687104"/>
        <c:axId val="38688640"/>
      </c:barChart>
      <c:catAx>
        <c:axId val="3868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8688640"/>
        <c:crosses val="autoZero"/>
        <c:auto val="1"/>
        <c:lblAlgn val="ctr"/>
        <c:lblOffset val="100"/>
        <c:noMultiLvlLbl val="0"/>
      </c:catAx>
      <c:valAx>
        <c:axId val="38688640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3868710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1.2992969787406015E-2"/>
          <c:y val="1.1442223568207821E-2"/>
          <c:w val="0.97201202641547979"/>
          <c:h val="4.13700101710798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D867-1F4B-4082-8F1C-09C80767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17</TotalTime>
  <Pages>3</Pages>
  <Words>952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7</cp:revision>
  <cp:lastPrinted>2017-11-21T11:11:00Z</cp:lastPrinted>
  <dcterms:created xsi:type="dcterms:W3CDTF">2017-11-16T11:09:00Z</dcterms:created>
  <dcterms:modified xsi:type="dcterms:W3CDTF">2017-11-21T14:37:00Z</dcterms:modified>
</cp:coreProperties>
</file>