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24" w:rsidRDefault="008E3424">
      <w:pPr>
        <w:pStyle w:val="Normlnweb"/>
        <w:spacing w:before="0" w:beforeAutospacing="0" w:after="0" w:afterAutospacing="0"/>
        <w:jc w:val="center"/>
        <w:rPr>
          <w:rFonts w:ascii="Arial" w:hAnsi="Arial" w:cs="Arial"/>
          <w:color w:val="auto"/>
        </w:rPr>
      </w:pPr>
      <w:r>
        <w:rPr>
          <w:rFonts w:ascii="Arial" w:hAnsi="Arial" w:cs="Arial"/>
          <w:b/>
          <w:bCs/>
          <w:color w:val="auto"/>
        </w:rPr>
        <w:t>9. PŘÍJMY A VÝDAJE DOMÁCNOSTÍ</w:t>
      </w:r>
    </w:p>
    <w:p w:rsidR="008E3424" w:rsidRDefault="008E3424">
      <w:pPr>
        <w:pStyle w:val="Normlnweb"/>
        <w:spacing w:before="0" w:beforeAutospacing="0" w:after="0" w:afterAutospacing="0"/>
        <w:rPr>
          <w:rFonts w:ascii="Arial" w:hAnsi="Arial" w:cs="Arial"/>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domácností obmění. Smyslem šetření je dlouhodobě získávat data o sociální situaci obyvatel srovnatelná s ostatními zeměmi EU. Data uvedená v tabulkách </w:t>
      </w:r>
      <w:r>
        <w:rPr>
          <w:rFonts w:ascii="Arial" w:hAnsi="Arial" w:cs="Arial"/>
          <w:b/>
          <w:bCs/>
          <w:color w:val="auto"/>
          <w:sz w:val="20"/>
          <w:szCs w:val="20"/>
        </w:rPr>
        <w:t>9</w:t>
      </w:r>
      <w:r>
        <w:rPr>
          <w:rFonts w:ascii="Arial" w:hAnsi="Arial" w:cs="Arial"/>
          <w:color w:val="auto"/>
          <w:sz w:val="20"/>
          <w:szCs w:val="20"/>
        </w:rPr>
        <w:t xml:space="preserve">-1. až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3</w:t>
      </w:r>
      <w:r>
        <w:rPr>
          <w:rFonts w:ascii="Arial" w:hAnsi="Arial" w:cs="Arial"/>
          <w:color w:val="auto"/>
          <w:sz w:val="20"/>
          <w:szCs w:val="20"/>
        </w:rPr>
        <w:t>. byla zpracována za</w:t>
      </w:r>
      <w:r w:rsidR="001114E7">
        <w:rPr>
          <w:rFonts w:ascii="Arial" w:hAnsi="Arial" w:cs="Arial"/>
          <w:color w:val="auto"/>
          <w:sz w:val="20"/>
          <w:szCs w:val="20"/>
        </w:rPr>
        <w:t xml:space="preserve"> 7</w:t>
      </w:r>
      <w:r w:rsidR="00AC0B95">
        <w:rPr>
          <w:rFonts w:ascii="Arial" w:hAnsi="Arial" w:cs="Arial"/>
          <w:color w:val="auto"/>
          <w:sz w:val="20"/>
          <w:szCs w:val="20"/>
        </w:rPr>
        <w:t> </w:t>
      </w:r>
      <w:r w:rsidR="001114E7">
        <w:rPr>
          <w:rFonts w:ascii="Arial" w:hAnsi="Arial" w:cs="Arial"/>
          <w:color w:val="auto"/>
          <w:sz w:val="20"/>
          <w:szCs w:val="20"/>
        </w:rPr>
        <w:t>914</w:t>
      </w:r>
      <w:r w:rsidR="00544890">
        <w:rPr>
          <w:rFonts w:ascii="Arial" w:hAnsi="Arial" w:cs="Arial"/>
          <w:color w:val="auto"/>
          <w:sz w:val="20"/>
          <w:szCs w:val="20"/>
        </w:rPr>
        <w:t> </w:t>
      </w:r>
      <w:r>
        <w:rPr>
          <w:rFonts w:ascii="Arial" w:hAnsi="Arial" w:cs="Arial"/>
          <w:color w:val="auto"/>
          <w:sz w:val="20"/>
          <w:szCs w:val="20"/>
        </w:rPr>
        <w:t>hospodařících domácností ze všech krajů České republiky. Příjmy osob a domácností se zjišťovaly za celý rok </w:t>
      </w:r>
      <w:r w:rsidR="00292825">
        <w:rPr>
          <w:rFonts w:ascii="Arial" w:hAnsi="Arial" w:cs="Arial"/>
          <w:color w:val="auto"/>
          <w:sz w:val="20"/>
          <w:szCs w:val="20"/>
        </w:rPr>
        <w:t>2014</w:t>
      </w:r>
      <w:r>
        <w:rPr>
          <w:rFonts w:ascii="Arial" w:hAnsi="Arial" w:cs="Arial"/>
          <w:color w:val="auto"/>
          <w:sz w:val="20"/>
          <w:szCs w:val="20"/>
        </w:rPr>
        <w:t>, demografické údaje jsou podle stavu v době šetření v roce </w:t>
      </w:r>
      <w:r w:rsidR="00292825">
        <w:rPr>
          <w:rFonts w:ascii="Arial" w:hAnsi="Arial" w:cs="Arial"/>
          <w:color w:val="auto"/>
          <w:sz w:val="20"/>
          <w:szCs w:val="20"/>
        </w:rPr>
        <w:t>2015</w:t>
      </w:r>
      <w:r>
        <w:rPr>
          <w:rFonts w:ascii="Arial" w:hAnsi="Arial" w:cs="Arial"/>
          <w:color w:val="auto"/>
          <w:sz w:val="20"/>
          <w:szCs w:val="20"/>
        </w:rPr>
        <w:t>. Zjištěné údaje se přepočítávají na celou populaci v ČR.</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statistiky rodinných účtů (SRÚ)</w:t>
      </w:r>
      <w:r>
        <w:rPr>
          <w:rFonts w:ascii="Arial" w:hAnsi="Arial" w:cs="Arial"/>
          <w:color w:val="auto"/>
          <w:sz w:val="20"/>
          <w:szCs w:val="20"/>
        </w:rPr>
        <w:t xml:space="preserve"> sleduje hospodaření domácností a poskytuje informace o výši jejich vydání a struktuře spotřeby. Zpravodajské domácnosti šetření</w:t>
      </w:r>
      <w:r>
        <w:rPr>
          <w:rFonts w:ascii="Arial" w:hAnsi="Arial" w:cs="Arial"/>
          <w:b/>
          <w:bCs/>
          <w:color w:val="auto"/>
          <w:sz w:val="20"/>
          <w:szCs w:val="20"/>
        </w:rPr>
        <w:t xml:space="preserve"> </w:t>
      </w:r>
      <w:r>
        <w:rPr>
          <w:rFonts w:ascii="Arial" w:hAnsi="Arial" w:cs="Arial"/>
          <w:color w:val="auto"/>
          <w:sz w:val="20"/>
          <w:szCs w:val="20"/>
        </w:rPr>
        <w:t>SRÚ jsou v současné době vybírány záměrným kvótním výběrem. Jednotkou výběru a zpravodajskou jednotkou šetření je hospodařící domácnost.</w:t>
      </w:r>
    </w:p>
    <w:p w:rsidR="008E3424" w:rsidRDefault="008E3424">
      <w:pPr>
        <w:pStyle w:val="Text"/>
        <w:spacing w:before="120"/>
        <w:ind w:firstLine="709"/>
      </w:pPr>
      <w:r>
        <w:rPr>
          <w:b/>
          <w:bCs/>
        </w:rPr>
        <w:t>Zpravodajský soubor</w:t>
      </w:r>
      <w:r>
        <w:t xml:space="preserve"> </w:t>
      </w:r>
      <w:r w:rsidR="007C2D6C" w:rsidRPr="00295181">
        <w:t>3 000</w:t>
      </w:r>
      <w:r>
        <w:t xml:space="preserve"> domácností byl vybrán tak, aby jeho složení podle zvolených výběrových znaků odpovídalo struktuře domácností v České republice. Oporou pro stanovení kvót byly výsledky šetření Životní podmínky.</w:t>
      </w:r>
    </w:p>
    <w:p w:rsidR="008E3424" w:rsidRDefault="008E3424">
      <w:pPr>
        <w:pStyle w:val="Text"/>
        <w:spacing w:before="120"/>
        <w:ind w:firstLine="709"/>
      </w:pPr>
      <w:r>
        <w:t xml:space="preserve">Od roku 2006 je základním výběrovým znakem </w:t>
      </w:r>
      <w:r>
        <w:rPr>
          <w:b/>
          <w:bCs/>
        </w:rPr>
        <w:t>skupina domácnosti</w:t>
      </w:r>
      <w:r>
        <w:t>, odvozená od ekonomické aktivity a postavení v zaměstnání osoby v čele domácnosti. Osobou v čele je v úplných rodinách vždy muž, v neúplných většinou rodič. V nerodinných domácnostech se za osobu v čele domácnosti považuje osoba s nejvyšším příjmem.</w:t>
      </w:r>
    </w:p>
    <w:p w:rsidR="008E3424" w:rsidRDefault="008E3424">
      <w:pPr>
        <w:spacing w:before="120"/>
        <w:ind w:firstLine="709"/>
        <w:jc w:val="both"/>
        <w:rPr>
          <w:rFonts w:ascii="Arial" w:hAnsi="Arial" w:cs="Arial"/>
          <w:sz w:val="20"/>
          <w:szCs w:val="20"/>
        </w:rPr>
      </w:pPr>
      <w:r>
        <w:rPr>
          <w:rFonts w:ascii="Arial" w:hAnsi="Arial" w:cs="Arial"/>
          <w:sz w:val="20"/>
          <w:szCs w:val="20"/>
        </w:rPr>
        <w:t>Domácnosti s ekonomicky aktivní osobou v čele se třídí podle jejího postavení v zaměstnání, u domácností zaměstnanců i podle jejího vzdělání. Domácnosti s ekonomicky neaktivní osobou v čele se člení v závislosti na tom, zda je některý z dalších členů domácnosti ekonomicky aktivní, příp. zda v čele domácnosti je důchodce.</w:t>
      </w:r>
    </w:p>
    <w:p w:rsidR="008E3424" w:rsidRDefault="008E3424">
      <w:pPr>
        <w:pStyle w:val="Text"/>
        <w:spacing w:before="120"/>
        <w:ind w:firstLine="709"/>
      </w:pPr>
      <w:r>
        <w:t>Pro tři nejvýznamnější skupiny domácností (zaměstnanců, osob samostatně výdělečně činných a důchodců bez ekonomicky aktivních členů) se používají ještě další výběrová kritéria, a to:</w:t>
      </w:r>
    </w:p>
    <w:p w:rsidR="008E3424" w:rsidRDefault="008E3424">
      <w:pPr>
        <w:pStyle w:val="Text"/>
        <w:spacing w:before="120"/>
        <w:ind w:left="170" w:hanging="170"/>
      </w:pPr>
      <w:r>
        <w:t xml:space="preserve">– čistý peněžní příjem na </w:t>
      </w:r>
      <w:r w:rsidR="00C3237B">
        <w:t>jednoho </w:t>
      </w:r>
      <w:r>
        <w:t>člena domácnosti a počet vyživovaných dětí pro domácnosti zaměstnanců a domácnosti osob samostatně výdělečně činných;</w:t>
      </w:r>
    </w:p>
    <w:p w:rsidR="008E3424" w:rsidRDefault="008E3424">
      <w:pPr>
        <w:pStyle w:val="Text"/>
        <w:spacing w:before="120"/>
        <w:ind w:left="170" w:hanging="170"/>
      </w:pPr>
      <w:r>
        <w:t xml:space="preserve">– důchod na </w:t>
      </w:r>
      <w:r w:rsidR="00C3237B">
        <w:t>jednoho </w:t>
      </w:r>
      <w:r>
        <w:t>člena domácnosti a počet členů (u jednočlenných domácností také pohlaví osoby) pro domácnosti důchodců bez ekonomicky aktivních členů.</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Výběrový znak </w:t>
      </w:r>
      <w:r>
        <w:rPr>
          <w:rFonts w:ascii="Arial" w:hAnsi="Arial" w:cs="Arial"/>
          <w:b/>
          <w:bCs/>
          <w:color w:val="auto"/>
          <w:sz w:val="20"/>
          <w:szCs w:val="20"/>
        </w:rPr>
        <w:t>velikost obce a druh domu</w:t>
      </w:r>
      <w:r>
        <w:rPr>
          <w:rFonts w:ascii="Arial" w:hAnsi="Arial" w:cs="Arial"/>
          <w:color w:val="auto"/>
          <w:sz w:val="20"/>
          <w:szCs w:val="20"/>
        </w:rPr>
        <w:t xml:space="preserve"> se týká všech skupin domácností, přičemž samostatné kvóty podle velikosti obce a druhu domu jsou předepsány pro výše uvedené nejvýznamnější skupiny domácností.</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 xml:space="preserve">Počet spotřebních jednotek </w:t>
      </w:r>
      <w:r>
        <w:rPr>
          <w:rFonts w:ascii="Arial" w:hAnsi="Arial" w:cs="Arial"/>
          <w:sz w:val="20"/>
          <w:szCs w:val="20"/>
        </w:rPr>
        <w:t xml:space="preserve">vyjadřuje složení domácností přepočtené podle vah spotřeby jednotlivých členů domácnosti. Spotřební jednotky podle stupnice OECD mají váhy definovány takto: </w:t>
      </w:r>
      <w:r>
        <w:rPr>
          <w:rFonts w:ascii="Arial" w:hAnsi="Arial" w:cs="Arial"/>
          <w:sz w:val="20"/>
          <w:szCs w:val="20"/>
        </w:rPr>
        <w:lastRenderedPageBreak/>
        <w:t>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rsidR="00D61026" w:rsidRDefault="00D61026" w:rsidP="004E1552">
      <w:pPr>
        <w:tabs>
          <w:tab w:val="left" w:pos="540"/>
        </w:tabs>
        <w:jc w:val="both"/>
        <w:rPr>
          <w:rFonts w:ascii="Arial" w:hAnsi="Arial" w:cs="Arial"/>
          <w:sz w:val="20"/>
          <w:szCs w:val="20"/>
        </w:rPr>
      </w:pPr>
    </w:p>
    <w:p w:rsidR="004E1552" w:rsidRDefault="004E1552" w:rsidP="004E1552">
      <w:pPr>
        <w:tabs>
          <w:tab w:val="left" w:pos="540"/>
        </w:tabs>
        <w:jc w:val="both"/>
        <w:rPr>
          <w:rFonts w:ascii="Arial" w:hAnsi="Arial" w:cs="Arial"/>
          <w:sz w:val="20"/>
          <w:szCs w:val="20"/>
        </w:rPr>
      </w:pPr>
    </w:p>
    <w:p w:rsidR="008E3424"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 čele</w:t>
      </w:r>
      <w:r>
        <w:rPr>
          <w:rFonts w:ascii="Arial" w:hAnsi="Arial" w:cs="Arial"/>
          <w:sz w:val="20"/>
          <w:szCs w:val="20"/>
        </w:rPr>
        <w:t>:</w:t>
      </w:r>
    </w:p>
    <w:p w:rsidR="008E3424" w:rsidRDefault="008E3424">
      <w:pPr>
        <w:pStyle w:val="Text"/>
        <w:spacing w:before="120"/>
        <w:ind w:firstLine="709"/>
      </w:pPr>
      <w:r>
        <w:rPr>
          <w:b/>
          <w:bCs/>
        </w:rPr>
        <w:t xml:space="preserve">Domácnosti celkem </w:t>
      </w:r>
      <w:r>
        <w:t>v šetření Životní podmínky reprezentují průměrnou domácnost České republiky. Ve zpravodajském souboru SRÚ jsou od roku 2006 již zahrnuty všechny typy domácností zastoupené v populaci. Váha jednotlivých skupin domácností odpovídá jejich podílu zjištěnému v šetření Životní podmínky. Počet domácností důchodců bez ekonomicky aktivních členů byl pro zjišťování SRÚ zredukován, při zpracování se tato disproporce eliminuje převážením.</w:t>
      </w:r>
    </w:p>
    <w:p w:rsidR="008E3424" w:rsidRDefault="008E3424">
      <w:pPr>
        <w:pStyle w:val="Text"/>
        <w:spacing w:before="120"/>
        <w:ind w:firstLine="709"/>
      </w:pPr>
      <w:r>
        <w:rPr>
          <w:b/>
          <w:bCs/>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rsidR="008E3424"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na základě živnostenského oprávnění nebo na základě zvláštních předpisů, účastníky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8E3424" w:rsidRDefault="008E3424">
      <w:pPr>
        <w:pStyle w:val="Text"/>
        <w:spacing w:before="120"/>
        <w:ind w:firstLine="709"/>
      </w:pPr>
      <w:r>
        <w:rPr>
          <w:b/>
          <w:bCs/>
        </w:rPr>
        <w:t xml:space="preserve">Domácnosti nezaměstnaných </w:t>
      </w:r>
      <w:r>
        <w:t>jsou domácnosti v čele s osobou, která nemá žádnou placenou práci, ale pracovat by chtěla, tzn., že si buď aktivně hledá zaměstnání, nebo má v plánu podnikat, případně hodlá zaměstnání hledat. Není rozhodující, zda pobírá hmotné zabezpečení uchazečů o zaměstnání či nikoliv.</w:t>
      </w:r>
    </w:p>
    <w:p w:rsidR="008E3424" w:rsidRDefault="008E3424">
      <w:pPr>
        <w:pStyle w:val="Text"/>
        <w:spacing w:before="120"/>
        <w:ind w:firstLine="709"/>
      </w:pPr>
      <w:r>
        <w:rPr>
          <w:b/>
          <w:bCs/>
        </w:rPr>
        <w:t xml:space="preserve">Domácnosti důchodců </w:t>
      </w:r>
      <w:r>
        <w:t xml:space="preserve">mají v čele osobu, která pobírá důchod (kromě sirotčího) a nepracuje buď vůbec, nebo má její pracovní činnost omezený rozsah. Za šetření Životní podmínky (tab. </w:t>
      </w:r>
      <w:r>
        <w:rPr>
          <w:b/>
          <w:bCs/>
        </w:rPr>
        <w:t>9</w:t>
      </w:r>
      <w:r>
        <w:t xml:space="preserve">-1. až </w:t>
      </w:r>
      <w:r>
        <w:rPr>
          <w:b/>
          <w:bCs/>
        </w:rPr>
        <w:t>9</w:t>
      </w:r>
      <w:r>
        <w:t>-</w:t>
      </w:r>
      <w:r w:rsidR="00DC535C">
        <w:t>3</w:t>
      </w:r>
      <w:r>
        <w:t xml:space="preserve">.) jsou publikovány výsledky za </w:t>
      </w:r>
      <w:r>
        <w:rPr>
          <w:b/>
          <w:bCs/>
        </w:rPr>
        <w:t>domácnosti důchodců bez pracujících členů</w:t>
      </w:r>
      <w:r>
        <w:t>. Ty zahrnují všechny domácnosti, kde osoba v čele pobírá důchod a nepracuje (vůbec</w:t>
      </w:r>
      <w:r w:rsidR="00C3237B">
        <w:t>,</w:t>
      </w:r>
      <w:r>
        <w:t xml:space="preserve"> nebo v omezené míře) a zároveň nepracují ani jiní členové domácnosti, přičemž rozhodující je, zda reálně vykonávají nějakou pracovní činnost</w:t>
      </w:r>
      <w:r w:rsidR="00C3237B">
        <w:t>,</w:t>
      </w:r>
      <w:r>
        <w:t xml:space="preserve"> nebo ne (mohou tedy být nezaměstnaní). Naproti tomu v tabulkách s výsledky šetření SRÚ (tab. </w:t>
      </w:r>
      <w:r>
        <w:rPr>
          <w:b/>
          <w:bCs/>
        </w:rPr>
        <w:t>9</w:t>
      </w:r>
      <w:r>
        <w:t>-</w:t>
      </w:r>
      <w:r w:rsidR="00DC535C">
        <w:t>4</w:t>
      </w:r>
      <w:r>
        <w:t xml:space="preserve">. až </w:t>
      </w:r>
      <w:r>
        <w:rPr>
          <w:b/>
          <w:bCs/>
        </w:rPr>
        <w:t>9</w:t>
      </w:r>
      <w:r>
        <w:t>-</w:t>
      </w:r>
      <w:r w:rsidR="00DC535C">
        <w:t>6</w:t>
      </w:r>
      <w:r>
        <w:t xml:space="preserve">.) jsou jako zvláštní kategorie vyčleněny </w:t>
      </w:r>
      <w:r>
        <w:rPr>
          <w:b/>
          <w:bCs/>
        </w:rPr>
        <w:t>domácnosti důchodců bez ekonomicky aktivních členů</w:t>
      </w:r>
      <w:r>
        <w:t>, které</w:t>
      </w:r>
      <w:r>
        <w:rPr>
          <w:b/>
          <w:bCs/>
        </w:rPr>
        <w:t xml:space="preserve"> </w:t>
      </w:r>
      <w:r>
        <w:t xml:space="preserve">zahrnují domácnosti, v nichž vedle osoby v čele také ostatní členové nejsou ekonomicky aktivní buď vůbec, nebo jen v omezené míře. </w:t>
      </w:r>
    </w:p>
    <w:p w:rsidR="008E3424" w:rsidRPr="00AB1E90" w:rsidRDefault="008E3424">
      <w:pPr>
        <w:pStyle w:val="Normlnweb"/>
        <w:spacing w:before="0" w:beforeAutospacing="0" w:after="0" w:afterAutospacing="0"/>
        <w:jc w:val="both"/>
        <w:rPr>
          <w:rFonts w:ascii="Arial" w:hAnsi="Arial" w:cs="Arial"/>
          <w:bCs/>
          <w:color w:val="auto"/>
          <w:sz w:val="20"/>
          <w:szCs w:val="20"/>
        </w:rPr>
      </w:pPr>
    </w:p>
    <w:p w:rsidR="008E3424" w:rsidRPr="00AB1E90" w:rsidRDefault="008E3424">
      <w:pPr>
        <w:pStyle w:val="Normlnweb"/>
        <w:spacing w:before="0" w:beforeAutospacing="0" w:after="0" w:afterAutospacing="0"/>
        <w:jc w:val="both"/>
        <w:rPr>
          <w:rFonts w:ascii="Arial" w:hAnsi="Arial" w:cs="Arial"/>
          <w:bCs/>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w:t>
      </w:r>
      <w:r w:rsidR="00C3237B">
        <w:rPr>
          <w:rFonts w:ascii="Arial" w:hAnsi="Arial" w:cs="Arial"/>
          <w:color w:val="auto"/>
          <w:sz w:val="20"/>
          <w:szCs w:val="20"/>
        </w:rPr>
        <w:t>,</w:t>
      </w:r>
      <w:r>
        <w:rPr>
          <w:rFonts w:ascii="Arial" w:hAnsi="Arial" w:cs="Arial"/>
          <w:color w:val="auto"/>
          <w:sz w:val="20"/>
          <w:szCs w:val="20"/>
        </w:rPr>
        <w:t xml:space="preserve">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rsidR="008E3424" w:rsidRDefault="008E3424">
      <w:pPr>
        <w:spacing w:before="120"/>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rsidR="008E3424" w:rsidRDefault="008E3424">
      <w:pPr>
        <w:pStyle w:val="Text"/>
        <w:spacing w:before="120"/>
        <w:ind w:firstLine="709"/>
      </w:pPr>
      <w:r>
        <w:rPr>
          <w:b/>
          <w:bCs/>
        </w:rPr>
        <w:t>Hrubá peněžní vydání</w:t>
      </w:r>
      <w:r>
        <w:t xml:space="preserve"> nezahrnují vklady, splacené úvěry a půjčky.</w:t>
      </w:r>
    </w:p>
    <w:p w:rsidR="008E3424" w:rsidRDefault="008E3424">
      <w:pPr>
        <w:pStyle w:val="Text"/>
        <w:spacing w:before="120"/>
        <w:ind w:firstLine="709"/>
      </w:pPr>
      <w:r>
        <w:rPr>
          <w:b/>
          <w:bCs/>
        </w:rPr>
        <w:t>Čistá peněžní vydání</w:t>
      </w:r>
      <w:r>
        <w:t xml:space="preserve"> se od hrubých liš</w:t>
      </w:r>
      <w:bookmarkStart w:id="0" w:name="_GoBack"/>
      <w:bookmarkEnd w:id="0"/>
      <w:r>
        <w:t>í o odvody na zdravotní a sociální pojištění a daň z příjmů. Člení se na tzv. spotřební vydání a vydání neklasifikovaná jako spotřební.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lastRenderedPageBreak/>
        <w:t xml:space="preserve">Pro zajištění mezinárodní srovnatelnosti statistických ukazatelů jsou od roku 1999 položky peněžních výdajů uspořádány podle </w:t>
      </w:r>
      <w:r w:rsidR="001147D1" w:rsidRPr="0002713B">
        <w:rPr>
          <w:rFonts w:ascii="Arial" w:hAnsi="Arial" w:cs="Arial"/>
          <w:color w:val="auto"/>
          <w:sz w:val="20"/>
          <w:szCs w:val="20"/>
        </w:rPr>
        <w:t>Klasifikace individuální spotřeby podle účelu CZ-COICOP</w:t>
      </w:r>
      <w:r w:rsidR="00883068">
        <w:rPr>
          <w:rFonts w:ascii="Arial" w:hAnsi="Arial" w:cs="Arial"/>
          <w:color w:val="auto"/>
          <w:sz w:val="20"/>
          <w:szCs w:val="20"/>
        </w:rPr>
        <w:t xml:space="preserve"> </w:t>
      </w:r>
      <w:r w:rsidR="006032D3">
        <w:rPr>
          <w:rFonts w:ascii="Arial" w:hAnsi="Arial" w:cs="Arial"/>
          <w:color w:val="auto"/>
          <w:sz w:val="20"/>
          <w:szCs w:val="20"/>
        </w:rPr>
        <w:t>(viz přehled platných statistických klasifikací a číselníků v úvodu ročenky)</w:t>
      </w:r>
      <w:r>
        <w:rPr>
          <w:rFonts w:ascii="Arial" w:hAnsi="Arial" w:cs="Arial"/>
          <w:color w:val="auto"/>
          <w:sz w:val="20"/>
          <w:szCs w:val="20"/>
        </w:rPr>
        <w:t xml:space="preserve">, která je českou verzí mezinárodního standardu COICOP </w:t>
      </w:r>
      <w:r>
        <w:rPr>
          <w:rFonts w:ascii="Arial" w:hAnsi="Arial" w:cs="Arial"/>
          <w:i/>
          <w:iCs/>
          <w:color w:val="auto"/>
          <w:sz w:val="20"/>
          <w:szCs w:val="20"/>
        </w:rPr>
        <w:t>(Classification of Individual Consumption by Purpose)</w:t>
      </w:r>
      <w:r w:rsidR="00C3237B">
        <w:rPr>
          <w:rFonts w:ascii="Arial" w:hAnsi="Arial" w:cs="Arial"/>
          <w:color w:val="auto"/>
          <w:sz w:val="20"/>
          <w:szCs w:val="20"/>
        </w:rPr>
        <w:t>,</w:t>
      </w:r>
      <w:r>
        <w:rPr>
          <w:rFonts w:ascii="Arial" w:hAnsi="Arial" w:cs="Arial"/>
          <w:color w:val="auto"/>
          <w:sz w:val="20"/>
          <w:szCs w:val="20"/>
        </w:rPr>
        <w:t xml:space="preserve"> a je závazná pro všechna statistická zjišťování. </w:t>
      </w:r>
      <w:r w:rsidR="00883068">
        <w:rPr>
          <w:rFonts w:ascii="Arial" w:hAnsi="Arial" w:cs="Arial"/>
          <w:color w:val="auto"/>
          <w:sz w:val="20"/>
          <w:szCs w:val="20"/>
        </w:rPr>
        <w:t xml:space="preserve">Podrobná náplň </w:t>
      </w:r>
      <w:r w:rsidR="001147E4">
        <w:rPr>
          <w:rFonts w:ascii="Arial" w:hAnsi="Arial" w:cs="Arial"/>
          <w:color w:val="auto"/>
          <w:sz w:val="20"/>
          <w:szCs w:val="20"/>
        </w:rPr>
        <w:t>dvanácti základních oddílů</w:t>
      </w:r>
      <w:r w:rsidR="00883068">
        <w:rPr>
          <w:rFonts w:ascii="Arial" w:hAnsi="Arial" w:cs="Arial"/>
          <w:color w:val="auto"/>
          <w:sz w:val="20"/>
          <w:szCs w:val="20"/>
        </w:rPr>
        <w:t xml:space="preserve"> je dostupná v uvedené klasifikaci. </w:t>
      </w:r>
      <w:r>
        <w:rPr>
          <w:rFonts w:ascii="Arial" w:hAnsi="Arial" w:cs="Arial"/>
          <w:color w:val="auto"/>
          <w:sz w:val="20"/>
          <w:szCs w:val="20"/>
        </w:rPr>
        <w:t>Výdaje, které nejsou v CZ-COICOP zařazeny (investiční výdaje na výstavbu, či rekonstrukci domu nebo bytu, výdaje spojené s péčí o užitkovou zahradu a užitková zvířata apod.) byly vyčleněny do zvláštního oddílu „Vydání neklasifikovaná jako spotřební“.</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Příjmy hospodařících domácností, míra ohrožení chudobou a náklady na bydlení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 xml:space="preserve">Hospodařící domácnosti podle postavení osoby v čele v roce </w:t>
      </w:r>
      <w:r w:rsidR="00DC535C">
        <w:rPr>
          <w:rFonts w:ascii="Arial" w:hAnsi="Arial" w:cs="Arial"/>
          <w:b/>
          <w:bCs/>
          <w:sz w:val="20"/>
          <w:szCs w:val="20"/>
        </w:rPr>
        <w:t>2015</w:t>
      </w:r>
    </w:p>
    <w:p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chudoby </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Údaje ze šetření Životní podmínky jsou zpracované podle metodiky Eurostatu. Tabulka uvádí podíl osob ohrožených chudobou, přičemž hranice chudoby byla stanovena jako 60 % mediánu ekvivalizovaných disponibilních příjmů za osoby.</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Tabulka byla pro lepší využitelnost dat v roce 2012 změněna, nenavazuje tedy přímo na tabulky uveřejněné v předcházejících letech. Data jsou uvedena v časové řadě za jednotlivé roky. V prvním řádku jsou celkové počty osob žijících pod hranicí chudoby, v ostatních řádcích jejich procentuální podíl v příslušné podskupině osob.</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Ekvivalizovaný disponibilní příjem </w:t>
      </w:r>
      <w:r>
        <w:rPr>
          <w:rFonts w:ascii="Arial" w:hAnsi="Arial" w:cs="Arial"/>
          <w:sz w:val="20"/>
          <w:szCs w:val="20"/>
        </w:rPr>
        <w:t>je konstruován jako podíl čistého disponibilního příjmu domácnosti a počtu jejích spotřebních jednotek (vypočteného podle metodiky Eurostatu). Tento příjem je přiřazen všem osobám příslušné domácnosti.</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Pr>
          <w:rFonts w:ascii="Arial" w:hAnsi="Arial" w:cs="Arial"/>
          <w:b/>
          <w:bCs/>
          <w:color w:val="auto"/>
          <w:sz w:val="20"/>
          <w:szCs w:val="20"/>
        </w:rPr>
        <w:t xml:space="preserve">Vydání a spotřeba domácností SRÚ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Obsahuje údaje za domácnosti zpravodajského souboru SRÚ v časové řadě.</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7F7B70">
      <w:pPr>
        <w:pStyle w:val="Normlnweb"/>
        <w:keepNext/>
        <w:spacing w:before="0" w:beforeAutospacing="0" w:after="0" w:afterAutospacing="0"/>
        <w:ind w:left="709" w:hanging="709"/>
        <w:jc w:val="both"/>
        <w:rPr>
          <w:rFonts w:ascii="Arial" w:hAnsi="Arial" w:cs="Arial"/>
          <w:b/>
          <w:bCs/>
          <w:color w:val="auto"/>
          <w:sz w:val="20"/>
          <w:szCs w:val="20"/>
        </w:rPr>
      </w:pPr>
      <w:r>
        <w:rPr>
          <w:rFonts w:ascii="Arial" w:hAnsi="Arial" w:cs="Arial"/>
          <w:color w:val="auto"/>
          <w:sz w:val="20"/>
          <w:szCs w:val="20"/>
        </w:rPr>
        <w:lastRenderedPageBreak/>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DC535C">
        <w:rPr>
          <w:rFonts w:ascii="Arial" w:hAnsi="Arial" w:cs="Arial"/>
          <w:b/>
          <w:bCs/>
          <w:color w:val="auto"/>
          <w:sz w:val="20"/>
          <w:szCs w:val="20"/>
        </w:rPr>
        <w:t>S</w:t>
      </w:r>
      <w:r>
        <w:rPr>
          <w:rFonts w:ascii="Arial" w:hAnsi="Arial" w:cs="Arial"/>
          <w:b/>
          <w:bCs/>
          <w:color w:val="auto"/>
          <w:sz w:val="20"/>
          <w:szCs w:val="20"/>
        </w:rPr>
        <w:t>truktura peněžních vydání domácností SRÚ podle postavení osoby v čele v roce </w:t>
      </w:r>
      <w:r w:rsidR="00DC535C">
        <w:rPr>
          <w:rFonts w:ascii="Arial" w:hAnsi="Arial" w:cs="Arial"/>
          <w:b/>
          <w:bCs/>
          <w:color w:val="auto"/>
          <w:sz w:val="20"/>
          <w:szCs w:val="20"/>
        </w:rPr>
        <w:t xml:space="preserve">2015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Obsahují údaje za domácnosti zpravodajského souboru SRÚ v třídění podle postavení osoby v čele.</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6</w:t>
      </w:r>
      <w:r>
        <w:rPr>
          <w:rFonts w:ascii="Arial" w:hAnsi="Arial" w:cs="Arial"/>
          <w:color w:val="auto"/>
          <w:sz w:val="20"/>
          <w:szCs w:val="20"/>
        </w:rPr>
        <w:t>.</w:t>
      </w:r>
      <w:r w:rsidR="00BF78E5">
        <w:rPr>
          <w:rFonts w:ascii="Arial" w:hAnsi="Arial" w:cs="Arial"/>
          <w:color w:val="auto"/>
          <w:sz w:val="20"/>
          <w:szCs w:val="20"/>
        </w:rPr>
        <w:t> </w:t>
      </w:r>
      <w:r>
        <w:rPr>
          <w:rFonts w:ascii="Arial" w:hAnsi="Arial" w:cs="Arial"/>
          <w:b/>
          <w:bCs/>
          <w:color w:val="auto"/>
          <w:sz w:val="20"/>
          <w:szCs w:val="20"/>
        </w:rPr>
        <w:t>Struktura peněžních vydání u vybraných skupin domácností SRÚ s různou příjmovou úrovní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Obsahuje údaje za domácnosti zpravodajského souboru SRÚ v třídění podle výše čistého ročního peněžního příjmu na jednoho člena domácnosti. Do skupiny domácností s nízkými příjmy bylo v každé skupině zařazeno 20 % domácností s nejnižším čistým peněžním příjmem na jednoho člena; příjmy každé domácnosti v této skupině nepřekročily horní hranici uvedenou v tabulce. Do skupiny domácností s vysokými příjmy bylo analogicky zařazeno 20 % domácností s nejvyšším příjmem na jednoho člena, který byl vyšší než spodní hranice uvedená v tabulce.</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center"/>
        <w:rPr>
          <w:rFonts w:ascii="Arial" w:hAnsi="Arial" w:cs="Arial"/>
          <w:sz w:val="20"/>
          <w:szCs w:val="20"/>
        </w:rPr>
      </w:pPr>
      <w:r>
        <w:rPr>
          <w:rFonts w:ascii="Arial" w:hAnsi="Arial" w:cs="Arial"/>
          <w:sz w:val="20"/>
          <w:szCs w:val="20"/>
        </w:rPr>
        <w:t>*          *          *</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www.czso.cz/csu/czso/zivotni_uro</w:t>
        </w:r>
        <w:r w:rsidRPr="004347F5">
          <w:rPr>
            <w:rStyle w:val="Hypertextovodkaz"/>
            <w:rFonts w:ascii="Arial" w:hAnsi="Arial" w:cs="Arial"/>
            <w:sz w:val="20"/>
            <w:szCs w:val="20"/>
          </w:rPr>
          <w:t>v</w:t>
        </w:r>
        <w:r w:rsidRPr="004347F5">
          <w:rPr>
            <w:rStyle w:val="Hypertextovodkaz"/>
            <w:rFonts w:ascii="Arial" w:hAnsi="Arial" w:cs="Arial"/>
            <w:sz w:val="20"/>
            <w:szCs w:val="20"/>
          </w:rPr>
          <w:t>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424"/>
    <w:rsid w:val="00003A5D"/>
    <w:rsid w:val="00007475"/>
    <w:rsid w:val="00014377"/>
    <w:rsid w:val="0002713B"/>
    <w:rsid w:val="0006745A"/>
    <w:rsid w:val="00092BF3"/>
    <w:rsid w:val="00093065"/>
    <w:rsid w:val="000B562E"/>
    <w:rsid w:val="000E3120"/>
    <w:rsid w:val="000F5987"/>
    <w:rsid w:val="00111368"/>
    <w:rsid w:val="001114E7"/>
    <w:rsid w:val="001147D1"/>
    <w:rsid w:val="001147E4"/>
    <w:rsid w:val="001565F8"/>
    <w:rsid w:val="00185B3D"/>
    <w:rsid w:val="001B1788"/>
    <w:rsid w:val="001C2B81"/>
    <w:rsid w:val="001D5D76"/>
    <w:rsid w:val="00205C9E"/>
    <w:rsid w:val="00230CA8"/>
    <w:rsid w:val="0026389D"/>
    <w:rsid w:val="00292825"/>
    <w:rsid w:val="00295181"/>
    <w:rsid w:val="002E1D56"/>
    <w:rsid w:val="002F22CF"/>
    <w:rsid w:val="002F72C8"/>
    <w:rsid w:val="003131E7"/>
    <w:rsid w:val="00334054"/>
    <w:rsid w:val="00345A9B"/>
    <w:rsid w:val="0038451A"/>
    <w:rsid w:val="003B3736"/>
    <w:rsid w:val="003C1BA7"/>
    <w:rsid w:val="003D7443"/>
    <w:rsid w:val="0040015A"/>
    <w:rsid w:val="004347F5"/>
    <w:rsid w:val="00455C4F"/>
    <w:rsid w:val="0046316D"/>
    <w:rsid w:val="004822D0"/>
    <w:rsid w:val="004E0BD9"/>
    <w:rsid w:val="004E1552"/>
    <w:rsid w:val="00544890"/>
    <w:rsid w:val="005723AD"/>
    <w:rsid w:val="00577D36"/>
    <w:rsid w:val="00591873"/>
    <w:rsid w:val="005F3B36"/>
    <w:rsid w:val="00602D16"/>
    <w:rsid w:val="006032D3"/>
    <w:rsid w:val="00607119"/>
    <w:rsid w:val="0062326F"/>
    <w:rsid w:val="00624135"/>
    <w:rsid w:val="006A662D"/>
    <w:rsid w:val="006A6FE1"/>
    <w:rsid w:val="006C6844"/>
    <w:rsid w:val="006D5E11"/>
    <w:rsid w:val="006D5EC9"/>
    <w:rsid w:val="00714EEC"/>
    <w:rsid w:val="00783E97"/>
    <w:rsid w:val="007872B9"/>
    <w:rsid w:val="007C2D6C"/>
    <w:rsid w:val="007F7B70"/>
    <w:rsid w:val="00826B38"/>
    <w:rsid w:val="00861C53"/>
    <w:rsid w:val="00883068"/>
    <w:rsid w:val="008E3424"/>
    <w:rsid w:val="0093035A"/>
    <w:rsid w:val="00933568"/>
    <w:rsid w:val="009531D8"/>
    <w:rsid w:val="00961629"/>
    <w:rsid w:val="009775A8"/>
    <w:rsid w:val="009A5D8A"/>
    <w:rsid w:val="009B1B9D"/>
    <w:rsid w:val="00A27CF2"/>
    <w:rsid w:val="00A43000"/>
    <w:rsid w:val="00A73393"/>
    <w:rsid w:val="00A9191A"/>
    <w:rsid w:val="00AA19FC"/>
    <w:rsid w:val="00AB1E90"/>
    <w:rsid w:val="00AC0B95"/>
    <w:rsid w:val="00AC17D8"/>
    <w:rsid w:val="00AE72F3"/>
    <w:rsid w:val="00B076ED"/>
    <w:rsid w:val="00B771EC"/>
    <w:rsid w:val="00B86B1A"/>
    <w:rsid w:val="00BC1DDC"/>
    <w:rsid w:val="00BF78E5"/>
    <w:rsid w:val="00C0330D"/>
    <w:rsid w:val="00C3237B"/>
    <w:rsid w:val="00C34F4B"/>
    <w:rsid w:val="00C6235F"/>
    <w:rsid w:val="00C75412"/>
    <w:rsid w:val="00C938FB"/>
    <w:rsid w:val="00CD5B3E"/>
    <w:rsid w:val="00CF7B0E"/>
    <w:rsid w:val="00D1671F"/>
    <w:rsid w:val="00D3335E"/>
    <w:rsid w:val="00D61026"/>
    <w:rsid w:val="00D90135"/>
    <w:rsid w:val="00DB6585"/>
    <w:rsid w:val="00DC535C"/>
    <w:rsid w:val="00DF1000"/>
    <w:rsid w:val="00DF7BD7"/>
    <w:rsid w:val="00E01F4D"/>
    <w:rsid w:val="00E26915"/>
    <w:rsid w:val="00E2778B"/>
    <w:rsid w:val="00EB7E01"/>
    <w:rsid w:val="00ED7A79"/>
    <w:rsid w:val="00F0562E"/>
    <w:rsid w:val="00F1555D"/>
    <w:rsid w:val="00F36A66"/>
    <w:rsid w:val="00F85F0F"/>
    <w:rsid w:val="00F95C5C"/>
    <w:rsid w:val="00F96A49"/>
    <w:rsid w:val="00FC108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lang/>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rPr>
      <w:lang/>
    </w:r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vrendokumentu">
    <w:name w:val="Document Map"/>
    <w:basedOn w:val="Normln"/>
    <w:link w:val="RozvrendokumentuChar1"/>
    <w:uiPriority w:val="99"/>
    <w:rsid w:val="006D5E11"/>
    <w:pPr>
      <w:shd w:val="clear" w:color="auto" w:fill="000080"/>
    </w:pPr>
    <w:rPr>
      <w:sz w:val="2"/>
      <w:szCs w:val="2"/>
      <w:lang/>
    </w:rPr>
  </w:style>
  <w:style w:type="character" w:customStyle="1" w:styleId="RozvrendokumentuChar1">
    <w:name w:val="Rozvržení dokumentu Char1"/>
    <w:link w:val="Rozvr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rPr>
      <w:lang/>
    </w:r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rPr>
      <w:lang/>
    </w:r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lang/>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rPr>
      <w:lang/>
    </w:rPr>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lang/>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lang/>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lang/>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91054-1010-4899-B3D4-81A073E2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1804</Words>
  <Characters>10649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Ing. Venuše Novotná</cp:lastModifiedBy>
  <cp:revision>6</cp:revision>
  <cp:lastPrinted>2016-07-04T09:31:00Z</cp:lastPrinted>
  <dcterms:created xsi:type="dcterms:W3CDTF">2016-09-20T06:58:00Z</dcterms:created>
  <dcterms:modified xsi:type="dcterms:W3CDTF">2016-10-25T07:43:00Z</dcterms:modified>
</cp:coreProperties>
</file>